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30" type="#_x0000_t202" style="position:absolute;margin-left:85.05pt;margin-top:722.65pt;width:198pt;height:19.85pt;z-index:1;mso-wrap-distance-top:56.7pt;mso-wrap-distance-bottom:56.7pt;mso-position-horizontal-relative:page" filled="f" stroked="f" strokecolor="white">
            <v:textbox style="mso-next-textbox:#_x0000_s1030"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46158</w:t>
                  </w:r>
                  <w:r>
                    <w:rPr>
                      <w:lang w:val="en-US"/>
                    </w:rPr>
                    <w:fldChar w:fldCharType="end"/>
                  </w:r>
                  <w:r>
                    <w:rPr>
                      <w:lang w:val="en-US"/>
                    </w:rPr>
                    <w:t xml:space="preserve">   (R)</w:t>
                  </w:r>
                  <w:r>
                    <w:t xml:space="preserve">    010502   </w:t>
                  </w:r>
                  <w:r>
                    <w:rPr>
                      <w:lang w:val="en-US"/>
                    </w:rPr>
                    <w:t>270502</w:t>
                  </w:r>
                </w:p>
              </w:txbxContent>
            </v:textbox>
            <w10:wrap type="topAndBottom"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E/1990/5/Add.53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20 November 2001</w:t>
            </w:r>
            <w:r>
              <w:rPr>
                <w:lang w:val="en-US"/>
              </w:rPr>
              <w:fldChar w:fldCharType="end"/>
            </w:r>
          </w:p>
          <w:p w:rsidR="00000000" w:rsidRDefault="00000000">
            <w:pPr>
              <w:spacing w:line="216" w:lineRule="auto"/>
              <w:rPr>
                <w:lang w:val="en-US"/>
              </w:rPr>
            </w:pPr>
          </w:p>
          <w:p w:rsidR="00000000" w:rsidRDefault="00000000">
            <w:pPr>
              <w:spacing w:line="216" w:lineRule="auto"/>
            </w:pPr>
            <w:r>
              <w:rPr>
                <w:lang w:val="en-US"/>
              </w:rPr>
              <w:t>RUSSIAN</w:t>
            </w:r>
          </w:p>
          <w:p w:rsidR="00000000" w:rsidRDefault="00000000">
            <w:pPr>
              <w:spacing w:line="216" w:lineRule="auto"/>
            </w:pPr>
            <w:r>
              <w:rPr>
                <w:lang w:val="en-US"/>
              </w:rPr>
              <w:t>Original</w:t>
            </w:r>
            <w:r>
              <w:t xml:space="preserve">: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1" w:name="ПолеСоСписком2"/>
            <w:r>
              <w:instrText xml:space="preserve"> </w:instrText>
            </w:r>
            <w:r>
              <w:rPr>
                <w:lang w:val="en-US"/>
              </w:rPr>
              <w:instrText>FORMDROPDOWN</w:instrText>
            </w:r>
            <w:r>
              <w:instrText xml:space="preserve"> </w:instrText>
            </w:r>
            <w:r>
              <w:rPr>
                <w:lang w:val="en-US"/>
              </w:rPr>
            </w:r>
            <w:r>
              <w:rPr>
                <w:lang w:val="en-US"/>
              </w:rPr>
              <w:fldChar w:fldCharType="end"/>
            </w:r>
            <w:bookmarkEnd w:id="1"/>
          </w:p>
          <w:p w:rsidR="00000000" w:rsidRDefault="00000000">
            <w:pPr>
              <w:spacing w:line="216" w:lineRule="auto"/>
            </w:pPr>
          </w:p>
          <w:p w:rsidR="00000000" w:rsidRDefault="00000000">
            <w:pPr>
              <w:tabs>
                <w:tab w:val="left" w:pos="0"/>
                <w:tab w:val="left" w:pos="7086"/>
              </w:tabs>
              <w:suppressAutoHyphens/>
              <w:spacing w:line="216" w:lineRule="auto"/>
              <w:ind w:left="255"/>
              <w:rPr>
                <w:sz w:val="22"/>
              </w:rPr>
            </w:pPr>
          </w:p>
        </w:tc>
      </w:tr>
    </w:tbl>
    <w:p w:rsidR="00000000" w:rsidRDefault="00000000"/>
    <w:p w:rsidR="00000000" w:rsidRDefault="00000000">
      <w:r>
        <w:t>Основная сессия 2002 года</w:t>
      </w:r>
    </w:p>
    <w:p w:rsidR="00000000" w:rsidRDefault="00000000"/>
    <w:p w:rsidR="00000000" w:rsidRDefault="00000000"/>
    <w:p w:rsidR="00000000" w:rsidRDefault="00000000"/>
    <w:p w:rsidR="00000000" w:rsidRDefault="00000000"/>
    <w:p w:rsidR="00000000" w:rsidRDefault="00000000"/>
    <w:p w:rsidR="00000000" w:rsidRDefault="00000000">
      <w:pPr>
        <w:pStyle w:val="16"/>
        <w:rPr>
          <w:b/>
          <w:bCs/>
        </w:rPr>
      </w:pPr>
      <w:r>
        <w:rPr>
          <w:b/>
          <w:bCs/>
        </w:rPr>
        <w:t>ОСУЩЕСТВЛЕНИЕ МЕЖДУНАРОДНОГО ПАКТА ОБ ЭКОНОМИЧЕСКИХ,</w:t>
      </w:r>
    </w:p>
    <w:p w:rsidR="00000000" w:rsidRDefault="00000000">
      <w:pPr>
        <w:jc w:val="center"/>
        <w:rPr>
          <w:b/>
          <w:bCs/>
        </w:rPr>
      </w:pPr>
      <w:r>
        <w:rPr>
          <w:b/>
          <w:bCs/>
        </w:rPr>
        <w:t>СОЦИАЛЬНЫХ И КУЛЬТУРНЫХ ПРАВАХ</w:t>
      </w:r>
    </w:p>
    <w:p w:rsidR="00000000" w:rsidRDefault="00000000">
      <w:pPr>
        <w:jc w:val="center"/>
        <w:rPr>
          <w:b/>
          <w:bCs/>
        </w:rPr>
      </w:pPr>
    </w:p>
    <w:p w:rsidR="00000000" w:rsidRDefault="00000000">
      <w:pPr>
        <w:pStyle w:val="11"/>
        <w:rPr>
          <w:b/>
          <w:bCs/>
          <w:u w:val="none"/>
        </w:rPr>
      </w:pPr>
      <w:r>
        <w:rPr>
          <w:b/>
          <w:bCs/>
          <w:u w:val="none"/>
        </w:rPr>
        <w:t>Первоначальные доклады, представленные государствами-участниками</w:t>
      </w:r>
    </w:p>
    <w:p w:rsidR="00000000" w:rsidRDefault="00000000">
      <w:pPr>
        <w:jc w:val="center"/>
        <w:rPr>
          <w:b/>
          <w:bCs/>
        </w:rPr>
      </w:pPr>
      <w:r>
        <w:rPr>
          <w:b/>
          <w:bCs/>
        </w:rPr>
        <w:t>в соответствии со статьями 16 и 17 Пакта</w:t>
      </w:r>
    </w:p>
    <w:p w:rsidR="00000000" w:rsidRDefault="00000000">
      <w:pPr>
        <w:jc w:val="center"/>
        <w:rPr>
          <w:b/>
          <w:bCs/>
        </w:rPr>
      </w:pPr>
    </w:p>
    <w:p w:rsidR="00000000" w:rsidRDefault="00000000">
      <w:pPr>
        <w:pStyle w:val="11"/>
        <w:rPr>
          <w:b/>
          <w:bCs/>
          <w:u w:val="none"/>
        </w:rPr>
      </w:pPr>
      <w:r>
        <w:rPr>
          <w:b/>
          <w:bCs/>
          <w:u w:val="none"/>
        </w:rPr>
        <w:t>Добавление</w:t>
      </w:r>
    </w:p>
    <w:p w:rsidR="00000000" w:rsidRDefault="00000000">
      <w:pPr>
        <w:pStyle w:val="11"/>
        <w:rPr>
          <w:b/>
          <w:bCs/>
          <w:u w:val="none"/>
        </w:rPr>
      </w:pPr>
    </w:p>
    <w:p w:rsidR="00000000" w:rsidRDefault="00000000">
      <w:pPr>
        <w:pStyle w:val="16"/>
        <w:rPr>
          <w:b/>
          <w:bCs/>
        </w:rPr>
      </w:pPr>
      <w:r>
        <w:rPr>
          <w:b/>
          <w:bCs/>
        </w:rPr>
        <w:t>Бразилия*</w:t>
      </w:r>
    </w:p>
    <w:p w:rsidR="00000000" w:rsidRDefault="00000000">
      <w:pPr>
        <w:pStyle w:val="16"/>
        <w:rPr>
          <w:b/>
          <w:bCs/>
        </w:rPr>
      </w:pPr>
    </w:p>
    <w:p w:rsidR="00000000" w:rsidRDefault="00000000">
      <w:pPr>
        <w:pStyle w:val="16"/>
        <w:jc w:val="right"/>
      </w:pPr>
      <w:r>
        <w:t>[21 августа 2001 года]</w:t>
      </w:r>
    </w:p>
    <w:p w:rsidR="00000000" w:rsidRDefault="00000000">
      <w:pPr>
        <w:pStyle w:val="16"/>
        <w:jc w:val="right"/>
      </w:pPr>
    </w:p>
    <w:p w:rsidR="00000000" w:rsidRDefault="00000000"/>
    <w:p w:rsidR="00000000" w:rsidRDefault="00000000"/>
    <w:p w:rsidR="00000000" w:rsidRDefault="00000000"/>
    <w:p w:rsidR="00000000" w:rsidRDefault="00000000"/>
    <w:p w:rsidR="00000000" w:rsidRDefault="00000000"/>
    <w:p w:rsidR="00000000" w:rsidRDefault="00000000">
      <w:pPr>
        <w:spacing w:line="240" w:lineRule="auto"/>
      </w:pPr>
    </w:p>
    <w:p w:rsidR="00000000" w:rsidRDefault="00000000">
      <w:pPr>
        <w:spacing w:line="240" w:lineRule="auto"/>
      </w:pPr>
      <w:r>
        <w:t>_____________________</w:t>
      </w:r>
    </w:p>
    <w:p w:rsidR="00000000" w:rsidRDefault="00000000">
      <w:pPr>
        <w:spacing w:line="240" w:lineRule="auto"/>
      </w:pPr>
    </w:p>
    <w:p w:rsidR="00000000" w:rsidRDefault="00000000">
      <w:pPr>
        <w:spacing w:line="240" w:lineRule="auto"/>
      </w:pPr>
      <w:r>
        <w:t>*</w:t>
      </w:r>
      <w:r>
        <w:tab/>
        <w:t>Информация, представленная Бразилией в соответствии с руководящими принципами в отношении первой части докладов государств-участников, содержится в базовом документе (</w:t>
      </w:r>
      <w:r>
        <w:rPr>
          <w:lang w:val="en-US"/>
        </w:rPr>
        <w:t>HRI</w:t>
      </w:r>
      <w:r>
        <w:t>/</w:t>
      </w:r>
      <w:r>
        <w:rPr>
          <w:lang w:val="en-US"/>
        </w:rPr>
        <w:t>CORE</w:t>
      </w:r>
      <w:r>
        <w:t>/1/</w:t>
      </w:r>
      <w:r>
        <w:rPr>
          <w:lang w:val="en-US"/>
        </w:rPr>
        <w:t>Add</w:t>
      </w:r>
      <w:r>
        <w:t>.53).</w:t>
      </w:r>
    </w:p>
    <w:p w:rsidR="00000000" w:rsidRDefault="00000000">
      <w:pPr>
        <w:jc w:val="center"/>
      </w:pPr>
      <w:r>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pStyle w:val="a0"/>
        <w:widowControl/>
        <w:tabs>
          <w:tab w:val="left" w:pos="567"/>
          <w:tab w:val="left" w:pos="1134"/>
          <w:tab w:val="left" w:pos="1701"/>
          <w:tab w:val="left" w:pos="2268"/>
          <w:tab w:val="center" w:pos="8039"/>
          <w:tab w:val="center" w:pos="9122"/>
        </w:tabs>
        <w:spacing w:line="288" w:lineRule="auto"/>
        <w:rPr>
          <w:rFonts w:ascii="Times New Roman" w:hAnsi="Times New Roman"/>
          <w:snapToGrid/>
          <w:lang w:eastAsia="en-US"/>
        </w:rPr>
      </w:pP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r>
        <w:t>Введение к докладу министра иностранных дел</w:t>
      </w:r>
      <w:r>
        <w:tab/>
      </w:r>
      <w:r>
        <w:tab/>
      </w:r>
      <w:r>
        <w:tab/>
        <w:t>3</w:t>
      </w:r>
    </w:p>
    <w:p w:rsidR="00000000" w:rsidRDefault="00000000">
      <w:pPr>
        <w:pStyle w:val="FootnoteText"/>
        <w:tabs>
          <w:tab w:val="clear" w:pos="6237"/>
          <w:tab w:val="left" w:pos="567"/>
          <w:tab w:val="left" w:pos="1134"/>
          <w:tab w:val="left" w:pos="1701"/>
          <w:tab w:val="left" w:pos="2268"/>
          <w:tab w:val="right" w:leader="dot" w:pos="7172"/>
          <w:tab w:val="center" w:pos="8039"/>
          <w:tab w:val="center" w:pos="9122"/>
        </w:tabs>
        <w:spacing w:line="288" w:lineRule="auto"/>
      </w:pPr>
    </w:p>
    <w:p w:rsidR="00000000" w:rsidRDefault="00000000">
      <w:pPr>
        <w:pStyle w:val="FootnoteText"/>
        <w:tabs>
          <w:tab w:val="clear" w:pos="1701"/>
          <w:tab w:val="clear" w:pos="2268"/>
          <w:tab w:val="clear" w:pos="6237"/>
          <w:tab w:val="right" w:pos="567"/>
          <w:tab w:val="left" w:pos="1134"/>
          <w:tab w:val="right" w:leader="dot" w:pos="7172"/>
          <w:tab w:val="center" w:pos="8039"/>
          <w:tab w:val="center" w:pos="9122"/>
        </w:tabs>
        <w:spacing w:line="288" w:lineRule="auto"/>
      </w:pPr>
      <w:r>
        <w:tab/>
        <w:t>I.</w:t>
      </w:r>
      <w:r>
        <w:tab/>
        <w:t>Введение</w:t>
      </w:r>
      <w:r>
        <w:tab/>
      </w:r>
      <w:r>
        <w:tab/>
        <w:t xml:space="preserve"> 1 - 22</w:t>
      </w:r>
      <w:r>
        <w:tab/>
        <w:t>4</w:t>
      </w:r>
    </w:p>
    <w:p w:rsidR="00000000" w:rsidRDefault="00000000">
      <w:pPr>
        <w:pStyle w:val="FootnoteText"/>
        <w:tabs>
          <w:tab w:val="clear" w:pos="1701"/>
          <w:tab w:val="clear" w:pos="2268"/>
          <w:tab w:val="clear" w:pos="6237"/>
          <w:tab w:val="right" w:pos="567"/>
          <w:tab w:val="left" w:pos="1134"/>
          <w:tab w:val="right" w:leader="dot" w:pos="7172"/>
          <w:tab w:val="center" w:pos="8039"/>
          <w:tab w:val="center" w:pos="9122"/>
        </w:tabs>
        <w:spacing w:line="288" w:lineRule="auto"/>
      </w:pPr>
    </w:p>
    <w:p w:rsidR="00000000" w:rsidRDefault="00000000">
      <w:pPr>
        <w:tabs>
          <w:tab w:val="clear" w:pos="1701"/>
          <w:tab w:val="clear" w:pos="2268"/>
          <w:tab w:val="clear" w:pos="6237"/>
          <w:tab w:val="right" w:pos="567"/>
          <w:tab w:val="right" w:leader="dot" w:pos="7172"/>
          <w:tab w:val="center" w:pos="8039"/>
          <w:tab w:val="center" w:pos="9122"/>
        </w:tabs>
      </w:pPr>
      <w:r>
        <w:tab/>
        <w:t>II.</w:t>
      </w:r>
      <w:r>
        <w:tab/>
        <w:t>Общая информация о Бразилии</w:t>
      </w:r>
      <w:r>
        <w:tab/>
      </w:r>
      <w:r>
        <w:tab/>
        <w:t>23 - 27</w:t>
      </w:r>
      <w:r>
        <w:tab/>
        <w:t>9</w:t>
      </w:r>
    </w:p>
    <w:p w:rsidR="00000000" w:rsidRDefault="00000000">
      <w:pPr>
        <w:pStyle w:val="a0"/>
        <w:widowControl/>
        <w:tabs>
          <w:tab w:val="right" w:pos="567"/>
          <w:tab w:val="left" w:pos="1134"/>
          <w:tab w:val="right" w:leader="dot" w:pos="7172"/>
          <w:tab w:val="center" w:pos="8039"/>
          <w:tab w:val="center" w:pos="9122"/>
        </w:tabs>
        <w:spacing w:line="288" w:lineRule="auto"/>
        <w:rPr>
          <w:rFonts w:ascii="Times New Roman" w:hAnsi="Times New Roman"/>
          <w:snapToGrid/>
          <w:lang w:eastAsia="en-US"/>
        </w:rPr>
      </w:pPr>
    </w:p>
    <w:p w:rsidR="00000000" w:rsidRDefault="00000000">
      <w:pPr>
        <w:tabs>
          <w:tab w:val="clear" w:pos="1701"/>
          <w:tab w:val="clear" w:pos="2268"/>
          <w:tab w:val="clear" w:pos="6237"/>
          <w:tab w:val="right" w:pos="567"/>
          <w:tab w:val="right" w:leader="dot" w:pos="7172"/>
          <w:tab w:val="center" w:pos="8039"/>
          <w:tab w:val="center" w:pos="9122"/>
        </w:tabs>
        <w:ind w:left="567" w:hanging="567"/>
      </w:pPr>
      <w:r>
        <w:tab/>
        <w:t>III.</w:t>
      </w:r>
      <w:r>
        <w:tab/>
        <w:t>Доклад Бразилии по конкретным статьям Международного</w:t>
      </w:r>
    </w:p>
    <w:p w:rsidR="00000000" w:rsidRDefault="00000000">
      <w:pPr>
        <w:tabs>
          <w:tab w:val="clear" w:pos="1701"/>
          <w:tab w:val="clear" w:pos="2268"/>
          <w:tab w:val="clear" w:pos="6237"/>
          <w:tab w:val="right" w:pos="567"/>
          <w:tab w:val="right" w:leader="dot" w:pos="7172"/>
          <w:tab w:val="center" w:pos="8039"/>
          <w:tab w:val="center" w:pos="9122"/>
        </w:tabs>
        <w:ind w:left="1134" w:hanging="1134"/>
      </w:pPr>
      <w:r>
        <w:tab/>
      </w:r>
      <w:r>
        <w:tab/>
        <w:t>пакта об экономических, социальных и культурных правах и</w:t>
      </w:r>
    </w:p>
    <w:p w:rsidR="00000000" w:rsidRDefault="00000000">
      <w:pPr>
        <w:tabs>
          <w:tab w:val="clear" w:pos="1701"/>
          <w:tab w:val="clear" w:pos="2268"/>
          <w:tab w:val="clear" w:pos="6237"/>
          <w:tab w:val="right" w:pos="567"/>
          <w:tab w:val="right" w:leader="dot" w:pos="7172"/>
          <w:tab w:val="center" w:pos="8039"/>
          <w:tab w:val="center" w:pos="9122"/>
        </w:tabs>
      </w:pPr>
      <w:r>
        <w:tab/>
      </w:r>
      <w:r>
        <w:tab/>
        <w:t>охватываемым им правам человека</w:t>
      </w:r>
      <w:r>
        <w:tab/>
      </w:r>
      <w:r>
        <w:tab/>
        <w:t xml:space="preserve">  28 - 877</w:t>
      </w:r>
      <w:r>
        <w:tab/>
        <w:t>18</w:t>
      </w:r>
    </w:p>
    <w:p w:rsidR="00000000" w:rsidRDefault="00000000">
      <w:pPr>
        <w:tabs>
          <w:tab w:val="clear" w:pos="1134"/>
          <w:tab w:val="clear" w:pos="1701"/>
          <w:tab w:val="clear" w:pos="2268"/>
          <w:tab w:val="clear" w:pos="6237"/>
          <w:tab w:val="right" w:leader="dot" w:pos="7172"/>
          <w:tab w:val="center" w:pos="8039"/>
          <w:tab w:val="center" w:pos="9122"/>
        </w:tabs>
      </w:pPr>
    </w:p>
    <w:p w:rsidR="00000000" w:rsidRDefault="00000000">
      <w:pPr>
        <w:pStyle w:val="FootnoteText"/>
        <w:tabs>
          <w:tab w:val="clear" w:pos="1134"/>
          <w:tab w:val="clear" w:pos="1701"/>
          <w:tab w:val="clear" w:pos="2268"/>
          <w:tab w:val="clear" w:pos="6237"/>
          <w:tab w:val="left" w:pos="567"/>
          <w:tab w:val="left" w:pos="1122"/>
          <w:tab w:val="right" w:leader="dot" w:pos="7172"/>
          <w:tab w:val="center" w:pos="8039"/>
          <w:tab w:val="center" w:pos="9122"/>
        </w:tabs>
        <w:spacing w:line="360" w:lineRule="auto"/>
      </w:pPr>
      <w:r>
        <w:tab/>
      </w:r>
      <w:r>
        <w:tab/>
        <w:t>Статьи 1, 2, 3, 4 и 5</w:t>
      </w:r>
      <w:r>
        <w:tab/>
      </w:r>
      <w:r>
        <w:tab/>
        <w:t>28 - 33</w:t>
      </w:r>
      <w:r>
        <w:tab/>
        <w:t>18</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6</w:t>
      </w:r>
      <w:r>
        <w:tab/>
      </w:r>
      <w:r>
        <w:tab/>
        <w:t xml:space="preserve">  34 - 123</w:t>
      </w:r>
      <w:r>
        <w:tab/>
        <w:t>20</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7</w:t>
      </w:r>
      <w:r>
        <w:tab/>
      </w:r>
      <w:r>
        <w:tab/>
        <w:t>124 - 180</w:t>
      </w:r>
      <w:r>
        <w:tab/>
        <w:t>59</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8</w:t>
      </w:r>
      <w:r>
        <w:tab/>
      </w:r>
      <w:r>
        <w:tab/>
        <w:t>181 - 195</w:t>
      </w:r>
      <w:r>
        <w:tab/>
        <w:t>93</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9</w:t>
      </w:r>
      <w:r>
        <w:tab/>
      </w:r>
      <w:r>
        <w:tab/>
        <w:t>196 - 295</w:t>
      </w:r>
      <w:r>
        <w:tab/>
        <w:t>97</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10</w:t>
      </w:r>
      <w:r>
        <w:tab/>
      </w:r>
      <w:r>
        <w:tab/>
        <w:t>296 - 370</w:t>
      </w:r>
      <w:r>
        <w:tab/>
        <w:t>125</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11</w:t>
      </w:r>
      <w:r>
        <w:tab/>
      </w:r>
      <w:r>
        <w:tab/>
        <w:t>371 - 557</w:t>
      </w:r>
      <w:r>
        <w:tab/>
        <w:t>145</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Статья 12</w:t>
      </w:r>
      <w:r>
        <w:tab/>
      </w:r>
      <w:r>
        <w:tab/>
        <w:t>558 - 744</w:t>
      </w:r>
      <w:r>
        <w:tab/>
        <w:t>214</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pPr>
      <w:r>
        <w:tab/>
      </w:r>
      <w:r>
        <w:tab/>
        <w:t>Статьи 13 и 14</w:t>
      </w:r>
      <w:r>
        <w:tab/>
      </w:r>
      <w:r>
        <w:tab/>
        <w:t>745 - 805</w:t>
      </w:r>
      <w:r>
        <w:tab/>
        <w:t>276</w:t>
      </w:r>
    </w:p>
    <w:p w:rsidR="00000000" w:rsidRDefault="00000000">
      <w:pPr>
        <w:tabs>
          <w:tab w:val="clear" w:pos="1134"/>
          <w:tab w:val="clear" w:pos="1701"/>
          <w:tab w:val="clear" w:pos="2268"/>
          <w:tab w:val="clear" w:pos="6237"/>
          <w:tab w:val="left" w:pos="1122"/>
          <w:tab w:val="right" w:leader="dot" w:pos="7172"/>
          <w:tab w:val="center" w:pos="8039"/>
          <w:tab w:val="center" w:pos="9122"/>
        </w:tabs>
        <w:spacing w:line="360" w:lineRule="auto"/>
        <w:rPr>
          <w:lang w:val="en-US"/>
        </w:rPr>
      </w:pPr>
      <w:r>
        <w:tab/>
      </w:r>
      <w:r>
        <w:tab/>
        <w:t>Статья 15</w:t>
      </w:r>
      <w:r>
        <w:tab/>
      </w:r>
      <w:r>
        <w:tab/>
        <w:t>806 - 877</w:t>
      </w:r>
      <w:r>
        <w:tab/>
      </w:r>
      <w:r>
        <w:rPr>
          <w:lang w:val="en-US"/>
        </w:rPr>
        <w:t>295</w:t>
      </w:r>
    </w:p>
    <w:p w:rsidR="00000000" w:rsidRDefault="00000000">
      <w:pPr>
        <w:tabs>
          <w:tab w:val="clear" w:pos="1134"/>
          <w:tab w:val="clear" w:pos="1701"/>
          <w:tab w:val="clear" w:pos="2268"/>
          <w:tab w:val="clear" w:pos="623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1122"/>
          <w:tab w:val="right" w:leader="dot" w:pos="7172"/>
          <w:tab w:val="center" w:pos="8039"/>
          <w:tab w:val="center" w:pos="9122"/>
        </w:tabs>
        <w:jc w:val="center"/>
        <w:rPr>
          <w:b/>
          <w:bCs/>
        </w:rPr>
      </w:pPr>
      <w:r>
        <w:br w:type="page"/>
      </w:r>
      <w:r>
        <w:rPr>
          <w:b/>
          <w:bCs/>
        </w:rPr>
        <w:t>Введение к докладу министра внутренних дел</w:t>
      </w:r>
    </w:p>
    <w:p w:rsidR="00000000" w:rsidRDefault="00000000">
      <w:pPr>
        <w:tabs>
          <w:tab w:val="clear" w:pos="1134"/>
          <w:tab w:val="clear" w:pos="1701"/>
          <w:tab w:val="clear" w:pos="2268"/>
          <w:tab w:val="clear" w:pos="6237"/>
          <w:tab w:val="left" w:pos="1122"/>
          <w:tab w:val="right" w:leader="dot" w:pos="7172"/>
          <w:tab w:val="center" w:pos="8039"/>
          <w:tab w:val="center" w:pos="9122"/>
        </w:tabs>
        <w:jc w:val="center"/>
        <w:rPr>
          <w:b/>
          <w:bCs/>
        </w:rPr>
      </w:pPr>
    </w:p>
    <w:p w:rsidR="00000000" w:rsidRDefault="00000000">
      <w:pPr>
        <w:tabs>
          <w:tab w:val="clear" w:pos="1134"/>
          <w:tab w:val="clear" w:pos="1701"/>
          <w:tab w:val="clear" w:pos="2268"/>
          <w:tab w:val="clear" w:pos="6237"/>
          <w:tab w:val="left" w:pos="1122"/>
          <w:tab w:val="right" w:leader="dot" w:pos="7172"/>
          <w:tab w:val="center" w:pos="8039"/>
          <w:tab w:val="center" w:pos="9122"/>
        </w:tabs>
      </w:pPr>
      <w:r>
        <w:tab/>
        <w:t>Правительство Бразилии имеет честь препроводить Комитету по экономическим, социальным и культурным правам первоначальный и периодический доклад в соответствии с Международным пактом об экономических, социальных и культурных правах.</w:t>
      </w:r>
    </w:p>
    <w:p w:rsidR="00000000" w:rsidRDefault="00000000">
      <w:pPr>
        <w:tabs>
          <w:tab w:val="clear" w:pos="1134"/>
          <w:tab w:val="clear" w:pos="1701"/>
          <w:tab w:val="clear" w:pos="2268"/>
          <w:tab w:val="clear" w:pos="623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1122"/>
          <w:tab w:val="right" w:leader="dot" w:pos="7172"/>
          <w:tab w:val="center" w:pos="8039"/>
          <w:tab w:val="center" w:pos="9122"/>
        </w:tabs>
      </w:pPr>
      <w:r>
        <w:tab/>
        <w:t>Подготовке этих докладов предшествовал широкий процесс межведомственного консультирования.  Кроме того, самой высокой оценки заслуживает вклад в подготовку доклада со стороны гражданского общества.  Все эти усилия координировались Комитетом по правам человека нижней палаты конгресса (Палатой депутатов) и получили отражение в документе, озаглавленном "Доклад гражданского общества о соблюдении Бразилией Международного пакта об экономических, социальных и культурных правах".</w:t>
      </w:r>
    </w:p>
    <w:p w:rsidR="00000000" w:rsidRDefault="00000000">
      <w:pPr>
        <w:tabs>
          <w:tab w:val="clear" w:pos="1134"/>
          <w:tab w:val="clear" w:pos="1701"/>
          <w:tab w:val="clear" w:pos="2268"/>
          <w:tab w:val="clear" w:pos="623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1122"/>
          <w:tab w:val="right" w:leader="dot" w:pos="7172"/>
          <w:tab w:val="center" w:pos="8039"/>
          <w:tab w:val="center" w:pos="9122"/>
        </w:tabs>
      </w:pPr>
      <w:r>
        <w:tab/>
        <w:t>Вышеуказанные доклады свидетельствуют о предпринимаемых правительством усилиях по выполнению обязательств перед Комитетом по экономическим, социальным и культурным правам.  Первый предварительный вариант доклада был подготовлен администрацией министра Луиса Фелипе Лампрейи на основе исследования, подготовленного Научно-исследовательским институтом прикладной экономики (ИПЕА)</w:t>
      </w:r>
      <w:r>
        <w:rPr>
          <w:b/>
          <w:bCs/>
          <w:vertAlign w:val="superscript"/>
        </w:rPr>
        <w:t>1</w:t>
      </w:r>
      <w:r>
        <w:t xml:space="preserve">. </w:t>
      </w:r>
    </w:p>
    <w:p w:rsidR="00000000" w:rsidRDefault="00000000">
      <w:pPr>
        <w:tabs>
          <w:tab w:val="clear" w:pos="1134"/>
          <w:tab w:val="clear" w:pos="1701"/>
          <w:tab w:val="clear" w:pos="2268"/>
          <w:tab w:val="clear" w:pos="6237"/>
          <w:tab w:val="left" w:pos="1122"/>
          <w:tab w:val="right" w:leader="dot" w:pos="7172"/>
          <w:tab w:val="center" w:pos="8039"/>
          <w:tab w:val="center" w:pos="9122"/>
        </w:tabs>
      </w:pPr>
    </w:p>
    <w:p w:rsidR="00000000" w:rsidRDefault="00000000">
      <w:pPr>
        <w:tabs>
          <w:tab w:val="clear" w:pos="1134"/>
          <w:tab w:val="clear" w:pos="1701"/>
          <w:tab w:val="clear" w:pos="2268"/>
          <w:tab w:val="clear" w:pos="6237"/>
          <w:tab w:val="left" w:pos="1122"/>
          <w:tab w:val="right" w:leader="dot" w:pos="7172"/>
          <w:tab w:val="center" w:pos="8039"/>
          <w:tab w:val="center" w:pos="9122"/>
        </w:tabs>
      </w:pPr>
      <w:r>
        <w:tab/>
        <w:t xml:space="preserve">В силу вышеизложенного правительство Бразилии полагает, что оно достаточно широко и подробно освещает в своем докладе права, подлежащие укреплению и защите в соответствии с Пактом, важность которых Бразилия прекрасно понимает и ценит.  Кроме того, правительство надеется, что настоящий доклад позволит Комитету получить четкое представление о достижениях в Бразилии в области прав человека, а также о стоящих перед страной проблемах и трудностях долгосрочного характера.  Кроме того, в докладе приводится информация, свидетельствующая о стремлении и готовности правительства укреплять и защищать экономические, социальные и культурные права в условиях полной демократической свободы и экономической стабильности, а также содействовать все большему вовлечению гражданского общества в деятельность по оценке и разработке осуществляемых государством стратегий.  </w:t>
      </w:r>
    </w:p>
    <w:p w:rsidR="00000000" w:rsidRDefault="00000000">
      <w:pPr>
        <w:tabs>
          <w:tab w:val="clear" w:pos="1134"/>
          <w:tab w:val="clear" w:pos="1701"/>
          <w:tab w:val="clear" w:pos="2268"/>
          <w:tab w:val="clear" w:pos="6237"/>
          <w:tab w:val="left" w:pos="1122"/>
          <w:tab w:val="right" w:leader="dot" w:pos="7172"/>
          <w:tab w:val="center" w:pos="8039"/>
          <w:tab w:val="center" w:pos="9122"/>
        </w:tabs>
      </w:pPr>
    </w:p>
    <w:p w:rsidR="00000000" w:rsidRDefault="00000000">
      <w:pPr>
        <w:pStyle w:val="16"/>
        <w:tabs>
          <w:tab w:val="clear" w:pos="1134"/>
          <w:tab w:val="clear" w:pos="1701"/>
          <w:tab w:val="clear" w:pos="2268"/>
          <w:tab w:val="clear" w:pos="6237"/>
          <w:tab w:val="left" w:pos="567"/>
          <w:tab w:val="left" w:pos="1122"/>
          <w:tab w:val="left" w:pos="6171"/>
          <w:tab w:val="center" w:pos="8039"/>
          <w:tab w:val="center" w:pos="9122"/>
        </w:tabs>
      </w:pPr>
      <w:r>
        <w:tab/>
      </w:r>
      <w:r>
        <w:tab/>
      </w:r>
      <w:r>
        <w:tab/>
        <w:t>Селсу Лафер</w:t>
      </w:r>
    </w:p>
    <w:p w:rsidR="00000000" w:rsidRDefault="00000000">
      <w:pPr>
        <w:tabs>
          <w:tab w:val="clear" w:pos="1134"/>
          <w:tab w:val="clear" w:pos="1701"/>
          <w:tab w:val="clear" w:pos="2268"/>
          <w:tab w:val="clear" w:pos="6237"/>
          <w:tab w:val="left" w:pos="1122"/>
          <w:tab w:val="left" w:pos="6171"/>
          <w:tab w:val="center" w:pos="8039"/>
          <w:tab w:val="center" w:pos="9122"/>
        </w:tabs>
        <w:jc w:val="center"/>
      </w:pPr>
      <w:r>
        <w:tab/>
      </w:r>
      <w:r>
        <w:tab/>
      </w:r>
      <w:r>
        <w:tab/>
        <w:t>Министр иностранных дел</w:t>
      </w:r>
    </w:p>
    <w:p w:rsidR="00000000" w:rsidRDefault="00000000">
      <w:pPr>
        <w:tabs>
          <w:tab w:val="clear" w:pos="1134"/>
          <w:tab w:val="clear" w:pos="1701"/>
          <w:tab w:val="clear" w:pos="2268"/>
          <w:tab w:val="clear" w:pos="6237"/>
          <w:tab w:val="left" w:pos="1122"/>
          <w:tab w:val="left" w:pos="6171"/>
          <w:tab w:val="center" w:pos="8039"/>
          <w:tab w:val="center" w:pos="9122"/>
        </w:tabs>
        <w:jc w:val="center"/>
      </w:pPr>
    </w:p>
    <w:p w:rsidR="00000000" w:rsidRDefault="00000000">
      <w:pPr>
        <w:tabs>
          <w:tab w:val="clear" w:pos="1134"/>
          <w:tab w:val="clear" w:pos="1701"/>
          <w:tab w:val="clear" w:pos="2268"/>
          <w:tab w:val="clear" w:pos="6237"/>
          <w:tab w:val="left" w:pos="1122"/>
          <w:tab w:val="left" w:pos="6171"/>
          <w:tab w:val="center" w:pos="8039"/>
          <w:tab w:val="center" w:pos="9122"/>
        </w:tabs>
        <w:jc w:val="center"/>
        <w:rPr>
          <w:b/>
          <w:bCs/>
        </w:rPr>
      </w:pPr>
      <w:r>
        <w:br w:type="page"/>
      </w:r>
      <w:r>
        <w:rPr>
          <w:b/>
          <w:bCs/>
        </w:rPr>
        <w:t>I.</w:t>
      </w:r>
      <w:r>
        <w:rPr>
          <w:b/>
          <w:bCs/>
        </w:rPr>
        <w:tab/>
        <w:t>ВВЕДЕНИЕ</w:t>
      </w:r>
    </w:p>
    <w:p w:rsidR="00000000" w:rsidRDefault="00000000">
      <w:pPr>
        <w:tabs>
          <w:tab w:val="clear" w:pos="1134"/>
          <w:tab w:val="clear" w:pos="1701"/>
          <w:tab w:val="clear" w:pos="2268"/>
          <w:tab w:val="clear" w:pos="6237"/>
          <w:tab w:val="left" w:pos="1122"/>
          <w:tab w:val="left" w:pos="6171"/>
          <w:tab w:val="center" w:pos="8039"/>
          <w:tab w:val="center" w:pos="9122"/>
        </w:tabs>
        <w:jc w:val="center"/>
        <w:rPr>
          <w:b/>
          <w:bCs/>
        </w:rPr>
      </w:pPr>
    </w:p>
    <w:p w:rsidR="00000000" w:rsidRDefault="00000000">
      <w:pPr>
        <w:tabs>
          <w:tab w:val="clear" w:pos="1134"/>
          <w:tab w:val="clear" w:pos="1701"/>
          <w:tab w:val="clear" w:pos="2268"/>
          <w:tab w:val="clear" w:pos="6237"/>
          <w:tab w:val="left" w:pos="1122"/>
          <w:tab w:val="left" w:pos="6171"/>
          <w:tab w:val="center" w:pos="8039"/>
          <w:tab w:val="center" w:pos="9122"/>
        </w:tabs>
      </w:pPr>
      <w:r>
        <w:t>1.</w:t>
      </w:r>
      <w:r>
        <w:tab/>
        <w:t>Правительство Бразилии имеет честь представить Комитету по экономическим, социальным и культурным правам свой первоначальный доклад в соответствии со статьей</w:t>
      </w:r>
      <w:r>
        <w:rPr>
          <w:lang w:val="en-US"/>
        </w:rPr>
        <w:t> </w:t>
      </w:r>
      <w:r>
        <w:t>16 Международного пакта об экономических, социальных и культурных правах.</w:t>
      </w:r>
    </w:p>
    <w:p w:rsidR="00000000" w:rsidRDefault="00000000">
      <w:pPr>
        <w:tabs>
          <w:tab w:val="clear" w:pos="1134"/>
          <w:tab w:val="clear" w:pos="1701"/>
          <w:tab w:val="clear" w:pos="2268"/>
          <w:tab w:val="clear" w:pos="6237"/>
          <w:tab w:val="left" w:pos="1122"/>
          <w:tab w:val="left" w:pos="6171"/>
          <w:tab w:val="center" w:pos="8039"/>
          <w:tab w:val="center" w:pos="9122"/>
        </w:tabs>
      </w:pPr>
    </w:p>
    <w:p w:rsidR="00000000" w:rsidRDefault="00000000">
      <w:pPr>
        <w:tabs>
          <w:tab w:val="clear" w:pos="1134"/>
          <w:tab w:val="clear" w:pos="1701"/>
          <w:tab w:val="clear" w:pos="2268"/>
          <w:tab w:val="clear" w:pos="6237"/>
          <w:tab w:val="left" w:pos="1122"/>
          <w:tab w:val="left" w:pos="6171"/>
          <w:tab w:val="center" w:pos="8039"/>
          <w:tab w:val="center" w:pos="9122"/>
        </w:tabs>
      </w:pPr>
      <w:r>
        <w:t>2.</w:t>
      </w:r>
      <w:r>
        <w:tab/>
        <w:t>Однако прежде всего правительство Бразилии хотело бы извиниться за задержки с представлением доклада.  К числу факторов, мешавших своевременному представлению настоящего доклада, относятся, в частности, важность охватываемых Пактом прав, максимально широкое отражение характера этих прав в любой осуществляемой государством деятельности, а также присущие Бразилии проблемы географического, административного и политического характера.  Тем не менее были предприняты все усилия для подготовки детального доклада, в котором рассказывается не только об очевидном прогрессе Бразилии в области поощрения и защиты предусмотренных в Международном пакте прав, но и уделяется надлежащее внимание анализу еще не решенных страной проблем.  Кроме того, этот доклад служит очередным подтверждением однозначной приверженности Бразилии деятельности, целью которой является полное осуществление соответствующих прав человека.</w:t>
      </w:r>
    </w:p>
    <w:p w:rsidR="00000000" w:rsidRDefault="00000000">
      <w:pPr>
        <w:tabs>
          <w:tab w:val="clear" w:pos="1134"/>
          <w:tab w:val="clear" w:pos="1701"/>
          <w:tab w:val="clear" w:pos="2268"/>
          <w:tab w:val="clear" w:pos="6237"/>
          <w:tab w:val="left" w:pos="1122"/>
          <w:tab w:val="left" w:pos="6171"/>
          <w:tab w:val="center" w:pos="8039"/>
          <w:tab w:val="center" w:pos="9122"/>
        </w:tabs>
      </w:pPr>
    </w:p>
    <w:p w:rsidR="00000000" w:rsidRDefault="00000000">
      <w:pPr>
        <w:tabs>
          <w:tab w:val="clear" w:pos="1134"/>
          <w:tab w:val="clear" w:pos="1701"/>
          <w:tab w:val="clear" w:pos="2268"/>
          <w:tab w:val="clear" w:pos="6237"/>
          <w:tab w:val="left" w:pos="1122"/>
          <w:tab w:val="left" w:pos="6171"/>
          <w:tab w:val="center" w:pos="8039"/>
          <w:tab w:val="center" w:pos="9122"/>
        </w:tabs>
      </w:pPr>
      <w:r>
        <w:t>3.</w:t>
      </w:r>
      <w:r>
        <w:tab/>
        <w:t xml:space="preserve">Были предприняты все усилия для сбора широкого спектра данных и подробного освещения периодов, охватывающих несколько десятилетий.  В этой связи правительство Бразилии обращается к Комитету с настоятельной просьбой считать, что настоящий доклад удовлетворяет не только предусмотренному в Международном пакте требованию в отношении представления первоначального доклада, но и обязательству периодически представлять обновленные доклады вплоть до нынешнего года.  </w:t>
      </w:r>
    </w:p>
    <w:p w:rsidR="00000000" w:rsidRDefault="00000000">
      <w:pPr>
        <w:tabs>
          <w:tab w:val="clear" w:pos="1134"/>
          <w:tab w:val="clear" w:pos="1701"/>
          <w:tab w:val="clear" w:pos="2268"/>
          <w:tab w:val="clear" w:pos="6237"/>
          <w:tab w:val="left" w:pos="1122"/>
          <w:tab w:val="left" w:pos="6171"/>
          <w:tab w:val="center" w:pos="8039"/>
          <w:tab w:val="center" w:pos="9122"/>
        </w:tabs>
        <w:spacing w:line="216" w:lineRule="auto"/>
      </w:pPr>
    </w:p>
    <w:p w:rsidR="00000000" w:rsidRDefault="00000000">
      <w:pPr>
        <w:pStyle w:val="Heading4"/>
        <w:tabs>
          <w:tab w:val="clear" w:pos="6237"/>
          <w:tab w:val="left" w:pos="567"/>
          <w:tab w:val="left" w:pos="1122"/>
          <w:tab w:val="left" w:pos="6171"/>
          <w:tab w:val="center" w:pos="8039"/>
          <w:tab w:val="center" w:pos="9122"/>
        </w:tabs>
        <w:suppressAutoHyphens w:val="0"/>
        <w:jc w:val="center"/>
        <w:rPr>
          <w:bCs/>
          <w:iCs/>
          <w:sz w:val="24"/>
        </w:rPr>
      </w:pPr>
      <w:r>
        <w:rPr>
          <w:bCs/>
          <w:iCs/>
          <w:sz w:val="24"/>
        </w:rPr>
        <w:t>Бразилия и права человека</w:t>
      </w:r>
    </w:p>
    <w:p w:rsidR="00000000" w:rsidRDefault="00000000">
      <w:pPr>
        <w:pStyle w:val="Heading4"/>
        <w:tabs>
          <w:tab w:val="clear" w:pos="6237"/>
          <w:tab w:val="left" w:pos="567"/>
          <w:tab w:val="left" w:pos="1122"/>
          <w:tab w:val="left" w:pos="6171"/>
          <w:tab w:val="center" w:pos="8039"/>
          <w:tab w:val="center" w:pos="9122"/>
        </w:tabs>
        <w:suppressAutoHyphens w:val="0"/>
        <w:jc w:val="left"/>
        <w:rPr>
          <w:bCs/>
          <w:i/>
          <w:sz w:val="24"/>
        </w:rPr>
      </w:pPr>
    </w:p>
    <w:p w:rsidR="00000000" w:rsidRDefault="00000000">
      <w:pPr>
        <w:tabs>
          <w:tab w:val="clear" w:pos="1701"/>
          <w:tab w:val="clear" w:pos="2268"/>
          <w:tab w:val="clear" w:pos="6237"/>
          <w:tab w:val="left" w:pos="6171"/>
          <w:tab w:val="center" w:pos="8039"/>
          <w:tab w:val="center" w:pos="9122"/>
        </w:tabs>
      </w:pPr>
      <w:r>
        <w:t>4.</w:t>
      </w:r>
      <w:r>
        <w:tab/>
        <w:t xml:space="preserve">Предпринимаемые в Бразилии усилия по совершенствованию демократических институтов и укреплению гражданского общества сопровождаются деятельностью по уделению более пристального внимания правам человека в целом и экономическим, социальным и культурным правам в частности.  </w:t>
      </w:r>
    </w:p>
    <w:p w:rsidR="00000000" w:rsidRDefault="00000000">
      <w:pPr>
        <w:tabs>
          <w:tab w:val="clear" w:pos="1134"/>
          <w:tab w:val="clear" w:pos="1701"/>
          <w:tab w:val="clear" w:pos="2268"/>
          <w:tab w:val="clear" w:pos="6237"/>
          <w:tab w:val="left" w:pos="1122"/>
          <w:tab w:val="left" w:pos="6171"/>
          <w:tab w:val="center" w:pos="8039"/>
          <w:tab w:val="center" w:pos="9122"/>
        </w:tabs>
      </w:pPr>
    </w:p>
    <w:p w:rsidR="00000000" w:rsidRDefault="00000000">
      <w:r>
        <w:t>5.</w:t>
      </w:r>
      <w:r>
        <w:tab/>
        <w:t>Бразилия является участником всех основных международных и региональных договоров, целью которых является укрепление и защита прав человека.  В ходе организуемых в стране и за рубежом форумов правительство неизменно признает правомерную озабоченность международного сообщества состоянием прав человека в любых регионах мира.  Бразилия считает, что для целей эффективной защиты и поощрения таких прав нации должны развивать сотрудничество между собой и с Организацией Объединенных Наций.  Кроме того, Бразилия рассматривает права человека в качестве универсальной концепции, что делает невозможным их отмену, пересмотр или ограничение, обусловленные какими бы то ни было местными особенностями.  И наконец, следует отметить третий постулат, лежащий в основе проводимой Бразилией политики:  принцип неделимости и взаимозависимости  всех прав человека, согласно которому приоритет не может отдаваться одной группе прав в ущерб другой.</w:t>
      </w:r>
    </w:p>
    <w:p w:rsidR="00000000" w:rsidRDefault="00000000"/>
    <w:p w:rsidR="00000000" w:rsidRDefault="00000000">
      <w:r>
        <w:t>6.</w:t>
      </w:r>
      <w:r>
        <w:tab/>
        <w:t>Бразилия активно участвует в форумах по поощрению и защите прав человека;  она поддерживает открытый, конструктивный и транспарентный диалог с международными договорными органами и многочисленными механизмами Комиссии по правам человека, членом которой она является.</w:t>
      </w:r>
    </w:p>
    <w:p w:rsidR="00000000" w:rsidRDefault="00000000"/>
    <w:p w:rsidR="00000000" w:rsidRDefault="00000000">
      <w:r>
        <w:t>7.</w:t>
      </w:r>
      <w:r>
        <w:tab/>
        <w:t>На национальном уровне был достигнут значительный прогресс в области укрепления и защиты прав человека.  В этой связи следует особо упомянуть о Федеральной конституции, принятой в 1988 году.  В тексте Конституции содержится целый ряд положений, содействующих укреплению и защите прав человека и служащих источником вдохновения и основой для дальнейшего совершенствования законодательства</w:t>
      </w:r>
      <w:r>
        <w:rPr>
          <w:b/>
          <w:bCs/>
          <w:vertAlign w:val="superscript"/>
        </w:rPr>
        <w:t>2</w:t>
      </w:r>
      <w:r>
        <w:t>.</w:t>
      </w:r>
    </w:p>
    <w:p w:rsidR="00000000" w:rsidRDefault="00000000"/>
    <w:p w:rsidR="00000000" w:rsidRDefault="00000000">
      <w:r>
        <w:t>8.</w:t>
      </w:r>
      <w:r>
        <w:tab/>
        <w:t>Бразилия принимала активное участие во Всемирной конференции по правам человека, состоявшейся в Вене в 1993 году.  Во исполнение принятых в Вене рекомендаций Бразилия учредила Государственный секретариат по правам человека в качестве органа министерского уровня.  Кроме того, в министерстве иностранных дел был создан специальный департамент по правам человека.  Во исполнение принятых в Вене решений правительство инициировало интенсивный консультативный процесс, включая консультации с представителями гражданского общества, в результате которого в мае 1996 года была учреждена Национальная программа по правам человека.</w:t>
      </w:r>
    </w:p>
    <w:p w:rsidR="00000000" w:rsidRDefault="00000000"/>
    <w:p w:rsidR="00000000" w:rsidRDefault="00000000">
      <w:r>
        <w:t>9.</w:t>
      </w:r>
      <w:r>
        <w:tab/>
        <w:t xml:space="preserve">К числу приоритетных направлений деятельности в рамках Национальной программы по правам человека относятся, в частности, следующие меры:  а)  утверждение представленного администрацией в 1996 году законопроекта о внесении в Конституцию изменений, предусматривающих рассмотрение дел, связанных с преступлениями против прав человека, органами федеральной системы юстиции;  </w:t>
      </w:r>
      <w:r>
        <w:rPr>
          <w:lang w:val="en-US"/>
        </w:rPr>
        <w:t>b</w:t>
      </w:r>
      <w:r>
        <w:t>)</w:t>
      </w:r>
      <w:r>
        <w:rPr>
          <w:lang w:val="en-US"/>
        </w:rPr>
        <w:t>  </w:t>
      </w:r>
      <w:r>
        <w:t xml:space="preserve">утверждение законопроекта, предусматривающего передачу дел о преступлениях, совершенных военнослужащими и сотрудниками полиции, судебным органом общей юрисдикции;  с)  принятие законодательства, расширяющего возможность применения альтернативных мер наказания;  </w:t>
      </w:r>
      <w:r>
        <w:rPr>
          <w:lang w:val="en-US"/>
        </w:rPr>
        <w:t>d</w:t>
      </w:r>
      <w:r>
        <w:t>)</w:t>
      </w:r>
      <w:r>
        <w:rPr>
          <w:lang w:val="en-US"/>
        </w:rPr>
        <w:t>  </w:t>
      </w:r>
      <w:r>
        <w:t xml:space="preserve">разработка и последующее принятие мер по реформированию Совета по защите прав человека в целях обеспечения более широкого участия гражданского общества в проводимой государством деятельности при одновременном совершенствовании методов совместной работы;  е)  расширение охвата программы защиты свидетелей и программы защиты жертв преступлений и членов их семьи в рамках совместных усилий администрации штатов и общественных организаций по борьбе с безнаказанностью;  </w:t>
      </w:r>
      <w:r>
        <w:rPr>
          <w:lang w:val="en-US"/>
        </w:rPr>
        <w:t>f</w:t>
      </w:r>
      <w:r>
        <w:t>)</w:t>
      </w:r>
      <w:r>
        <w:rPr>
          <w:lang w:val="en-US"/>
        </w:rPr>
        <w:t>  </w:t>
      </w:r>
      <w:r>
        <w:t>содействие осуществлению новаторских программ реабилитации молодых правонарушителей через общественно полезный труд на уровне общин, организация для них курсов профессионально-технической и общеобразовательной подготовки и оказание поддержки семьям и пострадавшим.  В ходе реализации Национальной программы по правам человека были достигнуты огромные успехи, к числу которых относится разработка целого ряда мер по укреплению и защите прав человека и более глубокое осознание общественностью важности учета прав человека во всех направлениях деятельности правительства.</w:t>
      </w:r>
    </w:p>
    <w:p w:rsidR="00000000" w:rsidRDefault="00000000"/>
    <w:p w:rsidR="00000000" w:rsidRDefault="00000000">
      <w:r>
        <w:t>10.</w:t>
      </w:r>
      <w:r>
        <w:tab/>
        <w:t>Государству надлежит принять меры, направленные на децентрализацию власти, содействие интенсивному увеличению числа неправительственных форумов и объединений и расширению сферы их деятельности, а также на создание механизмов, позволяющих учитывать мнения гражданских и общественных организаций и ассоциаций.  Естественно, что такие усилия могут принести пользу только в том случае, если гражданское общество и его законные представители будут принимать более широкое и систематическое участие в том необходимом диалоге, который правительству следует как можно шире внедрять в процесс планирования и осуществления государственной политики.  Применение такого подхода имеет особо важное значение в контексте стратегий, направленных на борьбу с нищетой и социальной обездоленностью.</w:t>
      </w:r>
    </w:p>
    <w:p w:rsidR="00000000" w:rsidRDefault="00000000"/>
    <w:p w:rsidR="00000000" w:rsidRDefault="00000000">
      <w:r>
        <w:t>11.</w:t>
      </w:r>
      <w:r>
        <w:tab/>
        <w:t>Не так давно представители гражданского общества Бразилии и члены Конгресса направили в Комитет документ, озаглавленный "Доклад гражданского общества о соблюдении Бразилией Международного пакта об экономических, социальных и культурных правах".  В этом документе содержатся конкретные факты, свидетельствующие о все более активном участии широкой общественности в обсуждении самых актуальных вопросов.</w:t>
      </w:r>
    </w:p>
    <w:p w:rsidR="00000000" w:rsidRDefault="00000000"/>
    <w:p w:rsidR="00000000" w:rsidRDefault="00000000">
      <w:r>
        <w:t>12.</w:t>
      </w:r>
      <w:r>
        <w:tab/>
        <w:t>Правительство Бразилии хотело бы поблагодарить Палату депутатов и, в частности, ее Комитет по правам человека за усилия, направленные на укрепление позиции, согласно которой такие доклады по правам человека могут играть роль важных и конструктивных инструментов для целей анализа, диагностики и поддержки процесса формирования государственной политики.</w:t>
      </w:r>
    </w:p>
    <w:p w:rsidR="00000000" w:rsidRDefault="00000000"/>
    <w:p w:rsidR="00000000" w:rsidRDefault="00000000">
      <w:r>
        <w:t>13.</w:t>
      </w:r>
      <w:r>
        <w:tab/>
        <w:t>Из содержания вышеупомянутого документа следует, что дебаты по экономическим, социальным и культурным правам свидетельствует о стремлении правительства способствовать расширению участия общественности в жизни страны.  Кроме того, такие дебаты проводятся во исполнение соответствующих рекомендаций комитетов, являющихся частью системы Организации Объединенных Наций по поощрению и защите прав человека, включая, в частности, Комитет по экономическим, социальным и культурным правам.</w:t>
      </w:r>
    </w:p>
    <w:p w:rsidR="00000000" w:rsidRDefault="00000000"/>
    <w:p w:rsidR="00000000" w:rsidRDefault="00000000">
      <w:r>
        <w:t>14.</w:t>
      </w:r>
      <w:r>
        <w:tab/>
        <w:t>К числу проблем, заслуживающих особого внимания со стороны гражданского общества Бразилии, относятся, в частности, вопросы, касающиеся глобализации, ее значения и воздействия.  В вышеупомянутом докладе гражданского общества эта проблема затрагивается неоднократно.  Правительство Бразилии разделяет ряд этих озабоченностей и предпринимает шаги, направленные на предупреждение, сокращение или смягчение неблагоприятного воздействия на права человека происходящих в различных районах мира структурных изменений.  С учетом этих разделяемых озабоченностей правительство Бразилии стремится донести до участников важных международных форумов мысль о необходимости осуществления политики глобализации на принципах сбалансированности и взаимопомощи.  Бразилия предложила Верховному комиссару по правам человека провести семинар по проблеме глобализации и правам человека в целях активизации дебатов международного сообщества по данному вопросу.</w:t>
      </w:r>
    </w:p>
    <w:p w:rsidR="00000000" w:rsidRDefault="00000000"/>
    <w:p w:rsidR="00000000" w:rsidRDefault="00000000">
      <w:r>
        <w:t>15.</w:t>
      </w:r>
      <w:r>
        <w:tab/>
        <w:t>Глобализация, несомненно, является сложным явлением, на что указывал сам Комитет по экономическим, социальным и культурным правам в мае 1988 года в своей декларации, озаглавленной "Глобализация и экономические, социальные и культурные права - заявление Комитета по экономическим, социальным и культурным правам".  С учетом важности этого документа и полного соответствия его содержания позиции правительства Бразилии по проблеме глобализации ниже приводится пункт 4 вышеуказанной Декларации:</w:t>
      </w:r>
    </w:p>
    <w:p w:rsidR="00000000" w:rsidRDefault="00000000"/>
    <w:p w:rsidR="00000000" w:rsidRDefault="00000000">
      <w:pPr>
        <w:ind w:left="567" w:hanging="567"/>
      </w:pPr>
      <w:r>
        <w:tab/>
      </w:r>
      <w:r>
        <w:tab/>
        <w:t>"Все эти опасности могут быть исключены или компенсированы благодаря проведению соответствующей политики.  Вместе с тем Комитет озабочен тем, что, хотя правительство тратит много энергии и ресурсов на развитие тенденций и политики, связанных с глобализацией, недостаточные усилия предпринимаются для выработки новых или дополнительных подходов, которые могли бы повысить совместимость этих тенденций и политики с неукоснительным уважением экономических, социальных и культурных прав.  Нельзя допустить того, чтобы конкурентоспособность, эффективность и экономическая рациональность стали главным или единственным критерием оценки политики правительств и межправительственных органов".</w:t>
      </w:r>
    </w:p>
    <w:p w:rsidR="00000000" w:rsidRDefault="00000000">
      <w:pPr>
        <w:ind w:left="567" w:hanging="567"/>
      </w:pPr>
    </w:p>
    <w:p w:rsidR="00000000" w:rsidRDefault="00000000">
      <w:r>
        <w:t>16.</w:t>
      </w:r>
      <w:r>
        <w:tab/>
        <w:t>В настоящее время Бразилией предпринимаются усилия по осуществлению на национальном уровне реформ по модернизации экономики Бразилии, при этом не упускается из виду необходимость обеспечения того, чтобы в ходе программ структурной перестройки решались задачи социального развития, включая, в частности, борьбу с нищетой и обездоленностью.  Подробная информация по этим вопросам содержится в соответствующих разделах настоящего доклада по конкретным статьям Международного пакта об экономических, социальных и культурных правах.</w:t>
      </w:r>
    </w:p>
    <w:p w:rsidR="00000000" w:rsidRDefault="00000000"/>
    <w:p w:rsidR="00000000" w:rsidRDefault="00000000">
      <w:r>
        <w:t>17.</w:t>
      </w:r>
      <w:r>
        <w:tab/>
        <w:t>Одним из примеров такого подхода является создание так называемой "Сети социальной безопасности", которая охватывает 22 государственные программы базового социального обслуживания малоимущих групп населения и которая была создана в 1999 году в рамках договора о предоставлении кредитов, заключенного между Бразилией и Межамериканским банком развития (МБР).  Хотя становление этой системы пришлось на период жестких бюджетных ограничений, усугубляемых чередой международных финансовых кризисов конца 90-х годов, Сеть социальной безопасности обеспечивала гарантированное поступление средств на цели осуществления социальных программ.  Контрактные обязательства предусматривали выделение на эти цели 11,3 млрд. реалов в год, однако фактический объем инвестиций на осуществление всего комплекса социальных программ составлял 11,8 млрд. реалов в год, что соответствовало 104% объема целевого показателя.  Реальные результаты осуществления почти всех проектных мероприятий превзошли предусмотренные целевые показатели.  По линии Сети социальной безопасности в 1999 году было распространено 72,6 млн. учебников для школ;  была проведена вакцинация 16,8 млн. беременных женщин и детей;  2,6 млн. трудящихся прошли курсы профессионально-технической подготовки;  в школы удалось вернуть 145 000 детей и подростков, которые в течение целого ряда лет были вынуждены заниматься тяжелым и унижающим их достоинство трудом.</w:t>
      </w:r>
    </w:p>
    <w:p w:rsidR="00000000" w:rsidRDefault="00000000"/>
    <w:p w:rsidR="00000000" w:rsidRDefault="00000000">
      <w:r>
        <w:t>18.</w:t>
      </w:r>
      <w:r>
        <w:tab/>
        <w:t>До перехода к осуществлению широкомасштабных социальных стратегий Бразилии необходимо было решить целый ряд серьезных проблем, обусловленных осуществлением программ перестройки налоговой системы и последствиями международных финансовых кризисов.  Тем не менее расходы федерального правительства на социальные программы продолжали расти:  если в 1993 году они составляли 77,7 млрд. реалов, то в 1998 году они достигли 114,7 млрд. реалов.  Подтверждением этого роста служило стабильное увеличение федеральных расходов на социальные программы в расчете на душу населения:  в 1993 году </w:t>
      </w:r>
      <w:r>
        <w:sym w:font="Symbol" w:char="F02D"/>
      </w:r>
      <w:r>
        <w:t xml:space="preserve"> 515,2 реала, а в 1998 году </w:t>
      </w:r>
      <w:r>
        <w:sym w:font="Symbol" w:char="F02D"/>
      </w:r>
      <w:r>
        <w:t xml:space="preserve"> 710,7 реала.  Доля расходов Бразилии на социальные программы в процентах от ВВП неизменно находилась на уровне приблизительно 21%;  следует отметить, что данный показатель является одним из самых высоких среди стран Латинской Америки.</w:t>
      </w:r>
    </w:p>
    <w:p w:rsidR="00000000" w:rsidRDefault="00000000"/>
    <w:p w:rsidR="00000000" w:rsidRDefault="00000000">
      <w:r>
        <w:t>19.</w:t>
      </w:r>
      <w:r>
        <w:tab/>
        <w:t>Повышение эффективности социальной системы являлось следствием осуществления институциональных реформ, затрагивающих базовую систему социального обслуживания, включая, в частности, сферы социального обеспечения, медицинского обслуживания, попечения и образования.  Соответствующие преобразования носили глубокий и широкий характер и предусматривали, в частности, осуществление работы по целому ряду перспективных направлений:  повышение качества и расширение системы обслуживания путем ликвидации социально неадекватных механизмов, затрудняющих равноправный доступ к льготам в рамках этих программ;  усиление децентрализации и контроля со стороны общества за осуществлением таких программ;  введение ограничений на использование традиционной практики непотизма в целях усиления редистрибутивного воздействия осуществляемых правительством программ.</w:t>
      </w:r>
    </w:p>
    <w:p w:rsidR="00000000" w:rsidRDefault="00000000"/>
    <w:p w:rsidR="00000000" w:rsidRDefault="00000000">
      <w:r>
        <w:t>20.</w:t>
      </w:r>
      <w:r>
        <w:tab/>
        <w:t>В завершение вводной части к настоящему докладу правительство Бразилии хотело бы обратить внимание на два аспекта методологического характера.</w:t>
      </w:r>
    </w:p>
    <w:p w:rsidR="00000000" w:rsidRDefault="00000000"/>
    <w:p w:rsidR="00000000" w:rsidRDefault="00000000">
      <w:r>
        <w:t>21.</w:t>
      </w:r>
      <w:r>
        <w:tab/>
        <w:t>Первый аспект заключается в сложности неукоснительного следования перечню вопросов, содержащихся в руководящих принципах Комитета в отношении формы и содержания представляемых докладов (документ HRI/GEN/2, 14 апреля 2000 года).  Огромное количество охватываемых Международным пактом прав неизменно носит весьма широкий, а иногда и взаимозависимый характер.  Вполне естественно, что эти права могут охватывать сразу несколько вопросов.  В этой связи в ряде случаев приходилось переносить рассмотрение какого-либо конкретного вопроса в другой раздел доклада в целях обеспечения логической и методологической последовательности.</w:t>
      </w:r>
    </w:p>
    <w:p w:rsidR="00000000" w:rsidRDefault="00000000"/>
    <w:p w:rsidR="00000000" w:rsidRDefault="00000000">
      <w:r>
        <w:t>22.</w:t>
      </w:r>
      <w:r>
        <w:tab/>
        <w:t>Второй аспект касается использованных данных.  В настоящее время Бразилия продолжает проводить общенациональную перепись населения.  Такая перепись проводится раз в десять лет и позволяет получить более полное представление о реальном состоянии бразильского общества и, кроме того, надлежащим образом оценить результаты осуществляемых государством стратегий.  Вместе с тем правительство располагает результатами ежегодных обзоров по различным секторам, которые и использовались в ходе подготовки настоящего доклада.  Возможно, что результаты более широкого и подробного исследования общенационального уровня, которые будут обнародованы в следующем году, позволят скорректировать некоторые оценки, содержащиеся в настоящем докладе, а в некоторых случаях дополнительно прояснить ситуацию.</w:t>
      </w:r>
    </w:p>
    <w:p w:rsidR="00000000" w:rsidRDefault="00000000"/>
    <w:p w:rsidR="00000000" w:rsidRDefault="00000000">
      <w:pPr>
        <w:jc w:val="center"/>
        <w:rPr>
          <w:b/>
          <w:bCs/>
        </w:rPr>
      </w:pPr>
      <w:r>
        <w:rPr>
          <w:b/>
          <w:bCs/>
        </w:rPr>
        <w:t>II.</w:t>
      </w:r>
      <w:r>
        <w:rPr>
          <w:b/>
          <w:bCs/>
        </w:rPr>
        <w:tab/>
        <w:t>ОБЩАЯ ИНФОРМАЦИЯ О БРАЗИЛИИ</w:t>
      </w:r>
    </w:p>
    <w:p w:rsidR="00000000" w:rsidRDefault="00000000">
      <w:pPr>
        <w:jc w:val="center"/>
        <w:rPr>
          <w:b/>
          <w:bCs/>
        </w:rPr>
      </w:pPr>
    </w:p>
    <w:p w:rsidR="00000000" w:rsidRDefault="00000000">
      <w:r>
        <w:t>23.</w:t>
      </w:r>
      <w:r>
        <w:tab/>
        <w:t>В сентябре 1994 года Бразилия представила свой базовый доклад (HRI/CORE/1/Add.53), в котором содержится общая информация о стране.  Этот доклад был опубликован 10 января 1995 года.  В настоящее время Бразилия продолжает проводить общенациональную перепись населения, результаты и оценки которой станут известны через несколько месяцев.  Обновленный обзор данных общенационального масштаба по Бразилии, несомненно, приведет к корректировке подхода к анализу ряда конкретных вопросов.  Новые данные позволят уточнить общую картину и оценить динамику усилий в области поощрения и защиты экономических, социальных и культурных прав.</w:t>
      </w:r>
    </w:p>
    <w:p w:rsidR="00000000" w:rsidRDefault="00000000"/>
    <w:p w:rsidR="00000000" w:rsidRDefault="00000000">
      <w:r>
        <w:t>24.</w:t>
      </w:r>
      <w:r>
        <w:tab/>
        <w:t>В подтверждение важности обновленных статистических данных по Бразилии можно отметить, что согласно результатам последней переписи, состоявшейся в 1996 году, население Бразилии составляло 157 млн. человек (77,4 млн. мужчин и 79,6 млн. женщин).  Согласно последним предварительным данным, по состоянию на текущий год численность населения составляет 164 млн. человек.  Опираясь на результаты двух переписей населения, можно предположить, что с учетом того, что в 1990 году доля городских жителей составляла 72,6% от общей численности населения Бразилии, к концу текущего года эта цифра может достичь 76,4%.</w:t>
      </w:r>
    </w:p>
    <w:p w:rsidR="00000000" w:rsidRDefault="00000000"/>
    <w:p w:rsidR="00000000" w:rsidRDefault="00000000">
      <w:r>
        <w:t>25.</w:t>
      </w:r>
      <w:r>
        <w:tab/>
        <w:t>В целях сведения к минимуму ошибок, обусловленных наличием разрыва между развернутыми статистическими данными по Бразилии, полученными в результате переписи населения 1996 года, и данными, отражающими сегодняшнюю реальность, приводимая в настоящем докладе информация по конкретным статьям Пакта основывается на более новых данных по конкретным секторам.</w:t>
      </w:r>
    </w:p>
    <w:p w:rsidR="00000000" w:rsidRDefault="00000000"/>
    <w:p w:rsidR="00000000" w:rsidRDefault="00000000">
      <w:r>
        <w:t>26.</w:t>
      </w:r>
      <w:r>
        <w:tab/>
        <w:t>В справочных целях в докладе приводится также самая последняя информация об институциональной и юридической основе поощрения и защиты прав, закрепленных в Международном пакте об экономических, социальных и культурных правах.  С учетом результатов Всемирной конференции по правам человека, состоявшейся в Вене в 1993 году, в министерстве иностранных дел Бразилии был создан департамент по правам человека и социальным вопросам.  Кроме того, на уровне высших административных структур исполнительной власти был учрежден Государственный секретариат по правам человека.  Следует также отметить, что Бразилия вошла в число зачинателей процесса разработки и утверждения национального плана по правам человек на федеральном уровне.  Этот документ, призванный содействовать подведению итогов, взятию обязательств и осуществлению практических мероприятий, в настоящее время пересматривается и дорабатывается с учетом накопленного опыта и эволюции самой концепции прав человека.</w:t>
      </w:r>
    </w:p>
    <w:p w:rsidR="00000000" w:rsidRDefault="00000000"/>
    <w:p w:rsidR="00000000" w:rsidRDefault="00000000">
      <w:r>
        <w:t>27.</w:t>
      </w:r>
      <w:r>
        <w:tab/>
        <w:t>Ниже приводятся таблицы, содержащие обновленные данные о демографическом составе и географическом распределении населения Бразилии, объеме валового внутреннего продукта, объеме ВВП на душу населения, сумме прямых иностранных инвестиций, национальной программе приватизации, торговом балансе Бразилии, внешнеэкономических показателях, официальном уровне безработицы по конкретным промышленным секторам, официальном уровне безработицы в разбивке по регионам, программе профессионально-технической подготовки, договоренностях в рамках аграрной реформы, экспроприации земель в рамках аграрной реформы, числе учащихся на начальном уровне системы образования (1</w:t>
      </w:r>
      <w:r>
        <w:noBreakHyphen/>
        <w:t>8 классы), высшем образовании, количестве работников общинных медицинских учреждений, группах охраны здоровья семьи и программах искоренения детского труда.</w:t>
      </w:r>
    </w:p>
    <w:p w:rsidR="00000000" w:rsidRDefault="00000000">
      <w:pPr>
        <w:spacing w:line="240" w:lineRule="auto"/>
        <w:rPr>
          <w:sz w:val="16"/>
        </w:rPr>
      </w:pPr>
    </w:p>
    <w:p w:rsidR="00000000" w:rsidRDefault="00000000">
      <w:pPr>
        <w:keepNext/>
        <w:tabs>
          <w:tab w:val="clear" w:pos="1134"/>
          <w:tab w:val="left" w:pos="1309"/>
        </w:tabs>
        <w:spacing w:line="240" w:lineRule="auto"/>
        <w:jc w:val="center"/>
      </w:pPr>
      <w:r>
        <w:rPr>
          <w:b/>
          <w:bCs/>
        </w:rPr>
        <w:t>Таблица 1.   Население и территория</w:t>
      </w:r>
      <w:r>
        <w:t>*</w:t>
      </w:r>
    </w:p>
    <w:p w:rsidR="00000000" w:rsidRDefault="00000000">
      <w:pPr>
        <w:pStyle w:val="16"/>
        <w:keepNext/>
        <w:spacing w:line="240" w:lineRule="auto"/>
        <w:rPr>
          <w:b/>
          <w:bCs/>
        </w:rPr>
      </w:pPr>
      <w:r>
        <w:rPr>
          <w:b/>
          <w:bCs/>
        </w:rPr>
        <w:t>(по состоянию на февраль 2000 года)</w:t>
      </w:r>
    </w:p>
    <w:p w:rsidR="00000000" w:rsidRDefault="00000000">
      <w:pPr>
        <w:pStyle w:val="16"/>
        <w:keepNext/>
        <w:spacing w:line="240" w:lineRule="auto"/>
        <w:rPr>
          <w:sz w:val="16"/>
        </w:rPr>
      </w:pPr>
    </w:p>
    <w:tbl>
      <w:tblPr>
        <w:tblW w:w="0" w:type="auto"/>
        <w:tblInd w:w="10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6" w:type="dxa"/>
          <w:bottom w:w="28" w:type="dxa"/>
          <w:right w:w="56" w:type="dxa"/>
        </w:tblCellMar>
        <w:tblLook w:val="0000" w:firstRow="0" w:lastRow="0" w:firstColumn="0" w:lastColumn="0" w:noHBand="0" w:noVBand="0"/>
      </w:tblPr>
      <w:tblGrid>
        <w:gridCol w:w="3793"/>
        <w:gridCol w:w="1943"/>
        <w:gridCol w:w="2171"/>
      </w:tblGrid>
      <w:tr w:rsidR="00000000">
        <w:tc>
          <w:tcPr>
            <w:tcW w:w="3793" w:type="dxa"/>
            <w:vAlign w:val="center"/>
          </w:tcPr>
          <w:p w:rsidR="00000000" w:rsidRDefault="00000000">
            <w:pPr>
              <w:pStyle w:val="FootnoteText"/>
              <w:keepNext/>
              <w:jc w:val="center"/>
            </w:pPr>
            <w:r>
              <w:t>Регионы</w:t>
            </w:r>
          </w:p>
        </w:tc>
        <w:tc>
          <w:tcPr>
            <w:tcW w:w="1943" w:type="dxa"/>
            <w:vAlign w:val="center"/>
          </w:tcPr>
          <w:p w:rsidR="00000000" w:rsidRDefault="00000000">
            <w:pPr>
              <w:pStyle w:val="16"/>
              <w:keepNext/>
              <w:tabs>
                <w:tab w:val="clear" w:pos="567"/>
                <w:tab w:val="clear" w:pos="1134"/>
                <w:tab w:val="clear" w:pos="1701"/>
                <w:tab w:val="clear" w:pos="2268"/>
                <w:tab w:val="clear" w:pos="6237"/>
                <w:tab w:val="right" w:pos="5103"/>
              </w:tabs>
              <w:spacing w:line="240" w:lineRule="auto"/>
            </w:pPr>
            <w:r>
              <w:t>Население</w:t>
            </w:r>
          </w:p>
        </w:tc>
        <w:tc>
          <w:tcPr>
            <w:tcW w:w="2171" w:type="dxa"/>
            <w:vAlign w:val="center"/>
          </w:tcPr>
          <w:p w:rsidR="00000000" w:rsidRDefault="00000000">
            <w:pPr>
              <w:keepNext/>
              <w:spacing w:line="240" w:lineRule="auto"/>
              <w:jc w:val="center"/>
            </w:pPr>
            <w:r>
              <w:t>Территория (км</w:t>
            </w:r>
            <w:r>
              <w:rPr>
                <w:vertAlign w:val="superscript"/>
              </w:rPr>
              <w:t>3</w:t>
            </w:r>
            <w:r>
              <w:t>)</w:t>
            </w:r>
          </w:p>
        </w:tc>
      </w:tr>
      <w:tr w:rsidR="00000000">
        <w:tc>
          <w:tcPr>
            <w:tcW w:w="3793" w:type="dxa"/>
            <w:vAlign w:val="center"/>
          </w:tcPr>
          <w:p w:rsidR="00000000" w:rsidRDefault="00000000">
            <w:pPr>
              <w:pStyle w:val="FootnoteText"/>
            </w:pPr>
            <w:r>
              <w:t>Юго-восточный регион</w:t>
            </w:r>
          </w:p>
        </w:tc>
        <w:tc>
          <w:tcPr>
            <w:tcW w:w="1943" w:type="dxa"/>
            <w:vAlign w:val="center"/>
          </w:tcPr>
          <w:p w:rsidR="00000000" w:rsidRDefault="00000000">
            <w:pPr>
              <w:pStyle w:val="FootnoteText"/>
              <w:tabs>
                <w:tab w:val="clear" w:pos="567"/>
                <w:tab w:val="clear" w:pos="1134"/>
                <w:tab w:val="clear" w:pos="1701"/>
                <w:tab w:val="clear" w:pos="2268"/>
                <w:tab w:val="clear" w:pos="6237"/>
                <w:tab w:val="right" w:pos="5103"/>
              </w:tabs>
              <w:jc w:val="center"/>
            </w:pPr>
            <w:r>
              <w:t xml:space="preserve"> 69 858 115</w:t>
            </w:r>
          </w:p>
        </w:tc>
        <w:tc>
          <w:tcPr>
            <w:tcW w:w="2171" w:type="dxa"/>
            <w:vAlign w:val="center"/>
          </w:tcPr>
          <w:p w:rsidR="00000000" w:rsidRDefault="00000000">
            <w:pPr>
              <w:pStyle w:val="FootnoteText"/>
              <w:tabs>
                <w:tab w:val="clear" w:pos="567"/>
                <w:tab w:val="clear" w:pos="1134"/>
                <w:tab w:val="clear" w:pos="1701"/>
                <w:tab w:val="clear" w:pos="2268"/>
                <w:tab w:val="clear" w:pos="6237"/>
                <w:tab w:val="decimal" w:pos="883"/>
              </w:tabs>
              <w:jc w:val="center"/>
            </w:pPr>
            <w:r>
              <w:t>927 286,2</w:t>
            </w:r>
          </w:p>
        </w:tc>
      </w:tr>
      <w:tr w:rsidR="00000000">
        <w:tc>
          <w:tcPr>
            <w:tcW w:w="3793" w:type="dxa"/>
            <w:vAlign w:val="center"/>
          </w:tcPr>
          <w:p w:rsidR="00000000" w:rsidRDefault="00000000">
            <w:pPr>
              <w:spacing w:line="240" w:lineRule="auto"/>
            </w:pPr>
            <w:r>
              <w:t>Северо-восточный регион</w:t>
            </w:r>
          </w:p>
        </w:tc>
        <w:tc>
          <w:tcPr>
            <w:tcW w:w="1943" w:type="dxa"/>
            <w:vAlign w:val="center"/>
          </w:tcPr>
          <w:p w:rsidR="00000000" w:rsidRDefault="00000000">
            <w:pPr>
              <w:pStyle w:val="FootnoteText"/>
              <w:tabs>
                <w:tab w:val="clear" w:pos="567"/>
                <w:tab w:val="clear" w:pos="1134"/>
                <w:tab w:val="clear" w:pos="1701"/>
                <w:tab w:val="clear" w:pos="2268"/>
                <w:tab w:val="clear" w:pos="6237"/>
                <w:tab w:val="right" w:pos="5103"/>
              </w:tabs>
              <w:jc w:val="center"/>
            </w:pPr>
            <w:r>
              <w:t xml:space="preserve"> 46 289 042</w:t>
            </w:r>
          </w:p>
        </w:tc>
        <w:tc>
          <w:tcPr>
            <w:tcW w:w="2171" w:type="dxa"/>
            <w:vAlign w:val="center"/>
          </w:tcPr>
          <w:p w:rsidR="00000000" w:rsidRDefault="00000000">
            <w:pPr>
              <w:pStyle w:val="FootnoteText"/>
              <w:tabs>
                <w:tab w:val="clear" w:pos="567"/>
                <w:tab w:val="clear" w:pos="1134"/>
                <w:tab w:val="clear" w:pos="1701"/>
                <w:tab w:val="clear" w:pos="2268"/>
                <w:tab w:val="clear" w:pos="6237"/>
                <w:tab w:val="decimal" w:pos="883"/>
              </w:tabs>
              <w:jc w:val="center"/>
            </w:pPr>
            <w:r>
              <w:t>1 561 177,8</w:t>
            </w:r>
          </w:p>
        </w:tc>
      </w:tr>
      <w:tr w:rsidR="00000000">
        <w:tc>
          <w:tcPr>
            <w:tcW w:w="3793" w:type="dxa"/>
            <w:vAlign w:val="center"/>
          </w:tcPr>
          <w:p w:rsidR="00000000" w:rsidRDefault="00000000">
            <w:pPr>
              <w:pStyle w:val="FootnoteText"/>
            </w:pPr>
            <w:r>
              <w:t>Южный регион</w:t>
            </w:r>
          </w:p>
        </w:tc>
        <w:tc>
          <w:tcPr>
            <w:tcW w:w="1943" w:type="dxa"/>
            <w:vAlign w:val="center"/>
          </w:tcPr>
          <w:p w:rsidR="00000000" w:rsidRDefault="00000000">
            <w:pPr>
              <w:tabs>
                <w:tab w:val="clear" w:pos="567"/>
                <w:tab w:val="clear" w:pos="1134"/>
                <w:tab w:val="clear" w:pos="1701"/>
                <w:tab w:val="clear" w:pos="2268"/>
                <w:tab w:val="clear" w:pos="6237"/>
                <w:tab w:val="right" w:pos="5103"/>
              </w:tabs>
              <w:spacing w:line="240" w:lineRule="auto"/>
              <w:jc w:val="center"/>
            </w:pPr>
            <w:r>
              <w:t xml:space="preserve"> 24 445 950</w:t>
            </w:r>
          </w:p>
        </w:tc>
        <w:tc>
          <w:tcPr>
            <w:tcW w:w="2171" w:type="dxa"/>
            <w:vAlign w:val="center"/>
          </w:tcPr>
          <w:p w:rsidR="00000000" w:rsidRDefault="00000000">
            <w:pPr>
              <w:tabs>
                <w:tab w:val="clear" w:pos="567"/>
                <w:tab w:val="clear" w:pos="1134"/>
                <w:tab w:val="clear" w:pos="1701"/>
                <w:tab w:val="clear" w:pos="2268"/>
                <w:tab w:val="clear" w:pos="6237"/>
                <w:tab w:val="decimal" w:pos="883"/>
              </w:tabs>
              <w:spacing w:line="240" w:lineRule="auto"/>
              <w:jc w:val="center"/>
            </w:pPr>
            <w:r>
              <w:t>577 214,0</w:t>
            </w:r>
          </w:p>
        </w:tc>
      </w:tr>
      <w:tr w:rsidR="00000000">
        <w:tc>
          <w:tcPr>
            <w:tcW w:w="3793" w:type="dxa"/>
            <w:vAlign w:val="center"/>
          </w:tcPr>
          <w:p w:rsidR="00000000" w:rsidRDefault="00000000">
            <w:pPr>
              <w:spacing w:line="240" w:lineRule="auto"/>
            </w:pPr>
            <w:r>
              <w:t>Северный регион</w:t>
            </w:r>
          </w:p>
        </w:tc>
        <w:tc>
          <w:tcPr>
            <w:tcW w:w="1943" w:type="dxa"/>
            <w:vAlign w:val="center"/>
          </w:tcPr>
          <w:p w:rsidR="00000000" w:rsidRDefault="00000000">
            <w:pPr>
              <w:tabs>
                <w:tab w:val="clear" w:pos="567"/>
                <w:tab w:val="clear" w:pos="1134"/>
                <w:tab w:val="clear" w:pos="1701"/>
                <w:tab w:val="clear" w:pos="2268"/>
                <w:tab w:val="clear" w:pos="6237"/>
                <w:tab w:val="right" w:pos="5103"/>
              </w:tabs>
              <w:spacing w:line="240" w:lineRule="auto"/>
              <w:jc w:val="center"/>
            </w:pPr>
            <w:r>
              <w:t xml:space="preserve"> 12 133 705</w:t>
            </w:r>
          </w:p>
        </w:tc>
        <w:tc>
          <w:tcPr>
            <w:tcW w:w="2171" w:type="dxa"/>
            <w:vAlign w:val="center"/>
          </w:tcPr>
          <w:p w:rsidR="00000000" w:rsidRDefault="00000000">
            <w:pPr>
              <w:tabs>
                <w:tab w:val="clear" w:pos="567"/>
                <w:tab w:val="clear" w:pos="1134"/>
                <w:tab w:val="clear" w:pos="1701"/>
                <w:tab w:val="clear" w:pos="2268"/>
                <w:tab w:val="clear" w:pos="6237"/>
                <w:tab w:val="decimal" w:pos="883"/>
              </w:tabs>
              <w:spacing w:line="240" w:lineRule="auto"/>
              <w:jc w:val="center"/>
            </w:pPr>
            <w:r>
              <w:t>3 869 637,9</w:t>
            </w:r>
          </w:p>
        </w:tc>
      </w:tr>
      <w:tr w:rsidR="00000000">
        <w:tc>
          <w:tcPr>
            <w:tcW w:w="3793" w:type="dxa"/>
            <w:vAlign w:val="center"/>
          </w:tcPr>
          <w:p w:rsidR="00000000" w:rsidRDefault="00000000">
            <w:pPr>
              <w:spacing w:line="240" w:lineRule="auto"/>
            </w:pPr>
            <w:r>
              <w:t>Центральный и Западный регионы</w:t>
            </w:r>
          </w:p>
        </w:tc>
        <w:tc>
          <w:tcPr>
            <w:tcW w:w="1943" w:type="dxa"/>
            <w:vAlign w:val="center"/>
          </w:tcPr>
          <w:p w:rsidR="00000000" w:rsidRDefault="00000000">
            <w:pPr>
              <w:tabs>
                <w:tab w:val="clear" w:pos="567"/>
                <w:tab w:val="clear" w:pos="1134"/>
                <w:tab w:val="clear" w:pos="1701"/>
                <w:tab w:val="clear" w:pos="2268"/>
                <w:tab w:val="clear" w:pos="6237"/>
                <w:tab w:val="right" w:pos="5103"/>
              </w:tabs>
              <w:spacing w:line="240" w:lineRule="auto"/>
              <w:jc w:val="center"/>
            </w:pPr>
            <w:r>
              <w:t xml:space="preserve"> 11 220 742</w:t>
            </w:r>
          </w:p>
        </w:tc>
        <w:tc>
          <w:tcPr>
            <w:tcW w:w="2171" w:type="dxa"/>
            <w:vAlign w:val="center"/>
          </w:tcPr>
          <w:p w:rsidR="00000000" w:rsidRDefault="00000000">
            <w:pPr>
              <w:tabs>
                <w:tab w:val="clear" w:pos="567"/>
                <w:tab w:val="clear" w:pos="1134"/>
                <w:tab w:val="clear" w:pos="1701"/>
                <w:tab w:val="clear" w:pos="2268"/>
                <w:tab w:val="clear" w:pos="6237"/>
                <w:tab w:val="decimal" w:pos="883"/>
              </w:tabs>
              <w:spacing w:line="240" w:lineRule="auto"/>
              <w:jc w:val="center"/>
            </w:pPr>
            <w:r>
              <w:t>1 612 077,2</w:t>
            </w:r>
          </w:p>
        </w:tc>
      </w:tr>
      <w:tr w:rsidR="00000000">
        <w:tc>
          <w:tcPr>
            <w:tcW w:w="3793" w:type="dxa"/>
            <w:vAlign w:val="center"/>
          </w:tcPr>
          <w:p w:rsidR="00000000" w:rsidRDefault="00000000">
            <w:pPr>
              <w:pStyle w:val="16"/>
              <w:spacing w:line="240" w:lineRule="auto"/>
            </w:pPr>
            <w:r>
              <w:t>ИТОГО*</w:t>
            </w:r>
          </w:p>
        </w:tc>
        <w:tc>
          <w:tcPr>
            <w:tcW w:w="1943" w:type="dxa"/>
            <w:vAlign w:val="center"/>
          </w:tcPr>
          <w:p w:rsidR="00000000" w:rsidRDefault="00000000">
            <w:pPr>
              <w:tabs>
                <w:tab w:val="clear" w:pos="567"/>
                <w:tab w:val="clear" w:pos="1134"/>
                <w:tab w:val="clear" w:pos="1701"/>
                <w:tab w:val="clear" w:pos="2268"/>
                <w:tab w:val="clear" w:pos="6237"/>
                <w:tab w:val="right" w:pos="5103"/>
              </w:tabs>
              <w:spacing w:line="240" w:lineRule="auto"/>
              <w:jc w:val="center"/>
            </w:pPr>
            <w:r>
              <w:t>163 947 554</w:t>
            </w:r>
          </w:p>
        </w:tc>
        <w:tc>
          <w:tcPr>
            <w:tcW w:w="2171" w:type="dxa"/>
            <w:vAlign w:val="center"/>
          </w:tcPr>
          <w:p w:rsidR="00000000" w:rsidRDefault="00000000">
            <w:pPr>
              <w:tabs>
                <w:tab w:val="clear" w:pos="567"/>
                <w:tab w:val="clear" w:pos="1134"/>
                <w:tab w:val="clear" w:pos="1701"/>
                <w:tab w:val="clear" w:pos="2268"/>
                <w:tab w:val="clear" w:pos="6237"/>
                <w:tab w:val="decimal" w:pos="883"/>
              </w:tabs>
              <w:spacing w:line="240" w:lineRule="auto"/>
              <w:jc w:val="center"/>
            </w:pPr>
            <w:r>
              <w:t>8 547 403,5</w:t>
            </w:r>
          </w:p>
        </w:tc>
      </w:tr>
    </w:tbl>
    <w:p w:rsidR="00000000" w:rsidRDefault="00000000">
      <w:pPr>
        <w:tabs>
          <w:tab w:val="clear" w:pos="2268"/>
        </w:tabs>
        <w:spacing w:line="240" w:lineRule="auto"/>
        <w:rPr>
          <w:sz w:val="16"/>
        </w:rPr>
      </w:pPr>
    </w:p>
    <w:p w:rsidR="00000000" w:rsidRDefault="00000000">
      <w:pPr>
        <w:tabs>
          <w:tab w:val="clear" w:pos="2268"/>
        </w:tabs>
      </w:pPr>
      <w:r>
        <w:tab/>
        <w:t>*</w:t>
      </w:r>
      <w:r>
        <w:tab/>
        <w:t>За исключением островов Мартим-Ваз и Триндаде.</w:t>
      </w:r>
    </w:p>
    <w:p w:rsidR="00000000" w:rsidRDefault="00000000">
      <w:pPr>
        <w:tabs>
          <w:tab w:val="clear" w:pos="2268"/>
        </w:tabs>
        <w:rPr>
          <w:sz w:val="16"/>
        </w:rPr>
      </w:pPr>
    </w:p>
    <w:p w:rsidR="00000000" w:rsidRDefault="00000000">
      <w:pPr>
        <w:tabs>
          <w:tab w:val="clear" w:pos="1134"/>
          <w:tab w:val="clear" w:pos="1701"/>
          <w:tab w:val="clear" w:pos="2268"/>
          <w:tab w:val="left" w:pos="1122"/>
          <w:tab w:val="left" w:pos="1870"/>
        </w:tabs>
      </w:pPr>
      <w:r>
        <w:tab/>
      </w:r>
      <w:r>
        <w:rPr>
          <w:u w:val="single"/>
        </w:rPr>
        <w:t>Источник</w:t>
      </w:r>
      <w:r>
        <w:t>:  Бразильский институт географии и статистики </w:t>
      </w:r>
      <w:r>
        <w:sym w:font="Symbol" w:char="F02D"/>
      </w:r>
      <w:r>
        <w:t xml:space="preserve"> БИГС.</w:t>
      </w:r>
    </w:p>
    <w:p w:rsidR="00000000" w:rsidRDefault="00000000">
      <w:pPr>
        <w:pStyle w:val="1"/>
        <w:rPr>
          <w:sz w:val="16"/>
        </w:rPr>
      </w:pPr>
    </w:p>
    <w:p w:rsidR="00000000" w:rsidRDefault="00000000">
      <w:pPr>
        <w:pStyle w:val="BodyText3"/>
        <w:spacing w:line="288" w:lineRule="auto"/>
        <w:jc w:val="center"/>
        <w:rPr>
          <w:b/>
          <w:bCs/>
          <w:sz w:val="24"/>
          <w:lang w:val="ru-RU"/>
        </w:rPr>
      </w:pPr>
      <w:r>
        <w:rPr>
          <w:b/>
          <w:spacing w:val="20"/>
          <w:sz w:val="24"/>
          <w:lang w:val="ru-RU"/>
        </w:rPr>
        <w:t xml:space="preserve">Таблица 2.  </w:t>
      </w:r>
      <w:r>
        <w:rPr>
          <w:b/>
          <w:bCs/>
          <w:spacing w:val="20"/>
          <w:sz w:val="24"/>
          <w:lang w:val="ru-RU"/>
        </w:rPr>
        <w:t xml:space="preserve"> </w:t>
      </w:r>
      <w:r>
        <w:rPr>
          <w:b/>
          <w:bCs/>
          <w:sz w:val="24"/>
          <w:lang w:val="ru-RU"/>
        </w:rPr>
        <w:t>Валовой внутренний продукт – ВВП</w:t>
      </w:r>
    </w:p>
    <w:p w:rsidR="00000000" w:rsidRDefault="00000000">
      <w:pPr>
        <w:pStyle w:val="BodyText3"/>
        <w:spacing w:line="288" w:lineRule="auto"/>
        <w:jc w:val="center"/>
        <w:rPr>
          <w:b/>
          <w:spacing w:val="20"/>
          <w:sz w:val="16"/>
          <w:lang w:val="ru-RU"/>
        </w:rPr>
      </w:pPr>
    </w:p>
    <w:tbl>
      <w:tblPr>
        <w:tblW w:w="0" w:type="auto"/>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firstRow="0" w:lastRow="0" w:firstColumn="0" w:lastColumn="0" w:noHBand="0" w:noVBand="0"/>
      </w:tblPr>
      <w:tblGrid>
        <w:gridCol w:w="947"/>
        <w:gridCol w:w="2458"/>
        <w:gridCol w:w="1937"/>
        <w:gridCol w:w="2294"/>
      </w:tblGrid>
      <w:tr w:rsidR="00000000">
        <w:tblPrEx>
          <w:tblCellMar>
            <w:top w:w="0" w:type="dxa"/>
            <w:bottom w:w="0" w:type="dxa"/>
          </w:tblCellMar>
        </w:tblPrEx>
        <w:trPr>
          <w:jc w:val="center"/>
        </w:trPr>
        <w:tc>
          <w:tcPr>
            <w:tcW w:w="947" w:type="dxa"/>
          </w:tcPr>
          <w:p w:rsidR="00000000" w:rsidRDefault="00000000">
            <w:pPr>
              <w:jc w:val="center"/>
            </w:pPr>
            <w:r>
              <w:t>Год</w:t>
            </w:r>
          </w:p>
        </w:tc>
        <w:tc>
          <w:tcPr>
            <w:tcW w:w="2458" w:type="dxa"/>
          </w:tcPr>
          <w:p w:rsidR="00000000" w:rsidRDefault="00000000">
            <w:pPr>
              <w:jc w:val="center"/>
            </w:pPr>
            <w:r>
              <w:t>В млн. реалов по состоянию на 1999 год</w:t>
            </w:r>
          </w:p>
        </w:tc>
        <w:tc>
          <w:tcPr>
            <w:tcW w:w="1937" w:type="dxa"/>
          </w:tcPr>
          <w:p w:rsidR="00000000" w:rsidRDefault="00000000">
            <w:pPr>
              <w:jc w:val="center"/>
            </w:pPr>
            <w:r>
              <w:t>Реальные изменения в %</w:t>
            </w:r>
          </w:p>
        </w:tc>
        <w:tc>
          <w:tcPr>
            <w:tcW w:w="2294" w:type="dxa"/>
          </w:tcPr>
          <w:p w:rsidR="00000000" w:rsidRDefault="00000000">
            <w:pPr>
              <w:jc w:val="center"/>
            </w:pPr>
            <w:r>
              <w:t>Текущие цены в млн. долл. США</w:t>
            </w:r>
          </w:p>
        </w:tc>
      </w:tr>
      <w:tr w:rsidR="00000000">
        <w:tblPrEx>
          <w:tblCellMar>
            <w:top w:w="0" w:type="dxa"/>
            <w:bottom w:w="0" w:type="dxa"/>
          </w:tblCellMar>
        </w:tblPrEx>
        <w:trPr>
          <w:jc w:val="center"/>
        </w:trPr>
        <w:tc>
          <w:tcPr>
            <w:tcW w:w="947" w:type="dxa"/>
          </w:tcPr>
          <w:p w:rsidR="00000000" w:rsidRDefault="00000000">
            <w:pPr>
              <w:jc w:val="center"/>
            </w:pPr>
            <w:r>
              <w:t>1990</w:t>
            </w:r>
          </w:p>
        </w:tc>
        <w:tc>
          <w:tcPr>
            <w:tcW w:w="2458" w:type="dxa"/>
          </w:tcPr>
          <w:p w:rsidR="00000000" w:rsidRDefault="00000000">
            <w:pPr>
              <w:tabs>
                <w:tab w:val="clear" w:pos="2268"/>
              </w:tabs>
              <w:jc w:val="right"/>
            </w:pPr>
            <w:r>
              <w:t>810 896,73</w:t>
            </w:r>
          </w:p>
        </w:tc>
        <w:tc>
          <w:tcPr>
            <w:tcW w:w="1937" w:type="dxa"/>
          </w:tcPr>
          <w:p w:rsidR="00000000" w:rsidRDefault="00000000">
            <w:pPr>
              <w:pStyle w:val="16"/>
            </w:pPr>
            <w:r>
              <w:t>(-)4,3</w:t>
            </w:r>
          </w:p>
        </w:tc>
        <w:tc>
          <w:tcPr>
            <w:tcW w:w="2294" w:type="dxa"/>
          </w:tcPr>
          <w:p w:rsidR="00000000" w:rsidRDefault="00000000">
            <w:pPr>
              <w:tabs>
                <w:tab w:val="clear" w:pos="2268"/>
              </w:tabs>
              <w:jc w:val="right"/>
            </w:pPr>
            <w:r>
              <w:t>469 318</w:t>
            </w:r>
          </w:p>
        </w:tc>
      </w:tr>
      <w:tr w:rsidR="00000000">
        <w:tblPrEx>
          <w:tblCellMar>
            <w:top w:w="0" w:type="dxa"/>
            <w:bottom w:w="0" w:type="dxa"/>
          </w:tblCellMar>
        </w:tblPrEx>
        <w:trPr>
          <w:jc w:val="center"/>
        </w:trPr>
        <w:tc>
          <w:tcPr>
            <w:tcW w:w="947" w:type="dxa"/>
          </w:tcPr>
          <w:p w:rsidR="00000000" w:rsidRDefault="00000000">
            <w:pPr>
              <w:jc w:val="center"/>
            </w:pPr>
            <w:r>
              <w:t>1991</w:t>
            </w:r>
          </w:p>
        </w:tc>
        <w:tc>
          <w:tcPr>
            <w:tcW w:w="2458" w:type="dxa"/>
          </w:tcPr>
          <w:p w:rsidR="00000000" w:rsidRDefault="00000000">
            <w:pPr>
              <w:tabs>
                <w:tab w:val="clear" w:pos="2268"/>
              </w:tabs>
              <w:jc w:val="right"/>
            </w:pPr>
            <w:r>
              <w:t>819 248,97</w:t>
            </w:r>
          </w:p>
        </w:tc>
        <w:tc>
          <w:tcPr>
            <w:tcW w:w="1937" w:type="dxa"/>
          </w:tcPr>
          <w:p w:rsidR="00000000" w:rsidRDefault="00000000">
            <w:pPr>
              <w:jc w:val="center"/>
            </w:pPr>
            <w:r>
              <w:t>1,0</w:t>
            </w:r>
          </w:p>
        </w:tc>
        <w:tc>
          <w:tcPr>
            <w:tcW w:w="2294" w:type="dxa"/>
          </w:tcPr>
          <w:p w:rsidR="00000000" w:rsidRDefault="00000000">
            <w:pPr>
              <w:tabs>
                <w:tab w:val="clear" w:pos="2268"/>
              </w:tabs>
              <w:jc w:val="right"/>
            </w:pPr>
            <w:r>
              <w:t>405 679</w:t>
            </w:r>
          </w:p>
        </w:tc>
      </w:tr>
      <w:tr w:rsidR="00000000">
        <w:tblPrEx>
          <w:tblCellMar>
            <w:top w:w="0" w:type="dxa"/>
            <w:bottom w:w="0" w:type="dxa"/>
          </w:tblCellMar>
        </w:tblPrEx>
        <w:trPr>
          <w:jc w:val="center"/>
        </w:trPr>
        <w:tc>
          <w:tcPr>
            <w:tcW w:w="947" w:type="dxa"/>
          </w:tcPr>
          <w:p w:rsidR="00000000" w:rsidRDefault="00000000">
            <w:pPr>
              <w:jc w:val="center"/>
            </w:pPr>
            <w:r>
              <w:t>1992</w:t>
            </w:r>
          </w:p>
        </w:tc>
        <w:tc>
          <w:tcPr>
            <w:tcW w:w="2458" w:type="dxa"/>
          </w:tcPr>
          <w:p w:rsidR="00000000" w:rsidRDefault="00000000">
            <w:pPr>
              <w:pStyle w:val="FootnoteText"/>
              <w:tabs>
                <w:tab w:val="clear" w:pos="2268"/>
              </w:tabs>
              <w:spacing w:line="288" w:lineRule="auto"/>
              <w:jc w:val="right"/>
            </w:pPr>
            <w:r>
              <w:t>814 825,02</w:t>
            </w:r>
          </w:p>
        </w:tc>
        <w:tc>
          <w:tcPr>
            <w:tcW w:w="1937" w:type="dxa"/>
          </w:tcPr>
          <w:p w:rsidR="00000000" w:rsidRDefault="00000000">
            <w:pPr>
              <w:jc w:val="center"/>
            </w:pPr>
            <w:r>
              <w:t>(-)0,5</w:t>
            </w:r>
          </w:p>
        </w:tc>
        <w:tc>
          <w:tcPr>
            <w:tcW w:w="2294" w:type="dxa"/>
          </w:tcPr>
          <w:p w:rsidR="00000000" w:rsidRDefault="00000000">
            <w:pPr>
              <w:tabs>
                <w:tab w:val="clear" w:pos="2268"/>
              </w:tabs>
              <w:jc w:val="right"/>
            </w:pPr>
            <w:r>
              <w:t>387 295</w:t>
            </w:r>
          </w:p>
        </w:tc>
      </w:tr>
      <w:tr w:rsidR="00000000">
        <w:tblPrEx>
          <w:tblCellMar>
            <w:top w:w="0" w:type="dxa"/>
            <w:bottom w:w="0" w:type="dxa"/>
          </w:tblCellMar>
        </w:tblPrEx>
        <w:trPr>
          <w:jc w:val="center"/>
        </w:trPr>
        <w:tc>
          <w:tcPr>
            <w:tcW w:w="947" w:type="dxa"/>
          </w:tcPr>
          <w:p w:rsidR="00000000" w:rsidRDefault="00000000">
            <w:pPr>
              <w:jc w:val="center"/>
            </w:pPr>
            <w:r>
              <w:t>1993</w:t>
            </w:r>
          </w:p>
        </w:tc>
        <w:tc>
          <w:tcPr>
            <w:tcW w:w="2458" w:type="dxa"/>
          </w:tcPr>
          <w:p w:rsidR="00000000" w:rsidRDefault="00000000">
            <w:pPr>
              <w:tabs>
                <w:tab w:val="clear" w:pos="2268"/>
              </w:tabs>
              <w:jc w:val="right"/>
            </w:pPr>
            <w:r>
              <w:t>854 914,41</w:t>
            </w:r>
          </w:p>
        </w:tc>
        <w:tc>
          <w:tcPr>
            <w:tcW w:w="1937" w:type="dxa"/>
          </w:tcPr>
          <w:p w:rsidR="00000000" w:rsidRDefault="00000000">
            <w:pPr>
              <w:jc w:val="center"/>
            </w:pPr>
            <w:r>
              <w:t>4,9</w:t>
            </w:r>
          </w:p>
        </w:tc>
        <w:tc>
          <w:tcPr>
            <w:tcW w:w="2294" w:type="dxa"/>
          </w:tcPr>
          <w:p w:rsidR="00000000" w:rsidRDefault="00000000">
            <w:pPr>
              <w:tabs>
                <w:tab w:val="clear" w:pos="2268"/>
              </w:tabs>
              <w:jc w:val="right"/>
            </w:pPr>
            <w:r>
              <w:t>429 685</w:t>
            </w:r>
          </w:p>
        </w:tc>
      </w:tr>
      <w:tr w:rsidR="00000000">
        <w:tblPrEx>
          <w:tblCellMar>
            <w:top w:w="0" w:type="dxa"/>
            <w:bottom w:w="0" w:type="dxa"/>
          </w:tblCellMar>
        </w:tblPrEx>
        <w:trPr>
          <w:jc w:val="center"/>
        </w:trPr>
        <w:tc>
          <w:tcPr>
            <w:tcW w:w="947" w:type="dxa"/>
          </w:tcPr>
          <w:p w:rsidR="00000000" w:rsidRDefault="00000000">
            <w:pPr>
              <w:jc w:val="center"/>
            </w:pPr>
            <w:r>
              <w:t>1994</w:t>
            </w:r>
          </w:p>
        </w:tc>
        <w:tc>
          <w:tcPr>
            <w:tcW w:w="2458" w:type="dxa"/>
          </w:tcPr>
          <w:p w:rsidR="00000000" w:rsidRDefault="00000000">
            <w:pPr>
              <w:tabs>
                <w:tab w:val="clear" w:pos="2268"/>
              </w:tabs>
              <w:jc w:val="right"/>
            </w:pPr>
            <w:r>
              <w:t>904 926,91</w:t>
            </w:r>
          </w:p>
        </w:tc>
        <w:tc>
          <w:tcPr>
            <w:tcW w:w="1937" w:type="dxa"/>
          </w:tcPr>
          <w:p w:rsidR="00000000" w:rsidRDefault="00000000">
            <w:pPr>
              <w:jc w:val="center"/>
            </w:pPr>
            <w:r>
              <w:t>5,9</w:t>
            </w:r>
          </w:p>
        </w:tc>
        <w:tc>
          <w:tcPr>
            <w:tcW w:w="2294" w:type="dxa"/>
          </w:tcPr>
          <w:p w:rsidR="00000000" w:rsidRDefault="00000000">
            <w:pPr>
              <w:tabs>
                <w:tab w:val="clear" w:pos="2268"/>
              </w:tabs>
              <w:jc w:val="right"/>
            </w:pPr>
            <w:r>
              <w:t>543 087</w:t>
            </w:r>
          </w:p>
        </w:tc>
      </w:tr>
      <w:tr w:rsidR="00000000">
        <w:tblPrEx>
          <w:tblCellMar>
            <w:top w:w="0" w:type="dxa"/>
            <w:bottom w:w="0" w:type="dxa"/>
          </w:tblCellMar>
        </w:tblPrEx>
        <w:trPr>
          <w:jc w:val="center"/>
        </w:trPr>
        <w:tc>
          <w:tcPr>
            <w:tcW w:w="947" w:type="dxa"/>
          </w:tcPr>
          <w:p w:rsidR="00000000" w:rsidRDefault="00000000">
            <w:pPr>
              <w:jc w:val="center"/>
            </w:pPr>
            <w:r>
              <w:t>1995</w:t>
            </w:r>
          </w:p>
        </w:tc>
        <w:tc>
          <w:tcPr>
            <w:tcW w:w="2458" w:type="dxa"/>
          </w:tcPr>
          <w:p w:rsidR="00000000" w:rsidRDefault="00000000">
            <w:pPr>
              <w:tabs>
                <w:tab w:val="clear" w:pos="2268"/>
              </w:tabs>
              <w:jc w:val="right"/>
            </w:pPr>
            <w:r>
              <w:t>943 114,82</w:t>
            </w:r>
          </w:p>
        </w:tc>
        <w:tc>
          <w:tcPr>
            <w:tcW w:w="1937" w:type="dxa"/>
          </w:tcPr>
          <w:p w:rsidR="00000000" w:rsidRDefault="00000000">
            <w:pPr>
              <w:jc w:val="center"/>
            </w:pPr>
            <w:r>
              <w:t>4,2</w:t>
            </w:r>
          </w:p>
        </w:tc>
        <w:tc>
          <w:tcPr>
            <w:tcW w:w="2294" w:type="dxa"/>
          </w:tcPr>
          <w:p w:rsidR="00000000" w:rsidRDefault="00000000">
            <w:pPr>
              <w:tabs>
                <w:tab w:val="clear" w:pos="2268"/>
              </w:tabs>
              <w:jc w:val="right"/>
            </w:pPr>
            <w:r>
              <w:t>705 449</w:t>
            </w:r>
          </w:p>
        </w:tc>
      </w:tr>
      <w:tr w:rsidR="00000000">
        <w:tblPrEx>
          <w:tblCellMar>
            <w:top w:w="0" w:type="dxa"/>
            <w:bottom w:w="0" w:type="dxa"/>
          </w:tblCellMar>
        </w:tblPrEx>
        <w:trPr>
          <w:jc w:val="center"/>
        </w:trPr>
        <w:tc>
          <w:tcPr>
            <w:tcW w:w="947" w:type="dxa"/>
          </w:tcPr>
          <w:p w:rsidR="00000000" w:rsidRDefault="00000000">
            <w:pPr>
              <w:jc w:val="center"/>
            </w:pPr>
            <w:r>
              <w:t>1996</w:t>
            </w:r>
          </w:p>
        </w:tc>
        <w:tc>
          <w:tcPr>
            <w:tcW w:w="2458" w:type="dxa"/>
          </w:tcPr>
          <w:p w:rsidR="00000000" w:rsidRDefault="00000000">
            <w:pPr>
              <w:tabs>
                <w:tab w:val="clear" w:pos="2268"/>
              </w:tabs>
              <w:jc w:val="right"/>
            </w:pPr>
            <w:r>
              <w:t>966 201,66</w:t>
            </w:r>
          </w:p>
        </w:tc>
        <w:tc>
          <w:tcPr>
            <w:tcW w:w="1937" w:type="dxa"/>
          </w:tcPr>
          <w:p w:rsidR="00000000" w:rsidRDefault="00000000">
            <w:pPr>
              <w:jc w:val="center"/>
            </w:pPr>
            <w:r>
              <w:t>2,7</w:t>
            </w:r>
          </w:p>
        </w:tc>
        <w:tc>
          <w:tcPr>
            <w:tcW w:w="2294" w:type="dxa"/>
          </w:tcPr>
          <w:p w:rsidR="00000000" w:rsidRDefault="00000000">
            <w:pPr>
              <w:tabs>
                <w:tab w:val="clear" w:pos="2268"/>
              </w:tabs>
              <w:jc w:val="right"/>
            </w:pPr>
            <w:r>
              <w:t>775 475</w:t>
            </w:r>
          </w:p>
        </w:tc>
      </w:tr>
      <w:tr w:rsidR="00000000">
        <w:tblPrEx>
          <w:tblCellMar>
            <w:top w:w="0" w:type="dxa"/>
            <w:bottom w:w="0" w:type="dxa"/>
          </w:tblCellMar>
        </w:tblPrEx>
        <w:trPr>
          <w:jc w:val="center"/>
        </w:trPr>
        <w:tc>
          <w:tcPr>
            <w:tcW w:w="947" w:type="dxa"/>
          </w:tcPr>
          <w:p w:rsidR="00000000" w:rsidRDefault="00000000">
            <w:pPr>
              <w:jc w:val="center"/>
            </w:pPr>
            <w:r>
              <w:t>1997</w:t>
            </w:r>
          </w:p>
        </w:tc>
        <w:tc>
          <w:tcPr>
            <w:tcW w:w="2458" w:type="dxa"/>
          </w:tcPr>
          <w:p w:rsidR="00000000" w:rsidRDefault="00000000">
            <w:pPr>
              <w:tabs>
                <w:tab w:val="clear" w:pos="2268"/>
              </w:tabs>
              <w:jc w:val="right"/>
            </w:pPr>
            <w:r>
              <w:t>1 003 056,94</w:t>
            </w:r>
          </w:p>
        </w:tc>
        <w:tc>
          <w:tcPr>
            <w:tcW w:w="1937" w:type="dxa"/>
          </w:tcPr>
          <w:p w:rsidR="00000000" w:rsidRDefault="00000000">
            <w:pPr>
              <w:jc w:val="center"/>
            </w:pPr>
            <w:r>
              <w:t>3,6</w:t>
            </w:r>
          </w:p>
        </w:tc>
        <w:tc>
          <w:tcPr>
            <w:tcW w:w="2294" w:type="dxa"/>
          </w:tcPr>
          <w:p w:rsidR="00000000" w:rsidRDefault="00000000">
            <w:pPr>
              <w:tabs>
                <w:tab w:val="clear" w:pos="2268"/>
              </w:tabs>
              <w:jc w:val="right"/>
            </w:pPr>
            <w:r>
              <w:t>801 662</w:t>
            </w:r>
          </w:p>
        </w:tc>
      </w:tr>
      <w:tr w:rsidR="00000000">
        <w:tblPrEx>
          <w:tblCellMar>
            <w:top w:w="0" w:type="dxa"/>
            <w:bottom w:w="0" w:type="dxa"/>
          </w:tblCellMar>
        </w:tblPrEx>
        <w:trPr>
          <w:jc w:val="center"/>
        </w:trPr>
        <w:tc>
          <w:tcPr>
            <w:tcW w:w="947" w:type="dxa"/>
          </w:tcPr>
          <w:p w:rsidR="00000000" w:rsidRDefault="00000000">
            <w:pPr>
              <w:jc w:val="center"/>
            </w:pPr>
            <w:r>
              <w:t>1998</w:t>
            </w:r>
          </w:p>
        </w:tc>
        <w:tc>
          <w:tcPr>
            <w:tcW w:w="2458" w:type="dxa"/>
          </w:tcPr>
          <w:p w:rsidR="00000000" w:rsidRDefault="00000000">
            <w:pPr>
              <w:tabs>
                <w:tab w:val="clear" w:pos="2268"/>
              </w:tabs>
              <w:jc w:val="right"/>
            </w:pPr>
            <w:r>
              <w:t>1 001 853,27</w:t>
            </w:r>
          </w:p>
        </w:tc>
        <w:tc>
          <w:tcPr>
            <w:tcW w:w="1937" w:type="dxa"/>
          </w:tcPr>
          <w:p w:rsidR="00000000" w:rsidRDefault="00000000">
            <w:pPr>
              <w:jc w:val="center"/>
            </w:pPr>
            <w:r>
              <w:t>(-)0,1</w:t>
            </w:r>
          </w:p>
        </w:tc>
        <w:tc>
          <w:tcPr>
            <w:tcW w:w="2294" w:type="dxa"/>
          </w:tcPr>
          <w:p w:rsidR="00000000" w:rsidRDefault="00000000">
            <w:pPr>
              <w:tabs>
                <w:tab w:val="clear" w:pos="2268"/>
              </w:tabs>
              <w:jc w:val="right"/>
            </w:pPr>
            <w:r>
              <w:t>775 501</w:t>
            </w:r>
          </w:p>
        </w:tc>
      </w:tr>
      <w:tr w:rsidR="00000000">
        <w:tblPrEx>
          <w:tblCellMar>
            <w:top w:w="0" w:type="dxa"/>
            <w:bottom w:w="0" w:type="dxa"/>
          </w:tblCellMar>
        </w:tblPrEx>
        <w:trPr>
          <w:jc w:val="center"/>
        </w:trPr>
        <w:tc>
          <w:tcPr>
            <w:tcW w:w="947" w:type="dxa"/>
          </w:tcPr>
          <w:p w:rsidR="00000000" w:rsidRDefault="00000000">
            <w:pPr>
              <w:jc w:val="center"/>
            </w:pPr>
            <w:r>
              <w:t>1999</w:t>
            </w:r>
          </w:p>
        </w:tc>
        <w:tc>
          <w:tcPr>
            <w:tcW w:w="2458" w:type="dxa"/>
          </w:tcPr>
          <w:p w:rsidR="00000000" w:rsidRDefault="00000000">
            <w:pPr>
              <w:tabs>
                <w:tab w:val="clear" w:pos="2268"/>
              </w:tabs>
              <w:jc w:val="right"/>
            </w:pPr>
            <w:r>
              <w:t>1 010 068,47</w:t>
            </w:r>
          </w:p>
        </w:tc>
        <w:tc>
          <w:tcPr>
            <w:tcW w:w="1937" w:type="dxa"/>
          </w:tcPr>
          <w:p w:rsidR="00000000" w:rsidRDefault="00000000">
            <w:pPr>
              <w:jc w:val="center"/>
            </w:pPr>
            <w:r>
              <w:t>0,8</w:t>
            </w:r>
          </w:p>
        </w:tc>
        <w:tc>
          <w:tcPr>
            <w:tcW w:w="2294" w:type="dxa"/>
          </w:tcPr>
          <w:p w:rsidR="00000000" w:rsidRDefault="00000000">
            <w:pPr>
              <w:tabs>
                <w:tab w:val="clear" w:pos="2268"/>
              </w:tabs>
              <w:jc w:val="right"/>
            </w:pPr>
            <w:r>
              <w:t>556 837</w:t>
            </w:r>
          </w:p>
        </w:tc>
      </w:tr>
    </w:tbl>
    <w:p w:rsidR="00000000" w:rsidRDefault="00000000">
      <w:pPr>
        <w:pStyle w:val="BodyText3"/>
        <w:spacing w:line="288" w:lineRule="auto"/>
        <w:jc w:val="center"/>
        <w:rPr>
          <w:b/>
          <w:spacing w:val="20"/>
          <w:kern w:val="16"/>
          <w:sz w:val="16"/>
          <w:lang w:val="ru-RU"/>
        </w:rPr>
      </w:pPr>
    </w:p>
    <w:p w:rsidR="00000000" w:rsidRDefault="00000000">
      <w:pPr>
        <w:rPr>
          <w:kern w:val="16"/>
        </w:rPr>
      </w:pPr>
      <w:r>
        <w:rPr>
          <w:kern w:val="16"/>
        </w:rPr>
        <w:tab/>
      </w:r>
      <w:r>
        <w:rPr>
          <w:kern w:val="16"/>
          <w:u w:val="single"/>
        </w:rPr>
        <w:t>Источник</w:t>
      </w:r>
      <w:r>
        <w:rPr>
          <w:kern w:val="16"/>
        </w:rPr>
        <w:t>:  Центральный банк Бразилии – ЦББ.</w:t>
      </w:r>
    </w:p>
    <w:p w:rsidR="00000000" w:rsidRDefault="00000000">
      <w:r>
        <w:rPr>
          <w:kern w:val="16"/>
        </w:rPr>
        <w:tab/>
      </w:r>
      <w:r>
        <w:rPr>
          <w:kern w:val="16"/>
          <w:u w:val="single"/>
        </w:rPr>
        <w:t>Примечание</w:t>
      </w:r>
      <w:r>
        <w:rPr>
          <w:kern w:val="16"/>
        </w:rPr>
        <w:t>:  Снижение ВВП в долларовом исчислении в период 1998-1999 годов объяснялось</w:t>
      </w:r>
      <w:r>
        <w:t xml:space="preserve"> введением в январе 1999 года более гибкого обменного курса.</w:t>
      </w:r>
    </w:p>
    <w:p w:rsidR="00000000" w:rsidRDefault="00000000"/>
    <w:p w:rsidR="00000000" w:rsidRDefault="00000000">
      <w:pPr>
        <w:pStyle w:val="10"/>
        <w:rPr>
          <w:bCs/>
          <w:kern w:val="16"/>
        </w:rPr>
      </w:pPr>
      <w:r>
        <w:rPr>
          <w:bCs/>
        </w:rPr>
        <w:t xml:space="preserve">Таблица 3.   </w:t>
      </w:r>
      <w:r>
        <w:rPr>
          <w:bCs/>
          <w:kern w:val="16"/>
        </w:rPr>
        <w:t>Валовой внутренний продукт на душу населения</w:t>
      </w:r>
    </w:p>
    <w:p w:rsidR="00000000" w:rsidRDefault="00000000">
      <w:pPr>
        <w:pStyle w:val="10"/>
        <w:rPr>
          <w:bCs/>
          <w:kern w:val="16"/>
        </w:rPr>
      </w:pPr>
    </w:p>
    <w:tbl>
      <w:tblPr>
        <w:tblW w:w="0" w:type="auto"/>
        <w:jc w:val="center"/>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7" w:type="dxa"/>
          <w:right w:w="37" w:type="dxa"/>
        </w:tblCellMar>
        <w:tblLook w:val="0000" w:firstRow="0" w:lastRow="0" w:firstColumn="0" w:lastColumn="0" w:noHBand="0" w:noVBand="0"/>
      </w:tblPr>
      <w:tblGrid>
        <w:gridCol w:w="941"/>
        <w:gridCol w:w="6"/>
        <w:gridCol w:w="2441"/>
        <w:gridCol w:w="17"/>
        <w:gridCol w:w="1937"/>
        <w:gridCol w:w="19"/>
        <w:gridCol w:w="2275"/>
        <w:gridCol w:w="16"/>
      </w:tblGrid>
      <w:tr w:rsidR="00000000">
        <w:tblPrEx>
          <w:tblCellMar>
            <w:top w:w="0" w:type="dxa"/>
            <w:bottom w:w="0" w:type="dxa"/>
          </w:tblCellMar>
        </w:tblPrEx>
        <w:trPr>
          <w:gridAfter w:val="1"/>
          <w:wAfter w:w="16" w:type="dxa"/>
          <w:jc w:val="center"/>
        </w:trPr>
        <w:tc>
          <w:tcPr>
            <w:tcW w:w="947" w:type="dxa"/>
            <w:gridSpan w:val="2"/>
          </w:tcPr>
          <w:p w:rsidR="00000000" w:rsidRDefault="00000000">
            <w:pPr>
              <w:jc w:val="center"/>
            </w:pPr>
            <w:r>
              <w:t>Год</w:t>
            </w:r>
          </w:p>
        </w:tc>
        <w:tc>
          <w:tcPr>
            <w:tcW w:w="2458" w:type="dxa"/>
            <w:gridSpan w:val="2"/>
          </w:tcPr>
          <w:p w:rsidR="00000000" w:rsidRDefault="00000000">
            <w:pPr>
              <w:jc w:val="center"/>
            </w:pPr>
            <w:r>
              <w:t>В млн. реалов по состоянию на 1999 год</w:t>
            </w:r>
          </w:p>
        </w:tc>
        <w:tc>
          <w:tcPr>
            <w:tcW w:w="1937" w:type="dxa"/>
          </w:tcPr>
          <w:p w:rsidR="00000000" w:rsidRDefault="00000000">
            <w:pPr>
              <w:jc w:val="center"/>
            </w:pPr>
            <w:r>
              <w:t>Реальные изменения в %</w:t>
            </w:r>
          </w:p>
        </w:tc>
        <w:tc>
          <w:tcPr>
            <w:tcW w:w="2294" w:type="dxa"/>
            <w:gridSpan w:val="2"/>
          </w:tcPr>
          <w:p w:rsidR="00000000" w:rsidRDefault="00000000">
            <w:pPr>
              <w:jc w:val="center"/>
            </w:pPr>
            <w:r>
              <w:t>Текущие цены в млн. долл. США</w:t>
            </w:r>
          </w:p>
        </w:tc>
      </w:tr>
      <w:tr w:rsidR="00000000">
        <w:tblPrEx>
          <w:tblCellMar>
            <w:top w:w="0" w:type="dxa"/>
            <w:left w:w="7" w:type="dxa"/>
            <w:bottom w:w="0" w:type="dxa"/>
            <w:right w:w="7" w:type="dxa"/>
          </w:tblCellMar>
        </w:tblPrEx>
        <w:trPr>
          <w:jc w:val="center"/>
        </w:trPr>
        <w:tc>
          <w:tcPr>
            <w:tcW w:w="941" w:type="dxa"/>
          </w:tcPr>
          <w:p w:rsidR="00000000" w:rsidRDefault="00000000">
            <w:pPr>
              <w:pStyle w:val="FootnoteText"/>
              <w:spacing w:line="288" w:lineRule="auto"/>
              <w:jc w:val="center"/>
              <w:rPr>
                <w:kern w:val="2"/>
              </w:rPr>
            </w:pPr>
            <w:r>
              <w:rPr>
                <w:kern w:val="2"/>
              </w:rPr>
              <w:t>1990</w:t>
            </w:r>
          </w:p>
        </w:tc>
        <w:tc>
          <w:tcPr>
            <w:tcW w:w="2447" w:type="dxa"/>
            <w:gridSpan w:val="2"/>
          </w:tcPr>
          <w:p w:rsidR="00000000" w:rsidRDefault="00000000">
            <w:pPr>
              <w:pStyle w:val="16"/>
              <w:tabs>
                <w:tab w:val="clear" w:pos="1701"/>
                <w:tab w:val="clear" w:pos="2268"/>
                <w:tab w:val="left" w:pos="567"/>
                <w:tab w:val="left" w:pos="1134"/>
                <w:tab w:val="left" w:pos="6237"/>
              </w:tabs>
              <w:rPr>
                <w:kern w:val="2"/>
              </w:rPr>
            </w:pPr>
            <w:r>
              <w:rPr>
                <w:kern w:val="2"/>
              </w:rPr>
              <w:t>5 627,67</w:t>
            </w:r>
          </w:p>
        </w:tc>
        <w:tc>
          <w:tcPr>
            <w:tcW w:w="1973" w:type="dxa"/>
            <w:gridSpan w:val="3"/>
          </w:tcPr>
          <w:p w:rsidR="00000000" w:rsidRDefault="00000000">
            <w:pPr>
              <w:pStyle w:val="16"/>
              <w:rPr>
                <w:kern w:val="2"/>
              </w:rPr>
            </w:pPr>
            <w:r>
              <w:rPr>
                <w:kern w:val="2"/>
              </w:rPr>
              <w:t>(-)5,5</w:t>
            </w:r>
          </w:p>
        </w:tc>
        <w:tc>
          <w:tcPr>
            <w:tcW w:w="2291" w:type="dxa"/>
            <w:gridSpan w:val="2"/>
          </w:tcPr>
          <w:p w:rsidR="00000000" w:rsidRDefault="00000000">
            <w:pPr>
              <w:pStyle w:val="16"/>
              <w:tabs>
                <w:tab w:val="clear" w:pos="2268"/>
                <w:tab w:val="left" w:pos="567"/>
                <w:tab w:val="left" w:pos="1134"/>
                <w:tab w:val="left" w:pos="1701"/>
                <w:tab w:val="left" w:pos="6237"/>
              </w:tabs>
              <w:rPr>
                <w:kern w:val="2"/>
              </w:rPr>
            </w:pPr>
            <w:r>
              <w:rPr>
                <w:kern w:val="2"/>
              </w:rPr>
              <w:t>3 257,09</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1991</w:t>
            </w:r>
          </w:p>
        </w:tc>
        <w:tc>
          <w:tcPr>
            <w:tcW w:w="2447" w:type="dxa"/>
            <w:gridSpan w:val="2"/>
          </w:tcPr>
          <w:p w:rsidR="00000000" w:rsidRDefault="00000000">
            <w:pPr>
              <w:tabs>
                <w:tab w:val="clear" w:pos="1701"/>
                <w:tab w:val="clear" w:pos="2268"/>
              </w:tabs>
              <w:jc w:val="center"/>
              <w:rPr>
                <w:kern w:val="2"/>
              </w:rPr>
            </w:pPr>
            <w:r>
              <w:rPr>
                <w:kern w:val="2"/>
              </w:rPr>
              <w:t>5 595,66</w:t>
            </w:r>
          </w:p>
        </w:tc>
        <w:tc>
          <w:tcPr>
            <w:tcW w:w="1973" w:type="dxa"/>
            <w:gridSpan w:val="3"/>
          </w:tcPr>
          <w:p w:rsidR="00000000" w:rsidRDefault="00000000">
            <w:pPr>
              <w:jc w:val="center"/>
              <w:rPr>
                <w:kern w:val="2"/>
              </w:rPr>
            </w:pPr>
            <w:r>
              <w:rPr>
                <w:kern w:val="2"/>
              </w:rPr>
              <w:t>(-)0,6</w:t>
            </w:r>
          </w:p>
        </w:tc>
        <w:tc>
          <w:tcPr>
            <w:tcW w:w="2291" w:type="dxa"/>
            <w:gridSpan w:val="2"/>
          </w:tcPr>
          <w:p w:rsidR="00000000" w:rsidRDefault="00000000">
            <w:pPr>
              <w:tabs>
                <w:tab w:val="clear" w:pos="2268"/>
              </w:tabs>
              <w:jc w:val="center"/>
              <w:rPr>
                <w:kern w:val="2"/>
              </w:rPr>
            </w:pPr>
            <w:r>
              <w:rPr>
                <w:kern w:val="2"/>
              </w:rPr>
              <w:t>2 770,88</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1992</w:t>
            </w:r>
          </w:p>
        </w:tc>
        <w:tc>
          <w:tcPr>
            <w:tcW w:w="2447" w:type="dxa"/>
            <w:gridSpan w:val="2"/>
          </w:tcPr>
          <w:p w:rsidR="00000000" w:rsidRDefault="00000000">
            <w:pPr>
              <w:tabs>
                <w:tab w:val="clear" w:pos="1701"/>
                <w:tab w:val="clear" w:pos="2268"/>
              </w:tabs>
              <w:jc w:val="center"/>
              <w:rPr>
                <w:kern w:val="2"/>
              </w:rPr>
            </w:pPr>
            <w:r>
              <w:rPr>
                <w:kern w:val="2"/>
              </w:rPr>
              <w:t>5 480,25</w:t>
            </w:r>
          </w:p>
        </w:tc>
        <w:tc>
          <w:tcPr>
            <w:tcW w:w="1973" w:type="dxa"/>
            <w:gridSpan w:val="3"/>
          </w:tcPr>
          <w:p w:rsidR="00000000" w:rsidRDefault="00000000">
            <w:pPr>
              <w:jc w:val="center"/>
              <w:rPr>
                <w:kern w:val="2"/>
              </w:rPr>
            </w:pPr>
            <w:r>
              <w:rPr>
                <w:kern w:val="2"/>
              </w:rPr>
              <w:t>(-)2,1</w:t>
            </w:r>
          </w:p>
        </w:tc>
        <w:tc>
          <w:tcPr>
            <w:tcW w:w="2291" w:type="dxa"/>
            <w:gridSpan w:val="2"/>
          </w:tcPr>
          <w:p w:rsidR="00000000" w:rsidRDefault="00000000">
            <w:pPr>
              <w:tabs>
                <w:tab w:val="clear" w:pos="2268"/>
              </w:tabs>
              <w:jc w:val="center"/>
              <w:rPr>
                <w:kern w:val="2"/>
              </w:rPr>
            </w:pPr>
            <w:r>
              <w:rPr>
                <w:kern w:val="2"/>
              </w:rPr>
              <w:t>2 604,82</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1993</w:t>
            </w:r>
          </w:p>
        </w:tc>
        <w:tc>
          <w:tcPr>
            <w:tcW w:w="2447" w:type="dxa"/>
            <w:gridSpan w:val="2"/>
          </w:tcPr>
          <w:p w:rsidR="00000000" w:rsidRDefault="00000000">
            <w:pPr>
              <w:tabs>
                <w:tab w:val="clear" w:pos="1701"/>
                <w:tab w:val="clear" w:pos="2268"/>
              </w:tabs>
              <w:jc w:val="center"/>
              <w:rPr>
                <w:kern w:val="2"/>
              </w:rPr>
            </w:pPr>
            <w:r>
              <w:rPr>
                <w:kern w:val="2"/>
              </w:rPr>
              <w:t>5 664,20</w:t>
            </w:r>
          </w:p>
        </w:tc>
        <w:tc>
          <w:tcPr>
            <w:tcW w:w="1973" w:type="dxa"/>
            <w:gridSpan w:val="3"/>
          </w:tcPr>
          <w:p w:rsidR="00000000" w:rsidRDefault="00000000">
            <w:pPr>
              <w:jc w:val="center"/>
              <w:rPr>
                <w:kern w:val="2"/>
              </w:rPr>
            </w:pPr>
            <w:r>
              <w:rPr>
                <w:kern w:val="2"/>
              </w:rPr>
              <w:t>3,4</w:t>
            </w:r>
          </w:p>
        </w:tc>
        <w:tc>
          <w:tcPr>
            <w:tcW w:w="2291" w:type="dxa"/>
            <w:gridSpan w:val="2"/>
          </w:tcPr>
          <w:p w:rsidR="00000000" w:rsidRDefault="00000000">
            <w:pPr>
              <w:tabs>
                <w:tab w:val="clear" w:pos="2268"/>
              </w:tabs>
              <w:jc w:val="center"/>
              <w:rPr>
                <w:kern w:val="2"/>
              </w:rPr>
            </w:pPr>
            <w:r>
              <w:rPr>
                <w:kern w:val="2"/>
              </w:rPr>
              <w:t>2 846,86</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1994</w:t>
            </w:r>
          </w:p>
        </w:tc>
        <w:tc>
          <w:tcPr>
            <w:tcW w:w="2447" w:type="dxa"/>
            <w:gridSpan w:val="2"/>
          </w:tcPr>
          <w:p w:rsidR="00000000" w:rsidRDefault="00000000">
            <w:pPr>
              <w:tabs>
                <w:tab w:val="clear" w:pos="1701"/>
                <w:tab w:val="clear" w:pos="2268"/>
              </w:tabs>
              <w:jc w:val="center"/>
              <w:rPr>
                <w:kern w:val="2"/>
              </w:rPr>
            </w:pPr>
            <w:r>
              <w:rPr>
                <w:kern w:val="2"/>
              </w:rPr>
              <w:t>5 909,03</w:t>
            </w:r>
          </w:p>
        </w:tc>
        <w:tc>
          <w:tcPr>
            <w:tcW w:w="1973" w:type="dxa"/>
            <w:gridSpan w:val="3"/>
          </w:tcPr>
          <w:p w:rsidR="00000000" w:rsidRDefault="00000000">
            <w:pPr>
              <w:jc w:val="center"/>
              <w:rPr>
                <w:kern w:val="2"/>
              </w:rPr>
            </w:pPr>
            <w:r>
              <w:rPr>
                <w:kern w:val="2"/>
              </w:rPr>
              <w:t>4,3</w:t>
            </w:r>
          </w:p>
        </w:tc>
        <w:tc>
          <w:tcPr>
            <w:tcW w:w="2291" w:type="dxa"/>
            <w:gridSpan w:val="2"/>
          </w:tcPr>
          <w:p w:rsidR="00000000" w:rsidRDefault="00000000">
            <w:pPr>
              <w:tabs>
                <w:tab w:val="clear" w:pos="2268"/>
              </w:tabs>
              <w:jc w:val="center"/>
              <w:rPr>
                <w:kern w:val="2"/>
              </w:rPr>
            </w:pPr>
            <w:r>
              <w:rPr>
                <w:kern w:val="2"/>
              </w:rPr>
              <w:t>3 546,27</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1995</w:t>
            </w:r>
          </w:p>
        </w:tc>
        <w:tc>
          <w:tcPr>
            <w:tcW w:w="2447" w:type="dxa"/>
            <w:gridSpan w:val="2"/>
          </w:tcPr>
          <w:p w:rsidR="00000000" w:rsidRDefault="00000000">
            <w:pPr>
              <w:tabs>
                <w:tab w:val="clear" w:pos="1701"/>
                <w:tab w:val="clear" w:pos="2268"/>
              </w:tabs>
              <w:jc w:val="center"/>
              <w:rPr>
                <w:kern w:val="2"/>
              </w:rPr>
            </w:pPr>
            <w:r>
              <w:rPr>
                <w:kern w:val="2"/>
              </w:rPr>
              <w:t>6 072,11</w:t>
            </w:r>
          </w:p>
        </w:tc>
        <w:tc>
          <w:tcPr>
            <w:tcW w:w="1973" w:type="dxa"/>
            <w:gridSpan w:val="3"/>
          </w:tcPr>
          <w:p w:rsidR="00000000" w:rsidRDefault="00000000">
            <w:pPr>
              <w:jc w:val="center"/>
              <w:rPr>
                <w:kern w:val="2"/>
              </w:rPr>
            </w:pPr>
            <w:r>
              <w:rPr>
                <w:kern w:val="2"/>
              </w:rPr>
              <w:t>2,8</w:t>
            </w:r>
          </w:p>
        </w:tc>
        <w:tc>
          <w:tcPr>
            <w:tcW w:w="2291" w:type="dxa"/>
            <w:gridSpan w:val="2"/>
          </w:tcPr>
          <w:p w:rsidR="00000000" w:rsidRDefault="00000000">
            <w:pPr>
              <w:tabs>
                <w:tab w:val="clear" w:pos="2268"/>
              </w:tabs>
              <w:jc w:val="center"/>
              <w:rPr>
                <w:kern w:val="2"/>
              </w:rPr>
            </w:pPr>
            <w:r>
              <w:rPr>
                <w:kern w:val="2"/>
              </w:rPr>
              <w:t>4 541,94</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1996</w:t>
            </w:r>
          </w:p>
        </w:tc>
        <w:tc>
          <w:tcPr>
            <w:tcW w:w="2447" w:type="dxa"/>
            <w:gridSpan w:val="2"/>
          </w:tcPr>
          <w:p w:rsidR="00000000" w:rsidRDefault="00000000">
            <w:pPr>
              <w:tabs>
                <w:tab w:val="clear" w:pos="1701"/>
                <w:tab w:val="clear" w:pos="2268"/>
              </w:tabs>
              <w:jc w:val="center"/>
              <w:rPr>
                <w:kern w:val="2"/>
              </w:rPr>
            </w:pPr>
            <w:r>
              <w:rPr>
                <w:kern w:val="2"/>
              </w:rPr>
              <w:t>6 148,01</w:t>
            </w:r>
          </w:p>
        </w:tc>
        <w:tc>
          <w:tcPr>
            <w:tcW w:w="1973" w:type="dxa"/>
            <w:gridSpan w:val="3"/>
          </w:tcPr>
          <w:p w:rsidR="00000000" w:rsidRDefault="00000000">
            <w:pPr>
              <w:jc w:val="center"/>
              <w:rPr>
                <w:kern w:val="2"/>
              </w:rPr>
            </w:pPr>
            <w:r>
              <w:rPr>
                <w:kern w:val="2"/>
              </w:rPr>
              <w:t>1,2</w:t>
            </w:r>
          </w:p>
        </w:tc>
        <w:tc>
          <w:tcPr>
            <w:tcW w:w="2291" w:type="dxa"/>
            <w:gridSpan w:val="2"/>
          </w:tcPr>
          <w:p w:rsidR="00000000" w:rsidRDefault="00000000">
            <w:pPr>
              <w:tabs>
                <w:tab w:val="clear" w:pos="2268"/>
              </w:tabs>
              <w:jc w:val="center"/>
              <w:rPr>
                <w:kern w:val="2"/>
              </w:rPr>
            </w:pPr>
            <w:r>
              <w:rPr>
                <w:kern w:val="2"/>
              </w:rPr>
              <w:t>4 924,21</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1997</w:t>
            </w:r>
          </w:p>
        </w:tc>
        <w:tc>
          <w:tcPr>
            <w:tcW w:w="2447" w:type="dxa"/>
            <w:gridSpan w:val="2"/>
          </w:tcPr>
          <w:p w:rsidR="00000000" w:rsidRDefault="00000000">
            <w:pPr>
              <w:tabs>
                <w:tab w:val="clear" w:pos="1701"/>
                <w:tab w:val="clear" w:pos="2268"/>
              </w:tabs>
              <w:jc w:val="center"/>
              <w:rPr>
                <w:kern w:val="2"/>
              </w:rPr>
            </w:pPr>
            <w:r>
              <w:rPr>
                <w:kern w:val="2"/>
              </w:rPr>
              <w:t>6 283,40</w:t>
            </w:r>
          </w:p>
        </w:tc>
        <w:tc>
          <w:tcPr>
            <w:tcW w:w="1973" w:type="dxa"/>
            <w:gridSpan w:val="3"/>
          </w:tcPr>
          <w:p w:rsidR="00000000" w:rsidRDefault="00000000">
            <w:pPr>
              <w:jc w:val="center"/>
              <w:rPr>
                <w:kern w:val="2"/>
              </w:rPr>
            </w:pPr>
            <w:r>
              <w:rPr>
                <w:kern w:val="2"/>
              </w:rPr>
              <w:t>2,2</w:t>
            </w:r>
          </w:p>
        </w:tc>
        <w:tc>
          <w:tcPr>
            <w:tcW w:w="2291" w:type="dxa"/>
            <w:gridSpan w:val="2"/>
          </w:tcPr>
          <w:p w:rsidR="00000000" w:rsidRDefault="00000000">
            <w:pPr>
              <w:tabs>
                <w:tab w:val="clear" w:pos="2268"/>
              </w:tabs>
              <w:jc w:val="center"/>
              <w:rPr>
                <w:kern w:val="2"/>
              </w:rPr>
            </w:pPr>
            <w:r>
              <w:rPr>
                <w:kern w:val="2"/>
              </w:rPr>
              <w:t>5 021,81</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1998</w:t>
            </w:r>
          </w:p>
        </w:tc>
        <w:tc>
          <w:tcPr>
            <w:tcW w:w="2447" w:type="dxa"/>
            <w:gridSpan w:val="2"/>
          </w:tcPr>
          <w:p w:rsidR="00000000" w:rsidRDefault="00000000">
            <w:pPr>
              <w:tabs>
                <w:tab w:val="clear" w:pos="1701"/>
                <w:tab w:val="clear" w:pos="2268"/>
              </w:tabs>
              <w:jc w:val="center"/>
              <w:rPr>
                <w:kern w:val="2"/>
              </w:rPr>
            </w:pPr>
            <w:r>
              <w:rPr>
                <w:kern w:val="2"/>
              </w:rPr>
              <w:t>9 192,31</w:t>
            </w:r>
          </w:p>
        </w:tc>
        <w:tc>
          <w:tcPr>
            <w:tcW w:w="1973" w:type="dxa"/>
            <w:gridSpan w:val="3"/>
          </w:tcPr>
          <w:p w:rsidR="00000000" w:rsidRDefault="00000000">
            <w:pPr>
              <w:jc w:val="center"/>
              <w:rPr>
                <w:kern w:val="2"/>
              </w:rPr>
            </w:pPr>
            <w:r>
              <w:rPr>
                <w:kern w:val="2"/>
              </w:rPr>
              <w:t>(-)1,4</w:t>
            </w:r>
          </w:p>
        </w:tc>
        <w:tc>
          <w:tcPr>
            <w:tcW w:w="2291" w:type="dxa"/>
            <w:gridSpan w:val="2"/>
          </w:tcPr>
          <w:p w:rsidR="00000000" w:rsidRDefault="00000000">
            <w:pPr>
              <w:tabs>
                <w:tab w:val="clear" w:pos="2268"/>
              </w:tabs>
              <w:jc w:val="center"/>
              <w:rPr>
                <w:kern w:val="2"/>
              </w:rPr>
            </w:pPr>
            <w:r>
              <w:rPr>
                <w:kern w:val="2"/>
              </w:rPr>
              <w:t>4 793,26</w:t>
            </w:r>
          </w:p>
        </w:tc>
      </w:tr>
      <w:tr w:rsidR="00000000">
        <w:tblPrEx>
          <w:tblCellMar>
            <w:top w:w="0" w:type="dxa"/>
            <w:left w:w="7" w:type="dxa"/>
            <w:bottom w:w="0" w:type="dxa"/>
            <w:right w:w="7" w:type="dxa"/>
          </w:tblCellMar>
        </w:tblPrEx>
        <w:trPr>
          <w:jc w:val="center"/>
        </w:trPr>
        <w:tc>
          <w:tcPr>
            <w:tcW w:w="941" w:type="dxa"/>
          </w:tcPr>
          <w:p w:rsidR="00000000" w:rsidRDefault="00000000">
            <w:pPr>
              <w:jc w:val="center"/>
              <w:rPr>
                <w:kern w:val="2"/>
              </w:rPr>
            </w:pPr>
            <w:r>
              <w:rPr>
                <w:kern w:val="2"/>
              </w:rPr>
              <w:t>1999</w:t>
            </w:r>
          </w:p>
        </w:tc>
        <w:tc>
          <w:tcPr>
            <w:tcW w:w="2447" w:type="dxa"/>
            <w:gridSpan w:val="2"/>
          </w:tcPr>
          <w:p w:rsidR="00000000" w:rsidRDefault="00000000">
            <w:pPr>
              <w:tabs>
                <w:tab w:val="clear" w:pos="1701"/>
                <w:tab w:val="clear" w:pos="2268"/>
              </w:tabs>
              <w:jc w:val="center"/>
              <w:rPr>
                <w:kern w:val="2"/>
              </w:rPr>
            </w:pPr>
            <w:r>
              <w:rPr>
                <w:kern w:val="2"/>
              </w:rPr>
              <w:t>6 160,92</w:t>
            </w:r>
          </w:p>
        </w:tc>
        <w:tc>
          <w:tcPr>
            <w:tcW w:w="1973" w:type="dxa"/>
            <w:gridSpan w:val="3"/>
          </w:tcPr>
          <w:p w:rsidR="00000000" w:rsidRDefault="00000000">
            <w:pPr>
              <w:jc w:val="center"/>
              <w:rPr>
                <w:kern w:val="2"/>
              </w:rPr>
            </w:pPr>
            <w:r>
              <w:rPr>
                <w:kern w:val="2"/>
              </w:rPr>
              <w:t>(-)0,5</w:t>
            </w:r>
          </w:p>
        </w:tc>
        <w:tc>
          <w:tcPr>
            <w:tcW w:w="2291" w:type="dxa"/>
            <w:gridSpan w:val="2"/>
          </w:tcPr>
          <w:p w:rsidR="00000000" w:rsidRDefault="00000000">
            <w:pPr>
              <w:tabs>
                <w:tab w:val="clear" w:pos="2268"/>
              </w:tabs>
              <w:jc w:val="center"/>
              <w:rPr>
                <w:kern w:val="2"/>
              </w:rPr>
            </w:pPr>
            <w:r>
              <w:rPr>
                <w:kern w:val="2"/>
              </w:rPr>
              <w:t>3 396,43</w:t>
            </w:r>
          </w:p>
        </w:tc>
      </w:tr>
    </w:tbl>
    <w:p w:rsidR="00000000" w:rsidRDefault="00000000">
      <w:pPr>
        <w:pStyle w:val="BodyText3"/>
        <w:spacing w:line="288" w:lineRule="auto"/>
        <w:jc w:val="left"/>
        <w:rPr>
          <w:b/>
          <w:spacing w:val="20"/>
          <w:kern w:val="16"/>
          <w:sz w:val="24"/>
          <w:lang w:val="ru-RU"/>
        </w:rPr>
      </w:pPr>
    </w:p>
    <w:p w:rsidR="00000000" w:rsidRDefault="00000000">
      <w:pPr>
        <w:rPr>
          <w:kern w:val="16"/>
        </w:rPr>
      </w:pPr>
      <w:r>
        <w:rPr>
          <w:kern w:val="16"/>
        </w:rPr>
        <w:tab/>
      </w:r>
      <w:r>
        <w:rPr>
          <w:kern w:val="16"/>
          <w:u w:val="single"/>
        </w:rPr>
        <w:t>Источник</w:t>
      </w:r>
      <w:r>
        <w:rPr>
          <w:kern w:val="16"/>
        </w:rPr>
        <w:t>:  Центральный банк Бразилии – ЦББ.</w:t>
      </w:r>
    </w:p>
    <w:p w:rsidR="00000000" w:rsidRDefault="00000000">
      <w:pPr>
        <w:rPr>
          <w:kern w:val="16"/>
        </w:rPr>
      </w:pPr>
    </w:p>
    <w:p w:rsidR="00000000" w:rsidRDefault="00000000">
      <w:pPr>
        <w:rPr>
          <w:kern w:val="16"/>
        </w:rPr>
      </w:pPr>
      <w:r>
        <w:rPr>
          <w:kern w:val="16"/>
        </w:rPr>
        <w:tab/>
      </w:r>
      <w:r>
        <w:rPr>
          <w:kern w:val="16"/>
          <w:u w:val="single"/>
        </w:rPr>
        <w:t>Примечание</w:t>
      </w:r>
      <w:r>
        <w:rPr>
          <w:kern w:val="16"/>
        </w:rPr>
        <w:t>:  Снижение ВВП на душу населения в долларовом исчислении в период 1998-1999 годов являлось следствием изменения введенного в январе 1999 года курса обмена иностранных валют.</w:t>
      </w:r>
    </w:p>
    <w:p w:rsidR="00000000" w:rsidRDefault="00000000">
      <w:pPr>
        <w:rPr>
          <w:kern w:val="16"/>
        </w:rPr>
      </w:pPr>
    </w:p>
    <w:p w:rsidR="00000000" w:rsidRDefault="00000000">
      <w:pPr>
        <w:pStyle w:val="BodyText3"/>
        <w:spacing w:line="288" w:lineRule="auto"/>
        <w:jc w:val="center"/>
        <w:rPr>
          <w:b/>
          <w:bCs/>
          <w:kern w:val="2"/>
          <w:sz w:val="24"/>
          <w:lang w:val="ru-RU"/>
        </w:rPr>
      </w:pPr>
      <w:r>
        <w:rPr>
          <w:b/>
          <w:bCs/>
          <w:spacing w:val="20"/>
          <w:kern w:val="2"/>
          <w:sz w:val="24"/>
          <w:lang w:val="ru-RU"/>
        </w:rPr>
        <w:t xml:space="preserve">Таблица 4.   </w:t>
      </w:r>
      <w:r>
        <w:rPr>
          <w:b/>
          <w:bCs/>
          <w:kern w:val="2"/>
          <w:sz w:val="24"/>
          <w:lang w:val="ru-RU"/>
        </w:rPr>
        <w:t>Прямые иностранные инвестиции (в чистом выражении)</w:t>
      </w:r>
    </w:p>
    <w:p w:rsidR="00000000" w:rsidRDefault="00000000">
      <w:pPr>
        <w:jc w:val="center"/>
        <w:rPr>
          <w:b/>
          <w:bCs/>
          <w:kern w:val="2"/>
        </w:rPr>
      </w:pPr>
      <w:r>
        <w:rPr>
          <w:b/>
          <w:bCs/>
          <w:kern w:val="2"/>
        </w:rPr>
        <w:t>в млрд. долл. США</w:t>
      </w:r>
    </w:p>
    <w:p w:rsidR="00000000" w:rsidRDefault="00000000">
      <w:pPr>
        <w:pStyle w:val="BodyText3"/>
        <w:spacing w:line="288" w:lineRule="auto"/>
        <w:jc w:val="center"/>
        <w:rPr>
          <w:b/>
          <w:bCs/>
          <w:spacing w:val="20"/>
          <w:kern w:val="2"/>
          <w:sz w:val="24"/>
          <w:lang w:val="ru-RU"/>
        </w:rPr>
      </w:pPr>
    </w:p>
    <w:tbl>
      <w:tblPr>
        <w:tblW w:w="0" w:type="auto"/>
        <w:jc w:val="center"/>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559"/>
        <w:gridCol w:w="2175"/>
        <w:gridCol w:w="2671"/>
        <w:gridCol w:w="1174"/>
      </w:tblGrid>
      <w:tr w:rsidR="00000000">
        <w:tblPrEx>
          <w:tblCellMar>
            <w:top w:w="0" w:type="dxa"/>
            <w:bottom w:w="0" w:type="dxa"/>
          </w:tblCellMar>
        </w:tblPrEx>
        <w:trPr>
          <w:jc w:val="center"/>
        </w:trPr>
        <w:tc>
          <w:tcPr>
            <w:tcW w:w="1559" w:type="dxa"/>
          </w:tcPr>
          <w:p w:rsidR="00000000" w:rsidRDefault="00000000">
            <w:pPr>
              <w:pStyle w:val="BodyText3"/>
              <w:spacing w:line="288" w:lineRule="auto"/>
              <w:jc w:val="center"/>
              <w:rPr>
                <w:kern w:val="2"/>
                <w:sz w:val="24"/>
                <w:lang w:val="ru-RU"/>
              </w:rPr>
            </w:pPr>
            <w:r>
              <w:rPr>
                <w:kern w:val="2"/>
                <w:sz w:val="24"/>
                <w:lang w:val="ru-RU"/>
              </w:rPr>
              <w:t xml:space="preserve">Период </w:t>
            </w:r>
          </w:p>
        </w:tc>
        <w:tc>
          <w:tcPr>
            <w:tcW w:w="2175" w:type="dxa"/>
          </w:tcPr>
          <w:p w:rsidR="00000000" w:rsidRDefault="00000000">
            <w:pPr>
              <w:pStyle w:val="BodyText3"/>
              <w:spacing w:line="288" w:lineRule="auto"/>
              <w:jc w:val="center"/>
              <w:rPr>
                <w:kern w:val="2"/>
                <w:sz w:val="24"/>
                <w:lang w:val="ru-RU"/>
              </w:rPr>
            </w:pPr>
            <w:r>
              <w:rPr>
                <w:kern w:val="2"/>
                <w:sz w:val="24"/>
                <w:lang w:val="ru-RU"/>
              </w:rPr>
              <w:t>Прямые инвестиции в частный сектор</w:t>
            </w:r>
          </w:p>
        </w:tc>
        <w:tc>
          <w:tcPr>
            <w:tcW w:w="2671" w:type="dxa"/>
          </w:tcPr>
          <w:p w:rsidR="00000000" w:rsidRDefault="00000000">
            <w:pPr>
              <w:pStyle w:val="BodyText3"/>
              <w:spacing w:line="288" w:lineRule="auto"/>
              <w:jc w:val="center"/>
              <w:rPr>
                <w:kern w:val="2"/>
                <w:sz w:val="24"/>
                <w:lang w:val="ru-RU"/>
              </w:rPr>
            </w:pPr>
            <w:r>
              <w:rPr>
                <w:kern w:val="2"/>
                <w:sz w:val="24"/>
                <w:lang w:val="ru-RU"/>
              </w:rPr>
              <w:t xml:space="preserve">Прямые инвестиции в программу приватизации </w:t>
            </w:r>
          </w:p>
        </w:tc>
        <w:tc>
          <w:tcPr>
            <w:tcW w:w="1174" w:type="dxa"/>
          </w:tcPr>
          <w:p w:rsidR="00000000" w:rsidRDefault="00000000">
            <w:pPr>
              <w:pStyle w:val="BodyText3"/>
              <w:spacing w:line="288" w:lineRule="auto"/>
              <w:jc w:val="center"/>
              <w:rPr>
                <w:kern w:val="2"/>
                <w:sz w:val="24"/>
                <w:lang w:val="ru-RU"/>
              </w:rPr>
            </w:pPr>
            <w:r>
              <w:rPr>
                <w:kern w:val="2"/>
                <w:sz w:val="24"/>
                <w:lang w:val="ru-RU"/>
              </w:rPr>
              <w:t>Всего</w:t>
            </w:r>
          </w:p>
        </w:tc>
      </w:tr>
      <w:tr w:rsidR="00000000">
        <w:tblPrEx>
          <w:tblCellMar>
            <w:top w:w="0" w:type="dxa"/>
            <w:bottom w:w="0" w:type="dxa"/>
          </w:tblCellMar>
        </w:tblPrEx>
        <w:trPr>
          <w:jc w:val="center"/>
        </w:trPr>
        <w:tc>
          <w:tcPr>
            <w:tcW w:w="1559" w:type="dxa"/>
          </w:tcPr>
          <w:p w:rsidR="00000000" w:rsidRDefault="00000000">
            <w:pPr>
              <w:pStyle w:val="BodyText3"/>
              <w:spacing w:line="288" w:lineRule="auto"/>
              <w:jc w:val="center"/>
              <w:rPr>
                <w:kern w:val="2"/>
                <w:sz w:val="24"/>
                <w:lang w:val="ru-RU"/>
              </w:rPr>
            </w:pPr>
            <w:r>
              <w:rPr>
                <w:kern w:val="2"/>
                <w:sz w:val="24"/>
                <w:lang w:val="ru-RU"/>
              </w:rPr>
              <w:t>1995</w:t>
            </w:r>
          </w:p>
        </w:tc>
        <w:tc>
          <w:tcPr>
            <w:tcW w:w="2175" w:type="dxa"/>
          </w:tcPr>
          <w:p w:rsidR="00000000" w:rsidRDefault="00000000">
            <w:pPr>
              <w:pStyle w:val="BodyText3"/>
              <w:spacing w:line="288" w:lineRule="auto"/>
              <w:jc w:val="center"/>
              <w:rPr>
                <w:kern w:val="2"/>
                <w:sz w:val="24"/>
                <w:lang w:val="ru-RU"/>
              </w:rPr>
            </w:pPr>
            <w:r>
              <w:rPr>
                <w:kern w:val="2"/>
                <w:sz w:val="24"/>
                <w:lang w:val="ru-RU"/>
              </w:rPr>
              <w:t>4,3</w:t>
            </w:r>
          </w:p>
        </w:tc>
        <w:tc>
          <w:tcPr>
            <w:tcW w:w="2671" w:type="dxa"/>
          </w:tcPr>
          <w:p w:rsidR="00000000" w:rsidRDefault="00000000">
            <w:pPr>
              <w:pStyle w:val="BodyText3"/>
              <w:spacing w:line="288" w:lineRule="auto"/>
              <w:jc w:val="center"/>
              <w:rPr>
                <w:kern w:val="2"/>
                <w:sz w:val="24"/>
                <w:lang w:val="ru-RU"/>
              </w:rPr>
            </w:pPr>
            <w:r>
              <w:rPr>
                <w:kern w:val="2"/>
                <w:sz w:val="24"/>
                <w:lang w:val="ru-RU"/>
              </w:rPr>
              <w:t>---</w:t>
            </w:r>
          </w:p>
        </w:tc>
        <w:tc>
          <w:tcPr>
            <w:tcW w:w="1174" w:type="dxa"/>
          </w:tcPr>
          <w:p w:rsidR="00000000" w:rsidRDefault="00000000">
            <w:pPr>
              <w:pStyle w:val="BodyText3"/>
              <w:spacing w:line="288" w:lineRule="auto"/>
              <w:jc w:val="center"/>
              <w:rPr>
                <w:kern w:val="2"/>
                <w:sz w:val="24"/>
                <w:lang w:val="ru-RU"/>
              </w:rPr>
            </w:pPr>
            <w:r>
              <w:rPr>
                <w:kern w:val="2"/>
                <w:sz w:val="24"/>
                <w:lang w:val="ru-RU"/>
              </w:rPr>
              <w:t>4,3</w:t>
            </w:r>
          </w:p>
        </w:tc>
      </w:tr>
      <w:tr w:rsidR="00000000">
        <w:tblPrEx>
          <w:tblCellMar>
            <w:top w:w="0" w:type="dxa"/>
            <w:bottom w:w="0" w:type="dxa"/>
          </w:tblCellMar>
        </w:tblPrEx>
        <w:trPr>
          <w:jc w:val="center"/>
        </w:trPr>
        <w:tc>
          <w:tcPr>
            <w:tcW w:w="1559" w:type="dxa"/>
          </w:tcPr>
          <w:p w:rsidR="00000000" w:rsidRDefault="00000000">
            <w:pPr>
              <w:pStyle w:val="BodyText3"/>
              <w:spacing w:line="288" w:lineRule="auto"/>
              <w:jc w:val="center"/>
              <w:rPr>
                <w:kern w:val="2"/>
                <w:sz w:val="24"/>
                <w:lang w:val="ru-RU"/>
              </w:rPr>
            </w:pPr>
            <w:r>
              <w:rPr>
                <w:kern w:val="2"/>
                <w:sz w:val="24"/>
                <w:lang w:val="ru-RU"/>
              </w:rPr>
              <w:t>1996</w:t>
            </w:r>
          </w:p>
        </w:tc>
        <w:tc>
          <w:tcPr>
            <w:tcW w:w="2175" w:type="dxa"/>
          </w:tcPr>
          <w:p w:rsidR="00000000" w:rsidRDefault="00000000">
            <w:pPr>
              <w:pStyle w:val="BodyText3"/>
              <w:spacing w:line="288" w:lineRule="auto"/>
              <w:jc w:val="center"/>
              <w:rPr>
                <w:kern w:val="2"/>
                <w:sz w:val="24"/>
                <w:lang w:val="ru-RU"/>
              </w:rPr>
            </w:pPr>
            <w:r>
              <w:rPr>
                <w:kern w:val="2"/>
                <w:sz w:val="24"/>
                <w:lang w:val="ru-RU"/>
              </w:rPr>
              <w:t>7,3</w:t>
            </w:r>
          </w:p>
        </w:tc>
        <w:tc>
          <w:tcPr>
            <w:tcW w:w="2671" w:type="dxa"/>
          </w:tcPr>
          <w:p w:rsidR="00000000" w:rsidRDefault="00000000">
            <w:pPr>
              <w:pStyle w:val="BodyText3"/>
              <w:spacing w:line="288" w:lineRule="auto"/>
              <w:jc w:val="center"/>
              <w:rPr>
                <w:kern w:val="2"/>
                <w:sz w:val="24"/>
                <w:lang w:val="ru-RU"/>
              </w:rPr>
            </w:pPr>
            <w:r>
              <w:rPr>
                <w:kern w:val="2"/>
                <w:sz w:val="24"/>
                <w:lang w:val="ru-RU"/>
              </w:rPr>
              <w:t>2,6</w:t>
            </w:r>
          </w:p>
        </w:tc>
        <w:tc>
          <w:tcPr>
            <w:tcW w:w="1174" w:type="dxa"/>
          </w:tcPr>
          <w:p w:rsidR="00000000" w:rsidRDefault="00000000">
            <w:pPr>
              <w:pStyle w:val="BodyText3"/>
              <w:spacing w:line="288" w:lineRule="auto"/>
              <w:jc w:val="center"/>
              <w:rPr>
                <w:kern w:val="2"/>
                <w:sz w:val="24"/>
                <w:lang w:val="ru-RU"/>
              </w:rPr>
            </w:pPr>
            <w:r>
              <w:rPr>
                <w:kern w:val="2"/>
                <w:sz w:val="24"/>
                <w:lang w:val="ru-RU"/>
              </w:rPr>
              <w:t>9,9</w:t>
            </w:r>
          </w:p>
        </w:tc>
      </w:tr>
      <w:tr w:rsidR="00000000">
        <w:tblPrEx>
          <w:tblCellMar>
            <w:top w:w="0" w:type="dxa"/>
            <w:bottom w:w="0" w:type="dxa"/>
          </w:tblCellMar>
        </w:tblPrEx>
        <w:trPr>
          <w:jc w:val="center"/>
        </w:trPr>
        <w:tc>
          <w:tcPr>
            <w:tcW w:w="1559" w:type="dxa"/>
          </w:tcPr>
          <w:p w:rsidR="00000000" w:rsidRDefault="00000000">
            <w:pPr>
              <w:pStyle w:val="BodyText3"/>
              <w:spacing w:line="288" w:lineRule="auto"/>
              <w:jc w:val="center"/>
              <w:rPr>
                <w:kern w:val="2"/>
                <w:sz w:val="24"/>
                <w:lang w:val="ru-RU"/>
              </w:rPr>
            </w:pPr>
            <w:r>
              <w:rPr>
                <w:kern w:val="2"/>
                <w:sz w:val="24"/>
                <w:lang w:val="ru-RU"/>
              </w:rPr>
              <w:t>1997</w:t>
            </w:r>
          </w:p>
        </w:tc>
        <w:tc>
          <w:tcPr>
            <w:tcW w:w="2175" w:type="dxa"/>
          </w:tcPr>
          <w:p w:rsidR="00000000" w:rsidRDefault="00000000">
            <w:pPr>
              <w:pStyle w:val="BodyText3"/>
              <w:spacing w:line="288" w:lineRule="auto"/>
              <w:jc w:val="center"/>
              <w:rPr>
                <w:kern w:val="2"/>
                <w:sz w:val="24"/>
                <w:lang w:val="ru-RU"/>
              </w:rPr>
            </w:pPr>
            <w:r>
              <w:rPr>
                <w:kern w:val="2"/>
                <w:sz w:val="24"/>
                <w:lang w:val="ru-RU"/>
              </w:rPr>
              <w:t>11,8</w:t>
            </w:r>
          </w:p>
        </w:tc>
        <w:tc>
          <w:tcPr>
            <w:tcW w:w="2671" w:type="dxa"/>
          </w:tcPr>
          <w:p w:rsidR="00000000" w:rsidRDefault="00000000">
            <w:pPr>
              <w:pStyle w:val="BodyText3"/>
              <w:spacing w:line="288" w:lineRule="auto"/>
              <w:jc w:val="center"/>
              <w:rPr>
                <w:kern w:val="2"/>
                <w:sz w:val="24"/>
                <w:lang w:val="ru-RU"/>
              </w:rPr>
            </w:pPr>
            <w:r>
              <w:rPr>
                <w:kern w:val="2"/>
                <w:sz w:val="24"/>
                <w:lang w:val="ru-RU"/>
              </w:rPr>
              <w:t>5,2</w:t>
            </w:r>
          </w:p>
        </w:tc>
        <w:tc>
          <w:tcPr>
            <w:tcW w:w="1174" w:type="dxa"/>
          </w:tcPr>
          <w:p w:rsidR="00000000" w:rsidRDefault="00000000">
            <w:pPr>
              <w:pStyle w:val="BodyText3"/>
              <w:spacing w:line="288" w:lineRule="auto"/>
              <w:jc w:val="center"/>
              <w:rPr>
                <w:kern w:val="2"/>
                <w:sz w:val="24"/>
                <w:lang w:val="ru-RU"/>
              </w:rPr>
            </w:pPr>
            <w:r>
              <w:rPr>
                <w:kern w:val="2"/>
                <w:sz w:val="24"/>
                <w:lang w:val="ru-RU"/>
              </w:rPr>
              <w:t>17,0</w:t>
            </w:r>
          </w:p>
        </w:tc>
      </w:tr>
      <w:tr w:rsidR="00000000">
        <w:tblPrEx>
          <w:tblCellMar>
            <w:top w:w="0" w:type="dxa"/>
            <w:bottom w:w="0" w:type="dxa"/>
          </w:tblCellMar>
        </w:tblPrEx>
        <w:trPr>
          <w:jc w:val="center"/>
        </w:trPr>
        <w:tc>
          <w:tcPr>
            <w:tcW w:w="1559" w:type="dxa"/>
          </w:tcPr>
          <w:p w:rsidR="00000000" w:rsidRDefault="00000000">
            <w:pPr>
              <w:pStyle w:val="BodyText3"/>
              <w:spacing w:line="288" w:lineRule="auto"/>
              <w:jc w:val="center"/>
              <w:rPr>
                <w:kern w:val="2"/>
                <w:sz w:val="24"/>
                <w:lang w:val="ru-RU"/>
              </w:rPr>
            </w:pPr>
            <w:r>
              <w:rPr>
                <w:kern w:val="2"/>
                <w:sz w:val="24"/>
                <w:lang w:val="ru-RU"/>
              </w:rPr>
              <w:t>1998</w:t>
            </w:r>
          </w:p>
        </w:tc>
        <w:tc>
          <w:tcPr>
            <w:tcW w:w="2175" w:type="dxa"/>
          </w:tcPr>
          <w:p w:rsidR="00000000" w:rsidRDefault="00000000">
            <w:pPr>
              <w:pStyle w:val="BodyText3"/>
              <w:spacing w:line="288" w:lineRule="auto"/>
              <w:jc w:val="center"/>
              <w:rPr>
                <w:kern w:val="2"/>
                <w:sz w:val="24"/>
                <w:lang w:val="ru-RU"/>
              </w:rPr>
            </w:pPr>
            <w:r>
              <w:rPr>
                <w:kern w:val="2"/>
                <w:sz w:val="24"/>
                <w:lang w:val="ru-RU"/>
              </w:rPr>
              <w:t>20,0</w:t>
            </w:r>
          </w:p>
        </w:tc>
        <w:tc>
          <w:tcPr>
            <w:tcW w:w="2671" w:type="dxa"/>
          </w:tcPr>
          <w:p w:rsidR="00000000" w:rsidRDefault="00000000">
            <w:pPr>
              <w:pStyle w:val="BodyText3"/>
              <w:spacing w:line="288" w:lineRule="auto"/>
              <w:jc w:val="center"/>
              <w:rPr>
                <w:kern w:val="2"/>
                <w:sz w:val="24"/>
                <w:lang w:val="ru-RU"/>
              </w:rPr>
            </w:pPr>
            <w:r>
              <w:rPr>
                <w:kern w:val="2"/>
                <w:sz w:val="24"/>
                <w:lang w:val="ru-RU"/>
              </w:rPr>
              <w:t>6,1</w:t>
            </w:r>
          </w:p>
        </w:tc>
        <w:tc>
          <w:tcPr>
            <w:tcW w:w="1174" w:type="dxa"/>
          </w:tcPr>
          <w:p w:rsidR="00000000" w:rsidRDefault="00000000">
            <w:pPr>
              <w:pStyle w:val="BodyText3"/>
              <w:spacing w:line="288" w:lineRule="auto"/>
              <w:jc w:val="center"/>
              <w:rPr>
                <w:kern w:val="2"/>
                <w:sz w:val="24"/>
                <w:lang w:val="ru-RU"/>
              </w:rPr>
            </w:pPr>
            <w:r>
              <w:rPr>
                <w:kern w:val="2"/>
                <w:sz w:val="24"/>
                <w:lang w:val="ru-RU"/>
              </w:rPr>
              <w:t>26,1</w:t>
            </w:r>
          </w:p>
        </w:tc>
      </w:tr>
      <w:tr w:rsidR="00000000">
        <w:tblPrEx>
          <w:tblCellMar>
            <w:top w:w="0" w:type="dxa"/>
            <w:bottom w:w="0" w:type="dxa"/>
          </w:tblCellMar>
        </w:tblPrEx>
        <w:trPr>
          <w:jc w:val="center"/>
        </w:trPr>
        <w:tc>
          <w:tcPr>
            <w:tcW w:w="1559" w:type="dxa"/>
          </w:tcPr>
          <w:p w:rsidR="00000000" w:rsidRDefault="00000000">
            <w:pPr>
              <w:pStyle w:val="BodyText3"/>
              <w:spacing w:line="288" w:lineRule="auto"/>
              <w:jc w:val="center"/>
              <w:rPr>
                <w:kern w:val="2"/>
                <w:sz w:val="24"/>
                <w:lang w:val="ru-RU"/>
              </w:rPr>
            </w:pPr>
            <w:r>
              <w:rPr>
                <w:kern w:val="2"/>
                <w:sz w:val="24"/>
                <w:lang w:val="ru-RU"/>
              </w:rPr>
              <w:t>1999</w:t>
            </w:r>
          </w:p>
        </w:tc>
        <w:tc>
          <w:tcPr>
            <w:tcW w:w="2175" w:type="dxa"/>
          </w:tcPr>
          <w:p w:rsidR="00000000" w:rsidRDefault="00000000">
            <w:pPr>
              <w:pStyle w:val="BodyText3"/>
              <w:spacing w:line="288" w:lineRule="auto"/>
              <w:jc w:val="center"/>
              <w:rPr>
                <w:kern w:val="2"/>
                <w:sz w:val="24"/>
                <w:lang w:val="ru-RU"/>
              </w:rPr>
            </w:pPr>
            <w:r>
              <w:rPr>
                <w:kern w:val="2"/>
                <w:sz w:val="24"/>
                <w:lang w:val="ru-RU"/>
              </w:rPr>
              <w:t>21,2</w:t>
            </w:r>
          </w:p>
        </w:tc>
        <w:tc>
          <w:tcPr>
            <w:tcW w:w="2671" w:type="dxa"/>
          </w:tcPr>
          <w:p w:rsidR="00000000" w:rsidRDefault="00000000">
            <w:pPr>
              <w:pStyle w:val="BodyText3"/>
              <w:spacing w:line="288" w:lineRule="auto"/>
              <w:jc w:val="center"/>
              <w:rPr>
                <w:kern w:val="2"/>
                <w:sz w:val="24"/>
                <w:lang w:val="ru-RU"/>
              </w:rPr>
            </w:pPr>
            <w:r>
              <w:rPr>
                <w:kern w:val="2"/>
                <w:sz w:val="24"/>
                <w:lang w:val="ru-RU"/>
              </w:rPr>
              <w:t>8,8</w:t>
            </w:r>
          </w:p>
        </w:tc>
        <w:tc>
          <w:tcPr>
            <w:tcW w:w="1174" w:type="dxa"/>
          </w:tcPr>
          <w:p w:rsidR="00000000" w:rsidRDefault="00000000">
            <w:pPr>
              <w:pStyle w:val="BodyText3"/>
              <w:spacing w:line="288" w:lineRule="auto"/>
              <w:jc w:val="center"/>
              <w:rPr>
                <w:kern w:val="2"/>
                <w:sz w:val="24"/>
                <w:lang w:val="ru-RU"/>
              </w:rPr>
            </w:pPr>
            <w:r>
              <w:rPr>
                <w:kern w:val="2"/>
                <w:sz w:val="24"/>
                <w:lang w:val="ru-RU"/>
              </w:rPr>
              <w:t>30,0</w:t>
            </w:r>
          </w:p>
        </w:tc>
      </w:tr>
    </w:tbl>
    <w:p w:rsidR="00000000" w:rsidRDefault="00000000">
      <w:pPr>
        <w:pStyle w:val="BodyText3"/>
        <w:spacing w:line="288" w:lineRule="auto"/>
        <w:jc w:val="left"/>
        <w:rPr>
          <w:rStyle w:val="Strong"/>
          <w:spacing w:val="20"/>
          <w:kern w:val="2"/>
          <w:sz w:val="24"/>
          <w:lang w:val="ru-RU"/>
        </w:rPr>
      </w:pPr>
    </w:p>
    <w:p w:rsidR="00000000" w:rsidRDefault="00000000">
      <w:pPr>
        <w:rPr>
          <w:kern w:val="16"/>
        </w:rPr>
      </w:pPr>
      <w:r>
        <w:rPr>
          <w:kern w:val="16"/>
        </w:rPr>
        <w:tab/>
      </w:r>
      <w:r>
        <w:rPr>
          <w:kern w:val="16"/>
          <w:u w:val="single"/>
        </w:rPr>
        <w:t>Источник</w:t>
      </w:r>
      <w:r>
        <w:rPr>
          <w:kern w:val="16"/>
        </w:rPr>
        <w:t>:  Центральный банк Бразилии – ЦББ.</w:t>
      </w:r>
    </w:p>
    <w:p w:rsidR="00000000" w:rsidRDefault="00000000">
      <w:pPr>
        <w:rPr>
          <w:kern w:val="16"/>
        </w:rPr>
      </w:pPr>
    </w:p>
    <w:p w:rsidR="00000000" w:rsidRDefault="00000000">
      <w:pPr>
        <w:pStyle w:val="BodyText3"/>
        <w:spacing w:line="288" w:lineRule="auto"/>
        <w:jc w:val="left"/>
        <w:rPr>
          <w:kern w:val="16"/>
          <w:sz w:val="24"/>
          <w:lang w:val="ru-RU"/>
        </w:rPr>
      </w:pPr>
      <w:r>
        <w:rPr>
          <w:kern w:val="16"/>
          <w:lang w:val="ru-RU"/>
        </w:rPr>
        <w:tab/>
      </w:r>
      <w:r>
        <w:rPr>
          <w:kern w:val="16"/>
          <w:sz w:val="24"/>
          <w:u w:val="single"/>
          <w:lang w:val="ru-RU"/>
        </w:rPr>
        <w:t>Примечание</w:t>
      </w:r>
      <w:r>
        <w:rPr>
          <w:kern w:val="16"/>
          <w:sz w:val="24"/>
          <w:lang w:val="ru-RU"/>
        </w:rPr>
        <w:t>:  В настоящей таблице учитываются также операции в местной валюте, стоимость товарной продукции, реконверсионные операции и реинвестиции.</w:t>
      </w:r>
    </w:p>
    <w:p w:rsidR="00000000" w:rsidRDefault="00000000">
      <w:pPr>
        <w:pStyle w:val="BodyText3"/>
        <w:spacing w:line="288" w:lineRule="auto"/>
        <w:jc w:val="left"/>
        <w:rPr>
          <w:kern w:val="16"/>
          <w:sz w:val="24"/>
          <w:lang w:val="ru-RU"/>
        </w:rPr>
      </w:pPr>
    </w:p>
    <w:p w:rsidR="00000000" w:rsidRDefault="00000000">
      <w:pPr>
        <w:pStyle w:val="BodyText3"/>
        <w:spacing w:line="288" w:lineRule="auto"/>
        <w:jc w:val="center"/>
        <w:rPr>
          <w:b/>
          <w:bCs/>
          <w:kern w:val="16"/>
          <w:sz w:val="24"/>
          <w:lang w:val="ru-RU"/>
        </w:rPr>
      </w:pPr>
      <w:r>
        <w:rPr>
          <w:b/>
          <w:bCs/>
          <w:kern w:val="16"/>
          <w:sz w:val="24"/>
          <w:lang w:val="ru-RU"/>
        </w:rPr>
        <w:br w:type="page"/>
        <w:t>Таблица 5.   Национальная программа приватизации:  1991-1999 годы</w:t>
      </w:r>
    </w:p>
    <w:p w:rsidR="00000000" w:rsidRDefault="00000000">
      <w:pPr>
        <w:pStyle w:val="BodyText3"/>
        <w:spacing w:line="288" w:lineRule="auto"/>
        <w:jc w:val="center"/>
        <w:rPr>
          <w:b/>
          <w:bCs/>
          <w:kern w:val="16"/>
          <w:sz w:val="24"/>
          <w:lang w:val="ru-RU"/>
        </w:rPr>
      </w:pPr>
      <w:r>
        <w:rPr>
          <w:b/>
          <w:bCs/>
          <w:kern w:val="16"/>
          <w:sz w:val="24"/>
          <w:lang w:val="ru-RU"/>
        </w:rPr>
        <w:t>(в млн. долл. США)</w:t>
      </w:r>
    </w:p>
    <w:p w:rsidR="00000000" w:rsidRDefault="00000000">
      <w:pPr>
        <w:pStyle w:val="BodyText3"/>
        <w:spacing w:line="288" w:lineRule="auto"/>
        <w:jc w:val="center"/>
        <w:rPr>
          <w:b/>
          <w:bCs/>
          <w:kern w:val="16"/>
          <w:sz w:val="24"/>
          <w:lang w:val="ru-RU"/>
        </w:rPr>
      </w:pPr>
    </w:p>
    <w:tbl>
      <w:tblPr>
        <w:tblW w:w="0" w:type="auto"/>
        <w:jc w:val="center"/>
        <w:tblInd w:w="-1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3301"/>
        <w:gridCol w:w="1110"/>
        <w:gridCol w:w="1451"/>
        <w:gridCol w:w="1870"/>
        <w:gridCol w:w="1378"/>
      </w:tblGrid>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Сектор</w:t>
            </w:r>
          </w:p>
        </w:tc>
        <w:tc>
          <w:tcPr>
            <w:tcW w:w="1110" w:type="dxa"/>
          </w:tcPr>
          <w:p w:rsidR="00000000" w:rsidRDefault="00000000">
            <w:pPr>
              <w:pStyle w:val="BodyText3"/>
              <w:spacing w:line="288" w:lineRule="auto"/>
              <w:jc w:val="center"/>
              <w:rPr>
                <w:kern w:val="2"/>
                <w:sz w:val="22"/>
                <w:lang w:val="ru-RU"/>
              </w:rPr>
            </w:pPr>
            <w:r>
              <w:rPr>
                <w:kern w:val="2"/>
                <w:sz w:val="22"/>
                <w:lang w:val="ru-RU"/>
              </w:rPr>
              <w:t>Количество компаний</w:t>
            </w:r>
          </w:p>
        </w:tc>
        <w:tc>
          <w:tcPr>
            <w:tcW w:w="1451" w:type="dxa"/>
          </w:tcPr>
          <w:p w:rsidR="00000000" w:rsidRDefault="00000000">
            <w:pPr>
              <w:pStyle w:val="BodyText3"/>
              <w:spacing w:line="288" w:lineRule="auto"/>
              <w:jc w:val="center"/>
              <w:rPr>
                <w:kern w:val="2"/>
                <w:sz w:val="22"/>
                <w:lang w:val="ru-RU"/>
              </w:rPr>
            </w:pPr>
            <w:r>
              <w:rPr>
                <w:kern w:val="2"/>
                <w:sz w:val="22"/>
                <w:lang w:val="ru-RU"/>
              </w:rPr>
              <w:t>Продажи</w:t>
            </w:r>
          </w:p>
        </w:tc>
        <w:tc>
          <w:tcPr>
            <w:tcW w:w="1870" w:type="dxa"/>
          </w:tcPr>
          <w:p w:rsidR="00000000" w:rsidRDefault="00000000">
            <w:pPr>
              <w:pStyle w:val="BodyText3"/>
              <w:spacing w:line="288" w:lineRule="auto"/>
              <w:jc w:val="center"/>
              <w:rPr>
                <w:kern w:val="2"/>
                <w:sz w:val="22"/>
                <w:lang w:val="ru-RU"/>
              </w:rPr>
            </w:pPr>
            <w:r>
              <w:rPr>
                <w:kern w:val="2"/>
                <w:sz w:val="22"/>
                <w:lang w:val="ru-RU"/>
              </w:rPr>
              <w:t>Переуступленные долги</w:t>
            </w:r>
          </w:p>
        </w:tc>
        <w:tc>
          <w:tcPr>
            <w:tcW w:w="1378" w:type="dxa"/>
          </w:tcPr>
          <w:p w:rsidR="00000000" w:rsidRDefault="00000000">
            <w:pPr>
              <w:pStyle w:val="BodyText3"/>
              <w:spacing w:line="288" w:lineRule="auto"/>
              <w:jc w:val="center"/>
              <w:rPr>
                <w:kern w:val="2"/>
                <w:sz w:val="22"/>
                <w:lang w:val="ru-RU"/>
              </w:rPr>
            </w:pPr>
            <w:r>
              <w:rPr>
                <w:kern w:val="2"/>
                <w:sz w:val="22"/>
                <w:lang w:val="ru-RU"/>
              </w:rPr>
              <w:t>Всего</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Металлургическая промышленность</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8</w:t>
            </w:r>
          </w:p>
        </w:tc>
        <w:tc>
          <w:tcPr>
            <w:tcW w:w="1451" w:type="dxa"/>
          </w:tcPr>
          <w:p w:rsidR="00000000" w:rsidRDefault="00000000">
            <w:pPr>
              <w:pStyle w:val="BodyText3"/>
              <w:spacing w:line="288" w:lineRule="auto"/>
              <w:jc w:val="center"/>
              <w:rPr>
                <w:kern w:val="2"/>
                <w:sz w:val="22"/>
                <w:lang w:val="ru-RU"/>
              </w:rPr>
            </w:pPr>
            <w:r>
              <w:rPr>
                <w:kern w:val="2"/>
                <w:sz w:val="22"/>
                <w:lang w:val="ru-RU"/>
              </w:rPr>
              <w:t>5 562</w:t>
            </w:r>
          </w:p>
        </w:tc>
        <w:tc>
          <w:tcPr>
            <w:tcW w:w="1870" w:type="dxa"/>
          </w:tcPr>
          <w:p w:rsidR="00000000" w:rsidRDefault="00000000">
            <w:pPr>
              <w:pStyle w:val="BodyText3"/>
              <w:spacing w:line="288" w:lineRule="auto"/>
              <w:jc w:val="center"/>
              <w:rPr>
                <w:kern w:val="2"/>
                <w:sz w:val="22"/>
                <w:lang w:val="ru-RU"/>
              </w:rPr>
            </w:pPr>
            <w:r>
              <w:rPr>
                <w:kern w:val="2"/>
                <w:sz w:val="22"/>
                <w:lang w:val="ru-RU"/>
              </w:rPr>
              <w:t>2 626</w:t>
            </w:r>
          </w:p>
        </w:tc>
        <w:tc>
          <w:tcPr>
            <w:tcW w:w="1378" w:type="dxa"/>
          </w:tcPr>
          <w:p w:rsidR="00000000" w:rsidRDefault="00000000">
            <w:pPr>
              <w:pStyle w:val="BodyText3"/>
              <w:spacing w:line="288" w:lineRule="auto"/>
              <w:jc w:val="center"/>
              <w:rPr>
                <w:kern w:val="2"/>
                <w:sz w:val="22"/>
                <w:lang w:val="ru-RU"/>
              </w:rPr>
            </w:pPr>
            <w:r>
              <w:rPr>
                <w:kern w:val="2"/>
                <w:sz w:val="22"/>
                <w:lang w:val="ru-RU"/>
              </w:rPr>
              <w:t>8 188</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Нефтехимическая промышленность</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27</w:t>
            </w:r>
          </w:p>
        </w:tc>
        <w:tc>
          <w:tcPr>
            <w:tcW w:w="1451" w:type="dxa"/>
          </w:tcPr>
          <w:p w:rsidR="00000000" w:rsidRDefault="00000000">
            <w:pPr>
              <w:pStyle w:val="BodyText3"/>
              <w:spacing w:line="288" w:lineRule="auto"/>
              <w:jc w:val="center"/>
              <w:rPr>
                <w:kern w:val="2"/>
                <w:sz w:val="22"/>
                <w:lang w:val="ru-RU"/>
              </w:rPr>
            </w:pPr>
            <w:r>
              <w:rPr>
                <w:kern w:val="2"/>
                <w:sz w:val="22"/>
                <w:lang w:val="ru-RU"/>
              </w:rPr>
              <w:t>2 698</w:t>
            </w:r>
          </w:p>
        </w:tc>
        <w:tc>
          <w:tcPr>
            <w:tcW w:w="1870" w:type="dxa"/>
          </w:tcPr>
          <w:p w:rsidR="00000000" w:rsidRDefault="00000000">
            <w:pPr>
              <w:pStyle w:val="BodyText3"/>
              <w:spacing w:line="288" w:lineRule="auto"/>
              <w:jc w:val="center"/>
              <w:rPr>
                <w:kern w:val="2"/>
                <w:sz w:val="22"/>
                <w:lang w:val="ru-RU"/>
              </w:rPr>
            </w:pPr>
            <w:r>
              <w:rPr>
                <w:kern w:val="2"/>
                <w:sz w:val="22"/>
                <w:lang w:val="ru-RU"/>
              </w:rPr>
              <w:t>1 003</w:t>
            </w:r>
          </w:p>
        </w:tc>
        <w:tc>
          <w:tcPr>
            <w:tcW w:w="1378" w:type="dxa"/>
          </w:tcPr>
          <w:p w:rsidR="00000000" w:rsidRDefault="00000000">
            <w:pPr>
              <w:pStyle w:val="BodyText3"/>
              <w:spacing w:line="288" w:lineRule="auto"/>
              <w:jc w:val="center"/>
              <w:rPr>
                <w:kern w:val="2"/>
                <w:sz w:val="22"/>
                <w:lang w:val="ru-RU"/>
              </w:rPr>
            </w:pPr>
            <w:r>
              <w:rPr>
                <w:kern w:val="2"/>
                <w:sz w:val="22"/>
                <w:lang w:val="ru-RU"/>
              </w:rPr>
              <w:t>3 701</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Железные дороги</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7</w:t>
            </w:r>
          </w:p>
        </w:tc>
        <w:tc>
          <w:tcPr>
            <w:tcW w:w="1451" w:type="dxa"/>
          </w:tcPr>
          <w:p w:rsidR="00000000" w:rsidRDefault="00000000">
            <w:pPr>
              <w:pStyle w:val="BodyText3"/>
              <w:spacing w:line="288" w:lineRule="auto"/>
              <w:jc w:val="center"/>
              <w:rPr>
                <w:kern w:val="2"/>
                <w:sz w:val="22"/>
                <w:lang w:val="ru-RU"/>
              </w:rPr>
            </w:pPr>
            <w:r>
              <w:rPr>
                <w:kern w:val="2"/>
                <w:sz w:val="22"/>
                <w:lang w:val="ru-RU"/>
              </w:rPr>
              <w:t>1 698</w:t>
            </w:r>
          </w:p>
        </w:tc>
        <w:tc>
          <w:tcPr>
            <w:tcW w:w="1870" w:type="dxa"/>
          </w:tcPr>
          <w:p w:rsidR="00000000" w:rsidRDefault="00000000">
            <w:pPr>
              <w:pStyle w:val="BodyText3"/>
              <w:spacing w:line="288" w:lineRule="auto"/>
              <w:jc w:val="center"/>
              <w:rPr>
                <w:kern w:val="2"/>
                <w:sz w:val="22"/>
                <w:lang w:val="ru-RU"/>
              </w:rPr>
            </w:pPr>
            <w:r>
              <w:rPr>
                <w:kern w:val="2"/>
                <w:sz w:val="22"/>
                <w:lang w:val="ru-RU"/>
              </w:rPr>
              <w:t>0</w:t>
            </w:r>
          </w:p>
        </w:tc>
        <w:tc>
          <w:tcPr>
            <w:tcW w:w="1378" w:type="dxa"/>
          </w:tcPr>
          <w:p w:rsidR="00000000" w:rsidRDefault="00000000">
            <w:pPr>
              <w:pStyle w:val="BodyText3"/>
              <w:spacing w:line="288" w:lineRule="auto"/>
              <w:jc w:val="center"/>
              <w:rPr>
                <w:kern w:val="2"/>
                <w:sz w:val="22"/>
                <w:lang w:val="ru-RU"/>
              </w:rPr>
            </w:pPr>
            <w:r>
              <w:rPr>
                <w:kern w:val="2"/>
                <w:sz w:val="22"/>
                <w:lang w:val="ru-RU"/>
              </w:rPr>
              <w:t>1 698</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left"/>
              <w:rPr>
                <w:kern w:val="2"/>
                <w:sz w:val="22"/>
                <w:lang w:val="ru-RU"/>
              </w:rPr>
            </w:pPr>
            <w:r>
              <w:rPr>
                <w:kern w:val="2"/>
                <w:sz w:val="22"/>
                <w:lang w:val="ru-RU"/>
              </w:rPr>
              <w:t>Добывающая промышленность</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2</w:t>
            </w:r>
          </w:p>
        </w:tc>
        <w:tc>
          <w:tcPr>
            <w:tcW w:w="1451" w:type="dxa"/>
          </w:tcPr>
          <w:p w:rsidR="00000000" w:rsidRDefault="00000000">
            <w:pPr>
              <w:pStyle w:val="BodyText3"/>
              <w:spacing w:line="288" w:lineRule="auto"/>
              <w:jc w:val="center"/>
              <w:rPr>
                <w:kern w:val="2"/>
                <w:sz w:val="22"/>
                <w:lang w:val="ru-RU"/>
              </w:rPr>
            </w:pPr>
            <w:r>
              <w:rPr>
                <w:kern w:val="2"/>
                <w:sz w:val="22"/>
                <w:lang w:val="ru-RU"/>
              </w:rPr>
              <w:t>3 305</w:t>
            </w:r>
          </w:p>
        </w:tc>
        <w:tc>
          <w:tcPr>
            <w:tcW w:w="1870" w:type="dxa"/>
          </w:tcPr>
          <w:p w:rsidR="00000000" w:rsidRDefault="00000000">
            <w:pPr>
              <w:pStyle w:val="BodyText3"/>
              <w:spacing w:line="288" w:lineRule="auto"/>
              <w:jc w:val="center"/>
              <w:rPr>
                <w:kern w:val="2"/>
                <w:sz w:val="22"/>
                <w:lang w:val="ru-RU"/>
              </w:rPr>
            </w:pPr>
            <w:r>
              <w:rPr>
                <w:kern w:val="2"/>
                <w:sz w:val="22"/>
                <w:lang w:val="ru-RU"/>
              </w:rPr>
              <w:t>3 559</w:t>
            </w:r>
          </w:p>
        </w:tc>
        <w:tc>
          <w:tcPr>
            <w:tcW w:w="1378" w:type="dxa"/>
          </w:tcPr>
          <w:p w:rsidR="00000000" w:rsidRDefault="00000000">
            <w:pPr>
              <w:pStyle w:val="BodyText3"/>
              <w:spacing w:line="288" w:lineRule="auto"/>
              <w:jc w:val="center"/>
              <w:rPr>
                <w:kern w:val="2"/>
                <w:sz w:val="22"/>
                <w:lang w:val="ru-RU"/>
              </w:rPr>
            </w:pPr>
            <w:r>
              <w:rPr>
                <w:kern w:val="2"/>
                <w:sz w:val="22"/>
                <w:lang w:val="ru-RU"/>
              </w:rPr>
              <w:t>6 864</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Телекоммуникации</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25</w:t>
            </w:r>
          </w:p>
        </w:tc>
        <w:tc>
          <w:tcPr>
            <w:tcW w:w="1451" w:type="dxa"/>
          </w:tcPr>
          <w:p w:rsidR="00000000" w:rsidRDefault="00000000">
            <w:pPr>
              <w:pStyle w:val="BodyText3"/>
              <w:spacing w:line="288" w:lineRule="auto"/>
              <w:jc w:val="center"/>
              <w:rPr>
                <w:kern w:val="2"/>
                <w:sz w:val="22"/>
                <w:lang w:val="ru-RU"/>
              </w:rPr>
            </w:pPr>
            <w:r>
              <w:rPr>
                <w:kern w:val="2"/>
                <w:sz w:val="22"/>
                <w:lang w:val="ru-RU"/>
              </w:rPr>
              <w:t>26 970</w:t>
            </w:r>
          </w:p>
        </w:tc>
        <w:tc>
          <w:tcPr>
            <w:tcW w:w="1870" w:type="dxa"/>
          </w:tcPr>
          <w:p w:rsidR="00000000" w:rsidRDefault="00000000">
            <w:pPr>
              <w:pStyle w:val="BodyText3"/>
              <w:spacing w:line="288" w:lineRule="auto"/>
              <w:jc w:val="center"/>
              <w:rPr>
                <w:kern w:val="2"/>
                <w:sz w:val="22"/>
                <w:lang w:val="ru-RU"/>
              </w:rPr>
            </w:pPr>
            <w:r>
              <w:rPr>
                <w:kern w:val="2"/>
                <w:sz w:val="22"/>
                <w:lang w:val="ru-RU"/>
              </w:rPr>
              <w:t>2 125</w:t>
            </w:r>
          </w:p>
        </w:tc>
        <w:tc>
          <w:tcPr>
            <w:tcW w:w="1378" w:type="dxa"/>
          </w:tcPr>
          <w:p w:rsidR="00000000" w:rsidRDefault="00000000">
            <w:pPr>
              <w:pStyle w:val="BodyText3"/>
              <w:spacing w:line="288" w:lineRule="auto"/>
              <w:jc w:val="center"/>
              <w:rPr>
                <w:kern w:val="2"/>
                <w:sz w:val="22"/>
                <w:lang w:val="ru-RU"/>
              </w:rPr>
            </w:pPr>
            <w:r>
              <w:rPr>
                <w:kern w:val="2"/>
                <w:sz w:val="22"/>
                <w:lang w:val="ru-RU"/>
              </w:rPr>
              <w:t>29 095</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Энергетика</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3</w:t>
            </w:r>
          </w:p>
        </w:tc>
        <w:tc>
          <w:tcPr>
            <w:tcW w:w="1451" w:type="dxa"/>
          </w:tcPr>
          <w:p w:rsidR="00000000" w:rsidRDefault="00000000">
            <w:pPr>
              <w:pStyle w:val="BodyText3"/>
              <w:spacing w:line="288" w:lineRule="auto"/>
              <w:jc w:val="center"/>
              <w:rPr>
                <w:kern w:val="2"/>
                <w:sz w:val="22"/>
                <w:lang w:val="ru-RU"/>
              </w:rPr>
            </w:pPr>
            <w:r>
              <w:rPr>
                <w:kern w:val="2"/>
                <w:sz w:val="22"/>
                <w:lang w:val="ru-RU"/>
              </w:rPr>
              <w:t>3 907</w:t>
            </w:r>
          </w:p>
        </w:tc>
        <w:tc>
          <w:tcPr>
            <w:tcW w:w="1870" w:type="dxa"/>
          </w:tcPr>
          <w:p w:rsidR="00000000" w:rsidRDefault="00000000">
            <w:pPr>
              <w:pStyle w:val="BodyText3"/>
              <w:spacing w:line="288" w:lineRule="auto"/>
              <w:jc w:val="center"/>
              <w:rPr>
                <w:kern w:val="2"/>
                <w:sz w:val="22"/>
                <w:lang w:val="ru-RU"/>
              </w:rPr>
            </w:pPr>
            <w:r>
              <w:rPr>
                <w:kern w:val="2"/>
                <w:sz w:val="22"/>
                <w:lang w:val="ru-RU"/>
              </w:rPr>
              <w:t>1 670</w:t>
            </w:r>
          </w:p>
        </w:tc>
        <w:tc>
          <w:tcPr>
            <w:tcW w:w="1378" w:type="dxa"/>
          </w:tcPr>
          <w:p w:rsidR="00000000" w:rsidRDefault="00000000">
            <w:pPr>
              <w:pStyle w:val="BodyText3"/>
              <w:spacing w:line="288" w:lineRule="auto"/>
              <w:jc w:val="center"/>
              <w:rPr>
                <w:kern w:val="2"/>
                <w:sz w:val="22"/>
                <w:lang w:val="ru-RU"/>
              </w:rPr>
            </w:pPr>
            <w:r>
              <w:rPr>
                <w:kern w:val="2"/>
                <w:sz w:val="22"/>
                <w:lang w:val="ru-RU"/>
              </w:rPr>
              <w:t>5 577</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Прочие отрасли</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16</w:t>
            </w:r>
          </w:p>
        </w:tc>
        <w:tc>
          <w:tcPr>
            <w:tcW w:w="1451" w:type="dxa"/>
          </w:tcPr>
          <w:p w:rsidR="00000000" w:rsidRDefault="00000000">
            <w:pPr>
              <w:pStyle w:val="BodyText3"/>
              <w:spacing w:line="288" w:lineRule="auto"/>
              <w:jc w:val="center"/>
              <w:rPr>
                <w:kern w:val="2"/>
                <w:sz w:val="22"/>
                <w:lang w:val="ru-RU"/>
              </w:rPr>
            </w:pPr>
            <w:r>
              <w:rPr>
                <w:kern w:val="2"/>
                <w:sz w:val="22"/>
                <w:lang w:val="ru-RU"/>
              </w:rPr>
              <w:t>1 401</w:t>
            </w:r>
          </w:p>
        </w:tc>
        <w:tc>
          <w:tcPr>
            <w:tcW w:w="1870" w:type="dxa"/>
          </w:tcPr>
          <w:p w:rsidR="00000000" w:rsidRDefault="00000000">
            <w:pPr>
              <w:pStyle w:val="BodyText3"/>
              <w:spacing w:line="288" w:lineRule="auto"/>
              <w:jc w:val="center"/>
              <w:rPr>
                <w:kern w:val="2"/>
                <w:sz w:val="22"/>
                <w:lang w:val="ru-RU"/>
              </w:rPr>
            </w:pPr>
            <w:r>
              <w:rPr>
                <w:kern w:val="2"/>
                <w:sz w:val="22"/>
                <w:lang w:val="ru-RU"/>
              </w:rPr>
              <w:t>343</w:t>
            </w:r>
          </w:p>
        </w:tc>
        <w:tc>
          <w:tcPr>
            <w:tcW w:w="1378" w:type="dxa"/>
          </w:tcPr>
          <w:p w:rsidR="00000000" w:rsidRDefault="00000000">
            <w:pPr>
              <w:pStyle w:val="BodyText3"/>
              <w:spacing w:line="288" w:lineRule="auto"/>
              <w:jc w:val="center"/>
              <w:rPr>
                <w:kern w:val="2"/>
                <w:sz w:val="22"/>
                <w:lang w:val="ru-RU"/>
              </w:rPr>
            </w:pPr>
            <w:r>
              <w:rPr>
                <w:kern w:val="2"/>
                <w:sz w:val="22"/>
                <w:lang w:val="ru-RU"/>
              </w:rPr>
              <w:t>1 744</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Акционерный капитал</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0</w:t>
            </w:r>
          </w:p>
        </w:tc>
        <w:tc>
          <w:tcPr>
            <w:tcW w:w="1451" w:type="dxa"/>
          </w:tcPr>
          <w:p w:rsidR="00000000" w:rsidRDefault="00000000">
            <w:pPr>
              <w:pStyle w:val="BodyText3"/>
              <w:spacing w:line="288" w:lineRule="auto"/>
              <w:jc w:val="center"/>
              <w:rPr>
                <w:kern w:val="2"/>
                <w:sz w:val="22"/>
                <w:lang w:val="ru-RU"/>
              </w:rPr>
            </w:pPr>
            <w:r>
              <w:rPr>
                <w:kern w:val="2"/>
                <w:sz w:val="22"/>
                <w:lang w:val="ru-RU"/>
              </w:rPr>
              <w:t>1 040</w:t>
            </w:r>
          </w:p>
        </w:tc>
        <w:tc>
          <w:tcPr>
            <w:tcW w:w="1870" w:type="dxa"/>
          </w:tcPr>
          <w:p w:rsidR="00000000" w:rsidRDefault="00000000">
            <w:pPr>
              <w:pStyle w:val="BodyText3"/>
              <w:spacing w:line="288" w:lineRule="auto"/>
              <w:jc w:val="center"/>
              <w:rPr>
                <w:kern w:val="2"/>
                <w:sz w:val="22"/>
                <w:lang w:val="ru-RU"/>
              </w:rPr>
            </w:pPr>
            <w:r>
              <w:rPr>
                <w:kern w:val="2"/>
                <w:sz w:val="22"/>
                <w:lang w:val="ru-RU"/>
              </w:rPr>
              <w:t>0</w:t>
            </w:r>
          </w:p>
        </w:tc>
        <w:tc>
          <w:tcPr>
            <w:tcW w:w="1378" w:type="dxa"/>
          </w:tcPr>
          <w:p w:rsidR="00000000" w:rsidRDefault="00000000">
            <w:pPr>
              <w:pStyle w:val="BodyText3"/>
              <w:spacing w:line="288" w:lineRule="auto"/>
              <w:jc w:val="center"/>
              <w:rPr>
                <w:kern w:val="2"/>
                <w:sz w:val="22"/>
                <w:lang w:val="ru-RU"/>
              </w:rPr>
            </w:pPr>
            <w:r>
              <w:rPr>
                <w:kern w:val="2"/>
                <w:sz w:val="22"/>
                <w:lang w:val="ru-RU"/>
              </w:rPr>
              <w:t>1 040</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Федеральный уровень</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88</w:t>
            </w:r>
          </w:p>
        </w:tc>
        <w:tc>
          <w:tcPr>
            <w:tcW w:w="1451" w:type="dxa"/>
          </w:tcPr>
          <w:p w:rsidR="00000000" w:rsidRDefault="00000000">
            <w:pPr>
              <w:pStyle w:val="BodyText3"/>
              <w:spacing w:line="288" w:lineRule="auto"/>
              <w:jc w:val="center"/>
              <w:rPr>
                <w:kern w:val="2"/>
                <w:sz w:val="22"/>
                <w:lang w:val="ru-RU"/>
              </w:rPr>
            </w:pPr>
            <w:r>
              <w:rPr>
                <w:kern w:val="2"/>
                <w:sz w:val="22"/>
                <w:lang w:val="ru-RU"/>
              </w:rPr>
              <w:t>46 581</w:t>
            </w:r>
          </w:p>
        </w:tc>
        <w:tc>
          <w:tcPr>
            <w:tcW w:w="1870" w:type="dxa"/>
          </w:tcPr>
          <w:p w:rsidR="00000000" w:rsidRDefault="00000000">
            <w:pPr>
              <w:pStyle w:val="BodyText3"/>
              <w:spacing w:line="288" w:lineRule="auto"/>
              <w:jc w:val="center"/>
              <w:rPr>
                <w:kern w:val="2"/>
                <w:sz w:val="22"/>
                <w:lang w:val="ru-RU"/>
              </w:rPr>
            </w:pPr>
            <w:r>
              <w:rPr>
                <w:kern w:val="2"/>
                <w:sz w:val="22"/>
                <w:lang w:val="ru-RU"/>
              </w:rPr>
              <w:t>11 326</w:t>
            </w:r>
          </w:p>
        </w:tc>
        <w:tc>
          <w:tcPr>
            <w:tcW w:w="1378" w:type="dxa"/>
          </w:tcPr>
          <w:p w:rsidR="00000000" w:rsidRDefault="00000000">
            <w:pPr>
              <w:pStyle w:val="BodyText3"/>
              <w:spacing w:line="288" w:lineRule="auto"/>
              <w:jc w:val="center"/>
              <w:rPr>
                <w:kern w:val="2"/>
                <w:sz w:val="22"/>
                <w:lang w:val="ru-RU"/>
              </w:rPr>
            </w:pPr>
            <w:r>
              <w:rPr>
                <w:kern w:val="2"/>
                <w:sz w:val="22"/>
                <w:lang w:val="ru-RU"/>
              </w:rPr>
              <w:t>57 907</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Уровень штатов</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29</w:t>
            </w:r>
          </w:p>
        </w:tc>
        <w:tc>
          <w:tcPr>
            <w:tcW w:w="1451" w:type="dxa"/>
          </w:tcPr>
          <w:p w:rsidR="00000000" w:rsidRDefault="00000000">
            <w:pPr>
              <w:pStyle w:val="BodyText3"/>
              <w:spacing w:line="288" w:lineRule="auto"/>
              <w:jc w:val="center"/>
              <w:rPr>
                <w:kern w:val="2"/>
                <w:sz w:val="22"/>
                <w:lang w:val="ru-RU"/>
              </w:rPr>
            </w:pPr>
            <w:r>
              <w:rPr>
                <w:kern w:val="2"/>
                <w:sz w:val="22"/>
                <w:lang w:val="ru-RU"/>
              </w:rPr>
              <w:t>23 724</w:t>
            </w:r>
          </w:p>
        </w:tc>
        <w:tc>
          <w:tcPr>
            <w:tcW w:w="1870" w:type="dxa"/>
          </w:tcPr>
          <w:p w:rsidR="00000000" w:rsidRDefault="00000000">
            <w:pPr>
              <w:pStyle w:val="BodyText3"/>
              <w:spacing w:line="288" w:lineRule="auto"/>
              <w:jc w:val="center"/>
              <w:rPr>
                <w:kern w:val="2"/>
                <w:sz w:val="22"/>
                <w:lang w:val="ru-RU"/>
              </w:rPr>
            </w:pPr>
            <w:r>
              <w:rPr>
                <w:kern w:val="2"/>
                <w:sz w:val="22"/>
                <w:lang w:val="ru-RU"/>
              </w:rPr>
              <w:t>5 311</w:t>
            </w:r>
          </w:p>
        </w:tc>
        <w:tc>
          <w:tcPr>
            <w:tcW w:w="1378" w:type="dxa"/>
          </w:tcPr>
          <w:p w:rsidR="00000000" w:rsidRDefault="00000000">
            <w:pPr>
              <w:pStyle w:val="BodyText3"/>
              <w:spacing w:line="288" w:lineRule="auto"/>
              <w:jc w:val="center"/>
              <w:rPr>
                <w:kern w:val="2"/>
                <w:sz w:val="22"/>
                <w:lang w:val="ru-RU"/>
              </w:rPr>
            </w:pPr>
            <w:r>
              <w:rPr>
                <w:kern w:val="2"/>
                <w:sz w:val="22"/>
                <w:lang w:val="ru-RU"/>
              </w:rPr>
              <w:t>29 035</w:t>
            </w:r>
          </w:p>
        </w:tc>
      </w:tr>
      <w:tr w:rsidR="00000000">
        <w:tblPrEx>
          <w:tblCellMar>
            <w:top w:w="0" w:type="dxa"/>
            <w:bottom w:w="0" w:type="dxa"/>
          </w:tblCellMar>
        </w:tblPrEx>
        <w:trPr>
          <w:jc w:val="center"/>
        </w:trPr>
        <w:tc>
          <w:tcPr>
            <w:tcW w:w="3301" w:type="dxa"/>
          </w:tcPr>
          <w:p w:rsidR="00000000" w:rsidRDefault="00000000">
            <w:pPr>
              <w:pStyle w:val="BodyText3"/>
              <w:spacing w:line="288" w:lineRule="auto"/>
              <w:jc w:val="center"/>
              <w:rPr>
                <w:kern w:val="2"/>
                <w:sz w:val="22"/>
                <w:lang w:val="ru-RU"/>
              </w:rPr>
            </w:pPr>
            <w:r>
              <w:rPr>
                <w:kern w:val="2"/>
                <w:sz w:val="22"/>
                <w:lang w:val="ru-RU"/>
              </w:rPr>
              <w:t>Всего</w:t>
            </w:r>
          </w:p>
        </w:tc>
        <w:tc>
          <w:tcPr>
            <w:tcW w:w="1110" w:type="dxa"/>
          </w:tcPr>
          <w:p w:rsidR="00000000" w:rsidRDefault="00000000">
            <w:pPr>
              <w:pStyle w:val="BodyText3"/>
              <w:tabs>
                <w:tab w:val="left" w:pos="871"/>
                <w:tab w:val="left" w:pos="1058"/>
              </w:tabs>
              <w:spacing w:line="288" w:lineRule="auto"/>
              <w:ind w:right="225"/>
              <w:jc w:val="center"/>
              <w:rPr>
                <w:kern w:val="2"/>
                <w:sz w:val="22"/>
                <w:lang w:val="ru-RU"/>
              </w:rPr>
            </w:pPr>
            <w:r>
              <w:rPr>
                <w:kern w:val="2"/>
                <w:sz w:val="22"/>
                <w:lang w:val="ru-RU"/>
              </w:rPr>
              <w:t>117</w:t>
            </w:r>
          </w:p>
        </w:tc>
        <w:tc>
          <w:tcPr>
            <w:tcW w:w="1451" w:type="dxa"/>
          </w:tcPr>
          <w:p w:rsidR="00000000" w:rsidRDefault="00000000">
            <w:pPr>
              <w:pStyle w:val="BodyText3"/>
              <w:spacing w:line="288" w:lineRule="auto"/>
              <w:jc w:val="center"/>
              <w:rPr>
                <w:kern w:val="2"/>
                <w:sz w:val="22"/>
                <w:lang w:val="ru-RU"/>
              </w:rPr>
            </w:pPr>
            <w:r>
              <w:rPr>
                <w:kern w:val="2"/>
                <w:sz w:val="22"/>
                <w:lang w:val="ru-RU"/>
              </w:rPr>
              <w:t>70 305</w:t>
            </w:r>
          </w:p>
        </w:tc>
        <w:tc>
          <w:tcPr>
            <w:tcW w:w="1870" w:type="dxa"/>
          </w:tcPr>
          <w:p w:rsidR="00000000" w:rsidRDefault="00000000">
            <w:pPr>
              <w:pStyle w:val="BodyText3"/>
              <w:spacing w:line="288" w:lineRule="auto"/>
              <w:jc w:val="center"/>
              <w:rPr>
                <w:kern w:val="2"/>
                <w:sz w:val="22"/>
                <w:lang w:val="ru-RU"/>
              </w:rPr>
            </w:pPr>
            <w:r>
              <w:rPr>
                <w:kern w:val="2"/>
                <w:sz w:val="22"/>
                <w:lang w:val="ru-RU"/>
              </w:rPr>
              <w:t>16 637</w:t>
            </w:r>
          </w:p>
        </w:tc>
        <w:tc>
          <w:tcPr>
            <w:tcW w:w="1378" w:type="dxa"/>
          </w:tcPr>
          <w:p w:rsidR="00000000" w:rsidRDefault="00000000">
            <w:pPr>
              <w:pStyle w:val="BodyText3"/>
              <w:spacing w:line="288" w:lineRule="auto"/>
              <w:jc w:val="center"/>
              <w:rPr>
                <w:kern w:val="2"/>
                <w:sz w:val="22"/>
                <w:lang w:val="ru-RU"/>
              </w:rPr>
            </w:pPr>
            <w:r>
              <w:rPr>
                <w:kern w:val="2"/>
                <w:sz w:val="22"/>
                <w:lang w:val="ru-RU"/>
              </w:rPr>
              <w:t>86 942</w:t>
            </w:r>
          </w:p>
        </w:tc>
      </w:tr>
    </w:tbl>
    <w:p w:rsidR="00000000" w:rsidRDefault="00000000">
      <w:pPr>
        <w:pStyle w:val="BodyText3"/>
        <w:spacing w:line="288" w:lineRule="auto"/>
        <w:jc w:val="center"/>
        <w:rPr>
          <w:b/>
          <w:spacing w:val="20"/>
          <w:kern w:val="2"/>
          <w:sz w:val="16"/>
          <w:lang w:val="ru-RU"/>
        </w:rPr>
      </w:pPr>
    </w:p>
    <w:p w:rsidR="00000000" w:rsidRDefault="00000000">
      <w:pPr>
        <w:rPr>
          <w:kern w:val="2"/>
        </w:rPr>
      </w:pPr>
      <w:r>
        <w:rPr>
          <w:kern w:val="2"/>
        </w:rPr>
        <w:tab/>
      </w:r>
      <w:r>
        <w:rPr>
          <w:kern w:val="2"/>
          <w:u w:val="single"/>
        </w:rPr>
        <w:t>Источник</w:t>
      </w:r>
      <w:r>
        <w:rPr>
          <w:kern w:val="2"/>
        </w:rPr>
        <w:t>:  Национальный банк экономического и социального развития (НБЭСР).</w:t>
      </w:r>
    </w:p>
    <w:p w:rsidR="00000000" w:rsidRDefault="00000000">
      <w:pPr>
        <w:rPr>
          <w:kern w:val="2"/>
        </w:rPr>
      </w:pPr>
    </w:p>
    <w:p w:rsidR="00000000" w:rsidRDefault="00000000">
      <w:pPr>
        <w:pStyle w:val="10"/>
        <w:rPr>
          <w:kern w:val="2"/>
        </w:rPr>
      </w:pPr>
      <w:r>
        <w:rPr>
          <w:kern w:val="2"/>
        </w:rPr>
        <w:t>Таблица 6.   Торговый баланс Бразилии (в млн. долл. США)</w:t>
      </w:r>
    </w:p>
    <w:p w:rsidR="00000000" w:rsidRDefault="00000000">
      <w:pPr>
        <w:jc w:val="center"/>
        <w:rPr>
          <w:b/>
          <w:bCs/>
          <w:kern w:val="2"/>
        </w:rPr>
      </w:pPr>
    </w:p>
    <w:tbl>
      <w:tblPr>
        <w:tblW w:w="0" w:type="auto"/>
        <w:jc w:val="center"/>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490"/>
        <w:gridCol w:w="1490"/>
        <w:gridCol w:w="1490"/>
        <w:gridCol w:w="1490"/>
      </w:tblGrid>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Год</w:t>
            </w:r>
          </w:p>
        </w:tc>
        <w:tc>
          <w:tcPr>
            <w:tcW w:w="1490" w:type="dxa"/>
          </w:tcPr>
          <w:p w:rsidR="00000000" w:rsidRDefault="00000000">
            <w:pPr>
              <w:pStyle w:val="BodyText3"/>
              <w:spacing w:line="288" w:lineRule="auto"/>
              <w:jc w:val="center"/>
              <w:rPr>
                <w:kern w:val="2"/>
                <w:sz w:val="24"/>
                <w:lang w:val="ru-RU"/>
              </w:rPr>
            </w:pPr>
            <w:r>
              <w:rPr>
                <w:kern w:val="2"/>
                <w:sz w:val="24"/>
                <w:lang w:val="ru-RU"/>
              </w:rPr>
              <w:t>Экспорт</w:t>
            </w:r>
          </w:p>
        </w:tc>
        <w:tc>
          <w:tcPr>
            <w:tcW w:w="1490" w:type="dxa"/>
          </w:tcPr>
          <w:p w:rsidR="00000000" w:rsidRDefault="00000000">
            <w:pPr>
              <w:pStyle w:val="BodyText3"/>
              <w:spacing w:line="288" w:lineRule="auto"/>
              <w:jc w:val="center"/>
              <w:rPr>
                <w:kern w:val="2"/>
                <w:sz w:val="24"/>
                <w:lang w:val="ru-RU"/>
              </w:rPr>
            </w:pPr>
            <w:r>
              <w:rPr>
                <w:kern w:val="2"/>
                <w:sz w:val="24"/>
                <w:lang w:val="ru-RU"/>
              </w:rPr>
              <w:t>Импорт</w:t>
            </w:r>
          </w:p>
        </w:tc>
        <w:tc>
          <w:tcPr>
            <w:tcW w:w="1490" w:type="dxa"/>
          </w:tcPr>
          <w:p w:rsidR="00000000" w:rsidRDefault="00000000">
            <w:pPr>
              <w:pStyle w:val="BodyText3"/>
              <w:spacing w:line="288" w:lineRule="auto"/>
              <w:jc w:val="center"/>
              <w:rPr>
                <w:kern w:val="2"/>
                <w:sz w:val="24"/>
                <w:lang w:val="ru-RU"/>
              </w:rPr>
            </w:pPr>
            <w:r>
              <w:rPr>
                <w:kern w:val="2"/>
                <w:sz w:val="24"/>
                <w:lang w:val="ru-RU"/>
              </w:rPr>
              <w:t>Баланс</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rPr>
            </w:pPr>
            <w:r>
              <w:rPr>
                <w:kern w:val="2"/>
                <w:sz w:val="24"/>
              </w:rPr>
              <w:t>1990</w:t>
            </w:r>
          </w:p>
        </w:tc>
        <w:tc>
          <w:tcPr>
            <w:tcW w:w="1490" w:type="dxa"/>
          </w:tcPr>
          <w:p w:rsidR="00000000" w:rsidRDefault="00000000">
            <w:pPr>
              <w:pStyle w:val="BodyText3"/>
              <w:spacing w:line="288" w:lineRule="auto"/>
              <w:jc w:val="center"/>
              <w:rPr>
                <w:kern w:val="2"/>
                <w:sz w:val="24"/>
              </w:rPr>
            </w:pPr>
            <w:r>
              <w:rPr>
                <w:kern w:val="2"/>
                <w:sz w:val="24"/>
              </w:rPr>
              <w:t>31 414</w:t>
            </w:r>
          </w:p>
        </w:tc>
        <w:tc>
          <w:tcPr>
            <w:tcW w:w="1490" w:type="dxa"/>
          </w:tcPr>
          <w:p w:rsidR="00000000" w:rsidRDefault="00000000">
            <w:pPr>
              <w:pStyle w:val="BodyText3"/>
              <w:spacing w:line="288" w:lineRule="auto"/>
              <w:jc w:val="center"/>
              <w:rPr>
                <w:kern w:val="2"/>
                <w:sz w:val="24"/>
              </w:rPr>
            </w:pPr>
            <w:r>
              <w:rPr>
                <w:kern w:val="2"/>
                <w:sz w:val="24"/>
              </w:rPr>
              <w:t>20 661</w:t>
            </w:r>
          </w:p>
        </w:tc>
        <w:tc>
          <w:tcPr>
            <w:tcW w:w="1490" w:type="dxa"/>
          </w:tcPr>
          <w:p w:rsidR="00000000" w:rsidRDefault="00000000">
            <w:pPr>
              <w:pStyle w:val="BodyText3"/>
              <w:spacing w:line="288" w:lineRule="auto"/>
              <w:jc w:val="center"/>
              <w:rPr>
                <w:kern w:val="2"/>
                <w:sz w:val="24"/>
              </w:rPr>
            </w:pPr>
            <w:r>
              <w:rPr>
                <w:kern w:val="2"/>
                <w:sz w:val="24"/>
              </w:rPr>
              <w:t>10 753</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rPr>
            </w:pPr>
            <w:r>
              <w:rPr>
                <w:kern w:val="2"/>
                <w:sz w:val="24"/>
              </w:rPr>
              <w:t>1991</w:t>
            </w:r>
          </w:p>
        </w:tc>
        <w:tc>
          <w:tcPr>
            <w:tcW w:w="1490" w:type="dxa"/>
          </w:tcPr>
          <w:p w:rsidR="00000000" w:rsidRDefault="00000000">
            <w:pPr>
              <w:pStyle w:val="BodyText3"/>
              <w:spacing w:line="288" w:lineRule="auto"/>
              <w:jc w:val="center"/>
              <w:rPr>
                <w:kern w:val="2"/>
                <w:sz w:val="24"/>
              </w:rPr>
            </w:pPr>
            <w:r>
              <w:rPr>
                <w:kern w:val="2"/>
                <w:sz w:val="24"/>
              </w:rPr>
              <w:t>31 620</w:t>
            </w:r>
          </w:p>
        </w:tc>
        <w:tc>
          <w:tcPr>
            <w:tcW w:w="1490" w:type="dxa"/>
          </w:tcPr>
          <w:p w:rsidR="00000000" w:rsidRDefault="00000000">
            <w:pPr>
              <w:pStyle w:val="BodyText3"/>
              <w:spacing w:line="288" w:lineRule="auto"/>
              <w:jc w:val="center"/>
              <w:rPr>
                <w:kern w:val="2"/>
                <w:sz w:val="24"/>
              </w:rPr>
            </w:pPr>
            <w:r>
              <w:rPr>
                <w:kern w:val="2"/>
                <w:sz w:val="24"/>
              </w:rPr>
              <w:t>21 041</w:t>
            </w:r>
          </w:p>
        </w:tc>
        <w:tc>
          <w:tcPr>
            <w:tcW w:w="1490" w:type="dxa"/>
          </w:tcPr>
          <w:p w:rsidR="00000000" w:rsidRDefault="00000000">
            <w:pPr>
              <w:pStyle w:val="BodyText3"/>
              <w:spacing w:line="288" w:lineRule="auto"/>
              <w:jc w:val="center"/>
              <w:rPr>
                <w:kern w:val="2"/>
                <w:sz w:val="24"/>
              </w:rPr>
            </w:pPr>
            <w:r>
              <w:rPr>
                <w:kern w:val="2"/>
                <w:sz w:val="24"/>
              </w:rPr>
              <w:t>10 579</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rPr>
            </w:pPr>
            <w:r>
              <w:rPr>
                <w:kern w:val="2"/>
                <w:sz w:val="24"/>
              </w:rPr>
              <w:t>1992</w:t>
            </w:r>
          </w:p>
        </w:tc>
        <w:tc>
          <w:tcPr>
            <w:tcW w:w="1490" w:type="dxa"/>
          </w:tcPr>
          <w:p w:rsidR="00000000" w:rsidRDefault="00000000">
            <w:pPr>
              <w:pStyle w:val="BodyText3"/>
              <w:spacing w:line="288" w:lineRule="auto"/>
              <w:jc w:val="center"/>
              <w:rPr>
                <w:kern w:val="2"/>
                <w:sz w:val="24"/>
              </w:rPr>
            </w:pPr>
            <w:r>
              <w:rPr>
                <w:kern w:val="2"/>
                <w:sz w:val="24"/>
              </w:rPr>
              <w:t>35 793</w:t>
            </w:r>
          </w:p>
        </w:tc>
        <w:tc>
          <w:tcPr>
            <w:tcW w:w="1490" w:type="dxa"/>
          </w:tcPr>
          <w:p w:rsidR="00000000" w:rsidRDefault="00000000">
            <w:pPr>
              <w:pStyle w:val="BodyText3"/>
              <w:spacing w:line="288" w:lineRule="auto"/>
              <w:jc w:val="center"/>
              <w:rPr>
                <w:kern w:val="2"/>
                <w:sz w:val="24"/>
              </w:rPr>
            </w:pPr>
            <w:r>
              <w:rPr>
                <w:kern w:val="2"/>
                <w:sz w:val="24"/>
              </w:rPr>
              <w:t>20 554</w:t>
            </w:r>
          </w:p>
        </w:tc>
        <w:tc>
          <w:tcPr>
            <w:tcW w:w="1490" w:type="dxa"/>
          </w:tcPr>
          <w:p w:rsidR="00000000" w:rsidRDefault="00000000">
            <w:pPr>
              <w:pStyle w:val="BodyText3"/>
              <w:spacing w:line="288" w:lineRule="auto"/>
              <w:jc w:val="center"/>
              <w:rPr>
                <w:kern w:val="2"/>
                <w:sz w:val="24"/>
              </w:rPr>
            </w:pPr>
            <w:r>
              <w:rPr>
                <w:kern w:val="2"/>
                <w:sz w:val="24"/>
              </w:rPr>
              <w:t>15 239</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1993</w:t>
            </w:r>
          </w:p>
        </w:tc>
        <w:tc>
          <w:tcPr>
            <w:tcW w:w="1490" w:type="dxa"/>
          </w:tcPr>
          <w:p w:rsidR="00000000" w:rsidRDefault="00000000">
            <w:pPr>
              <w:pStyle w:val="BodyText3"/>
              <w:spacing w:line="288" w:lineRule="auto"/>
              <w:jc w:val="center"/>
              <w:rPr>
                <w:kern w:val="2"/>
                <w:sz w:val="24"/>
                <w:lang w:val="ru-RU"/>
              </w:rPr>
            </w:pPr>
            <w:r>
              <w:rPr>
                <w:kern w:val="2"/>
                <w:sz w:val="24"/>
                <w:lang w:val="ru-RU"/>
              </w:rPr>
              <w:t>38 555</w:t>
            </w:r>
          </w:p>
        </w:tc>
        <w:tc>
          <w:tcPr>
            <w:tcW w:w="1490" w:type="dxa"/>
          </w:tcPr>
          <w:p w:rsidR="00000000" w:rsidRDefault="00000000">
            <w:pPr>
              <w:pStyle w:val="BodyText3"/>
              <w:spacing w:line="288" w:lineRule="auto"/>
              <w:jc w:val="center"/>
              <w:rPr>
                <w:kern w:val="2"/>
                <w:sz w:val="24"/>
                <w:lang w:val="ru-RU"/>
              </w:rPr>
            </w:pPr>
            <w:r>
              <w:rPr>
                <w:kern w:val="2"/>
                <w:sz w:val="24"/>
                <w:lang w:val="ru-RU"/>
              </w:rPr>
              <w:t>25 256</w:t>
            </w:r>
          </w:p>
        </w:tc>
        <w:tc>
          <w:tcPr>
            <w:tcW w:w="1490" w:type="dxa"/>
          </w:tcPr>
          <w:p w:rsidR="00000000" w:rsidRDefault="00000000">
            <w:pPr>
              <w:pStyle w:val="BodyText3"/>
              <w:spacing w:line="288" w:lineRule="auto"/>
              <w:jc w:val="center"/>
              <w:rPr>
                <w:kern w:val="2"/>
                <w:sz w:val="24"/>
                <w:lang w:val="ru-RU"/>
              </w:rPr>
            </w:pPr>
            <w:r>
              <w:rPr>
                <w:kern w:val="2"/>
                <w:sz w:val="24"/>
                <w:lang w:val="ru-RU"/>
              </w:rPr>
              <w:t>13 299</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1994</w:t>
            </w:r>
          </w:p>
        </w:tc>
        <w:tc>
          <w:tcPr>
            <w:tcW w:w="1490" w:type="dxa"/>
          </w:tcPr>
          <w:p w:rsidR="00000000" w:rsidRDefault="00000000">
            <w:pPr>
              <w:pStyle w:val="BodyText3"/>
              <w:spacing w:line="288" w:lineRule="auto"/>
              <w:jc w:val="center"/>
              <w:rPr>
                <w:kern w:val="2"/>
                <w:sz w:val="24"/>
                <w:lang w:val="ru-RU"/>
              </w:rPr>
            </w:pPr>
            <w:r>
              <w:rPr>
                <w:kern w:val="2"/>
                <w:sz w:val="24"/>
                <w:lang w:val="ru-RU"/>
              </w:rPr>
              <w:t>43 545</w:t>
            </w:r>
          </w:p>
        </w:tc>
        <w:tc>
          <w:tcPr>
            <w:tcW w:w="1490" w:type="dxa"/>
          </w:tcPr>
          <w:p w:rsidR="00000000" w:rsidRDefault="00000000">
            <w:pPr>
              <w:pStyle w:val="BodyText3"/>
              <w:spacing w:line="288" w:lineRule="auto"/>
              <w:jc w:val="center"/>
              <w:rPr>
                <w:kern w:val="2"/>
                <w:sz w:val="24"/>
                <w:lang w:val="ru-RU"/>
              </w:rPr>
            </w:pPr>
            <w:r>
              <w:rPr>
                <w:kern w:val="2"/>
                <w:sz w:val="24"/>
                <w:lang w:val="ru-RU"/>
              </w:rPr>
              <w:t>33 079</w:t>
            </w:r>
          </w:p>
        </w:tc>
        <w:tc>
          <w:tcPr>
            <w:tcW w:w="1490" w:type="dxa"/>
          </w:tcPr>
          <w:p w:rsidR="00000000" w:rsidRDefault="00000000">
            <w:pPr>
              <w:pStyle w:val="BodyText3"/>
              <w:spacing w:line="288" w:lineRule="auto"/>
              <w:jc w:val="center"/>
              <w:rPr>
                <w:kern w:val="2"/>
                <w:sz w:val="24"/>
                <w:lang w:val="ru-RU"/>
              </w:rPr>
            </w:pPr>
            <w:r>
              <w:rPr>
                <w:kern w:val="2"/>
                <w:sz w:val="24"/>
                <w:lang w:val="ru-RU"/>
              </w:rPr>
              <w:t>10 466</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1995</w:t>
            </w:r>
          </w:p>
        </w:tc>
        <w:tc>
          <w:tcPr>
            <w:tcW w:w="1490" w:type="dxa"/>
          </w:tcPr>
          <w:p w:rsidR="00000000" w:rsidRDefault="00000000">
            <w:pPr>
              <w:pStyle w:val="BodyText3"/>
              <w:spacing w:line="288" w:lineRule="auto"/>
              <w:jc w:val="center"/>
              <w:rPr>
                <w:kern w:val="2"/>
                <w:sz w:val="24"/>
                <w:lang w:val="ru-RU"/>
              </w:rPr>
            </w:pPr>
            <w:r>
              <w:rPr>
                <w:kern w:val="2"/>
                <w:sz w:val="24"/>
                <w:lang w:val="ru-RU"/>
              </w:rPr>
              <w:t>46 506</w:t>
            </w:r>
          </w:p>
        </w:tc>
        <w:tc>
          <w:tcPr>
            <w:tcW w:w="1490" w:type="dxa"/>
          </w:tcPr>
          <w:p w:rsidR="00000000" w:rsidRDefault="00000000">
            <w:pPr>
              <w:pStyle w:val="BodyText3"/>
              <w:spacing w:line="288" w:lineRule="auto"/>
              <w:jc w:val="center"/>
              <w:rPr>
                <w:kern w:val="2"/>
                <w:sz w:val="24"/>
                <w:lang w:val="ru-RU"/>
              </w:rPr>
            </w:pPr>
            <w:r>
              <w:rPr>
                <w:kern w:val="2"/>
                <w:sz w:val="24"/>
                <w:lang w:val="ru-RU"/>
              </w:rPr>
              <w:t>49 972</w:t>
            </w:r>
          </w:p>
        </w:tc>
        <w:tc>
          <w:tcPr>
            <w:tcW w:w="1490" w:type="dxa"/>
          </w:tcPr>
          <w:p w:rsidR="00000000" w:rsidRDefault="00000000">
            <w:pPr>
              <w:pStyle w:val="BodyText3"/>
              <w:spacing w:line="288" w:lineRule="auto"/>
              <w:jc w:val="center"/>
              <w:rPr>
                <w:kern w:val="2"/>
                <w:sz w:val="24"/>
                <w:lang w:val="ru-RU"/>
              </w:rPr>
            </w:pPr>
            <w:r>
              <w:rPr>
                <w:kern w:val="2"/>
                <w:sz w:val="24"/>
                <w:lang w:val="ru-RU"/>
              </w:rPr>
              <w:t>(-)3 466</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1996</w:t>
            </w:r>
          </w:p>
        </w:tc>
        <w:tc>
          <w:tcPr>
            <w:tcW w:w="1490" w:type="dxa"/>
          </w:tcPr>
          <w:p w:rsidR="00000000" w:rsidRDefault="00000000">
            <w:pPr>
              <w:pStyle w:val="BodyText3"/>
              <w:spacing w:line="288" w:lineRule="auto"/>
              <w:jc w:val="center"/>
              <w:rPr>
                <w:kern w:val="2"/>
                <w:sz w:val="24"/>
                <w:lang w:val="ru-RU"/>
              </w:rPr>
            </w:pPr>
            <w:r>
              <w:rPr>
                <w:kern w:val="2"/>
                <w:sz w:val="24"/>
                <w:lang w:val="ru-RU"/>
              </w:rPr>
              <w:t>47 747</w:t>
            </w:r>
          </w:p>
        </w:tc>
        <w:tc>
          <w:tcPr>
            <w:tcW w:w="1490" w:type="dxa"/>
          </w:tcPr>
          <w:p w:rsidR="00000000" w:rsidRDefault="00000000">
            <w:pPr>
              <w:pStyle w:val="BodyText3"/>
              <w:spacing w:line="288" w:lineRule="auto"/>
              <w:jc w:val="center"/>
              <w:rPr>
                <w:kern w:val="2"/>
                <w:sz w:val="24"/>
                <w:lang w:val="ru-RU"/>
              </w:rPr>
            </w:pPr>
            <w:r>
              <w:rPr>
                <w:kern w:val="2"/>
                <w:sz w:val="24"/>
                <w:lang w:val="ru-RU"/>
              </w:rPr>
              <w:t>53 346</w:t>
            </w:r>
          </w:p>
        </w:tc>
        <w:tc>
          <w:tcPr>
            <w:tcW w:w="1490" w:type="dxa"/>
          </w:tcPr>
          <w:p w:rsidR="00000000" w:rsidRDefault="00000000">
            <w:pPr>
              <w:pStyle w:val="BodyText3"/>
              <w:spacing w:line="288" w:lineRule="auto"/>
              <w:jc w:val="center"/>
              <w:rPr>
                <w:kern w:val="2"/>
                <w:sz w:val="24"/>
                <w:lang w:val="ru-RU"/>
              </w:rPr>
            </w:pPr>
            <w:r>
              <w:rPr>
                <w:kern w:val="2"/>
                <w:sz w:val="24"/>
                <w:lang w:val="ru-RU"/>
              </w:rPr>
              <w:t>(-)5 599</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1997</w:t>
            </w:r>
          </w:p>
        </w:tc>
        <w:tc>
          <w:tcPr>
            <w:tcW w:w="1490" w:type="dxa"/>
          </w:tcPr>
          <w:p w:rsidR="00000000" w:rsidRDefault="00000000">
            <w:pPr>
              <w:pStyle w:val="BodyText3"/>
              <w:spacing w:line="288" w:lineRule="auto"/>
              <w:jc w:val="center"/>
              <w:rPr>
                <w:kern w:val="2"/>
                <w:sz w:val="24"/>
                <w:lang w:val="ru-RU"/>
              </w:rPr>
            </w:pPr>
            <w:r>
              <w:rPr>
                <w:kern w:val="2"/>
                <w:sz w:val="24"/>
                <w:lang w:val="ru-RU"/>
              </w:rPr>
              <w:t>52 994</w:t>
            </w:r>
          </w:p>
        </w:tc>
        <w:tc>
          <w:tcPr>
            <w:tcW w:w="1490" w:type="dxa"/>
          </w:tcPr>
          <w:p w:rsidR="00000000" w:rsidRDefault="00000000">
            <w:pPr>
              <w:pStyle w:val="BodyText3"/>
              <w:spacing w:line="288" w:lineRule="auto"/>
              <w:jc w:val="center"/>
              <w:rPr>
                <w:kern w:val="2"/>
                <w:sz w:val="24"/>
                <w:lang w:val="ru-RU"/>
              </w:rPr>
            </w:pPr>
            <w:r>
              <w:rPr>
                <w:kern w:val="2"/>
                <w:sz w:val="24"/>
                <w:lang w:val="ru-RU"/>
              </w:rPr>
              <w:t>59 749</w:t>
            </w:r>
          </w:p>
        </w:tc>
        <w:tc>
          <w:tcPr>
            <w:tcW w:w="1490" w:type="dxa"/>
          </w:tcPr>
          <w:p w:rsidR="00000000" w:rsidRDefault="00000000">
            <w:pPr>
              <w:pStyle w:val="BodyText3"/>
              <w:spacing w:line="288" w:lineRule="auto"/>
              <w:jc w:val="center"/>
              <w:rPr>
                <w:kern w:val="2"/>
                <w:sz w:val="24"/>
                <w:lang w:val="ru-RU"/>
              </w:rPr>
            </w:pPr>
            <w:r>
              <w:rPr>
                <w:kern w:val="2"/>
                <w:sz w:val="24"/>
                <w:lang w:val="ru-RU"/>
              </w:rPr>
              <w:t>(-)6 755</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1998</w:t>
            </w:r>
          </w:p>
        </w:tc>
        <w:tc>
          <w:tcPr>
            <w:tcW w:w="1490" w:type="dxa"/>
          </w:tcPr>
          <w:p w:rsidR="00000000" w:rsidRDefault="00000000">
            <w:pPr>
              <w:pStyle w:val="BodyText3"/>
              <w:spacing w:line="288" w:lineRule="auto"/>
              <w:jc w:val="center"/>
              <w:rPr>
                <w:kern w:val="2"/>
                <w:sz w:val="24"/>
                <w:lang w:val="ru-RU"/>
              </w:rPr>
            </w:pPr>
            <w:r>
              <w:rPr>
                <w:kern w:val="2"/>
                <w:sz w:val="24"/>
                <w:lang w:val="ru-RU"/>
              </w:rPr>
              <w:t>51 140</w:t>
            </w:r>
          </w:p>
        </w:tc>
        <w:tc>
          <w:tcPr>
            <w:tcW w:w="1490" w:type="dxa"/>
          </w:tcPr>
          <w:p w:rsidR="00000000" w:rsidRDefault="00000000">
            <w:pPr>
              <w:pStyle w:val="BodyText3"/>
              <w:spacing w:line="288" w:lineRule="auto"/>
              <w:jc w:val="center"/>
              <w:rPr>
                <w:kern w:val="2"/>
                <w:sz w:val="24"/>
                <w:lang w:val="ru-RU"/>
              </w:rPr>
            </w:pPr>
            <w:r>
              <w:rPr>
                <w:kern w:val="2"/>
                <w:sz w:val="24"/>
                <w:lang w:val="ru-RU"/>
              </w:rPr>
              <w:t>57 730</w:t>
            </w:r>
          </w:p>
        </w:tc>
        <w:tc>
          <w:tcPr>
            <w:tcW w:w="1490" w:type="dxa"/>
          </w:tcPr>
          <w:p w:rsidR="00000000" w:rsidRDefault="00000000">
            <w:pPr>
              <w:pStyle w:val="BodyText3"/>
              <w:spacing w:line="288" w:lineRule="auto"/>
              <w:jc w:val="center"/>
              <w:rPr>
                <w:kern w:val="2"/>
                <w:sz w:val="24"/>
                <w:lang w:val="ru-RU"/>
              </w:rPr>
            </w:pPr>
            <w:r>
              <w:rPr>
                <w:kern w:val="2"/>
                <w:sz w:val="24"/>
                <w:lang w:val="ru-RU"/>
              </w:rPr>
              <w:t>(-)6 590</w:t>
            </w:r>
          </w:p>
        </w:tc>
      </w:tr>
      <w:tr w:rsidR="00000000">
        <w:tblPrEx>
          <w:tblCellMar>
            <w:top w:w="0" w:type="dxa"/>
            <w:bottom w:w="0" w:type="dxa"/>
          </w:tblCellMar>
        </w:tblPrEx>
        <w:trPr>
          <w:jc w:val="center"/>
        </w:trPr>
        <w:tc>
          <w:tcPr>
            <w:tcW w:w="1490" w:type="dxa"/>
          </w:tcPr>
          <w:p w:rsidR="00000000" w:rsidRDefault="00000000">
            <w:pPr>
              <w:pStyle w:val="BodyText3"/>
              <w:spacing w:line="288" w:lineRule="auto"/>
              <w:jc w:val="center"/>
              <w:rPr>
                <w:kern w:val="2"/>
                <w:sz w:val="24"/>
                <w:lang w:val="ru-RU"/>
              </w:rPr>
            </w:pPr>
            <w:r>
              <w:rPr>
                <w:kern w:val="2"/>
                <w:sz w:val="24"/>
                <w:lang w:val="ru-RU"/>
              </w:rPr>
              <w:t>1999</w:t>
            </w:r>
          </w:p>
        </w:tc>
        <w:tc>
          <w:tcPr>
            <w:tcW w:w="1490" w:type="dxa"/>
          </w:tcPr>
          <w:p w:rsidR="00000000" w:rsidRDefault="00000000">
            <w:pPr>
              <w:pStyle w:val="BodyText3"/>
              <w:spacing w:line="288" w:lineRule="auto"/>
              <w:jc w:val="center"/>
              <w:rPr>
                <w:kern w:val="2"/>
                <w:sz w:val="24"/>
                <w:lang w:val="ru-RU"/>
              </w:rPr>
            </w:pPr>
            <w:r>
              <w:rPr>
                <w:kern w:val="2"/>
                <w:sz w:val="24"/>
                <w:lang w:val="ru-RU"/>
              </w:rPr>
              <w:t>48 011</w:t>
            </w:r>
          </w:p>
        </w:tc>
        <w:tc>
          <w:tcPr>
            <w:tcW w:w="1490" w:type="dxa"/>
          </w:tcPr>
          <w:p w:rsidR="00000000" w:rsidRDefault="00000000">
            <w:pPr>
              <w:pStyle w:val="BodyText3"/>
              <w:spacing w:line="288" w:lineRule="auto"/>
              <w:jc w:val="center"/>
              <w:rPr>
                <w:kern w:val="2"/>
                <w:sz w:val="24"/>
                <w:lang w:val="ru-RU"/>
              </w:rPr>
            </w:pPr>
            <w:r>
              <w:rPr>
                <w:kern w:val="2"/>
                <w:sz w:val="24"/>
                <w:lang w:val="ru-RU"/>
              </w:rPr>
              <w:t>49 210</w:t>
            </w:r>
          </w:p>
        </w:tc>
        <w:tc>
          <w:tcPr>
            <w:tcW w:w="1490" w:type="dxa"/>
          </w:tcPr>
          <w:p w:rsidR="00000000" w:rsidRDefault="00000000">
            <w:pPr>
              <w:pStyle w:val="BodyText3"/>
              <w:spacing w:line="288" w:lineRule="auto"/>
              <w:jc w:val="center"/>
              <w:rPr>
                <w:kern w:val="2"/>
                <w:sz w:val="24"/>
                <w:lang w:val="ru-RU"/>
              </w:rPr>
            </w:pPr>
            <w:r>
              <w:rPr>
                <w:kern w:val="2"/>
                <w:sz w:val="24"/>
                <w:lang w:val="ru-RU"/>
              </w:rPr>
              <w:t>(-)1 199</w:t>
            </w:r>
          </w:p>
        </w:tc>
      </w:tr>
    </w:tbl>
    <w:p w:rsidR="00000000" w:rsidRDefault="00000000"/>
    <w:p w:rsidR="00000000" w:rsidRDefault="00000000">
      <w:pPr>
        <w:pStyle w:val="FootnoteText"/>
        <w:spacing w:line="288" w:lineRule="auto"/>
      </w:pPr>
      <w:r>
        <w:tab/>
      </w:r>
      <w:r>
        <w:rPr>
          <w:u w:val="single"/>
        </w:rPr>
        <w:t>Источник</w:t>
      </w:r>
      <w:r>
        <w:t>:  Министерство развития, промышленности и внешней торговли.</w:t>
      </w:r>
    </w:p>
    <w:p w:rsidR="00000000" w:rsidRDefault="00000000">
      <w:pPr>
        <w:pStyle w:val="FootnoteText"/>
        <w:spacing w:line="288" w:lineRule="auto"/>
      </w:pPr>
    </w:p>
    <w:p w:rsidR="00000000" w:rsidRDefault="00000000">
      <w:pPr>
        <w:pStyle w:val="16"/>
        <w:rPr>
          <w:b/>
          <w:bCs/>
          <w:kern w:val="20"/>
        </w:rPr>
        <w:sectPr w:rsidR="00000000">
          <w:headerReference w:type="even" r:id="rId8"/>
          <w:headerReference w:type="default" r:id="rId9"/>
          <w:type w:val="continuous"/>
          <w:pgSz w:w="11906" w:h="16838"/>
          <w:pgMar w:top="851" w:right="851" w:bottom="1701" w:left="1701" w:header="851" w:footer="851" w:gutter="0"/>
          <w:cols w:space="720"/>
          <w:formProt w:val="0"/>
          <w:noEndnote/>
          <w:titlePg/>
        </w:sectPr>
      </w:pPr>
    </w:p>
    <w:p w:rsidR="00000000" w:rsidRDefault="00000000">
      <w:pPr>
        <w:pStyle w:val="16"/>
        <w:rPr>
          <w:b/>
          <w:bCs/>
          <w:kern w:val="20"/>
        </w:rPr>
      </w:pPr>
      <w:r>
        <w:rPr>
          <w:b/>
          <w:bCs/>
          <w:kern w:val="20"/>
        </w:rPr>
        <w:t>Таблица 7.   Внешнеэкономические показатели (в %)</w:t>
      </w:r>
    </w:p>
    <w:p w:rsidR="00000000" w:rsidRDefault="00000000">
      <w:pPr>
        <w:pStyle w:val="BodyText3"/>
        <w:jc w:val="center"/>
        <w:rPr>
          <w:b/>
          <w:spacing w:val="20"/>
          <w:kern w:val="20"/>
          <w:sz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629"/>
        <w:gridCol w:w="863"/>
        <w:gridCol w:w="851"/>
        <w:gridCol w:w="992"/>
        <w:gridCol w:w="1276"/>
        <w:gridCol w:w="1559"/>
        <w:gridCol w:w="1276"/>
        <w:gridCol w:w="1134"/>
        <w:gridCol w:w="1275"/>
        <w:gridCol w:w="1418"/>
        <w:gridCol w:w="992"/>
        <w:gridCol w:w="1037"/>
      </w:tblGrid>
      <w:tr w:rsidR="00000000">
        <w:tblPrEx>
          <w:tblCellMar>
            <w:top w:w="0" w:type="dxa"/>
            <w:bottom w:w="0" w:type="dxa"/>
          </w:tblCellMar>
        </w:tblPrEx>
        <w:trPr>
          <w:jc w:val="center"/>
        </w:trPr>
        <w:tc>
          <w:tcPr>
            <w:tcW w:w="629" w:type="dxa"/>
          </w:tcPr>
          <w:p w:rsidR="00000000" w:rsidRDefault="00000000">
            <w:pPr>
              <w:pStyle w:val="BodyText3"/>
              <w:jc w:val="center"/>
              <w:rPr>
                <w:sz w:val="18"/>
                <w:lang w:val="ru-RU"/>
              </w:rPr>
            </w:pPr>
          </w:p>
          <w:p w:rsidR="00000000" w:rsidRDefault="00000000">
            <w:pPr>
              <w:pStyle w:val="BodyText3"/>
              <w:jc w:val="center"/>
              <w:rPr>
                <w:sz w:val="18"/>
                <w:lang w:val="ru-RU"/>
              </w:rPr>
            </w:pPr>
          </w:p>
          <w:p w:rsidR="00000000" w:rsidRDefault="00000000">
            <w:pPr>
              <w:pStyle w:val="BodyText3"/>
              <w:jc w:val="center"/>
              <w:rPr>
                <w:sz w:val="18"/>
                <w:lang w:val="ru-RU"/>
              </w:rPr>
            </w:pPr>
            <w:r>
              <w:rPr>
                <w:sz w:val="18"/>
                <w:lang w:val="ru-RU"/>
              </w:rPr>
              <w:t>Период</w:t>
            </w:r>
          </w:p>
        </w:tc>
        <w:tc>
          <w:tcPr>
            <w:tcW w:w="863" w:type="dxa"/>
          </w:tcPr>
          <w:p w:rsidR="00000000" w:rsidRDefault="00000000">
            <w:pPr>
              <w:pStyle w:val="BodyText3"/>
              <w:jc w:val="center"/>
              <w:rPr>
                <w:rStyle w:val="Strong"/>
                <w:b w:val="0"/>
                <w:sz w:val="18"/>
                <w:lang w:val="ru-RU"/>
              </w:rPr>
            </w:pPr>
          </w:p>
          <w:p w:rsidR="00000000" w:rsidRDefault="00000000">
            <w:pPr>
              <w:pStyle w:val="BodyText3"/>
              <w:jc w:val="center"/>
              <w:rPr>
                <w:rStyle w:val="Strong"/>
                <w:b w:val="0"/>
                <w:sz w:val="18"/>
                <w:lang w:val="ru-RU"/>
              </w:rPr>
            </w:pPr>
          </w:p>
          <w:p w:rsidR="00000000" w:rsidRDefault="00000000">
            <w:pPr>
              <w:pStyle w:val="BodyText3"/>
              <w:jc w:val="center"/>
              <w:rPr>
                <w:sz w:val="18"/>
                <w:lang w:val="ru-RU"/>
              </w:rPr>
            </w:pPr>
            <w:r>
              <w:rPr>
                <w:rStyle w:val="Strong"/>
                <w:b w:val="0"/>
                <w:sz w:val="18"/>
                <w:lang w:val="ru-RU"/>
              </w:rPr>
              <w:t>Экспорт/ ВВП</w:t>
            </w:r>
          </w:p>
        </w:tc>
        <w:tc>
          <w:tcPr>
            <w:tcW w:w="851" w:type="dxa"/>
          </w:tcPr>
          <w:p w:rsidR="00000000" w:rsidRDefault="00000000">
            <w:pPr>
              <w:pStyle w:val="BodyText3"/>
              <w:jc w:val="center"/>
              <w:rPr>
                <w:sz w:val="18"/>
                <w:lang w:val="ru-RU"/>
              </w:rPr>
            </w:pPr>
          </w:p>
          <w:p w:rsidR="00000000" w:rsidRDefault="00000000">
            <w:pPr>
              <w:pStyle w:val="BodyText3"/>
              <w:jc w:val="center"/>
              <w:rPr>
                <w:sz w:val="18"/>
                <w:lang w:val="ru-RU"/>
              </w:rPr>
            </w:pPr>
          </w:p>
          <w:p w:rsidR="00000000" w:rsidRDefault="00000000">
            <w:pPr>
              <w:pStyle w:val="BodyText3"/>
              <w:jc w:val="center"/>
              <w:rPr>
                <w:sz w:val="18"/>
                <w:lang w:val="ru-RU"/>
              </w:rPr>
            </w:pPr>
            <w:r>
              <w:rPr>
                <w:sz w:val="18"/>
                <w:lang w:val="ru-RU"/>
              </w:rPr>
              <w:t>Импорт/ ВВП</w:t>
            </w:r>
          </w:p>
        </w:tc>
        <w:tc>
          <w:tcPr>
            <w:tcW w:w="992" w:type="dxa"/>
          </w:tcPr>
          <w:p w:rsidR="00000000" w:rsidRDefault="00000000">
            <w:pPr>
              <w:pStyle w:val="BodyText3"/>
              <w:jc w:val="center"/>
              <w:rPr>
                <w:sz w:val="18"/>
                <w:lang w:val="ru-RU"/>
              </w:rPr>
            </w:pPr>
            <w:r>
              <w:rPr>
                <w:sz w:val="18"/>
                <w:lang w:val="ru-RU"/>
              </w:rPr>
              <w:t>Торговый баланс/ВВП</w:t>
            </w:r>
            <w:r>
              <w:rPr>
                <w:sz w:val="18"/>
                <w:lang w:val="ru-RU"/>
              </w:rPr>
              <w:br/>
              <w:t>(экспорт-импорт)</w:t>
            </w:r>
          </w:p>
        </w:tc>
        <w:tc>
          <w:tcPr>
            <w:tcW w:w="1276" w:type="dxa"/>
          </w:tcPr>
          <w:p w:rsidR="00000000" w:rsidRDefault="00000000">
            <w:pPr>
              <w:pStyle w:val="BodyText3"/>
              <w:jc w:val="center"/>
              <w:rPr>
                <w:sz w:val="18"/>
                <w:lang w:val="ru-RU"/>
              </w:rPr>
            </w:pPr>
            <w:r>
              <w:rPr>
                <w:sz w:val="18"/>
                <w:lang w:val="ru-RU"/>
              </w:rPr>
              <w:t>Реальные переводы денежных средств за границу/ВВП</w:t>
            </w:r>
          </w:p>
          <w:p w:rsidR="00000000" w:rsidRDefault="00000000">
            <w:pPr>
              <w:pStyle w:val="BodyText3"/>
              <w:jc w:val="center"/>
              <w:rPr>
                <w:sz w:val="18"/>
              </w:rPr>
            </w:pPr>
            <w:r>
              <w:rPr>
                <w:sz w:val="18"/>
              </w:rPr>
              <w:t>(1)</w:t>
            </w:r>
          </w:p>
        </w:tc>
        <w:tc>
          <w:tcPr>
            <w:tcW w:w="1559" w:type="dxa"/>
          </w:tcPr>
          <w:p w:rsidR="00000000" w:rsidRDefault="00000000">
            <w:pPr>
              <w:pStyle w:val="BodyText3"/>
              <w:jc w:val="center"/>
              <w:rPr>
                <w:sz w:val="18"/>
                <w:lang w:val="ru-RU"/>
              </w:rPr>
            </w:pPr>
            <w:r>
              <w:rPr>
                <w:sz w:val="18"/>
                <w:lang w:val="ru-RU"/>
              </w:rPr>
              <w:t xml:space="preserve">Чистая прибыль, перечисленная </w:t>
            </w:r>
            <w:r>
              <w:rPr>
                <w:sz w:val="18"/>
                <w:lang w:val="ru-RU"/>
              </w:rPr>
              <w:br/>
              <w:t>за границу</w:t>
            </w:r>
          </w:p>
          <w:p w:rsidR="00000000" w:rsidRDefault="00000000">
            <w:pPr>
              <w:pStyle w:val="BodyText3"/>
              <w:jc w:val="center"/>
              <w:rPr>
                <w:sz w:val="18"/>
              </w:rPr>
            </w:pPr>
            <w:r>
              <w:rPr>
                <w:sz w:val="18"/>
              </w:rPr>
              <w:t>(2)</w:t>
            </w:r>
          </w:p>
        </w:tc>
        <w:tc>
          <w:tcPr>
            <w:tcW w:w="1276" w:type="dxa"/>
          </w:tcPr>
          <w:p w:rsidR="00000000" w:rsidRDefault="00000000">
            <w:pPr>
              <w:pStyle w:val="BodyText3"/>
              <w:jc w:val="center"/>
              <w:rPr>
                <w:sz w:val="18"/>
                <w:lang w:val="ru-RU"/>
              </w:rPr>
            </w:pPr>
            <w:r>
              <w:rPr>
                <w:sz w:val="18"/>
                <w:lang w:val="ru-RU"/>
              </w:rPr>
              <w:t>Чистые внешние накопления/ ВВП</w:t>
            </w:r>
          </w:p>
          <w:p w:rsidR="00000000" w:rsidRDefault="00000000">
            <w:pPr>
              <w:pStyle w:val="BodyText3"/>
              <w:jc w:val="center"/>
              <w:rPr>
                <w:sz w:val="18"/>
              </w:rPr>
            </w:pPr>
            <w:r>
              <w:rPr>
                <w:sz w:val="18"/>
              </w:rPr>
              <w:t>(3)</w:t>
            </w:r>
          </w:p>
        </w:tc>
        <w:tc>
          <w:tcPr>
            <w:tcW w:w="1134" w:type="dxa"/>
          </w:tcPr>
          <w:p w:rsidR="00000000" w:rsidRDefault="00000000">
            <w:pPr>
              <w:pStyle w:val="BodyText3"/>
              <w:jc w:val="center"/>
              <w:rPr>
                <w:sz w:val="18"/>
                <w:lang w:val="ru-RU"/>
              </w:rPr>
            </w:pPr>
            <w:r>
              <w:rPr>
                <w:sz w:val="18"/>
                <w:lang w:val="ru-RU"/>
              </w:rPr>
              <w:t>Переводы для целей внешних выплат/ВВП</w:t>
            </w:r>
          </w:p>
          <w:p w:rsidR="00000000" w:rsidRDefault="00000000">
            <w:pPr>
              <w:pStyle w:val="BodyText3"/>
              <w:jc w:val="center"/>
              <w:rPr>
                <w:sz w:val="18"/>
                <w:highlight w:val="yellow"/>
              </w:rPr>
            </w:pPr>
            <w:r>
              <w:rPr>
                <w:sz w:val="18"/>
              </w:rPr>
              <w:t>(4)</w:t>
            </w:r>
          </w:p>
        </w:tc>
        <w:tc>
          <w:tcPr>
            <w:tcW w:w="1275" w:type="dxa"/>
          </w:tcPr>
          <w:p w:rsidR="00000000" w:rsidRDefault="00000000">
            <w:pPr>
              <w:pStyle w:val="BodyText3"/>
              <w:jc w:val="center"/>
              <w:rPr>
                <w:sz w:val="18"/>
                <w:lang w:val="ru-RU"/>
              </w:rPr>
            </w:pPr>
            <w:r>
              <w:rPr>
                <w:sz w:val="18"/>
                <w:lang w:val="ru-RU"/>
              </w:rPr>
              <w:t>Обслуживание долга/экспорт (5)</w:t>
            </w:r>
          </w:p>
        </w:tc>
        <w:tc>
          <w:tcPr>
            <w:tcW w:w="1418" w:type="dxa"/>
          </w:tcPr>
          <w:p w:rsidR="00000000" w:rsidRDefault="00000000">
            <w:pPr>
              <w:pStyle w:val="BodyText3"/>
              <w:jc w:val="center"/>
              <w:rPr>
                <w:sz w:val="18"/>
                <w:highlight w:val="yellow"/>
                <w:lang w:val="ru-RU"/>
              </w:rPr>
            </w:pPr>
            <w:r>
              <w:rPr>
                <w:sz w:val="18"/>
                <w:lang w:val="ru-RU"/>
              </w:rPr>
              <w:t>Экспорт товаров и услуг непро-мышленного характера/общая внешняя задолженность</w:t>
            </w:r>
          </w:p>
        </w:tc>
        <w:tc>
          <w:tcPr>
            <w:tcW w:w="992" w:type="dxa"/>
          </w:tcPr>
          <w:p w:rsidR="00000000" w:rsidRDefault="00000000">
            <w:pPr>
              <w:pStyle w:val="BodyText3"/>
              <w:spacing w:line="288" w:lineRule="auto"/>
              <w:jc w:val="center"/>
              <w:rPr>
                <w:sz w:val="18"/>
                <w:lang w:val="ru-RU"/>
              </w:rPr>
            </w:pPr>
          </w:p>
          <w:p w:rsidR="00000000" w:rsidRDefault="00000000">
            <w:pPr>
              <w:pStyle w:val="BodyText3"/>
              <w:spacing w:line="288" w:lineRule="auto"/>
              <w:jc w:val="center"/>
              <w:rPr>
                <w:sz w:val="18"/>
                <w:lang w:val="ru-RU"/>
              </w:rPr>
            </w:pPr>
          </w:p>
          <w:p w:rsidR="00000000" w:rsidRDefault="00000000">
            <w:pPr>
              <w:pStyle w:val="BodyText3"/>
              <w:spacing w:line="288" w:lineRule="auto"/>
              <w:jc w:val="center"/>
              <w:rPr>
                <w:sz w:val="18"/>
                <w:lang w:val="ru-RU"/>
              </w:rPr>
            </w:pPr>
            <w:r>
              <w:rPr>
                <w:sz w:val="18"/>
                <w:lang w:val="ru-RU"/>
              </w:rPr>
              <w:t>Внешний долг/ВВП</w:t>
            </w:r>
          </w:p>
        </w:tc>
        <w:tc>
          <w:tcPr>
            <w:tcW w:w="1037" w:type="dxa"/>
          </w:tcPr>
          <w:p w:rsidR="00000000" w:rsidRDefault="00000000">
            <w:pPr>
              <w:pStyle w:val="BodyText3"/>
              <w:spacing w:line="288" w:lineRule="auto"/>
              <w:jc w:val="center"/>
              <w:rPr>
                <w:sz w:val="18"/>
                <w:lang w:val="ru-RU"/>
              </w:rPr>
            </w:pPr>
          </w:p>
          <w:p w:rsidR="00000000" w:rsidRDefault="00000000">
            <w:pPr>
              <w:pStyle w:val="BodyText3"/>
              <w:spacing w:line="288" w:lineRule="auto"/>
              <w:jc w:val="center"/>
              <w:rPr>
                <w:sz w:val="18"/>
                <w:lang w:val="ru-RU"/>
              </w:rPr>
            </w:pPr>
          </w:p>
          <w:p w:rsidR="00000000" w:rsidRDefault="00000000">
            <w:pPr>
              <w:pStyle w:val="BodyText3"/>
              <w:spacing w:line="288" w:lineRule="auto"/>
              <w:jc w:val="center"/>
              <w:rPr>
                <w:sz w:val="18"/>
                <w:highlight w:val="yellow"/>
                <w:lang w:val="ru-RU"/>
              </w:rPr>
            </w:pPr>
            <w:r>
              <w:rPr>
                <w:sz w:val="18"/>
                <w:lang w:val="ru-RU"/>
              </w:rPr>
              <w:t>Торговые потоки/ВВП</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1990</w:t>
            </w:r>
          </w:p>
        </w:tc>
        <w:tc>
          <w:tcPr>
            <w:tcW w:w="863" w:type="dxa"/>
          </w:tcPr>
          <w:p w:rsidR="00000000" w:rsidRDefault="00000000">
            <w:pPr>
              <w:pStyle w:val="BodyText3"/>
              <w:spacing w:line="288" w:lineRule="auto"/>
              <w:jc w:val="center"/>
            </w:pPr>
            <w:r>
              <w:t>6,7</w:t>
            </w:r>
          </w:p>
        </w:tc>
        <w:tc>
          <w:tcPr>
            <w:tcW w:w="851" w:type="dxa"/>
          </w:tcPr>
          <w:p w:rsidR="00000000" w:rsidRDefault="00000000">
            <w:pPr>
              <w:pStyle w:val="BodyText3"/>
              <w:spacing w:line="288" w:lineRule="auto"/>
              <w:jc w:val="center"/>
            </w:pPr>
            <w:r>
              <w:t>4,4</w:t>
            </w:r>
          </w:p>
        </w:tc>
        <w:tc>
          <w:tcPr>
            <w:tcW w:w="992" w:type="dxa"/>
          </w:tcPr>
          <w:p w:rsidR="00000000" w:rsidRDefault="00000000">
            <w:pPr>
              <w:pStyle w:val="BodyText3"/>
              <w:spacing w:line="288" w:lineRule="auto"/>
              <w:jc w:val="center"/>
            </w:pPr>
            <w:r>
              <w:t>2,3</w:t>
            </w:r>
          </w:p>
        </w:tc>
        <w:tc>
          <w:tcPr>
            <w:tcW w:w="1276" w:type="dxa"/>
          </w:tcPr>
          <w:p w:rsidR="00000000" w:rsidRDefault="00000000">
            <w:pPr>
              <w:pStyle w:val="BodyText3"/>
              <w:spacing w:line="288" w:lineRule="auto"/>
              <w:jc w:val="center"/>
            </w:pPr>
            <w:r>
              <w:t>1,7</w:t>
            </w:r>
          </w:p>
        </w:tc>
        <w:tc>
          <w:tcPr>
            <w:tcW w:w="1559" w:type="dxa"/>
          </w:tcPr>
          <w:p w:rsidR="00000000" w:rsidRDefault="00000000">
            <w:pPr>
              <w:pStyle w:val="BodyText3"/>
              <w:spacing w:line="288" w:lineRule="auto"/>
              <w:jc w:val="center"/>
            </w:pPr>
            <w:r>
              <w:t>2,7</w:t>
            </w:r>
          </w:p>
        </w:tc>
        <w:tc>
          <w:tcPr>
            <w:tcW w:w="1276" w:type="dxa"/>
          </w:tcPr>
          <w:p w:rsidR="00000000" w:rsidRDefault="00000000">
            <w:pPr>
              <w:pStyle w:val="BodyText3"/>
              <w:spacing w:line="288" w:lineRule="auto"/>
              <w:jc w:val="center"/>
            </w:pPr>
            <w:r>
              <w:t>0,8</w:t>
            </w:r>
          </w:p>
        </w:tc>
        <w:tc>
          <w:tcPr>
            <w:tcW w:w="1134" w:type="dxa"/>
          </w:tcPr>
          <w:p w:rsidR="00000000" w:rsidRDefault="00000000">
            <w:pPr>
              <w:pStyle w:val="BodyText3"/>
              <w:spacing w:line="288" w:lineRule="auto"/>
              <w:jc w:val="center"/>
            </w:pPr>
            <w:r>
              <w:t>3,9</w:t>
            </w:r>
          </w:p>
        </w:tc>
        <w:tc>
          <w:tcPr>
            <w:tcW w:w="1275" w:type="dxa"/>
          </w:tcPr>
          <w:p w:rsidR="00000000" w:rsidRDefault="00000000">
            <w:pPr>
              <w:pStyle w:val="BodyText3"/>
              <w:spacing w:line="288" w:lineRule="auto"/>
              <w:jc w:val="center"/>
            </w:pPr>
            <w:r>
              <w:t>25,8</w:t>
            </w:r>
          </w:p>
        </w:tc>
        <w:tc>
          <w:tcPr>
            <w:tcW w:w="1418" w:type="dxa"/>
          </w:tcPr>
          <w:p w:rsidR="00000000" w:rsidRDefault="00000000">
            <w:pPr>
              <w:pStyle w:val="BodyText3"/>
              <w:spacing w:line="288" w:lineRule="auto"/>
              <w:jc w:val="center"/>
            </w:pPr>
            <w:r>
              <w:t>28,1</w:t>
            </w:r>
          </w:p>
        </w:tc>
        <w:tc>
          <w:tcPr>
            <w:tcW w:w="992" w:type="dxa"/>
          </w:tcPr>
          <w:p w:rsidR="00000000" w:rsidRDefault="00000000">
            <w:pPr>
              <w:pStyle w:val="BodyText3"/>
              <w:spacing w:line="288" w:lineRule="auto"/>
              <w:jc w:val="center"/>
            </w:pPr>
            <w:r>
              <w:t>26,3</w:t>
            </w:r>
          </w:p>
        </w:tc>
        <w:tc>
          <w:tcPr>
            <w:tcW w:w="1037" w:type="dxa"/>
          </w:tcPr>
          <w:p w:rsidR="00000000" w:rsidRDefault="00000000">
            <w:pPr>
              <w:pStyle w:val="BodyText3"/>
              <w:spacing w:line="288" w:lineRule="auto"/>
              <w:jc w:val="center"/>
            </w:pPr>
            <w:r>
              <w:t>11,1</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1991</w:t>
            </w:r>
          </w:p>
        </w:tc>
        <w:tc>
          <w:tcPr>
            <w:tcW w:w="863" w:type="dxa"/>
          </w:tcPr>
          <w:p w:rsidR="00000000" w:rsidRDefault="00000000">
            <w:pPr>
              <w:pStyle w:val="BodyText3"/>
              <w:spacing w:line="288" w:lineRule="auto"/>
              <w:jc w:val="center"/>
            </w:pPr>
            <w:r>
              <w:t>7,8</w:t>
            </w:r>
          </w:p>
        </w:tc>
        <w:tc>
          <w:tcPr>
            <w:tcW w:w="851" w:type="dxa"/>
          </w:tcPr>
          <w:p w:rsidR="00000000" w:rsidRDefault="00000000">
            <w:pPr>
              <w:pStyle w:val="BodyText3"/>
              <w:spacing w:line="288" w:lineRule="auto"/>
              <w:jc w:val="center"/>
            </w:pPr>
            <w:r>
              <w:t>5,2</w:t>
            </w:r>
          </w:p>
        </w:tc>
        <w:tc>
          <w:tcPr>
            <w:tcW w:w="992" w:type="dxa"/>
          </w:tcPr>
          <w:p w:rsidR="00000000" w:rsidRDefault="00000000">
            <w:pPr>
              <w:pStyle w:val="BodyText3"/>
              <w:spacing w:line="288" w:lineRule="auto"/>
              <w:jc w:val="center"/>
            </w:pPr>
            <w:r>
              <w:t>2,6</w:t>
            </w:r>
          </w:p>
        </w:tc>
        <w:tc>
          <w:tcPr>
            <w:tcW w:w="1276" w:type="dxa"/>
          </w:tcPr>
          <w:p w:rsidR="00000000" w:rsidRDefault="00000000">
            <w:pPr>
              <w:pStyle w:val="BodyText3"/>
              <w:spacing w:line="288" w:lineRule="auto"/>
              <w:jc w:val="center"/>
            </w:pPr>
            <w:r>
              <w:t>1,9</w:t>
            </w:r>
          </w:p>
        </w:tc>
        <w:tc>
          <w:tcPr>
            <w:tcW w:w="1559" w:type="dxa"/>
          </w:tcPr>
          <w:p w:rsidR="00000000" w:rsidRDefault="00000000">
            <w:pPr>
              <w:pStyle w:val="BodyText3"/>
              <w:spacing w:line="288" w:lineRule="auto"/>
              <w:jc w:val="center"/>
            </w:pPr>
            <w:r>
              <w:t>2,7</w:t>
            </w:r>
          </w:p>
        </w:tc>
        <w:tc>
          <w:tcPr>
            <w:tcW w:w="1276" w:type="dxa"/>
          </w:tcPr>
          <w:p w:rsidR="00000000" w:rsidRDefault="00000000">
            <w:pPr>
              <w:pStyle w:val="BodyText3"/>
              <w:spacing w:line="288" w:lineRule="auto"/>
              <w:jc w:val="center"/>
            </w:pPr>
            <w:r>
              <w:t>0,3</w:t>
            </w:r>
          </w:p>
        </w:tc>
        <w:tc>
          <w:tcPr>
            <w:tcW w:w="1134" w:type="dxa"/>
          </w:tcPr>
          <w:p w:rsidR="00000000" w:rsidRDefault="00000000">
            <w:pPr>
              <w:pStyle w:val="BodyText3"/>
              <w:spacing w:line="288" w:lineRule="auto"/>
              <w:jc w:val="center"/>
            </w:pPr>
            <w:r>
              <w:t>3,4</w:t>
            </w:r>
          </w:p>
        </w:tc>
        <w:tc>
          <w:tcPr>
            <w:tcW w:w="1275" w:type="dxa"/>
          </w:tcPr>
          <w:p w:rsidR="00000000" w:rsidRDefault="00000000">
            <w:pPr>
              <w:pStyle w:val="BodyText3"/>
              <w:spacing w:line="288" w:lineRule="auto"/>
              <w:jc w:val="center"/>
            </w:pPr>
            <w:r>
              <w:t>38,0</w:t>
            </w:r>
          </w:p>
        </w:tc>
        <w:tc>
          <w:tcPr>
            <w:tcW w:w="1418" w:type="dxa"/>
          </w:tcPr>
          <w:p w:rsidR="00000000" w:rsidRDefault="00000000">
            <w:pPr>
              <w:pStyle w:val="BodyText3"/>
              <w:spacing w:line="288" w:lineRule="auto"/>
              <w:jc w:val="center"/>
            </w:pPr>
            <w:r>
              <w:t>27,7</w:t>
            </w:r>
          </w:p>
        </w:tc>
        <w:tc>
          <w:tcPr>
            <w:tcW w:w="992" w:type="dxa"/>
          </w:tcPr>
          <w:p w:rsidR="00000000" w:rsidRDefault="00000000">
            <w:pPr>
              <w:pStyle w:val="BodyText3"/>
              <w:spacing w:line="288" w:lineRule="auto"/>
              <w:jc w:val="center"/>
            </w:pPr>
            <w:r>
              <w:t>30,5</w:t>
            </w:r>
          </w:p>
        </w:tc>
        <w:tc>
          <w:tcPr>
            <w:tcW w:w="1037" w:type="dxa"/>
          </w:tcPr>
          <w:p w:rsidR="00000000" w:rsidRDefault="00000000">
            <w:pPr>
              <w:pStyle w:val="BodyText3"/>
              <w:spacing w:line="288" w:lineRule="auto"/>
              <w:jc w:val="center"/>
            </w:pPr>
            <w:r>
              <w:t>13,0</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1992</w:t>
            </w:r>
          </w:p>
        </w:tc>
        <w:tc>
          <w:tcPr>
            <w:tcW w:w="863" w:type="dxa"/>
          </w:tcPr>
          <w:p w:rsidR="00000000" w:rsidRDefault="00000000">
            <w:pPr>
              <w:pStyle w:val="BodyText3"/>
              <w:spacing w:line="288" w:lineRule="auto"/>
              <w:jc w:val="center"/>
            </w:pPr>
            <w:r>
              <w:t>9,2</w:t>
            </w:r>
          </w:p>
        </w:tc>
        <w:tc>
          <w:tcPr>
            <w:tcW w:w="851" w:type="dxa"/>
          </w:tcPr>
          <w:p w:rsidR="00000000" w:rsidRDefault="00000000">
            <w:pPr>
              <w:pStyle w:val="BodyText3"/>
              <w:spacing w:line="288" w:lineRule="auto"/>
              <w:jc w:val="center"/>
            </w:pPr>
            <w:r>
              <w:t>5,3</w:t>
            </w:r>
          </w:p>
        </w:tc>
        <w:tc>
          <w:tcPr>
            <w:tcW w:w="992" w:type="dxa"/>
          </w:tcPr>
          <w:p w:rsidR="00000000" w:rsidRDefault="00000000">
            <w:pPr>
              <w:pStyle w:val="BodyText3"/>
              <w:spacing w:line="288" w:lineRule="auto"/>
              <w:jc w:val="center"/>
            </w:pPr>
            <w:r>
              <w:t>3,9</w:t>
            </w:r>
          </w:p>
        </w:tc>
        <w:tc>
          <w:tcPr>
            <w:tcW w:w="1276" w:type="dxa"/>
          </w:tcPr>
          <w:p w:rsidR="00000000" w:rsidRDefault="00000000">
            <w:pPr>
              <w:pStyle w:val="BodyText3"/>
              <w:spacing w:line="288" w:lineRule="auto"/>
              <w:jc w:val="center"/>
            </w:pPr>
            <w:r>
              <w:t>3,4</w:t>
            </w:r>
          </w:p>
        </w:tc>
        <w:tc>
          <w:tcPr>
            <w:tcW w:w="1559" w:type="dxa"/>
          </w:tcPr>
          <w:p w:rsidR="00000000" w:rsidRDefault="00000000">
            <w:pPr>
              <w:pStyle w:val="BodyText3"/>
              <w:spacing w:line="288" w:lineRule="auto"/>
              <w:jc w:val="center"/>
            </w:pPr>
            <w:r>
              <w:t>2,4</w:t>
            </w:r>
          </w:p>
        </w:tc>
        <w:tc>
          <w:tcPr>
            <w:tcW w:w="1276" w:type="dxa"/>
          </w:tcPr>
          <w:p w:rsidR="00000000" w:rsidRDefault="00000000">
            <w:pPr>
              <w:pStyle w:val="BodyText3"/>
              <w:spacing w:line="288" w:lineRule="auto"/>
              <w:jc w:val="center"/>
            </w:pPr>
            <w:r>
              <w:t>(-)1,6</w:t>
            </w:r>
          </w:p>
        </w:tc>
        <w:tc>
          <w:tcPr>
            <w:tcW w:w="1134" w:type="dxa"/>
          </w:tcPr>
          <w:p w:rsidR="00000000" w:rsidRDefault="00000000">
            <w:pPr>
              <w:pStyle w:val="BodyText3"/>
              <w:spacing w:line="288" w:lineRule="auto"/>
              <w:jc w:val="center"/>
            </w:pPr>
            <w:r>
              <w:t>1,8</w:t>
            </w:r>
          </w:p>
        </w:tc>
        <w:tc>
          <w:tcPr>
            <w:tcW w:w="1275" w:type="dxa"/>
          </w:tcPr>
          <w:p w:rsidR="00000000" w:rsidRDefault="00000000">
            <w:pPr>
              <w:pStyle w:val="BodyText3"/>
              <w:spacing w:line="288" w:lineRule="auto"/>
              <w:jc w:val="center"/>
            </w:pPr>
            <w:r>
              <w:t>34,8</w:t>
            </w:r>
          </w:p>
        </w:tc>
        <w:tc>
          <w:tcPr>
            <w:tcW w:w="1418" w:type="dxa"/>
          </w:tcPr>
          <w:p w:rsidR="00000000" w:rsidRDefault="00000000">
            <w:pPr>
              <w:pStyle w:val="BodyText3"/>
              <w:spacing w:line="288" w:lineRule="auto"/>
              <w:jc w:val="center"/>
            </w:pPr>
            <w:r>
              <w:t>28,7</w:t>
            </w:r>
          </w:p>
        </w:tc>
        <w:tc>
          <w:tcPr>
            <w:tcW w:w="992" w:type="dxa"/>
          </w:tcPr>
          <w:p w:rsidR="00000000" w:rsidRDefault="00000000">
            <w:pPr>
              <w:pStyle w:val="BodyText3"/>
              <w:spacing w:line="288" w:lineRule="auto"/>
              <w:jc w:val="center"/>
            </w:pPr>
            <w:r>
              <w:t>35,1</w:t>
            </w:r>
          </w:p>
        </w:tc>
        <w:tc>
          <w:tcPr>
            <w:tcW w:w="1037" w:type="dxa"/>
          </w:tcPr>
          <w:p w:rsidR="00000000" w:rsidRDefault="00000000">
            <w:pPr>
              <w:pStyle w:val="BodyText3"/>
              <w:spacing w:line="288" w:lineRule="auto"/>
              <w:jc w:val="center"/>
            </w:pPr>
            <w:r>
              <w:t>14,5</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1993</w:t>
            </w:r>
          </w:p>
        </w:tc>
        <w:tc>
          <w:tcPr>
            <w:tcW w:w="863" w:type="dxa"/>
          </w:tcPr>
          <w:p w:rsidR="00000000" w:rsidRDefault="00000000">
            <w:pPr>
              <w:pStyle w:val="BodyText3"/>
              <w:spacing w:line="288" w:lineRule="auto"/>
              <w:jc w:val="center"/>
            </w:pPr>
            <w:r>
              <w:t>9,0</w:t>
            </w:r>
          </w:p>
        </w:tc>
        <w:tc>
          <w:tcPr>
            <w:tcW w:w="851" w:type="dxa"/>
          </w:tcPr>
          <w:p w:rsidR="00000000" w:rsidRDefault="00000000">
            <w:pPr>
              <w:pStyle w:val="BodyText3"/>
              <w:spacing w:line="288" w:lineRule="auto"/>
              <w:jc w:val="center"/>
            </w:pPr>
            <w:r>
              <w:t>5,9</w:t>
            </w:r>
          </w:p>
        </w:tc>
        <w:tc>
          <w:tcPr>
            <w:tcW w:w="992" w:type="dxa"/>
          </w:tcPr>
          <w:p w:rsidR="00000000" w:rsidRDefault="00000000">
            <w:pPr>
              <w:pStyle w:val="BodyText3"/>
              <w:spacing w:line="288" w:lineRule="auto"/>
              <w:jc w:val="center"/>
            </w:pPr>
            <w:r>
              <w:t>3,1</w:t>
            </w:r>
          </w:p>
        </w:tc>
        <w:tc>
          <w:tcPr>
            <w:tcW w:w="1276" w:type="dxa"/>
          </w:tcPr>
          <w:p w:rsidR="00000000" w:rsidRDefault="00000000">
            <w:pPr>
              <w:pStyle w:val="BodyText3"/>
              <w:spacing w:line="288" w:lineRule="auto"/>
              <w:jc w:val="center"/>
            </w:pPr>
            <w:r>
              <w:t>2,2</w:t>
            </w:r>
          </w:p>
        </w:tc>
        <w:tc>
          <w:tcPr>
            <w:tcW w:w="1559" w:type="dxa"/>
          </w:tcPr>
          <w:p w:rsidR="00000000" w:rsidRDefault="00000000">
            <w:pPr>
              <w:pStyle w:val="BodyText3"/>
              <w:spacing w:line="288" w:lineRule="auto"/>
              <w:jc w:val="center"/>
            </w:pPr>
            <w:r>
              <w:t>2,7</w:t>
            </w:r>
          </w:p>
        </w:tc>
        <w:tc>
          <w:tcPr>
            <w:tcW w:w="1276" w:type="dxa"/>
          </w:tcPr>
          <w:p w:rsidR="00000000" w:rsidRDefault="00000000">
            <w:pPr>
              <w:pStyle w:val="BodyText3"/>
              <w:spacing w:line="288" w:lineRule="auto"/>
              <w:jc w:val="center"/>
            </w:pPr>
            <w:r>
              <w:t>0,1</w:t>
            </w:r>
          </w:p>
        </w:tc>
        <w:tc>
          <w:tcPr>
            <w:tcW w:w="1134" w:type="dxa"/>
          </w:tcPr>
          <w:p w:rsidR="00000000" w:rsidRDefault="00000000">
            <w:pPr>
              <w:pStyle w:val="BodyText3"/>
              <w:spacing w:line="288" w:lineRule="auto"/>
              <w:jc w:val="center"/>
            </w:pPr>
            <w:r>
              <w:t>0,9</w:t>
            </w:r>
          </w:p>
        </w:tc>
        <w:tc>
          <w:tcPr>
            <w:tcW w:w="1275" w:type="dxa"/>
          </w:tcPr>
          <w:p w:rsidR="00000000" w:rsidRDefault="00000000">
            <w:pPr>
              <w:pStyle w:val="BodyText3"/>
              <w:spacing w:line="288" w:lineRule="auto"/>
              <w:jc w:val="center"/>
            </w:pPr>
            <w:r>
              <w:t>43,1</w:t>
            </w:r>
          </w:p>
        </w:tc>
        <w:tc>
          <w:tcPr>
            <w:tcW w:w="1418" w:type="dxa"/>
          </w:tcPr>
          <w:p w:rsidR="00000000" w:rsidRDefault="00000000">
            <w:pPr>
              <w:pStyle w:val="BodyText3"/>
              <w:spacing w:line="288" w:lineRule="auto"/>
              <w:jc w:val="center"/>
            </w:pPr>
            <w:r>
              <w:t>28,6</w:t>
            </w:r>
          </w:p>
        </w:tc>
        <w:tc>
          <w:tcPr>
            <w:tcW w:w="992" w:type="dxa"/>
          </w:tcPr>
          <w:p w:rsidR="00000000" w:rsidRDefault="00000000">
            <w:pPr>
              <w:pStyle w:val="BodyText3"/>
              <w:spacing w:line="288" w:lineRule="auto"/>
              <w:jc w:val="center"/>
            </w:pPr>
            <w:r>
              <w:t>33,9</w:t>
            </w:r>
          </w:p>
        </w:tc>
        <w:tc>
          <w:tcPr>
            <w:tcW w:w="1037" w:type="dxa"/>
          </w:tcPr>
          <w:p w:rsidR="00000000" w:rsidRDefault="00000000">
            <w:pPr>
              <w:pStyle w:val="BodyText3"/>
              <w:spacing w:line="288" w:lineRule="auto"/>
              <w:jc w:val="center"/>
            </w:pPr>
            <w:r>
              <w:t>14,9</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1994</w:t>
            </w:r>
          </w:p>
        </w:tc>
        <w:tc>
          <w:tcPr>
            <w:tcW w:w="863" w:type="dxa"/>
          </w:tcPr>
          <w:p w:rsidR="00000000" w:rsidRDefault="00000000">
            <w:pPr>
              <w:pStyle w:val="BodyText3"/>
              <w:spacing w:line="288" w:lineRule="auto"/>
              <w:jc w:val="center"/>
            </w:pPr>
            <w:r>
              <w:t>8,0</w:t>
            </w:r>
          </w:p>
        </w:tc>
        <w:tc>
          <w:tcPr>
            <w:tcW w:w="851" w:type="dxa"/>
          </w:tcPr>
          <w:p w:rsidR="00000000" w:rsidRDefault="00000000">
            <w:pPr>
              <w:pStyle w:val="BodyText3"/>
              <w:spacing w:line="288" w:lineRule="auto"/>
              <w:jc w:val="center"/>
            </w:pPr>
            <w:r>
              <w:t>6,1</w:t>
            </w:r>
          </w:p>
        </w:tc>
        <w:tc>
          <w:tcPr>
            <w:tcW w:w="992" w:type="dxa"/>
          </w:tcPr>
          <w:p w:rsidR="00000000" w:rsidRDefault="00000000">
            <w:pPr>
              <w:pStyle w:val="BodyText3"/>
              <w:spacing w:line="288" w:lineRule="auto"/>
              <w:jc w:val="center"/>
            </w:pPr>
            <w:r>
              <w:t>1,9</w:t>
            </w:r>
          </w:p>
        </w:tc>
        <w:tc>
          <w:tcPr>
            <w:tcW w:w="1276" w:type="dxa"/>
          </w:tcPr>
          <w:p w:rsidR="00000000" w:rsidRDefault="00000000">
            <w:pPr>
              <w:pStyle w:val="BodyText3"/>
              <w:spacing w:line="288" w:lineRule="auto"/>
              <w:jc w:val="center"/>
            </w:pPr>
            <w:r>
              <w:t>1,1</w:t>
            </w:r>
          </w:p>
        </w:tc>
        <w:tc>
          <w:tcPr>
            <w:tcW w:w="1559" w:type="dxa"/>
          </w:tcPr>
          <w:p w:rsidR="00000000" w:rsidRDefault="00000000">
            <w:pPr>
              <w:pStyle w:val="BodyText3"/>
              <w:spacing w:line="288" w:lineRule="auto"/>
              <w:jc w:val="center"/>
            </w:pPr>
            <w:r>
              <w:t>1,9</w:t>
            </w:r>
          </w:p>
        </w:tc>
        <w:tc>
          <w:tcPr>
            <w:tcW w:w="1276" w:type="dxa"/>
          </w:tcPr>
          <w:p w:rsidR="00000000" w:rsidRDefault="00000000">
            <w:pPr>
              <w:pStyle w:val="BodyText3"/>
              <w:spacing w:line="288" w:lineRule="auto"/>
              <w:jc w:val="center"/>
            </w:pPr>
            <w:r>
              <w:t>0,3</w:t>
            </w:r>
          </w:p>
        </w:tc>
        <w:tc>
          <w:tcPr>
            <w:tcW w:w="1134" w:type="dxa"/>
          </w:tcPr>
          <w:p w:rsidR="00000000" w:rsidRDefault="00000000">
            <w:pPr>
              <w:pStyle w:val="BodyText3"/>
              <w:spacing w:line="288" w:lineRule="auto"/>
              <w:jc w:val="center"/>
            </w:pPr>
            <w:r>
              <w:t>0,5</w:t>
            </w:r>
          </w:p>
        </w:tc>
        <w:tc>
          <w:tcPr>
            <w:tcW w:w="1275" w:type="dxa"/>
          </w:tcPr>
          <w:p w:rsidR="00000000" w:rsidRDefault="00000000">
            <w:pPr>
              <w:pStyle w:val="BodyText3"/>
              <w:spacing w:line="288" w:lineRule="auto"/>
              <w:jc w:val="center"/>
            </w:pPr>
            <w:r>
              <w:t>38,9</w:t>
            </w:r>
          </w:p>
        </w:tc>
        <w:tc>
          <w:tcPr>
            <w:tcW w:w="1418" w:type="dxa"/>
          </w:tcPr>
          <w:p w:rsidR="00000000" w:rsidRDefault="00000000">
            <w:pPr>
              <w:pStyle w:val="BodyText3"/>
              <w:spacing w:line="288" w:lineRule="auto"/>
              <w:jc w:val="center"/>
            </w:pPr>
            <w:r>
              <w:t>31,6</w:t>
            </w:r>
          </w:p>
        </w:tc>
        <w:tc>
          <w:tcPr>
            <w:tcW w:w="992" w:type="dxa"/>
          </w:tcPr>
          <w:p w:rsidR="00000000" w:rsidRDefault="00000000">
            <w:pPr>
              <w:pStyle w:val="BodyText3"/>
              <w:spacing w:line="288" w:lineRule="auto"/>
              <w:jc w:val="center"/>
            </w:pPr>
            <w:r>
              <w:t>27,3</w:t>
            </w:r>
          </w:p>
        </w:tc>
        <w:tc>
          <w:tcPr>
            <w:tcW w:w="1037" w:type="dxa"/>
          </w:tcPr>
          <w:p w:rsidR="00000000" w:rsidRDefault="00000000">
            <w:pPr>
              <w:pStyle w:val="BodyText3"/>
              <w:spacing w:line="288" w:lineRule="auto"/>
              <w:jc w:val="center"/>
            </w:pPr>
            <w:r>
              <w:t>14,1</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1995</w:t>
            </w:r>
          </w:p>
        </w:tc>
        <w:tc>
          <w:tcPr>
            <w:tcW w:w="863" w:type="dxa"/>
          </w:tcPr>
          <w:p w:rsidR="00000000" w:rsidRDefault="00000000">
            <w:pPr>
              <w:pStyle w:val="BodyText3"/>
              <w:spacing w:line="288" w:lineRule="auto"/>
              <w:jc w:val="center"/>
            </w:pPr>
            <w:r>
              <w:t>6,6</w:t>
            </w:r>
          </w:p>
        </w:tc>
        <w:tc>
          <w:tcPr>
            <w:tcW w:w="851" w:type="dxa"/>
          </w:tcPr>
          <w:p w:rsidR="00000000" w:rsidRDefault="00000000">
            <w:pPr>
              <w:pStyle w:val="BodyText3"/>
              <w:spacing w:line="288" w:lineRule="auto"/>
              <w:jc w:val="center"/>
            </w:pPr>
            <w:r>
              <w:t>7,1</w:t>
            </w:r>
          </w:p>
        </w:tc>
        <w:tc>
          <w:tcPr>
            <w:tcW w:w="992" w:type="dxa"/>
          </w:tcPr>
          <w:p w:rsidR="00000000" w:rsidRDefault="00000000">
            <w:pPr>
              <w:pStyle w:val="BodyText3"/>
              <w:spacing w:line="288" w:lineRule="auto"/>
              <w:jc w:val="center"/>
            </w:pPr>
            <w:r>
              <w:t>(-)0,5</w:t>
            </w:r>
          </w:p>
        </w:tc>
        <w:tc>
          <w:tcPr>
            <w:tcW w:w="1276" w:type="dxa"/>
          </w:tcPr>
          <w:p w:rsidR="00000000" w:rsidRDefault="00000000">
            <w:pPr>
              <w:pStyle w:val="BodyText3"/>
              <w:spacing w:line="288" w:lineRule="auto"/>
              <w:jc w:val="center"/>
            </w:pPr>
            <w:r>
              <w:t>(-)1,4</w:t>
            </w:r>
          </w:p>
        </w:tc>
        <w:tc>
          <w:tcPr>
            <w:tcW w:w="1559" w:type="dxa"/>
          </w:tcPr>
          <w:p w:rsidR="00000000" w:rsidRDefault="00000000">
            <w:pPr>
              <w:pStyle w:val="BodyText3"/>
              <w:spacing w:line="288" w:lineRule="auto"/>
              <w:jc w:val="center"/>
            </w:pPr>
            <w:r>
              <w:t>1,8</w:t>
            </w:r>
          </w:p>
        </w:tc>
        <w:tc>
          <w:tcPr>
            <w:tcW w:w="1276" w:type="dxa"/>
          </w:tcPr>
          <w:p w:rsidR="00000000" w:rsidRDefault="00000000">
            <w:pPr>
              <w:pStyle w:val="BodyText3"/>
              <w:spacing w:line="288" w:lineRule="auto"/>
              <w:jc w:val="center"/>
            </w:pPr>
            <w:r>
              <w:t>2,6</w:t>
            </w:r>
          </w:p>
        </w:tc>
        <w:tc>
          <w:tcPr>
            <w:tcW w:w="1134" w:type="dxa"/>
          </w:tcPr>
          <w:p w:rsidR="00000000" w:rsidRDefault="00000000">
            <w:pPr>
              <w:pStyle w:val="BodyText3"/>
              <w:spacing w:line="288" w:lineRule="auto"/>
              <w:jc w:val="center"/>
            </w:pPr>
            <w:r>
              <w:t>0,6</w:t>
            </w:r>
          </w:p>
        </w:tc>
        <w:tc>
          <w:tcPr>
            <w:tcW w:w="1275" w:type="dxa"/>
          </w:tcPr>
          <w:p w:rsidR="00000000" w:rsidRDefault="00000000">
            <w:pPr>
              <w:pStyle w:val="BodyText3"/>
              <w:spacing w:line="288" w:lineRule="auto"/>
              <w:jc w:val="center"/>
            </w:pPr>
            <w:r>
              <w:t>46,1</w:t>
            </w:r>
          </w:p>
        </w:tc>
        <w:tc>
          <w:tcPr>
            <w:tcW w:w="1418" w:type="dxa"/>
          </w:tcPr>
          <w:p w:rsidR="00000000" w:rsidRDefault="00000000">
            <w:pPr>
              <w:pStyle w:val="BodyText3"/>
              <w:spacing w:line="288" w:lineRule="auto"/>
              <w:jc w:val="center"/>
            </w:pPr>
            <w:r>
              <w:t>31,2</w:t>
            </w:r>
          </w:p>
        </w:tc>
        <w:tc>
          <w:tcPr>
            <w:tcW w:w="992" w:type="dxa"/>
          </w:tcPr>
          <w:p w:rsidR="00000000" w:rsidRDefault="00000000">
            <w:pPr>
              <w:pStyle w:val="BodyText3"/>
              <w:spacing w:line="288" w:lineRule="auto"/>
              <w:jc w:val="center"/>
            </w:pPr>
            <w:r>
              <w:t>22,6</w:t>
            </w:r>
          </w:p>
        </w:tc>
        <w:tc>
          <w:tcPr>
            <w:tcW w:w="1037" w:type="dxa"/>
          </w:tcPr>
          <w:p w:rsidR="00000000" w:rsidRDefault="00000000">
            <w:pPr>
              <w:pStyle w:val="BodyText3"/>
              <w:spacing w:line="288" w:lineRule="auto"/>
              <w:jc w:val="center"/>
            </w:pPr>
            <w:r>
              <w:t>13,7</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1996</w:t>
            </w:r>
          </w:p>
        </w:tc>
        <w:tc>
          <w:tcPr>
            <w:tcW w:w="863" w:type="dxa"/>
          </w:tcPr>
          <w:p w:rsidR="00000000" w:rsidRDefault="00000000">
            <w:pPr>
              <w:pStyle w:val="BodyText3"/>
              <w:spacing w:line="288" w:lineRule="auto"/>
              <w:jc w:val="center"/>
            </w:pPr>
            <w:r>
              <w:t>6,2</w:t>
            </w:r>
          </w:p>
        </w:tc>
        <w:tc>
          <w:tcPr>
            <w:tcW w:w="851" w:type="dxa"/>
          </w:tcPr>
          <w:p w:rsidR="00000000" w:rsidRDefault="00000000">
            <w:pPr>
              <w:pStyle w:val="BodyText3"/>
              <w:spacing w:line="288" w:lineRule="auto"/>
              <w:jc w:val="center"/>
            </w:pPr>
            <w:r>
              <w:t>6,9</w:t>
            </w:r>
          </w:p>
        </w:tc>
        <w:tc>
          <w:tcPr>
            <w:tcW w:w="992" w:type="dxa"/>
          </w:tcPr>
          <w:p w:rsidR="00000000" w:rsidRDefault="00000000">
            <w:pPr>
              <w:pStyle w:val="BodyText3"/>
              <w:spacing w:line="288" w:lineRule="auto"/>
              <w:jc w:val="center"/>
            </w:pPr>
            <w:r>
              <w:t>(-)0,7</w:t>
            </w:r>
          </w:p>
        </w:tc>
        <w:tc>
          <w:tcPr>
            <w:tcW w:w="1276" w:type="dxa"/>
          </w:tcPr>
          <w:p w:rsidR="00000000" w:rsidRDefault="00000000">
            <w:pPr>
              <w:pStyle w:val="BodyText3"/>
              <w:spacing w:line="288" w:lineRule="auto"/>
              <w:jc w:val="center"/>
            </w:pPr>
            <w:r>
              <w:t>(-)1,6</w:t>
            </w:r>
          </w:p>
        </w:tc>
        <w:tc>
          <w:tcPr>
            <w:tcW w:w="1559" w:type="dxa"/>
          </w:tcPr>
          <w:p w:rsidR="00000000" w:rsidRDefault="00000000">
            <w:pPr>
              <w:pStyle w:val="BodyText3"/>
              <w:spacing w:line="288" w:lineRule="auto"/>
              <w:jc w:val="center"/>
            </w:pPr>
            <w:r>
              <w:t>1,7</w:t>
            </w:r>
          </w:p>
        </w:tc>
        <w:tc>
          <w:tcPr>
            <w:tcW w:w="1276" w:type="dxa"/>
          </w:tcPr>
          <w:p w:rsidR="00000000" w:rsidRDefault="00000000">
            <w:pPr>
              <w:pStyle w:val="BodyText3"/>
              <w:spacing w:line="288" w:lineRule="auto"/>
              <w:jc w:val="center"/>
            </w:pPr>
            <w:r>
              <w:t>3,0</w:t>
            </w:r>
          </w:p>
        </w:tc>
        <w:tc>
          <w:tcPr>
            <w:tcW w:w="1134" w:type="dxa"/>
          </w:tcPr>
          <w:p w:rsidR="00000000" w:rsidRDefault="00000000">
            <w:pPr>
              <w:pStyle w:val="BodyText3"/>
              <w:spacing w:line="288" w:lineRule="auto"/>
              <w:jc w:val="center"/>
            </w:pPr>
            <w:r>
              <w:t>(-)1,4</w:t>
            </w:r>
          </w:p>
        </w:tc>
        <w:tc>
          <w:tcPr>
            <w:tcW w:w="1275" w:type="dxa"/>
          </w:tcPr>
          <w:p w:rsidR="00000000" w:rsidRDefault="00000000">
            <w:pPr>
              <w:pStyle w:val="BodyText3"/>
              <w:spacing w:line="288" w:lineRule="auto"/>
              <w:jc w:val="center"/>
            </w:pPr>
            <w:r>
              <w:t>56,9</w:t>
            </w:r>
          </w:p>
        </w:tc>
        <w:tc>
          <w:tcPr>
            <w:tcW w:w="1418" w:type="dxa"/>
          </w:tcPr>
          <w:p w:rsidR="00000000" w:rsidRDefault="00000000">
            <w:pPr>
              <w:pStyle w:val="BodyText3"/>
              <w:spacing w:line="288" w:lineRule="auto"/>
              <w:jc w:val="center"/>
            </w:pPr>
            <w:r>
              <w:t>28,3</w:t>
            </w:r>
          </w:p>
        </w:tc>
        <w:tc>
          <w:tcPr>
            <w:tcW w:w="992" w:type="dxa"/>
          </w:tcPr>
          <w:p w:rsidR="00000000" w:rsidRDefault="00000000">
            <w:pPr>
              <w:pStyle w:val="BodyText3"/>
              <w:spacing w:line="288" w:lineRule="auto"/>
              <w:jc w:val="center"/>
            </w:pPr>
            <w:r>
              <w:t>23,2</w:t>
            </w:r>
          </w:p>
        </w:tc>
        <w:tc>
          <w:tcPr>
            <w:tcW w:w="1037" w:type="dxa"/>
          </w:tcPr>
          <w:p w:rsidR="00000000" w:rsidRDefault="00000000">
            <w:pPr>
              <w:pStyle w:val="BodyText3"/>
              <w:spacing w:line="288" w:lineRule="auto"/>
              <w:jc w:val="center"/>
            </w:pPr>
            <w:r>
              <w:t>13,0</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1997</w:t>
            </w:r>
          </w:p>
        </w:tc>
        <w:tc>
          <w:tcPr>
            <w:tcW w:w="863" w:type="dxa"/>
          </w:tcPr>
          <w:p w:rsidR="00000000" w:rsidRDefault="00000000">
            <w:pPr>
              <w:pStyle w:val="BodyText3"/>
              <w:spacing w:line="288" w:lineRule="auto"/>
              <w:jc w:val="center"/>
            </w:pPr>
            <w:r>
              <w:t>6,6</w:t>
            </w:r>
          </w:p>
        </w:tc>
        <w:tc>
          <w:tcPr>
            <w:tcW w:w="851" w:type="dxa"/>
          </w:tcPr>
          <w:p w:rsidR="00000000" w:rsidRDefault="00000000">
            <w:pPr>
              <w:pStyle w:val="BodyText3"/>
              <w:spacing w:line="288" w:lineRule="auto"/>
              <w:jc w:val="center"/>
            </w:pPr>
            <w:r>
              <w:t>7,6</w:t>
            </w:r>
          </w:p>
        </w:tc>
        <w:tc>
          <w:tcPr>
            <w:tcW w:w="992" w:type="dxa"/>
          </w:tcPr>
          <w:p w:rsidR="00000000" w:rsidRDefault="00000000">
            <w:pPr>
              <w:pStyle w:val="BodyText3"/>
              <w:spacing w:line="288" w:lineRule="auto"/>
              <w:jc w:val="center"/>
            </w:pPr>
            <w:r>
              <w:t>(-)1,0</w:t>
            </w:r>
          </w:p>
        </w:tc>
        <w:tc>
          <w:tcPr>
            <w:tcW w:w="1276" w:type="dxa"/>
          </w:tcPr>
          <w:p w:rsidR="00000000" w:rsidRDefault="00000000">
            <w:pPr>
              <w:pStyle w:val="BodyText3"/>
              <w:spacing w:line="288" w:lineRule="auto"/>
              <w:jc w:val="center"/>
            </w:pPr>
            <w:r>
              <w:t>(-)2,2</w:t>
            </w:r>
          </w:p>
        </w:tc>
        <w:tc>
          <w:tcPr>
            <w:tcW w:w="1559" w:type="dxa"/>
          </w:tcPr>
          <w:p w:rsidR="00000000" w:rsidRDefault="00000000">
            <w:pPr>
              <w:pStyle w:val="BodyText3"/>
              <w:spacing w:line="288" w:lineRule="auto"/>
              <w:jc w:val="center"/>
            </w:pPr>
            <w:r>
              <w:t>2,2</w:t>
            </w:r>
          </w:p>
        </w:tc>
        <w:tc>
          <w:tcPr>
            <w:tcW w:w="1276" w:type="dxa"/>
          </w:tcPr>
          <w:p w:rsidR="00000000" w:rsidRDefault="00000000">
            <w:pPr>
              <w:pStyle w:val="BodyText3"/>
              <w:spacing w:line="288" w:lineRule="auto"/>
              <w:jc w:val="center"/>
            </w:pPr>
            <w:r>
              <w:t>4,2</w:t>
            </w:r>
          </w:p>
        </w:tc>
        <w:tc>
          <w:tcPr>
            <w:tcW w:w="1134" w:type="dxa"/>
          </w:tcPr>
          <w:p w:rsidR="00000000" w:rsidRDefault="00000000">
            <w:pPr>
              <w:pStyle w:val="BodyText3"/>
              <w:spacing w:line="288" w:lineRule="auto"/>
              <w:jc w:val="center"/>
            </w:pPr>
            <w:r>
              <w:t>(-)2,8</w:t>
            </w:r>
          </w:p>
        </w:tc>
        <w:tc>
          <w:tcPr>
            <w:tcW w:w="1275" w:type="dxa"/>
          </w:tcPr>
          <w:p w:rsidR="00000000" w:rsidRDefault="00000000">
            <w:pPr>
              <w:pStyle w:val="BodyText3"/>
              <w:spacing w:line="288" w:lineRule="auto"/>
              <w:jc w:val="center"/>
            </w:pPr>
            <w:r>
              <w:t>76,3</w:t>
            </w:r>
          </w:p>
        </w:tc>
        <w:tc>
          <w:tcPr>
            <w:tcW w:w="1418" w:type="dxa"/>
          </w:tcPr>
          <w:p w:rsidR="00000000" w:rsidRDefault="00000000">
            <w:pPr>
              <w:pStyle w:val="BodyText3"/>
              <w:spacing w:line="288" w:lineRule="auto"/>
              <w:jc w:val="center"/>
            </w:pPr>
            <w:r>
              <w:t>28,7</w:t>
            </w:r>
          </w:p>
        </w:tc>
        <w:tc>
          <w:tcPr>
            <w:tcW w:w="992" w:type="dxa"/>
          </w:tcPr>
          <w:p w:rsidR="00000000" w:rsidRDefault="00000000">
            <w:pPr>
              <w:pStyle w:val="BodyText3"/>
              <w:spacing w:line="288" w:lineRule="auto"/>
              <w:jc w:val="center"/>
            </w:pPr>
            <w:r>
              <w:t>24,9</w:t>
            </w:r>
          </w:p>
        </w:tc>
        <w:tc>
          <w:tcPr>
            <w:tcW w:w="1037" w:type="dxa"/>
          </w:tcPr>
          <w:p w:rsidR="00000000" w:rsidRDefault="00000000">
            <w:pPr>
              <w:pStyle w:val="BodyText3"/>
              <w:spacing w:line="288" w:lineRule="auto"/>
              <w:jc w:val="center"/>
            </w:pPr>
            <w:r>
              <w:t>14,2</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1998*</w:t>
            </w:r>
          </w:p>
        </w:tc>
        <w:tc>
          <w:tcPr>
            <w:tcW w:w="863" w:type="dxa"/>
          </w:tcPr>
          <w:p w:rsidR="00000000" w:rsidRDefault="00000000">
            <w:pPr>
              <w:pStyle w:val="BodyText3"/>
              <w:spacing w:line="288" w:lineRule="auto"/>
              <w:jc w:val="center"/>
            </w:pPr>
            <w:r>
              <w:t>6,6</w:t>
            </w:r>
          </w:p>
        </w:tc>
        <w:tc>
          <w:tcPr>
            <w:tcW w:w="851" w:type="dxa"/>
          </w:tcPr>
          <w:p w:rsidR="00000000" w:rsidRDefault="00000000">
            <w:pPr>
              <w:pStyle w:val="BodyText3"/>
              <w:spacing w:line="288" w:lineRule="auto"/>
              <w:jc w:val="center"/>
            </w:pPr>
            <w:r>
              <w:t>7,4</w:t>
            </w:r>
          </w:p>
        </w:tc>
        <w:tc>
          <w:tcPr>
            <w:tcW w:w="992" w:type="dxa"/>
          </w:tcPr>
          <w:p w:rsidR="00000000" w:rsidRDefault="00000000">
            <w:pPr>
              <w:pStyle w:val="BodyText3"/>
              <w:spacing w:line="288" w:lineRule="auto"/>
              <w:jc w:val="center"/>
            </w:pPr>
            <w:r>
              <w:t>(-)0,9</w:t>
            </w:r>
          </w:p>
        </w:tc>
        <w:tc>
          <w:tcPr>
            <w:tcW w:w="1276" w:type="dxa"/>
          </w:tcPr>
          <w:p w:rsidR="00000000" w:rsidRDefault="00000000">
            <w:pPr>
              <w:pStyle w:val="BodyText3"/>
              <w:spacing w:line="288" w:lineRule="auto"/>
              <w:jc w:val="center"/>
            </w:pPr>
            <w:r>
              <w:t>(-)1,9</w:t>
            </w:r>
          </w:p>
        </w:tc>
        <w:tc>
          <w:tcPr>
            <w:tcW w:w="1559" w:type="dxa"/>
          </w:tcPr>
          <w:p w:rsidR="00000000" w:rsidRDefault="00000000">
            <w:pPr>
              <w:pStyle w:val="BodyText3"/>
              <w:spacing w:line="288" w:lineRule="auto"/>
              <w:jc w:val="center"/>
            </w:pPr>
            <w:r>
              <w:t>2,7</w:t>
            </w:r>
          </w:p>
        </w:tc>
        <w:tc>
          <w:tcPr>
            <w:tcW w:w="1276" w:type="dxa"/>
          </w:tcPr>
          <w:p w:rsidR="00000000" w:rsidRDefault="00000000">
            <w:pPr>
              <w:pStyle w:val="BodyText3"/>
              <w:spacing w:line="288" w:lineRule="auto"/>
              <w:jc w:val="center"/>
            </w:pPr>
            <w:r>
              <w:t>4,3</w:t>
            </w:r>
          </w:p>
        </w:tc>
        <w:tc>
          <w:tcPr>
            <w:tcW w:w="1134" w:type="dxa"/>
          </w:tcPr>
          <w:p w:rsidR="00000000" w:rsidRDefault="00000000">
            <w:pPr>
              <w:pStyle w:val="BodyText3"/>
              <w:spacing w:line="288" w:lineRule="auto"/>
              <w:jc w:val="center"/>
            </w:pPr>
            <w:r>
              <w:t>(-)4,0</w:t>
            </w:r>
          </w:p>
        </w:tc>
        <w:tc>
          <w:tcPr>
            <w:tcW w:w="1275" w:type="dxa"/>
          </w:tcPr>
          <w:p w:rsidR="00000000" w:rsidRDefault="00000000">
            <w:pPr>
              <w:pStyle w:val="BodyText3"/>
              <w:spacing w:line="288" w:lineRule="auto"/>
              <w:jc w:val="center"/>
            </w:pPr>
            <w:r>
              <w:t>96,7</w:t>
            </w:r>
          </w:p>
        </w:tc>
        <w:tc>
          <w:tcPr>
            <w:tcW w:w="1418" w:type="dxa"/>
          </w:tcPr>
          <w:p w:rsidR="00000000" w:rsidRDefault="00000000">
            <w:pPr>
              <w:pStyle w:val="BodyText3"/>
              <w:spacing w:line="288" w:lineRule="auto"/>
              <w:jc w:val="center"/>
            </w:pPr>
            <w:r>
              <w:t>23,9</w:t>
            </w:r>
          </w:p>
        </w:tc>
        <w:tc>
          <w:tcPr>
            <w:tcW w:w="992" w:type="dxa"/>
          </w:tcPr>
          <w:p w:rsidR="00000000" w:rsidRDefault="00000000">
            <w:pPr>
              <w:pStyle w:val="BodyText3"/>
              <w:spacing w:line="288" w:lineRule="auto"/>
              <w:jc w:val="center"/>
            </w:pPr>
            <w:r>
              <w:t>30,2</w:t>
            </w:r>
          </w:p>
        </w:tc>
        <w:tc>
          <w:tcPr>
            <w:tcW w:w="1037" w:type="dxa"/>
          </w:tcPr>
          <w:p w:rsidR="00000000" w:rsidRDefault="00000000">
            <w:pPr>
              <w:pStyle w:val="BodyText3"/>
              <w:spacing w:line="288" w:lineRule="auto"/>
              <w:jc w:val="center"/>
            </w:pPr>
            <w:r>
              <w:t>14,0</w:t>
            </w:r>
          </w:p>
        </w:tc>
      </w:tr>
      <w:tr w:rsidR="00000000">
        <w:tblPrEx>
          <w:tblCellMar>
            <w:top w:w="0" w:type="dxa"/>
            <w:bottom w:w="0" w:type="dxa"/>
          </w:tblCellMar>
        </w:tblPrEx>
        <w:trPr>
          <w:jc w:val="center"/>
        </w:trPr>
        <w:tc>
          <w:tcPr>
            <w:tcW w:w="629" w:type="dxa"/>
          </w:tcPr>
          <w:p w:rsidR="00000000" w:rsidRDefault="00000000">
            <w:pPr>
              <w:pStyle w:val="BodyText3"/>
              <w:spacing w:line="288" w:lineRule="auto"/>
              <w:jc w:val="center"/>
            </w:pPr>
            <w:r>
              <w:t>1999**</w:t>
            </w:r>
          </w:p>
        </w:tc>
        <w:tc>
          <w:tcPr>
            <w:tcW w:w="863" w:type="dxa"/>
          </w:tcPr>
          <w:p w:rsidR="00000000" w:rsidRDefault="00000000">
            <w:pPr>
              <w:pStyle w:val="BodyText3"/>
              <w:spacing w:line="288" w:lineRule="auto"/>
              <w:jc w:val="center"/>
            </w:pPr>
            <w:r>
              <w:t>7,7</w:t>
            </w:r>
          </w:p>
        </w:tc>
        <w:tc>
          <w:tcPr>
            <w:tcW w:w="851" w:type="dxa"/>
          </w:tcPr>
          <w:p w:rsidR="00000000" w:rsidRDefault="00000000">
            <w:pPr>
              <w:pStyle w:val="BodyText3"/>
              <w:spacing w:line="288" w:lineRule="auto"/>
              <w:jc w:val="center"/>
            </w:pPr>
            <w:r>
              <w:t>8,3</w:t>
            </w:r>
          </w:p>
        </w:tc>
        <w:tc>
          <w:tcPr>
            <w:tcW w:w="992" w:type="dxa"/>
          </w:tcPr>
          <w:p w:rsidR="00000000" w:rsidRDefault="00000000">
            <w:pPr>
              <w:pStyle w:val="BodyText3"/>
              <w:spacing w:line="288" w:lineRule="auto"/>
              <w:jc w:val="center"/>
            </w:pPr>
            <w:r>
              <w:t>(-)0,6</w:t>
            </w:r>
          </w:p>
        </w:tc>
        <w:tc>
          <w:tcPr>
            <w:tcW w:w="1276" w:type="dxa"/>
          </w:tcPr>
          <w:p w:rsidR="00000000" w:rsidRDefault="00000000">
            <w:pPr>
              <w:pStyle w:val="BodyText3"/>
              <w:spacing w:line="288" w:lineRule="auto"/>
              <w:jc w:val="center"/>
            </w:pPr>
            <w:r>
              <w:t>(-)1,7</w:t>
            </w:r>
          </w:p>
        </w:tc>
        <w:tc>
          <w:tcPr>
            <w:tcW w:w="1559" w:type="dxa"/>
          </w:tcPr>
          <w:p w:rsidR="00000000" w:rsidRDefault="00000000">
            <w:pPr>
              <w:pStyle w:val="BodyText3"/>
              <w:spacing w:line="288" w:lineRule="auto"/>
              <w:jc w:val="center"/>
            </w:pPr>
            <w:r>
              <w:t>3,5</w:t>
            </w:r>
          </w:p>
        </w:tc>
        <w:tc>
          <w:tcPr>
            <w:tcW w:w="1276" w:type="dxa"/>
          </w:tcPr>
          <w:p w:rsidR="00000000" w:rsidRDefault="00000000">
            <w:pPr>
              <w:pStyle w:val="BodyText3"/>
              <w:spacing w:line="288" w:lineRule="auto"/>
              <w:jc w:val="center"/>
            </w:pPr>
            <w:r>
              <w:t>4,8</w:t>
            </w:r>
          </w:p>
        </w:tc>
        <w:tc>
          <w:tcPr>
            <w:tcW w:w="1134" w:type="dxa"/>
          </w:tcPr>
          <w:p w:rsidR="00000000" w:rsidRDefault="00000000">
            <w:pPr>
              <w:pStyle w:val="BodyText3"/>
              <w:spacing w:line="288" w:lineRule="auto"/>
              <w:jc w:val="center"/>
            </w:pPr>
            <w:r>
              <w:t>0,5</w:t>
            </w:r>
          </w:p>
        </w:tc>
        <w:tc>
          <w:tcPr>
            <w:tcW w:w="1275" w:type="dxa"/>
          </w:tcPr>
          <w:p w:rsidR="00000000" w:rsidRDefault="00000000">
            <w:pPr>
              <w:pStyle w:val="BodyText3"/>
              <w:spacing w:line="288" w:lineRule="auto"/>
              <w:jc w:val="center"/>
            </w:pPr>
            <w:r>
              <w:t>144,7</w:t>
            </w:r>
          </w:p>
        </w:tc>
        <w:tc>
          <w:tcPr>
            <w:tcW w:w="1418" w:type="dxa"/>
          </w:tcPr>
          <w:p w:rsidR="00000000" w:rsidRDefault="00000000">
            <w:pPr>
              <w:pStyle w:val="BodyText3"/>
              <w:spacing w:line="288" w:lineRule="auto"/>
              <w:jc w:val="center"/>
            </w:pPr>
            <w:r>
              <w:t>22,6</w:t>
            </w:r>
          </w:p>
        </w:tc>
        <w:tc>
          <w:tcPr>
            <w:tcW w:w="992" w:type="dxa"/>
          </w:tcPr>
          <w:p w:rsidR="00000000" w:rsidRDefault="00000000">
            <w:pPr>
              <w:pStyle w:val="BodyText3"/>
              <w:spacing w:line="288" w:lineRule="auto"/>
              <w:jc w:val="center"/>
            </w:pPr>
            <w:r>
              <w:t>37,9</w:t>
            </w:r>
          </w:p>
        </w:tc>
        <w:tc>
          <w:tcPr>
            <w:tcW w:w="1037" w:type="dxa"/>
          </w:tcPr>
          <w:p w:rsidR="00000000" w:rsidRDefault="00000000">
            <w:pPr>
              <w:pStyle w:val="BodyText3"/>
              <w:spacing w:line="288" w:lineRule="auto"/>
              <w:jc w:val="center"/>
            </w:pPr>
            <w:r>
              <w:t>16,1</w:t>
            </w:r>
          </w:p>
        </w:tc>
      </w:tr>
    </w:tbl>
    <w:p w:rsidR="00000000" w:rsidRDefault="00000000">
      <w:pPr>
        <w:pStyle w:val="BodyText3"/>
        <w:spacing w:line="216" w:lineRule="auto"/>
        <w:jc w:val="left"/>
        <w:rPr>
          <w:bCs/>
          <w:spacing w:val="20"/>
          <w:kern w:val="16"/>
          <w:lang w:val="ru-RU"/>
        </w:rPr>
      </w:pPr>
    </w:p>
    <w:p w:rsidR="00000000" w:rsidRDefault="00000000">
      <w:pPr>
        <w:spacing w:line="216" w:lineRule="auto"/>
        <w:rPr>
          <w:kern w:val="16"/>
        </w:rPr>
      </w:pPr>
      <w:r>
        <w:rPr>
          <w:kern w:val="16"/>
        </w:rPr>
        <w:tab/>
      </w:r>
      <w:r>
        <w:rPr>
          <w:kern w:val="16"/>
          <w:u w:val="single"/>
        </w:rPr>
        <w:t>Источник</w:t>
      </w:r>
      <w:r>
        <w:rPr>
          <w:kern w:val="16"/>
        </w:rPr>
        <w:t>:  Центральный банк Бразилии - ЦББ.</w:t>
      </w:r>
    </w:p>
    <w:p w:rsidR="00000000" w:rsidRDefault="00000000">
      <w:pPr>
        <w:spacing w:line="216" w:lineRule="auto"/>
        <w:rPr>
          <w:kern w:val="16"/>
        </w:rPr>
      </w:pPr>
    </w:p>
    <w:p w:rsidR="00000000" w:rsidRDefault="00000000">
      <w:pPr>
        <w:spacing w:line="216" w:lineRule="auto"/>
        <w:rPr>
          <w:kern w:val="16"/>
        </w:rPr>
      </w:pPr>
      <w:r>
        <w:rPr>
          <w:kern w:val="16"/>
        </w:rPr>
        <w:t>1)</w:t>
      </w:r>
      <w:r>
        <w:rPr>
          <w:kern w:val="16"/>
        </w:rPr>
        <w:tab/>
        <w:t>Объем реальных переводов денежных средств за границу эквивалентен нефакторному балансу товаров и услуг.</w:t>
      </w:r>
    </w:p>
    <w:p w:rsidR="00000000" w:rsidRDefault="00000000">
      <w:pPr>
        <w:spacing w:line="216" w:lineRule="auto"/>
        <w:rPr>
          <w:kern w:val="16"/>
        </w:rPr>
      </w:pPr>
    </w:p>
    <w:p w:rsidR="00000000" w:rsidRDefault="00000000">
      <w:pPr>
        <w:spacing w:line="216" w:lineRule="auto"/>
        <w:rPr>
          <w:kern w:val="16"/>
        </w:rPr>
      </w:pPr>
      <w:r>
        <w:rPr>
          <w:kern w:val="16"/>
        </w:rPr>
        <w:t>2)</w:t>
      </w:r>
      <w:r>
        <w:rPr>
          <w:kern w:val="16"/>
        </w:rPr>
        <w:tab/>
        <w:t>Объем перечисленной за рубеж чистой прибыли эквивалентен чистым выплатам по факторингу.</w:t>
      </w:r>
    </w:p>
    <w:p w:rsidR="00000000" w:rsidRDefault="00000000">
      <w:pPr>
        <w:spacing w:line="216" w:lineRule="auto"/>
        <w:rPr>
          <w:kern w:val="16"/>
        </w:rPr>
      </w:pPr>
    </w:p>
    <w:p w:rsidR="00000000" w:rsidRDefault="00000000">
      <w:pPr>
        <w:spacing w:line="216" w:lineRule="auto"/>
        <w:rPr>
          <w:kern w:val="16"/>
        </w:rPr>
      </w:pPr>
      <w:r>
        <w:rPr>
          <w:kern w:val="16"/>
        </w:rPr>
        <w:t>3)</w:t>
      </w:r>
      <w:r>
        <w:rPr>
          <w:kern w:val="16"/>
        </w:rPr>
        <w:tab/>
        <w:t>Объем чистых внешних накоплений эквивалентен объему текущих операций по факторингу (transações correntes fatores).</w:t>
      </w:r>
    </w:p>
    <w:p w:rsidR="00000000" w:rsidRDefault="00000000">
      <w:pPr>
        <w:spacing w:line="216" w:lineRule="auto"/>
        <w:rPr>
          <w:kern w:val="16"/>
        </w:rPr>
      </w:pPr>
    </w:p>
    <w:p w:rsidR="00000000" w:rsidRDefault="00000000">
      <w:pPr>
        <w:spacing w:line="216" w:lineRule="auto"/>
        <w:rPr>
          <w:kern w:val="16"/>
        </w:rPr>
      </w:pPr>
      <w:r>
        <w:rPr>
          <w:kern w:val="16"/>
        </w:rPr>
        <w:t>4)</w:t>
      </w:r>
      <w:r>
        <w:rPr>
          <w:kern w:val="16"/>
        </w:rPr>
        <w:tab/>
        <w:t>Объем чистых переводов денежных средств за границу составляет разницу между переведенной за границу чистой прибылью и чистой прибылью с капитала (за исключением односторонних трансфертов).</w:t>
      </w:r>
    </w:p>
    <w:p w:rsidR="00000000" w:rsidRDefault="00000000">
      <w:pPr>
        <w:spacing w:line="216" w:lineRule="auto"/>
        <w:rPr>
          <w:kern w:val="16"/>
        </w:rPr>
      </w:pPr>
    </w:p>
    <w:p w:rsidR="00000000" w:rsidRDefault="00000000">
      <w:pPr>
        <w:spacing w:line="216" w:lineRule="auto"/>
        <w:rPr>
          <w:kern w:val="16"/>
        </w:rPr>
      </w:pPr>
      <w:r>
        <w:rPr>
          <w:kern w:val="16"/>
        </w:rPr>
        <w:t>5)</w:t>
      </w:r>
      <w:r>
        <w:rPr>
          <w:kern w:val="16"/>
        </w:rPr>
        <w:tab/>
        <w:t>Обслуживание задолженности охватывает только выплаты по долгам и процентам.</w:t>
      </w:r>
    </w:p>
    <w:p w:rsidR="00000000" w:rsidRDefault="00000000">
      <w:pPr>
        <w:spacing w:line="216" w:lineRule="auto"/>
        <w:rPr>
          <w:kern w:val="16"/>
        </w:rPr>
      </w:pPr>
    </w:p>
    <w:p w:rsidR="00000000" w:rsidRDefault="00000000">
      <w:pPr>
        <w:spacing w:line="216" w:lineRule="auto"/>
        <w:rPr>
          <w:kern w:val="16"/>
        </w:rPr>
      </w:pPr>
      <w:r>
        <w:rPr>
          <w:kern w:val="16"/>
        </w:rPr>
        <w:t>*</w:t>
      </w:r>
      <w:r>
        <w:rPr>
          <w:kern w:val="16"/>
        </w:rPr>
        <w:tab/>
        <w:t>Предварительные данные.</w:t>
      </w:r>
    </w:p>
    <w:p w:rsidR="00000000" w:rsidRDefault="00000000">
      <w:pPr>
        <w:spacing w:line="216" w:lineRule="auto"/>
        <w:rPr>
          <w:kern w:val="16"/>
        </w:rPr>
      </w:pPr>
    </w:p>
    <w:p w:rsidR="00000000" w:rsidRDefault="00000000">
      <w:pPr>
        <w:spacing w:line="216" w:lineRule="auto"/>
        <w:rPr>
          <w:kern w:val="16"/>
        </w:rPr>
      </w:pPr>
      <w:r>
        <w:rPr>
          <w:kern w:val="16"/>
        </w:rPr>
        <w:t>**</w:t>
      </w:r>
      <w:r>
        <w:rPr>
          <w:kern w:val="16"/>
        </w:rPr>
        <w:tab/>
        <w:t>Сводные данные за 12 месяцев по сентябрь.</w:t>
      </w:r>
    </w:p>
    <w:p w:rsidR="00000000" w:rsidRDefault="00000000">
      <w:pPr>
        <w:pStyle w:val="16"/>
        <w:rPr>
          <w:b/>
          <w:bCs/>
          <w:kern w:val="20"/>
        </w:rPr>
        <w:sectPr w:rsidR="00000000">
          <w:headerReference w:type="even" r:id="rId10"/>
          <w:headerReference w:type="default" r:id="rId11"/>
          <w:footerReference w:type="default" r:id="rId12"/>
          <w:headerReference w:type="first" r:id="rId13"/>
          <w:pgSz w:w="16838" w:h="11906" w:orient="landscape"/>
          <w:pgMar w:top="1701" w:right="1701" w:bottom="851" w:left="1701" w:header="851" w:footer="851" w:gutter="0"/>
          <w:cols w:space="720"/>
          <w:formProt w:val="0"/>
          <w:docGrid w:linePitch="107"/>
        </w:sectPr>
      </w:pPr>
    </w:p>
    <w:p w:rsidR="00000000" w:rsidRDefault="00000000">
      <w:pPr>
        <w:pStyle w:val="16"/>
        <w:rPr>
          <w:b/>
          <w:bCs/>
          <w:kern w:val="20"/>
        </w:rPr>
      </w:pPr>
      <w:r>
        <w:rPr>
          <w:b/>
          <w:bCs/>
          <w:kern w:val="20"/>
        </w:rPr>
        <w:t>Таблица 8.  Официальный уровень безработицы по секторам</w:t>
      </w:r>
    </w:p>
    <w:p w:rsidR="00000000" w:rsidRDefault="00000000">
      <w:pPr>
        <w:pStyle w:val="BodyText3"/>
        <w:spacing w:line="288" w:lineRule="auto"/>
        <w:jc w:val="center"/>
        <w:rPr>
          <w:b/>
          <w:spacing w:val="20"/>
          <w:kern w:val="20"/>
          <w:sz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46"/>
        <w:gridCol w:w="1989"/>
        <w:gridCol w:w="1638"/>
        <w:gridCol w:w="1278"/>
        <w:gridCol w:w="1543"/>
      </w:tblGrid>
      <w:tr w:rsidR="00000000">
        <w:tblPrEx>
          <w:tblCellMar>
            <w:top w:w="0" w:type="dxa"/>
            <w:bottom w:w="0" w:type="dxa"/>
          </w:tblCellMar>
        </w:tblPrEx>
        <w:tc>
          <w:tcPr>
            <w:tcW w:w="2446" w:type="dxa"/>
          </w:tcPr>
          <w:p w:rsidR="00000000" w:rsidRDefault="00000000">
            <w:pPr>
              <w:pStyle w:val="BodyText3"/>
              <w:spacing w:line="288" w:lineRule="auto"/>
              <w:jc w:val="center"/>
              <w:rPr>
                <w:kern w:val="20"/>
                <w:sz w:val="24"/>
              </w:rPr>
            </w:pPr>
            <w:r>
              <w:rPr>
                <w:kern w:val="20"/>
                <w:sz w:val="24"/>
                <w:lang w:val="ru-RU"/>
              </w:rPr>
              <w:t>Период</w:t>
            </w:r>
          </w:p>
        </w:tc>
        <w:tc>
          <w:tcPr>
            <w:tcW w:w="1989" w:type="dxa"/>
          </w:tcPr>
          <w:p w:rsidR="00000000" w:rsidRDefault="00000000">
            <w:pPr>
              <w:pStyle w:val="BodyText3"/>
              <w:spacing w:line="288" w:lineRule="auto"/>
              <w:jc w:val="center"/>
              <w:rPr>
                <w:kern w:val="20"/>
                <w:sz w:val="24"/>
                <w:lang w:val="ru-RU"/>
              </w:rPr>
            </w:pPr>
            <w:r>
              <w:rPr>
                <w:kern w:val="20"/>
                <w:sz w:val="24"/>
                <w:lang w:val="ru-RU"/>
              </w:rPr>
              <w:t>Обрабатывающая промышленность</w:t>
            </w:r>
          </w:p>
        </w:tc>
        <w:tc>
          <w:tcPr>
            <w:tcW w:w="1638" w:type="dxa"/>
          </w:tcPr>
          <w:p w:rsidR="00000000" w:rsidRDefault="00000000">
            <w:pPr>
              <w:pStyle w:val="BodyText3"/>
              <w:spacing w:line="288" w:lineRule="auto"/>
              <w:jc w:val="center"/>
              <w:rPr>
                <w:kern w:val="20"/>
                <w:sz w:val="24"/>
                <w:lang w:val="ru-RU"/>
              </w:rPr>
            </w:pPr>
            <w:r>
              <w:rPr>
                <w:kern w:val="20"/>
                <w:sz w:val="24"/>
                <w:lang w:val="ru-RU"/>
              </w:rPr>
              <w:t>Строительство</w:t>
            </w:r>
          </w:p>
        </w:tc>
        <w:tc>
          <w:tcPr>
            <w:tcW w:w="1278" w:type="dxa"/>
          </w:tcPr>
          <w:p w:rsidR="00000000" w:rsidRDefault="00000000">
            <w:pPr>
              <w:pStyle w:val="BodyText3"/>
              <w:spacing w:line="288" w:lineRule="auto"/>
              <w:jc w:val="center"/>
              <w:rPr>
                <w:kern w:val="20"/>
                <w:sz w:val="24"/>
                <w:lang w:val="ru-RU"/>
              </w:rPr>
            </w:pPr>
            <w:r>
              <w:rPr>
                <w:kern w:val="20"/>
                <w:sz w:val="24"/>
                <w:lang w:val="ru-RU"/>
              </w:rPr>
              <w:t>Розничная торговля</w:t>
            </w:r>
          </w:p>
        </w:tc>
        <w:tc>
          <w:tcPr>
            <w:tcW w:w="1543" w:type="dxa"/>
          </w:tcPr>
          <w:p w:rsidR="00000000" w:rsidRDefault="00000000">
            <w:pPr>
              <w:pStyle w:val="BodyText3"/>
              <w:spacing w:line="288" w:lineRule="auto"/>
              <w:jc w:val="center"/>
              <w:rPr>
                <w:kern w:val="20"/>
                <w:sz w:val="24"/>
                <w:lang w:val="ru-RU"/>
              </w:rPr>
            </w:pPr>
            <w:r>
              <w:rPr>
                <w:kern w:val="20"/>
                <w:sz w:val="24"/>
                <w:lang w:val="ru-RU"/>
              </w:rPr>
              <w:t>Сфера обслуживания</w:t>
            </w:r>
          </w:p>
        </w:tc>
      </w:tr>
      <w:tr w:rsidR="00000000">
        <w:tblPrEx>
          <w:tblCellMar>
            <w:top w:w="0" w:type="dxa"/>
            <w:bottom w:w="0" w:type="dxa"/>
          </w:tblCellMar>
        </w:tblPrEx>
        <w:tc>
          <w:tcPr>
            <w:tcW w:w="2446" w:type="dxa"/>
          </w:tcPr>
          <w:p w:rsidR="00000000" w:rsidRDefault="00000000">
            <w:pPr>
              <w:pStyle w:val="BodyText3"/>
              <w:spacing w:line="288" w:lineRule="auto"/>
              <w:jc w:val="left"/>
              <w:rPr>
                <w:kern w:val="20"/>
                <w:sz w:val="24"/>
                <w:lang w:val="ru-RU"/>
              </w:rPr>
            </w:pPr>
            <w:r>
              <w:rPr>
                <w:kern w:val="20"/>
                <w:sz w:val="24"/>
                <w:lang w:val="ru-RU"/>
              </w:rPr>
              <w:t>В среднем за 1997 год</w:t>
            </w:r>
          </w:p>
        </w:tc>
        <w:tc>
          <w:tcPr>
            <w:tcW w:w="1989" w:type="dxa"/>
          </w:tcPr>
          <w:p w:rsidR="00000000" w:rsidRDefault="00000000">
            <w:pPr>
              <w:pStyle w:val="BodyText3"/>
              <w:spacing w:line="288" w:lineRule="auto"/>
              <w:jc w:val="center"/>
              <w:rPr>
                <w:kern w:val="20"/>
                <w:sz w:val="24"/>
              </w:rPr>
            </w:pPr>
            <w:r>
              <w:rPr>
                <w:kern w:val="20"/>
                <w:sz w:val="24"/>
              </w:rPr>
              <w:t>6,92</w:t>
            </w:r>
          </w:p>
        </w:tc>
        <w:tc>
          <w:tcPr>
            <w:tcW w:w="1638" w:type="dxa"/>
          </w:tcPr>
          <w:p w:rsidR="00000000" w:rsidRDefault="00000000">
            <w:pPr>
              <w:pStyle w:val="BodyText3"/>
              <w:spacing w:line="288" w:lineRule="auto"/>
              <w:jc w:val="center"/>
              <w:rPr>
                <w:kern w:val="20"/>
                <w:sz w:val="24"/>
              </w:rPr>
            </w:pPr>
            <w:r>
              <w:rPr>
                <w:kern w:val="20"/>
                <w:sz w:val="24"/>
              </w:rPr>
              <w:t>6,28</w:t>
            </w:r>
          </w:p>
        </w:tc>
        <w:tc>
          <w:tcPr>
            <w:tcW w:w="1278" w:type="dxa"/>
          </w:tcPr>
          <w:p w:rsidR="00000000" w:rsidRDefault="00000000">
            <w:pPr>
              <w:pStyle w:val="BodyText3"/>
              <w:spacing w:line="288" w:lineRule="auto"/>
              <w:jc w:val="center"/>
              <w:rPr>
                <w:kern w:val="20"/>
                <w:sz w:val="24"/>
              </w:rPr>
            </w:pPr>
            <w:r>
              <w:rPr>
                <w:kern w:val="20"/>
                <w:sz w:val="24"/>
              </w:rPr>
              <w:t>6,34</w:t>
            </w:r>
          </w:p>
        </w:tc>
        <w:tc>
          <w:tcPr>
            <w:tcW w:w="1543" w:type="dxa"/>
          </w:tcPr>
          <w:p w:rsidR="00000000" w:rsidRDefault="00000000">
            <w:pPr>
              <w:pStyle w:val="BodyText3"/>
              <w:spacing w:line="288" w:lineRule="auto"/>
              <w:jc w:val="center"/>
              <w:rPr>
                <w:kern w:val="20"/>
                <w:sz w:val="24"/>
              </w:rPr>
            </w:pPr>
            <w:r>
              <w:rPr>
                <w:kern w:val="20"/>
                <w:sz w:val="24"/>
              </w:rPr>
              <w:t>4,45</w:t>
            </w:r>
          </w:p>
        </w:tc>
      </w:tr>
      <w:tr w:rsidR="00000000">
        <w:tblPrEx>
          <w:tblCellMar>
            <w:top w:w="0" w:type="dxa"/>
            <w:bottom w:w="0" w:type="dxa"/>
          </w:tblCellMar>
        </w:tblPrEx>
        <w:tc>
          <w:tcPr>
            <w:tcW w:w="2446" w:type="dxa"/>
          </w:tcPr>
          <w:p w:rsidR="00000000" w:rsidRDefault="00000000">
            <w:pPr>
              <w:pStyle w:val="BodyText3"/>
              <w:spacing w:line="288" w:lineRule="auto"/>
              <w:jc w:val="left"/>
              <w:rPr>
                <w:kern w:val="20"/>
                <w:sz w:val="24"/>
                <w:lang w:val="ru-RU"/>
              </w:rPr>
            </w:pPr>
            <w:r>
              <w:rPr>
                <w:kern w:val="20"/>
                <w:sz w:val="24"/>
                <w:lang w:val="ru-RU"/>
              </w:rPr>
              <w:t>В среднем за 1998 год</w:t>
            </w:r>
          </w:p>
        </w:tc>
        <w:tc>
          <w:tcPr>
            <w:tcW w:w="1989" w:type="dxa"/>
          </w:tcPr>
          <w:p w:rsidR="00000000" w:rsidRDefault="00000000">
            <w:pPr>
              <w:pStyle w:val="BodyText3"/>
              <w:spacing w:line="288" w:lineRule="auto"/>
              <w:jc w:val="center"/>
              <w:rPr>
                <w:kern w:val="20"/>
                <w:sz w:val="24"/>
              </w:rPr>
            </w:pPr>
            <w:r>
              <w:rPr>
                <w:kern w:val="20"/>
                <w:sz w:val="24"/>
              </w:rPr>
              <w:t>8,96</w:t>
            </w:r>
          </w:p>
        </w:tc>
        <w:tc>
          <w:tcPr>
            <w:tcW w:w="1638" w:type="dxa"/>
          </w:tcPr>
          <w:p w:rsidR="00000000" w:rsidRDefault="00000000">
            <w:pPr>
              <w:pStyle w:val="BodyText3"/>
              <w:spacing w:line="288" w:lineRule="auto"/>
              <w:jc w:val="center"/>
              <w:rPr>
                <w:kern w:val="20"/>
                <w:sz w:val="24"/>
              </w:rPr>
            </w:pPr>
            <w:r>
              <w:rPr>
                <w:kern w:val="20"/>
                <w:sz w:val="24"/>
              </w:rPr>
              <w:t>8,93</w:t>
            </w:r>
          </w:p>
        </w:tc>
        <w:tc>
          <w:tcPr>
            <w:tcW w:w="1278" w:type="dxa"/>
          </w:tcPr>
          <w:p w:rsidR="00000000" w:rsidRDefault="00000000">
            <w:pPr>
              <w:pStyle w:val="BodyText3"/>
              <w:spacing w:line="288" w:lineRule="auto"/>
              <w:jc w:val="center"/>
              <w:rPr>
                <w:kern w:val="20"/>
                <w:sz w:val="24"/>
              </w:rPr>
            </w:pPr>
            <w:r>
              <w:rPr>
                <w:kern w:val="20"/>
                <w:sz w:val="24"/>
              </w:rPr>
              <w:t>7,96</w:t>
            </w:r>
          </w:p>
        </w:tc>
        <w:tc>
          <w:tcPr>
            <w:tcW w:w="1543" w:type="dxa"/>
          </w:tcPr>
          <w:p w:rsidR="00000000" w:rsidRDefault="00000000">
            <w:pPr>
              <w:pStyle w:val="BodyText3"/>
              <w:spacing w:line="288" w:lineRule="auto"/>
              <w:jc w:val="center"/>
              <w:rPr>
                <w:kern w:val="20"/>
                <w:sz w:val="24"/>
              </w:rPr>
            </w:pPr>
            <w:r>
              <w:rPr>
                <w:kern w:val="20"/>
                <w:sz w:val="24"/>
              </w:rPr>
              <w:t>6,04</w:t>
            </w:r>
          </w:p>
        </w:tc>
      </w:tr>
      <w:tr w:rsidR="00000000">
        <w:tblPrEx>
          <w:tblCellMar>
            <w:top w:w="0" w:type="dxa"/>
            <w:bottom w:w="0" w:type="dxa"/>
          </w:tblCellMar>
        </w:tblPrEx>
        <w:tc>
          <w:tcPr>
            <w:tcW w:w="2446" w:type="dxa"/>
          </w:tcPr>
          <w:p w:rsidR="00000000" w:rsidRDefault="00000000">
            <w:pPr>
              <w:pStyle w:val="BodyText3"/>
              <w:spacing w:line="288" w:lineRule="auto"/>
              <w:jc w:val="left"/>
              <w:rPr>
                <w:kern w:val="20"/>
                <w:sz w:val="24"/>
                <w:lang w:val="ru-RU"/>
              </w:rPr>
            </w:pPr>
            <w:r>
              <w:rPr>
                <w:kern w:val="20"/>
                <w:sz w:val="24"/>
                <w:lang w:val="ru-RU"/>
              </w:rPr>
              <w:t>В среднем за 1999 год</w:t>
            </w:r>
          </w:p>
        </w:tc>
        <w:tc>
          <w:tcPr>
            <w:tcW w:w="1989" w:type="dxa"/>
          </w:tcPr>
          <w:p w:rsidR="00000000" w:rsidRDefault="00000000">
            <w:pPr>
              <w:pStyle w:val="BodyText3"/>
              <w:spacing w:line="288" w:lineRule="auto"/>
              <w:jc w:val="center"/>
              <w:rPr>
                <w:kern w:val="20"/>
                <w:sz w:val="24"/>
              </w:rPr>
            </w:pPr>
            <w:r>
              <w:rPr>
                <w:kern w:val="20"/>
                <w:sz w:val="24"/>
              </w:rPr>
              <w:t>8,23</w:t>
            </w:r>
          </w:p>
        </w:tc>
        <w:tc>
          <w:tcPr>
            <w:tcW w:w="1638" w:type="dxa"/>
          </w:tcPr>
          <w:p w:rsidR="00000000" w:rsidRDefault="00000000">
            <w:pPr>
              <w:pStyle w:val="BodyText3"/>
              <w:spacing w:line="288" w:lineRule="auto"/>
              <w:jc w:val="center"/>
              <w:rPr>
                <w:kern w:val="20"/>
                <w:sz w:val="24"/>
              </w:rPr>
            </w:pPr>
            <w:r>
              <w:rPr>
                <w:kern w:val="20"/>
                <w:sz w:val="24"/>
              </w:rPr>
              <w:t>9,41</w:t>
            </w:r>
          </w:p>
        </w:tc>
        <w:tc>
          <w:tcPr>
            <w:tcW w:w="1278" w:type="dxa"/>
          </w:tcPr>
          <w:p w:rsidR="00000000" w:rsidRDefault="00000000">
            <w:pPr>
              <w:pStyle w:val="BodyText3"/>
              <w:spacing w:line="288" w:lineRule="auto"/>
              <w:jc w:val="center"/>
              <w:rPr>
                <w:kern w:val="20"/>
                <w:sz w:val="24"/>
              </w:rPr>
            </w:pPr>
            <w:r>
              <w:rPr>
                <w:kern w:val="20"/>
                <w:sz w:val="24"/>
              </w:rPr>
              <w:t>8,06</w:t>
            </w:r>
          </w:p>
        </w:tc>
        <w:tc>
          <w:tcPr>
            <w:tcW w:w="1543" w:type="dxa"/>
          </w:tcPr>
          <w:p w:rsidR="00000000" w:rsidRDefault="00000000">
            <w:pPr>
              <w:pStyle w:val="BodyText3"/>
              <w:spacing w:line="288" w:lineRule="auto"/>
              <w:jc w:val="center"/>
              <w:rPr>
                <w:kern w:val="20"/>
                <w:sz w:val="24"/>
              </w:rPr>
            </w:pPr>
            <w:r>
              <w:rPr>
                <w:kern w:val="20"/>
                <w:sz w:val="24"/>
              </w:rPr>
              <w:t>6,07</w:t>
            </w:r>
          </w:p>
        </w:tc>
      </w:tr>
    </w:tbl>
    <w:p w:rsidR="00000000" w:rsidRDefault="00000000">
      <w:pPr>
        <w:pStyle w:val="BodyText3"/>
        <w:spacing w:line="288" w:lineRule="auto"/>
        <w:jc w:val="left"/>
        <w:rPr>
          <w:bCs/>
          <w:spacing w:val="20"/>
          <w:kern w:val="16"/>
          <w:sz w:val="24"/>
          <w:lang w:val="ru-RU"/>
        </w:rPr>
      </w:pPr>
    </w:p>
    <w:p w:rsidR="00000000" w:rsidRDefault="00000000">
      <w:pPr>
        <w:ind w:firstLine="567"/>
        <w:rPr>
          <w:kern w:val="16"/>
        </w:rPr>
      </w:pPr>
      <w:r>
        <w:rPr>
          <w:kern w:val="16"/>
          <w:u w:val="single"/>
        </w:rPr>
        <w:t>Источник</w:t>
      </w:r>
      <w:r>
        <w:rPr>
          <w:kern w:val="16"/>
        </w:rPr>
        <w:t>:  Центральный банк Бразилии - ЦББ.</w:t>
      </w:r>
    </w:p>
    <w:p w:rsidR="00000000" w:rsidRDefault="00000000">
      <w:pPr>
        <w:rPr>
          <w:kern w:val="16"/>
        </w:rPr>
      </w:pPr>
    </w:p>
    <w:p w:rsidR="00000000" w:rsidRDefault="00000000">
      <w:pPr>
        <w:pStyle w:val="BodyText3"/>
        <w:spacing w:line="288" w:lineRule="auto"/>
        <w:jc w:val="left"/>
        <w:rPr>
          <w:bCs/>
          <w:spacing w:val="20"/>
          <w:kern w:val="16"/>
          <w:sz w:val="24"/>
          <w:lang w:val="ru-RU"/>
        </w:rPr>
      </w:pPr>
    </w:p>
    <w:p w:rsidR="00000000" w:rsidRDefault="00000000">
      <w:pPr>
        <w:pStyle w:val="10"/>
        <w:rPr>
          <w:bCs/>
          <w:kern w:val="20"/>
        </w:rPr>
      </w:pPr>
      <w:r>
        <w:rPr>
          <w:bCs/>
          <w:kern w:val="20"/>
        </w:rPr>
        <w:t>Таблица 9.   Официальный уровень безработицы в разбивке</w:t>
      </w:r>
    </w:p>
    <w:p w:rsidR="00000000" w:rsidRDefault="00000000">
      <w:pPr>
        <w:jc w:val="center"/>
        <w:rPr>
          <w:b/>
          <w:bCs/>
          <w:kern w:val="20"/>
        </w:rPr>
      </w:pPr>
      <w:r>
        <w:rPr>
          <w:b/>
          <w:bCs/>
          <w:kern w:val="20"/>
        </w:rPr>
        <w:t>по крупнейшим агломерациям</w:t>
      </w:r>
    </w:p>
    <w:p w:rsidR="00000000" w:rsidRDefault="00000000">
      <w:pPr>
        <w:pStyle w:val="BodyText3"/>
        <w:spacing w:line="288" w:lineRule="auto"/>
        <w:jc w:val="center"/>
        <w:rPr>
          <w:b/>
          <w:bCs/>
          <w:spacing w:val="20"/>
          <w:kern w:val="20"/>
          <w:sz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425"/>
        <w:gridCol w:w="907"/>
        <w:gridCol w:w="1201"/>
        <w:gridCol w:w="1131"/>
        <w:gridCol w:w="1131"/>
        <w:gridCol w:w="975"/>
        <w:gridCol w:w="1073"/>
      </w:tblGrid>
      <w:tr w:rsidR="00000000">
        <w:tblPrEx>
          <w:tblCellMar>
            <w:top w:w="0" w:type="dxa"/>
            <w:bottom w:w="0" w:type="dxa"/>
          </w:tblCellMar>
        </w:tblPrEx>
        <w:tc>
          <w:tcPr>
            <w:tcW w:w="2425" w:type="dxa"/>
          </w:tcPr>
          <w:p w:rsidR="00000000" w:rsidRDefault="00000000">
            <w:pPr>
              <w:pStyle w:val="BodyText3"/>
              <w:spacing w:line="288" w:lineRule="auto"/>
              <w:jc w:val="center"/>
              <w:rPr>
                <w:kern w:val="20"/>
                <w:sz w:val="24"/>
                <w:lang w:val="ru-RU"/>
              </w:rPr>
            </w:pPr>
            <w:r>
              <w:rPr>
                <w:kern w:val="20"/>
                <w:sz w:val="24"/>
                <w:lang w:val="ru-RU"/>
              </w:rPr>
              <w:t>Период</w:t>
            </w:r>
          </w:p>
        </w:tc>
        <w:tc>
          <w:tcPr>
            <w:tcW w:w="907" w:type="dxa"/>
          </w:tcPr>
          <w:p w:rsidR="00000000" w:rsidRDefault="00000000">
            <w:pPr>
              <w:pStyle w:val="BodyText3"/>
              <w:spacing w:line="288" w:lineRule="auto"/>
              <w:jc w:val="left"/>
              <w:rPr>
                <w:kern w:val="20"/>
                <w:sz w:val="24"/>
                <w:lang w:val="ru-RU"/>
              </w:rPr>
            </w:pPr>
            <w:r>
              <w:rPr>
                <w:kern w:val="20"/>
                <w:sz w:val="24"/>
                <w:lang w:val="ru-RU"/>
              </w:rPr>
              <w:t>Ресифи</w:t>
            </w:r>
          </w:p>
        </w:tc>
        <w:tc>
          <w:tcPr>
            <w:tcW w:w="1201" w:type="dxa"/>
          </w:tcPr>
          <w:p w:rsidR="00000000" w:rsidRDefault="00000000">
            <w:pPr>
              <w:pStyle w:val="BodyText3"/>
              <w:spacing w:line="288" w:lineRule="auto"/>
              <w:jc w:val="center"/>
              <w:rPr>
                <w:kern w:val="20"/>
                <w:sz w:val="24"/>
                <w:lang w:val="ru-RU"/>
              </w:rPr>
            </w:pPr>
            <w:r>
              <w:rPr>
                <w:kern w:val="20"/>
                <w:sz w:val="24"/>
                <w:lang w:val="ru-RU"/>
              </w:rPr>
              <w:t>Салвадор</w:t>
            </w:r>
          </w:p>
        </w:tc>
        <w:tc>
          <w:tcPr>
            <w:tcW w:w="1131" w:type="dxa"/>
          </w:tcPr>
          <w:p w:rsidR="00000000" w:rsidRDefault="00000000">
            <w:pPr>
              <w:pStyle w:val="BodyText3"/>
              <w:spacing w:line="288" w:lineRule="auto"/>
              <w:jc w:val="center"/>
              <w:rPr>
                <w:kern w:val="20"/>
                <w:sz w:val="24"/>
                <w:lang w:val="ru-RU"/>
              </w:rPr>
            </w:pPr>
            <w:r>
              <w:rPr>
                <w:kern w:val="20"/>
                <w:sz w:val="24"/>
                <w:lang w:val="ru-RU"/>
              </w:rPr>
              <w:t>Белу-Оризонти</w:t>
            </w:r>
          </w:p>
        </w:tc>
        <w:tc>
          <w:tcPr>
            <w:tcW w:w="1131" w:type="dxa"/>
          </w:tcPr>
          <w:p w:rsidR="00000000" w:rsidRDefault="00000000">
            <w:pPr>
              <w:pStyle w:val="BodyText3"/>
              <w:spacing w:line="288" w:lineRule="auto"/>
              <w:jc w:val="center"/>
              <w:rPr>
                <w:kern w:val="20"/>
                <w:sz w:val="24"/>
                <w:lang w:val="ru-RU"/>
              </w:rPr>
            </w:pPr>
            <w:r>
              <w:rPr>
                <w:kern w:val="20"/>
                <w:sz w:val="24"/>
                <w:lang w:val="ru-RU"/>
              </w:rPr>
              <w:t>Рио-де-Жанейро</w:t>
            </w:r>
          </w:p>
        </w:tc>
        <w:tc>
          <w:tcPr>
            <w:tcW w:w="975" w:type="dxa"/>
          </w:tcPr>
          <w:p w:rsidR="00000000" w:rsidRDefault="00000000">
            <w:pPr>
              <w:pStyle w:val="BodyText3"/>
              <w:spacing w:line="288" w:lineRule="auto"/>
              <w:jc w:val="center"/>
              <w:rPr>
                <w:kern w:val="20"/>
                <w:sz w:val="24"/>
                <w:lang w:val="ru-RU"/>
              </w:rPr>
            </w:pPr>
            <w:r>
              <w:rPr>
                <w:kern w:val="20"/>
                <w:sz w:val="24"/>
                <w:lang w:val="ru-RU"/>
              </w:rPr>
              <w:t>Сан-Паулу</w:t>
            </w:r>
          </w:p>
        </w:tc>
        <w:tc>
          <w:tcPr>
            <w:tcW w:w="1073" w:type="dxa"/>
          </w:tcPr>
          <w:p w:rsidR="00000000" w:rsidRDefault="00000000">
            <w:pPr>
              <w:pStyle w:val="BodyText3"/>
              <w:spacing w:line="288" w:lineRule="auto"/>
              <w:jc w:val="center"/>
              <w:rPr>
                <w:kern w:val="20"/>
                <w:sz w:val="24"/>
                <w:lang w:val="ru-RU"/>
              </w:rPr>
            </w:pPr>
            <w:r>
              <w:rPr>
                <w:kern w:val="20"/>
                <w:sz w:val="24"/>
                <w:lang w:val="ru-RU"/>
              </w:rPr>
              <w:t>Порту-Алегри</w:t>
            </w:r>
          </w:p>
        </w:tc>
      </w:tr>
      <w:tr w:rsidR="00000000">
        <w:tblPrEx>
          <w:tblCellMar>
            <w:top w:w="0" w:type="dxa"/>
            <w:bottom w:w="0" w:type="dxa"/>
          </w:tblCellMar>
        </w:tblPrEx>
        <w:tc>
          <w:tcPr>
            <w:tcW w:w="2425" w:type="dxa"/>
          </w:tcPr>
          <w:p w:rsidR="00000000" w:rsidRDefault="00000000">
            <w:pPr>
              <w:pStyle w:val="BodyText3"/>
              <w:spacing w:line="288" w:lineRule="auto"/>
              <w:jc w:val="left"/>
              <w:rPr>
                <w:kern w:val="20"/>
                <w:sz w:val="24"/>
                <w:lang w:val="ru-RU"/>
              </w:rPr>
            </w:pPr>
            <w:r>
              <w:rPr>
                <w:kern w:val="20"/>
                <w:sz w:val="24"/>
                <w:lang w:val="ru-RU"/>
              </w:rPr>
              <w:t>В среднем за 1997 год</w:t>
            </w:r>
          </w:p>
        </w:tc>
        <w:tc>
          <w:tcPr>
            <w:tcW w:w="907" w:type="dxa"/>
          </w:tcPr>
          <w:p w:rsidR="00000000" w:rsidRDefault="00000000">
            <w:pPr>
              <w:pStyle w:val="BodyText3"/>
              <w:spacing w:line="288" w:lineRule="auto"/>
              <w:jc w:val="center"/>
              <w:rPr>
                <w:kern w:val="20"/>
                <w:sz w:val="24"/>
              </w:rPr>
            </w:pPr>
            <w:r>
              <w:rPr>
                <w:kern w:val="20"/>
                <w:sz w:val="24"/>
              </w:rPr>
              <w:t>5,89</w:t>
            </w:r>
          </w:p>
        </w:tc>
        <w:tc>
          <w:tcPr>
            <w:tcW w:w="1201" w:type="dxa"/>
          </w:tcPr>
          <w:p w:rsidR="00000000" w:rsidRDefault="00000000">
            <w:pPr>
              <w:pStyle w:val="BodyText3"/>
              <w:spacing w:line="288" w:lineRule="auto"/>
              <w:jc w:val="center"/>
              <w:rPr>
                <w:kern w:val="20"/>
                <w:sz w:val="24"/>
              </w:rPr>
            </w:pPr>
            <w:r>
              <w:rPr>
                <w:kern w:val="20"/>
                <w:sz w:val="24"/>
              </w:rPr>
              <w:t>7,73</w:t>
            </w:r>
          </w:p>
        </w:tc>
        <w:tc>
          <w:tcPr>
            <w:tcW w:w="1131" w:type="dxa"/>
          </w:tcPr>
          <w:p w:rsidR="00000000" w:rsidRDefault="00000000">
            <w:pPr>
              <w:pStyle w:val="BodyText3"/>
              <w:spacing w:line="288" w:lineRule="auto"/>
              <w:jc w:val="center"/>
              <w:rPr>
                <w:kern w:val="20"/>
                <w:sz w:val="24"/>
              </w:rPr>
            </w:pPr>
            <w:r>
              <w:rPr>
                <w:kern w:val="20"/>
                <w:sz w:val="24"/>
              </w:rPr>
              <w:t>5,09</w:t>
            </w:r>
          </w:p>
        </w:tc>
        <w:tc>
          <w:tcPr>
            <w:tcW w:w="1131" w:type="dxa"/>
          </w:tcPr>
          <w:p w:rsidR="00000000" w:rsidRDefault="00000000">
            <w:pPr>
              <w:pStyle w:val="BodyText3"/>
              <w:spacing w:line="288" w:lineRule="auto"/>
              <w:jc w:val="center"/>
              <w:rPr>
                <w:kern w:val="20"/>
                <w:sz w:val="24"/>
              </w:rPr>
            </w:pPr>
            <w:r>
              <w:rPr>
                <w:kern w:val="20"/>
                <w:sz w:val="24"/>
              </w:rPr>
              <w:t>3,73</w:t>
            </w:r>
          </w:p>
        </w:tc>
        <w:tc>
          <w:tcPr>
            <w:tcW w:w="975" w:type="dxa"/>
          </w:tcPr>
          <w:p w:rsidR="00000000" w:rsidRDefault="00000000">
            <w:pPr>
              <w:pStyle w:val="BodyText3"/>
              <w:spacing w:line="288" w:lineRule="auto"/>
              <w:jc w:val="center"/>
              <w:rPr>
                <w:kern w:val="20"/>
                <w:sz w:val="24"/>
              </w:rPr>
            </w:pPr>
            <w:r>
              <w:rPr>
                <w:kern w:val="20"/>
                <w:sz w:val="24"/>
              </w:rPr>
              <w:t>6,60</w:t>
            </w:r>
          </w:p>
        </w:tc>
        <w:tc>
          <w:tcPr>
            <w:tcW w:w="1073" w:type="dxa"/>
          </w:tcPr>
          <w:p w:rsidR="00000000" w:rsidRDefault="00000000">
            <w:pPr>
              <w:pStyle w:val="BodyText3"/>
              <w:spacing w:line="288" w:lineRule="auto"/>
              <w:jc w:val="center"/>
              <w:rPr>
                <w:kern w:val="20"/>
                <w:sz w:val="24"/>
              </w:rPr>
            </w:pPr>
            <w:r>
              <w:rPr>
                <w:kern w:val="20"/>
                <w:sz w:val="24"/>
              </w:rPr>
              <w:t>5,47</w:t>
            </w:r>
          </w:p>
        </w:tc>
      </w:tr>
      <w:tr w:rsidR="00000000">
        <w:tblPrEx>
          <w:tblCellMar>
            <w:top w:w="0" w:type="dxa"/>
            <w:bottom w:w="0" w:type="dxa"/>
          </w:tblCellMar>
        </w:tblPrEx>
        <w:tc>
          <w:tcPr>
            <w:tcW w:w="2425" w:type="dxa"/>
          </w:tcPr>
          <w:p w:rsidR="00000000" w:rsidRDefault="00000000">
            <w:pPr>
              <w:pStyle w:val="BodyText3"/>
              <w:spacing w:line="288" w:lineRule="auto"/>
              <w:jc w:val="left"/>
              <w:rPr>
                <w:kern w:val="20"/>
                <w:sz w:val="24"/>
                <w:lang w:val="ru-RU"/>
              </w:rPr>
            </w:pPr>
            <w:r>
              <w:rPr>
                <w:kern w:val="20"/>
                <w:sz w:val="24"/>
                <w:lang w:val="ru-RU"/>
              </w:rPr>
              <w:t>В среднем за 1998 год</w:t>
            </w:r>
          </w:p>
        </w:tc>
        <w:tc>
          <w:tcPr>
            <w:tcW w:w="907" w:type="dxa"/>
          </w:tcPr>
          <w:p w:rsidR="00000000" w:rsidRDefault="00000000">
            <w:pPr>
              <w:pStyle w:val="BodyText3"/>
              <w:spacing w:line="288" w:lineRule="auto"/>
              <w:jc w:val="center"/>
              <w:rPr>
                <w:kern w:val="20"/>
                <w:sz w:val="24"/>
              </w:rPr>
            </w:pPr>
            <w:r>
              <w:rPr>
                <w:kern w:val="20"/>
                <w:sz w:val="24"/>
              </w:rPr>
              <w:t>8,69</w:t>
            </w:r>
          </w:p>
        </w:tc>
        <w:tc>
          <w:tcPr>
            <w:tcW w:w="1201" w:type="dxa"/>
          </w:tcPr>
          <w:p w:rsidR="00000000" w:rsidRDefault="00000000">
            <w:pPr>
              <w:pStyle w:val="BodyText3"/>
              <w:spacing w:line="288" w:lineRule="auto"/>
              <w:jc w:val="center"/>
              <w:rPr>
                <w:kern w:val="20"/>
                <w:sz w:val="24"/>
              </w:rPr>
            </w:pPr>
            <w:r>
              <w:rPr>
                <w:kern w:val="20"/>
                <w:sz w:val="24"/>
              </w:rPr>
              <w:t>9,27</w:t>
            </w:r>
          </w:p>
        </w:tc>
        <w:tc>
          <w:tcPr>
            <w:tcW w:w="1131" w:type="dxa"/>
          </w:tcPr>
          <w:p w:rsidR="00000000" w:rsidRDefault="00000000">
            <w:pPr>
              <w:pStyle w:val="BodyText3"/>
              <w:spacing w:line="288" w:lineRule="auto"/>
              <w:jc w:val="center"/>
              <w:rPr>
                <w:kern w:val="20"/>
                <w:sz w:val="24"/>
              </w:rPr>
            </w:pPr>
            <w:r>
              <w:rPr>
                <w:kern w:val="20"/>
                <w:sz w:val="24"/>
              </w:rPr>
              <w:t>7,18</w:t>
            </w:r>
          </w:p>
        </w:tc>
        <w:tc>
          <w:tcPr>
            <w:tcW w:w="1131" w:type="dxa"/>
          </w:tcPr>
          <w:p w:rsidR="00000000" w:rsidRDefault="00000000">
            <w:pPr>
              <w:pStyle w:val="BodyText3"/>
              <w:spacing w:line="288" w:lineRule="auto"/>
              <w:jc w:val="center"/>
              <w:rPr>
                <w:kern w:val="20"/>
                <w:sz w:val="24"/>
              </w:rPr>
            </w:pPr>
            <w:r>
              <w:rPr>
                <w:kern w:val="20"/>
                <w:sz w:val="24"/>
              </w:rPr>
              <w:t>5,40</w:t>
            </w:r>
          </w:p>
        </w:tc>
        <w:tc>
          <w:tcPr>
            <w:tcW w:w="975" w:type="dxa"/>
          </w:tcPr>
          <w:p w:rsidR="00000000" w:rsidRDefault="00000000">
            <w:pPr>
              <w:pStyle w:val="BodyText3"/>
              <w:spacing w:line="288" w:lineRule="auto"/>
              <w:jc w:val="center"/>
              <w:rPr>
                <w:kern w:val="20"/>
                <w:sz w:val="24"/>
              </w:rPr>
            </w:pPr>
            <w:r>
              <w:rPr>
                <w:kern w:val="20"/>
                <w:sz w:val="24"/>
              </w:rPr>
              <w:t>8,59</w:t>
            </w:r>
          </w:p>
        </w:tc>
        <w:tc>
          <w:tcPr>
            <w:tcW w:w="1073" w:type="dxa"/>
          </w:tcPr>
          <w:p w:rsidR="00000000" w:rsidRDefault="00000000">
            <w:pPr>
              <w:pStyle w:val="BodyText3"/>
              <w:spacing w:line="288" w:lineRule="auto"/>
              <w:jc w:val="center"/>
              <w:rPr>
                <w:kern w:val="20"/>
                <w:sz w:val="24"/>
              </w:rPr>
            </w:pPr>
            <w:r>
              <w:rPr>
                <w:kern w:val="20"/>
                <w:sz w:val="24"/>
              </w:rPr>
              <w:t>7,28</w:t>
            </w:r>
          </w:p>
        </w:tc>
      </w:tr>
      <w:tr w:rsidR="00000000">
        <w:tblPrEx>
          <w:tblCellMar>
            <w:top w:w="0" w:type="dxa"/>
            <w:bottom w:w="0" w:type="dxa"/>
          </w:tblCellMar>
        </w:tblPrEx>
        <w:tc>
          <w:tcPr>
            <w:tcW w:w="2425" w:type="dxa"/>
          </w:tcPr>
          <w:p w:rsidR="00000000" w:rsidRDefault="00000000">
            <w:pPr>
              <w:pStyle w:val="BodyText3"/>
              <w:spacing w:line="288" w:lineRule="auto"/>
              <w:jc w:val="left"/>
              <w:rPr>
                <w:kern w:val="20"/>
                <w:sz w:val="24"/>
                <w:lang w:val="ru-RU"/>
              </w:rPr>
            </w:pPr>
            <w:r>
              <w:rPr>
                <w:kern w:val="20"/>
                <w:sz w:val="24"/>
                <w:lang w:val="ru-RU"/>
              </w:rPr>
              <w:t>В среднем за 1999 год</w:t>
            </w:r>
          </w:p>
        </w:tc>
        <w:tc>
          <w:tcPr>
            <w:tcW w:w="907" w:type="dxa"/>
          </w:tcPr>
          <w:p w:rsidR="00000000" w:rsidRDefault="00000000">
            <w:pPr>
              <w:pStyle w:val="BodyText3"/>
              <w:spacing w:line="288" w:lineRule="auto"/>
              <w:jc w:val="center"/>
              <w:rPr>
                <w:kern w:val="20"/>
                <w:sz w:val="24"/>
              </w:rPr>
            </w:pPr>
            <w:r>
              <w:rPr>
                <w:kern w:val="20"/>
                <w:sz w:val="24"/>
              </w:rPr>
              <w:t>8,17</w:t>
            </w:r>
          </w:p>
        </w:tc>
        <w:tc>
          <w:tcPr>
            <w:tcW w:w="1201" w:type="dxa"/>
          </w:tcPr>
          <w:p w:rsidR="00000000" w:rsidRDefault="00000000">
            <w:pPr>
              <w:pStyle w:val="BodyText3"/>
              <w:spacing w:line="288" w:lineRule="auto"/>
              <w:jc w:val="center"/>
              <w:rPr>
                <w:kern w:val="20"/>
                <w:sz w:val="24"/>
              </w:rPr>
            </w:pPr>
            <w:r>
              <w:rPr>
                <w:kern w:val="20"/>
                <w:sz w:val="24"/>
              </w:rPr>
              <w:t>9,94</w:t>
            </w:r>
          </w:p>
        </w:tc>
        <w:tc>
          <w:tcPr>
            <w:tcW w:w="1131" w:type="dxa"/>
          </w:tcPr>
          <w:p w:rsidR="00000000" w:rsidRDefault="00000000">
            <w:pPr>
              <w:pStyle w:val="BodyText3"/>
              <w:spacing w:line="288" w:lineRule="auto"/>
              <w:jc w:val="center"/>
              <w:rPr>
                <w:kern w:val="20"/>
                <w:sz w:val="24"/>
              </w:rPr>
            </w:pPr>
            <w:r>
              <w:rPr>
                <w:kern w:val="20"/>
                <w:sz w:val="24"/>
              </w:rPr>
              <w:t>7,69</w:t>
            </w:r>
          </w:p>
        </w:tc>
        <w:tc>
          <w:tcPr>
            <w:tcW w:w="1131" w:type="dxa"/>
          </w:tcPr>
          <w:p w:rsidR="00000000" w:rsidRDefault="00000000">
            <w:pPr>
              <w:pStyle w:val="BodyText3"/>
              <w:spacing w:line="288" w:lineRule="auto"/>
              <w:jc w:val="center"/>
              <w:rPr>
                <w:kern w:val="20"/>
                <w:sz w:val="24"/>
              </w:rPr>
            </w:pPr>
            <w:r>
              <w:rPr>
                <w:kern w:val="20"/>
                <w:sz w:val="24"/>
              </w:rPr>
              <w:t>5,40</w:t>
            </w:r>
          </w:p>
        </w:tc>
        <w:tc>
          <w:tcPr>
            <w:tcW w:w="975" w:type="dxa"/>
          </w:tcPr>
          <w:p w:rsidR="00000000" w:rsidRDefault="00000000">
            <w:pPr>
              <w:pStyle w:val="BodyText3"/>
              <w:spacing w:line="288" w:lineRule="auto"/>
              <w:jc w:val="center"/>
              <w:rPr>
                <w:kern w:val="20"/>
                <w:sz w:val="24"/>
              </w:rPr>
            </w:pPr>
            <w:r>
              <w:rPr>
                <w:kern w:val="20"/>
                <w:sz w:val="24"/>
              </w:rPr>
              <w:t>8,30</w:t>
            </w:r>
          </w:p>
        </w:tc>
        <w:tc>
          <w:tcPr>
            <w:tcW w:w="1073" w:type="dxa"/>
          </w:tcPr>
          <w:p w:rsidR="00000000" w:rsidRDefault="00000000">
            <w:pPr>
              <w:pStyle w:val="BodyText3"/>
              <w:spacing w:line="288" w:lineRule="auto"/>
              <w:jc w:val="center"/>
              <w:rPr>
                <w:kern w:val="20"/>
                <w:sz w:val="24"/>
              </w:rPr>
            </w:pPr>
            <w:r>
              <w:rPr>
                <w:kern w:val="20"/>
                <w:sz w:val="24"/>
              </w:rPr>
              <w:t>7,22</w:t>
            </w:r>
          </w:p>
        </w:tc>
      </w:tr>
    </w:tbl>
    <w:p w:rsidR="00000000" w:rsidRDefault="00000000">
      <w:pPr>
        <w:pStyle w:val="BodyText3"/>
        <w:spacing w:line="288" w:lineRule="auto"/>
        <w:jc w:val="left"/>
        <w:rPr>
          <w:bCs/>
          <w:spacing w:val="20"/>
          <w:kern w:val="16"/>
          <w:sz w:val="24"/>
          <w:lang w:val="ru-RU"/>
        </w:rPr>
      </w:pPr>
    </w:p>
    <w:p w:rsidR="00000000" w:rsidRDefault="00000000">
      <w:pPr>
        <w:rPr>
          <w:kern w:val="16"/>
        </w:rPr>
      </w:pPr>
      <w:r>
        <w:rPr>
          <w:kern w:val="16"/>
        </w:rPr>
        <w:tab/>
      </w:r>
      <w:r>
        <w:rPr>
          <w:kern w:val="16"/>
          <w:u w:val="single"/>
        </w:rPr>
        <w:t>Источник</w:t>
      </w:r>
      <w:r>
        <w:rPr>
          <w:kern w:val="16"/>
        </w:rPr>
        <w:t>:  Центральный банк Бразилии - ЦББ.</w:t>
      </w:r>
    </w:p>
    <w:p w:rsidR="00000000" w:rsidRDefault="00000000">
      <w:pPr>
        <w:rPr>
          <w:kern w:val="16"/>
        </w:rPr>
      </w:pPr>
    </w:p>
    <w:p w:rsidR="00000000" w:rsidRDefault="00000000">
      <w:pPr>
        <w:pStyle w:val="BodyText3"/>
        <w:spacing w:line="288" w:lineRule="auto"/>
        <w:jc w:val="left"/>
        <w:rPr>
          <w:bCs/>
          <w:spacing w:val="20"/>
          <w:kern w:val="16"/>
          <w:sz w:val="24"/>
          <w:lang w:val="ru-RU"/>
        </w:rPr>
      </w:pPr>
    </w:p>
    <w:p w:rsidR="00000000" w:rsidRDefault="00000000">
      <w:pPr>
        <w:jc w:val="center"/>
        <w:rPr>
          <w:b/>
          <w:bCs/>
          <w:kern w:val="20"/>
        </w:rPr>
      </w:pPr>
      <w:r>
        <w:rPr>
          <w:b/>
          <w:bCs/>
          <w:kern w:val="20"/>
        </w:rPr>
        <w:t>Таблица 10.   Программа профессионально-технической подготовки</w:t>
      </w:r>
    </w:p>
    <w:p w:rsidR="00000000" w:rsidRDefault="00000000">
      <w:pPr>
        <w:pStyle w:val="BodyText3"/>
        <w:spacing w:line="288" w:lineRule="auto"/>
        <w:jc w:val="center"/>
        <w:rPr>
          <w:b/>
          <w:bCs/>
          <w:spacing w:val="20"/>
          <w:kern w:val="20"/>
          <w:sz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916"/>
        <w:gridCol w:w="2449"/>
        <w:gridCol w:w="3204"/>
      </w:tblGrid>
      <w:tr w:rsidR="00000000">
        <w:tblPrEx>
          <w:tblCellMar>
            <w:top w:w="0" w:type="dxa"/>
            <w:bottom w:w="0" w:type="dxa"/>
          </w:tblCellMar>
        </w:tblPrEx>
        <w:trPr>
          <w:jc w:val="center"/>
        </w:trPr>
        <w:tc>
          <w:tcPr>
            <w:tcW w:w="916" w:type="dxa"/>
          </w:tcPr>
          <w:p w:rsidR="00000000" w:rsidRDefault="00000000">
            <w:pPr>
              <w:pStyle w:val="BodyText3"/>
              <w:spacing w:line="288" w:lineRule="auto"/>
              <w:jc w:val="center"/>
              <w:rPr>
                <w:kern w:val="20"/>
                <w:sz w:val="24"/>
                <w:lang w:val="ru-RU"/>
              </w:rPr>
            </w:pPr>
            <w:r>
              <w:rPr>
                <w:kern w:val="20"/>
                <w:sz w:val="24"/>
                <w:lang w:val="ru-RU"/>
              </w:rPr>
              <w:t>Год</w:t>
            </w:r>
          </w:p>
        </w:tc>
        <w:tc>
          <w:tcPr>
            <w:tcW w:w="2449" w:type="dxa"/>
          </w:tcPr>
          <w:p w:rsidR="00000000" w:rsidRDefault="00000000">
            <w:pPr>
              <w:pStyle w:val="BodyText3"/>
              <w:spacing w:line="288" w:lineRule="auto"/>
              <w:jc w:val="center"/>
              <w:rPr>
                <w:kern w:val="20"/>
                <w:sz w:val="24"/>
                <w:lang w:val="ru-RU"/>
              </w:rPr>
            </w:pPr>
            <w:r>
              <w:rPr>
                <w:kern w:val="20"/>
                <w:sz w:val="24"/>
                <w:lang w:val="ru-RU"/>
              </w:rPr>
              <w:t>Стажеры (в тыс.)</w:t>
            </w:r>
          </w:p>
        </w:tc>
        <w:tc>
          <w:tcPr>
            <w:tcW w:w="3204" w:type="dxa"/>
          </w:tcPr>
          <w:p w:rsidR="00000000" w:rsidRDefault="00000000">
            <w:pPr>
              <w:pStyle w:val="BodyText3"/>
              <w:spacing w:line="288" w:lineRule="auto"/>
              <w:jc w:val="center"/>
              <w:rPr>
                <w:kern w:val="20"/>
                <w:sz w:val="24"/>
                <w:lang w:val="ru-RU"/>
              </w:rPr>
            </w:pPr>
            <w:r>
              <w:rPr>
                <w:kern w:val="20"/>
                <w:sz w:val="24"/>
                <w:lang w:val="ru-RU"/>
              </w:rPr>
              <w:t>Затраченные средства (в млн.)</w:t>
            </w:r>
          </w:p>
        </w:tc>
      </w:tr>
      <w:tr w:rsidR="00000000">
        <w:tblPrEx>
          <w:tblCellMar>
            <w:top w:w="0" w:type="dxa"/>
            <w:bottom w:w="0" w:type="dxa"/>
          </w:tblCellMar>
        </w:tblPrEx>
        <w:trPr>
          <w:jc w:val="center"/>
        </w:trPr>
        <w:tc>
          <w:tcPr>
            <w:tcW w:w="916" w:type="dxa"/>
          </w:tcPr>
          <w:p w:rsidR="00000000" w:rsidRDefault="00000000">
            <w:pPr>
              <w:pStyle w:val="BodyText3"/>
              <w:spacing w:line="288" w:lineRule="auto"/>
              <w:jc w:val="center"/>
              <w:rPr>
                <w:kern w:val="20"/>
                <w:sz w:val="24"/>
              </w:rPr>
            </w:pPr>
            <w:r>
              <w:rPr>
                <w:kern w:val="20"/>
                <w:sz w:val="24"/>
              </w:rPr>
              <w:t>1995</w:t>
            </w:r>
          </w:p>
        </w:tc>
        <w:tc>
          <w:tcPr>
            <w:tcW w:w="2449" w:type="dxa"/>
          </w:tcPr>
          <w:p w:rsidR="00000000" w:rsidRDefault="00000000">
            <w:pPr>
              <w:pStyle w:val="BodyText3"/>
              <w:spacing w:line="288" w:lineRule="auto"/>
              <w:jc w:val="center"/>
              <w:rPr>
                <w:kern w:val="20"/>
                <w:sz w:val="24"/>
              </w:rPr>
            </w:pPr>
            <w:r>
              <w:rPr>
                <w:kern w:val="20"/>
                <w:sz w:val="24"/>
              </w:rPr>
              <w:t>153</w:t>
            </w:r>
          </w:p>
        </w:tc>
        <w:tc>
          <w:tcPr>
            <w:tcW w:w="3204" w:type="dxa"/>
          </w:tcPr>
          <w:p w:rsidR="00000000" w:rsidRDefault="00000000">
            <w:pPr>
              <w:pStyle w:val="BodyText3"/>
              <w:spacing w:line="288" w:lineRule="auto"/>
              <w:jc w:val="center"/>
              <w:rPr>
                <w:kern w:val="20"/>
                <w:sz w:val="24"/>
              </w:rPr>
            </w:pPr>
            <w:r>
              <w:rPr>
                <w:kern w:val="20"/>
                <w:sz w:val="24"/>
              </w:rPr>
              <w:t>28</w:t>
            </w:r>
          </w:p>
        </w:tc>
      </w:tr>
      <w:tr w:rsidR="00000000">
        <w:tblPrEx>
          <w:tblCellMar>
            <w:top w:w="0" w:type="dxa"/>
            <w:bottom w:w="0" w:type="dxa"/>
          </w:tblCellMar>
        </w:tblPrEx>
        <w:trPr>
          <w:jc w:val="center"/>
        </w:trPr>
        <w:tc>
          <w:tcPr>
            <w:tcW w:w="916" w:type="dxa"/>
          </w:tcPr>
          <w:p w:rsidR="00000000" w:rsidRDefault="00000000">
            <w:pPr>
              <w:pStyle w:val="BodyText3"/>
              <w:spacing w:line="288" w:lineRule="auto"/>
              <w:jc w:val="center"/>
              <w:rPr>
                <w:kern w:val="20"/>
                <w:sz w:val="24"/>
              </w:rPr>
            </w:pPr>
            <w:r>
              <w:rPr>
                <w:kern w:val="20"/>
                <w:sz w:val="24"/>
              </w:rPr>
              <w:t>1996</w:t>
            </w:r>
          </w:p>
        </w:tc>
        <w:tc>
          <w:tcPr>
            <w:tcW w:w="2449" w:type="dxa"/>
          </w:tcPr>
          <w:p w:rsidR="00000000" w:rsidRDefault="00000000">
            <w:pPr>
              <w:pStyle w:val="BodyText3"/>
              <w:spacing w:line="288" w:lineRule="auto"/>
              <w:jc w:val="center"/>
              <w:rPr>
                <w:kern w:val="20"/>
                <w:sz w:val="24"/>
              </w:rPr>
            </w:pPr>
            <w:r>
              <w:rPr>
                <w:kern w:val="20"/>
                <w:sz w:val="24"/>
              </w:rPr>
              <w:t>1 198</w:t>
            </w:r>
          </w:p>
        </w:tc>
        <w:tc>
          <w:tcPr>
            <w:tcW w:w="3204" w:type="dxa"/>
          </w:tcPr>
          <w:p w:rsidR="00000000" w:rsidRDefault="00000000">
            <w:pPr>
              <w:pStyle w:val="BodyText3"/>
              <w:spacing w:line="288" w:lineRule="auto"/>
              <w:jc w:val="center"/>
              <w:rPr>
                <w:kern w:val="20"/>
                <w:sz w:val="24"/>
              </w:rPr>
            </w:pPr>
            <w:r>
              <w:rPr>
                <w:kern w:val="20"/>
                <w:sz w:val="24"/>
              </w:rPr>
              <w:t>220</w:t>
            </w:r>
          </w:p>
        </w:tc>
      </w:tr>
      <w:tr w:rsidR="00000000">
        <w:tblPrEx>
          <w:tblCellMar>
            <w:top w:w="0" w:type="dxa"/>
            <w:bottom w:w="0" w:type="dxa"/>
          </w:tblCellMar>
        </w:tblPrEx>
        <w:trPr>
          <w:jc w:val="center"/>
        </w:trPr>
        <w:tc>
          <w:tcPr>
            <w:tcW w:w="916" w:type="dxa"/>
          </w:tcPr>
          <w:p w:rsidR="00000000" w:rsidRDefault="00000000">
            <w:pPr>
              <w:pStyle w:val="BodyText3"/>
              <w:spacing w:line="288" w:lineRule="auto"/>
              <w:jc w:val="center"/>
              <w:rPr>
                <w:kern w:val="20"/>
                <w:sz w:val="24"/>
              </w:rPr>
            </w:pPr>
            <w:r>
              <w:rPr>
                <w:kern w:val="20"/>
                <w:sz w:val="24"/>
              </w:rPr>
              <w:t>1997</w:t>
            </w:r>
          </w:p>
        </w:tc>
        <w:tc>
          <w:tcPr>
            <w:tcW w:w="2449" w:type="dxa"/>
          </w:tcPr>
          <w:p w:rsidR="00000000" w:rsidRDefault="00000000">
            <w:pPr>
              <w:pStyle w:val="BodyText3"/>
              <w:spacing w:line="288" w:lineRule="auto"/>
              <w:jc w:val="center"/>
              <w:rPr>
                <w:kern w:val="20"/>
                <w:sz w:val="24"/>
              </w:rPr>
            </w:pPr>
            <w:r>
              <w:rPr>
                <w:kern w:val="20"/>
                <w:sz w:val="24"/>
              </w:rPr>
              <w:t>2 001</w:t>
            </w:r>
          </w:p>
        </w:tc>
        <w:tc>
          <w:tcPr>
            <w:tcW w:w="3204" w:type="dxa"/>
          </w:tcPr>
          <w:p w:rsidR="00000000" w:rsidRDefault="00000000">
            <w:pPr>
              <w:pStyle w:val="BodyText3"/>
              <w:spacing w:line="288" w:lineRule="auto"/>
              <w:jc w:val="center"/>
              <w:rPr>
                <w:kern w:val="20"/>
                <w:sz w:val="24"/>
              </w:rPr>
            </w:pPr>
            <w:r>
              <w:rPr>
                <w:kern w:val="20"/>
                <w:sz w:val="24"/>
              </w:rPr>
              <w:t>348</w:t>
            </w:r>
          </w:p>
        </w:tc>
      </w:tr>
      <w:tr w:rsidR="00000000">
        <w:tblPrEx>
          <w:tblCellMar>
            <w:top w:w="0" w:type="dxa"/>
            <w:bottom w:w="0" w:type="dxa"/>
          </w:tblCellMar>
        </w:tblPrEx>
        <w:trPr>
          <w:jc w:val="center"/>
        </w:trPr>
        <w:tc>
          <w:tcPr>
            <w:tcW w:w="916" w:type="dxa"/>
          </w:tcPr>
          <w:p w:rsidR="00000000" w:rsidRDefault="00000000">
            <w:pPr>
              <w:pStyle w:val="BodyText3"/>
              <w:spacing w:line="288" w:lineRule="auto"/>
              <w:jc w:val="center"/>
              <w:rPr>
                <w:kern w:val="20"/>
                <w:sz w:val="24"/>
              </w:rPr>
            </w:pPr>
            <w:r>
              <w:rPr>
                <w:kern w:val="20"/>
                <w:sz w:val="24"/>
              </w:rPr>
              <w:t>1998</w:t>
            </w:r>
          </w:p>
        </w:tc>
        <w:tc>
          <w:tcPr>
            <w:tcW w:w="2449" w:type="dxa"/>
          </w:tcPr>
          <w:p w:rsidR="00000000" w:rsidRDefault="00000000">
            <w:pPr>
              <w:pStyle w:val="BodyText3"/>
              <w:spacing w:line="288" w:lineRule="auto"/>
              <w:jc w:val="center"/>
              <w:rPr>
                <w:kern w:val="20"/>
                <w:sz w:val="24"/>
              </w:rPr>
            </w:pPr>
            <w:r>
              <w:rPr>
                <w:kern w:val="20"/>
                <w:sz w:val="24"/>
              </w:rPr>
              <w:t>2 400</w:t>
            </w:r>
          </w:p>
        </w:tc>
        <w:tc>
          <w:tcPr>
            <w:tcW w:w="3204" w:type="dxa"/>
          </w:tcPr>
          <w:p w:rsidR="00000000" w:rsidRDefault="00000000">
            <w:pPr>
              <w:pStyle w:val="BodyText3"/>
              <w:spacing w:line="288" w:lineRule="auto"/>
              <w:jc w:val="center"/>
              <w:rPr>
                <w:kern w:val="20"/>
                <w:sz w:val="24"/>
              </w:rPr>
            </w:pPr>
            <w:r>
              <w:rPr>
                <w:kern w:val="20"/>
                <w:sz w:val="24"/>
              </w:rPr>
              <w:t>414</w:t>
            </w:r>
          </w:p>
        </w:tc>
      </w:tr>
      <w:tr w:rsidR="00000000">
        <w:tblPrEx>
          <w:tblCellMar>
            <w:top w:w="0" w:type="dxa"/>
            <w:bottom w:w="0" w:type="dxa"/>
          </w:tblCellMar>
        </w:tblPrEx>
        <w:trPr>
          <w:jc w:val="center"/>
        </w:trPr>
        <w:tc>
          <w:tcPr>
            <w:tcW w:w="916" w:type="dxa"/>
          </w:tcPr>
          <w:p w:rsidR="00000000" w:rsidRDefault="00000000">
            <w:pPr>
              <w:pStyle w:val="BodyText3"/>
              <w:spacing w:line="288" w:lineRule="auto"/>
              <w:jc w:val="center"/>
              <w:rPr>
                <w:kern w:val="20"/>
                <w:sz w:val="24"/>
              </w:rPr>
            </w:pPr>
            <w:r>
              <w:rPr>
                <w:kern w:val="20"/>
                <w:sz w:val="24"/>
              </w:rPr>
              <w:t>1999</w:t>
            </w:r>
          </w:p>
        </w:tc>
        <w:tc>
          <w:tcPr>
            <w:tcW w:w="2449" w:type="dxa"/>
          </w:tcPr>
          <w:p w:rsidR="00000000" w:rsidRDefault="00000000">
            <w:pPr>
              <w:pStyle w:val="BodyText3"/>
              <w:spacing w:line="288" w:lineRule="auto"/>
              <w:jc w:val="center"/>
              <w:rPr>
                <w:kern w:val="20"/>
                <w:sz w:val="24"/>
              </w:rPr>
            </w:pPr>
            <w:r>
              <w:rPr>
                <w:kern w:val="20"/>
                <w:sz w:val="24"/>
              </w:rPr>
              <w:t>2 600</w:t>
            </w:r>
          </w:p>
        </w:tc>
        <w:tc>
          <w:tcPr>
            <w:tcW w:w="3204" w:type="dxa"/>
          </w:tcPr>
          <w:p w:rsidR="00000000" w:rsidRDefault="00000000">
            <w:pPr>
              <w:pStyle w:val="BodyText3"/>
              <w:spacing w:line="288" w:lineRule="auto"/>
              <w:jc w:val="center"/>
              <w:rPr>
                <w:kern w:val="20"/>
                <w:sz w:val="24"/>
              </w:rPr>
            </w:pPr>
            <w:r>
              <w:rPr>
                <w:kern w:val="20"/>
                <w:sz w:val="24"/>
              </w:rPr>
              <w:t>356</w:t>
            </w:r>
          </w:p>
        </w:tc>
      </w:tr>
    </w:tbl>
    <w:p w:rsidR="00000000" w:rsidRDefault="00000000">
      <w:pPr>
        <w:pStyle w:val="BodyText3"/>
        <w:spacing w:line="288" w:lineRule="auto"/>
        <w:jc w:val="left"/>
        <w:rPr>
          <w:bCs/>
          <w:spacing w:val="20"/>
          <w:kern w:val="16"/>
          <w:sz w:val="22"/>
          <w:lang w:val="ru-RU"/>
        </w:rPr>
      </w:pPr>
    </w:p>
    <w:p w:rsidR="00000000" w:rsidRDefault="00000000">
      <w:pPr>
        <w:rPr>
          <w:kern w:val="16"/>
        </w:rPr>
      </w:pPr>
      <w:r>
        <w:rPr>
          <w:kern w:val="16"/>
          <w:sz w:val="22"/>
        </w:rPr>
        <w:tab/>
      </w:r>
      <w:r>
        <w:rPr>
          <w:kern w:val="16"/>
          <w:sz w:val="22"/>
        </w:rPr>
        <w:tab/>
      </w:r>
      <w:r>
        <w:rPr>
          <w:kern w:val="16"/>
          <w:u w:val="single"/>
        </w:rPr>
        <w:t>Источник</w:t>
      </w:r>
      <w:r>
        <w:rPr>
          <w:kern w:val="16"/>
        </w:rPr>
        <w:t>:  Министерство труда и занятости.</w:t>
      </w:r>
    </w:p>
    <w:p w:rsidR="00000000" w:rsidRDefault="00000000">
      <w:pPr>
        <w:rPr>
          <w:kern w:val="16"/>
        </w:rPr>
      </w:pPr>
    </w:p>
    <w:p w:rsidR="00000000" w:rsidRDefault="00000000">
      <w:pPr>
        <w:rPr>
          <w:kern w:val="16"/>
        </w:rPr>
      </w:pPr>
    </w:p>
    <w:p w:rsidR="00000000" w:rsidRDefault="00000000">
      <w:pPr>
        <w:pStyle w:val="16"/>
        <w:rPr>
          <w:b/>
          <w:bCs/>
          <w:kern w:val="20"/>
        </w:rPr>
      </w:pPr>
      <w:r>
        <w:rPr>
          <w:b/>
          <w:bCs/>
          <w:kern w:val="20"/>
        </w:rPr>
        <w:br w:type="page"/>
        <w:t>Таблица 11.  Аграрные реформы:  распределение земель</w:t>
      </w:r>
    </w:p>
    <w:p w:rsidR="00000000" w:rsidRDefault="00000000">
      <w:pPr>
        <w:pStyle w:val="BodyText3"/>
        <w:spacing w:line="288" w:lineRule="auto"/>
        <w:jc w:val="center"/>
        <w:rPr>
          <w:b/>
          <w:spacing w:val="20"/>
          <w:kern w:val="20"/>
          <w:sz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929"/>
        <w:gridCol w:w="2426"/>
        <w:gridCol w:w="1791"/>
      </w:tblGrid>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lang w:val="ru-RU"/>
              </w:rPr>
            </w:pPr>
            <w:r>
              <w:rPr>
                <w:kern w:val="20"/>
                <w:sz w:val="24"/>
                <w:lang w:val="ru-RU"/>
              </w:rPr>
              <w:t>Год</w:t>
            </w:r>
          </w:p>
        </w:tc>
        <w:tc>
          <w:tcPr>
            <w:tcW w:w="2426" w:type="dxa"/>
          </w:tcPr>
          <w:p w:rsidR="00000000" w:rsidRDefault="00000000">
            <w:pPr>
              <w:pStyle w:val="BodyText3"/>
              <w:spacing w:line="288" w:lineRule="auto"/>
              <w:jc w:val="center"/>
              <w:rPr>
                <w:kern w:val="20"/>
                <w:sz w:val="24"/>
                <w:lang w:val="ru-RU"/>
              </w:rPr>
            </w:pPr>
            <w:r>
              <w:rPr>
                <w:kern w:val="20"/>
                <w:sz w:val="24"/>
                <w:lang w:val="ru-RU"/>
              </w:rPr>
              <w:t>Семьи, получившие земельные наделы</w:t>
            </w:r>
          </w:p>
        </w:tc>
        <w:tc>
          <w:tcPr>
            <w:tcW w:w="1791" w:type="dxa"/>
          </w:tcPr>
          <w:p w:rsidR="00000000" w:rsidRDefault="00000000">
            <w:pPr>
              <w:pStyle w:val="BodyText3"/>
              <w:spacing w:line="288" w:lineRule="auto"/>
              <w:jc w:val="center"/>
              <w:rPr>
                <w:kern w:val="20"/>
                <w:sz w:val="24"/>
                <w:lang w:val="ru-RU"/>
              </w:rPr>
            </w:pPr>
            <w:r>
              <w:rPr>
                <w:kern w:val="20"/>
                <w:sz w:val="24"/>
                <w:lang w:val="ru-RU"/>
              </w:rPr>
              <w:t>Проекты распределения земель</w:t>
            </w:r>
          </w:p>
        </w:tc>
      </w:tr>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rPr>
            </w:pPr>
            <w:r>
              <w:rPr>
                <w:kern w:val="20"/>
                <w:sz w:val="24"/>
              </w:rPr>
              <w:t>1995</w:t>
            </w:r>
          </w:p>
        </w:tc>
        <w:tc>
          <w:tcPr>
            <w:tcW w:w="2426"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42 827</w:t>
            </w:r>
          </w:p>
        </w:tc>
        <w:tc>
          <w:tcPr>
            <w:tcW w:w="1791"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314</w:t>
            </w:r>
          </w:p>
        </w:tc>
      </w:tr>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rPr>
            </w:pPr>
            <w:r>
              <w:rPr>
                <w:kern w:val="20"/>
                <w:sz w:val="24"/>
              </w:rPr>
              <w:t>1996</w:t>
            </w:r>
          </w:p>
        </w:tc>
        <w:tc>
          <w:tcPr>
            <w:tcW w:w="2426"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61 674</w:t>
            </w:r>
          </w:p>
        </w:tc>
        <w:tc>
          <w:tcPr>
            <w:tcW w:w="1791"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433</w:t>
            </w:r>
          </w:p>
        </w:tc>
      </w:tr>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rPr>
            </w:pPr>
            <w:r>
              <w:rPr>
                <w:kern w:val="20"/>
                <w:sz w:val="24"/>
              </w:rPr>
              <w:t>1997</w:t>
            </w:r>
          </w:p>
        </w:tc>
        <w:tc>
          <w:tcPr>
            <w:tcW w:w="2426"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81 944</w:t>
            </w:r>
          </w:p>
        </w:tc>
        <w:tc>
          <w:tcPr>
            <w:tcW w:w="1791"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637</w:t>
            </w:r>
          </w:p>
        </w:tc>
      </w:tr>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rPr>
            </w:pPr>
            <w:r>
              <w:rPr>
                <w:kern w:val="20"/>
                <w:sz w:val="24"/>
              </w:rPr>
              <w:t>1998</w:t>
            </w:r>
          </w:p>
        </w:tc>
        <w:tc>
          <w:tcPr>
            <w:tcW w:w="2426" w:type="dxa"/>
          </w:tcPr>
          <w:p w:rsidR="00000000" w:rsidRDefault="00000000">
            <w:pPr>
              <w:pStyle w:val="BodyText3"/>
              <w:spacing w:line="288" w:lineRule="auto"/>
              <w:jc w:val="center"/>
              <w:rPr>
                <w:kern w:val="20"/>
                <w:sz w:val="24"/>
              </w:rPr>
            </w:pPr>
            <w:r>
              <w:rPr>
                <w:kern w:val="20"/>
                <w:sz w:val="24"/>
              </w:rPr>
              <w:t>101 094</w:t>
            </w:r>
          </w:p>
        </w:tc>
        <w:tc>
          <w:tcPr>
            <w:tcW w:w="1791"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850</w:t>
            </w:r>
          </w:p>
        </w:tc>
      </w:tr>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rPr>
            </w:pPr>
            <w:r>
              <w:rPr>
                <w:kern w:val="20"/>
                <w:sz w:val="24"/>
              </w:rPr>
              <w:t>1999</w:t>
            </w:r>
          </w:p>
        </w:tc>
        <w:tc>
          <w:tcPr>
            <w:tcW w:w="2426"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85 327</w:t>
            </w:r>
          </w:p>
        </w:tc>
        <w:tc>
          <w:tcPr>
            <w:tcW w:w="1791" w:type="dxa"/>
          </w:tcPr>
          <w:p w:rsidR="00000000" w:rsidRDefault="00000000">
            <w:pPr>
              <w:pStyle w:val="BodyText3"/>
              <w:spacing w:line="288" w:lineRule="auto"/>
              <w:jc w:val="center"/>
              <w:rPr>
                <w:kern w:val="20"/>
                <w:sz w:val="24"/>
              </w:rPr>
            </w:pPr>
            <w:r>
              <w:rPr>
                <w:kern w:val="20"/>
                <w:sz w:val="24"/>
                <w:lang w:val="ru-RU"/>
              </w:rPr>
              <w:t xml:space="preserve">   </w:t>
            </w:r>
            <w:r>
              <w:rPr>
                <w:kern w:val="20"/>
                <w:sz w:val="24"/>
              </w:rPr>
              <w:t>489</w:t>
            </w:r>
          </w:p>
        </w:tc>
      </w:tr>
      <w:tr w:rsidR="00000000">
        <w:tblPrEx>
          <w:tblCellMar>
            <w:top w:w="0" w:type="dxa"/>
            <w:bottom w:w="0" w:type="dxa"/>
          </w:tblCellMar>
        </w:tblPrEx>
        <w:trPr>
          <w:jc w:val="center"/>
        </w:trPr>
        <w:tc>
          <w:tcPr>
            <w:tcW w:w="929" w:type="dxa"/>
          </w:tcPr>
          <w:p w:rsidR="00000000" w:rsidRDefault="00000000">
            <w:pPr>
              <w:pStyle w:val="BodyText3"/>
              <w:spacing w:line="288" w:lineRule="auto"/>
              <w:jc w:val="center"/>
              <w:rPr>
                <w:kern w:val="20"/>
                <w:sz w:val="24"/>
                <w:lang w:val="ru-RU"/>
              </w:rPr>
            </w:pPr>
            <w:r>
              <w:rPr>
                <w:kern w:val="20"/>
                <w:sz w:val="24"/>
                <w:lang w:val="ru-RU"/>
              </w:rPr>
              <w:t>ВСЕГО</w:t>
            </w:r>
          </w:p>
        </w:tc>
        <w:tc>
          <w:tcPr>
            <w:tcW w:w="2426" w:type="dxa"/>
          </w:tcPr>
          <w:p w:rsidR="00000000" w:rsidRDefault="00000000">
            <w:pPr>
              <w:pStyle w:val="BodyText3"/>
              <w:spacing w:line="288" w:lineRule="auto"/>
              <w:jc w:val="center"/>
              <w:rPr>
                <w:kern w:val="20"/>
                <w:sz w:val="24"/>
              </w:rPr>
            </w:pPr>
            <w:r>
              <w:rPr>
                <w:kern w:val="20"/>
                <w:sz w:val="24"/>
              </w:rPr>
              <w:t>372 866</w:t>
            </w:r>
          </w:p>
        </w:tc>
        <w:tc>
          <w:tcPr>
            <w:tcW w:w="1791" w:type="dxa"/>
          </w:tcPr>
          <w:p w:rsidR="00000000" w:rsidRDefault="00000000">
            <w:pPr>
              <w:pStyle w:val="BodyText3"/>
              <w:spacing w:line="288" w:lineRule="auto"/>
              <w:jc w:val="center"/>
              <w:rPr>
                <w:kern w:val="20"/>
                <w:sz w:val="24"/>
              </w:rPr>
            </w:pPr>
            <w:r>
              <w:rPr>
                <w:kern w:val="20"/>
                <w:sz w:val="24"/>
              </w:rPr>
              <w:t>2 723</w:t>
            </w:r>
          </w:p>
        </w:tc>
      </w:tr>
    </w:tbl>
    <w:p w:rsidR="00000000" w:rsidRDefault="00000000">
      <w:pPr>
        <w:pStyle w:val="BodyText3"/>
        <w:spacing w:line="288" w:lineRule="auto"/>
        <w:jc w:val="left"/>
        <w:rPr>
          <w:bCs/>
          <w:spacing w:val="20"/>
          <w:kern w:val="16"/>
          <w:sz w:val="22"/>
          <w:lang w:val="ru-RU"/>
        </w:rPr>
      </w:pPr>
      <w:r>
        <w:rPr>
          <w:bCs/>
          <w:spacing w:val="20"/>
          <w:kern w:val="16"/>
          <w:sz w:val="22"/>
          <w:lang w:val="ru-RU"/>
        </w:rPr>
        <w:tab/>
      </w:r>
    </w:p>
    <w:p w:rsidR="00000000" w:rsidRDefault="00000000">
      <w:pPr>
        <w:jc w:val="center"/>
        <w:rPr>
          <w:kern w:val="16"/>
        </w:rPr>
      </w:pPr>
      <w:r>
        <w:rPr>
          <w:kern w:val="16"/>
          <w:u w:val="single"/>
        </w:rPr>
        <w:t>Источник</w:t>
      </w:r>
      <w:r>
        <w:rPr>
          <w:kern w:val="16"/>
        </w:rPr>
        <w:t>:  Министерство сельского хозяйства.</w:t>
      </w:r>
    </w:p>
    <w:p w:rsidR="00000000" w:rsidRDefault="00000000">
      <w:pPr>
        <w:rPr>
          <w:kern w:val="16"/>
          <w:sz w:val="22"/>
        </w:rPr>
      </w:pPr>
    </w:p>
    <w:p w:rsidR="00000000" w:rsidRDefault="00000000">
      <w:pPr>
        <w:pStyle w:val="BodyText3"/>
        <w:spacing w:line="288" w:lineRule="auto"/>
        <w:jc w:val="left"/>
        <w:rPr>
          <w:bCs/>
          <w:spacing w:val="20"/>
          <w:kern w:val="16"/>
          <w:sz w:val="22"/>
          <w:lang w:val="ru-RU"/>
        </w:rPr>
      </w:pPr>
    </w:p>
    <w:p w:rsidR="00000000" w:rsidRDefault="00000000">
      <w:pPr>
        <w:pStyle w:val="16"/>
        <w:rPr>
          <w:b/>
          <w:bCs/>
          <w:kern w:val="2"/>
        </w:rPr>
      </w:pPr>
      <w:r>
        <w:rPr>
          <w:b/>
          <w:bCs/>
          <w:kern w:val="2"/>
        </w:rPr>
        <w:t>Таблица 12.  Аграрные реформы:  экспроприации</w:t>
      </w:r>
    </w:p>
    <w:p w:rsidR="00000000" w:rsidRDefault="00000000">
      <w:pPr>
        <w:pStyle w:val="BodyText3"/>
        <w:spacing w:line="288" w:lineRule="auto"/>
        <w:jc w:val="center"/>
        <w:rPr>
          <w:b/>
          <w:spacing w:val="20"/>
          <w:kern w:val="2"/>
          <w:sz w:val="24"/>
          <w:lang w:val="ru-RU"/>
        </w:rPr>
      </w:pPr>
    </w:p>
    <w:tbl>
      <w:tblPr>
        <w:tblW w:w="0" w:type="auto"/>
        <w:jc w:val="center"/>
        <w:tblInd w:w="-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387"/>
        <w:gridCol w:w="3658"/>
      </w:tblGrid>
      <w:tr w:rsidR="00000000">
        <w:tblPrEx>
          <w:tblCellMar>
            <w:top w:w="0" w:type="dxa"/>
            <w:bottom w:w="0" w:type="dxa"/>
          </w:tblCellMar>
        </w:tblPrEx>
        <w:trPr>
          <w:jc w:val="center"/>
        </w:trPr>
        <w:tc>
          <w:tcPr>
            <w:tcW w:w="1387" w:type="dxa"/>
          </w:tcPr>
          <w:p w:rsidR="00000000" w:rsidRDefault="00000000">
            <w:pPr>
              <w:pStyle w:val="BodyText3"/>
              <w:spacing w:line="288" w:lineRule="auto"/>
              <w:jc w:val="center"/>
              <w:rPr>
                <w:kern w:val="2"/>
                <w:sz w:val="24"/>
                <w:lang w:val="ru-RU"/>
              </w:rPr>
            </w:pPr>
            <w:r>
              <w:rPr>
                <w:kern w:val="2"/>
                <w:sz w:val="24"/>
                <w:lang w:val="ru-RU"/>
              </w:rPr>
              <w:t>Период</w:t>
            </w:r>
          </w:p>
        </w:tc>
        <w:tc>
          <w:tcPr>
            <w:tcW w:w="3658" w:type="dxa"/>
          </w:tcPr>
          <w:p w:rsidR="00000000" w:rsidRDefault="00000000">
            <w:pPr>
              <w:pStyle w:val="BodyText3"/>
              <w:spacing w:line="288" w:lineRule="auto"/>
              <w:jc w:val="center"/>
              <w:rPr>
                <w:kern w:val="2"/>
                <w:sz w:val="24"/>
                <w:lang w:val="ru-RU"/>
              </w:rPr>
            </w:pPr>
            <w:r>
              <w:rPr>
                <w:kern w:val="2"/>
                <w:sz w:val="24"/>
                <w:lang w:val="ru-RU"/>
              </w:rPr>
              <w:t>Площадь экспроприированных земель в гектарах</w:t>
            </w:r>
          </w:p>
        </w:tc>
      </w:tr>
      <w:tr w:rsidR="00000000">
        <w:tblPrEx>
          <w:tblCellMar>
            <w:top w:w="0" w:type="dxa"/>
            <w:bottom w:w="0" w:type="dxa"/>
          </w:tblCellMar>
        </w:tblPrEx>
        <w:trPr>
          <w:jc w:val="center"/>
        </w:trPr>
        <w:tc>
          <w:tcPr>
            <w:tcW w:w="1387" w:type="dxa"/>
          </w:tcPr>
          <w:p w:rsidR="00000000" w:rsidRDefault="00000000">
            <w:pPr>
              <w:pStyle w:val="BodyText3"/>
              <w:spacing w:line="288" w:lineRule="auto"/>
              <w:jc w:val="center"/>
              <w:rPr>
                <w:kern w:val="2"/>
                <w:sz w:val="24"/>
              </w:rPr>
            </w:pPr>
            <w:r>
              <w:rPr>
                <w:kern w:val="2"/>
                <w:sz w:val="24"/>
              </w:rPr>
              <w:t>1985/89</w:t>
            </w:r>
          </w:p>
        </w:tc>
        <w:tc>
          <w:tcPr>
            <w:tcW w:w="3658" w:type="dxa"/>
          </w:tcPr>
          <w:p w:rsidR="00000000" w:rsidRDefault="00000000">
            <w:pPr>
              <w:pStyle w:val="BodyText3"/>
              <w:spacing w:line="288" w:lineRule="auto"/>
              <w:jc w:val="center"/>
              <w:rPr>
                <w:kern w:val="2"/>
                <w:sz w:val="24"/>
              </w:rPr>
            </w:pPr>
            <w:r>
              <w:rPr>
                <w:kern w:val="2"/>
                <w:sz w:val="24"/>
              </w:rPr>
              <w:t>4 191 147</w:t>
            </w:r>
          </w:p>
        </w:tc>
      </w:tr>
      <w:tr w:rsidR="00000000">
        <w:tblPrEx>
          <w:tblCellMar>
            <w:top w:w="0" w:type="dxa"/>
            <w:bottom w:w="0" w:type="dxa"/>
          </w:tblCellMar>
        </w:tblPrEx>
        <w:trPr>
          <w:jc w:val="center"/>
        </w:trPr>
        <w:tc>
          <w:tcPr>
            <w:tcW w:w="1387" w:type="dxa"/>
          </w:tcPr>
          <w:p w:rsidR="00000000" w:rsidRDefault="00000000">
            <w:pPr>
              <w:pStyle w:val="BodyText3"/>
              <w:spacing w:line="288" w:lineRule="auto"/>
              <w:jc w:val="center"/>
              <w:rPr>
                <w:kern w:val="2"/>
                <w:sz w:val="24"/>
              </w:rPr>
            </w:pPr>
            <w:r>
              <w:rPr>
                <w:kern w:val="2"/>
                <w:sz w:val="24"/>
              </w:rPr>
              <w:t>1990/93</w:t>
            </w:r>
          </w:p>
        </w:tc>
        <w:tc>
          <w:tcPr>
            <w:tcW w:w="3658" w:type="dxa"/>
          </w:tcPr>
          <w:p w:rsidR="00000000" w:rsidRDefault="00000000">
            <w:pPr>
              <w:pStyle w:val="BodyText3"/>
              <w:spacing w:line="288" w:lineRule="auto"/>
              <w:jc w:val="center"/>
              <w:rPr>
                <w:kern w:val="2"/>
                <w:sz w:val="24"/>
              </w:rPr>
            </w:pPr>
            <w:r>
              <w:rPr>
                <w:kern w:val="2"/>
                <w:sz w:val="24"/>
              </w:rPr>
              <w:t>2 775 282</w:t>
            </w:r>
          </w:p>
        </w:tc>
      </w:tr>
      <w:tr w:rsidR="00000000">
        <w:tblPrEx>
          <w:tblCellMar>
            <w:top w:w="0" w:type="dxa"/>
            <w:bottom w:w="0" w:type="dxa"/>
          </w:tblCellMar>
        </w:tblPrEx>
        <w:trPr>
          <w:jc w:val="center"/>
        </w:trPr>
        <w:tc>
          <w:tcPr>
            <w:tcW w:w="1387" w:type="dxa"/>
          </w:tcPr>
          <w:p w:rsidR="00000000" w:rsidRDefault="00000000">
            <w:pPr>
              <w:pStyle w:val="BodyText3"/>
              <w:spacing w:line="288" w:lineRule="auto"/>
              <w:jc w:val="center"/>
              <w:rPr>
                <w:kern w:val="2"/>
                <w:sz w:val="24"/>
              </w:rPr>
            </w:pPr>
            <w:r>
              <w:rPr>
                <w:kern w:val="2"/>
                <w:sz w:val="24"/>
              </w:rPr>
              <w:t>1993/94</w:t>
            </w:r>
          </w:p>
        </w:tc>
        <w:tc>
          <w:tcPr>
            <w:tcW w:w="3658" w:type="dxa"/>
          </w:tcPr>
          <w:p w:rsidR="00000000" w:rsidRDefault="00000000">
            <w:pPr>
              <w:pStyle w:val="BodyText3"/>
              <w:spacing w:line="288" w:lineRule="auto"/>
              <w:jc w:val="center"/>
              <w:rPr>
                <w:kern w:val="2"/>
                <w:sz w:val="24"/>
              </w:rPr>
            </w:pPr>
            <w:r>
              <w:rPr>
                <w:kern w:val="2"/>
                <w:sz w:val="24"/>
              </w:rPr>
              <w:t>1 086 546</w:t>
            </w:r>
          </w:p>
        </w:tc>
      </w:tr>
      <w:tr w:rsidR="00000000">
        <w:tblPrEx>
          <w:tblCellMar>
            <w:top w:w="0" w:type="dxa"/>
            <w:bottom w:w="0" w:type="dxa"/>
          </w:tblCellMar>
        </w:tblPrEx>
        <w:trPr>
          <w:jc w:val="center"/>
        </w:trPr>
        <w:tc>
          <w:tcPr>
            <w:tcW w:w="1387" w:type="dxa"/>
          </w:tcPr>
          <w:p w:rsidR="00000000" w:rsidRDefault="00000000">
            <w:pPr>
              <w:pStyle w:val="BodyText3"/>
              <w:spacing w:line="288" w:lineRule="auto"/>
              <w:jc w:val="center"/>
              <w:rPr>
                <w:kern w:val="2"/>
                <w:sz w:val="24"/>
              </w:rPr>
            </w:pPr>
            <w:r>
              <w:rPr>
                <w:kern w:val="2"/>
                <w:sz w:val="24"/>
              </w:rPr>
              <w:t>1995/98</w:t>
            </w:r>
          </w:p>
        </w:tc>
        <w:tc>
          <w:tcPr>
            <w:tcW w:w="3658" w:type="dxa"/>
          </w:tcPr>
          <w:p w:rsidR="00000000" w:rsidRDefault="00000000">
            <w:pPr>
              <w:pStyle w:val="BodyText3"/>
              <w:spacing w:line="288" w:lineRule="auto"/>
              <w:jc w:val="center"/>
              <w:rPr>
                <w:kern w:val="2"/>
                <w:sz w:val="24"/>
              </w:rPr>
            </w:pPr>
            <w:r>
              <w:rPr>
                <w:kern w:val="2"/>
                <w:sz w:val="24"/>
              </w:rPr>
              <w:t>7 321 270</w:t>
            </w:r>
          </w:p>
        </w:tc>
      </w:tr>
      <w:tr w:rsidR="00000000">
        <w:tblPrEx>
          <w:tblCellMar>
            <w:top w:w="0" w:type="dxa"/>
            <w:bottom w:w="0" w:type="dxa"/>
          </w:tblCellMar>
        </w:tblPrEx>
        <w:trPr>
          <w:jc w:val="center"/>
        </w:trPr>
        <w:tc>
          <w:tcPr>
            <w:tcW w:w="1387" w:type="dxa"/>
          </w:tcPr>
          <w:p w:rsidR="00000000" w:rsidRDefault="00000000">
            <w:pPr>
              <w:pStyle w:val="BodyText3"/>
              <w:spacing w:line="288" w:lineRule="auto"/>
              <w:jc w:val="center"/>
              <w:rPr>
                <w:kern w:val="2"/>
                <w:sz w:val="24"/>
              </w:rPr>
            </w:pPr>
            <w:r>
              <w:rPr>
                <w:kern w:val="2"/>
                <w:sz w:val="24"/>
              </w:rPr>
              <w:t>1999</w:t>
            </w:r>
          </w:p>
        </w:tc>
        <w:tc>
          <w:tcPr>
            <w:tcW w:w="3658" w:type="dxa"/>
          </w:tcPr>
          <w:p w:rsidR="00000000" w:rsidRDefault="00000000">
            <w:pPr>
              <w:pStyle w:val="BodyText3"/>
              <w:spacing w:line="288" w:lineRule="auto"/>
              <w:jc w:val="center"/>
              <w:rPr>
                <w:kern w:val="2"/>
                <w:sz w:val="24"/>
              </w:rPr>
            </w:pPr>
            <w:r>
              <w:rPr>
                <w:kern w:val="2"/>
                <w:sz w:val="24"/>
              </w:rPr>
              <w:t>1</w:t>
            </w:r>
            <w:r>
              <w:rPr>
                <w:kern w:val="2"/>
                <w:sz w:val="24"/>
                <w:lang w:val="ru-RU"/>
              </w:rPr>
              <w:t xml:space="preserve"> </w:t>
            </w:r>
            <w:r>
              <w:rPr>
                <w:kern w:val="2"/>
                <w:sz w:val="24"/>
              </w:rPr>
              <w:t>463</w:t>
            </w:r>
            <w:r>
              <w:rPr>
                <w:kern w:val="2"/>
                <w:sz w:val="24"/>
                <w:lang w:val="ru-RU"/>
              </w:rPr>
              <w:t xml:space="preserve"> </w:t>
            </w:r>
            <w:r>
              <w:rPr>
                <w:kern w:val="2"/>
                <w:sz w:val="24"/>
              </w:rPr>
              <w:t>844</w:t>
            </w:r>
          </w:p>
        </w:tc>
      </w:tr>
    </w:tbl>
    <w:p w:rsidR="00000000" w:rsidRDefault="00000000">
      <w:pPr>
        <w:pStyle w:val="BodyText3"/>
        <w:spacing w:line="288" w:lineRule="auto"/>
        <w:jc w:val="left"/>
        <w:rPr>
          <w:bCs/>
          <w:spacing w:val="20"/>
          <w:kern w:val="16"/>
          <w:sz w:val="22"/>
          <w:lang w:val="ru-RU"/>
        </w:rPr>
      </w:pPr>
      <w:r>
        <w:rPr>
          <w:bCs/>
          <w:spacing w:val="20"/>
          <w:kern w:val="16"/>
          <w:sz w:val="22"/>
          <w:lang w:val="ru-RU"/>
        </w:rPr>
        <w:tab/>
      </w:r>
    </w:p>
    <w:p w:rsidR="00000000" w:rsidRDefault="00000000">
      <w:pPr>
        <w:jc w:val="center"/>
        <w:rPr>
          <w:kern w:val="16"/>
        </w:rPr>
      </w:pPr>
      <w:r>
        <w:rPr>
          <w:kern w:val="16"/>
          <w:u w:val="single"/>
        </w:rPr>
        <w:t>Источник</w:t>
      </w:r>
      <w:r>
        <w:rPr>
          <w:kern w:val="16"/>
        </w:rPr>
        <w:t>:  Министерство сельского хозяйства.</w:t>
      </w:r>
    </w:p>
    <w:p w:rsidR="00000000" w:rsidRDefault="00000000">
      <w:pPr>
        <w:jc w:val="center"/>
        <w:rPr>
          <w:kern w:val="16"/>
        </w:rPr>
      </w:pPr>
    </w:p>
    <w:p w:rsidR="00000000" w:rsidRDefault="00000000"/>
    <w:p w:rsidR="00000000" w:rsidRDefault="00000000">
      <w:pPr>
        <w:pStyle w:val="16"/>
        <w:rPr>
          <w:b/>
          <w:bCs/>
        </w:rPr>
      </w:pPr>
      <w:r>
        <w:rPr>
          <w:b/>
          <w:bCs/>
        </w:rPr>
        <w:t>Таблица 13.  Начальное образование (1-8 классы):  число зарегистрированных учащихся (в тысячах)</w:t>
      </w:r>
    </w:p>
    <w:p w:rsidR="00000000" w:rsidRDefault="00000000">
      <w:pPr>
        <w:pStyle w:val="16"/>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305"/>
        <w:gridCol w:w="1498"/>
        <w:gridCol w:w="1697"/>
        <w:gridCol w:w="1110"/>
      </w:tblGrid>
      <w:tr w:rsidR="00000000">
        <w:tblPrEx>
          <w:tblCellMar>
            <w:top w:w="0" w:type="dxa"/>
            <w:bottom w:w="0" w:type="dxa"/>
          </w:tblCellMar>
        </w:tblPrEx>
        <w:trPr>
          <w:jc w:val="center"/>
        </w:trPr>
        <w:tc>
          <w:tcPr>
            <w:tcW w:w="1305" w:type="dxa"/>
          </w:tcPr>
          <w:p w:rsidR="00000000" w:rsidRDefault="00000000">
            <w:pPr>
              <w:pStyle w:val="BodyText3"/>
              <w:spacing w:line="288" w:lineRule="auto"/>
              <w:jc w:val="center"/>
              <w:rPr>
                <w:kern w:val="2"/>
                <w:sz w:val="24"/>
                <w:lang w:val="ru-RU"/>
              </w:rPr>
            </w:pPr>
            <w:r>
              <w:rPr>
                <w:kern w:val="2"/>
                <w:sz w:val="24"/>
                <w:lang w:val="ru-RU"/>
              </w:rPr>
              <w:t>Год</w:t>
            </w:r>
          </w:p>
        </w:tc>
        <w:tc>
          <w:tcPr>
            <w:tcW w:w="1498" w:type="dxa"/>
          </w:tcPr>
          <w:p w:rsidR="00000000" w:rsidRDefault="00000000">
            <w:pPr>
              <w:pStyle w:val="BodyText3"/>
              <w:spacing w:line="288" w:lineRule="auto"/>
              <w:jc w:val="center"/>
              <w:rPr>
                <w:kern w:val="2"/>
                <w:sz w:val="24"/>
                <w:lang w:val="ru-RU"/>
              </w:rPr>
            </w:pPr>
            <w:r>
              <w:rPr>
                <w:kern w:val="2"/>
                <w:sz w:val="24"/>
                <w:lang w:val="ru-RU"/>
              </w:rPr>
              <w:t>1-4 классы</w:t>
            </w:r>
          </w:p>
        </w:tc>
        <w:tc>
          <w:tcPr>
            <w:tcW w:w="1697" w:type="dxa"/>
          </w:tcPr>
          <w:p w:rsidR="00000000" w:rsidRDefault="00000000">
            <w:pPr>
              <w:pStyle w:val="BodyText3"/>
              <w:spacing w:line="288" w:lineRule="auto"/>
              <w:jc w:val="center"/>
              <w:rPr>
                <w:kern w:val="2"/>
                <w:sz w:val="24"/>
                <w:lang w:val="ru-RU"/>
              </w:rPr>
            </w:pPr>
            <w:r>
              <w:rPr>
                <w:kern w:val="2"/>
                <w:sz w:val="24"/>
                <w:lang w:val="ru-RU"/>
              </w:rPr>
              <w:t>5-8 классы</w:t>
            </w:r>
          </w:p>
        </w:tc>
        <w:tc>
          <w:tcPr>
            <w:tcW w:w="1110" w:type="dxa"/>
          </w:tcPr>
          <w:p w:rsidR="00000000" w:rsidRDefault="00000000">
            <w:pPr>
              <w:pStyle w:val="BodyText3"/>
              <w:spacing w:line="288" w:lineRule="auto"/>
              <w:jc w:val="center"/>
              <w:rPr>
                <w:kern w:val="2"/>
                <w:sz w:val="24"/>
                <w:lang w:val="ru-RU"/>
              </w:rPr>
            </w:pPr>
            <w:r>
              <w:rPr>
                <w:kern w:val="2"/>
                <w:sz w:val="24"/>
                <w:lang w:val="ru-RU"/>
              </w:rPr>
              <w:t>Всего</w:t>
            </w:r>
          </w:p>
        </w:tc>
      </w:tr>
      <w:tr w:rsidR="00000000">
        <w:tblPrEx>
          <w:tblCellMar>
            <w:top w:w="0" w:type="dxa"/>
            <w:bottom w:w="0" w:type="dxa"/>
          </w:tblCellMar>
        </w:tblPrEx>
        <w:trPr>
          <w:jc w:val="center"/>
        </w:trPr>
        <w:tc>
          <w:tcPr>
            <w:tcW w:w="1305" w:type="dxa"/>
          </w:tcPr>
          <w:p w:rsidR="00000000" w:rsidRDefault="00000000">
            <w:pPr>
              <w:pStyle w:val="BodyText3"/>
              <w:spacing w:line="288" w:lineRule="auto"/>
              <w:jc w:val="center"/>
              <w:rPr>
                <w:kern w:val="2"/>
                <w:sz w:val="24"/>
              </w:rPr>
            </w:pPr>
            <w:r>
              <w:rPr>
                <w:kern w:val="2"/>
                <w:sz w:val="24"/>
              </w:rPr>
              <w:t>1996</w:t>
            </w:r>
          </w:p>
        </w:tc>
        <w:tc>
          <w:tcPr>
            <w:tcW w:w="1498" w:type="dxa"/>
          </w:tcPr>
          <w:p w:rsidR="00000000" w:rsidRDefault="00000000">
            <w:pPr>
              <w:pStyle w:val="BodyText3"/>
              <w:spacing w:line="288" w:lineRule="auto"/>
              <w:jc w:val="center"/>
              <w:rPr>
                <w:kern w:val="2"/>
                <w:sz w:val="24"/>
              </w:rPr>
            </w:pPr>
            <w:r>
              <w:rPr>
                <w:kern w:val="2"/>
                <w:sz w:val="24"/>
              </w:rPr>
              <w:t>20</w:t>
            </w:r>
            <w:r>
              <w:rPr>
                <w:kern w:val="2"/>
                <w:sz w:val="24"/>
                <w:lang w:val="ru-RU"/>
              </w:rPr>
              <w:t xml:space="preserve"> </w:t>
            </w:r>
            <w:r>
              <w:rPr>
                <w:kern w:val="2"/>
                <w:sz w:val="24"/>
              </w:rPr>
              <w:t>027</w:t>
            </w:r>
          </w:p>
        </w:tc>
        <w:tc>
          <w:tcPr>
            <w:tcW w:w="1697" w:type="dxa"/>
          </w:tcPr>
          <w:p w:rsidR="00000000" w:rsidRDefault="00000000">
            <w:pPr>
              <w:pStyle w:val="BodyText3"/>
              <w:spacing w:line="288" w:lineRule="auto"/>
              <w:jc w:val="center"/>
              <w:rPr>
                <w:kern w:val="2"/>
                <w:sz w:val="24"/>
              </w:rPr>
            </w:pPr>
            <w:r>
              <w:rPr>
                <w:kern w:val="2"/>
                <w:sz w:val="24"/>
              </w:rPr>
              <w:t>13</w:t>
            </w:r>
            <w:r>
              <w:rPr>
                <w:kern w:val="2"/>
                <w:sz w:val="24"/>
                <w:lang w:val="ru-RU"/>
              </w:rPr>
              <w:t xml:space="preserve"> </w:t>
            </w:r>
            <w:r>
              <w:rPr>
                <w:kern w:val="2"/>
                <w:sz w:val="24"/>
              </w:rPr>
              <w:t>104</w:t>
            </w:r>
          </w:p>
        </w:tc>
        <w:tc>
          <w:tcPr>
            <w:tcW w:w="1110" w:type="dxa"/>
          </w:tcPr>
          <w:p w:rsidR="00000000" w:rsidRDefault="00000000">
            <w:pPr>
              <w:pStyle w:val="BodyText3"/>
              <w:spacing w:line="288" w:lineRule="auto"/>
              <w:jc w:val="center"/>
              <w:rPr>
                <w:kern w:val="2"/>
                <w:sz w:val="24"/>
              </w:rPr>
            </w:pPr>
            <w:r>
              <w:rPr>
                <w:kern w:val="2"/>
                <w:sz w:val="24"/>
              </w:rPr>
              <w:t>33</w:t>
            </w:r>
            <w:r>
              <w:rPr>
                <w:kern w:val="2"/>
                <w:sz w:val="24"/>
                <w:lang w:val="ru-RU"/>
              </w:rPr>
              <w:t xml:space="preserve"> </w:t>
            </w:r>
            <w:r>
              <w:rPr>
                <w:kern w:val="2"/>
                <w:sz w:val="24"/>
              </w:rPr>
              <w:t>131</w:t>
            </w:r>
          </w:p>
        </w:tc>
      </w:tr>
      <w:tr w:rsidR="00000000">
        <w:tblPrEx>
          <w:tblCellMar>
            <w:top w:w="0" w:type="dxa"/>
            <w:bottom w:w="0" w:type="dxa"/>
          </w:tblCellMar>
        </w:tblPrEx>
        <w:trPr>
          <w:jc w:val="center"/>
        </w:trPr>
        <w:tc>
          <w:tcPr>
            <w:tcW w:w="1305" w:type="dxa"/>
          </w:tcPr>
          <w:p w:rsidR="00000000" w:rsidRDefault="00000000">
            <w:pPr>
              <w:pStyle w:val="BodyText3"/>
              <w:spacing w:line="288" w:lineRule="auto"/>
              <w:jc w:val="center"/>
              <w:rPr>
                <w:kern w:val="2"/>
                <w:sz w:val="24"/>
              </w:rPr>
            </w:pPr>
            <w:r>
              <w:rPr>
                <w:kern w:val="2"/>
                <w:sz w:val="24"/>
              </w:rPr>
              <w:t>1997</w:t>
            </w:r>
          </w:p>
        </w:tc>
        <w:tc>
          <w:tcPr>
            <w:tcW w:w="1498" w:type="dxa"/>
          </w:tcPr>
          <w:p w:rsidR="00000000" w:rsidRDefault="00000000">
            <w:pPr>
              <w:pStyle w:val="BodyText3"/>
              <w:spacing w:line="288" w:lineRule="auto"/>
              <w:jc w:val="center"/>
              <w:rPr>
                <w:kern w:val="2"/>
                <w:sz w:val="24"/>
              </w:rPr>
            </w:pPr>
            <w:r>
              <w:rPr>
                <w:kern w:val="2"/>
                <w:sz w:val="24"/>
              </w:rPr>
              <w:t>20</w:t>
            </w:r>
            <w:r>
              <w:rPr>
                <w:kern w:val="2"/>
                <w:sz w:val="24"/>
                <w:lang w:val="ru-RU"/>
              </w:rPr>
              <w:t xml:space="preserve"> </w:t>
            </w:r>
            <w:r>
              <w:rPr>
                <w:kern w:val="2"/>
                <w:sz w:val="24"/>
              </w:rPr>
              <w:t>568</w:t>
            </w:r>
          </w:p>
        </w:tc>
        <w:tc>
          <w:tcPr>
            <w:tcW w:w="1697" w:type="dxa"/>
          </w:tcPr>
          <w:p w:rsidR="00000000" w:rsidRDefault="00000000">
            <w:pPr>
              <w:pStyle w:val="BodyText3"/>
              <w:spacing w:line="288" w:lineRule="auto"/>
              <w:jc w:val="center"/>
              <w:rPr>
                <w:kern w:val="2"/>
                <w:sz w:val="24"/>
              </w:rPr>
            </w:pPr>
            <w:r>
              <w:rPr>
                <w:kern w:val="2"/>
                <w:sz w:val="24"/>
              </w:rPr>
              <w:t>13</w:t>
            </w:r>
            <w:r>
              <w:rPr>
                <w:kern w:val="2"/>
                <w:sz w:val="24"/>
                <w:lang w:val="ru-RU"/>
              </w:rPr>
              <w:t xml:space="preserve"> </w:t>
            </w:r>
            <w:r>
              <w:rPr>
                <w:kern w:val="2"/>
                <w:sz w:val="24"/>
              </w:rPr>
              <w:t>661</w:t>
            </w:r>
          </w:p>
        </w:tc>
        <w:tc>
          <w:tcPr>
            <w:tcW w:w="1110" w:type="dxa"/>
          </w:tcPr>
          <w:p w:rsidR="00000000" w:rsidRDefault="00000000">
            <w:pPr>
              <w:pStyle w:val="BodyText3"/>
              <w:spacing w:line="288" w:lineRule="auto"/>
              <w:jc w:val="center"/>
              <w:rPr>
                <w:kern w:val="2"/>
                <w:sz w:val="24"/>
              </w:rPr>
            </w:pPr>
            <w:r>
              <w:rPr>
                <w:kern w:val="2"/>
                <w:sz w:val="24"/>
              </w:rPr>
              <w:t>34</w:t>
            </w:r>
            <w:r>
              <w:rPr>
                <w:kern w:val="2"/>
                <w:sz w:val="24"/>
                <w:lang w:val="ru-RU"/>
              </w:rPr>
              <w:t xml:space="preserve"> </w:t>
            </w:r>
            <w:r>
              <w:rPr>
                <w:kern w:val="2"/>
                <w:sz w:val="24"/>
              </w:rPr>
              <w:t>229</w:t>
            </w:r>
          </w:p>
        </w:tc>
      </w:tr>
      <w:tr w:rsidR="00000000">
        <w:tblPrEx>
          <w:tblCellMar>
            <w:top w:w="0" w:type="dxa"/>
            <w:bottom w:w="0" w:type="dxa"/>
          </w:tblCellMar>
        </w:tblPrEx>
        <w:trPr>
          <w:jc w:val="center"/>
        </w:trPr>
        <w:tc>
          <w:tcPr>
            <w:tcW w:w="1305" w:type="dxa"/>
          </w:tcPr>
          <w:p w:rsidR="00000000" w:rsidRDefault="00000000">
            <w:pPr>
              <w:pStyle w:val="BodyText3"/>
              <w:spacing w:line="288" w:lineRule="auto"/>
              <w:jc w:val="center"/>
              <w:rPr>
                <w:kern w:val="2"/>
                <w:sz w:val="24"/>
              </w:rPr>
            </w:pPr>
            <w:r>
              <w:rPr>
                <w:kern w:val="2"/>
                <w:sz w:val="24"/>
              </w:rPr>
              <w:t>1998</w:t>
            </w:r>
          </w:p>
        </w:tc>
        <w:tc>
          <w:tcPr>
            <w:tcW w:w="1498" w:type="dxa"/>
          </w:tcPr>
          <w:p w:rsidR="00000000" w:rsidRDefault="00000000">
            <w:pPr>
              <w:pStyle w:val="BodyText3"/>
              <w:spacing w:line="288" w:lineRule="auto"/>
              <w:jc w:val="center"/>
              <w:rPr>
                <w:kern w:val="2"/>
                <w:sz w:val="24"/>
              </w:rPr>
            </w:pPr>
            <w:r>
              <w:rPr>
                <w:kern w:val="2"/>
                <w:sz w:val="24"/>
              </w:rPr>
              <w:t>21</w:t>
            </w:r>
            <w:r>
              <w:rPr>
                <w:kern w:val="2"/>
                <w:sz w:val="24"/>
                <w:lang w:val="ru-RU"/>
              </w:rPr>
              <w:t xml:space="preserve"> </w:t>
            </w:r>
            <w:r>
              <w:rPr>
                <w:kern w:val="2"/>
                <w:sz w:val="24"/>
              </w:rPr>
              <w:t>333</w:t>
            </w:r>
          </w:p>
        </w:tc>
        <w:tc>
          <w:tcPr>
            <w:tcW w:w="1697" w:type="dxa"/>
          </w:tcPr>
          <w:p w:rsidR="00000000" w:rsidRDefault="00000000">
            <w:pPr>
              <w:pStyle w:val="BodyText3"/>
              <w:spacing w:line="288" w:lineRule="auto"/>
              <w:jc w:val="center"/>
              <w:rPr>
                <w:kern w:val="2"/>
                <w:sz w:val="24"/>
              </w:rPr>
            </w:pPr>
            <w:r>
              <w:rPr>
                <w:kern w:val="2"/>
                <w:sz w:val="24"/>
              </w:rPr>
              <w:t>14</w:t>
            </w:r>
            <w:r>
              <w:rPr>
                <w:kern w:val="2"/>
                <w:sz w:val="24"/>
                <w:lang w:val="ru-RU"/>
              </w:rPr>
              <w:t xml:space="preserve"> </w:t>
            </w:r>
            <w:r>
              <w:rPr>
                <w:kern w:val="2"/>
                <w:sz w:val="24"/>
              </w:rPr>
              <w:t>459</w:t>
            </w:r>
          </w:p>
        </w:tc>
        <w:tc>
          <w:tcPr>
            <w:tcW w:w="1110" w:type="dxa"/>
          </w:tcPr>
          <w:p w:rsidR="00000000" w:rsidRDefault="00000000">
            <w:pPr>
              <w:pStyle w:val="BodyText3"/>
              <w:spacing w:line="288" w:lineRule="auto"/>
              <w:jc w:val="center"/>
              <w:rPr>
                <w:kern w:val="2"/>
                <w:sz w:val="24"/>
              </w:rPr>
            </w:pPr>
            <w:r>
              <w:rPr>
                <w:kern w:val="2"/>
                <w:sz w:val="24"/>
              </w:rPr>
              <w:t>35</w:t>
            </w:r>
            <w:r>
              <w:rPr>
                <w:kern w:val="2"/>
                <w:sz w:val="24"/>
                <w:lang w:val="ru-RU"/>
              </w:rPr>
              <w:t xml:space="preserve"> </w:t>
            </w:r>
            <w:r>
              <w:rPr>
                <w:kern w:val="2"/>
                <w:sz w:val="24"/>
              </w:rPr>
              <w:t>793</w:t>
            </w:r>
          </w:p>
        </w:tc>
      </w:tr>
      <w:tr w:rsidR="00000000">
        <w:tblPrEx>
          <w:tblCellMar>
            <w:top w:w="0" w:type="dxa"/>
            <w:bottom w:w="0" w:type="dxa"/>
          </w:tblCellMar>
        </w:tblPrEx>
        <w:trPr>
          <w:jc w:val="center"/>
        </w:trPr>
        <w:tc>
          <w:tcPr>
            <w:tcW w:w="1305" w:type="dxa"/>
          </w:tcPr>
          <w:p w:rsidR="00000000" w:rsidRDefault="00000000">
            <w:pPr>
              <w:pStyle w:val="BodyText3"/>
              <w:spacing w:line="288" w:lineRule="auto"/>
              <w:jc w:val="center"/>
              <w:rPr>
                <w:kern w:val="2"/>
                <w:sz w:val="24"/>
              </w:rPr>
            </w:pPr>
            <w:r>
              <w:rPr>
                <w:kern w:val="2"/>
                <w:sz w:val="24"/>
              </w:rPr>
              <w:t>1999</w:t>
            </w:r>
          </w:p>
        </w:tc>
        <w:tc>
          <w:tcPr>
            <w:tcW w:w="1498" w:type="dxa"/>
          </w:tcPr>
          <w:p w:rsidR="00000000" w:rsidRDefault="00000000">
            <w:pPr>
              <w:pStyle w:val="BodyText3"/>
              <w:spacing w:line="288" w:lineRule="auto"/>
              <w:jc w:val="center"/>
              <w:rPr>
                <w:kern w:val="2"/>
                <w:sz w:val="24"/>
              </w:rPr>
            </w:pPr>
            <w:r>
              <w:rPr>
                <w:kern w:val="2"/>
                <w:sz w:val="24"/>
              </w:rPr>
              <w:t>21 014</w:t>
            </w:r>
          </w:p>
        </w:tc>
        <w:tc>
          <w:tcPr>
            <w:tcW w:w="1697" w:type="dxa"/>
          </w:tcPr>
          <w:p w:rsidR="00000000" w:rsidRDefault="00000000">
            <w:pPr>
              <w:pStyle w:val="BodyText3"/>
              <w:spacing w:line="288" w:lineRule="auto"/>
              <w:jc w:val="center"/>
              <w:rPr>
                <w:kern w:val="2"/>
                <w:sz w:val="24"/>
              </w:rPr>
            </w:pPr>
            <w:r>
              <w:rPr>
                <w:kern w:val="2"/>
                <w:sz w:val="24"/>
              </w:rPr>
              <w:t>15 157</w:t>
            </w:r>
          </w:p>
        </w:tc>
        <w:tc>
          <w:tcPr>
            <w:tcW w:w="1110" w:type="dxa"/>
          </w:tcPr>
          <w:p w:rsidR="00000000" w:rsidRDefault="00000000">
            <w:pPr>
              <w:pStyle w:val="BodyText3"/>
              <w:spacing w:line="288" w:lineRule="auto"/>
              <w:jc w:val="center"/>
              <w:rPr>
                <w:kern w:val="2"/>
                <w:sz w:val="24"/>
              </w:rPr>
            </w:pPr>
            <w:r>
              <w:rPr>
                <w:kern w:val="2"/>
                <w:sz w:val="24"/>
              </w:rPr>
              <w:t>36 171</w:t>
            </w:r>
          </w:p>
        </w:tc>
      </w:tr>
    </w:tbl>
    <w:p w:rsidR="00000000" w:rsidRDefault="00000000">
      <w:pPr>
        <w:pStyle w:val="BodyText3"/>
        <w:spacing w:line="288" w:lineRule="auto"/>
        <w:jc w:val="center"/>
        <w:rPr>
          <w:bCs/>
          <w:spacing w:val="20"/>
          <w:kern w:val="2"/>
          <w:sz w:val="24"/>
          <w:lang w:val="ru-RU"/>
        </w:rPr>
      </w:pPr>
    </w:p>
    <w:p w:rsidR="00000000" w:rsidRDefault="00000000">
      <w:pPr>
        <w:jc w:val="center"/>
        <w:rPr>
          <w:kern w:val="2"/>
        </w:rPr>
      </w:pPr>
      <w:r>
        <w:rPr>
          <w:kern w:val="2"/>
          <w:u w:val="single"/>
        </w:rPr>
        <w:t>Источник</w:t>
      </w:r>
      <w:r>
        <w:rPr>
          <w:kern w:val="2"/>
        </w:rPr>
        <w:t>:  Министерство образования.</w:t>
      </w:r>
    </w:p>
    <w:p w:rsidR="00000000" w:rsidRDefault="00000000">
      <w:pPr>
        <w:pStyle w:val="BodyText3"/>
        <w:spacing w:line="288" w:lineRule="auto"/>
        <w:jc w:val="center"/>
        <w:rPr>
          <w:bCs/>
          <w:spacing w:val="20"/>
          <w:kern w:val="2"/>
          <w:sz w:val="24"/>
          <w:lang w:val="ru-RU"/>
        </w:rPr>
      </w:pPr>
    </w:p>
    <w:p w:rsidR="00000000" w:rsidRDefault="00000000">
      <w:pPr>
        <w:pStyle w:val="BodyText3"/>
        <w:spacing w:line="288" w:lineRule="auto"/>
        <w:jc w:val="center"/>
        <w:rPr>
          <w:bCs/>
          <w:spacing w:val="20"/>
          <w:kern w:val="2"/>
          <w:sz w:val="24"/>
          <w:lang w:val="ru-RU"/>
        </w:rPr>
      </w:pPr>
    </w:p>
    <w:p w:rsidR="00000000" w:rsidRDefault="00000000">
      <w:pPr>
        <w:pStyle w:val="10"/>
        <w:rPr>
          <w:bCs/>
          <w:kern w:val="2"/>
          <w:lang w:val="en-US"/>
        </w:rPr>
      </w:pPr>
      <w:r>
        <w:rPr>
          <w:bCs/>
          <w:kern w:val="2"/>
        </w:rPr>
        <w:t>Таблица 14.  Высшее образование:  динамика в разбивке по</w:t>
      </w:r>
    </w:p>
    <w:p w:rsidR="00000000" w:rsidRDefault="00000000">
      <w:pPr>
        <w:pStyle w:val="10"/>
        <w:rPr>
          <w:bCs/>
          <w:kern w:val="2"/>
        </w:rPr>
      </w:pPr>
      <w:r>
        <w:rPr>
          <w:bCs/>
          <w:kern w:val="2"/>
        </w:rPr>
        <w:t>административной принадлежности</w:t>
      </w:r>
    </w:p>
    <w:p w:rsidR="00000000" w:rsidRDefault="00000000">
      <w:pPr>
        <w:pStyle w:val="BodyText3"/>
        <w:spacing w:line="288" w:lineRule="auto"/>
        <w:jc w:val="center"/>
        <w:rPr>
          <w:b/>
          <w:spacing w:val="20"/>
          <w:kern w:val="2"/>
          <w:sz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975"/>
        <w:gridCol w:w="1441"/>
        <w:gridCol w:w="1091"/>
        <w:gridCol w:w="1309"/>
        <w:gridCol w:w="1256"/>
        <w:gridCol w:w="1320"/>
      </w:tblGrid>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lang w:val="ru-RU"/>
              </w:rPr>
            </w:pPr>
            <w:r>
              <w:rPr>
                <w:kern w:val="2"/>
                <w:lang w:val="ru-RU"/>
              </w:rPr>
              <w:t>Год</w:t>
            </w:r>
          </w:p>
        </w:tc>
        <w:tc>
          <w:tcPr>
            <w:tcW w:w="1441" w:type="dxa"/>
          </w:tcPr>
          <w:p w:rsidR="00000000" w:rsidRDefault="00000000">
            <w:pPr>
              <w:pStyle w:val="BodyText3"/>
              <w:spacing w:line="288" w:lineRule="auto"/>
              <w:jc w:val="center"/>
              <w:rPr>
                <w:kern w:val="2"/>
                <w:lang w:val="ru-RU"/>
              </w:rPr>
            </w:pPr>
            <w:r>
              <w:rPr>
                <w:kern w:val="2"/>
                <w:lang w:val="ru-RU"/>
              </w:rPr>
              <w:t>Федеральный уровень</w:t>
            </w:r>
          </w:p>
        </w:tc>
        <w:tc>
          <w:tcPr>
            <w:tcW w:w="1091" w:type="dxa"/>
          </w:tcPr>
          <w:p w:rsidR="00000000" w:rsidRDefault="00000000">
            <w:pPr>
              <w:pStyle w:val="BodyText3"/>
              <w:spacing w:line="288" w:lineRule="auto"/>
              <w:jc w:val="center"/>
              <w:rPr>
                <w:kern w:val="2"/>
                <w:lang w:val="ru-RU"/>
              </w:rPr>
            </w:pPr>
            <w:r>
              <w:rPr>
                <w:kern w:val="2"/>
                <w:lang w:val="ru-RU"/>
              </w:rPr>
              <w:t>Штаты</w:t>
            </w:r>
          </w:p>
        </w:tc>
        <w:tc>
          <w:tcPr>
            <w:tcW w:w="1309" w:type="dxa"/>
          </w:tcPr>
          <w:p w:rsidR="00000000" w:rsidRDefault="00000000">
            <w:pPr>
              <w:pStyle w:val="BodyText3"/>
              <w:tabs>
                <w:tab w:val="center" w:pos="698"/>
              </w:tabs>
              <w:spacing w:line="288" w:lineRule="auto"/>
              <w:jc w:val="center"/>
              <w:rPr>
                <w:kern w:val="2"/>
                <w:lang w:val="ru-RU"/>
              </w:rPr>
            </w:pPr>
            <w:r>
              <w:rPr>
                <w:kern w:val="2"/>
                <w:lang w:val="ru-RU"/>
              </w:rPr>
              <w:t>Муниципии</w:t>
            </w:r>
          </w:p>
        </w:tc>
        <w:tc>
          <w:tcPr>
            <w:tcW w:w="1256" w:type="dxa"/>
          </w:tcPr>
          <w:p w:rsidR="00000000" w:rsidRDefault="00000000">
            <w:pPr>
              <w:pStyle w:val="BodyText3"/>
              <w:spacing w:line="288" w:lineRule="auto"/>
              <w:jc w:val="center"/>
              <w:rPr>
                <w:kern w:val="2"/>
                <w:lang w:val="ru-RU"/>
              </w:rPr>
            </w:pPr>
            <w:r>
              <w:rPr>
                <w:kern w:val="2"/>
                <w:lang w:val="ru-RU"/>
              </w:rPr>
              <w:t>Частный сектор</w:t>
            </w:r>
          </w:p>
        </w:tc>
        <w:tc>
          <w:tcPr>
            <w:tcW w:w="1320" w:type="dxa"/>
          </w:tcPr>
          <w:p w:rsidR="00000000" w:rsidRDefault="00000000">
            <w:pPr>
              <w:pStyle w:val="BodyText3"/>
              <w:spacing w:line="288" w:lineRule="auto"/>
              <w:jc w:val="center"/>
              <w:rPr>
                <w:kern w:val="2"/>
                <w:lang w:val="ru-RU"/>
              </w:rPr>
            </w:pPr>
            <w:r>
              <w:rPr>
                <w:kern w:val="2"/>
                <w:lang w:val="ru-RU"/>
              </w:rPr>
              <w:t>Всего</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1990</w:t>
            </w:r>
          </w:p>
        </w:tc>
        <w:tc>
          <w:tcPr>
            <w:tcW w:w="1441" w:type="dxa"/>
          </w:tcPr>
          <w:p w:rsidR="00000000" w:rsidRDefault="00000000">
            <w:pPr>
              <w:pStyle w:val="BodyText3"/>
              <w:spacing w:line="288" w:lineRule="auto"/>
              <w:jc w:val="center"/>
              <w:rPr>
                <w:kern w:val="2"/>
              </w:rPr>
            </w:pPr>
            <w:r>
              <w:rPr>
                <w:kern w:val="2"/>
              </w:rPr>
              <w:t>308</w:t>
            </w:r>
            <w:r>
              <w:rPr>
                <w:kern w:val="2"/>
                <w:lang w:val="ru-RU"/>
              </w:rPr>
              <w:t xml:space="preserve"> </w:t>
            </w:r>
            <w:r>
              <w:rPr>
                <w:kern w:val="2"/>
              </w:rPr>
              <w:t>867</w:t>
            </w:r>
          </w:p>
        </w:tc>
        <w:tc>
          <w:tcPr>
            <w:tcW w:w="1091" w:type="dxa"/>
          </w:tcPr>
          <w:p w:rsidR="00000000" w:rsidRDefault="00000000">
            <w:pPr>
              <w:pStyle w:val="BodyText3"/>
              <w:spacing w:line="288" w:lineRule="auto"/>
              <w:jc w:val="center"/>
              <w:rPr>
                <w:kern w:val="2"/>
              </w:rPr>
            </w:pPr>
            <w:r>
              <w:rPr>
                <w:kern w:val="2"/>
              </w:rPr>
              <w:t>194</w:t>
            </w:r>
            <w:r>
              <w:rPr>
                <w:kern w:val="2"/>
                <w:lang w:val="ru-RU"/>
              </w:rPr>
              <w:t xml:space="preserve"> </w:t>
            </w:r>
            <w:r>
              <w:rPr>
                <w:kern w:val="2"/>
              </w:rPr>
              <w:t>417</w:t>
            </w:r>
          </w:p>
        </w:tc>
        <w:tc>
          <w:tcPr>
            <w:tcW w:w="1309" w:type="dxa"/>
          </w:tcPr>
          <w:p w:rsidR="00000000" w:rsidRDefault="00000000">
            <w:pPr>
              <w:pStyle w:val="BodyText3"/>
              <w:spacing w:line="288" w:lineRule="auto"/>
              <w:jc w:val="center"/>
              <w:rPr>
                <w:kern w:val="2"/>
              </w:rPr>
            </w:pPr>
            <w:r>
              <w:rPr>
                <w:kern w:val="2"/>
              </w:rPr>
              <w:t>75</w:t>
            </w:r>
            <w:r>
              <w:rPr>
                <w:kern w:val="2"/>
                <w:lang w:val="ru-RU"/>
              </w:rPr>
              <w:t xml:space="preserve"> </w:t>
            </w:r>
            <w:r>
              <w:rPr>
                <w:kern w:val="2"/>
              </w:rPr>
              <w:t>341</w:t>
            </w:r>
          </w:p>
        </w:tc>
        <w:tc>
          <w:tcPr>
            <w:tcW w:w="1256" w:type="dxa"/>
          </w:tcPr>
          <w:p w:rsidR="00000000" w:rsidRDefault="00000000">
            <w:pPr>
              <w:pStyle w:val="BodyText3"/>
              <w:spacing w:line="288" w:lineRule="auto"/>
              <w:jc w:val="center"/>
              <w:rPr>
                <w:kern w:val="2"/>
              </w:rPr>
            </w:pPr>
            <w:r>
              <w:rPr>
                <w:kern w:val="2"/>
              </w:rPr>
              <w:t>961</w:t>
            </w:r>
            <w:r>
              <w:rPr>
                <w:kern w:val="2"/>
                <w:lang w:val="ru-RU"/>
              </w:rPr>
              <w:t xml:space="preserve"> </w:t>
            </w:r>
            <w:r>
              <w:rPr>
                <w:kern w:val="2"/>
              </w:rPr>
              <w:t>455</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540</w:t>
            </w:r>
            <w:r>
              <w:rPr>
                <w:kern w:val="2"/>
                <w:lang w:val="ru-RU"/>
              </w:rPr>
              <w:t xml:space="preserve"> </w:t>
            </w:r>
            <w:r>
              <w:rPr>
                <w:kern w:val="2"/>
              </w:rPr>
              <w:t>080</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1991</w:t>
            </w:r>
          </w:p>
        </w:tc>
        <w:tc>
          <w:tcPr>
            <w:tcW w:w="1441" w:type="dxa"/>
          </w:tcPr>
          <w:p w:rsidR="00000000" w:rsidRDefault="00000000">
            <w:pPr>
              <w:pStyle w:val="BodyText3"/>
              <w:spacing w:line="288" w:lineRule="auto"/>
              <w:jc w:val="center"/>
              <w:rPr>
                <w:kern w:val="2"/>
              </w:rPr>
            </w:pPr>
            <w:r>
              <w:rPr>
                <w:kern w:val="2"/>
              </w:rPr>
              <w:t>320</w:t>
            </w:r>
            <w:r>
              <w:rPr>
                <w:kern w:val="2"/>
                <w:lang w:val="ru-RU"/>
              </w:rPr>
              <w:t xml:space="preserve"> </w:t>
            </w:r>
            <w:r>
              <w:rPr>
                <w:kern w:val="2"/>
              </w:rPr>
              <w:t>135</w:t>
            </w:r>
          </w:p>
        </w:tc>
        <w:tc>
          <w:tcPr>
            <w:tcW w:w="1091" w:type="dxa"/>
          </w:tcPr>
          <w:p w:rsidR="00000000" w:rsidRDefault="00000000">
            <w:pPr>
              <w:pStyle w:val="BodyText3"/>
              <w:spacing w:line="288" w:lineRule="auto"/>
              <w:jc w:val="center"/>
              <w:rPr>
                <w:kern w:val="2"/>
              </w:rPr>
            </w:pPr>
            <w:r>
              <w:rPr>
                <w:kern w:val="2"/>
              </w:rPr>
              <w:t>202</w:t>
            </w:r>
            <w:r>
              <w:rPr>
                <w:kern w:val="2"/>
                <w:lang w:val="ru-RU"/>
              </w:rPr>
              <w:t xml:space="preserve"> </w:t>
            </w:r>
            <w:r>
              <w:rPr>
                <w:kern w:val="2"/>
              </w:rPr>
              <w:t>315</w:t>
            </w:r>
          </w:p>
        </w:tc>
        <w:tc>
          <w:tcPr>
            <w:tcW w:w="1309" w:type="dxa"/>
          </w:tcPr>
          <w:p w:rsidR="00000000" w:rsidRDefault="00000000">
            <w:pPr>
              <w:pStyle w:val="BodyText3"/>
              <w:spacing w:line="288" w:lineRule="auto"/>
              <w:jc w:val="center"/>
              <w:rPr>
                <w:kern w:val="2"/>
                <w:lang w:val="ru-RU"/>
              </w:rPr>
            </w:pPr>
            <w:r>
              <w:rPr>
                <w:kern w:val="2"/>
              </w:rPr>
              <w:t>83</w:t>
            </w:r>
            <w:r>
              <w:rPr>
                <w:kern w:val="2"/>
                <w:lang w:val="ru-RU"/>
              </w:rPr>
              <w:t xml:space="preserve"> </w:t>
            </w:r>
            <w:r>
              <w:rPr>
                <w:kern w:val="2"/>
              </w:rPr>
              <w:t>286</w:t>
            </w:r>
            <w:r>
              <w:rPr>
                <w:kern w:val="2"/>
                <w:lang w:val="ru-RU"/>
              </w:rPr>
              <w:t xml:space="preserve"> </w:t>
            </w:r>
          </w:p>
        </w:tc>
        <w:tc>
          <w:tcPr>
            <w:tcW w:w="1256" w:type="dxa"/>
          </w:tcPr>
          <w:p w:rsidR="00000000" w:rsidRDefault="00000000">
            <w:pPr>
              <w:pStyle w:val="BodyText3"/>
              <w:spacing w:line="288" w:lineRule="auto"/>
              <w:jc w:val="center"/>
              <w:rPr>
                <w:kern w:val="2"/>
              </w:rPr>
            </w:pPr>
            <w:r>
              <w:rPr>
                <w:kern w:val="2"/>
              </w:rPr>
              <w:t>959</w:t>
            </w:r>
            <w:r>
              <w:rPr>
                <w:kern w:val="2"/>
                <w:lang w:val="ru-RU"/>
              </w:rPr>
              <w:t xml:space="preserve"> </w:t>
            </w:r>
            <w:r>
              <w:rPr>
                <w:kern w:val="2"/>
              </w:rPr>
              <w:t>320</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565</w:t>
            </w:r>
            <w:r>
              <w:rPr>
                <w:kern w:val="2"/>
                <w:lang w:val="ru-RU"/>
              </w:rPr>
              <w:t xml:space="preserve"> </w:t>
            </w:r>
            <w:r>
              <w:rPr>
                <w:kern w:val="2"/>
              </w:rPr>
              <w:t>056</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1992</w:t>
            </w:r>
          </w:p>
        </w:tc>
        <w:tc>
          <w:tcPr>
            <w:tcW w:w="1441" w:type="dxa"/>
          </w:tcPr>
          <w:p w:rsidR="00000000" w:rsidRDefault="00000000">
            <w:pPr>
              <w:pStyle w:val="BodyText3"/>
              <w:spacing w:line="288" w:lineRule="auto"/>
              <w:jc w:val="center"/>
              <w:rPr>
                <w:kern w:val="2"/>
              </w:rPr>
            </w:pPr>
            <w:r>
              <w:rPr>
                <w:kern w:val="2"/>
              </w:rPr>
              <w:t>325</w:t>
            </w:r>
            <w:r>
              <w:rPr>
                <w:kern w:val="2"/>
                <w:lang w:val="ru-RU"/>
              </w:rPr>
              <w:t xml:space="preserve"> </w:t>
            </w:r>
            <w:r>
              <w:rPr>
                <w:kern w:val="2"/>
              </w:rPr>
              <w:t>884</w:t>
            </w:r>
          </w:p>
        </w:tc>
        <w:tc>
          <w:tcPr>
            <w:tcW w:w="1091" w:type="dxa"/>
          </w:tcPr>
          <w:p w:rsidR="00000000" w:rsidRDefault="00000000">
            <w:pPr>
              <w:pStyle w:val="BodyText3"/>
              <w:spacing w:line="288" w:lineRule="auto"/>
              <w:jc w:val="center"/>
              <w:rPr>
                <w:kern w:val="2"/>
              </w:rPr>
            </w:pPr>
            <w:r>
              <w:rPr>
                <w:kern w:val="2"/>
              </w:rPr>
              <w:t>210</w:t>
            </w:r>
            <w:r>
              <w:rPr>
                <w:kern w:val="2"/>
                <w:lang w:val="ru-RU"/>
              </w:rPr>
              <w:t xml:space="preserve"> </w:t>
            </w:r>
            <w:r>
              <w:rPr>
                <w:kern w:val="2"/>
              </w:rPr>
              <w:t>133</w:t>
            </w:r>
          </w:p>
        </w:tc>
        <w:tc>
          <w:tcPr>
            <w:tcW w:w="1309" w:type="dxa"/>
          </w:tcPr>
          <w:p w:rsidR="00000000" w:rsidRDefault="00000000">
            <w:pPr>
              <w:pStyle w:val="BodyText3"/>
              <w:spacing w:line="288" w:lineRule="auto"/>
              <w:jc w:val="center"/>
              <w:rPr>
                <w:kern w:val="2"/>
              </w:rPr>
            </w:pPr>
            <w:r>
              <w:rPr>
                <w:kern w:val="2"/>
              </w:rPr>
              <w:t>93</w:t>
            </w:r>
            <w:r>
              <w:rPr>
                <w:kern w:val="2"/>
                <w:lang w:val="ru-RU"/>
              </w:rPr>
              <w:t xml:space="preserve"> </w:t>
            </w:r>
            <w:r>
              <w:rPr>
                <w:kern w:val="2"/>
              </w:rPr>
              <w:t>645</w:t>
            </w:r>
          </w:p>
        </w:tc>
        <w:tc>
          <w:tcPr>
            <w:tcW w:w="1256" w:type="dxa"/>
          </w:tcPr>
          <w:p w:rsidR="00000000" w:rsidRDefault="00000000">
            <w:pPr>
              <w:pStyle w:val="BodyText3"/>
              <w:spacing w:line="288" w:lineRule="auto"/>
              <w:jc w:val="center"/>
              <w:rPr>
                <w:kern w:val="2"/>
              </w:rPr>
            </w:pPr>
            <w:r>
              <w:rPr>
                <w:kern w:val="2"/>
              </w:rPr>
              <w:t>906</w:t>
            </w:r>
            <w:r>
              <w:rPr>
                <w:kern w:val="2"/>
                <w:lang w:val="ru-RU"/>
              </w:rPr>
              <w:t xml:space="preserve"> </w:t>
            </w:r>
            <w:r>
              <w:rPr>
                <w:kern w:val="2"/>
              </w:rPr>
              <w:t>126</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535</w:t>
            </w:r>
            <w:r>
              <w:rPr>
                <w:kern w:val="2"/>
                <w:lang w:val="ru-RU"/>
              </w:rPr>
              <w:t xml:space="preserve"> </w:t>
            </w:r>
            <w:r>
              <w:rPr>
                <w:kern w:val="2"/>
              </w:rPr>
              <w:t>788</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1993</w:t>
            </w:r>
          </w:p>
        </w:tc>
        <w:tc>
          <w:tcPr>
            <w:tcW w:w="1441" w:type="dxa"/>
          </w:tcPr>
          <w:p w:rsidR="00000000" w:rsidRDefault="00000000">
            <w:pPr>
              <w:pStyle w:val="BodyText3"/>
              <w:spacing w:line="288" w:lineRule="auto"/>
              <w:jc w:val="center"/>
              <w:rPr>
                <w:kern w:val="2"/>
              </w:rPr>
            </w:pPr>
            <w:r>
              <w:rPr>
                <w:kern w:val="2"/>
              </w:rPr>
              <w:t>344</w:t>
            </w:r>
            <w:r>
              <w:rPr>
                <w:kern w:val="2"/>
                <w:lang w:val="ru-RU"/>
              </w:rPr>
              <w:t xml:space="preserve"> </w:t>
            </w:r>
            <w:r>
              <w:rPr>
                <w:kern w:val="2"/>
              </w:rPr>
              <w:t>387</w:t>
            </w:r>
          </w:p>
        </w:tc>
        <w:tc>
          <w:tcPr>
            <w:tcW w:w="1091" w:type="dxa"/>
          </w:tcPr>
          <w:p w:rsidR="00000000" w:rsidRDefault="00000000">
            <w:pPr>
              <w:pStyle w:val="BodyText3"/>
              <w:spacing w:line="288" w:lineRule="auto"/>
              <w:jc w:val="center"/>
              <w:rPr>
                <w:kern w:val="2"/>
              </w:rPr>
            </w:pPr>
            <w:r>
              <w:rPr>
                <w:kern w:val="2"/>
              </w:rPr>
              <w:t>216</w:t>
            </w:r>
            <w:r>
              <w:rPr>
                <w:kern w:val="2"/>
                <w:lang w:val="ru-RU"/>
              </w:rPr>
              <w:t xml:space="preserve"> </w:t>
            </w:r>
            <w:r>
              <w:rPr>
                <w:kern w:val="2"/>
              </w:rPr>
              <w:t>535</w:t>
            </w:r>
          </w:p>
        </w:tc>
        <w:tc>
          <w:tcPr>
            <w:tcW w:w="1309" w:type="dxa"/>
          </w:tcPr>
          <w:p w:rsidR="00000000" w:rsidRDefault="00000000">
            <w:pPr>
              <w:pStyle w:val="BodyText3"/>
              <w:spacing w:line="288" w:lineRule="auto"/>
              <w:jc w:val="center"/>
              <w:rPr>
                <w:kern w:val="2"/>
              </w:rPr>
            </w:pPr>
            <w:r>
              <w:rPr>
                <w:kern w:val="2"/>
              </w:rPr>
              <w:t>92</w:t>
            </w:r>
            <w:r>
              <w:rPr>
                <w:kern w:val="2"/>
                <w:lang w:val="ru-RU"/>
              </w:rPr>
              <w:t xml:space="preserve"> </w:t>
            </w:r>
            <w:r>
              <w:rPr>
                <w:kern w:val="2"/>
              </w:rPr>
              <w:t>594</w:t>
            </w:r>
          </w:p>
        </w:tc>
        <w:tc>
          <w:tcPr>
            <w:tcW w:w="1256" w:type="dxa"/>
          </w:tcPr>
          <w:p w:rsidR="00000000" w:rsidRDefault="00000000">
            <w:pPr>
              <w:pStyle w:val="BodyText3"/>
              <w:spacing w:line="288" w:lineRule="auto"/>
              <w:jc w:val="center"/>
              <w:rPr>
                <w:kern w:val="2"/>
              </w:rPr>
            </w:pPr>
            <w:r>
              <w:rPr>
                <w:kern w:val="2"/>
              </w:rPr>
              <w:t>941</w:t>
            </w:r>
            <w:r>
              <w:rPr>
                <w:kern w:val="2"/>
                <w:lang w:val="ru-RU"/>
              </w:rPr>
              <w:t xml:space="preserve"> </w:t>
            </w:r>
            <w:r>
              <w:rPr>
                <w:kern w:val="2"/>
              </w:rPr>
              <w:t>152</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594</w:t>
            </w:r>
            <w:r>
              <w:rPr>
                <w:kern w:val="2"/>
                <w:lang w:val="ru-RU"/>
              </w:rPr>
              <w:t xml:space="preserve"> </w:t>
            </w:r>
            <w:r>
              <w:rPr>
                <w:kern w:val="2"/>
              </w:rPr>
              <w:t>668</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1994</w:t>
            </w:r>
          </w:p>
        </w:tc>
        <w:tc>
          <w:tcPr>
            <w:tcW w:w="1441" w:type="dxa"/>
          </w:tcPr>
          <w:p w:rsidR="00000000" w:rsidRDefault="00000000">
            <w:pPr>
              <w:pStyle w:val="BodyText3"/>
              <w:spacing w:line="288" w:lineRule="auto"/>
              <w:jc w:val="center"/>
              <w:rPr>
                <w:kern w:val="2"/>
              </w:rPr>
            </w:pPr>
            <w:r>
              <w:rPr>
                <w:kern w:val="2"/>
              </w:rPr>
              <w:t>363</w:t>
            </w:r>
            <w:r>
              <w:rPr>
                <w:kern w:val="2"/>
                <w:lang w:val="ru-RU"/>
              </w:rPr>
              <w:t xml:space="preserve"> </w:t>
            </w:r>
            <w:r>
              <w:rPr>
                <w:kern w:val="2"/>
              </w:rPr>
              <w:t>543</w:t>
            </w:r>
          </w:p>
        </w:tc>
        <w:tc>
          <w:tcPr>
            <w:tcW w:w="1091" w:type="dxa"/>
          </w:tcPr>
          <w:p w:rsidR="00000000" w:rsidRDefault="00000000">
            <w:pPr>
              <w:pStyle w:val="BodyText3"/>
              <w:spacing w:line="288" w:lineRule="auto"/>
              <w:jc w:val="center"/>
              <w:rPr>
                <w:kern w:val="2"/>
              </w:rPr>
            </w:pPr>
            <w:r>
              <w:rPr>
                <w:kern w:val="2"/>
              </w:rPr>
              <w:t>231</w:t>
            </w:r>
            <w:r>
              <w:rPr>
                <w:kern w:val="2"/>
                <w:lang w:val="ru-RU"/>
              </w:rPr>
              <w:t xml:space="preserve"> </w:t>
            </w:r>
            <w:r>
              <w:rPr>
                <w:kern w:val="2"/>
              </w:rPr>
              <w:t>936</w:t>
            </w:r>
          </w:p>
        </w:tc>
        <w:tc>
          <w:tcPr>
            <w:tcW w:w="1309" w:type="dxa"/>
          </w:tcPr>
          <w:p w:rsidR="00000000" w:rsidRDefault="00000000">
            <w:pPr>
              <w:pStyle w:val="BodyText3"/>
              <w:spacing w:line="288" w:lineRule="auto"/>
              <w:jc w:val="center"/>
              <w:rPr>
                <w:kern w:val="2"/>
              </w:rPr>
            </w:pPr>
            <w:r>
              <w:rPr>
                <w:kern w:val="2"/>
              </w:rPr>
              <w:t>94</w:t>
            </w:r>
            <w:r>
              <w:rPr>
                <w:kern w:val="2"/>
                <w:lang w:val="ru-RU"/>
              </w:rPr>
              <w:t xml:space="preserve"> </w:t>
            </w:r>
            <w:r>
              <w:rPr>
                <w:kern w:val="2"/>
              </w:rPr>
              <w:t>971</w:t>
            </w:r>
          </w:p>
        </w:tc>
        <w:tc>
          <w:tcPr>
            <w:tcW w:w="1256" w:type="dxa"/>
          </w:tcPr>
          <w:p w:rsidR="00000000" w:rsidRDefault="00000000">
            <w:pPr>
              <w:pStyle w:val="BodyText3"/>
              <w:spacing w:line="288" w:lineRule="auto"/>
              <w:jc w:val="center"/>
              <w:rPr>
                <w:kern w:val="2"/>
              </w:rPr>
            </w:pPr>
            <w:r>
              <w:rPr>
                <w:kern w:val="2"/>
              </w:rPr>
              <w:t>970</w:t>
            </w:r>
            <w:r>
              <w:rPr>
                <w:kern w:val="2"/>
                <w:lang w:val="ru-RU"/>
              </w:rPr>
              <w:t xml:space="preserve"> </w:t>
            </w:r>
            <w:r>
              <w:rPr>
                <w:kern w:val="2"/>
              </w:rPr>
              <w:t>584</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661</w:t>
            </w:r>
            <w:r>
              <w:rPr>
                <w:kern w:val="2"/>
                <w:lang w:val="ru-RU"/>
              </w:rPr>
              <w:t xml:space="preserve"> </w:t>
            </w:r>
            <w:r>
              <w:rPr>
                <w:kern w:val="2"/>
              </w:rPr>
              <w:t>034</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1995</w:t>
            </w:r>
          </w:p>
        </w:tc>
        <w:tc>
          <w:tcPr>
            <w:tcW w:w="1441" w:type="dxa"/>
          </w:tcPr>
          <w:p w:rsidR="00000000" w:rsidRDefault="00000000">
            <w:pPr>
              <w:pStyle w:val="BodyText3"/>
              <w:spacing w:line="288" w:lineRule="auto"/>
              <w:jc w:val="center"/>
              <w:rPr>
                <w:kern w:val="2"/>
              </w:rPr>
            </w:pPr>
            <w:r>
              <w:rPr>
                <w:kern w:val="2"/>
              </w:rPr>
              <w:t>367</w:t>
            </w:r>
            <w:r>
              <w:rPr>
                <w:kern w:val="2"/>
                <w:lang w:val="ru-RU"/>
              </w:rPr>
              <w:t xml:space="preserve"> </w:t>
            </w:r>
            <w:r>
              <w:rPr>
                <w:kern w:val="2"/>
              </w:rPr>
              <w:t>531</w:t>
            </w:r>
          </w:p>
        </w:tc>
        <w:tc>
          <w:tcPr>
            <w:tcW w:w="1091" w:type="dxa"/>
          </w:tcPr>
          <w:p w:rsidR="00000000" w:rsidRDefault="00000000">
            <w:pPr>
              <w:pStyle w:val="BodyText3"/>
              <w:spacing w:line="288" w:lineRule="auto"/>
              <w:jc w:val="center"/>
              <w:rPr>
                <w:kern w:val="2"/>
              </w:rPr>
            </w:pPr>
            <w:r>
              <w:rPr>
                <w:kern w:val="2"/>
              </w:rPr>
              <w:t>239</w:t>
            </w:r>
            <w:r>
              <w:rPr>
                <w:kern w:val="2"/>
                <w:lang w:val="ru-RU"/>
              </w:rPr>
              <w:t xml:space="preserve"> </w:t>
            </w:r>
            <w:r>
              <w:rPr>
                <w:kern w:val="2"/>
              </w:rPr>
              <w:t>215</w:t>
            </w:r>
          </w:p>
        </w:tc>
        <w:tc>
          <w:tcPr>
            <w:tcW w:w="1309" w:type="dxa"/>
          </w:tcPr>
          <w:p w:rsidR="00000000" w:rsidRDefault="00000000">
            <w:pPr>
              <w:pStyle w:val="BodyText3"/>
              <w:spacing w:line="288" w:lineRule="auto"/>
              <w:jc w:val="center"/>
              <w:rPr>
                <w:kern w:val="2"/>
              </w:rPr>
            </w:pPr>
            <w:r>
              <w:rPr>
                <w:kern w:val="2"/>
              </w:rPr>
              <w:t>93</w:t>
            </w:r>
            <w:r>
              <w:rPr>
                <w:kern w:val="2"/>
                <w:lang w:val="ru-RU"/>
              </w:rPr>
              <w:t xml:space="preserve"> </w:t>
            </w:r>
            <w:r>
              <w:rPr>
                <w:kern w:val="2"/>
              </w:rPr>
              <w:t>794</w:t>
            </w:r>
          </w:p>
        </w:tc>
        <w:tc>
          <w:tcPr>
            <w:tcW w:w="1256"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059</w:t>
            </w:r>
            <w:r>
              <w:rPr>
                <w:kern w:val="2"/>
                <w:lang w:val="ru-RU"/>
              </w:rPr>
              <w:t xml:space="preserve"> </w:t>
            </w:r>
            <w:r>
              <w:rPr>
                <w:kern w:val="2"/>
              </w:rPr>
              <w:t>163</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759</w:t>
            </w:r>
            <w:r>
              <w:rPr>
                <w:kern w:val="2"/>
                <w:lang w:val="ru-RU"/>
              </w:rPr>
              <w:t xml:space="preserve"> </w:t>
            </w:r>
            <w:r>
              <w:rPr>
                <w:kern w:val="2"/>
              </w:rPr>
              <w:t>703</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1996</w:t>
            </w:r>
          </w:p>
        </w:tc>
        <w:tc>
          <w:tcPr>
            <w:tcW w:w="1441" w:type="dxa"/>
          </w:tcPr>
          <w:p w:rsidR="00000000" w:rsidRDefault="00000000">
            <w:pPr>
              <w:pStyle w:val="BodyText3"/>
              <w:spacing w:line="288" w:lineRule="auto"/>
              <w:jc w:val="center"/>
              <w:rPr>
                <w:kern w:val="2"/>
              </w:rPr>
            </w:pPr>
            <w:r>
              <w:rPr>
                <w:kern w:val="2"/>
              </w:rPr>
              <w:t>388</w:t>
            </w:r>
            <w:r>
              <w:rPr>
                <w:kern w:val="2"/>
                <w:lang w:val="ru-RU"/>
              </w:rPr>
              <w:t xml:space="preserve"> </w:t>
            </w:r>
            <w:r>
              <w:rPr>
                <w:kern w:val="2"/>
              </w:rPr>
              <w:t>987</w:t>
            </w:r>
          </w:p>
        </w:tc>
        <w:tc>
          <w:tcPr>
            <w:tcW w:w="1091" w:type="dxa"/>
          </w:tcPr>
          <w:p w:rsidR="00000000" w:rsidRDefault="00000000">
            <w:pPr>
              <w:pStyle w:val="BodyText3"/>
              <w:spacing w:line="288" w:lineRule="auto"/>
              <w:jc w:val="center"/>
              <w:rPr>
                <w:kern w:val="2"/>
              </w:rPr>
            </w:pPr>
            <w:r>
              <w:rPr>
                <w:kern w:val="2"/>
              </w:rPr>
              <w:t>243</w:t>
            </w:r>
            <w:r>
              <w:rPr>
                <w:kern w:val="2"/>
                <w:lang w:val="ru-RU"/>
              </w:rPr>
              <w:t xml:space="preserve"> </w:t>
            </w:r>
            <w:r>
              <w:rPr>
                <w:kern w:val="2"/>
              </w:rPr>
              <w:t>101</w:t>
            </w:r>
          </w:p>
        </w:tc>
        <w:tc>
          <w:tcPr>
            <w:tcW w:w="1309" w:type="dxa"/>
          </w:tcPr>
          <w:p w:rsidR="00000000" w:rsidRDefault="00000000">
            <w:pPr>
              <w:pStyle w:val="BodyText3"/>
              <w:spacing w:line="288" w:lineRule="auto"/>
              <w:jc w:val="center"/>
              <w:rPr>
                <w:kern w:val="2"/>
              </w:rPr>
            </w:pPr>
            <w:r>
              <w:rPr>
                <w:kern w:val="2"/>
              </w:rPr>
              <w:t>103</w:t>
            </w:r>
            <w:r>
              <w:rPr>
                <w:kern w:val="2"/>
                <w:lang w:val="ru-RU"/>
              </w:rPr>
              <w:t xml:space="preserve"> </w:t>
            </w:r>
            <w:r>
              <w:rPr>
                <w:kern w:val="2"/>
              </w:rPr>
              <w:t>339</w:t>
            </w:r>
          </w:p>
        </w:tc>
        <w:tc>
          <w:tcPr>
            <w:tcW w:w="1256"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133</w:t>
            </w:r>
            <w:r>
              <w:rPr>
                <w:kern w:val="2"/>
                <w:lang w:val="ru-RU"/>
              </w:rPr>
              <w:t xml:space="preserve"> </w:t>
            </w:r>
            <w:r>
              <w:rPr>
                <w:kern w:val="2"/>
              </w:rPr>
              <w:t>102</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868</w:t>
            </w:r>
            <w:r>
              <w:rPr>
                <w:kern w:val="2"/>
                <w:lang w:val="ru-RU"/>
              </w:rPr>
              <w:t xml:space="preserve"> </w:t>
            </w:r>
            <w:r>
              <w:rPr>
                <w:kern w:val="2"/>
              </w:rPr>
              <w:t>529</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1997</w:t>
            </w:r>
          </w:p>
        </w:tc>
        <w:tc>
          <w:tcPr>
            <w:tcW w:w="1441" w:type="dxa"/>
          </w:tcPr>
          <w:p w:rsidR="00000000" w:rsidRDefault="00000000">
            <w:pPr>
              <w:pStyle w:val="BodyText3"/>
              <w:spacing w:line="288" w:lineRule="auto"/>
              <w:jc w:val="center"/>
              <w:rPr>
                <w:kern w:val="2"/>
              </w:rPr>
            </w:pPr>
            <w:r>
              <w:rPr>
                <w:kern w:val="2"/>
              </w:rPr>
              <w:t>395</w:t>
            </w:r>
            <w:r>
              <w:rPr>
                <w:kern w:val="2"/>
                <w:lang w:val="ru-RU"/>
              </w:rPr>
              <w:t xml:space="preserve"> </w:t>
            </w:r>
            <w:r>
              <w:rPr>
                <w:kern w:val="2"/>
              </w:rPr>
              <w:t>833</w:t>
            </w:r>
          </w:p>
        </w:tc>
        <w:tc>
          <w:tcPr>
            <w:tcW w:w="1091" w:type="dxa"/>
          </w:tcPr>
          <w:p w:rsidR="00000000" w:rsidRDefault="00000000">
            <w:pPr>
              <w:pStyle w:val="BodyText3"/>
              <w:spacing w:line="288" w:lineRule="auto"/>
              <w:jc w:val="center"/>
              <w:rPr>
                <w:kern w:val="2"/>
              </w:rPr>
            </w:pPr>
            <w:r>
              <w:rPr>
                <w:kern w:val="2"/>
              </w:rPr>
              <w:t>253</w:t>
            </w:r>
            <w:r>
              <w:rPr>
                <w:kern w:val="2"/>
                <w:lang w:val="ru-RU"/>
              </w:rPr>
              <w:t xml:space="preserve"> </w:t>
            </w:r>
            <w:r>
              <w:rPr>
                <w:kern w:val="2"/>
              </w:rPr>
              <w:t>678</w:t>
            </w:r>
          </w:p>
        </w:tc>
        <w:tc>
          <w:tcPr>
            <w:tcW w:w="1309" w:type="dxa"/>
          </w:tcPr>
          <w:p w:rsidR="00000000" w:rsidRDefault="00000000">
            <w:pPr>
              <w:pStyle w:val="BodyText3"/>
              <w:spacing w:line="288" w:lineRule="auto"/>
              <w:jc w:val="center"/>
              <w:rPr>
                <w:kern w:val="2"/>
              </w:rPr>
            </w:pPr>
            <w:r>
              <w:rPr>
                <w:kern w:val="2"/>
              </w:rPr>
              <w:t>109</w:t>
            </w:r>
            <w:r>
              <w:rPr>
                <w:kern w:val="2"/>
                <w:lang w:val="ru-RU"/>
              </w:rPr>
              <w:t xml:space="preserve"> </w:t>
            </w:r>
            <w:r>
              <w:rPr>
                <w:kern w:val="2"/>
              </w:rPr>
              <w:t>671</w:t>
            </w:r>
          </w:p>
        </w:tc>
        <w:tc>
          <w:tcPr>
            <w:tcW w:w="1256"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186</w:t>
            </w:r>
            <w:r>
              <w:rPr>
                <w:kern w:val="2"/>
                <w:lang w:val="ru-RU"/>
              </w:rPr>
              <w:t xml:space="preserve"> </w:t>
            </w:r>
            <w:r>
              <w:rPr>
                <w:kern w:val="2"/>
              </w:rPr>
              <w:t>433</w:t>
            </w:r>
          </w:p>
        </w:tc>
        <w:tc>
          <w:tcPr>
            <w:tcW w:w="1320"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945</w:t>
            </w:r>
            <w:r>
              <w:rPr>
                <w:kern w:val="2"/>
                <w:lang w:val="ru-RU"/>
              </w:rPr>
              <w:t xml:space="preserve"> </w:t>
            </w:r>
            <w:r>
              <w:rPr>
                <w:kern w:val="2"/>
              </w:rPr>
              <w:t>615</w:t>
            </w:r>
          </w:p>
        </w:tc>
      </w:tr>
      <w:tr w:rsidR="00000000">
        <w:tblPrEx>
          <w:tblCellMar>
            <w:top w:w="0" w:type="dxa"/>
            <w:bottom w:w="0" w:type="dxa"/>
          </w:tblCellMar>
        </w:tblPrEx>
        <w:trPr>
          <w:jc w:val="center"/>
        </w:trPr>
        <w:tc>
          <w:tcPr>
            <w:tcW w:w="975" w:type="dxa"/>
          </w:tcPr>
          <w:p w:rsidR="00000000" w:rsidRDefault="00000000">
            <w:pPr>
              <w:pStyle w:val="BodyText3"/>
              <w:spacing w:line="288" w:lineRule="auto"/>
              <w:jc w:val="center"/>
              <w:rPr>
                <w:kern w:val="2"/>
              </w:rPr>
            </w:pPr>
            <w:r>
              <w:rPr>
                <w:kern w:val="2"/>
              </w:rPr>
              <w:t>1998</w:t>
            </w:r>
          </w:p>
        </w:tc>
        <w:tc>
          <w:tcPr>
            <w:tcW w:w="1441" w:type="dxa"/>
          </w:tcPr>
          <w:p w:rsidR="00000000" w:rsidRDefault="00000000">
            <w:pPr>
              <w:pStyle w:val="BodyText3"/>
              <w:spacing w:line="288" w:lineRule="auto"/>
              <w:jc w:val="center"/>
              <w:rPr>
                <w:kern w:val="2"/>
              </w:rPr>
            </w:pPr>
            <w:r>
              <w:rPr>
                <w:kern w:val="2"/>
              </w:rPr>
              <w:t>408</w:t>
            </w:r>
            <w:r>
              <w:rPr>
                <w:kern w:val="2"/>
                <w:lang w:val="ru-RU"/>
              </w:rPr>
              <w:t xml:space="preserve"> </w:t>
            </w:r>
            <w:r>
              <w:rPr>
                <w:kern w:val="2"/>
              </w:rPr>
              <w:t>640</w:t>
            </w:r>
          </w:p>
        </w:tc>
        <w:tc>
          <w:tcPr>
            <w:tcW w:w="1091" w:type="dxa"/>
          </w:tcPr>
          <w:p w:rsidR="00000000" w:rsidRDefault="00000000">
            <w:pPr>
              <w:pStyle w:val="BodyText3"/>
              <w:spacing w:line="288" w:lineRule="auto"/>
              <w:jc w:val="center"/>
              <w:rPr>
                <w:kern w:val="2"/>
              </w:rPr>
            </w:pPr>
            <w:r>
              <w:rPr>
                <w:kern w:val="2"/>
              </w:rPr>
              <w:t>274</w:t>
            </w:r>
            <w:r>
              <w:rPr>
                <w:kern w:val="2"/>
                <w:lang w:val="ru-RU"/>
              </w:rPr>
              <w:t xml:space="preserve"> </w:t>
            </w:r>
            <w:r>
              <w:rPr>
                <w:kern w:val="2"/>
              </w:rPr>
              <w:t>934</w:t>
            </w:r>
          </w:p>
        </w:tc>
        <w:tc>
          <w:tcPr>
            <w:tcW w:w="1309" w:type="dxa"/>
          </w:tcPr>
          <w:p w:rsidR="00000000" w:rsidRDefault="00000000">
            <w:pPr>
              <w:pStyle w:val="BodyText3"/>
              <w:spacing w:line="288" w:lineRule="auto"/>
              <w:jc w:val="center"/>
              <w:rPr>
                <w:kern w:val="2"/>
              </w:rPr>
            </w:pPr>
            <w:r>
              <w:rPr>
                <w:kern w:val="2"/>
              </w:rPr>
              <w:t>121</w:t>
            </w:r>
            <w:r>
              <w:rPr>
                <w:kern w:val="2"/>
                <w:lang w:val="ru-RU"/>
              </w:rPr>
              <w:t xml:space="preserve"> </w:t>
            </w:r>
            <w:r>
              <w:rPr>
                <w:kern w:val="2"/>
              </w:rPr>
              <w:t>155</w:t>
            </w:r>
          </w:p>
        </w:tc>
        <w:tc>
          <w:tcPr>
            <w:tcW w:w="1256" w:type="dxa"/>
          </w:tcPr>
          <w:p w:rsidR="00000000" w:rsidRDefault="00000000">
            <w:pPr>
              <w:pStyle w:val="BodyText3"/>
              <w:spacing w:line="288" w:lineRule="auto"/>
              <w:jc w:val="center"/>
              <w:rPr>
                <w:kern w:val="2"/>
              </w:rPr>
            </w:pPr>
            <w:r>
              <w:rPr>
                <w:kern w:val="2"/>
              </w:rPr>
              <w:t>1</w:t>
            </w:r>
            <w:r>
              <w:rPr>
                <w:kern w:val="2"/>
                <w:lang w:val="ru-RU"/>
              </w:rPr>
              <w:t xml:space="preserve"> </w:t>
            </w:r>
            <w:r>
              <w:rPr>
                <w:kern w:val="2"/>
              </w:rPr>
              <w:t>321</w:t>
            </w:r>
            <w:r>
              <w:rPr>
                <w:kern w:val="2"/>
                <w:lang w:val="ru-RU"/>
              </w:rPr>
              <w:t xml:space="preserve"> </w:t>
            </w:r>
            <w:r>
              <w:rPr>
                <w:kern w:val="2"/>
              </w:rPr>
              <w:t>229</w:t>
            </w:r>
          </w:p>
        </w:tc>
        <w:tc>
          <w:tcPr>
            <w:tcW w:w="1320" w:type="dxa"/>
          </w:tcPr>
          <w:p w:rsidR="00000000" w:rsidRDefault="00000000">
            <w:pPr>
              <w:pStyle w:val="BodyText3"/>
              <w:spacing w:line="288" w:lineRule="auto"/>
              <w:jc w:val="center"/>
              <w:rPr>
                <w:kern w:val="2"/>
              </w:rPr>
            </w:pPr>
            <w:r>
              <w:rPr>
                <w:kern w:val="2"/>
              </w:rPr>
              <w:t>2</w:t>
            </w:r>
            <w:r>
              <w:rPr>
                <w:kern w:val="2"/>
                <w:lang w:val="ru-RU"/>
              </w:rPr>
              <w:t xml:space="preserve"> </w:t>
            </w:r>
            <w:r>
              <w:rPr>
                <w:kern w:val="2"/>
              </w:rPr>
              <w:t>125</w:t>
            </w:r>
            <w:r>
              <w:rPr>
                <w:kern w:val="2"/>
                <w:lang w:val="ru-RU"/>
              </w:rPr>
              <w:t xml:space="preserve"> </w:t>
            </w:r>
            <w:r>
              <w:rPr>
                <w:kern w:val="2"/>
              </w:rPr>
              <w:t>958</w:t>
            </w:r>
          </w:p>
        </w:tc>
      </w:tr>
    </w:tbl>
    <w:p w:rsidR="00000000" w:rsidRDefault="00000000">
      <w:pPr>
        <w:pStyle w:val="BodyText3"/>
        <w:spacing w:line="288" w:lineRule="auto"/>
        <w:jc w:val="center"/>
        <w:rPr>
          <w:bCs/>
          <w:spacing w:val="20"/>
          <w:kern w:val="2"/>
          <w:sz w:val="24"/>
          <w:lang w:val="ru-RU"/>
        </w:rPr>
      </w:pPr>
    </w:p>
    <w:p w:rsidR="00000000" w:rsidRDefault="00000000">
      <w:pPr>
        <w:rPr>
          <w:kern w:val="2"/>
        </w:rPr>
      </w:pPr>
      <w:r>
        <w:rPr>
          <w:kern w:val="2"/>
        </w:rPr>
        <w:tab/>
      </w:r>
      <w:r>
        <w:rPr>
          <w:kern w:val="2"/>
          <w:u w:val="single"/>
        </w:rPr>
        <w:t>Источник</w:t>
      </w:r>
      <w:r>
        <w:rPr>
          <w:kern w:val="2"/>
        </w:rPr>
        <w:t>:  Министерство образования.</w:t>
      </w:r>
    </w:p>
    <w:p w:rsidR="00000000" w:rsidRDefault="00000000">
      <w:pPr>
        <w:pStyle w:val="BodyText3"/>
        <w:spacing w:line="288" w:lineRule="auto"/>
        <w:jc w:val="center"/>
        <w:rPr>
          <w:bCs/>
          <w:spacing w:val="20"/>
          <w:kern w:val="2"/>
          <w:sz w:val="24"/>
          <w:lang w:val="ru-RU"/>
        </w:rPr>
      </w:pPr>
    </w:p>
    <w:p w:rsidR="00000000" w:rsidRDefault="00000000">
      <w:pPr>
        <w:pStyle w:val="10"/>
        <w:rPr>
          <w:bCs/>
          <w:kern w:val="2"/>
        </w:rPr>
      </w:pPr>
      <w:r>
        <w:rPr>
          <w:bCs/>
          <w:kern w:val="2"/>
        </w:rPr>
        <w:t>Таблица 15.   Персонал общинных медицинских учреждений:  число</w:t>
      </w:r>
    </w:p>
    <w:p w:rsidR="00000000" w:rsidRDefault="00000000">
      <w:pPr>
        <w:pStyle w:val="10"/>
        <w:rPr>
          <w:bCs/>
          <w:kern w:val="2"/>
        </w:rPr>
      </w:pPr>
      <w:r>
        <w:rPr>
          <w:bCs/>
          <w:kern w:val="2"/>
        </w:rPr>
        <w:t>работников и количество обслуживаемых муниципий</w:t>
      </w:r>
    </w:p>
    <w:p w:rsidR="00000000" w:rsidRDefault="00000000">
      <w:pPr>
        <w:pStyle w:val="BodyText3"/>
        <w:spacing w:line="288" w:lineRule="auto"/>
        <w:jc w:val="center"/>
        <w:rPr>
          <w:b/>
          <w:spacing w:val="20"/>
          <w:kern w:val="2"/>
          <w:sz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125"/>
        <w:gridCol w:w="1980"/>
        <w:gridCol w:w="2729"/>
      </w:tblGrid>
      <w:tr w:rsidR="00000000">
        <w:tblPrEx>
          <w:tblCellMar>
            <w:top w:w="0" w:type="dxa"/>
            <w:bottom w:w="0" w:type="dxa"/>
          </w:tblCellMar>
        </w:tblPrEx>
        <w:trPr>
          <w:jc w:val="center"/>
        </w:trPr>
        <w:tc>
          <w:tcPr>
            <w:tcW w:w="1125" w:type="dxa"/>
          </w:tcPr>
          <w:p w:rsidR="00000000" w:rsidRDefault="00000000">
            <w:pPr>
              <w:pStyle w:val="BodyText3"/>
              <w:jc w:val="center"/>
              <w:rPr>
                <w:kern w:val="2"/>
                <w:sz w:val="24"/>
                <w:lang w:val="ru-RU"/>
              </w:rPr>
            </w:pPr>
            <w:r>
              <w:rPr>
                <w:kern w:val="2"/>
                <w:sz w:val="24"/>
                <w:lang w:val="ru-RU"/>
              </w:rPr>
              <w:t>Год</w:t>
            </w:r>
          </w:p>
        </w:tc>
        <w:tc>
          <w:tcPr>
            <w:tcW w:w="1980" w:type="dxa"/>
          </w:tcPr>
          <w:p w:rsidR="00000000" w:rsidRDefault="00000000">
            <w:pPr>
              <w:pStyle w:val="BodyText3"/>
              <w:spacing w:line="288" w:lineRule="auto"/>
              <w:jc w:val="center"/>
              <w:rPr>
                <w:kern w:val="2"/>
                <w:sz w:val="24"/>
                <w:lang w:val="ru-RU"/>
              </w:rPr>
            </w:pPr>
            <w:r>
              <w:rPr>
                <w:kern w:val="2"/>
                <w:sz w:val="24"/>
                <w:lang w:val="ru-RU"/>
              </w:rPr>
              <w:t>Число работников</w:t>
            </w:r>
          </w:p>
        </w:tc>
        <w:tc>
          <w:tcPr>
            <w:tcW w:w="2729" w:type="dxa"/>
          </w:tcPr>
          <w:p w:rsidR="00000000" w:rsidRDefault="00000000">
            <w:pPr>
              <w:pStyle w:val="BodyText3"/>
              <w:spacing w:line="288" w:lineRule="auto"/>
              <w:jc w:val="center"/>
              <w:rPr>
                <w:kern w:val="2"/>
                <w:sz w:val="24"/>
                <w:lang w:val="ru-RU"/>
              </w:rPr>
            </w:pPr>
            <w:r>
              <w:rPr>
                <w:kern w:val="2"/>
                <w:sz w:val="24"/>
                <w:lang w:val="ru-RU"/>
              </w:rPr>
              <w:t>Количество муниципий</w:t>
            </w:r>
          </w:p>
        </w:tc>
      </w:tr>
      <w:tr w:rsidR="00000000">
        <w:tblPrEx>
          <w:tblCellMar>
            <w:top w:w="0" w:type="dxa"/>
            <w:bottom w:w="0" w:type="dxa"/>
          </w:tblCellMar>
        </w:tblPrEx>
        <w:trPr>
          <w:jc w:val="center"/>
        </w:trPr>
        <w:tc>
          <w:tcPr>
            <w:tcW w:w="1125" w:type="dxa"/>
          </w:tcPr>
          <w:p w:rsidR="00000000" w:rsidRDefault="00000000">
            <w:pPr>
              <w:pStyle w:val="BodyText3"/>
              <w:jc w:val="center"/>
              <w:rPr>
                <w:kern w:val="2"/>
                <w:sz w:val="24"/>
              </w:rPr>
            </w:pPr>
            <w:r>
              <w:rPr>
                <w:kern w:val="2"/>
                <w:sz w:val="24"/>
              </w:rPr>
              <w:t>1994</w:t>
            </w:r>
          </w:p>
        </w:tc>
        <w:tc>
          <w:tcPr>
            <w:tcW w:w="1980" w:type="dxa"/>
          </w:tcPr>
          <w:p w:rsidR="00000000" w:rsidRDefault="00000000">
            <w:pPr>
              <w:pStyle w:val="BodyText3"/>
              <w:spacing w:line="288" w:lineRule="auto"/>
              <w:jc w:val="center"/>
              <w:rPr>
                <w:kern w:val="2"/>
                <w:sz w:val="24"/>
              </w:rPr>
            </w:pPr>
            <w:r>
              <w:rPr>
                <w:kern w:val="2"/>
                <w:sz w:val="24"/>
                <w:lang w:val="ru-RU"/>
              </w:rPr>
              <w:t xml:space="preserve"> </w:t>
            </w:r>
            <w:r>
              <w:rPr>
                <w:kern w:val="2"/>
                <w:sz w:val="24"/>
              </w:rPr>
              <w:t>29</w:t>
            </w:r>
            <w:r>
              <w:rPr>
                <w:kern w:val="2"/>
                <w:sz w:val="24"/>
                <w:lang w:val="ru-RU"/>
              </w:rPr>
              <w:t xml:space="preserve"> </w:t>
            </w:r>
            <w:r>
              <w:rPr>
                <w:kern w:val="2"/>
                <w:sz w:val="24"/>
              </w:rPr>
              <w:t>098</w:t>
            </w:r>
          </w:p>
        </w:tc>
        <w:tc>
          <w:tcPr>
            <w:tcW w:w="2729" w:type="dxa"/>
          </w:tcPr>
          <w:p w:rsidR="00000000" w:rsidRDefault="00000000">
            <w:pPr>
              <w:pStyle w:val="BodyText3"/>
              <w:spacing w:line="288" w:lineRule="auto"/>
              <w:jc w:val="center"/>
              <w:rPr>
                <w:kern w:val="2"/>
                <w:sz w:val="24"/>
              </w:rPr>
            </w:pPr>
            <w:r>
              <w:rPr>
                <w:kern w:val="2"/>
                <w:sz w:val="24"/>
                <w:lang w:val="ru-RU"/>
              </w:rPr>
              <w:t xml:space="preserve">  </w:t>
            </w:r>
            <w:r>
              <w:rPr>
                <w:kern w:val="2"/>
                <w:sz w:val="24"/>
              </w:rPr>
              <w:t>879</w:t>
            </w:r>
          </w:p>
        </w:tc>
      </w:tr>
      <w:tr w:rsidR="00000000">
        <w:tblPrEx>
          <w:tblCellMar>
            <w:top w:w="0" w:type="dxa"/>
            <w:bottom w:w="0" w:type="dxa"/>
          </w:tblCellMar>
        </w:tblPrEx>
        <w:trPr>
          <w:jc w:val="center"/>
        </w:trPr>
        <w:tc>
          <w:tcPr>
            <w:tcW w:w="1125" w:type="dxa"/>
          </w:tcPr>
          <w:p w:rsidR="00000000" w:rsidRDefault="00000000">
            <w:pPr>
              <w:pStyle w:val="BodyText3"/>
              <w:jc w:val="center"/>
              <w:rPr>
                <w:kern w:val="2"/>
                <w:sz w:val="24"/>
              </w:rPr>
            </w:pPr>
            <w:r>
              <w:rPr>
                <w:kern w:val="2"/>
                <w:sz w:val="24"/>
              </w:rPr>
              <w:t>1995</w:t>
            </w:r>
          </w:p>
        </w:tc>
        <w:tc>
          <w:tcPr>
            <w:tcW w:w="1980" w:type="dxa"/>
          </w:tcPr>
          <w:p w:rsidR="00000000" w:rsidRDefault="00000000">
            <w:pPr>
              <w:pStyle w:val="BodyText3"/>
              <w:spacing w:line="288" w:lineRule="auto"/>
              <w:jc w:val="center"/>
              <w:rPr>
                <w:kern w:val="2"/>
                <w:sz w:val="24"/>
              </w:rPr>
            </w:pPr>
            <w:r>
              <w:rPr>
                <w:kern w:val="2"/>
                <w:sz w:val="24"/>
                <w:lang w:val="ru-RU"/>
              </w:rPr>
              <w:t xml:space="preserve"> </w:t>
            </w:r>
            <w:r>
              <w:rPr>
                <w:kern w:val="2"/>
                <w:sz w:val="24"/>
              </w:rPr>
              <w:t>34</w:t>
            </w:r>
            <w:r>
              <w:rPr>
                <w:kern w:val="2"/>
                <w:sz w:val="24"/>
                <w:lang w:val="ru-RU"/>
              </w:rPr>
              <w:t xml:space="preserve"> </w:t>
            </w:r>
            <w:r>
              <w:rPr>
                <w:kern w:val="2"/>
                <w:sz w:val="24"/>
              </w:rPr>
              <w:t>546</w:t>
            </w:r>
          </w:p>
        </w:tc>
        <w:tc>
          <w:tcPr>
            <w:tcW w:w="2729" w:type="dxa"/>
          </w:tcPr>
          <w:p w:rsidR="00000000" w:rsidRDefault="00000000">
            <w:pPr>
              <w:pStyle w:val="BodyText3"/>
              <w:spacing w:line="288" w:lineRule="auto"/>
              <w:jc w:val="center"/>
              <w:rPr>
                <w:kern w:val="2"/>
                <w:sz w:val="24"/>
              </w:rPr>
            </w:pPr>
            <w:r>
              <w:rPr>
                <w:kern w:val="2"/>
                <w:sz w:val="24"/>
              </w:rPr>
              <w:t>1</w:t>
            </w:r>
            <w:r>
              <w:rPr>
                <w:kern w:val="2"/>
                <w:sz w:val="24"/>
                <w:lang w:val="ru-RU"/>
              </w:rPr>
              <w:t xml:space="preserve"> </w:t>
            </w:r>
            <w:r>
              <w:rPr>
                <w:kern w:val="2"/>
                <w:sz w:val="24"/>
              </w:rPr>
              <w:t>088</w:t>
            </w:r>
          </w:p>
        </w:tc>
      </w:tr>
      <w:tr w:rsidR="00000000">
        <w:tblPrEx>
          <w:tblCellMar>
            <w:top w:w="0" w:type="dxa"/>
            <w:bottom w:w="0" w:type="dxa"/>
          </w:tblCellMar>
        </w:tblPrEx>
        <w:trPr>
          <w:jc w:val="center"/>
        </w:trPr>
        <w:tc>
          <w:tcPr>
            <w:tcW w:w="1125" w:type="dxa"/>
          </w:tcPr>
          <w:p w:rsidR="00000000" w:rsidRDefault="00000000">
            <w:pPr>
              <w:pStyle w:val="BodyText3"/>
              <w:jc w:val="center"/>
              <w:rPr>
                <w:kern w:val="2"/>
                <w:sz w:val="24"/>
              </w:rPr>
            </w:pPr>
            <w:r>
              <w:rPr>
                <w:kern w:val="2"/>
                <w:sz w:val="24"/>
              </w:rPr>
              <w:t>1996</w:t>
            </w:r>
          </w:p>
        </w:tc>
        <w:tc>
          <w:tcPr>
            <w:tcW w:w="1980" w:type="dxa"/>
          </w:tcPr>
          <w:p w:rsidR="00000000" w:rsidRDefault="00000000">
            <w:pPr>
              <w:pStyle w:val="BodyText3"/>
              <w:spacing w:line="288" w:lineRule="auto"/>
              <w:jc w:val="center"/>
              <w:rPr>
                <w:kern w:val="2"/>
                <w:sz w:val="24"/>
              </w:rPr>
            </w:pPr>
            <w:r>
              <w:rPr>
                <w:kern w:val="2"/>
                <w:sz w:val="24"/>
                <w:lang w:val="ru-RU"/>
              </w:rPr>
              <w:t xml:space="preserve"> </w:t>
            </w:r>
            <w:r>
              <w:rPr>
                <w:kern w:val="2"/>
                <w:sz w:val="24"/>
              </w:rPr>
              <w:t>44</w:t>
            </w:r>
            <w:r>
              <w:rPr>
                <w:kern w:val="2"/>
                <w:sz w:val="24"/>
                <w:lang w:val="ru-RU"/>
              </w:rPr>
              <w:t xml:space="preserve"> </w:t>
            </w:r>
            <w:r>
              <w:rPr>
                <w:kern w:val="2"/>
                <w:sz w:val="24"/>
              </w:rPr>
              <w:t>532</w:t>
            </w:r>
          </w:p>
        </w:tc>
        <w:tc>
          <w:tcPr>
            <w:tcW w:w="2729" w:type="dxa"/>
          </w:tcPr>
          <w:p w:rsidR="00000000" w:rsidRDefault="00000000">
            <w:pPr>
              <w:pStyle w:val="BodyText3"/>
              <w:spacing w:line="288" w:lineRule="auto"/>
              <w:jc w:val="center"/>
              <w:rPr>
                <w:kern w:val="2"/>
                <w:sz w:val="24"/>
              </w:rPr>
            </w:pPr>
            <w:r>
              <w:rPr>
                <w:kern w:val="2"/>
                <w:sz w:val="24"/>
              </w:rPr>
              <w:t>1</w:t>
            </w:r>
            <w:r>
              <w:rPr>
                <w:kern w:val="2"/>
                <w:sz w:val="24"/>
                <w:lang w:val="ru-RU"/>
              </w:rPr>
              <w:t xml:space="preserve"> </w:t>
            </w:r>
            <w:r>
              <w:rPr>
                <w:kern w:val="2"/>
                <w:sz w:val="24"/>
              </w:rPr>
              <w:t>470</w:t>
            </w:r>
          </w:p>
        </w:tc>
      </w:tr>
      <w:tr w:rsidR="00000000">
        <w:tblPrEx>
          <w:tblCellMar>
            <w:top w:w="0" w:type="dxa"/>
            <w:bottom w:w="0" w:type="dxa"/>
          </w:tblCellMar>
        </w:tblPrEx>
        <w:trPr>
          <w:jc w:val="center"/>
        </w:trPr>
        <w:tc>
          <w:tcPr>
            <w:tcW w:w="1125" w:type="dxa"/>
          </w:tcPr>
          <w:p w:rsidR="00000000" w:rsidRDefault="00000000">
            <w:pPr>
              <w:pStyle w:val="BodyText3"/>
              <w:jc w:val="center"/>
              <w:rPr>
                <w:kern w:val="2"/>
                <w:sz w:val="24"/>
              </w:rPr>
            </w:pPr>
            <w:r>
              <w:rPr>
                <w:kern w:val="2"/>
                <w:sz w:val="24"/>
              </w:rPr>
              <w:t>1997</w:t>
            </w:r>
          </w:p>
        </w:tc>
        <w:tc>
          <w:tcPr>
            <w:tcW w:w="1980" w:type="dxa"/>
          </w:tcPr>
          <w:p w:rsidR="00000000" w:rsidRDefault="00000000">
            <w:pPr>
              <w:pStyle w:val="BodyText3"/>
              <w:spacing w:line="288" w:lineRule="auto"/>
              <w:jc w:val="center"/>
              <w:rPr>
                <w:kern w:val="2"/>
                <w:sz w:val="24"/>
              </w:rPr>
            </w:pPr>
            <w:r>
              <w:rPr>
                <w:kern w:val="2"/>
                <w:sz w:val="24"/>
                <w:lang w:val="ru-RU"/>
              </w:rPr>
              <w:t xml:space="preserve"> </w:t>
            </w:r>
            <w:r>
              <w:rPr>
                <w:kern w:val="2"/>
                <w:sz w:val="24"/>
              </w:rPr>
              <w:t>54</w:t>
            </w:r>
            <w:r>
              <w:rPr>
                <w:kern w:val="2"/>
                <w:sz w:val="24"/>
                <w:lang w:val="ru-RU"/>
              </w:rPr>
              <w:t xml:space="preserve"> </w:t>
            </w:r>
            <w:r>
              <w:rPr>
                <w:kern w:val="2"/>
                <w:sz w:val="24"/>
              </w:rPr>
              <w:t>934</w:t>
            </w:r>
          </w:p>
        </w:tc>
        <w:tc>
          <w:tcPr>
            <w:tcW w:w="2729" w:type="dxa"/>
          </w:tcPr>
          <w:p w:rsidR="00000000" w:rsidRDefault="00000000">
            <w:pPr>
              <w:pStyle w:val="BodyText3"/>
              <w:spacing w:line="288" w:lineRule="auto"/>
              <w:jc w:val="center"/>
              <w:rPr>
                <w:kern w:val="2"/>
                <w:sz w:val="24"/>
              </w:rPr>
            </w:pPr>
            <w:r>
              <w:rPr>
                <w:kern w:val="2"/>
                <w:sz w:val="24"/>
              </w:rPr>
              <w:t>2</w:t>
            </w:r>
            <w:r>
              <w:rPr>
                <w:kern w:val="2"/>
                <w:sz w:val="24"/>
                <w:lang w:val="ru-RU"/>
              </w:rPr>
              <w:t xml:space="preserve"> </w:t>
            </w:r>
            <w:r>
              <w:rPr>
                <w:kern w:val="2"/>
                <w:sz w:val="24"/>
              </w:rPr>
              <w:t>203</w:t>
            </w:r>
          </w:p>
        </w:tc>
      </w:tr>
      <w:tr w:rsidR="00000000">
        <w:tblPrEx>
          <w:tblCellMar>
            <w:top w:w="0" w:type="dxa"/>
            <w:bottom w:w="0" w:type="dxa"/>
          </w:tblCellMar>
        </w:tblPrEx>
        <w:trPr>
          <w:jc w:val="center"/>
        </w:trPr>
        <w:tc>
          <w:tcPr>
            <w:tcW w:w="1125" w:type="dxa"/>
          </w:tcPr>
          <w:p w:rsidR="00000000" w:rsidRDefault="00000000">
            <w:pPr>
              <w:pStyle w:val="BodyText3"/>
              <w:jc w:val="center"/>
              <w:rPr>
                <w:kern w:val="2"/>
                <w:sz w:val="24"/>
              </w:rPr>
            </w:pPr>
            <w:r>
              <w:rPr>
                <w:kern w:val="2"/>
                <w:sz w:val="24"/>
              </w:rPr>
              <w:t>1998</w:t>
            </w:r>
          </w:p>
        </w:tc>
        <w:tc>
          <w:tcPr>
            <w:tcW w:w="1980" w:type="dxa"/>
          </w:tcPr>
          <w:p w:rsidR="00000000" w:rsidRDefault="00000000">
            <w:pPr>
              <w:pStyle w:val="BodyText3"/>
              <w:spacing w:line="288" w:lineRule="auto"/>
              <w:jc w:val="center"/>
              <w:rPr>
                <w:kern w:val="2"/>
                <w:sz w:val="24"/>
              </w:rPr>
            </w:pPr>
            <w:r>
              <w:rPr>
                <w:kern w:val="2"/>
                <w:sz w:val="24"/>
                <w:lang w:val="ru-RU"/>
              </w:rPr>
              <w:t xml:space="preserve"> </w:t>
            </w:r>
            <w:r>
              <w:rPr>
                <w:kern w:val="2"/>
                <w:sz w:val="24"/>
              </w:rPr>
              <w:t>88</w:t>
            </w:r>
            <w:r>
              <w:rPr>
                <w:kern w:val="2"/>
                <w:sz w:val="24"/>
                <w:lang w:val="ru-RU"/>
              </w:rPr>
              <w:t xml:space="preserve"> </w:t>
            </w:r>
            <w:r>
              <w:rPr>
                <w:kern w:val="2"/>
                <w:sz w:val="24"/>
              </w:rPr>
              <w:t>961</w:t>
            </w:r>
          </w:p>
        </w:tc>
        <w:tc>
          <w:tcPr>
            <w:tcW w:w="2729" w:type="dxa"/>
          </w:tcPr>
          <w:p w:rsidR="00000000" w:rsidRDefault="00000000">
            <w:pPr>
              <w:pStyle w:val="BodyText3"/>
              <w:spacing w:line="288" w:lineRule="auto"/>
              <w:jc w:val="center"/>
              <w:rPr>
                <w:kern w:val="2"/>
                <w:sz w:val="24"/>
              </w:rPr>
            </w:pPr>
            <w:r>
              <w:rPr>
                <w:kern w:val="2"/>
                <w:sz w:val="24"/>
              </w:rPr>
              <w:t>3</w:t>
            </w:r>
            <w:r>
              <w:rPr>
                <w:kern w:val="2"/>
                <w:sz w:val="24"/>
                <w:lang w:val="ru-RU"/>
              </w:rPr>
              <w:t xml:space="preserve"> </w:t>
            </w:r>
            <w:r>
              <w:rPr>
                <w:kern w:val="2"/>
                <w:sz w:val="24"/>
              </w:rPr>
              <w:t>541</w:t>
            </w:r>
          </w:p>
        </w:tc>
      </w:tr>
      <w:tr w:rsidR="00000000">
        <w:tblPrEx>
          <w:tblCellMar>
            <w:top w:w="0" w:type="dxa"/>
            <w:bottom w:w="0" w:type="dxa"/>
          </w:tblCellMar>
        </w:tblPrEx>
        <w:trPr>
          <w:jc w:val="center"/>
        </w:trPr>
        <w:tc>
          <w:tcPr>
            <w:tcW w:w="1125" w:type="dxa"/>
          </w:tcPr>
          <w:p w:rsidR="00000000" w:rsidRDefault="00000000">
            <w:pPr>
              <w:pStyle w:val="BodyText3"/>
              <w:jc w:val="center"/>
              <w:rPr>
                <w:kern w:val="2"/>
                <w:sz w:val="24"/>
              </w:rPr>
            </w:pPr>
            <w:r>
              <w:rPr>
                <w:kern w:val="2"/>
                <w:sz w:val="24"/>
              </w:rPr>
              <w:t>1999</w:t>
            </w:r>
          </w:p>
        </w:tc>
        <w:tc>
          <w:tcPr>
            <w:tcW w:w="1980" w:type="dxa"/>
          </w:tcPr>
          <w:p w:rsidR="00000000" w:rsidRDefault="00000000">
            <w:pPr>
              <w:pStyle w:val="BodyText3"/>
              <w:spacing w:line="288" w:lineRule="auto"/>
              <w:jc w:val="center"/>
              <w:rPr>
                <w:kern w:val="2"/>
                <w:sz w:val="24"/>
              </w:rPr>
            </w:pPr>
            <w:r>
              <w:rPr>
                <w:kern w:val="2"/>
                <w:sz w:val="24"/>
              </w:rPr>
              <w:t>111</w:t>
            </w:r>
            <w:r>
              <w:rPr>
                <w:kern w:val="2"/>
                <w:sz w:val="24"/>
                <w:lang w:val="ru-RU"/>
              </w:rPr>
              <w:t xml:space="preserve"> </w:t>
            </w:r>
            <w:r>
              <w:rPr>
                <w:kern w:val="2"/>
                <w:sz w:val="24"/>
              </w:rPr>
              <w:t>659</w:t>
            </w:r>
          </w:p>
        </w:tc>
        <w:tc>
          <w:tcPr>
            <w:tcW w:w="2729" w:type="dxa"/>
          </w:tcPr>
          <w:p w:rsidR="00000000" w:rsidRDefault="00000000">
            <w:pPr>
              <w:pStyle w:val="BodyText3"/>
              <w:spacing w:line="288" w:lineRule="auto"/>
              <w:jc w:val="center"/>
              <w:rPr>
                <w:kern w:val="2"/>
                <w:sz w:val="24"/>
              </w:rPr>
            </w:pPr>
            <w:r>
              <w:rPr>
                <w:kern w:val="2"/>
                <w:sz w:val="24"/>
              </w:rPr>
              <w:t>4</w:t>
            </w:r>
            <w:r>
              <w:rPr>
                <w:kern w:val="2"/>
                <w:sz w:val="24"/>
                <w:lang w:val="ru-RU"/>
              </w:rPr>
              <w:t xml:space="preserve"> </w:t>
            </w:r>
            <w:r>
              <w:rPr>
                <w:kern w:val="2"/>
                <w:sz w:val="24"/>
              </w:rPr>
              <w:t>052</w:t>
            </w:r>
          </w:p>
        </w:tc>
      </w:tr>
    </w:tbl>
    <w:p w:rsidR="00000000" w:rsidRDefault="00000000">
      <w:pPr>
        <w:pStyle w:val="BodyText3"/>
        <w:spacing w:line="288" w:lineRule="auto"/>
        <w:jc w:val="center"/>
        <w:rPr>
          <w:bCs/>
          <w:spacing w:val="20"/>
          <w:kern w:val="2"/>
          <w:sz w:val="24"/>
          <w:lang w:val="ru-RU"/>
        </w:rPr>
      </w:pPr>
    </w:p>
    <w:p w:rsidR="00000000" w:rsidRDefault="00000000">
      <w:pPr>
        <w:jc w:val="center"/>
        <w:rPr>
          <w:kern w:val="2"/>
        </w:rPr>
      </w:pPr>
      <w:r>
        <w:rPr>
          <w:kern w:val="2"/>
          <w:u w:val="single"/>
        </w:rPr>
        <w:t>Источник</w:t>
      </w:r>
      <w:r>
        <w:rPr>
          <w:kern w:val="2"/>
        </w:rPr>
        <w:t>:  Министерство здравоохранения.</w:t>
      </w:r>
    </w:p>
    <w:p w:rsidR="00000000" w:rsidRDefault="00000000">
      <w:pPr>
        <w:pStyle w:val="BodyText3"/>
        <w:spacing w:line="288" w:lineRule="auto"/>
        <w:jc w:val="center"/>
        <w:rPr>
          <w:bCs/>
          <w:spacing w:val="20"/>
          <w:kern w:val="2"/>
          <w:sz w:val="16"/>
          <w:lang w:val="ru-RU"/>
        </w:rPr>
      </w:pPr>
    </w:p>
    <w:p w:rsidR="00000000" w:rsidRDefault="00000000">
      <w:pPr>
        <w:jc w:val="center"/>
        <w:rPr>
          <w:b/>
          <w:bCs/>
          <w:kern w:val="2"/>
        </w:rPr>
      </w:pPr>
      <w:r>
        <w:rPr>
          <w:b/>
          <w:bCs/>
          <w:kern w:val="2"/>
        </w:rPr>
        <w:t>Таблица 16.   Группы охраны здоровья семьи:  количество групп</w:t>
      </w:r>
    </w:p>
    <w:p w:rsidR="00000000" w:rsidRDefault="00000000">
      <w:pPr>
        <w:jc w:val="center"/>
        <w:rPr>
          <w:b/>
          <w:bCs/>
          <w:kern w:val="2"/>
        </w:rPr>
      </w:pPr>
      <w:r>
        <w:rPr>
          <w:b/>
          <w:bCs/>
          <w:kern w:val="2"/>
        </w:rPr>
        <w:t>и обслуживаемых муниципий</w:t>
      </w:r>
    </w:p>
    <w:p w:rsidR="00000000" w:rsidRDefault="00000000">
      <w:pPr>
        <w:pStyle w:val="BodyText3"/>
        <w:jc w:val="center"/>
        <w:rPr>
          <w:b/>
          <w:spacing w:val="20"/>
          <w:kern w:val="2"/>
          <w:sz w:val="16"/>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1230"/>
        <w:gridCol w:w="2057"/>
        <w:gridCol w:w="2652"/>
      </w:tblGrid>
      <w:tr w:rsidR="00000000">
        <w:tblPrEx>
          <w:tblCellMar>
            <w:top w:w="0" w:type="dxa"/>
            <w:bottom w:w="0" w:type="dxa"/>
          </w:tblCellMar>
        </w:tblPrEx>
        <w:trPr>
          <w:jc w:val="center"/>
        </w:trPr>
        <w:tc>
          <w:tcPr>
            <w:tcW w:w="1230" w:type="dxa"/>
          </w:tcPr>
          <w:p w:rsidR="00000000" w:rsidRDefault="00000000">
            <w:pPr>
              <w:pStyle w:val="BodyText3"/>
              <w:jc w:val="center"/>
              <w:rPr>
                <w:kern w:val="2"/>
                <w:sz w:val="24"/>
                <w:lang w:val="ru-RU"/>
              </w:rPr>
            </w:pPr>
            <w:r>
              <w:rPr>
                <w:kern w:val="2"/>
                <w:sz w:val="24"/>
                <w:lang w:val="ru-RU"/>
              </w:rPr>
              <w:t>Год</w:t>
            </w:r>
          </w:p>
        </w:tc>
        <w:tc>
          <w:tcPr>
            <w:tcW w:w="2057" w:type="dxa"/>
          </w:tcPr>
          <w:p w:rsidR="00000000" w:rsidRDefault="00000000">
            <w:pPr>
              <w:pStyle w:val="BodyText3"/>
              <w:jc w:val="center"/>
              <w:rPr>
                <w:kern w:val="2"/>
                <w:sz w:val="24"/>
                <w:lang w:val="ru-RU"/>
              </w:rPr>
            </w:pPr>
            <w:r>
              <w:rPr>
                <w:kern w:val="2"/>
                <w:sz w:val="24"/>
                <w:lang w:val="ru-RU"/>
              </w:rPr>
              <w:t>Количество групп</w:t>
            </w:r>
          </w:p>
        </w:tc>
        <w:tc>
          <w:tcPr>
            <w:tcW w:w="2652" w:type="dxa"/>
          </w:tcPr>
          <w:p w:rsidR="00000000" w:rsidRDefault="00000000">
            <w:pPr>
              <w:pStyle w:val="BodyText3"/>
              <w:rPr>
                <w:kern w:val="2"/>
                <w:sz w:val="24"/>
                <w:lang w:val="ru-RU"/>
              </w:rPr>
            </w:pPr>
            <w:r>
              <w:rPr>
                <w:kern w:val="2"/>
                <w:sz w:val="24"/>
                <w:lang w:val="ru-RU"/>
              </w:rPr>
              <w:t>Количество муниципий</w:t>
            </w:r>
          </w:p>
        </w:tc>
      </w:tr>
      <w:tr w:rsidR="00000000">
        <w:tblPrEx>
          <w:tblCellMar>
            <w:top w:w="0" w:type="dxa"/>
            <w:bottom w:w="0" w:type="dxa"/>
          </w:tblCellMar>
        </w:tblPrEx>
        <w:trPr>
          <w:jc w:val="center"/>
        </w:trPr>
        <w:tc>
          <w:tcPr>
            <w:tcW w:w="1230" w:type="dxa"/>
          </w:tcPr>
          <w:p w:rsidR="00000000" w:rsidRDefault="00000000">
            <w:pPr>
              <w:pStyle w:val="BodyText3"/>
              <w:jc w:val="center"/>
              <w:rPr>
                <w:kern w:val="2"/>
                <w:sz w:val="24"/>
              </w:rPr>
            </w:pPr>
            <w:r>
              <w:rPr>
                <w:kern w:val="2"/>
                <w:sz w:val="24"/>
              </w:rPr>
              <w:t>1994</w:t>
            </w:r>
          </w:p>
        </w:tc>
        <w:tc>
          <w:tcPr>
            <w:tcW w:w="2057" w:type="dxa"/>
          </w:tcPr>
          <w:p w:rsidR="00000000" w:rsidRDefault="00000000">
            <w:pPr>
              <w:pStyle w:val="BodyText3"/>
              <w:jc w:val="center"/>
              <w:rPr>
                <w:kern w:val="2"/>
                <w:sz w:val="24"/>
              </w:rPr>
            </w:pPr>
            <w:r>
              <w:rPr>
                <w:kern w:val="2"/>
                <w:sz w:val="24"/>
                <w:lang w:val="ru-RU"/>
              </w:rPr>
              <w:t xml:space="preserve">   </w:t>
            </w:r>
            <w:r>
              <w:rPr>
                <w:kern w:val="2"/>
                <w:sz w:val="24"/>
              </w:rPr>
              <w:t>328</w:t>
            </w:r>
          </w:p>
        </w:tc>
        <w:tc>
          <w:tcPr>
            <w:tcW w:w="2652" w:type="dxa"/>
          </w:tcPr>
          <w:p w:rsidR="00000000" w:rsidRDefault="00000000">
            <w:pPr>
              <w:pStyle w:val="BodyText3"/>
              <w:jc w:val="center"/>
              <w:rPr>
                <w:kern w:val="2"/>
                <w:sz w:val="24"/>
              </w:rPr>
            </w:pPr>
            <w:r>
              <w:rPr>
                <w:kern w:val="2"/>
                <w:sz w:val="24"/>
                <w:lang w:val="ru-RU"/>
              </w:rPr>
              <w:t xml:space="preserve">   </w:t>
            </w:r>
            <w:r>
              <w:rPr>
                <w:kern w:val="2"/>
                <w:sz w:val="24"/>
              </w:rPr>
              <w:t>55</w:t>
            </w:r>
          </w:p>
        </w:tc>
      </w:tr>
      <w:tr w:rsidR="00000000">
        <w:tblPrEx>
          <w:tblCellMar>
            <w:top w:w="0" w:type="dxa"/>
            <w:bottom w:w="0" w:type="dxa"/>
          </w:tblCellMar>
        </w:tblPrEx>
        <w:trPr>
          <w:jc w:val="center"/>
        </w:trPr>
        <w:tc>
          <w:tcPr>
            <w:tcW w:w="1230" w:type="dxa"/>
          </w:tcPr>
          <w:p w:rsidR="00000000" w:rsidRDefault="00000000">
            <w:pPr>
              <w:pStyle w:val="BodyText3"/>
              <w:jc w:val="center"/>
              <w:rPr>
                <w:kern w:val="2"/>
                <w:sz w:val="24"/>
              </w:rPr>
            </w:pPr>
            <w:r>
              <w:rPr>
                <w:kern w:val="2"/>
                <w:sz w:val="24"/>
              </w:rPr>
              <w:t>1995</w:t>
            </w:r>
          </w:p>
        </w:tc>
        <w:tc>
          <w:tcPr>
            <w:tcW w:w="2057" w:type="dxa"/>
          </w:tcPr>
          <w:p w:rsidR="00000000" w:rsidRDefault="00000000">
            <w:pPr>
              <w:pStyle w:val="BodyText3"/>
              <w:jc w:val="center"/>
              <w:rPr>
                <w:kern w:val="2"/>
                <w:sz w:val="24"/>
              </w:rPr>
            </w:pPr>
            <w:r>
              <w:rPr>
                <w:kern w:val="2"/>
                <w:sz w:val="24"/>
                <w:lang w:val="ru-RU"/>
              </w:rPr>
              <w:t xml:space="preserve">   </w:t>
            </w:r>
            <w:r>
              <w:rPr>
                <w:kern w:val="2"/>
                <w:sz w:val="24"/>
              </w:rPr>
              <w:t>724</w:t>
            </w:r>
          </w:p>
        </w:tc>
        <w:tc>
          <w:tcPr>
            <w:tcW w:w="2652" w:type="dxa"/>
          </w:tcPr>
          <w:p w:rsidR="00000000" w:rsidRDefault="00000000">
            <w:pPr>
              <w:pStyle w:val="BodyText3"/>
              <w:jc w:val="center"/>
              <w:rPr>
                <w:kern w:val="2"/>
                <w:sz w:val="24"/>
              </w:rPr>
            </w:pPr>
            <w:r>
              <w:rPr>
                <w:kern w:val="2"/>
                <w:sz w:val="24"/>
                <w:lang w:val="ru-RU"/>
              </w:rPr>
              <w:t xml:space="preserve">  </w:t>
            </w:r>
            <w:r>
              <w:rPr>
                <w:kern w:val="2"/>
                <w:sz w:val="24"/>
              </w:rPr>
              <w:t>150</w:t>
            </w:r>
          </w:p>
        </w:tc>
      </w:tr>
      <w:tr w:rsidR="00000000">
        <w:tblPrEx>
          <w:tblCellMar>
            <w:top w:w="0" w:type="dxa"/>
            <w:bottom w:w="0" w:type="dxa"/>
          </w:tblCellMar>
        </w:tblPrEx>
        <w:trPr>
          <w:jc w:val="center"/>
        </w:trPr>
        <w:tc>
          <w:tcPr>
            <w:tcW w:w="1230" w:type="dxa"/>
          </w:tcPr>
          <w:p w:rsidR="00000000" w:rsidRDefault="00000000">
            <w:pPr>
              <w:pStyle w:val="BodyText3"/>
              <w:jc w:val="center"/>
              <w:rPr>
                <w:kern w:val="2"/>
                <w:sz w:val="24"/>
              </w:rPr>
            </w:pPr>
            <w:r>
              <w:rPr>
                <w:kern w:val="2"/>
                <w:sz w:val="24"/>
              </w:rPr>
              <w:t>1996</w:t>
            </w:r>
          </w:p>
        </w:tc>
        <w:tc>
          <w:tcPr>
            <w:tcW w:w="2057" w:type="dxa"/>
          </w:tcPr>
          <w:p w:rsidR="00000000" w:rsidRDefault="00000000">
            <w:pPr>
              <w:pStyle w:val="BodyText3"/>
              <w:jc w:val="center"/>
              <w:rPr>
                <w:kern w:val="2"/>
                <w:sz w:val="24"/>
              </w:rPr>
            </w:pPr>
            <w:r>
              <w:rPr>
                <w:kern w:val="2"/>
                <w:sz w:val="24"/>
                <w:lang w:val="ru-RU"/>
              </w:rPr>
              <w:t xml:space="preserve">   </w:t>
            </w:r>
            <w:r>
              <w:rPr>
                <w:kern w:val="2"/>
                <w:sz w:val="24"/>
              </w:rPr>
              <w:t>847</w:t>
            </w:r>
          </w:p>
        </w:tc>
        <w:tc>
          <w:tcPr>
            <w:tcW w:w="2652" w:type="dxa"/>
          </w:tcPr>
          <w:p w:rsidR="00000000" w:rsidRDefault="00000000">
            <w:pPr>
              <w:pStyle w:val="BodyText3"/>
              <w:jc w:val="center"/>
              <w:rPr>
                <w:kern w:val="2"/>
                <w:sz w:val="24"/>
              </w:rPr>
            </w:pPr>
            <w:r>
              <w:rPr>
                <w:kern w:val="2"/>
                <w:sz w:val="24"/>
                <w:lang w:val="ru-RU"/>
              </w:rPr>
              <w:t xml:space="preserve">  </w:t>
            </w:r>
            <w:r>
              <w:rPr>
                <w:kern w:val="2"/>
                <w:sz w:val="24"/>
              </w:rPr>
              <w:t>228</w:t>
            </w:r>
          </w:p>
        </w:tc>
      </w:tr>
      <w:tr w:rsidR="00000000">
        <w:tblPrEx>
          <w:tblCellMar>
            <w:top w:w="0" w:type="dxa"/>
            <w:bottom w:w="0" w:type="dxa"/>
          </w:tblCellMar>
        </w:tblPrEx>
        <w:trPr>
          <w:jc w:val="center"/>
        </w:trPr>
        <w:tc>
          <w:tcPr>
            <w:tcW w:w="1230" w:type="dxa"/>
          </w:tcPr>
          <w:p w:rsidR="00000000" w:rsidRDefault="00000000">
            <w:pPr>
              <w:pStyle w:val="BodyText3"/>
              <w:jc w:val="center"/>
              <w:rPr>
                <w:kern w:val="2"/>
                <w:sz w:val="24"/>
              </w:rPr>
            </w:pPr>
            <w:r>
              <w:rPr>
                <w:kern w:val="2"/>
                <w:sz w:val="24"/>
              </w:rPr>
              <w:t>1997</w:t>
            </w:r>
          </w:p>
        </w:tc>
        <w:tc>
          <w:tcPr>
            <w:tcW w:w="2057" w:type="dxa"/>
          </w:tcPr>
          <w:p w:rsidR="00000000" w:rsidRDefault="00000000">
            <w:pPr>
              <w:pStyle w:val="BodyText3"/>
              <w:jc w:val="center"/>
              <w:rPr>
                <w:kern w:val="2"/>
                <w:sz w:val="24"/>
              </w:rPr>
            </w:pPr>
            <w:r>
              <w:rPr>
                <w:kern w:val="2"/>
                <w:sz w:val="24"/>
              </w:rPr>
              <w:t>1</w:t>
            </w:r>
            <w:r>
              <w:rPr>
                <w:kern w:val="2"/>
                <w:sz w:val="24"/>
                <w:lang w:val="ru-RU"/>
              </w:rPr>
              <w:t xml:space="preserve"> </w:t>
            </w:r>
            <w:r>
              <w:rPr>
                <w:kern w:val="2"/>
                <w:sz w:val="24"/>
              </w:rPr>
              <w:t>623</w:t>
            </w:r>
          </w:p>
        </w:tc>
        <w:tc>
          <w:tcPr>
            <w:tcW w:w="2652" w:type="dxa"/>
          </w:tcPr>
          <w:p w:rsidR="00000000" w:rsidRDefault="00000000">
            <w:pPr>
              <w:pStyle w:val="BodyText3"/>
              <w:jc w:val="center"/>
              <w:rPr>
                <w:kern w:val="2"/>
                <w:sz w:val="24"/>
              </w:rPr>
            </w:pPr>
            <w:r>
              <w:rPr>
                <w:kern w:val="2"/>
                <w:sz w:val="24"/>
                <w:lang w:val="ru-RU"/>
              </w:rPr>
              <w:t xml:space="preserve">  </w:t>
            </w:r>
            <w:r>
              <w:rPr>
                <w:kern w:val="2"/>
                <w:sz w:val="24"/>
              </w:rPr>
              <w:t>567</w:t>
            </w:r>
          </w:p>
        </w:tc>
      </w:tr>
      <w:tr w:rsidR="00000000">
        <w:tblPrEx>
          <w:tblCellMar>
            <w:top w:w="0" w:type="dxa"/>
            <w:bottom w:w="0" w:type="dxa"/>
          </w:tblCellMar>
        </w:tblPrEx>
        <w:trPr>
          <w:jc w:val="center"/>
        </w:trPr>
        <w:tc>
          <w:tcPr>
            <w:tcW w:w="1230" w:type="dxa"/>
          </w:tcPr>
          <w:p w:rsidR="00000000" w:rsidRDefault="00000000">
            <w:pPr>
              <w:pStyle w:val="BodyText3"/>
              <w:jc w:val="center"/>
              <w:rPr>
                <w:kern w:val="2"/>
                <w:sz w:val="24"/>
              </w:rPr>
            </w:pPr>
            <w:r>
              <w:rPr>
                <w:kern w:val="2"/>
                <w:sz w:val="24"/>
              </w:rPr>
              <w:t>1998</w:t>
            </w:r>
          </w:p>
        </w:tc>
        <w:tc>
          <w:tcPr>
            <w:tcW w:w="2057" w:type="dxa"/>
          </w:tcPr>
          <w:p w:rsidR="00000000" w:rsidRDefault="00000000">
            <w:pPr>
              <w:pStyle w:val="BodyText3"/>
              <w:jc w:val="center"/>
              <w:rPr>
                <w:kern w:val="2"/>
                <w:sz w:val="24"/>
              </w:rPr>
            </w:pPr>
            <w:r>
              <w:rPr>
                <w:kern w:val="2"/>
                <w:sz w:val="24"/>
              </w:rPr>
              <w:t>3</w:t>
            </w:r>
            <w:r>
              <w:rPr>
                <w:kern w:val="2"/>
                <w:sz w:val="24"/>
                <w:lang w:val="ru-RU"/>
              </w:rPr>
              <w:t xml:space="preserve"> </w:t>
            </w:r>
            <w:r>
              <w:rPr>
                <w:kern w:val="2"/>
                <w:sz w:val="24"/>
              </w:rPr>
              <w:t>147</w:t>
            </w:r>
          </w:p>
        </w:tc>
        <w:tc>
          <w:tcPr>
            <w:tcW w:w="2652" w:type="dxa"/>
          </w:tcPr>
          <w:p w:rsidR="00000000" w:rsidRDefault="00000000">
            <w:pPr>
              <w:pStyle w:val="BodyText3"/>
              <w:jc w:val="center"/>
              <w:rPr>
                <w:kern w:val="2"/>
                <w:sz w:val="24"/>
              </w:rPr>
            </w:pPr>
            <w:r>
              <w:rPr>
                <w:kern w:val="2"/>
                <w:sz w:val="24"/>
              </w:rPr>
              <w:t>1</w:t>
            </w:r>
            <w:r>
              <w:rPr>
                <w:kern w:val="2"/>
                <w:sz w:val="24"/>
                <w:lang w:val="ru-RU"/>
              </w:rPr>
              <w:t xml:space="preserve"> </w:t>
            </w:r>
            <w:r>
              <w:rPr>
                <w:kern w:val="2"/>
                <w:sz w:val="24"/>
              </w:rPr>
              <w:t>117</w:t>
            </w:r>
          </w:p>
        </w:tc>
      </w:tr>
      <w:tr w:rsidR="00000000">
        <w:tblPrEx>
          <w:tblCellMar>
            <w:top w:w="0" w:type="dxa"/>
            <w:bottom w:w="0" w:type="dxa"/>
          </w:tblCellMar>
        </w:tblPrEx>
        <w:trPr>
          <w:jc w:val="center"/>
        </w:trPr>
        <w:tc>
          <w:tcPr>
            <w:tcW w:w="1230" w:type="dxa"/>
          </w:tcPr>
          <w:p w:rsidR="00000000" w:rsidRDefault="00000000">
            <w:pPr>
              <w:pStyle w:val="BodyText3"/>
              <w:spacing w:line="288" w:lineRule="auto"/>
              <w:jc w:val="center"/>
              <w:rPr>
                <w:kern w:val="2"/>
                <w:sz w:val="24"/>
              </w:rPr>
            </w:pPr>
            <w:r>
              <w:rPr>
                <w:kern w:val="2"/>
                <w:sz w:val="24"/>
              </w:rPr>
              <w:t>1999</w:t>
            </w:r>
          </w:p>
        </w:tc>
        <w:tc>
          <w:tcPr>
            <w:tcW w:w="2057" w:type="dxa"/>
          </w:tcPr>
          <w:p w:rsidR="00000000" w:rsidRDefault="00000000">
            <w:pPr>
              <w:pStyle w:val="BodyText3"/>
              <w:spacing w:line="288" w:lineRule="auto"/>
              <w:jc w:val="center"/>
              <w:rPr>
                <w:kern w:val="2"/>
                <w:sz w:val="24"/>
              </w:rPr>
            </w:pPr>
            <w:r>
              <w:rPr>
                <w:kern w:val="2"/>
                <w:sz w:val="24"/>
              </w:rPr>
              <w:t>4</w:t>
            </w:r>
            <w:r>
              <w:rPr>
                <w:kern w:val="2"/>
                <w:sz w:val="24"/>
                <w:lang w:val="ru-RU"/>
              </w:rPr>
              <w:t xml:space="preserve"> </w:t>
            </w:r>
            <w:r>
              <w:rPr>
                <w:kern w:val="2"/>
                <w:sz w:val="24"/>
              </w:rPr>
              <w:t>945</w:t>
            </w:r>
          </w:p>
        </w:tc>
        <w:tc>
          <w:tcPr>
            <w:tcW w:w="2652" w:type="dxa"/>
          </w:tcPr>
          <w:p w:rsidR="00000000" w:rsidRDefault="00000000">
            <w:pPr>
              <w:pStyle w:val="BodyText3"/>
              <w:spacing w:line="288" w:lineRule="auto"/>
              <w:jc w:val="center"/>
              <w:rPr>
                <w:kern w:val="2"/>
                <w:sz w:val="24"/>
              </w:rPr>
            </w:pPr>
            <w:r>
              <w:rPr>
                <w:kern w:val="2"/>
                <w:sz w:val="24"/>
              </w:rPr>
              <w:t>1</w:t>
            </w:r>
            <w:r>
              <w:rPr>
                <w:kern w:val="2"/>
                <w:sz w:val="24"/>
                <w:lang w:val="ru-RU"/>
              </w:rPr>
              <w:t xml:space="preserve"> </w:t>
            </w:r>
            <w:r>
              <w:rPr>
                <w:kern w:val="2"/>
                <w:sz w:val="24"/>
              </w:rPr>
              <w:t>870</w:t>
            </w:r>
          </w:p>
        </w:tc>
      </w:tr>
    </w:tbl>
    <w:p w:rsidR="00000000" w:rsidRDefault="00000000">
      <w:pPr>
        <w:pStyle w:val="BodyText3"/>
        <w:spacing w:line="288" w:lineRule="auto"/>
        <w:jc w:val="center"/>
        <w:rPr>
          <w:bCs/>
          <w:spacing w:val="20"/>
          <w:kern w:val="2"/>
          <w:sz w:val="16"/>
          <w:lang w:val="ru-RU"/>
        </w:rPr>
      </w:pPr>
    </w:p>
    <w:p w:rsidR="00000000" w:rsidRDefault="00000000">
      <w:pPr>
        <w:jc w:val="center"/>
        <w:rPr>
          <w:kern w:val="2"/>
        </w:rPr>
      </w:pPr>
      <w:r>
        <w:rPr>
          <w:kern w:val="2"/>
          <w:u w:val="single"/>
        </w:rPr>
        <w:t>Источник</w:t>
      </w:r>
      <w:r>
        <w:rPr>
          <w:kern w:val="2"/>
        </w:rPr>
        <w:t>:  Министерство здравоохранения.</w:t>
      </w:r>
    </w:p>
    <w:p w:rsidR="00000000" w:rsidRDefault="00000000">
      <w:pPr>
        <w:pStyle w:val="10"/>
        <w:rPr>
          <w:bCs/>
          <w:kern w:val="2"/>
        </w:rPr>
      </w:pPr>
      <w:r>
        <w:rPr>
          <w:bCs/>
          <w:kern w:val="2"/>
        </w:rPr>
        <w:t>Таблица 17.   Программа искоренения детского труда</w:t>
      </w:r>
    </w:p>
    <w:p w:rsidR="00000000" w:rsidRDefault="00000000">
      <w:pPr>
        <w:pStyle w:val="BodyText3"/>
        <w:spacing w:line="288" w:lineRule="auto"/>
        <w:jc w:val="center"/>
        <w:rPr>
          <w:b/>
          <w:spacing w:val="20"/>
          <w:kern w:val="2"/>
          <w:sz w:val="24"/>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 w:type="dxa"/>
          <w:right w:w="7" w:type="dxa"/>
        </w:tblCellMar>
        <w:tblLook w:val="0000" w:firstRow="0" w:lastRow="0" w:firstColumn="0" w:lastColumn="0" w:noHBand="0" w:noVBand="0"/>
      </w:tblPr>
      <w:tblGrid>
        <w:gridCol w:w="960"/>
        <w:gridCol w:w="2348"/>
        <w:gridCol w:w="3553"/>
      </w:tblGrid>
      <w:tr w:rsidR="00000000">
        <w:tblPrEx>
          <w:tblCellMar>
            <w:top w:w="0" w:type="dxa"/>
            <w:bottom w:w="0" w:type="dxa"/>
          </w:tblCellMar>
        </w:tblPrEx>
        <w:trPr>
          <w:jc w:val="center"/>
        </w:trPr>
        <w:tc>
          <w:tcPr>
            <w:tcW w:w="960" w:type="dxa"/>
          </w:tcPr>
          <w:p w:rsidR="00000000" w:rsidRDefault="00000000">
            <w:pPr>
              <w:pStyle w:val="BodyText3"/>
              <w:spacing w:line="288" w:lineRule="auto"/>
              <w:jc w:val="center"/>
              <w:rPr>
                <w:kern w:val="2"/>
                <w:sz w:val="24"/>
                <w:lang w:val="ru-RU"/>
              </w:rPr>
            </w:pPr>
            <w:r>
              <w:rPr>
                <w:kern w:val="2"/>
                <w:sz w:val="24"/>
                <w:lang w:val="ru-RU"/>
              </w:rPr>
              <w:t>Год</w:t>
            </w:r>
          </w:p>
        </w:tc>
        <w:tc>
          <w:tcPr>
            <w:tcW w:w="2348" w:type="dxa"/>
          </w:tcPr>
          <w:p w:rsidR="00000000" w:rsidRDefault="00000000">
            <w:pPr>
              <w:pStyle w:val="BodyText3"/>
              <w:spacing w:line="288" w:lineRule="auto"/>
              <w:jc w:val="center"/>
              <w:rPr>
                <w:kern w:val="2"/>
                <w:sz w:val="24"/>
                <w:lang w:val="ru-RU"/>
              </w:rPr>
            </w:pPr>
            <w:r>
              <w:rPr>
                <w:kern w:val="2"/>
                <w:sz w:val="24"/>
                <w:lang w:val="ru-RU"/>
              </w:rPr>
              <w:t>Число охваченных детей</w:t>
            </w:r>
          </w:p>
        </w:tc>
        <w:tc>
          <w:tcPr>
            <w:tcW w:w="3553" w:type="dxa"/>
          </w:tcPr>
          <w:p w:rsidR="00000000" w:rsidRDefault="00000000">
            <w:pPr>
              <w:pStyle w:val="BodyText3"/>
              <w:spacing w:line="288" w:lineRule="auto"/>
              <w:jc w:val="center"/>
              <w:rPr>
                <w:kern w:val="2"/>
                <w:sz w:val="24"/>
                <w:highlight w:val="yellow"/>
                <w:lang w:val="ru-RU"/>
              </w:rPr>
            </w:pPr>
            <w:r>
              <w:rPr>
                <w:kern w:val="2"/>
                <w:sz w:val="24"/>
                <w:lang w:val="ru-RU"/>
              </w:rPr>
              <w:t>Затраченные средства в млн. реалов</w:t>
            </w:r>
          </w:p>
        </w:tc>
      </w:tr>
      <w:tr w:rsidR="00000000">
        <w:tblPrEx>
          <w:tblCellMar>
            <w:top w:w="0" w:type="dxa"/>
            <w:bottom w:w="0" w:type="dxa"/>
          </w:tblCellMar>
        </w:tblPrEx>
        <w:trPr>
          <w:jc w:val="center"/>
        </w:trPr>
        <w:tc>
          <w:tcPr>
            <w:tcW w:w="960" w:type="dxa"/>
          </w:tcPr>
          <w:p w:rsidR="00000000" w:rsidRDefault="00000000">
            <w:pPr>
              <w:pStyle w:val="BodyText3"/>
              <w:spacing w:line="288" w:lineRule="auto"/>
              <w:jc w:val="center"/>
              <w:rPr>
                <w:kern w:val="2"/>
                <w:sz w:val="24"/>
              </w:rPr>
            </w:pPr>
            <w:r>
              <w:rPr>
                <w:kern w:val="2"/>
                <w:sz w:val="24"/>
              </w:rPr>
              <w:t>1996</w:t>
            </w:r>
          </w:p>
        </w:tc>
        <w:tc>
          <w:tcPr>
            <w:tcW w:w="2348" w:type="dxa"/>
          </w:tcPr>
          <w:p w:rsidR="00000000" w:rsidRDefault="00000000">
            <w:pPr>
              <w:pStyle w:val="BodyText3"/>
              <w:spacing w:line="288" w:lineRule="auto"/>
              <w:jc w:val="center"/>
              <w:rPr>
                <w:kern w:val="2"/>
                <w:sz w:val="24"/>
              </w:rPr>
            </w:pPr>
            <w:r>
              <w:rPr>
                <w:kern w:val="2"/>
                <w:sz w:val="24"/>
              </w:rPr>
              <w:t>3</w:t>
            </w:r>
            <w:r>
              <w:rPr>
                <w:kern w:val="2"/>
                <w:sz w:val="24"/>
                <w:lang w:val="ru-RU"/>
              </w:rPr>
              <w:t xml:space="preserve"> </w:t>
            </w:r>
            <w:r>
              <w:rPr>
                <w:kern w:val="2"/>
                <w:sz w:val="24"/>
              </w:rPr>
              <w:t>710</w:t>
            </w:r>
          </w:p>
        </w:tc>
        <w:tc>
          <w:tcPr>
            <w:tcW w:w="3553" w:type="dxa"/>
          </w:tcPr>
          <w:p w:rsidR="00000000" w:rsidRDefault="00000000">
            <w:pPr>
              <w:pStyle w:val="BodyText3"/>
              <w:spacing w:line="288" w:lineRule="auto"/>
              <w:jc w:val="center"/>
              <w:rPr>
                <w:kern w:val="2"/>
                <w:sz w:val="24"/>
              </w:rPr>
            </w:pPr>
            <w:r>
              <w:rPr>
                <w:kern w:val="2"/>
                <w:sz w:val="24"/>
              </w:rPr>
              <w:t>0,93</w:t>
            </w:r>
          </w:p>
        </w:tc>
      </w:tr>
      <w:tr w:rsidR="00000000">
        <w:tblPrEx>
          <w:tblCellMar>
            <w:top w:w="0" w:type="dxa"/>
            <w:bottom w:w="0" w:type="dxa"/>
          </w:tblCellMar>
        </w:tblPrEx>
        <w:trPr>
          <w:jc w:val="center"/>
        </w:trPr>
        <w:tc>
          <w:tcPr>
            <w:tcW w:w="960" w:type="dxa"/>
          </w:tcPr>
          <w:p w:rsidR="00000000" w:rsidRDefault="00000000">
            <w:pPr>
              <w:pStyle w:val="BodyText3"/>
              <w:spacing w:line="288" w:lineRule="auto"/>
              <w:jc w:val="center"/>
              <w:rPr>
                <w:kern w:val="2"/>
                <w:sz w:val="24"/>
              </w:rPr>
            </w:pPr>
            <w:r>
              <w:rPr>
                <w:kern w:val="2"/>
                <w:sz w:val="24"/>
              </w:rPr>
              <w:t>1997</w:t>
            </w:r>
          </w:p>
        </w:tc>
        <w:tc>
          <w:tcPr>
            <w:tcW w:w="2348" w:type="dxa"/>
          </w:tcPr>
          <w:p w:rsidR="00000000" w:rsidRDefault="00000000">
            <w:pPr>
              <w:pStyle w:val="BodyText3"/>
              <w:spacing w:line="288" w:lineRule="auto"/>
              <w:jc w:val="center"/>
              <w:rPr>
                <w:kern w:val="2"/>
                <w:sz w:val="24"/>
              </w:rPr>
            </w:pPr>
            <w:r>
              <w:rPr>
                <w:kern w:val="2"/>
                <w:sz w:val="24"/>
              </w:rPr>
              <w:t>37</w:t>
            </w:r>
            <w:r>
              <w:rPr>
                <w:kern w:val="2"/>
                <w:sz w:val="24"/>
                <w:lang w:val="ru-RU"/>
              </w:rPr>
              <w:t xml:space="preserve"> </w:t>
            </w:r>
            <w:r>
              <w:rPr>
                <w:kern w:val="2"/>
                <w:sz w:val="24"/>
              </w:rPr>
              <w:t>025</w:t>
            </w:r>
          </w:p>
        </w:tc>
        <w:tc>
          <w:tcPr>
            <w:tcW w:w="3553" w:type="dxa"/>
          </w:tcPr>
          <w:p w:rsidR="00000000" w:rsidRDefault="00000000">
            <w:pPr>
              <w:pStyle w:val="BodyText3"/>
              <w:spacing w:line="288" w:lineRule="auto"/>
              <w:jc w:val="center"/>
              <w:rPr>
                <w:kern w:val="2"/>
                <w:sz w:val="24"/>
              </w:rPr>
            </w:pPr>
            <w:r>
              <w:rPr>
                <w:kern w:val="2"/>
                <w:sz w:val="24"/>
              </w:rPr>
              <w:t>14,44</w:t>
            </w:r>
          </w:p>
        </w:tc>
      </w:tr>
      <w:tr w:rsidR="00000000">
        <w:tblPrEx>
          <w:tblCellMar>
            <w:top w:w="0" w:type="dxa"/>
            <w:bottom w:w="0" w:type="dxa"/>
          </w:tblCellMar>
        </w:tblPrEx>
        <w:trPr>
          <w:jc w:val="center"/>
        </w:trPr>
        <w:tc>
          <w:tcPr>
            <w:tcW w:w="960" w:type="dxa"/>
          </w:tcPr>
          <w:p w:rsidR="00000000" w:rsidRDefault="00000000">
            <w:pPr>
              <w:pStyle w:val="BodyText3"/>
              <w:spacing w:line="288" w:lineRule="auto"/>
              <w:jc w:val="center"/>
              <w:rPr>
                <w:kern w:val="2"/>
                <w:sz w:val="24"/>
              </w:rPr>
            </w:pPr>
            <w:r>
              <w:rPr>
                <w:kern w:val="2"/>
                <w:sz w:val="24"/>
              </w:rPr>
              <w:t>1998</w:t>
            </w:r>
          </w:p>
        </w:tc>
        <w:tc>
          <w:tcPr>
            <w:tcW w:w="2348" w:type="dxa"/>
          </w:tcPr>
          <w:p w:rsidR="00000000" w:rsidRDefault="00000000">
            <w:pPr>
              <w:pStyle w:val="BodyText3"/>
              <w:spacing w:line="288" w:lineRule="auto"/>
              <w:jc w:val="center"/>
              <w:rPr>
                <w:kern w:val="2"/>
                <w:sz w:val="24"/>
              </w:rPr>
            </w:pPr>
            <w:r>
              <w:rPr>
                <w:kern w:val="2"/>
                <w:sz w:val="24"/>
              </w:rPr>
              <w:t>117</w:t>
            </w:r>
            <w:r>
              <w:rPr>
                <w:kern w:val="2"/>
                <w:sz w:val="24"/>
                <w:lang w:val="ru-RU"/>
              </w:rPr>
              <w:t xml:space="preserve"> </w:t>
            </w:r>
            <w:r>
              <w:rPr>
                <w:kern w:val="2"/>
                <w:sz w:val="24"/>
              </w:rPr>
              <w:t>200</w:t>
            </w:r>
          </w:p>
        </w:tc>
        <w:tc>
          <w:tcPr>
            <w:tcW w:w="3553" w:type="dxa"/>
          </w:tcPr>
          <w:p w:rsidR="00000000" w:rsidRDefault="00000000">
            <w:pPr>
              <w:pStyle w:val="BodyText3"/>
              <w:spacing w:line="288" w:lineRule="auto"/>
              <w:jc w:val="center"/>
              <w:rPr>
                <w:kern w:val="2"/>
                <w:sz w:val="24"/>
              </w:rPr>
            </w:pPr>
            <w:r>
              <w:rPr>
                <w:kern w:val="2"/>
                <w:sz w:val="24"/>
              </w:rPr>
              <w:t>37,88</w:t>
            </w:r>
          </w:p>
        </w:tc>
      </w:tr>
      <w:tr w:rsidR="00000000">
        <w:tblPrEx>
          <w:tblCellMar>
            <w:top w:w="0" w:type="dxa"/>
            <w:bottom w:w="0" w:type="dxa"/>
          </w:tblCellMar>
        </w:tblPrEx>
        <w:trPr>
          <w:jc w:val="center"/>
        </w:trPr>
        <w:tc>
          <w:tcPr>
            <w:tcW w:w="960" w:type="dxa"/>
          </w:tcPr>
          <w:p w:rsidR="00000000" w:rsidRDefault="00000000">
            <w:pPr>
              <w:pStyle w:val="BodyText3"/>
              <w:spacing w:line="288" w:lineRule="auto"/>
              <w:jc w:val="center"/>
              <w:rPr>
                <w:kern w:val="2"/>
                <w:sz w:val="24"/>
              </w:rPr>
            </w:pPr>
            <w:r>
              <w:rPr>
                <w:kern w:val="2"/>
                <w:sz w:val="24"/>
              </w:rPr>
              <w:t>1999</w:t>
            </w:r>
          </w:p>
        </w:tc>
        <w:tc>
          <w:tcPr>
            <w:tcW w:w="2348" w:type="dxa"/>
          </w:tcPr>
          <w:p w:rsidR="00000000" w:rsidRDefault="00000000">
            <w:pPr>
              <w:pStyle w:val="BodyText3"/>
              <w:spacing w:line="288" w:lineRule="auto"/>
              <w:jc w:val="center"/>
              <w:rPr>
                <w:kern w:val="2"/>
                <w:sz w:val="24"/>
              </w:rPr>
            </w:pPr>
            <w:r>
              <w:rPr>
                <w:kern w:val="2"/>
                <w:sz w:val="24"/>
              </w:rPr>
              <w:t>145</w:t>
            </w:r>
            <w:r>
              <w:rPr>
                <w:kern w:val="2"/>
                <w:sz w:val="24"/>
                <w:lang w:val="ru-RU"/>
              </w:rPr>
              <w:t xml:space="preserve"> </w:t>
            </w:r>
            <w:r>
              <w:rPr>
                <w:kern w:val="2"/>
                <w:sz w:val="24"/>
              </w:rPr>
              <w:t>507</w:t>
            </w:r>
          </w:p>
        </w:tc>
        <w:tc>
          <w:tcPr>
            <w:tcW w:w="3553" w:type="dxa"/>
          </w:tcPr>
          <w:p w:rsidR="00000000" w:rsidRDefault="00000000">
            <w:pPr>
              <w:pStyle w:val="BodyText3"/>
              <w:spacing w:line="288" w:lineRule="auto"/>
              <w:jc w:val="center"/>
              <w:rPr>
                <w:kern w:val="2"/>
                <w:sz w:val="24"/>
              </w:rPr>
            </w:pPr>
            <w:r>
              <w:rPr>
                <w:kern w:val="2"/>
                <w:sz w:val="24"/>
              </w:rPr>
              <w:t>82,75</w:t>
            </w:r>
          </w:p>
        </w:tc>
      </w:tr>
    </w:tbl>
    <w:p w:rsidR="00000000" w:rsidRDefault="00000000">
      <w:pPr>
        <w:pStyle w:val="BodyText3"/>
        <w:spacing w:line="288" w:lineRule="auto"/>
        <w:jc w:val="center"/>
        <w:rPr>
          <w:bCs/>
          <w:spacing w:val="20"/>
          <w:kern w:val="2"/>
          <w:sz w:val="24"/>
          <w:lang w:val="ru-RU"/>
        </w:rPr>
      </w:pPr>
    </w:p>
    <w:p w:rsidR="00000000" w:rsidRDefault="00000000">
      <w:pPr>
        <w:pStyle w:val="16"/>
        <w:rPr>
          <w:rStyle w:val="PageNumber"/>
        </w:rPr>
      </w:pPr>
      <w:r>
        <w:rPr>
          <w:rStyle w:val="PageNumber"/>
          <w:u w:val="single"/>
        </w:rPr>
        <w:t>Источник</w:t>
      </w:r>
      <w:r>
        <w:rPr>
          <w:rStyle w:val="PageNumber"/>
        </w:rPr>
        <w:t>:  Государственный секретариат по социальным делам.</w:t>
      </w:r>
    </w:p>
    <w:p w:rsidR="00000000" w:rsidRDefault="00000000">
      <w:pPr>
        <w:pStyle w:val="BodyText3"/>
        <w:spacing w:line="288" w:lineRule="auto"/>
        <w:jc w:val="center"/>
        <w:rPr>
          <w:bCs/>
          <w:spacing w:val="20"/>
          <w:kern w:val="2"/>
          <w:sz w:val="24"/>
          <w:lang w:val="ru-RU"/>
        </w:rPr>
      </w:pPr>
    </w:p>
    <w:p w:rsidR="00000000" w:rsidRDefault="00000000">
      <w:pPr>
        <w:pStyle w:val="BodyTextIndent"/>
      </w:pPr>
      <w:r>
        <w:tab/>
      </w:r>
      <w:r>
        <w:tab/>
        <w:t>III.</w:t>
      </w:r>
      <w:r>
        <w:tab/>
        <w:t>ДОКЛАД БРАЗИЛИИ ПО КОНКРЕТНЫМ СТАТЬЯМ МЕЖДУНАРОДНОГО ПАКТА ОБ ЭКОНОМИЧЕСКИХ, СОЦИАЛЬНЫХ И КУЛЬТУРНЫХ ПРАВАХ И ОХВАТЫВАЕМЫМ ИМ ПРАВАМ ЧЕЛОВЕКА</w:t>
      </w:r>
    </w:p>
    <w:p w:rsidR="00000000" w:rsidRDefault="00000000">
      <w:pPr>
        <w:jc w:val="center"/>
        <w:rPr>
          <w:b/>
          <w:bCs/>
        </w:rPr>
      </w:pPr>
    </w:p>
    <w:p w:rsidR="00000000" w:rsidRDefault="00000000">
      <w:r>
        <w:t>28.</w:t>
      </w:r>
      <w:r>
        <w:tab/>
        <w:t>Бразилия подписала Международный пакт об экономических, социальных и культурных правах и затем ратифицировала его 24 января 1992 года.  Пакт вступил в силу для Бразилии 24 февраля 1992 года и был введен в действие на основании Указа № 591 от 6 июля 1992 года.</w:t>
      </w:r>
    </w:p>
    <w:p w:rsidR="00000000" w:rsidRDefault="00000000"/>
    <w:p w:rsidR="00000000" w:rsidRDefault="00000000">
      <w:pPr>
        <w:pStyle w:val="10"/>
        <w:tabs>
          <w:tab w:val="left" w:pos="567"/>
          <w:tab w:val="left" w:pos="1134"/>
          <w:tab w:val="left" w:pos="1701"/>
          <w:tab w:val="left" w:pos="2268"/>
          <w:tab w:val="left" w:pos="6237"/>
        </w:tabs>
        <w:rPr>
          <w:bCs/>
        </w:rPr>
      </w:pPr>
      <w:r>
        <w:rPr>
          <w:bCs/>
        </w:rPr>
        <w:t>Статьи 1, 2, 3, 4 и 5</w:t>
      </w:r>
    </w:p>
    <w:p w:rsidR="00000000" w:rsidRDefault="00000000">
      <w:pPr>
        <w:rPr>
          <w:b/>
          <w:bCs/>
        </w:rPr>
      </w:pPr>
    </w:p>
    <w:p w:rsidR="00000000" w:rsidRDefault="00000000">
      <w:r>
        <w:t>29.</w:t>
      </w:r>
      <w:r>
        <w:tab/>
        <w:t>До 1822 года Бразилия являлась португальской колонией.  В настоящее время Бразилия </w:t>
      </w:r>
      <w:r>
        <w:noBreakHyphen/>
        <w:t xml:space="preserve"> это суверенное и независимое государство, полностью правомочное определять в рамках своей политической, правовой и административной юрисдикции конституционные принципы, лежащие в основе организации бразильского общества, и устанавливать надлежащее законодательство, обеспечивающее отлаженное и упорядоченное функционирование этого общества.  Бразилия не имеет колоний и не управляет какими-либо территориями за исключением собственных.  Право народов на самоопределение и принцип невмешательства относится к числу основополагающих прав, закрепленных в Конституции Бразилии, которыми страна руководствуется в своих международных отношениях.  Логическим следствием применения этих постулатов является защита мира и мирное разрешение конфликтов, что также нашло свое отражение в Конституции.  В Конституции Бразилии отражен также принцип международного сотрудничества.</w:t>
      </w:r>
    </w:p>
    <w:p w:rsidR="00000000" w:rsidRDefault="00000000"/>
    <w:p w:rsidR="00000000" w:rsidRDefault="00000000">
      <w:r>
        <w:t>30.</w:t>
      </w:r>
      <w:r>
        <w:tab/>
        <w:t>Бразилия относится к числу стран, в которых полностью охраняется законом демократия и основные права человека, поощряется жизнь гражданского общества и применяется концепция политического плюрализма в качестве направляющего принципа политического процесса.  В Бразилии как мужчины, так и женщины, если они являются гражданами страны, могут свободно выбирать своих представителей на основе прямого, тайного и всеобщего голосования.  Политические устои общества определяются путем свободного волеизъявления народа, при этом не чинится никаких препятствий экономическому, социальному и культурному развитию общества.</w:t>
      </w:r>
    </w:p>
    <w:p w:rsidR="00000000" w:rsidRDefault="00000000"/>
    <w:p w:rsidR="00000000" w:rsidRDefault="00000000">
      <w:r>
        <w:t>31.</w:t>
      </w:r>
      <w:r>
        <w:tab/>
        <w:t>Правительство Бразилии стремится обеспечить полное осуществление закрепленных в Международном пакте прав в максимальных пределах имеющихся ресурсов, постепенно, но неуклонно выполняя поставленные в этой связи задачи.</w:t>
      </w:r>
    </w:p>
    <w:p w:rsidR="00000000" w:rsidRDefault="00000000"/>
    <w:p w:rsidR="00000000" w:rsidRDefault="00000000">
      <w:r>
        <w:t>32.</w:t>
      </w:r>
      <w:r>
        <w:tab/>
        <w:t>Бразильские граждане и проживающие в Бразилии иностранцы пользуются равными правами за несколькими исключениями, которые ни в коей мере не вступают в противоречие с пунктом 3 статьи 2 Международного пакта об экономических, социальных и культурных правах.  Так, например, иностранцы имеют право владеть собственностью.  Это право должно осуществляться с учетом социальной функции собственности, что предполагает возможность экспроприации государством имущества, если того требуют насущные государственные или общественные интересы при условии выплаты собственнику надлежащей денежной компенсации.  Ограничения на владения недрами распространяются на всю территорию страны без каких бы то ни было различий по признаку гражданства, и экономическая деятельность базируется в основном на принципах частного предпринимательства и свободной конкуренции при полном соблюдении прав каждого лица на владение собственностью и свободном осуществлении любой законной экономической деятельности.  Постепенно повышается роль государства в качестве регулирующего механизма и ключевого элемента в целом ряде стратегических экономических секторов.</w:t>
      </w:r>
    </w:p>
    <w:p w:rsidR="00000000" w:rsidRDefault="00000000"/>
    <w:p w:rsidR="00000000" w:rsidRDefault="00000000">
      <w:r>
        <w:t>33.</w:t>
      </w:r>
      <w:r>
        <w:tab/>
        <w:t>В дополнение к вышеизложенным положениям Конституции следует отметить, что в Бразилии существует целый ряд нормативных актов, целью которых является запрещение и пресечение дискриминации в любых ее проявлениях и принятие необходимых мер по восстановлению нарушенных прав.  На уязвимые группы и меньшинства распространяется отдельный правовой режим, учитывающий их особый характер.  В настоящем докладе детально рассматриваются эти аспекты и приводится информация о соответствующем законодательстве в подробных комментариях по другим статьям Международного пакта.</w:t>
      </w:r>
    </w:p>
    <w:p w:rsidR="00000000" w:rsidRDefault="00000000">
      <w:pPr>
        <w:rPr>
          <w:lang w:val="en-US"/>
        </w:rPr>
      </w:pPr>
    </w:p>
    <w:p w:rsidR="00000000" w:rsidRDefault="00000000">
      <w:pPr>
        <w:jc w:val="center"/>
        <w:rPr>
          <w:b/>
          <w:bCs/>
        </w:rPr>
      </w:pPr>
      <w:r>
        <w:rPr>
          <w:u w:val="single"/>
        </w:rPr>
        <w:br w:type="page"/>
      </w:r>
      <w:r>
        <w:rPr>
          <w:b/>
          <w:bCs/>
        </w:rPr>
        <w:t>Статья 6</w:t>
      </w:r>
    </w:p>
    <w:p w:rsidR="00000000" w:rsidRDefault="00000000"/>
    <w:p w:rsidR="00000000" w:rsidRDefault="00000000">
      <w:r>
        <w:t>34.</w:t>
      </w:r>
      <w:r>
        <w:tab/>
        <w:t>В своих руководящих принципах Комитет просит представлять информацию, затрагивающую следующие международные договоры:</w:t>
      </w:r>
    </w:p>
    <w:p w:rsidR="00000000" w:rsidRDefault="00000000"/>
    <w:p w:rsidR="00000000" w:rsidRDefault="00000000">
      <w:r>
        <w:tab/>
      </w:r>
      <w:r>
        <w:rPr>
          <w:lang w:val="en-US"/>
        </w:rPr>
        <w:t>a</w:t>
      </w:r>
      <w:r>
        <w:t>)</w:t>
      </w:r>
      <w:r>
        <w:tab/>
        <w:t>Конвенцию МОТ 1964 года № 122 о политике в области занятости.  Бразилия ратифицировала Конвенцию № 122 24 марта 1969 года и в настоящее время завершает подготовку доклада об осуществлении Бразилией этой Конвенции, который будет представлен МОТ в текущем году.  МОТ проводит работу по созданию базы данных относительно политики в области занятости, которая в свою очередь будет основываться на информации, содержащейся в докладах 30 стран, отобранных на критериях пунктуального соблюдения положений Конвенции и результативности предпринимаемых в этой связи усилий.  В число этих стран входит и Бразилия;</w:t>
      </w:r>
    </w:p>
    <w:p w:rsidR="00000000" w:rsidRDefault="00000000"/>
    <w:p w:rsidR="00000000" w:rsidRDefault="00000000">
      <w:r>
        <w:tab/>
      </w:r>
      <w:r>
        <w:rPr>
          <w:lang w:val="en-US"/>
        </w:rPr>
        <w:t>b</w:t>
      </w:r>
      <w:r>
        <w:t>)</w:t>
      </w:r>
      <w:r>
        <w:tab/>
        <w:t>Конвенцию МОТ 1958 года № 111 о дискриминации в области труда и занятий, которую Бразилия ратифицировала 26 ноября 1965 года.  Последний доклад по этой Конвенции был представлен в 1999 году.  Комитет экспертов МОТ отметил прогресс, достигнутый Бразилией в осуществлении Конвенции.  В последнем своем замечании члены Комитета обращали внимание на заинтересованность в получении информации о законодательных и практических мерах, принимаемых в целях осуществления Конвенции;</w:t>
      </w:r>
    </w:p>
    <w:p w:rsidR="00000000" w:rsidRDefault="00000000"/>
    <w:p w:rsidR="00000000" w:rsidRDefault="00000000">
      <w:r>
        <w:tab/>
      </w:r>
      <w:r>
        <w:rPr>
          <w:lang w:val="en-US"/>
        </w:rPr>
        <w:t>c</w:t>
      </w:r>
      <w:r>
        <w:t>)</w:t>
      </w:r>
      <w:r>
        <w:tab/>
        <w:t>Международную конвенцию о ликвидации всех форм расовой дискриминации, которую Бразилия подписала 7 марта 1966 года.  Конгресс страны утвердил это решение 21 июня 1967 года законодательным указом № 23.  Конвенция была ратифицирована 27 марта 1967 года, утверждена в качестве закона 8 декабря 1969 года и вступила в силу для Бразилии 4 января 1969 года.  С тех пор Бразилия представила Комитету по ликвидации расовой дискриминации десять докладов, в которых содержится обширная и актуальная информация об осуществляемых Бразилией мерах по реализации этой Конвенции.  В настоящее время ведется работа по подготовке соответствующих периодических докладов.  В связи с Международной конвенцией о ликвидации всех форм расовой дискриминации следует отметить, что в сентябре  президент Бразилии направил в Конгресс послание с просьбой одобрить факультативное заявление, предусмотренное в статье 14 этой Конвенции.  Это позволит Бразилии признать юрисдикцию Комитета принимать и рассматривать жалобы на нарушения закрепленных в Конвенции прав человека.  В заключение следует упомянуть о представленном в Организацию американских государств предложении Бразилии о разработке Межамериканской конвенции по борьбе с расизмом, расовой дискриминацией и связанной с ними нетерпимости.  Предложение бразильского правительства имеет целью совершенствование механизмов поощрения и защиты на региональном уровне прав человека, закрепленных в Международной конвенции;</w:t>
      </w:r>
    </w:p>
    <w:p w:rsidR="00000000" w:rsidRDefault="00000000"/>
    <w:p w:rsidR="00000000" w:rsidRDefault="00000000">
      <w:r>
        <w:tab/>
      </w:r>
      <w:r>
        <w:rPr>
          <w:lang w:val="en-US"/>
        </w:rPr>
        <w:t>d</w:t>
      </w:r>
      <w:r>
        <w:t>)</w:t>
      </w:r>
      <w:r>
        <w:tab/>
        <w:t>Конвенцию о ликвидации всех форм дискриминации в отношении женщин, которую Бразилия подписала 31 марта 1981 года.  Национальный конгресс одобрил ее 14 ноября того же года законодательным указом №  93.  Законодательным указом № 26 от 22 июня 1994 года были сняты оговорки к пункту 4 статьи 15 и подпунктам </w:t>
      </w:r>
      <w:r>
        <w:rPr>
          <w:lang w:val="en-US"/>
        </w:rPr>
        <w:t>a</w:t>
      </w:r>
      <w:r>
        <w:t xml:space="preserve">), </w:t>
      </w:r>
      <w:r>
        <w:rPr>
          <w:lang w:val="en-US"/>
        </w:rPr>
        <w:t>c</w:t>
      </w:r>
      <w:r>
        <w:t xml:space="preserve">), </w:t>
      </w:r>
      <w:r>
        <w:rPr>
          <w:lang w:val="en-US"/>
        </w:rPr>
        <w:t>g</w:t>
      </w:r>
      <w:r>
        <w:t>), и </w:t>
      </w:r>
      <w:r>
        <w:rPr>
          <w:lang w:val="en-US"/>
        </w:rPr>
        <w:t>h</w:t>
      </w:r>
      <w:r>
        <w:t>) пункта 1 статьи 16.  Данная Конвенция была ратифицирована 1 февраля 1984 года, утверждена в качестве закона 20 марта 1984 года указом № 89 460 и вступила в силу для Бразилии 21 марта 1984 года.  В настоящее время начата подготовка доклада, который Бразилия должна представить Комитету, созданному в соответствии с этой Конвенцией.  Касаясь прав человека женщин, следует упомянуть о том, что бразильское правительство завершает рассмотрение вопроса о подписании Факультативного протокола к Конвенции о ликвидации всех форм дискриминации в отношении женщин, принятого в соответствии с резолюцией 54/4 Генеральной Ассамблеи от 6 октября 1999 года.  Этот Факультативный протокол еще не вступил в силу на международном уровне.</w:t>
      </w:r>
    </w:p>
    <w:p w:rsidR="00000000" w:rsidRDefault="00000000"/>
    <w:p w:rsidR="00000000" w:rsidRDefault="00000000">
      <w:pPr>
        <w:pStyle w:val="Heading1"/>
        <w:rPr>
          <w:bCs/>
        </w:rPr>
      </w:pPr>
      <w:r>
        <w:rPr>
          <w:bCs/>
        </w:rPr>
        <w:t>Обзор рынка труда/показателей рынка труда</w:t>
      </w:r>
    </w:p>
    <w:p w:rsidR="00000000" w:rsidRDefault="00000000">
      <w:pPr>
        <w:pStyle w:val="Heading1"/>
        <w:rPr>
          <w:bCs/>
        </w:rPr>
      </w:pPr>
    </w:p>
    <w:p w:rsidR="00000000" w:rsidRDefault="00000000">
      <w:r>
        <w:t>35.</w:t>
      </w:r>
      <w:r>
        <w:tab/>
        <w:t>Бразильский рынок труда претерпевает глубинные изменения, оказывающие существенное воздействие на жизнь трудящихся.  Ключевой переменной величиной для целей оценки такого воздействия является увеличение уровня безработицы.  Вместе с тем одна только эта переменная величина не позволяет получить достаточно полное представление о некоторых важнейших аспектах процесса, являющегося объектом соответствующих аналитических исследований.</w:t>
      </w:r>
    </w:p>
    <w:p w:rsidR="00000000" w:rsidRDefault="00000000"/>
    <w:p w:rsidR="00000000" w:rsidRDefault="00000000">
      <w:r>
        <w:t>36.</w:t>
      </w:r>
      <w:r>
        <w:tab/>
        <w:t>По мнению бразильского правительства, при анализе изменений в сфере рынка труда Бразилии необходимо учитывать нижеследующие факторы.</w:t>
      </w:r>
    </w:p>
    <w:p w:rsidR="00000000" w:rsidRDefault="00000000"/>
    <w:p w:rsidR="00000000" w:rsidRDefault="00000000">
      <w:r>
        <w:t>37.</w:t>
      </w:r>
      <w:r>
        <w:tab/>
        <w:t>Одним из способов оценки изменений на рынке труда является анализ динамики показателей участия за последние годы.  Индекс такого участия проводится на основе процента занятого или ищущего работу населения в сопоставлении с долей населения трудоспособного возраста.  Такой механизм позволяет определить степень привлекательности рынка труда по сравнению с другими альтернативными видами деятельности, например продолжением (или даже возобновлением) учебы или уходом за детьми.  Диаграмма 1 отражает динамику изменения в контексте всего населения страны за период 1994</w:t>
      </w:r>
      <w:r>
        <w:noBreakHyphen/>
        <w:t>1999 годов в разбивке по следующим трем возрастным группам:  15</w:t>
      </w:r>
      <w:r>
        <w:noBreakHyphen/>
        <w:t>24 года;  25</w:t>
      </w:r>
      <w:r>
        <w:noBreakHyphen/>
        <w:t>39 лет;  40 лет и старше.  Трудности, с которыми сталкивались трудящиеся в указанный период, выражаются в падении индекса участия из расчета всего населения при среднегодовом снижении с 59,19% в 1994 году до 57,04% в 1999 году.  Тем не менее эти цифры не полностью отражают динамику изменений по возрастным группам.  Действительно, в пределах возрастной группы 25</w:t>
      </w:r>
      <w:r>
        <w:noBreakHyphen/>
        <w:t>39 лет, которая, как правило, соответствует пику продуктивных способностей человека на рынке труда, имел место среднегодовой прирост с 74,50% в 1994 году до 75,81% в 1999 году.  Вместе с тем отмечалось несколько более существенное снижение доли участия среди молодых трудящихся (с 53,76% в 1994 году до 48,61% в 1999 году).</w:t>
      </w:r>
    </w:p>
    <w:p w:rsidR="00000000" w:rsidRDefault="00000000"/>
    <w:p w:rsidR="00000000" w:rsidRDefault="00000000">
      <w:r>
        <w:t>38.</w:t>
      </w:r>
      <w:r>
        <w:tab/>
        <w:t>На основании вышеизложенных данных можно сделать по меньшей мере два вывода.  Первый заключается в том, что для возрастной категории 25</w:t>
      </w:r>
      <w:r>
        <w:noBreakHyphen/>
        <w:t>39 лет рынок труда становится более привлекательным, поскольку в процессе поиска рабочей силы компании все больше ориентируются на более опытных и квалифицированных работников, как правило, входящих в возрастную категорию так называемой "зрелой молодежи", которую в свою очередь на рынок труда влечет возможность повышения уровня доходов.  Второй вывод заключается в том, что с учетом того, что компаниям требуется более квалифицированная рабочая сила, в течение рассматриваемого периода более молодые люди выходили на рынок труда с запозданием, что, по всей видимости, объяснялось тем, что они тратили больше времени на получение общего образования или прохождения курсов профессионально</w:t>
      </w:r>
      <w:r>
        <w:noBreakHyphen/>
        <w:t>технической подготовки.</w:t>
      </w:r>
    </w:p>
    <w:p w:rsidR="00000000" w:rsidRDefault="00000000"/>
    <w:p w:rsidR="00000000" w:rsidRDefault="00000000">
      <w:pPr>
        <w:pStyle w:val="BodyTextIndent"/>
      </w:pPr>
      <w:r>
        <w:t>Диаграмма 1.</w:t>
      </w:r>
      <w:r>
        <w:tab/>
        <w:t>Общий уровень участия и уровень участия в разбивке по возрастным группам в крупнейших городских агломерациях Бразилии (в %)</w:t>
      </w:r>
    </w:p>
    <w:p w:rsidR="00000000" w:rsidRDefault="00000000">
      <w:pPr>
        <w:pStyle w:val="BodyTextIndent"/>
        <w:rPr>
          <w:b w:val="0"/>
          <w:bCs w:val="0"/>
        </w:rPr>
      </w:pPr>
      <w:r>
        <w:rPr>
          <w:b w:val="0"/>
          <w:bCs w:val="0"/>
          <w:noProof/>
          <w:sz w:val="20"/>
          <w:lang w:eastAsia="ru-RU"/>
        </w:rPr>
        <w:pict>
          <v:rect id="_x0000_s1035" style="position:absolute;left:0;text-align:left;margin-left:392.7pt;margin-top:186.25pt;width:46.75pt;height:50.8pt;z-index:6" fillcolor="#67ffff" stroked="f">
            <v:textbox inset="0,0,0,0">
              <w:txbxContent>
                <w:p w:rsidR="00000000" w:rsidRDefault="00000000">
                  <w:pPr>
                    <w:rPr>
                      <w:sz w:val="18"/>
                    </w:rPr>
                  </w:pPr>
                  <w:r>
                    <w:rPr>
                      <w:sz w:val="18"/>
                    </w:rPr>
                    <w:t>25-39 лет</w:t>
                  </w:r>
                </w:p>
                <w:p w:rsidR="00000000" w:rsidRDefault="00000000">
                  <w:pPr>
                    <w:rPr>
                      <w:sz w:val="18"/>
                    </w:rPr>
                  </w:pPr>
                  <w:r>
                    <w:rPr>
                      <w:sz w:val="18"/>
                    </w:rPr>
                    <w:t>(правая ось)</w:t>
                  </w:r>
                </w:p>
              </w:txbxContent>
            </v:textbox>
          </v:rect>
        </w:pict>
      </w:r>
      <w:r>
        <w:rPr>
          <w:b w:val="0"/>
          <w:bCs w:val="0"/>
          <w:noProof/>
          <w:sz w:val="20"/>
          <w:lang w:eastAsia="ru-RU"/>
        </w:rPr>
        <w:pict>
          <v:rect id="_x0000_s1034" style="position:absolute;left:0;text-align:left;margin-left:392.7pt;margin-top:135.45pt;width:46.75pt;height:38.1pt;z-index:5" fillcolor="#67ffff" stroked="f">
            <v:textbox inset="0,0,0,0">
              <w:txbxContent>
                <w:p w:rsidR="00000000" w:rsidRDefault="00000000">
                  <w:pPr>
                    <w:rPr>
                      <w:sz w:val="18"/>
                    </w:rPr>
                  </w:pPr>
                  <w:r>
                    <w:rPr>
                      <w:sz w:val="18"/>
                    </w:rPr>
                    <w:t>40 лет и старше</w:t>
                  </w:r>
                </w:p>
              </w:txbxContent>
            </v:textbox>
          </v:rect>
        </w:pict>
      </w:r>
      <w:r>
        <w:rPr>
          <w:b w:val="0"/>
          <w:bCs w:val="0"/>
          <w:noProof/>
          <w:sz w:val="20"/>
          <w:lang w:eastAsia="ru-RU"/>
        </w:rPr>
        <w:pict>
          <v:rect id="_x0000_s1033" style="position:absolute;left:0;text-align:left;margin-left:392.7pt;margin-top:84.65pt;width:46.75pt;height:25.4pt;z-index:4" fillcolor="#67ffff" stroked="f">
            <v:textbox inset="0,0,0,0">
              <w:txbxContent>
                <w:p w:rsidR="00000000" w:rsidRDefault="00000000">
                  <w:pPr>
                    <w:rPr>
                      <w:sz w:val="18"/>
                    </w:rPr>
                  </w:pPr>
                  <w:r>
                    <w:rPr>
                      <w:sz w:val="18"/>
                    </w:rPr>
                    <w:t>15-24 года</w:t>
                  </w:r>
                </w:p>
              </w:txbxContent>
            </v:textbox>
          </v:rect>
        </w:pict>
      </w:r>
      <w:r>
        <w:rPr>
          <w:b w:val="0"/>
          <w:bCs w:val="0"/>
          <w:noProof/>
          <w:sz w:val="20"/>
          <w:lang w:eastAsia="ru-RU"/>
        </w:rPr>
        <w:pict>
          <v:rect id="_x0000_s1032" style="position:absolute;left:0;text-align:left;margin-left:392.7pt;margin-top:33.85pt;width:28.05pt;height:12.7pt;z-index:3" fillcolor="#67ffff" stroked="f">
            <v:textbox inset="0,0,0,0">
              <w:txbxContent>
                <w:p w:rsidR="00000000" w:rsidRDefault="00000000">
                  <w:pPr>
                    <w:rPr>
                      <w:sz w:val="18"/>
                    </w:rPr>
                  </w:pPr>
                  <w:r>
                    <w:rPr>
                      <w:sz w:val="18"/>
                      <w:lang w:val="en-US"/>
                    </w:rPr>
                    <w:t>Всего</w:t>
                  </w:r>
                </w:p>
              </w:txbxContent>
            </v:textbox>
          </v:rect>
        </w:pict>
      </w:r>
      <w:r>
        <w:rPr>
          <w:b w:val="0"/>
          <w:bCs w:val="0"/>
          <w:noProof/>
          <w:sz w:val="20"/>
          <w:lang w:eastAsia="ru-RU"/>
        </w:rPr>
        <w:pict>
          <v:shape id="_x0000_s1031" type="#_x0000_t75" style="position:absolute;left:0;text-align:left;margin-left:37.4pt;margin-top:21.15pt;width:411.75pt;height:223.45pt;z-index:2">
            <v:imagedata r:id="rId14" o:title=""/>
            <w10:wrap type="topAndBottom"/>
          </v:shape>
        </w:pict>
      </w:r>
    </w:p>
    <w:p w:rsidR="00000000" w:rsidRDefault="00000000">
      <w:pPr>
        <w:pStyle w:val="BodyTextIndent"/>
        <w:ind w:left="0" w:firstLine="0"/>
        <w:rPr>
          <w:b w:val="0"/>
          <w:bCs w:val="0"/>
          <w:lang w:val="en-US"/>
        </w:rPr>
      </w:pPr>
    </w:p>
    <w:p w:rsidR="00000000" w:rsidRDefault="00000000">
      <w:pPr>
        <w:pStyle w:val="BodyTextIndent"/>
        <w:rPr>
          <w:b w:val="0"/>
          <w:bCs w:val="0"/>
        </w:rPr>
      </w:pPr>
      <w:r>
        <w:tab/>
      </w:r>
      <w:r>
        <w:rPr>
          <w:b w:val="0"/>
          <w:bCs w:val="0"/>
          <w:u w:val="single"/>
        </w:rPr>
        <w:t>Источник</w:t>
      </w:r>
      <w:r>
        <w:rPr>
          <w:b w:val="0"/>
          <w:bCs w:val="0"/>
        </w:rPr>
        <w:t>:  Ежемесячный обзор занятости (ЕОЗ), БИГС.</w:t>
      </w:r>
    </w:p>
    <w:p w:rsidR="00000000" w:rsidRDefault="00000000">
      <w:pPr>
        <w:pStyle w:val="BodyTextIndent"/>
        <w:rPr>
          <w:b w:val="0"/>
          <w:bCs w:val="0"/>
        </w:rPr>
      </w:pPr>
    </w:p>
    <w:p w:rsidR="00000000" w:rsidRDefault="00000000">
      <w:pPr>
        <w:pStyle w:val="BodyTextIndent"/>
        <w:keepNext/>
        <w:ind w:left="0" w:firstLine="0"/>
      </w:pPr>
      <w:r>
        <w:t>Динамика занятости</w:t>
      </w:r>
    </w:p>
    <w:p w:rsidR="00000000" w:rsidRDefault="00000000">
      <w:pPr>
        <w:pStyle w:val="BodyTextIndent"/>
        <w:keepNext/>
        <w:ind w:left="0" w:firstLine="0"/>
        <w:rPr>
          <w:b w:val="0"/>
          <w:bCs w:val="0"/>
        </w:rPr>
      </w:pPr>
    </w:p>
    <w:p w:rsidR="00000000" w:rsidRDefault="00000000">
      <w:r>
        <w:t>39.</w:t>
      </w:r>
      <w:r>
        <w:tab/>
        <w:t>Наиболее важным фактором, возможно, является динамика занятости в 90</w:t>
      </w:r>
      <w:r>
        <w:noBreakHyphen/>
        <w:t>е годы.  Следует также отметить, что общественность в целом и государственные служащие в частности обращают особо пристальное внимание на этот фактор.  Согласно данным ежемесячного обследования, проводимого БИГС (Бразильский институт географии и статистики) и охватывающего шесть крупнейших городских агломераций (Рио</w:t>
      </w:r>
      <w:r>
        <w:noBreakHyphen/>
        <w:t>де</w:t>
      </w:r>
      <w:r>
        <w:noBreakHyphen/>
        <w:t>Жанейро, Сан</w:t>
      </w:r>
      <w:r>
        <w:noBreakHyphen/>
        <w:t>Паулу, Порту</w:t>
      </w:r>
      <w:r>
        <w:noBreakHyphen/>
        <w:t>Алегри, Белу</w:t>
      </w:r>
      <w:r>
        <w:noBreakHyphen/>
        <w:t>Оризонти, Ресифи и Салвадор), до 1996 года отмечался устойчивый рост новых рабочих мест.  С 1996 года рост прекратился (см. диаграмму 2).  Несмотря на то, что этот факт порождает определенные опасения, бразильское правительство считает, что в этой связи необходимо учитывать три важных обстоятельства.  Во</w:t>
      </w:r>
      <w:r>
        <w:noBreakHyphen/>
        <w:t>первых, изменения на рынке труда неодинаковы для различных категорий трудящихся в разбивке по уровням образования, возрасту или экономическим секторам.  Во</w:t>
      </w:r>
      <w:r>
        <w:noBreakHyphen/>
        <w:t>вторых, из относительной стагнации в плане количества вновь создаваемых мест на рынке труда вовсе не следует простой и прямолинейный вывод об утрате бразильской экономикой присущего ей динамизма.  В</w:t>
      </w:r>
      <w:r>
        <w:noBreakHyphen/>
        <w:t xml:space="preserve">третьих, одни только статистические данные не способны отобразить четко обозначившуюся тенденцию к возобновлению роста числа рабочих мест, которая началась в середине 1990 года и продолжалась на протяжении 2000 года.  </w:t>
      </w:r>
    </w:p>
    <w:p w:rsidR="00000000" w:rsidRDefault="00000000"/>
    <w:p w:rsidR="00000000" w:rsidRDefault="00000000">
      <w:pPr>
        <w:pStyle w:val="10"/>
        <w:rPr>
          <w:bCs/>
        </w:rPr>
      </w:pPr>
      <w:r>
        <w:rPr>
          <w:bCs/>
        </w:rPr>
        <w:t>Диаграмма 2.  Совокупный показатель изменений на рынке труда в крупнейших городских агломерациях Бразилии (в %)</w:t>
      </w:r>
    </w:p>
    <w:p w:rsidR="00000000" w:rsidRDefault="00000000">
      <w:pPr>
        <w:pStyle w:val="10"/>
        <w:rPr>
          <w:bCs/>
        </w:rPr>
      </w:pPr>
    </w:p>
    <w:p w:rsidR="00000000" w:rsidRDefault="00000000">
      <w:pPr>
        <w:jc w:val="center"/>
      </w:pPr>
      <w:r>
        <w:object w:dxaOrig="7740" w:dyaOrig="3615">
          <v:shape id="_x0000_i1026" type="#_x0000_t75" style="width:387pt;height:180.75pt" o:ole="" fillcolor="window">
            <v:imagedata r:id="rId15" o:title=""/>
          </v:shape>
          <o:OLEObject Type="Embed" ProgID="MSGraph.Chart.8" ShapeID="_x0000_i1026" DrawAspect="Content" ObjectID="_1394878294" r:id="rId16">
            <o:FieldCodes>\s</o:FieldCodes>
          </o:OLEObject>
        </w:object>
      </w:r>
    </w:p>
    <w:p w:rsidR="00000000" w:rsidRDefault="00000000">
      <w:pPr>
        <w:pStyle w:val="16"/>
      </w:pPr>
    </w:p>
    <w:p w:rsidR="00000000" w:rsidRDefault="00000000">
      <w:pPr>
        <w:pStyle w:val="16"/>
        <w:jc w:val="left"/>
      </w:pPr>
      <w:r>
        <w:rPr>
          <w:lang w:val="en-US"/>
        </w:rPr>
        <w:tab/>
      </w:r>
      <w:r>
        <w:rPr>
          <w:lang w:val="en-US"/>
        </w:rPr>
        <w:tab/>
      </w:r>
      <w:r>
        <w:rPr>
          <w:u w:val="single"/>
        </w:rPr>
        <w:t>Источник</w:t>
      </w:r>
      <w:r>
        <w:t>:  ЕОЗ-БИГС.</w:t>
      </w:r>
    </w:p>
    <w:p w:rsidR="00000000" w:rsidRDefault="00000000">
      <w:pPr>
        <w:pStyle w:val="16"/>
      </w:pPr>
    </w:p>
    <w:p w:rsidR="00000000" w:rsidRDefault="00000000">
      <w:r>
        <w:t>40.</w:t>
      </w:r>
      <w:r>
        <w:tab/>
        <w:t>Диаграммы 3 и 4, базирующиеся на проводимом БИГС Общенациональном выборочном обследовании домашних хозяйств, свидетельствуют о том, что изменения на рынке труда не всегда оказываются одинаковыми для категорий трудящихся в разбивке по уровню образования.  За период 1995-1999 годов существенное сокращение рабочих мест затронуло только трудящихся с самым низким уровнем образования (0-4 года).  Для других категорий трудящихся, в частности трудящихся, общеобразовательный стаж которых составляет 9-11 лет (незаконченное или законченное среднее образование), возможности для трудоустройства напротив значительно расширились.</w:t>
      </w:r>
    </w:p>
    <w:p w:rsidR="00000000" w:rsidRDefault="00000000"/>
    <w:p w:rsidR="00000000" w:rsidRDefault="00000000">
      <w:pPr>
        <w:pStyle w:val="10"/>
        <w:rPr>
          <w:bCs/>
        </w:rPr>
      </w:pPr>
      <w:r>
        <w:rPr>
          <w:bCs/>
        </w:rPr>
        <w:t>Диаграмма 3.  Показатели роста занятости в зависимости от образования</w:t>
      </w:r>
    </w:p>
    <w:p w:rsidR="00000000" w:rsidRDefault="00000000">
      <w:pPr>
        <w:pStyle w:val="10"/>
        <w:rPr>
          <w:bCs/>
        </w:rPr>
      </w:pPr>
      <w:r>
        <w:rPr>
          <w:bCs/>
        </w:rPr>
        <w:t>за период 1995-1999 годов (в %)</w:t>
      </w:r>
    </w:p>
    <w:p w:rsidR="00000000" w:rsidRDefault="00000000"/>
    <w:p w:rsidR="00000000" w:rsidRDefault="00000000">
      <w:pPr>
        <w:jc w:val="center"/>
      </w:pPr>
      <w:r>
        <w:rPr>
          <w:sz w:val="20"/>
        </w:rPr>
        <w:object w:dxaOrig="8136" w:dyaOrig="3504">
          <v:shape id="_x0000_i1027" type="#_x0000_t75" style="width:406.5pt;height:175.5pt" o:ole="" fillcolor="window">
            <v:imagedata r:id="rId17" o:title=""/>
          </v:shape>
          <o:OLEObject Type="Embed" ProgID="MSGraph.Chart.8" ShapeID="_x0000_i1027" DrawAspect="Content" ObjectID="_1394878295" r:id="rId18">
            <o:FieldCodes>\s</o:FieldCodes>
          </o:OLEObject>
        </w:object>
      </w:r>
    </w:p>
    <w:p w:rsidR="00000000" w:rsidRDefault="00000000"/>
    <w:p w:rsidR="00000000" w:rsidRDefault="00000000">
      <w:pPr>
        <w:pStyle w:val="16"/>
        <w:jc w:val="left"/>
      </w:pPr>
      <w:r>
        <w:tab/>
      </w:r>
      <w:r>
        <w:rPr>
          <w:u w:val="single"/>
        </w:rPr>
        <w:t>Источник</w:t>
      </w:r>
      <w:r>
        <w:t>:  Общенациональное выборочное обследование домашних хозяйств (ОВОДХ), БИГС.</w:t>
      </w:r>
    </w:p>
    <w:p w:rsidR="00000000" w:rsidRDefault="00000000">
      <w:pPr>
        <w:pStyle w:val="16"/>
      </w:pPr>
    </w:p>
    <w:p w:rsidR="00000000" w:rsidRDefault="00000000">
      <w:r>
        <w:t>41.</w:t>
      </w:r>
      <w:r>
        <w:tab/>
        <w:t>Такая динамика оказала глубинное воздействие на состав рабочей силы в разбивке по уровню образования.  Данные по крупнейшим городским агломерациям (база данных ЕОЗ/БИГС) свидетельствуют о значительном сокращении числа работников с менее высоким уровнем образования в формальном секторе экономики за период 1994</w:t>
      </w:r>
      <w:r>
        <w:noBreakHyphen/>
        <w:t>1999 годов.  Кроме того, эти цифры указывают на то, что работники средней образовательной категории (от 5 до 8 лет школьной учебной программы) стабильно сохраняли свои позиции на рынке труда в течение того же периода.  Однако в наиболее выигрышном положении вследствие динамики на рынке труда оказались работники с более высоким образовательным стажем (категория от 9 до 11 лет или от 12 и более лет общеобразовательной подготовки).</w:t>
      </w:r>
    </w:p>
    <w:p w:rsidR="00000000" w:rsidRDefault="00000000"/>
    <w:p w:rsidR="00000000" w:rsidRDefault="00000000">
      <w:r>
        <w:t>42.</w:t>
      </w:r>
      <w:r>
        <w:tab/>
        <w:t xml:space="preserve">На основании вышеизложенного можно сделать вывод о том, что с учетом утверждений о стагнации на рынке труда требуется проведение более детального анализа, поскольку одни лишь показатели участия на рынке труда не в состоянии отразить глубинные изменения в сфере трудовых ресурсов Бразилии. </w:t>
      </w:r>
    </w:p>
    <w:p w:rsidR="00000000" w:rsidRDefault="00000000"/>
    <w:p w:rsidR="00000000" w:rsidRDefault="00000000">
      <w:pPr>
        <w:pStyle w:val="10"/>
        <w:ind w:left="2268" w:hanging="2268"/>
        <w:jc w:val="left"/>
        <w:rPr>
          <w:bCs/>
        </w:rPr>
      </w:pPr>
      <w:r>
        <w:rPr>
          <w:bCs/>
        </w:rPr>
        <w:tab/>
        <w:t>Диаграмма 4.</w:t>
      </w:r>
      <w:r>
        <w:rPr>
          <w:bCs/>
        </w:rPr>
        <w:tab/>
        <w:t>Занятость в разбивке по уровню образования по крупнейшим городским агломерациям Бразилии (в %)</w:t>
      </w:r>
    </w:p>
    <w:p w:rsidR="00000000" w:rsidRDefault="00000000">
      <w:pPr>
        <w:jc w:val="center"/>
        <w:rPr>
          <w:spacing w:val="20"/>
          <w:kern w:val="16"/>
        </w:rPr>
      </w:pPr>
      <w:r>
        <w:rPr>
          <w:noProof/>
          <w:sz w:val="20"/>
        </w:rPr>
        <w:pict>
          <v:shape id="_x0000_s1036" type="#_x0000_t75" style="position:absolute;left:0;text-align:left;margin-left:9.35pt;margin-top:14.4pt;width:387pt;height:197.85pt;z-index:-14;mso-wrap-edited:f" wrapcoords="-42 0 -42 21518 21600 21518 21600 0 -42 0">
            <v:imagedata r:id="rId19" o:title=""/>
          </v:shape>
        </w:pict>
      </w:r>
    </w:p>
    <w:p w:rsidR="00000000" w:rsidRDefault="00000000">
      <w:pPr>
        <w:rPr>
          <w:kern w:val="16"/>
        </w:rPr>
      </w:pPr>
      <w:r>
        <w:rPr>
          <w:noProof/>
          <w:sz w:val="20"/>
          <w:lang w:eastAsia="ru-RU"/>
        </w:rPr>
        <w:pict>
          <v:shape id="_x0000_s1037" type="#_x0000_t202" style="position:absolute;margin-left:351.55pt;margin-top:4.2pt;width:37.4pt;height:184.15pt;z-index:8;mso-wrap-edited:f" wrapcoords="-432 0 -432 21512 21600 21512 21600 0 -432 0" stroked="f">
            <v:textbox inset="0,0,0,0">
              <w:txbxContent>
                <w:p w:rsidR="00000000" w:rsidRDefault="00000000">
                  <w:pPr>
                    <w:spacing w:line="216" w:lineRule="auto"/>
                    <w:ind w:left="57"/>
                    <w:rPr>
                      <w:sz w:val="18"/>
                    </w:rPr>
                  </w:pPr>
                </w:p>
                <w:p w:rsidR="00000000" w:rsidRDefault="00000000">
                  <w:pPr>
                    <w:spacing w:line="216" w:lineRule="auto"/>
                    <w:ind w:left="57"/>
                    <w:rPr>
                      <w:sz w:val="18"/>
                    </w:rPr>
                  </w:pPr>
                </w:p>
                <w:p w:rsidR="00000000" w:rsidRDefault="00000000">
                  <w:pPr>
                    <w:pStyle w:val="BodyText"/>
                    <w:spacing w:line="216" w:lineRule="auto"/>
                    <w:ind w:left="57"/>
                  </w:pPr>
                  <w:r>
                    <w:t>от 0 до 14 лет</w:t>
                  </w:r>
                </w:p>
                <w:p w:rsidR="00000000" w:rsidRDefault="00000000">
                  <w:pPr>
                    <w:spacing w:line="216" w:lineRule="auto"/>
                    <w:ind w:left="57"/>
                    <w:rPr>
                      <w:sz w:val="18"/>
                    </w:rPr>
                  </w:pPr>
                </w:p>
                <w:p w:rsidR="00000000" w:rsidRDefault="00000000">
                  <w:pPr>
                    <w:spacing w:line="216" w:lineRule="auto"/>
                    <w:ind w:left="57"/>
                    <w:rPr>
                      <w:sz w:val="18"/>
                    </w:rPr>
                  </w:pPr>
                </w:p>
                <w:p w:rsidR="00000000" w:rsidRDefault="00000000">
                  <w:pPr>
                    <w:spacing w:line="216" w:lineRule="auto"/>
                    <w:ind w:left="57"/>
                    <w:rPr>
                      <w:sz w:val="18"/>
                    </w:rPr>
                  </w:pPr>
                  <w:r>
                    <w:rPr>
                      <w:sz w:val="18"/>
                    </w:rPr>
                    <w:t>от 5 до 8 лет</w:t>
                  </w:r>
                </w:p>
                <w:p w:rsidR="00000000" w:rsidRDefault="00000000">
                  <w:pPr>
                    <w:spacing w:line="216" w:lineRule="auto"/>
                    <w:ind w:left="57"/>
                    <w:rPr>
                      <w:sz w:val="18"/>
                    </w:rPr>
                  </w:pPr>
                </w:p>
                <w:p w:rsidR="00000000" w:rsidRDefault="00000000">
                  <w:pPr>
                    <w:spacing w:line="216" w:lineRule="auto"/>
                    <w:ind w:left="57"/>
                    <w:rPr>
                      <w:sz w:val="18"/>
                    </w:rPr>
                  </w:pPr>
                </w:p>
                <w:p w:rsidR="00000000" w:rsidRDefault="00000000">
                  <w:pPr>
                    <w:spacing w:line="216" w:lineRule="auto"/>
                    <w:ind w:left="57"/>
                    <w:rPr>
                      <w:sz w:val="18"/>
                    </w:rPr>
                  </w:pPr>
                </w:p>
                <w:p w:rsidR="00000000" w:rsidRDefault="00000000">
                  <w:pPr>
                    <w:spacing w:line="216" w:lineRule="auto"/>
                    <w:ind w:left="57"/>
                    <w:rPr>
                      <w:sz w:val="18"/>
                    </w:rPr>
                  </w:pPr>
                  <w:r>
                    <w:rPr>
                      <w:sz w:val="18"/>
                    </w:rPr>
                    <w:t>от 9 до 11 лет</w:t>
                  </w:r>
                </w:p>
                <w:p w:rsidR="00000000" w:rsidRDefault="00000000">
                  <w:pPr>
                    <w:spacing w:line="216" w:lineRule="auto"/>
                    <w:ind w:left="57"/>
                    <w:rPr>
                      <w:sz w:val="18"/>
                    </w:rPr>
                  </w:pPr>
                </w:p>
                <w:p w:rsidR="00000000" w:rsidRDefault="00000000">
                  <w:pPr>
                    <w:spacing w:line="216" w:lineRule="auto"/>
                    <w:ind w:left="57"/>
                    <w:rPr>
                      <w:sz w:val="18"/>
                    </w:rPr>
                  </w:pPr>
                </w:p>
                <w:p w:rsidR="00000000" w:rsidRDefault="00000000">
                  <w:pPr>
                    <w:spacing w:line="216" w:lineRule="auto"/>
                    <w:ind w:left="57"/>
                    <w:rPr>
                      <w:sz w:val="18"/>
                    </w:rPr>
                  </w:pPr>
                  <w:r>
                    <w:rPr>
                      <w:sz w:val="18"/>
                    </w:rPr>
                    <w:t>12 или более лет</w:t>
                  </w:r>
                </w:p>
              </w:txbxContent>
            </v:textbox>
          </v:shape>
        </w:pict>
      </w: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rPr>
          <w:lang w:val="en-US"/>
        </w:rPr>
      </w:pPr>
    </w:p>
    <w:p w:rsidR="00000000" w:rsidRDefault="00000000">
      <w:pPr>
        <w:pStyle w:val="16"/>
        <w:jc w:val="left"/>
      </w:pPr>
      <w:r>
        <w:tab/>
      </w:r>
      <w:r>
        <w:rPr>
          <w:u w:val="single"/>
        </w:rPr>
        <w:t>Источник</w:t>
      </w:r>
      <w:r>
        <w:t>:  ЕОЗ-БИГС.</w:t>
      </w:r>
    </w:p>
    <w:p w:rsidR="00000000" w:rsidRDefault="00000000">
      <w:pPr>
        <w:pStyle w:val="16"/>
      </w:pPr>
    </w:p>
    <w:p w:rsidR="00000000" w:rsidRDefault="00000000">
      <w:r>
        <w:t>43.</w:t>
      </w:r>
      <w:r>
        <w:tab/>
        <w:t>Аналогичный феномен выявляется при анализе роста числа рабочих мест в целом по Бразилии в разбивке по возрастным группам (база данных ОВОДХ/БИГС).  В период с 1995-1999 годов (см. диаграмму 5) соответствующие данные свидетельствовали об увеличении доли занятости во всех возрастных группах, за исключением категории молодых людей в возрасте от 14 до 15 лет</w:t>
      </w:r>
      <w:r>
        <w:rPr>
          <w:rStyle w:val="FootnoteReference"/>
        </w:rPr>
        <w:footnoteReference w:customMarkFollows="1" w:id="1"/>
        <w:sym w:font="Symbol" w:char="F02A"/>
      </w:r>
      <w:r>
        <w:t>.</w:t>
      </w:r>
    </w:p>
    <w:p w:rsidR="00000000" w:rsidRDefault="00000000"/>
    <w:p w:rsidR="00000000" w:rsidRDefault="00000000">
      <w:pPr>
        <w:pStyle w:val="10"/>
        <w:rPr>
          <w:bCs/>
        </w:rPr>
      </w:pPr>
      <w:r>
        <w:rPr>
          <w:bCs/>
        </w:rPr>
        <w:br w:type="page"/>
        <w:t>Диаграмма 5.  Рост количества рабочих мест в разбивке по возрастным группам, 1995-1999 годы (в %)</w:t>
      </w:r>
    </w:p>
    <w:p w:rsidR="00000000" w:rsidRDefault="00000000">
      <w:pPr>
        <w:pStyle w:val="10"/>
        <w:rPr>
          <w:bCs/>
        </w:rPr>
      </w:pPr>
    </w:p>
    <w:p w:rsidR="00000000" w:rsidRDefault="00000000">
      <w:pPr>
        <w:jc w:val="center"/>
      </w:pPr>
      <w:r>
        <w:rPr>
          <w:sz w:val="20"/>
        </w:rPr>
        <w:object w:dxaOrig="7934" w:dyaOrig="4099">
          <v:shape id="_x0000_i1028" type="#_x0000_t75" style="width:396.75pt;height:204.75pt" o:ole="" fillcolor="window">
            <v:imagedata r:id="rId20" o:title=""/>
          </v:shape>
          <o:OLEObject Type="Embed" ProgID="MSGraph.Chart.8" ShapeID="_x0000_i1028" DrawAspect="Content" ObjectID="_1394878296" r:id="rId21">
            <o:FieldCodes>\s</o:FieldCodes>
          </o:OLEObject>
        </w:object>
      </w:r>
    </w:p>
    <w:p w:rsidR="00000000" w:rsidRDefault="00000000">
      <w:pPr>
        <w:ind w:left="1440"/>
        <w:rPr>
          <w:u w:val="single"/>
        </w:rPr>
      </w:pPr>
    </w:p>
    <w:p w:rsidR="00000000" w:rsidRDefault="00000000">
      <w:pPr>
        <w:pStyle w:val="FootnoteText"/>
        <w:spacing w:line="288" w:lineRule="auto"/>
      </w:pPr>
      <w:r>
        <w:rPr>
          <w:lang w:val="en-US"/>
        </w:rPr>
        <w:tab/>
      </w:r>
      <w:r>
        <w:rPr>
          <w:u w:val="single"/>
        </w:rPr>
        <w:t>Источник</w:t>
      </w:r>
      <w:r>
        <w:t>:  ОВОДХ-БИГС.</w:t>
      </w:r>
    </w:p>
    <w:p w:rsidR="00000000" w:rsidRDefault="00000000">
      <w:pPr>
        <w:pStyle w:val="FootnoteText"/>
        <w:spacing w:line="288" w:lineRule="auto"/>
        <w:jc w:val="center"/>
      </w:pPr>
    </w:p>
    <w:p w:rsidR="00000000" w:rsidRDefault="00000000">
      <w:pPr>
        <w:pStyle w:val="FootnoteText"/>
        <w:spacing w:line="288" w:lineRule="auto"/>
      </w:pPr>
      <w:r>
        <w:t>44.</w:t>
      </w:r>
      <w:r>
        <w:tab/>
        <w:t>Бразильское правительство обращает особе внимание на тот факт, что сокращение рабочих мест по категории более молодых возрастных групп не обязательно следует квалифицировать как феномен, который должен вызывать обеспокоенность.  Этот феномен может объясняться тем обстоятельством, что молодые люди тратят большее время на получение общеобразовательной или профессионально-технической подготовки.</w:t>
      </w:r>
    </w:p>
    <w:p w:rsidR="00000000" w:rsidRDefault="00000000">
      <w:pPr>
        <w:pStyle w:val="FootnoteText"/>
        <w:spacing w:line="288" w:lineRule="auto"/>
      </w:pPr>
    </w:p>
    <w:p w:rsidR="00000000" w:rsidRDefault="00000000">
      <w:pPr>
        <w:pStyle w:val="FootnoteText"/>
        <w:spacing w:line="288" w:lineRule="auto"/>
      </w:pPr>
      <w:r>
        <w:t>45.</w:t>
      </w:r>
      <w:r>
        <w:tab/>
        <w:t>Эта ситуация воспроизводится (см. диаграмму 6) в контексте роста рабочих мест в разбивке по секторам экономики в период 1995-1999 годов.  За этот период в Бразилии наблюдалось сокращение рабочих мест в промышленности и сельском хозяйстве, но при этом увеличивалась занятость в строительном секторе и секторе обслуживания.</w:t>
      </w:r>
    </w:p>
    <w:p w:rsidR="00000000" w:rsidRDefault="00000000">
      <w:pPr>
        <w:pStyle w:val="FootnoteText"/>
        <w:spacing w:line="288" w:lineRule="auto"/>
      </w:pPr>
    </w:p>
    <w:p w:rsidR="00000000" w:rsidRDefault="00000000">
      <w:pPr>
        <w:pStyle w:val="FootnoteText"/>
        <w:jc w:val="center"/>
        <w:rPr>
          <w:b/>
          <w:bCs/>
        </w:rPr>
      </w:pPr>
      <w:r>
        <w:rPr>
          <w:b/>
          <w:bCs/>
        </w:rPr>
        <w:br w:type="page"/>
        <w:t>Диаграмма 6.  Показатели роста рабочих мест по секторам экономики, 1995</w:t>
      </w:r>
      <w:r>
        <w:rPr>
          <w:b/>
          <w:bCs/>
        </w:rPr>
        <w:noBreakHyphen/>
        <w:t>1999 годы (в %)</w:t>
      </w:r>
    </w:p>
    <w:p w:rsidR="00000000" w:rsidRDefault="00000000">
      <w:pPr>
        <w:spacing w:line="240" w:lineRule="auto"/>
      </w:pPr>
    </w:p>
    <w:p w:rsidR="00000000" w:rsidRDefault="00000000">
      <w:pPr>
        <w:jc w:val="center"/>
      </w:pPr>
      <w:r>
        <w:rPr>
          <w:sz w:val="20"/>
        </w:rPr>
        <w:object w:dxaOrig="8299" w:dyaOrig="3331">
          <v:shape id="_x0000_i1029" type="#_x0000_t75" style="width:414.75pt;height:166.5pt" o:ole="" fillcolor="window">
            <v:imagedata r:id="rId22" o:title=""/>
          </v:shape>
          <o:OLEObject Type="Embed" ProgID="MSGraph.Chart.8" ShapeID="_x0000_i1029" DrawAspect="Content" ObjectID="_1394878297" r:id="rId23">
            <o:FieldCodes>\s</o:FieldCodes>
          </o:OLEObject>
        </w:object>
      </w:r>
    </w:p>
    <w:p w:rsidR="00000000" w:rsidRDefault="00000000">
      <w:pPr>
        <w:ind w:left="1440"/>
        <w:rPr>
          <w:u w:val="single"/>
        </w:rPr>
      </w:pPr>
    </w:p>
    <w:p w:rsidR="00000000" w:rsidRDefault="00000000">
      <w:pPr>
        <w:pStyle w:val="FootnoteText"/>
        <w:spacing w:line="288" w:lineRule="auto"/>
      </w:pPr>
      <w:r>
        <w:rPr>
          <w:lang w:val="en-US"/>
        </w:rPr>
        <w:tab/>
      </w:r>
      <w:r>
        <w:rPr>
          <w:u w:val="single"/>
        </w:rPr>
        <w:t>Источник</w:t>
      </w:r>
      <w:r>
        <w:t>:  ПНАД-БИГС.</w:t>
      </w:r>
    </w:p>
    <w:p w:rsidR="00000000" w:rsidRDefault="00000000">
      <w:pPr>
        <w:pStyle w:val="FootnoteText"/>
        <w:spacing w:line="288" w:lineRule="auto"/>
        <w:jc w:val="center"/>
      </w:pPr>
    </w:p>
    <w:p w:rsidR="00000000" w:rsidRDefault="00000000">
      <w:pPr>
        <w:pStyle w:val="FootnoteText"/>
        <w:spacing w:line="288" w:lineRule="auto"/>
      </w:pPr>
      <w:r>
        <w:t>46.</w:t>
      </w:r>
      <w:r>
        <w:tab/>
        <w:t>В процессе любого анализа динамики развития бразильской экономики в 90-х годах следует избегать ошибочных выводов относительно хода ее развития и ее предполагаемой стагнации.  Аналогичным образом следует проявлять осторожность в попытках увязать положение на рынке труда Бразилии с утверждениями об имевшей место стагнации.  За исключением периода 1998-2000 годов темпы начавшегося в 1992 году экономического роста значительно превышали темпы экономического роста в предыдущем десятилетии.  При любых оценках следует также принимать во внимание значительный прирост производительности бразильской экономики за тот же период.  Причина того, что темпы прироста рабочих мест в последнее время замедлились, на самом деле кроется в том, что рост производительности труда превышал темпы роста ВВП.</w:t>
      </w:r>
    </w:p>
    <w:p w:rsidR="00000000" w:rsidRDefault="00000000">
      <w:pPr>
        <w:pStyle w:val="FootnoteText"/>
        <w:spacing w:line="288" w:lineRule="auto"/>
      </w:pPr>
    </w:p>
    <w:p w:rsidR="00000000" w:rsidRDefault="00000000">
      <w:pPr>
        <w:jc w:val="center"/>
        <w:rPr>
          <w:b/>
          <w:spacing w:val="20"/>
          <w:kern w:val="20"/>
        </w:rPr>
      </w:pPr>
      <w:r>
        <w:rPr>
          <w:b/>
          <w:spacing w:val="20"/>
          <w:kern w:val="20"/>
        </w:rPr>
        <w:br w:type="page"/>
        <w:t xml:space="preserve">Диаграмма 7.  Рост ВВП и производительности труда </w:t>
      </w:r>
    </w:p>
    <w:p w:rsidR="00000000" w:rsidRDefault="00000000">
      <w:pPr>
        <w:jc w:val="center"/>
        <w:rPr>
          <w:b/>
          <w:spacing w:val="20"/>
          <w:kern w:val="20"/>
        </w:rPr>
      </w:pPr>
      <w:r>
        <w:rPr>
          <w:b/>
          <w:spacing w:val="20"/>
          <w:kern w:val="20"/>
        </w:rPr>
        <w:t>в промышленности в период 1992-1999 годов (%)</w:t>
      </w:r>
    </w:p>
    <w:p w:rsidR="00000000" w:rsidRDefault="00000000">
      <w:pPr>
        <w:jc w:val="center"/>
        <w:rPr>
          <w:b/>
          <w:spacing w:val="20"/>
          <w:kern w:val="20"/>
        </w:rPr>
      </w:pPr>
    </w:p>
    <w:p w:rsidR="00000000" w:rsidRDefault="00000000">
      <w:pPr>
        <w:pStyle w:val="Figura"/>
        <w:spacing w:before="0" w:line="288" w:lineRule="auto"/>
        <w:rPr>
          <w:rFonts w:ascii="Times New Roman" w:hAnsi="Times New Roman"/>
          <w:sz w:val="20"/>
        </w:rPr>
      </w:pPr>
      <w:r>
        <w:rPr>
          <w:rFonts w:ascii="Times New Roman" w:hAnsi="Times New Roman"/>
          <w:sz w:val="20"/>
          <w:lang w:val="ru-RU"/>
        </w:rPr>
        <w:t xml:space="preserve">  </w:t>
      </w:r>
      <w:r>
        <w:rPr>
          <w:rFonts w:ascii="Times New Roman" w:hAnsi="Times New Roman"/>
          <w:sz w:val="20"/>
        </w:rPr>
        <w:object w:dxaOrig="8362" w:dyaOrig="4162">
          <v:shape id="_x0000_i1030" type="#_x0000_t75" style="width:417.75pt;height:207.75pt" o:ole="" fillcolor="window">
            <v:imagedata r:id="rId24" o:title=""/>
          </v:shape>
          <o:OLEObject Type="Embed" ProgID="MSGraph.Chart.8" ShapeID="_x0000_i1030" DrawAspect="Content" ObjectID="_1394878298" r:id="rId25">
            <o:FieldCodes>\s</o:FieldCodes>
          </o:OLEObject>
        </w:object>
      </w:r>
    </w:p>
    <w:p w:rsidR="00000000" w:rsidRDefault="00000000">
      <w:pPr>
        <w:pStyle w:val="Figura"/>
        <w:spacing w:before="0" w:line="288" w:lineRule="auto"/>
        <w:rPr>
          <w:rFonts w:ascii="Times New Roman" w:hAnsi="Times New Roman"/>
          <w:sz w:val="20"/>
        </w:rPr>
      </w:pPr>
    </w:p>
    <w:p w:rsidR="00000000" w:rsidRDefault="00000000">
      <w:pPr>
        <w:pStyle w:val="Figura"/>
        <w:spacing w:before="0" w:line="288" w:lineRule="auto"/>
        <w:jc w:val="center"/>
        <w:rPr>
          <w:rFonts w:ascii="Times New Roman" w:hAnsi="Times New Roman"/>
          <w:spacing w:val="20"/>
          <w:kern w:val="16"/>
          <w:sz w:val="16"/>
          <w:lang w:val="ru-RU"/>
        </w:rPr>
      </w:pPr>
    </w:p>
    <w:p w:rsidR="00000000" w:rsidRDefault="00000000">
      <w:pPr>
        <w:pStyle w:val="16"/>
        <w:jc w:val="left"/>
        <w:rPr>
          <w:kern w:val="16"/>
        </w:rPr>
      </w:pPr>
      <w:r>
        <w:rPr>
          <w:kern w:val="16"/>
          <w:u w:val="single"/>
        </w:rPr>
        <w:t>Источник</w:t>
      </w:r>
      <w:r>
        <w:rPr>
          <w:kern w:val="16"/>
        </w:rPr>
        <w:t>:  БИГС</w:t>
      </w:r>
    </w:p>
    <w:p w:rsidR="00000000" w:rsidRDefault="00000000">
      <w:pPr>
        <w:pStyle w:val="Figura"/>
        <w:spacing w:before="0" w:line="288" w:lineRule="auto"/>
        <w:jc w:val="center"/>
        <w:rPr>
          <w:b w:val="0"/>
          <w:kern w:val="16"/>
          <w:lang w:val="ru-RU"/>
        </w:rPr>
      </w:pPr>
    </w:p>
    <w:p w:rsidR="00000000" w:rsidRDefault="00000000">
      <w:pPr>
        <w:rPr>
          <w:kern w:val="20"/>
        </w:rPr>
      </w:pPr>
      <w:r>
        <w:rPr>
          <w:kern w:val="20"/>
        </w:rPr>
        <w:t>47.</w:t>
      </w:r>
      <w:r>
        <w:rPr>
          <w:kern w:val="20"/>
        </w:rPr>
        <w:tab/>
        <w:t>В 80-х годах производительность труда практически не росла, тогда как в 90-х годах наблюдался весьма активный ее рост.  Это, как представляется, свидетельствует о том, что экономика не потеряла своей динамики, при том что темпы роста производительности труда превышали темпы роста экономики в целом.  Отсюда следует, что проблема создания новых рабочих мест не имеет никакого отношения к динамике экономики, а обусловлена факторами, которые в свою очередь связаны с самим рынком рабочей силы и механизмами его функционирования.  Эти факторы требуют надлежащего анализа и рассмотрения, с тем чтобы небольшое количество вновь создаваемых рабочих мест не привело в будущем к росту структурной безработицы.</w:t>
      </w:r>
    </w:p>
    <w:p w:rsidR="00000000" w:rsidRDefault="00000000">
      <w:pPr>
        <w:rPr>
          <w:kern w:val="20"/>
        </w:rPr>
      </w:pPr>
    </w:p>
    <w:p w:rsidR="00000000" w:rsidRDefault="00000000">
      <w:pPr>
        <w:rPr>
          <w:kern w:val="20"/>
        </w:rPr>
      </w:pPr>
      <w:r>
        <w:rPr>
          <w:kern w:val="20"/>
        </w:rPr>
        <w:t>48.</w:t>
      </w:r>
      <w:r>
        <w:rPr>
          <w:kern w:val="20"/>
        </w:rPr>
        <w:tab/>
        <w:t>Во</w:t>
      </w:r>
      <w:r>
        <w:rPr>
          <w:kern w:val="20"/>
        </w:rPr>
        <w:noBreakHyphen/>
        <w:t>первых, следует отметить, что небольшое число вновь создаваемых рабочих мест связано с резким ростом производительности на рынке труда.  Имеющаяся информация о приросте производительности труда в бразильской экономике не оставляет на этот счет никаких сомнений.  С одной стороны, прирост производительности влечет за собой снижение темпов роста вновь создаваемых рабочих мест применительно к любым конкретным показателям роста экономики, а с другой стороны, следствием этого явления является повышение качества производимой продукции при меньших усилиях работников и меньших затратах ресурсов в целом.  Это в свою очередь ведет к сокращению затрат на производство и соответственно к снижению цен на производимую продукцию, чем объясняется процесс существенного прироста численности потребителей, наблюдающийся в последние годы на бразильском рынке.</w:t>
      </w:r>
    </w:p>
    <w:p w:rsidR="00000000" w:rsidRDefault="00000000">
      <w:pPr>
        <w:rPr>
          <w:kern w:val="20"/>
        </w:rPr>
      </w:pPr>
    </w:p>
    <w:p w:rsidR="00000000" w:rsidRDefault="00000000">
      <w:pPr>
        <w:rPr>
          <w:kern w:val="20"/>
        </w:rPr>
      </w:pPr>
      <w:r>
        <w:rPr>
          <w:kern w:val="20"/>
        </w:rPr>
        <w:t>49.</w:t>
      </w:r>
      <w:r>
        <w:rPr>
          <w:kern w:val="20"/>
        </w:rPr>
        <w:tab/>
        <w:t>В то же самое время производительность труда является единственным средством обеспечения большей конкурентоспособности бразильских товаров за границей и повышения заработной платы в долгосрочной перспективе.  Крупные мировые рынки развивались именно за счет существенного прироста производительности труда и увеличения реальной заработной платы.  Бразильское правительство считает, что было бы ошибочным принимать какие-либо меры исключительно с целью прекращения процесса роста производительности труда под предлогом активизации процесса создания новых рабочих мест в краткосрочной перспективе.</w:t>
      </w:r>
    </w:p>
    <w:p w:rsidR="00000000" w:rsidRDefault="00000000">
      <w:pPr>
        <w:rPr>
          <w:kern w:val="20"/>
        </w:rPr>
      </w:pPr>
    </w:p>
    <w:p w:rsidR="00000000" w:rsidRDefault="00000000">
      <w:pPr>
        <w:rPr>
          <w:kern w:val="20"/>
        </w:rPr>
      </w:pPr>
      <w:r>
        <w:rPr>
          <w:kern w:val="20"/>
        </w:rPr>
        <w:t>50.</w:t>
      </w:r>
      <w:r>
        <w:rPr>
          <w:kern w:val="20"/>
        </w:rPr>
        <w:tab/>
        <w:t>В заключение следует подчеркнуть, что данные о занятости за период вплоть до 1999 года не отражают тенденцию, наметившуюся в текущем году.  Так, в 2000 году обозначилась явная тенденция к значительной активизации процесса создания новых рабочих мест.  Данные относительно официального рынка рабочей силы, представленные Генеральным реестром занятых и незанятых лиц (ГРЗН), свидетельствуют о том, что за период с января по апрель текущего года было создано 284 000 рабочих мест.  Данные ЕОЗ/БИГС по крупнейшим городским агломерациям Бразилии (январь-апрель 2000 года) в свою очередь указывают на прирост в размере 600 000 новых рабочих мест (без учета характера должностей) по отношению к тому же периоду за предыдущий год.</w:t>
      </w:r>
    </w:p>
    <w:p w:rsidR="00000000" w:rsidRDefault="00000000">
      <w:pPr>
        <w:rPr>
          <w:kern w:val="20"/>
        </w:rPr>
      </w:pPr>
    </w:p>
    <w:p w:rsidR="00000000" w:rsidRDefault="00000000">
      <w:pPr>
        <w:pStyle w:val="Heading1"/>
        <w:rPr>
          <w:bCs/>
          <w:kern w:val="20"/>
        </w:rPr>
      </w:pPr>
      <w:r>
        <w:rPr>
          <w:bCs/>
          <w:kern w:val="20"/>
        </w:rPr>
        <w:t>Уровень безработицы и неформальный рынок труда</w:t>
      </w:r>
    </w:p>
    <w:p w:rsidR="00000000" w:rsidRDefault="00000000">
      <w:pPr>
        <w:pStyle w:val="Heading1"/>
        <w:rPr>
          <w:bCs/>
          <w:kern w:val="20"/>
        </w:rPr>
      </w:pPr>
    </w:p>
    <w:p w:rsidR="00000000" w:rsidRDefault="00000000">
      <w:pPr>
        <w:rPr>
          <w:kern w:val="20"/>
        </w:rPr>
      </w:pPr>
      <w:r>
        <w:rPr>
          <w:kern w:val="20"/>
        </w:rPr>
        <w:t>51.</w:t>
      </w:r>
      <w:r>
        <w:rPr>
          <w:kern w:val="20"/>
        </w:rPr>
        <w:tab/>
        <w:t>В последние годы наблюдался существенный рост безработицы.  Хотя это явление по</w:t>
      </w:r>
      <w:r>
        <w:rPr>
          <w:kern w:val="20"/>
        </w:rPr>
        <w:noBreakHyphen/>
        <w:t>прежнему носит сезонный характер (см. диаграмму 8), среднегодовые показатели свидетельствовали о довольно большом росте безработицы, при том что признаки стабилизации в этой области обозначились на самом высоком за всю историю страны уровне этого показателя.  В то же время в контексте общемировой ситуации этот уровень можно считать приемлемым.</w:t>
      </w:r>
    </w:p>
    <w:p w:rsidR="00000000" w:rsidRDefault="00000000">
      <w:pPr>
        <w:rPr>
          <w:kern w:val="20"/>
        </w:rPr>
      </w:pPr>
    </w:p>
    <w:p w:rsidR="00000000" w:rsidRDefault="00000000">
      <w:pPr>
        <w:rPr>
          <w:kern w:val="20"/>
        </w:rPr>
      </w:pPr>
      <w:r>
        <w:rPr>
          <w:kern w:val="20"/>
        </w:rPr>
        <w:t>52.</w:t>
      </w:r>
      <w:r>
        <w:rPr>
          <w:kern w:val="20"/>
        </w:rPr>
        <w:tab/>
        <w:t>Прежде чем перейти к следующему вопросу, следует отметить, что позитивные тенденции на рынке труда в текущем году повлекли за собой небольшое снижение безработицы, которое происходило плавными темпами по причинам, которые будут рассмотрены ниже.</w:t>
      </w:r>
    </w:p>
    <w:p w:rsidR="00000000" w:rsidRDefault="00000000">
      <w:pPr>
        <w:rPr>
          <w:kern w:val="20"/>
        </w:rPr>
      </w:pPr>
    </w:p>
    <w:p w:rsidR="00000000" w:rsidRDefault="00000000">
      <w:pPr>
        <w:pStyle w:val="Figura"/>
        <w:spacing w:before="0" w:line="288" w:lineRule="auto"/>
        <w:jc w:val="center"/>
        <w:rPr>
          <w:rFonts w:ascii="Times New Roman" w:hAnsi="Times New Roman"/>
          <w:spacing w:val="20"/>
          <w:kern w:val="20"/>
          <w:lang w:val="ru-RU"/>
        </w:rPr>
      </w:pPr>
      <w:r>
        <w:rPr>
          <w:rFonts w:ascii="Times New Roman" w:hAnsi="Times New Roman"/>
          <w:spacing w:val="20"/>
          <w:kern w:val="20"/>
          <w:lang w:val="ru-RU"/>
        </w:rPr>
        <w:br w:type="page"/>
        <w:t>Диаграмма 8.  Данные об уровне безработицы по крупнейшим</w:t>
      </w:r>
    </w:p>
    <w:p w:rsidR="00000000" w:rsidRDefault="00000000">
      <w:pPr>
        <w:pStyle w:val="Figura"/>
        <w:spacing w:before="0" w:line="288" w:lineRule="auto"/>
        <w:jc w:val="center"/>
        <w:rPr>
          <w:rFonts w:ascii="Times New Roman" w:hAnsi="Times New Roman"/>
          <w:spacing w:val="20"/>
          <w:kern w:val="20"/>
          <w:lang w:val="ru-RU"/>
        </w:rPr>
      </w:pPr>
      <w:r>
        <w:rPr>
          <w:noProof/>
          <w:sz w:val="20"/>
          <w:lang w:val="ru-RU" w:eastAsia="ru-RU"/>
        </w:rPr>
        <w:pict>
          <v:shape id="_x0000_s1040" type="#_x0000_t202" style="position:absolute;left:0;text-align:left;margin-left:271.15pt;margin-top:364.25pt;width:112.2pt;height:19.05pt;z-index:11" strokecolor="white">
            <v:textbox inset="0,0,0,0">
              <w:txbxContent>
                <w:p w:rsidR="00000000" w:rsidRDefault="00000000">
                  <w:pPr>
                    <w:spacing w:line="144" w:lineRule="auto"/>
                    <w:rPr>
                      <w:sz w:val="16"/>
                    </w:rPr>
                  </w:pPr>
                  <w:r>
                    <w:rPr>
                      <w:sz w:val="16"/>
                    </w:rPr>
                    <w:t>средневыровненная</w:t>
                  </w:r>
                </w:p>
                <w:p w:rsidR="00000000" w:rsidRDefault="00000000">
                  <w:pPr>
                    <w:pStyle w:val="BodyText"/>
                    <w:spacing w:line="144" w:lineRule="auto"/>
                  </w:pPr>
                  <w:r>
                    <w:t>эмпирическая кривая</w:t>
                  </w:r>
                </w:p>
              </w:txbxContent>
            </v:textbox>
            <w10:wrap type="topAndBottom"/>
          </v:shape>
        </w:pict>
      </w:r>
      <w:r>
        <w:rPr>
          <w:noProof/>
          <w:sz w:val="20"/>
          <w:lang w:val="ru-RU" w:eastAsia="ru-RU"/>
        </w:rPr>
        <w:pict>
          <v:shape id="_x0000_s1039" type="#_x0000_t202" style="position:absolute;left:0;text-align:left;margin-left:190.25pt;margin-top:364.25pt;width:52.85pt;height:19.05pt;z-index:10" strokecolor="white">
            <v:textbox inset="0,0,0,0">
              <w:txbxContent>
                <w:p w:rsidR="00000000" w:rsidRDefault="00000000">
                  <w:pPr>
                    <w:pStyle w:val="BodyText"/>
                    <w:spacing w:line="144" w:lineRule="auto"/>
                  </w:pPr>
                  <w:r>
                    <w:t>эмпирическая кривая</w:t>
                  </w:r>
                </w:p>
              </w:txbxContent>
            </v:textbox>
            <w10:wrap type="topAndBottom"/>
          </v:shape>
        </w:pict>
      </w:r>
      <w:r>
        <w:pict>
          <v:shape id="_x0000_s1038" type="#_x0000_t75" style="position:absolute;left:0;text-align:left;margin-left:28.05pt;margin-top:46.75pt;width:419.25pt;height:368.3pt;z-index:9">
            <v:imagedata r:id="rId26" o:title=""/>
            <w10:wrap type="topAndBottom"/>
          </v:shape>
        </w:pict>
      </w:r>
      <w:r>
        <w:rPr>
          <w:rFonts w:ascii="Times New Roman" w:hAnsi="Times New Roman"/>
          <w:spacing w:val="20"/>
          <w:kern w:val="20"/>
          <w:lang w:val="ru-RU"/>
        </w:rPr>
        <w:t>городским агломерациям Бразилии (%)</w:t>
      </w:r>
    </w:p>
    <w:p w:rsidR="00000000" w:rsidRDefault="00000000">
      <w:pPr>
        <w:pStyle w:val="Figura"/>
        <w:spacing w:before="0" w:line="288" w:lineRule="auto"/>
        <w:jc w:val="center"/>
        <w:rPr>
          <w:rFonts w:ascii="Times New Roman" w:hAnsi="Times New Roman"/>
          <w:spacing w:val="20"/>
          <w:kern w:val="20"/>
          <w:lang w:val="ru-RU"/>
        </w:rPr>
      </w:pPr>
    </w:p>
    <w:p w:rsidR="00000000" w:rsidRDefault="00000000">
      <w:pPr>
        <w:pStyle w:val="Figura"/>
        <w:spacing w:before="0" w:line="288" w:lineRule="auto"/>
        <w:jc w:val="center"/>
        <w:rPr>
          <w:b w:val="0"/>
          <w:bCs/>
          <w:kern w:val="16"/>
          <w:lang w:val="ru-RU"/>
        </w:rPr>
      </w:pPr>
    </w:p>
    <w:p w:rsidR="00000000" w:rsidRDefault="00000000">
      <w:pPr>
        <w:pStyle w:val="16"/>
        <w:jc w:val="left"/>
        <w:rPr>
          <w:kern w:val="16"/>
        </w:rPr>
      </w:pPr>
      <w:r>
        <w:rPr>
          <w:kern w:val="16"/>
          <w:u w:val="single"/>
        </w:rPr>
        <w:t>Источник</w:t>
      </w:r>
      <w:r>
        <w:rPr>
          <w:kern w:val="16"/>
        </w:rPr>
        <w:t>:  ЕОЗ-БИГС</w:t>
      </w:r>
    </w:p>
    <w:p w:rsidR="00000000" w:rsidRDefault="00000000">
      <w:pPr>
        <w:jc w:val="center"/>
        <w:rPr>
          <w:kern w:val="16"/>
          <w:sz w:val="16"/>
        </w:rPr>
      </w:pPr>
    </w:p>
    <w:p w:rsidR="00000000" w:rsidRDefault="00000000">
      <w:pPr>
        <w:rPr>
          <w:kern w:val="16"/>
        </w:rPr>
      </w:pPr>
      <w:r>
        <w:rPr>
          <w:kern w:val="16"/>
        </w:rPr>
        <w:t>53.</w:t>
      </w:r>
      <w:r>
        <w:rPr>
          <w:kern w:val="16"/>
        </w:rPr>
        <w:tab/>
        <w:t>Рост уровня безработицы объясняется рядом факторов.  Помимо упомянутого выше роста производительности труда, аналогичное воздействие оказывали макроэкономические программы, принятые в связи с кризисом в Азии (1997 год), кризисом в России (1998 год) и, наконец, в связи с кризисом обменного курса, разразившемся в самой Бразилии в начале 1999 года.  В этих условиях правительство было вынуждено принять жесткие с фискальной точки зрения, но оправданные и необходимые меры в целях сохранения макроэкономической стабильности Бразилии.</w:t>
      </w:r>
    </w:p>
    <w:p w:rsidR="00000000" w:rsidRDefault="00000000">
      <w:pPr>
        <w:rPr>
          <w:kern w:val="16"/>
        </w:rPr>
      </w:pPr>
    </w:p>
    <w:p w:rsidR="00000000" w:rsidRDefault="00000000">
      <w:pPr>
        <w:rPr>
          <w:kern w:val="16"/>
        </w:rPr>
      </w:pPr>
      <w:r>
        <w:rPr>
          <w:kern w:val="16"/>
        </w:rPr>
        <w:t>54.</w:t>
      </w:r>
      <w:r>
        <w:rPr>
          <w:kern w:val="16"/>
        </w:rPr>
        <w:tab/>
        <w:t>В контексте государственной политики следует подчеркнуть, что безработица в неодинаковой мере затрагивает различные социальные группы.  Углубленный анализ показывает, какие именно группы страдают от этого в наибольшей мере.  Из диаграммы 9 явствует, что безработица в меньшей мере затрагивает мужчин, нежели женщин, глав семей и супругов, нежели их детей (в 1999 году уровень безработицы среди глав домашних хозяйств составлял 5%, а среди их детей – свыше 13%), и что среди работников в возрасте старше 40 лет уровень безработицы колеблется на уровне 4%, а среди молодежи в целом составляет 15%.  Вышеприведенные статистические данные свидетельствуют о том, что главы домашних хозяйств, на которых приходится основная часть доходов семей, пока что в наименьшей степени страдали от безработицы.</w:t>
      </w:r>
    </w:p>
    <w:p w:rsidR="00000000" w:rsidRDefault="00000000"/>
    <w:p w:rsidR="00000000" w:rsidRDefault="00000000">
      <w:pPr>
        <w:pStyle w:val="16"/>
        <w:rPr>
          <w:b/>
          <w:bCs/>
        </w:rPr>
      </w:pPr>
      <w:r>
        <w:rPr>
          <w:b/>
          <w:bCs/>
        </w:rPr>
        <w:t>Диаграмма 9.</w:t>
      </w:r>
      <w:r>
        <w:rPr>
          <w:b/>
          <w:bCs/>
        </w:rPr>
        <w:tab/>
        <w:t>Средний уровень безработицы за 1999 год по крупнейшим</w:t>
      </w:r>
    </w:p>
    <w:p w:rsidR="00000000" w:rsidRDefault="00000000">
      <w:pPr>
        <w:pStyle w:val="16"/>
        <w:rPr>
          <w:b/>
          <w:bCs/>
        </w:rPr>
      </w:pPr>
      <w:r>
        <w:rPr>
          <w:b/>
          <w:bCs/>
        </w:rPr>
        <w:t>городским агломерациям Бразилии (в %)</w:t>
      </w:r>
    </w:p>
    <w:p w:rsidR="00000000" w:rsidRDefault="00000000">
      <w:pPr>
        <w:pStyle w:val="16"/>
      </w:pPr>
    </w:p>
    <w:p w:rsidR="00000000" w:rsidRDefault="00000000">
      <w:pPr>
        <w:pStyle w:val="16"/>
      </w:pPr>
    </w:p>
    <w:p w:rsidR="00000000" w:rsidRDefault="00000000">
      <w:pPr>
        <w:pStyle w:val="Figura"/>
        <w:spacing w:before="0" w:line="288" w:lineRule="auto"/>
        <w:rPr>
          <w:rFonts w:ascii="Times New Roman" w:hAnsi="Times New Roman"/>
          <w:sz w:val="20"/>
          <w:lang w:val="ru-RU"/>
        </w:rPr>
      </w:pPr>
      <w:r>
        <w:rPr>
          <w:rFonts w:ascii="Times New Roman" w:hAnsi="Times New Roman"/>
          <w:sz w:val="20"/>
        </w:rPr>
        <w:object w:dxaOrig="8430" w:dyaOrig="7560">
          <v:shape id="_x0000_i1031" type="#_x0000_t75" style="width:421.5pt;height:378pt" o:ole="" fillcolor="window">
            <v:imagedata r:id="rId27" o:title=""/>
          </v:shape>
          <o:OLEObject Type="Embed" ProgID="MSGraph.Chart.8" ShapeID="_x0000_i1031" DrawAspect="Content" ObjectID="_1394878299" r:id="rId28">
            <o:FieldCodes>\s</o:FieldCodes>
          </o:OLEObject>
        </w:object>
      </w:r>
    </w:p>
    <w:p w:rsidR="00000000" w:rsidRDefault="00000000">
      <w:pPr>
        <w:pStyle w:val="Figura"/>
        <w:spacing w:before="0" w:line="288" w:lineRule="auto"/>
        <w:rPr>
          <w:rFonts w:ascii="Times New Roman" w:hAnsi="Times New Roman"/>
          <w:sz w:val="20"/>
          <w:lang w:val="ru-RU"/>
        </w:rPr>
      </w:pPr>
    </w:p>
    <w:p w:rsidR="00000000" w:rsidRDefault="00000000">
      <w:pPr>
        <w:pStyle w:val="Figura"/>
        <w:spacing w:before="0" w:line="288" w:lineRule="auto"/>
        <w:ind w:firstLine="567"/>
        <w:jc w:val="left"/>
        <w:rPr>
          <w:rFonts w:ascii="Times New Roman" w:hAnsi="Times New Roman"/>
          <w:b w:val="0"/>
          <w:bCs/>
          <w:spacing w:val="20"/>
          <w:kern w:val="16"/>
          <w:lang w:val="ru-RU"/>
        </w:rPr>
      </w:pPr>
      <w:r>
        <w:rPr>
          <w:rFonts w:ascii="Times New Roman" w:hAnsi="Times New Roman"/>
          <w:b w:val="0"/>
          <w:bCs/>
          <w:u w:val="single"/>
          <w:lang w:val="ru-RU"/>
        </w:rPr>
        <w:t>Источник</w:t>
      </w:r>
      <w:r>
        <w:rPr>
          <w:rFonts w:ascii="Times New Roman" w:hAnsi="Times New Roman"/>
          <w:b w:val="0"/>
          <w:bCs/>
          <w:lang w:val="ru-RU"/>
        </w:rPr>
        <w:t xml:space="preserve">:  </w:t>
      </w:r>
      <w:r>
        <w:rPr>
          <w:rFonts w:ascii="Times New Roman" w:hAnsi="Times New Roman"/>
          <w:b w:val="0"/>
          <w:bCs/>
          <w:spacing w:val="20"/>
          <w:kern w:val="16"/>
          <w:lang w:val="ru-RU"/>
        </w:rPr>
        <w:t>ЕОЗ-БИГС</w:t>
      </w:r>
    </w:p>
    <w:p w:rsidR="00000000" w:rsidRDefault="00000000">
      <w:pPr>
        <w:pStyle w:val="Figura"/>
        <w:spacing w:before="0" w:line="288" w:lineRule="auto"/>
        <w:ind w:firstLine="567"/>
        <w:jc w:val="center"/>
        <w:rPr>
          <w:rFonts w:ascii="Times New Roman" w:hAnsi="Times New Roman"/>
          <w:spacing w:val="20"/>
          <w:kern w:val="16"/>
          <w:sz w:val="16"/>
          <w:lang w:val="ru-RU"/>
        </w:rPr>
      </w:pPr>
    </w:p>
    <w:p w:rsidR="00000000" w:rsidRDefault="00000000">
      <w:pPr>
        <w:pStyle w:val="FootnoteText"/>
        <w:spacing w:line="288" w:lineRule="auto"/>
      </w:pPr>
      <w:r>
        <w:t>55.</w:t>
      </w:r>
      <w:r>
        <w:tab/>
        <w:t>В начале 90-х годов бразильское правительство выявило тенденцию к росту занятости в неформальном секторе экономики.  Вместе с тем имеющиеся данные и приведенные выше соображения позволяют прийти к выводу, что это явление не может повлечь за собой утрату всей бразильской экономикой присущей ей динамики.  Напротив, увеличение объемов рынка неформальной рабочей силы следует трактовать в свете результатов анализа других факторов, позволяющих вскрыть механизмы функционирования самого рынка труда.</w:t>
      </w:r>
    </w:p>
    <w:p w:rsidR="00000000" w:rsidRDefault="00000000">
      <w:pPr>
        <w:pStyle w:val="FootnoteText"/>
        <w:spacing w:line="288" w:lineRule="auto"/>
      </w:pPr>
    </w:p>
    <w:p w:rsidR="00000000" w:rsidRDefault="00000000">
      <w:pPr>
        <w:pStyle w:val="FootnoteText"/>
        <w:spacing w:line="288" w:lineRule="auto"/>
      </w:pPr>
      <w:r>
        <w:t>56.</w:t>
      </w:r>
      <w:r>
        <w:tab/>
        <w:t>Имеется целый ряд вполне естественных причин, объясняющих существование в Бразилии неформального рынка рабочей силы, включая дестимулирующее воздействие системы социального обеспечения и бразильского трудового законодательства и особенности функционирования микропредприятий и малых предприятий, на которых занято подавляющее большинство представителей неформального сектора рабочей силы.  Вместе с тем именно эти два фактора имеют определяющее значение.  Первый фактор заключается, в частности, в том, что новые формы производственных и трудовых отношений содействуют увеличению численности самозанятых работников благодаря процессу выноса некоторых технологических операций за пределы предприятия.  Иными словами, целый ряд функций, которые обычно выполнялись в рамках компании, теперь осуществляются за их пределами, что в свою очередь приводит к сокращению численности работников этих компаний.  Второй фактор состоит в относительном увеличении числа рабочих мест в секторе услуг в ущерб промышленному сектору.  Поскольку в секторе услуг создание новых рабочих мест сопряжено с меньшими затратами, уже один только фактор возрастающей значимости этого сектора позволяет объяснить причину роста количества неформальных рабочих мест на рынке труда.</w:t>
      </w:r>
    </w:p>
    <w:p w:rsidR="00000000" w:rsidRDefault="00000000">
      <w:pPr>
        <w:pStyle w:val="FootnoteText"/>
        <w:spacing w:line="288" w:lineRule="auto"/>
      </w:pPr>
    </w:p>
    <w:p w:rsidR="00000000" w:rsidRDefault="00000000">
      <w:pPr>
        <w:pStyle w:val="FootnoteText"/>
        <w:spacing w:line="288" w:lineRule="auto"/>
        <w:rPr>
          <w:b/>
          <w:bCs/>
        </w:rPr>
      </w:pPr>
      <w:r>
        <w:rPr>
          <w:b/>
          <w:bCs/>
        </w:rPr>
        <w:t>Заработная плата</w:t>
      </w:r>
    </w:p>
    <w:p w:rsidR="00000000" w:rsidRDefault="00000000">
      <w:pPr>
        <w:pStyle w:val="FootnoteText"/>
        <w:spacing w:line="288" w:lineRule="auto"/>
        <w:rPr>
          <w:b/>
          <w:bCs/>
        </w:rPr>
      </w:pPr>
    </w:p>
    <w:p w:rsidR="00000000" w:rsidRDefault="00000000">
      <w:pPr>
        <w:pStyle w:val="FootnoteText"/>
        <w:spacing w:line="288" w:lineRule="auto"/>
      </w:pPr>
      <w:r>
        <w:t>57.</w:t>
      </w:r>
      <w:r>
        <w:tab/>
        <w:t>Феномен неформального сектора привлекает внимание вследствие присущего ему фактора трудовых отношений, сопряженных с утратой трудящимися своих прав и даже денежного вознаграждения.  Тем не менее, имеющиеся показатели не позволяют получить достаточно четкого представления о возможной связи между ростом количества рабочих мест в неформальном секторе и усугублением неблагоприятного характера труда в этой сфере, особенно в том, что касается доходов, о чем свидетельствуют данные, приводимые в диаграмме 10.</w:t>
      </w:r>
    </w:p>
    <w:p w:rsidR="00000000" w:rsidRDefault="00000000">
      <w:pPr>
        <w:pStyle w:val="FootnoteText"/>
        <w:spacing w:line="288" w:lineRule="auto"/>
      </w:pPr>
      <w:r>
        <w:br w:type="page"/>
      </w:r>
    </w:p>
    <w:p w:rsidR="00000000" w:rsidRDefault="00000000">
      <w:pPr>
        <w:pStyle w:val="FootnoteText"/>
        <w:spacing w:line="288" w:lineRule="auto"/>
        <w:jc w:val="center"/>
        <w:rPr>
          <w:b/>
          <w:bCs/>
        </w:rPr>
      </w:pPr>
      <w:r>
        <w:rPr>
          <w:b/>
          <w:bCs/>
        </w:rPr>
        <w:t>Диаграмма 10.</w:t>
      </w:r>
      <w:r>
        <w:rPr>
          <w:b/>
          <w:bCs/>
        </w:rPr>
        <w:tab/>
        <w:t>Динамика изменений размера реальной средней заработной</w:t>
      </w:r>
    </w:p>
    <w:p w:rsidR="00000000" w:rsidRDefault="00000000">
      <w:pPr>
        <w:pStyle w:val="FootnoteText"/>
        <w:spacing w:line="288" w:lineRule="auto"/>
        <w:jc w:val="center"/>
        <w:rPr>
          <w:b/>
          <w:bCs/>
        </w:rPr>
      </w:pPr>
      <w:r>
        <w:rPr>
          <w:b/>
          <w:bCs/>
        </w:rPr>
        <w:t>платы, 1991-1999 годы (в %)</w:t>
      </w:r>
    </w:p>
    <w:p w:rsidR="00000000" w:rsidRDefault="00000000">
      <w:pPr>
        <w:pStyle w:val="FootnoteText"/>
        <w:spacing w:line="288" w:lineRule="auto"/>
        <w:jc w:val="center"/>
        <w:rPr>
          <w:b/>
          <w:bCs/>
        </w:rPr>
      </w:pPr>
    </w:p>
    <w:p w:rsidR="00000000" w:rsidRDefault="00000000">
      <w:pPr>
        <w:pStyle w:val="Figura"/>
        <w:spacing w:before="0" w:line="288" w:lineRule="auto"/>
        <w:rPr>
          <w:rFonts w:ascii="Times New Roman" w:hAnsi="Times New Roman"/>
          <w:sz w:val="20"/>
          <w:lang w:val="ru-RU"/>
        </w:rPr>
      </w:pPr>
      <w:r>
        <w:rPr>
          <w:rFonts w:ascii="Times New Roman" w:hAnsi="Times New Roman"/>
          <w:sz w:val="20"/>
          <w:lang w:val="ru-RU"/>
        </w:rPr>
        <w:t xml:space="preserve">     </w:t>
      </w:r>
      <w:r>
        <w:rPr>
          <w:rFonts w:ascii="Times New Roman" w:hAnsi="Times New Roman"/>
          <w:sz w:val="20"/>
        </w:rPr>
        <w:object w:dxaOrig="9336" w:dyaOrig="6758">
          <v:shape id="_x0000_i1032" type="#_x0000_t75" style="width:466.5pt;height:338.25pt" o:ole="" fillcolor="window">
            <v:imagedata r:id="rId29" o:title=""/>
          </v:shape>
          <o:OLEObject Type="Embed" ProgID="MSGraph.Chart.8" ShapeID="_x0000_i1032" DrawAspect="Content" ObjectID="_1394878300" r:id="rId30">
            <o:FieldCodes>\s</o:FieldCodes>
          </o:OLEObject>
        </w:object>
      </w:r>
    </w:p>
    <w:p w:rsidR="00000000" w:rsidRDefault="00000000">
      <w:pPr>
        <w:pStyle w:val="Figura"/>
        <w:spacing w:before="0" w:line="288" w:lineRule="auto"/>
        <w:rPr>
          <w:rFonts w:ascii="Times New Roman" w:hAnsi="Times New Roman"/>
          <w:sz w:val="20"/>
          <w:lang w:val="ru-RU"/>
        </w:rPr>
      </w:pPr>
    </w:p>
    <w:p w:rsidR="00000000" w:rsidRDefault="00000000">
      <w:pPr>
        <w:pStyle w:val="FootnoteText"/>
        <w:spacing w:line="288" w:lineRule="auto"/>
      </w:pPr>
      <w:r>
        <w:rPr>
          <w:u w:val="single"/>
        </w:rPr>
        <w:t>Источник</w:t>
      </w:r>
      <w:r>
        <w:t>:  ЕОЗ-БИГС</w:t>
      </w:r>
    </w:p>
    <w:p w:rsidR="00000000" w:rsidRDefault="00000000">
      <w:pPr>
        <w:pStyle w:val="FootnoteText"/>
        <w:spacing w:line="288" w:lineRule="auto"/>
        <w:jc w:val="center"/>
        <w:rPr>
          <w:b/>
          <w:bCs/>
          <w:sz w:val="20"/>
        </w:rPr>
      </w:pPr>
    </w:p>
    <w:p w:rsidR="00000000" w:rsidRDefault="00000000">
      <w:pPr>
        <w:pStyle w:val="FootnoteText"/>
        <w:spacing w:line="288" w:lineRule="auto"/>
      </w:pPr>
      <w:r>
        <w:t>58.</w:t>
      </w:r>
      <w:r>
        <w:tab/>
        <w:t>Несмотря на то, что все больше трудящихся не имеют надлежащим образом оформленных трудовых документов или относятся к категории лиц, не работающих по найму, с 1991 года наиболее быстрыми темпами росли доходы представителей именно этих двух групп трудящихся.  Следует также подчеркнуть, что данные, приводимые в диаграмме 10, свидетельствуют о том, что именно в секторе услуг (где существуют более благоприятные условия для создания неформальных рабочих мест) отмечается наиболее позитивная динамика изменения размера заработной платы.  Кроме того, за тот же период темпы роста заработной платы женщин значительно опережали аналогичный показатель для мужчин.</w:t>
      </w:r>
    </w:p>
    <w:p w:rsidR="00000000" w:rsidRDefault="00000000">
      <w:pPr>
        <w:pStyle w:val="FootnoteText"/>
        <w:spacing w:line="288" w:lineRule="auto"/>
      </w:pPr>
    </w:p>
    <w:p w:rsidR="00000000" w:rsidRDefault="00000000">
      <w:pPr>
        <w:pStyle w:val="FootnoteText"/>
        <w:spacing w:line="288" w:lineRule="auto"/>
        <w:rPr>
          <w:b/>
          <w:bCs/>
        </w:rPr>
      </w:pPr>
      <w:r>
        <w:rPr>
          <w:b/>
          <w:bCs/>
        </w:rPr>
        <w:br w:type="page"/>
        <w:t>Государственная политика в области доходов и заработной платы</w:t>
      </w:r>
    </w:p>
    <w:p w:rsidR="00000000" w:rsidRDefault="00000000">
      <w:pPr>
        <w:pStyle w:val="FootnoteText"/>
        <w:spacing w:line="288" w:lineRule="auto"/>
        <w:rPr>
          <w:b/>
          <w:bCs/>
        </w:rPr>
      </w:pPr>
    </w:p>
    <w:p w:rsidR="00000000" w:rsidRDefault="00000000">
      <w:pPr>
        <w:pStyle w:val="FootnoteText"/>
        <w:spacing w:line="288" w:lineRule="auto"/>
      </w:pPr>
      <w:r>
        <w:t>59.</w:t>
      </w:r>
      <w:r>
        <w:tab/>
        <w:t>Программы бразильского правительства, относящиеся к сфере компетенции министерства труда и занятости, предусматривают следующие три ключевые направления деятельности:  во</w:t>
      </w:r>
      <w:r>
        <w:noBreakHyphen/>
        <w:t>первых, меры по созданию государственной системы трудоустройства, во</w:t>
      </w:r>
      <w:r>
        <w:noBreakHyphen/>
        <w:t>вторых, стимулирование занятости путем предоставления кредитов и, в-третьих, совершенствование нормативных механизмов, регулирующих отношения в хозяйственной и трудовой сфере.</w:t>
      </w:r>
    </w:p>
    <w:p w:rsidR="00000000" w:rsidRDefault="00000000">
      <w:pPr>
        <w:pStyle w:val="FootnoteText"/>
        <w:spacing w:line="288" w:lineRule="auto"/>
      </w:pPr>
    </w:p>
    <w:p w:rsidR="00000000" w:rsidRDefault="00000000">
      <w:r>
        <w:t>60.</w:t>
      </w:r>
      <w:r>
        <w:tab/>
        <w:t>Созданная в Бразилии государственная система занятости базируется на существующих в стране центрах, занимающихся реализацией программы страхования от безработицы.  Эта программа предусматривает осуществление мер по трем основным направлениям государственной стратегии борьбы с безработицей:  предоставление льгот и пособий по линии программы страхования от безработицы в качестве временного финансового содействия потерявшим работу трудящимся;  осуществление посреднических услуг по трудоустройству в интересах оперативного и беспрепятственного возвращения работника на рынок труда путем сокращения расходов и периода ожидания как со стороны наемных работников, так и со стороны работодателей;  реализация программ профессионально-технического обучения с целью подготовки трудящихся и повышения их трудового статуса, что способствует их интеграции и/или реинтеграции на рынке труда в качестве квалифицированных работников.</w:t>
      </w:r>
    </w:p>
    <w:p w:rsidR="00000000" w:rsidRDefault="00000000"/>
    <w:p w:rsidR="00000000" w:rsidRDefault="00000000">
      <w:r>
        <w:t>61.</w:t>
      </w:r>
      <w:r>
        <w:tab/>
        <w:t>Как правило, эта деятельность осуществляется на децентрализованной основе в рамках Национальной системы занятости (НСЗ), в которую входят частные организации, подряжаемые государственными трудовыми секретариатами наряду с другими партнерами по линии программ профессиональной технической подготовки, университетского образования, системы "С", профсоюзов и т.д.  В этой работе принимают участие и местные комиссии по вопросам трудоустройства.</w:t>
      </w:r>
    </w:p>
    <w:p w:rsidR="00000000" w:rsidRDefault="00000000"/>
    <w:p w:rsidR="00000000" w:rsidRDefault="00000000">
      <w:r>
        <w:t>62.</w:t>
      </w:r>
      <w:r>
        <w:tab/>
        <w:t>За период 1986-1999 годов на цели страхования от безработицы было затрачено примерно 23,5 млрд. долл. США;  работой было обеспечено 43 701 063 из 45 626 413 подавших соответствующие заявления лиц, т.е. 95,78%.  Размер пособий за указанный период составлял в среднем 1,54 минимальных месячных оклада.  В течение четырехлетнего периода 1991-1994 годов пособия по безработице ежемесячно получали в среднем 316 000 человек, что в среднегодовом исчислении составляет примерно 3,8 млн. человек.  В течение 1996-1999 годов пособия по безработице ежемесячно получали в среднем 363 000 человек, что в среднегодовом исчислении составляет примерно 4,3 млн. человек.  Действительно, 1995 год можно считать переломным годом, поскольку он разделяет два периода с несхожими тенденциями применительно к численности лиц, получающих ежемесячные пособия по безработице.</w:t>
      </w:r>
    </w:p>
    <w:p w:rsidR="00000000" w:rsidRDefault="00000000"/>
    <w:p w:rsidR="00000000" w:rsidRDefault="00000000">
      <w:r>
        <w:t>63.</w:t>
      </w:r>
      <w:r>
        <w:tab/>
        <w:t>В 1999 году пособия в рамках этой программы были выплачены 4,2 млн. трудящимся;  общая сумма пособий составила 3,83 млрд. реалов, т.е. приблизительно 2,13 млрд. долл. США, или 0,4% ВВП Бразилии.  В макроэкономическом ракурсе эти расходы имеют крайне важное значение, поскольку вливание в экономику дополнительных финансовых средств способствует смягчению негативных последствий безработицы.  В 1999 году средний размер ежемесячного пособия по безработице составлял 1,55 минимальной заработной платы, или 34% от среднего размера реальной заработной платы в крупнейших городских агломерациях Бразилии, что приблизительно соответствует аналогичному показателю в других странах.</w:t>
      </w:r>
    </w:p>
    <w:p w:rsidR="00000000" w:rsidRDefault="00000000"/>
    <w:p w:rsidR="00000000" w:rsidRDefault="00000000">
      <w:r>
        <w:t>64.</w:t>
      </w:r>
      <w:r>
        <w:tab/>
        <w:t>Программа услуг по трудоустройству относится к числу ключевых элементов Национальной системы занятости (НСЗ).  Этот механизм, предлагаемый в рамках НСЗ, функционирует на базе информации, представляемой ищущими работу лицами, которые обращаются за помощью в НСЗ, а также на базе поступающей в НСЗ информации об имеющихся вакансиях.  Предоставляемые услуги заключаются в следующем.  Трудящиеся являются в бюро и отделения НСЗ и проходят там регистрацию.  В соответствии с имеющимися в НСЗ заявками от работодателей зарегистрированные лица получают направления к этим работодателям, которые предоставляют им работу.  За последние четыре года наблюдался существенный рост соответствующих показателей по причине постепенного увеличения "выявленных вакансий" и численности лиц, трудоустроенных на эти вакансии.  Отмечавшийся в 1999 году рост числа предлагаемых рабочих мест и численности лиц, нашедших работу, не может не впечатлять.  Такая динамика связана с продолжающимся процессом "административной конкуренции" между государственными структурами (государственные трудовые секретариаты) и частными организациями (профсоюзы), что в значительной степени содействует достижению системой НСЗ позитивных результатов.</w:t>
      </w:r>
    </w:p>
    <w:p w:rsidR="00000000" w:rsidRDefault="00000000"/>
    <w:p w:rsidR="00000000" w:rsidRDefault="00000000">
      <w:r>
        <w:t>65.</w:t>
      </w:r>
      <w:r>
        <w:tab/>
        <w:t>В 1995 году министр труда и занятости учредил Национальный план квалификации трудящихся (ПЛАНФОР) для целей координации, мобилизации и оптимизации опыта, усилий и ресурсов в области профессиональной - технической подготовки через разработку и укрепление национальной сети государственных и частных структур.  Суть инициативы заключается в том, что такая сеть обеспечивает разработку достаточного количества программ профессионально-технической подготовки для целей удовлетворения потребностей по меньшей мере 20% экономически активного населения (ЭАН) в год.</w:t>
      </w:r>
    </w:p>
    <w:p w:rsidR="00000000" w:rsidRDefault="00000000"/>
    <w:p w:rsidR="00000000" w:rsidRDefault="00000000">
      <w:pPr>
        <w:pStyle w:val="10"/>
        <w:rPr>
          <w:bCs/>
        </w:rPr>
      </w:pPr>
      <w:r>
        <w:rPr>
          <w:bCs/>
        </w:rPr>
        <w:t>Таблица 18.</w:t>
      </w:r>
      <w:r>
        <w:rPr>
          <w:bCs/>
        </w:rPr>
        <w:tab/>
        <w:t xml:space="preserve">Посреднические услуги по трудоустройству:  </w:t>
      </w:r>
    </w:p>
    <w:p w:rsidR="00000000" w:rsidRDefault="00000000">
      <w:pPr>
        <w:pStyle w:val="10"/>
        <w:rPr>
          <w:bCs/>
        </w:rPr>
      </w:pPr>
      <w:r>
        <w:rPr>
          <w:bCs/>
        </w:rPr>
        <w:tab/>
        <w:t xml:space="preserve">    динамика за период 1995-1999 годов</w:t>
      </w:r>
    </w:p>
    <w:p w:rsidR="00000000" w:rsidRDefault="00000000">
      <w:pPr>
        <w:pStyle w:val="10"/>
        <w:rPr>
          <w:bCs/>
        </w:rPr>
      </w:pPr>
    </w:p>
    <w:tbl>
      <w:tblPr>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83"/>
        <w:gridCol w:w="848"/>
        <w:gridCol w:w="848"/>
        <w:gridCol w:w="848"/>
        <w:gridCol w:w="848"/>
        <w:gridCol w:w="848"/>
        <w:gridCol w:w="848"/>
        <w:gridCol w:w="848"/>
        <w:gridCol w:w="848"/>
        <w:gridCol w:w="848"/>
      </w:tblGrid>
      <w:tr w:rsidR="00000000">
        <w:tblPrEx>
          <w:tblCellMar>
            <w:top w:w="0" w:type="dxa"/>
            <w:bottom w:w="0" w:type="dxa"/>
          </w:tblCellMar>
        </w:tblPrEx>
        <w:tc>
          <w:tcPr>
            <w:tcW w:w="1883" w:type="dxa"/>
          </w:tcPr>
          <w:p w:rsidR="00000000" w:rsidRDefault="00000000">
            <w:pPr>
              <w:pStyle w:val="10"/>
              <w:jc w:val="left"/>
              <w:rPr>
                <w:b w:val="0"/>
                <w:sz w:val="20"/>
              </w:rPr>
            </w:pPr>
            <w:r>
              <w:rPr>
                <w:b w:val="0"/>
                <w:sz w:val="20"/>
              </w:rPr>
              <w:t>Показатели</w:t>
            </w:r>
          </w:p>
        </w:tc>
        <w:tc>
          <w:tcPr>
            <w:tcW w:w="848" w:type="dxa"/>
          </w:tcPr>
          <w:p w:rsidR="00000000" w:rsidRDefault="00000000">
            <w:pPr>
              <w:pStyle w:val="10"/>
              <w:rPr>
                <w:bCs/>
                <w:sz w:val="20"/>
              </w:rPr>
            </w:pPr>
            <w:r>
              <w:rPr>
                <w:bCs/>
                <w:sz w:val="20"/>
              </w:rPr>
              <w:t>1995</w:t>
            </w:r>
          </w:p>
        </w:tc>
        <w:tc>
          <w:tcPr>
            <w:tcW w:w="848" w:type="dxa"/>
          </w:tcPr>
          <w:p w:rsidR="00000000" w:rsidRDefault="00000000">
            <w:pPr>
              <w:pStyle w:val="10"/>
              <w:rPr>
                <w:bCs/>
                <w:sz w:val="20"/>
              </w:rPr>
            </w:pPr>
            <w:r>
              <w:rPr>
                <w:bCs/>
                <w:sz w:val="20"/>
              </w:rPr>
              <w:t>1996</w:t>
            </w:r>
          </w:p>
        </w:tc>
        <w:tc>
          <w:tcPr>
            <w:tcW w:w="848" w:type="dxa"/>
          </w:tcPr>
          <w:p w:rsidR="00000000" w:rsidRDefault="00000000">
            <w:pPr>
              <w:pStyle w:val="10"/>
              <w:rPr>
                <w:bCs/>
                <w:sz w:val="20"/>
              </w:rPr>
            </w:pPr>
            <w:r>
              <w:rPr>
                <w:bCs/>
                <w:sz w:val="20"/>
              </w:rPr>
              <w:t>1997</w:t>
            </w:r>
          </w:p>
        </w:tc>
        <w:tc>
          <w:tcPr>
            <w:tcW w:w="848" w:type="dxa"/>
          </w:tcPr>
          <w:p w:rsidR="00000000" w:rsidRDefault="00000000">
            <w:pPr>
              <w:pStyle w:val="10"/>
              <w:rPr>
                <w:bCs/>
                <w:sz w:val="20"/>
              </w:rPr>
            </w:pPr>
            <w:r>
              <w:rPr>
                <w:bCs/>
                <w:sz w:val="20"/>
              </w:rPr>
              <w:t>1998</w:t>
            </w:r>
          </w:p>
        </w:tc>
        <w:tc>
          <w:tcPr>
            <w:tcW w:w="848" w:type="dxa"/>
          </w:tcPr>
          <w:p w:rsidR="00000000" w:rsidRDefault="00000000">
            <w:pPr>
              <w:pStyle w:val="10"/>
              <w:rPr>
                <w:bCs/>
                <w:sz w:val="20"/>
              </w:rPr>
            </w:pPr>
            <w:r>
              <w:rPr>
                <w:bCs/>
                <w:sz w:val="20"/>
              </w:rPr>
              <w:t>1999</w:t>
            </w:r>
          </w:p>
        </w:tc>
        <w:tc>
          <w:tcPr>
            <w:tcW w:w="848" w:type="dxa"/>
          </w:tcPr>
          <w:p w:rsidR="00000000" w:rsidRDefault="00000000">
            <w:pPr>
              <w:pStyle w:val="10"/>
              <w:rPr>
                <w:bCs/>
                <w:sz w:val="20"/>
              </w:rPr>
            </w:pPr>
            <w:r>
              <w:rPr>
                <w:bCs/>
                <w:sz w:val="20"/>
              </w:rPr>
              <w:t>1996/95</w:t>
            </w:r>
          </w:p>
        </w:tc>
        <w:tc>
          <w:tcPr>
            <w:tcW w:w="848" w:type="dxa"/>
          </w:tcPr>
          <w:p w:rsidR="00000000" w:rsidRDefault="00000000">
            <w:pPr>
              <w:pStyle w:val="10"/>
              <w:rPr>
                <w:bCs/>
                <w:sz w:val="20"/>
              </w:rPr>
            </w:pPr>
            <w:r>
              <w:rPr>
                <w:bCs/>
                <w:sz w:val="20"/>
              </w:rPr>
              <w:t>1997/96</w:t>
            </w:r>
          </w:p>
        </w:tc>
        <w:tc>
          <w:tcPr>
            <w:tcW w:w="848" w:type="dxa"/>
          </w:tcPr>
          <w:p w:rsidR="00000000" w:rsidRDefault="00000000">
            <w:pPr>
              <w:pStyle w:val="10"/>
              <w:rPr>
                <w:bCs/>
                <w:sz w:val="20"/>
              </w:rPr>
            </w:pPr>
            <w:r>
              <w:rPr>
                <w:bCs/>
                <w:sz w:val="20"/>
              </w:rPr>
              <w:t>1998/97</w:t>
            </w:r>
          </w:p>
        </w:tc>
        <w:tc>
          <w:tcPr>
            <w:tcW w:w="848" w:type="dxa"/>
          </w:tcPr>
          <w:p w:rsidR="00000000" w:rsidRDefault="00000000">
            <w:pPr>
              <w:pStyle w:val="10"/>
              <w:rPr>
                <w:bCs/>
                <w:sz w:val="20"/>
              </w:rPr>
            </w:pPr>
            <w:r>
              <w:rPr>
                <w:bCs/>
                <w:sz w:val="20"/>
              </w:rPr>
              <w:t>1999/98</w:t>
            </w:r>
          </w:p>
        </w:tc>
      </w:tr>
      <w:tr w:rsidR="00000000">
        <w:tblPrEx>
          <w:tblCellMar>
            <w:top w:w="0" w:type="dxa"/>
            <w:bottom w:w="0" w:type="dxa"/>
          </w:tblCellMar>
        </w:tblPrEx>
        <w:trPr>
          <w:trHeight w:val="451"/>
        </w:trPr>
        <w:tc>
          <w:tcPr>
            <w:tcW w:w="1883" w:type="dxa"/>
            <w:tcMar>
              <w:top w:w="57" w:type="dxa"/>
            </w:tcMar>
          </w:tcPr>
          <w:p w:rsidR="00000000" w:rsidRDefault="00000000">
            <w:pPr>
              <w:pStyle w:val="10"/>
              <w:spacing w:line="216" w:lineRule="auto"/>
              <w:jc w:val="left"/>
              <w:rPr>
                <w:b w:val="0"/>
                <w:sz w:val="20"/>
              </w:rPr>
            </w:pPr>
            <w:r>
              <w:rPr>
                <w:b w:val="0"/>
                <w:sz w:val="20"/>
              </w:rPr>
              <w:t>Зарегистрированные работники</w:t>
            </w:r>
          </w:p>
        </w:tc>
        <w:tc>
          <w:tcPr>
            <w:tcW w:w="848" w:type="dxa"/>
            <w:tcMar>
              <w:top w:w="57" w:type="dxa"/>
            </w:tcMar>
          </w:tcPr>
          <w:p w:rsidR="00000000" w:rsidRDefault="00000000">
            <w:pPr>
              <w:pStyle w:val="10"/>
              <w:spacing w:line="216" w:lineRule="auto"/>
              <w:ind w:left="-1135"/>
              <w:jc w:val="right"/>
              <w:rPr>
                <w:b w:val="0"/>
                <w:sz w:val="20"/>
              </w:rPr>
            </w:pPr>
            <w:r>
              <w:rPr>
                <w:b w:val="0"/>
                <w:sz w:val="20"/>
              </w:rPr>
              <w:t>1</w:t>
            </w:r>
            <w:r>
              <w:rPr>
                <w:b w:val="0"/>
                <w:sz w:val="20"/>
                <w:lang w:val="en-US"/>
              </w:rPr>
              <w:t> </w:t>
            </w:r>
            <w:r>
              <w:rPr>
                <w:b w:val="0"/>
                <w:sz w:val="20"/>
              </w:rPr>
              <w:t>127</w:t>
            </w:r>
            <w:r>
              <w:rPr>
                <w:b w:val="0"/>
                <w:sz w:val="20"/>
                <w:lang w:val="en-US"/>
              </w:rPr>
              <w:t> </w:t>
            </w:r>
            <w:r>
              <w:rPr>
                <w:b w:val="0"/>
                <w:sz w:val="20"/>
              </w:rPr>
              <w:t>436</w:t>
            </w:r>
          </w:p>
        </w:tc>
        <w:tc>
          <w:tcPr>
            <w:tcW w:w="848" w:type="dxa"/>
            <w:tcMar>
              <w:top w:w="57" w:type="dxa"/>
            </w:tcMar>
          </w:tcPr>
          <w:p w:rsidR="00000000" w:rsidRDefault="00000000">
            <w:pPr>
              <w:pStyle w:val="10"/>
              <w:spacing w:line="216" w:lineRule="auto"/>
              <w:ind w:left="-2731"/>
              <w:jc w:val="right"/>
              <w:rPr>
                <w:b w:val="0"/>
                <w:sz w:val="20"/>
              </w:rPr>
            </w:pPr>
            <w:r>
              <w:rPr>
                <w:b w:val="0"/>
                <w:sz w:val="20"/>
              </w:rPr>
              <w:t>1</w:t>
            </w:r>
            <w:r>
              <w:rPr>
                <w:b w:val="0"/>
                <w:sz w:val="20"/>
                <w:lang w:val="en-US"/>
              </w:rPr>
              <w:t> </w:t>
            </w:r>
            <w:r>
              <w:rPr>
                <w:b w:val="0"/>
                <w:sz w:val="20"/>
              </w:rPr>
              <w:t>320</w:t>
            </w:r>
            <w:r>
              <w:rPr>
                <w:b w:val="0"/>
                <w:sz w:val="20"/>
                <w:lang w:val="en-US"/>
              </w:rPr>
              <w:t> </w:t>
            </w:r>
            <w:r>
              <w:rPr>
                <w:b w:val="0"/>
                <w:sz w:val="20"/>
              </w:rPr>
              <w:t>766</w:t>
            </w:r>
          </w:p>
        </w:tc>
        <w:tc>
          <w:tcPr>
            <w:tcW w:w="848" w:type="dxa"/>
            <w:tcMar>
              <w:top w:w="57" w:type="dxa"/>
            </w:tcMar>
          </w:tcPr>
          <w:p w:rsidR="00000000" w:rsidRDefault="00000000">
            <w:pPr>
              <w:pStyle w:val="10"/>
              <w:spacing w:line="216" w:lineRule="auto"/>
              <w:ind w:left="-2731"/>
              <w:jc w:val="right"/>
              <w:rPr>
                <w:b w:val="0"/>
                <w:sz w:val="20"/>
              </w:rPr>
            </w:pPr>
            <w:r>
              <w:rPr>
                <w:b w:val="0"/>
                <w:sz w:val="20"/>
              </w:rPr>
              <w:t>1</w:t>
            </w:r>
            <w:r>
              <w:rPr>
                <w:b w:val="0"/>
                <w:sz w:val="20"/>
                <w:lang w:val="en-US"/>
              </w:rPr>
              <w:t> </w:t>
            </w:r>
            <w:r>
              <w:rPr>
                <w:b w:val="0"/>
                <w:sz w:val="20"/>
              </w:rPr>
              <w:t>859</w:t>
            </w:r>
            <w:r>
              <w:rPr>
                <w:b w:val="0"/>
                <w:sz w:val="20"/>
                <w:lang w:val="en-US"/>
              </w:rPr>
              <w:t> </w:t>
            </w:r>
            <w:r>
              <w:rPr>
                <w:b w:val="0"/>
                <w:sz w:val="20"/>
              </w:rPr>
              <w:t>336</w:t>
            </w:r>
          </w:p>
        </w:tc>
        <w:tc>
          <w:tcPr>
            <w:tcW w:w="848" w:type="dxa"/>
            <w:tcMar>
              <w:top w:w="57" w:type="dxa"/>
            </w:tcMar>
          </w:tcPr>
          <w:p w:rsidR="00000000" w:rsidRDefault="00000000">
            <w:pPr>
              <w:pStyle w:val="10"/>
              <w:spacing w:line="216" w:lineRule="auto"/>
              <w:ind w:left="-2731"/>
              <w:jc w:val="right"/>
              <w:rPr>
                <w:b w:val="0"/>
                <w:sz w:val="20"/>
              </w:rPr>
            </w:pPr>
            <w:r>
              <w:rPr>
                <w:b w:val="0"/>
                <w:sz w:val="20"/>
              </w:rPr>
              <w:t>3</w:t>
            </w:r>
            <w:r>
              <w:rPr>
                <w:b w:val="0"/>
                <w:sz w:val="20"/>
                <w:lang w:val="en-US"/>
              </w:rPr>
              <w:t> </w:t>
            </w:r>
            <w:r>
              <w:rPr>
                <w:b w:val="0"/>
                <w:sz w:val="20"/>
              </w:rPr>
              <w:t>124</w:t>
            </w:r>
            <w:r>
              <w:rPr>
                <w:b w:val="0"/>
                <w:sz w:val="20"/>
                <w:lang w:val="en-US"/>
              </w:rPr>
              <w:t> </w:t>
            </w:r>
            <w:r>
              <w:rPr>
                <w:b w:val="0"/>
                <w:sz w:val="20"/>
              </w:rPr>
              <w:t>079</w:t>
            </w:r>
          </w:p>
        </w:tc>
        <w:tc>
          <w:tcPr>
            <w:tcW w:w="848" w:type="dxa"/>
            <w:tcMar>
              <w:top w:w="57" w:type="dxa"/>
            </w:tcMar>
          </w:tcPr>
          <w:p w:rsidR="00000000" w:rsidRDefault="00000000">
            <w:pPr>
              <w:pStyle w:val="10"/>
              <w:spacing w:line="216" w:lineRule="auto"/>
              <w:ind w:left="-2731"/>
              <w:jc w:val="right"/>
              <w:rPr>
                <w:b w:val="0"/>
                <w:sz w:val="20"/>
              </w:rPr>
            </w:pPr>
            <w:r>
              <w:rPr>
                <w:b w:val="0"/>
                <w:sz w:val="20"/>
              </w:rPr>
              <w:t>3</w:t>
            </w:r>
            <w:r>
              <w:rPr>
                <w:b w:val="0"/>
                <w:sz w:val="20"/>
                <w:lang w:val="en-US"/>
              </w:rPr>
              <w:t> </w:t>
            </w:r>
            <w:r>
              <w:rPr>
                <w:b w:val="0"/>
                <w:sz w:val="20"/>
              </w:rPr>
              <w:t>763</w:t>
            </w:r>
            <w:r>
              <w:rPr>
                <w:b w:val="0"/>
                <w:sz w:val="20"/>
                <w:lang w:val="en-US"/>
              </w:rPr>
              <w:t> </w:t>
            </w:r>
            <w:r>
              <w:rPr>
                <w:b w:val="0"/>
                <w:sz w:val="20"/>
              </w:rPr>
              <w:t>187</w:t>
            </w:r>
          </w:p>
        </w:tc>
        <w:tc>
          <w:tcPr>
            <w:tcW w:w="848" w:type="dxa"/>
            <w:tcMar>
              <w:top w:w="57" w:type="dxa"/>
            </w:tcMar>
          </w:tcPr>
          <w:p w:rsidR="00000000" w:rsidRDefault="00000000">
            <w:pPr>
              <w:pStyle w:val="10"/>
              <w:spacing w:line="216" w:lineRule="auto"/>
              <w:jc w:val="right"/>
              <w:rPr>
                <w:b w:val="0"/>
                <w:sz w:val="20"/>
              </w:rPr>
            </w:pPr>
            <w:r>
              <w:rPr>
                <w:b w:val="0"/>
                <w:sz w:val="20"/>
              </w:rPr>
              <w:t>17,14%</w:t>
            </w:r>
          </w:p>
        </w:tc>
        <w:tc>
          <w:tcPr>
            <w:tcW w:w="848" w:type="dxa"/>
            <w:tcMar>
              <w:top w:w="57" w:type="dxa"/>
            </w:tcMar>
          </w:tcPr>
          <w:p w:rsidR="00000000" w:rsidRDefault="00000000">
            <w:pPr>
              <w:pStyle w:val="10"/>
              <w:spacing w:line="216" w:lineRule="auto"/>
              <w:jc w:val="right"/>
              <w:rPr>
                <w:b w:val="0"/>
                <w:sz w:val="20"/>
              </w:rPr>
            </w:pPr>
            <w:r>
              <w:rPr>
                <w:b w:val="0"/>
                <w:sz w:val="20"/>
              </w:rPr>
              <w:t>40,78%</w:t>
            </w:r>
          </w:p>
        </w:tc>
        <w:tc>
          <w:tcPr>
            <w:tcW w:w="848" w:type="dxa"/>
            <w:tcMar>
              <w:top w:w="57" w:type="dxa"/>
            </w:tcMar>
          </w:tcPr>
          <w:p w:rsidR="00000000" w:rsidRDefault="00000000">
            <w:pPr>
              <w:pStyle w:val="10"/>
              <w:spacing w:line="216" w:lineRule="auto"/>
              <w:jc w:val="right"/>
              <w:rPr>
                <w:b w:val="0"/>
                <w:sz w:val="20"/>
              </w:rPr>
            </w:pPr>
            <w:r>
              <w:rPr>
                <w:b w:val="0"/>
                <w:sz w:val="20"/>
              </w:rPr>
              <w:t>68,02%</w:t>
            </w:r>
          </w:p>
        </w:tc>
        <w:tc>
          <w:tcPr>
            <w:tcW w:w="848" w:type="dxa"/>
            <w:tcMar>
              <w:top w:w="57" w:type="dxa"/>
            </w:tcMar>
          </w:tcPr>
          <w:p w:rsidR="00000000" w:rsidRDefault="00000000">
            <w:pPr>
              <w:pStyle w:val="10"/>
              <w:spacing w:line="216" w:lineRule="auto"/>
              <w:jc w:val="right"/>
              <w:rPr>
                <w:b w:val="0"/>
                <w:sz w:val="20"/>
              </w:rPr>
            </w:pPr>
            <w:r>
              <w:rPr>
                <w:b w:val="0"/>
                <w:sz w:val="20"/>
              </w:rPr>
              <w:t>20,46%</w:t>
            </w:r>
          </w:p>
        </w:tc>
      </w:tr>
      <w:tr w:rsidR="00000000">
        <w:tblPrEx>
          <w:tblCellMar>
            <w:top w:w="0" w:type="dxa"/>
            <w:bottom w:w="0" w:type="dxa"/>
          </w:tblCellMar>
        </w:tblPrEx>
        <w:tc>
          <w:tcPr>
            <w:tcW w:w="1883" w:type="dxa"/>
          </w:tcPr>
          <w:p w:rsidR="00000000" w:rsidRDefault="00000000">
            <w:pPr>
              <w:pStyle w:val="10"/>
              <w:jc w:val="left"/>
              <w:rPr>
                <w:b w:val="0"/>
                <w:sz w:val="20"/>
              </w:rPr>
            </w:pPr>
            <w:r>
              <w:rPr>
                <w:b w:val="0"/>
                <w:sz w:val="20"/>
              </w:rPr>
              <w:t>Вакансии</w:t>
            </w:r>
          </w:p>
        </w:tc>
        <w:tc>
          <w:tcPr>
            <w:tcW w:w="848" w:type="dxa"/>
          </w:tcPr>
          <w:p w:rsidR="00000000" w:rsidRDefault="00000000">
            <w:pPr>
              <w:pStyle w:val="10"/>
              <w:jc w:val="right"/>
              <w:rPr>
                <w:b w:val="0"/>
                <w:sz w:val="20"/>
              </w:rPr>
            </w:pPr>
            <w:r>
              <w:rPr>
                <w:b w:val="0"/>
                <w:sz w:val="20"/>
              </w:rPr>
              <w:t>380</w:t>
            </w:r>
            <w:r>
              <w:rPr>
                <w:b w:val="0"/>
                <w:sz w:val="20"/>
                <w:lang w:val="en-US"/>
              </w:rPr>
              <w:t> </w:t>
            </w:r>
            <w:r>
              <w:rPr>
                <w:b w:val="0"/>
                <w:sz w:val="20"/>
              </w:rPr>
              <w:t>714</w:t>
            </w:r>
          </w:p>
        </w:tc>
        <w:tc>
          <w:tcPr>
            <w:tcW w:w="848" w:type="dxa"/>
          </w:tcPr>
          <w:p w:rsidR="00000000" w:rsidRDefault="00000000">
            <w:pPr>
              <w:pStyle w:val="10"/>
              <w:ind w:left="-2731"/>
              <w:jc w:val="right"/>
              <w:rPr>
                <w:b w:val="0"/>
                <w:sz w:val="20"/>
              </w:rPr>
            </w:pPr>
            <w:r>
              <w:rPr>
                <w:b w:val="0"/>
                <w:sz w:val="20"/>
              </w:rPr>
              <w:t>385</w:t>
            </w:r>
            <w:r>
              <w:rPr>
                <w:b w:val="0"/>
                <w:sz w:val="20"/>
                <w:lang w:val="en-US"/>
              </w:rPr>
              <w:t> </w:t>
            </w:r>
            <w:r>
              <w:rPr>
                <w:b w:val="0"/>
                <w:sz w:val="20"/>
              </w:rPr>
              <w:t>645</w:t>
            </w:r>
          </w:p>
        </w:tc>
        <w:tc>
          <w:tcPr>
            <w:tcW w:w="848" w:type="dxa"/>
          </w:tcPr>
          <w:p w:rsidR="00000000" w:rsidRDefault="00000000">
            <w:pPr>
              <w:pStyle w:val="10"/>
              <w:ind w:left="-2731"/>
              <w:jc w:val="right"/>
              <w:rPr>
                <w:b w:val="0"/>
                <w:sz w:val="20"/>
              </w:rPr>
            </w:pPr>
            <w:r>
              <w:rPr>
                <w:b w:val="0"/>
                <w:sz w:val="20"/>
              </w:rPr>
              <w:t>452</w:t>
            </w:r>
            <w:r>
              <w:rPr>
                <w:b w:val="0"/>
                <w:sz w:val="20"/>
                <w:lang w:val="en-US"/>
              </w:rPr>
              <w:t> </w:t>
            </w:r>
            <w:r>
              <w:rPr>
                <w:b w:val="0"/>
                <w:sz w:val="20"/>
              </w:rPr>
              <w:t>166</w:t>
            </w:r>
          </w:p>
        </w:tc>
        <w:tc>
          <w:tcPr>
            <w:tcW w:w="848" w:type="dxa"/>
          </w:tcPr>
          <w:p w:rsidR="00000000" w:rsidRDefault="00000000">
            <w:pPr>
              <w:pStyle w:val="10"/>
              <w:ind w:left="-2731"/>
              <w:jc w:val="right"/>
              <w:rPr>
                <w:b w:val="0"/>
                <w:sz w:val="20"/>
              </w:rPr>
            </w:pPr>
            <w:r>
              <w:rPr>
                <w:b w:val="0"/>
                <w:sz w:val="20"/>
              </w:rPr>
              <w:t>653</w:t>
            </w:r>
            <w:r>
              <w:rPr>
                <w:b w:val="0"/>
                <w:sz w:val="20"/>
                <w:lang w:val="en-US"/>
              </w:rPr>
              <w:t> </w:t>
            </w:r>
            <w:r>
              <w:rPr>
                <w:b w:val="0"/>
                <w:sz w:val="20"/>
              </w:rPr>
              <w:t>392</w:t>
            </w:r>
          </w:p>
        </w:tc>
        <w:tc>
          <w:tcPr>
            <w:tcW w:w="848" w:type="dxa"/>
          </w:tcPr>
          <w:p w:rsidR="00000000" w:rsidRDefault="00000000">
            <w:pPr>
              <w:pStyle w:val="10"/>
              <w:ind w:left="-2731"/>
              <w:jc w:val="right"/>
              <w:rPr>
                <w:b w:val="0"/>
                <w:sz w:val="20"/>
              </w:rPr>
            </w:pPr>
            <w:r>
              <w:rPr>
                <w:b w:val="0"/>
                <w:sz w:val="20"/>
              </w:rPr>
              <w:t>1</w:t>
            </w:r>
            <w:r>
              <w:rPr>
                <w:b w:val="0"/>
                <w:sz w:val="20"/>
                <w:lang w:val="en-US"/>
              </w:rPr>
              <w:t> </w:t>
            </w:r>
            <w:r>
              <w:rPr>
                <w:b w:val="0"/>
                <w:sz w:val="20"/>
              </w:rPr>
              <w:t>043</w:t>
            </w:r>
            <w:r>
              <w:rPr>
                <w:b w:val="0"/>
                <w:sz w:val="20"/>
                <w:lang w:val="en-US"/>
              </w:rPr>
              <w:t> </w:t>
            </w:r>
            <w:r>
              <w:rPr>
                <w:b w:val="0"/>
                <w:sz w:val="20"/>
              </w:rPr>
              <w:t>771</w:t>
            </w:r>
          </w:p>
        </w:tc>
        <w:tc>
          <w:tcPr>
            <w:tcW w:w="848" w:type="dxa"/>
          </w:tcPr>
          <w:p w:rsidR="00000000" w:rsidRDefault="00000000">
            <w:pPr>
              <w:pStyle w:val="10"/>
              <w:jc w:val="right"/>
              <w:rPr>
                <w:b w:val="0"/>
                <w:sz w:val="20"/>
              </w:rPr>
            </w:pPr>
            <w:r>
              <w:rPr>
                <w:b w:val="0"/>
                <w:sz w:val="20"/>
              </w:rPr>
              <w:t>1,29%</w:t>
            </w:r>
          </w:p>
        </w:tc>
        <w:tc>
          <w:tcPr>
            <w:tcW w:w="848" w:type="dxa"/>
          </w:tcPr>
          <w:p w:rsidR="00000000" w:rsidRDefault="00000000">
            <w:pPr>
              <w:pStyle w:val="10"/>
              <w:jc w:val="right"/>
              <w:rPr>
                <w:b w:val="0"/>
                <w:sz w:val="20"/>
              </w:rPr>
            </w:pPr>
            <w:r>
              <w:rPr>
                <w:b w:val="0"/>
                <w:sz w:val="20"/>
              </w:rPr>
              <w:t>17,25%</w:t>
            </w:r>
          </w:p>
        </w:tc>
        <w:tc>
          <w:tcPr>
            <w:tcW w:w="848" w:type="dxa"/>
          </w:tcPr>
          <w:p w:rsidR="00000000" w:rsidRDefault="00000000">
            <w:pPr>
              <w:pStyle w:val="10"/>
              <w:jc w:val="right"/>
              <w:rPr>
                <w:b w:val="0"/>
                <w:sz w:val="20"/>
              </w:rPr>
            </w:pPr>
            <w:r>
              <w:rPr>
                <w:b w:val="0"/>
                <w:sz w:val="20"/>
              </w:rPr>
              <w:t>44,50%</w:t>
            </w:r>
          </w:p>
        </w:tc>
        <w:tc>
          <w:tcPr>
            <w:tcW w:w="848" w:type="dxa"/>
          </w:tcPr>
          <w:p w:rsidR="00000000" w:rsidRDefault="00000000">
            <w:pPr>
              <w:pStyle w:val="10"/>
              <w:jc w:val="right"/>
              <w:rPr>
                <w:b w:val="0"/>
                <w:sz w:val="20"/>
              </w:rPr>
            </w:pPr>
            <w:r>
              <w:rPr>
                <w:b w:val="0"/>
                <w:sz w:val="20"/>
              </w:rPr>
              <w:t>59,75%</w:t>
            </w:r>
          </w:p>
        </w:tc>
      </w:tr>
      <w:tr w:rsidR="00000000">
        <w:tblPrEx>
          <w:tblCellMar>
            <w:top w:w="0" w:type="dxa"/>
            <w:bottom w:w="0" w:type="dxa"/>
          </w:tblCellMar>
        </w:tblPrEx>
        <w:tc>
          <w:tcPr>
            <w:tcW w:w="1883" w:type="dxa"/>
          </w:tcPr>
          <w:p w:rsidR="00000000" w:rsidRDefault="00000000">
            <w:pPr>
              <w:pStyle w:val="10"/>
              <w:jc w:val="left"/>
              <w:rPr>
                <w:b w:val="0"/>
                <w:sz w:val="20"/>
              </w:rPr>
            </w:pPr>
            <w:r>
              <w:rPr>
                <w:b w:val="0"/>
                <w:sz w:val="20"/>
              </w:rPr>
              <w:t>Направления</w:t>
            </w:r>
          </w:p>
        </w:tc>
        <w:tc>
          <w:tcPr>
            <w:tcW w:w="848" w:type="dxa"/>
          </w:tcPr>
          <w:p w:rsidR="00000000" w:rsidRDefault="00000000">
            <w:pPr>
              <w:pStyle w:val="10"/>
              <w:jc w:val="right"/>
              <w:rPr>
                <w:b w:val="0"/>
                <w:sz w:val="20"/>
              </w:rPr>
            </w:pPr>
            <w:r>
              <w:rPr>
                <w:b w:val="0"/>
                <w:sz w:val="20"/>
              </w:rPr>
              <w:t>638</w:t>
            </w:r>
            <w:r>
              <w:rPr>
                <w:b w:val="0"/>
                <w:sz w:val="20"/>
                <w:lang w:val="en-US"/>
              </w:rPr>
              <w:t> </w:t>
            </w:r>
            <w:r>
              <w:rPr>
                <w:b w:val="0"/>
                <w:sz w:val="20"/>
              </w:rPr>
              <w:t>623</w:t>
            </w:r>
          </w:p>
        </w:tc>
        <w:tc>
          <w:tcPr>
            <w:tcW w:w="848" w:type="dxa"/>
          </w:tcPr>
          <w:p w:rsidR="00000000" w:rsidRDefault="00000000">
            <w:pPr>
              <w:pStyle w:val="10"/>
              <w:ind w:left="-2731"/>
              <w:jc w:val="right"/>
              <w:rPr>
                <w:b w:val="0"/>
                <w:sz w:val="20"/>
              </w:rPr>
            </w:pPr>
            <w:r>
              <w:rPr>
                <w:b w:val="0"/>
                <w:sz w:val="20"/>
              </w:rPr>
              <w:t>635</w:t>
            </w:r>
            <w:r>
              <w:rPr>
                <w:b w:val="0"/>
                <w:sz w:val="20"/>
                <w:lang w:val="en-US"/>
              </w:rPr>
              <w:t> </w:t>
            </w:r>
            <w:r>
              <w:rPr>
                <w:b w:val="0"/>
                <w:sz w:val="20"/>
              </w:rPr>
              <w:t>878</w:t>
            </w:r>
          </w:p>
        </w:tc>
        <w:tc>
          <w:tcPr>
            <w:tcW w:w="848" w:type="dxa"/>
          </w:tcPr>
          <w:p w:rsidR="00000000" w:rsidRDefault="00000000">
            <w:pPr>
              <w:pStyle w:val="10"/>
              <w:ind w:left="-2731"/>
              <w:jc w:val="right"/>
              <w:rPr>
                <w:b w:val="0"/>
                <w:sz w:val="20"/>
              </w:rPr>
            </w:pPr>
            <w:r>
              <w:rPr>
                <w:b w:val="0"/>
                <w:sz w:val="20"/>
              </w:rPr>
              <w:t>774</w:t>
            </w:r>
            <w:r>
              <w:rPr>
                <w:b w:val="0"/>
                <w:sz w:val="20"/>
                <w:lang w:val="en-US"/>
              </w:rPr>
              <w:t> </w:t>
            </w:r>
            <w:r>
              <w:rPr>
                <w:b w:val="0"/>
                <w:sz w:val="20"/>
              </w:rPr>
              <w:t>151</w:t>
            </w:r>
          </w:p>
        </w:tc>
        <w:tc>
          <w:tcPr>
            <w:tcW w:w="848" w:type="dxa"/>
          </w:tcPr>
          <w:p w:rsidR="00000000" w:rsidRDefault="00000000">
            <w:pPr>
              <w:pStyle w:val="10"/>
              <w:ind w:left="-2731"/>
              <w:jc w:val="right"/>
              <w:rPr>
                <w:b w:val="0"/>
                <w:sz w:val="20"/>
              </w:rPr>
            </w:pPr>
            <w:r>
              <w:rPr>
                <w:b w:val="0"/>
                <w:sz w:val="20"/>
              </w:rPr>
              <w:t>1</w:t>
            </w:r>
            <w:r>
              <w:rPr>
                <w:b w:val="0"/>
                <w:sz w:val="20"/>
                <w:lang w:val="en-US"/>
              </w:rPr>
              <w:t> </w:t>
            </w:r>
            <w:r>
              <w:rPr>
                <w:b w:val="0"/>
                <w:sz w:val="20"/>
              </w:rPr>
              <w:t>074</w:t>
            </w:r>
            <w:r>
              <w:rPr>
                <w:b w:val="0"/>
                <w:sz w:val="20"/>
                <w:lang w:val="en-US"/>
              </w:rPr>
              <w:t> </w:t>
            </w:r>
            <w:r>
              <w:rPr>
                <w:b w:val="0"/>
                <w:sz w:val="20"/>
              </w:rPr>
              <w:t>931</w:t>
            </w:r>
          </w:p>
        </w:tc>
        <w:tc>
          <w:tcPr>
            <w:tcW w:w="848" w:type="dxa"/>
          </w:tcPr>
          <w:p w:rsidR="00000000" w:rsidRDefault="00000000">
            <w:pPr>
              <w:pStyle w:val="10"/>
              <w:ind w:left="-2731"/>
              <w:jc w:val="right"/>
              <w:rPr>
                <w:b w:val="0"/>
                <w:sz w:val="20"/>
              </w:rPr>
            </w:pPr>
            <w:r>
              <w:rPr>
                <w:b w:val="0"/>
                <w:sz w:val="20"/>
              </w:rPr>
              <w:t>1</w:t>
            </w:r>
            <w:r>
              <w:rPr>
                <w:b w:val="0"/>
                <w:sz w:val="20"/>
                <w:lang w:val="en-US"/>
              </w:rPr>
              <w:t> </w:t>
            </w:r>
            <w:r>
              <w:rPr>
                <w:b w:val="0"/>
                <w:sz w:val="20"/>
              </w:rPr>
              <w:t>665</w:t>
            </w:r>
            <w:r>
              <w:rPr>
                <w:b w:val="0"/>
                <w:sz w:val="20"/>
                <w:lang w:val="en-US"/>
              </w:rPr>
              <w:t> </w:t>
            </w:r>
            <w:r>
              <w:rPr>
                <w:b w:val="0"/>
                <w:sz w:val="20"/>
              </w:rPr>
              <w:t>778</w:t>
            </w:r>
          </w:p>
        </w:tc>
        <w:tc>
          <w:tcPr>
            <w:tcW w:w="848" w:type="dxa"/>
          </w:tcPr>
          <w:p w:rsidR="00000000" w:rsidRDefault="00000000">
            <w:pPr>
              <w:pStyle w:val="10"/>
              <w:jc w:val="right"/>
              <w:rPr>
                <w:b w:val="0"/>
                <w:sz w:val="20"/>
              </w:rPr>
            </w:pPr>
            <w:r>
              <w:rPr>
                <w:b w:val="0"/>
                <w:sz w:val="20"/>
              </w:rPr>
              <w:t>-0,42%</w:t>
            </w:r>
          </w:p>
        </w:tc>
        <w:tc>
          <w:tcPr>
            <w:tcW w:w="848" w:type="dxa"/>
          </w:tcPr>
          <w:p w:rsidR="00000000" w:rsidRDefault="00000000">
            <w:pPr>
              <w:pStyle w:val="10"/>
              <w:jc w:val="right"/>
              <w:rPr>
                <w:b w:val="0"/>
                <w:sz w:val="20"/>
              </w:rPr>
            </w:pPr>
            <w:r>
              <w:rPr>
                <w:b w:val="0"/>
                <w:sz w:val="20"/>
              </w:rPr>
              <w:t>21,75%</w:t>
            </w:r>
          </w:p>
        </w:tc>
        <w:tc>
          <w:tcPr>
            <w:tcW w:w="848" w:type="dxa"/>
          </w:tcPr>
          <w:p w:rsidR="00000000" w:rsidRDefault="00000000">
            <w:pPr>
              <w:pStyle w:val="10"/>
              <w:jc w:val="right"/>
              <w:rPr>
                <w:b w:val="0"/>
                <w:sz w:val="20"/>
              </w:rPr>
            </w:pPr>
            <w:r>
              <w:rPr>
                <w:b w:val="0"/>
                <w:sz w:val="20"/>
              </w:rPr>
              <w:t>38,85%</w:t>
            </w:r>
          </w:p>
        </w:tc>
        <w:tc>
          <w:tcPr>
            <w:tcW w:w="848" w:type="dxa"/>
          </w:tcPr>
          <w:p w:rsidR="00000000" w:rsidRDefault="00000000">
            <w:pPr>
              <w:pStyle w:val="10"/>
              <w:jc w:val="right"/>
              <w:rPr>
                <w:b w:val="0"/>
                <w:sz w:val="20"/>
              </w:rPr>
            </w:pPr>
            <w:r>
              <w:rPr>
                <w:b w:val="0"/>
                <w:sz w:val="20"/>
              </w:rPr>
              <w:t>54,97%</w:t>
            </w:r>
          </w:p>
        </w:tc>
      </w:tr>
      <w:tr w:rsidR="00000000">
        <w:tblPrEx>
          <w:tblCellMar>
            <w:top w:w="0" w:type="dxa"/>
            <w:bottom w:w="0" w:type="dxa"/>
          </w:tblCellMar>
        </w:tblPrEx>
        <w:tc>
          <w:tcPr>
            <w:tcW w:w="1883" w:type="dxa"/>
          </w:tcPr>
          <w:p w:rsidR="00000000" w:rsidRDefault="00000000">
            <w:pPr>
              <w:pStyle w:val="10"/>
              <w:spacing w:line="216" w:lineRule="auto"/>
              <w:jc w:val="left"/>
              <w:rPr>
                <w:b w:val="0"/>
                <w:sz w:val="20"/>
              </w:rPr>
            </w:pPr>
            <w:r>
              <w:rPr>
                <w:b w:val="0"/>
                <w:sz w:val="20"/>
              </w:rPr>
              <w:t>Заполненные вакансии</w:t>
            </w:r>
          </w:p>
        </w:tc>
        <w:tc>
          <w:tcPr>
            <w:tcW w:w="848" w:type="dxa"/>
          </w:tcPr>
          <w:p w:rsidR="00000000" w:rsidRDefault="00000000">
            <w:pPr>
              <w:pStyle w:val="10"/>
              <w:spacing w:line="216" w:lineRule="auto"/>
              <w:jc w:val="right"/>
              <w:rPr>
                <w:b w:val="0"/>
                <w:sz w:val="20"/>
                <w:lang w:val="en-US"/>
              </w:rPr>
            </w:pPr>
            <w:r>
              <w:rPr>
                <w:b w:val="0"/>
                <w:sz w:val="20"/>
                <w:lang w:val="en-US"/>
              </w:rPr>
              <w:t>149 399</w:t>
            </w:r>
          </w:p>
        </w:tc>
        <w:tc>
          <w:tcPr>
            <w:tcW w:w="848" w:type="dxa"/>
          </w:tcPr>
          <w:p w:rsidR="00000000" w:rsidRDefault="00000000">
            <w:pPr>
              <w:pStyle w:val="10"/>
              <w:spacing w:line="216" w:lineRule="auto"/>
              <w:ind w:left="-2731"/>
              <w:jc w:val="right"/>
              <w:rPr>
                <w:b w:val="0"/>
                <w:sz w:val="20"/>
                <w:lang w:val="en-US"/>
              </w:rPr>
            </w:pPr>
            <w:r>
              <w:rPr>
                <w:b w:val="0"/>
                <w:sz w:val="20"/>
                <w:lang w:val="en-US"/>
              </w:rPr>
              <w:t>154 958</w:t>
            </w:r>
          </w:p>
        </w:tc>
        <w:tc>
          <w:tcPr>
            <w:tcW w:w="848" w:type="dxa"/>
          </w:tcPr>
          <w:p w:rsidR="00000000" w:rsidRDefault="00000000">
            <w:pPr>
              <w:pStyle w:val="10"/>
              <w:spacing w:line="216" w:lineRule="auto"/>
              <w:ind w:left="-2731"/>
              <w:jc w:val="right"/>
              <w:rPr>
                <w:b w:val="0"/>
                <w:sz w:val="20"/>
                <w:lang w:val="en-US"/>
              </w:rPr>
            </w:pPr>
            <w:r>
              <w:rPr>
                <w:b w:val="0"/>
                <w:sz w:val="20"/>
                <w:lang w:val="en-US"/>
              </w:rPr>
              <w:t>210 060</w:t>
            </w:r>
          </w:p>
        </w:tc>
        <w:tc>
          <w:tcPr>
            <w:tcW w:w="848" w:type="dxa"/>
          </w:tcPr>
          <w:p w:rsidR="00000000" w:rsidRDefault="00000000">
            <w:pPr>
              <w:pStyle w:val="10"/>
              <w:spacing w:line="216" w:lineRule="auto"/>
              <w:ind w:left="-2731"/>
              <w:jc w:val="right"/>
              <w:rPr>
                <w:b w:val="0"/>
                <w:sz w:val="20"/>
                <w:lang w:val="en-US"/>
              </w:rPr>
            </w:pPr>
            <w:r>
              <w:rPr>
                <w:b w:val="0"/>
                <w:sz w:val="20"/>
                <w:lang w:val="en-US"/>
              </w:rPr>
              <w:t>287 580</w:t>
            </w:r>
          </w:p>
        </w:tc>
        <w:tc>
          <w:tcPr>
            <w:tcW w:w="848" w:type="dxa"/>
          </w:tcPr>
          <w:p w:rsidR="00000000" w:rsidRDefault="00000000">
            <w:pPr>
              <w:pStyle w:val="10"/>
              <w:tabs>
                <w:tab w:val="clear" w:pos="567"/>
              </w:tabs>
              <w:spacing w:line="216" w:lineRule="auto"/>
              <w:ind w:left="-2731"/>
              <w:jc w:val="right"/>
              <w:rPr>
                <w:b w:val="0"/>
                <w:sz w:val="20"/>
                <w:lang w:val="en-US"/>
              </w:rPr>
            </w:pPr>
            <w:r>
              <w:rPr>
                <w:b w:val="0"/>
                <w:sz w:val="20"/>
                <w:lang w:val="en-US"/>
              </w:rPr>
              <w:t>422 498</w:t>
            </w:r>
          </w:p>
        </w:tc>
        <w:tc>
          <w:tcPr>
            <w:tcW w:w="848" w:type="dxa"/>
          </w:tcPr>
          <w:p w:rsidR="00000000" w:rsidRDefault="00000000">
            <w:pPr>
              <w:pStyle w:val="10"/>
              <w:spacing w:line="216" w:lineRule="auto"/>
              <w:jc w:val="right"/>
              <w:rPr>
                <w:b w:val="0"/>
                <w:sz w:val="20"/>
                <w:lang w:val="en-US"/>
              </w:rPr>
            </w:pPr>
            <w:r>
              <w:rPr>
                <w:b w:val="0"/>
                <w:sz w:val="20"/>
                <w:lang w:val="en-US"/>
              </w:rPr>
              <w:t>3,72%</w:t>
            </w:r>
          </w:p>
        </w:tc>
        <w:tc>
          <w:tcPr>
            <w:tcW w:w="848" w:type="dxa"/>
          </w:tcPr>
          <w:p w:rsidR="00000000" w:rsidRDefault="00000000">
            <w:pPr>
              <w:pStyle w:val="10"/>
              <w:spacing w:line="216" w:lineRule="auto"/>
              <w:jc w:val="right"/>
              <w:rPr>
                <w:b w:val="0"/>
                <w:sz w:val="20"/>
                <w:lang w:val="en-US"/>
              </w:rPr>
            </w:pPr>
            <w:r>
              <w:rPr>
                <w:b w:val="0"/>
                <w:sz w:val="20"/>
                <w:lang w:val="en-US"/>
              </w:rPr>
              <w:t>35,56%</w:t>
            </w:r>
          </w:p>
        </w:tc>
        <w:tc>
          <w:tcPr>
            <w:tcW w:w="848" w:type="dxa"/>
          </w:tcPr>
          <w:p w:rsidR="00000000" w:rsidRDefault="00000000">
            <w:pPr>
              <w:pStyle w:val="10"/>
              <w:spacing w:line="216" w:lineRule="auto"/>
              <w:jc w:val="right"/>
              <w:rPr>
                <w:b w:val="0"/>
                <w:sz w:val="20"/>
                <w:lang w:val="en-US"/>
              </w:rPr>
            </w:pPr>
            <w:r>
              <w:rPr>
                <w:b w:val="0"/>
                <w:sz w:val="20"/>
                <w:lang w:val="en-US"/>
              </w:rPr>
              <w:t>36,90%</w:t>
            </w:r>
          </w:p>
        </w:tc>
        <w:tc>
          <w:tcPr>
            <w:tcW w:w="848" w:type="dxa"/>
          </w:tcPr>
          <w:p w:rsidR="00000000" w:rsidRDefault="00000000">
            <w:pPr>
              <w:pStyle w:val="10"/>
              <w:spacing w:line="216" w:lineRule="auto"/>
              <w:jc w:val="right"/>
              <w:rPr>
                <w:b w:val="0"/>
                <w:sz w:val="20"/>
                <w:lang w:val="en-US"/>
              </w:rPr>
            </w:pPr>
            <w:r>
              <w:rPr>
                <w:b w:val="0"/>
                <w:sz w:val="20"/>
                <w:lang w:val="en-US"/>
              </w:rPr>
              <w:t>46,98%</w:t>
            </w:r>
          </w:p>
        </w:tc>
      </w:tr>
    </w:tbl>
    <w:p w:rsidR="00000000" w:rsidRDefault="00000000">
      <w:pPr>
        <w:pStyle w:val="10"/>
        <w:rPr>
          <w:bCs/>
          <w:sz w:val="20"/>
        </w:rPr>
      </w:pPr>
    </w:p>
    <w:p w:rsidR="00000000" w:rsidRDefault="00000000">
      <w:pPr>
        <w:pStyle w:val="10"/>
        <w:jc w:val="left"/>
        <w:rPr>
          <w:b w:val="0"/>
          <w:lang w:val="en-US"/>
        </w:rPr>
      </w:pPr>
      <w:r>
        <w:rPr>
          <w:b w:val="0"/>
          <w:u w:val="single"/>
        </w:rPr>
        <w:t>Источник</w:t>
      </w:r>
      <w:r>
        <w:rPr>
          <w:b w:val="0"/>
          <w:lang w:val="en-US"/>
        </w:rPr>
        <w:t>:  CSINE/</w:t>
      </w:r>
      <w:r>
        <w:rPr>
          <w:b w:val="0"/>
        </w:rPr>
        <w:t>С</w:t>
      </w:r>
      <w:r>
        <w:rPr>
          <w:b w:val="0"/>
          <w:lang w:val="en-US"/>
        </w:rPr>
        <w:t>GEM/DES/SPPE/MTE</w:t>
      </w:r>
    </w:p>
    <w:p w:rsidR="00000000" w:rsidRDefault="00000000">
      <w:pPr>
        <w:pStyle w:val="10"/>
        <w:rPr>
          <w:bCs/>
          <w:sz w:val="20"/>
          <w:lang w:val="en-US"/>
        </w:rPr>
      </w:pPr>
    </w:p>
    <w:p w:rsidR="00000000" w:rsidRDefault="00000000">
      <w:r>
        <w:t>66.</w:t>
      </w:r>
      <w:r>
        <w:tab/>
        <w:t>Второй базовый элемент государственной трудовой политики предусматривает осуществление программ стимулирования занятости и доходов, которые охватывают в первую очередь микро- и малый бизнес, кооперативы и неформальный сектор экономики.  Осуществляемые в этой связи меры по созданию кредитных линий и организации профессионально-технического обучения способствуют увеличению занятости и росту доходов.  Эти меры осуществляются в рамках следующих проектов:  ПРОДЖЕР (Программа создания рабочих мест и стимулирования доходов), ПРОДЖЕР для сельских районов и ПРОНАФ (Национальная программа развития семейных фермерских хозяйств).</w:t>
      </w:r>
    </w:p>
    <w:p w:rsidR="00000000" w:rsidRDefault="00000000"/>
    <w:p w:rsidR="00000000" w:rsidRDefault="00000000">
      <w:r>
        <w:t>67.</w:t>
      </w:r>
      <w:r>
        <w:tab/>
        <w:t>Запущенный в 1995 году проект ПРОДЖЕР относится к числу наиболее мощных механизмов, позволяющих правительству и обществу расширять линии кредитования с целью охвата малых и очень малых предприятий в городских и сельских районах, а также создаваемых ими ассоциаций и самозанятых лиц.  Кроме того, в рамках этого проекта в сотрудничестве с министерством сельского хозяйства осуществляются меры по укреплению семейных фермерских хозяйств через выделение финансовых средств по линии ПРОНАФ (Национальная программа развития семейных фермерских хозяйств).  За период с середины 1995 года по декабрь 1999 года в рамках проекта ПРОДЖЕР были заключены контракты на проведение 2 млн. 700 тыс. кредитных операций на общую сумму 9 млрд. 560 млн. реалов (приблизительно 8 млрд. 20 млн. долл. США).  Средняя сумма отдельного контракта составляла 4 605 реалов (примерно 3 860 долл. США).</w:t>
      </w:r>
    </w:p>
    <w:p w:rsidR="00000000" w:rsidRDefault="00000000"/>
    <w:p w:rsidR="00000000" w:rsidRDefault="00000000">
      <w:r>
        <w:t>68.</w:t>
      </w:r>
      <w:r>
        <w:tab/>
        <w:t>Согласно предварительным оценкам, за период 1995-1999 годов программа ПРОДЖЕР позволила создать и сохранить приблизительно 3,5 млн. рабочих мест, а программа ПРОНАФ - примерно 8,3 млн. рабочих мест.  Эти данные базируются на анализе, проведенном Бразильским институтом социально-экономических исследований (БИСЭИ).</w:t>
      </w:r>
    </w:p>
    <w:p w:rsidR="00000000" w:rsidRDefault="00000000"/>
    <w:p w:rsidR="00000000" w:rsidRDefault="00000000">
      <w:r>
        <w:t>69.</w:t>
      </w:r>
      <w:r>
        <w:tab/>
        <w:t>В дополнение к программам, объектами которых являются малые и микропредприятия, следует упомянуть еще о двух проектах.  Речь идет о Программе содействия занятости и улучшению качества жизни трудящихся (ПРОЭМПРЕГО) и Программе расширения возможностей для трудоустройства и улучшения качества жизни трудящихся (ПРОТРАБАЛЬЮ).  Эти две программы нацелены на стратегические секторы экономики, имеющие основополагающее значение для устойчивого развития экономики и повышения качества жизни трудящихся (включая, в частности, пассажирские перевозки, туристическую инфраструктуру и деятельность по совершенствованию инфраструктуры с целью повышения конкурентоспособности экономики Бразилии).</w:t>
      </w:r>
    </w:p>
    <w:p w:rsidR="00000000" w:rsidRDefault="00000000"/>
    <w:p w:rsidR="00000000" w:rsidRDefault="00000000">
      <w:r>
        <w:t>70.</w:t>
      </w:r>
      <w:r>
        <w:tab/>
        <w:t>ПРОЭМПРЕГО была разработана Совещательным советом Фонда поддержки трудящихся (ССФПТ).  Цель программы заключается в содействии созданию новых рабочих мест, повышению доходов трудящихся, улучшению качества жизни населения в целом и в первую очередь малоимущих слоев населения и сокращению затрат на производство продукции в контексте международных стандартов.  Одновременно с этим эта Программа стремится обеспечивать сохранение и расширение возможностей для трудоустройства на принципах поддержания надлежащего экологического баланса.  Финансовый сектор находится под управлением Бразильского банка социально-экономического развития (ББСЭР), за счет которого обеспечивается финансирование Фонда поддержки трудящихся (ФПТ) для целей направления инвестиций в следующие подсектора:  пассажирские перевозки, деятельность по укреплению инфраструктуры, содействующей повышению конкурентоспособности экономики, охрана окружающей среды, туристическая инфраструктура и модернизация промышленных отраслей.  С момента создания в 1996 году этой Программы общая сумма выделенных по линии ПРОЭМПРЕГО инвестиций составила более 5 млрд. реалов.</w:t>
      </w:r>
    </w:p>
    <w:p w:rsidR="00000000" w:rsidRDefault="00000000"/>
    <w:p w:rsidR="00000000" w:rsidRDefault="00000000">
      <w:r>
        <w:t>71.</w:t>
      </w:r>
      <w:r>
        <w:tab/>
        <w:t>Структура ПРОТРАБАЛЬЮ была также создана Совещательным советом Фонда поддержки трудящихся.  Цель ПРОТРАБАЛЬЮ заключается в предоставлении финансовых средств на осуществление социально-экономических инфраструктурных проектов в северо-восточном регионе Бразилии и в северной части штата Минас-Жерайс.  Согласно изначальному плану, эти инвестиции должны содействовать росту прямой и косвенной занятости, повышению конкурентоспособности производственного сектора, финансированию секторов, имеющих стратегическое значение для целей регионального развития и повышения качества жизни трудящихся.  Основные подпрограммы, осуществляемые в рамках ПРОТРАБАЛЬЮ, нацелены на решение вопросов, касающихся узловых проблем комплексного развития, базовых стандартов санитарии и гигиены, переработке отходов и туризма.  По состоянию на конец 1999 года Программой ПРОТРАБАЛЬЮ было освоено средств на сумму в 500 млн. реалов.</w:t>
      </w:r>
    </w:p>
    <w:p w:rsidR="00000000" w:rsidRDefault="00000000"/>
    <w:p w:rsidR="00000000" w:rsidRDefault="00000000">
      <w:r>
        <w:t>72.</w:t>
      </w:r>
      <w:r>
        <w:tab/>
        <w:t>В заключение следует упомянуть о Программе кредитных линий для мелких производителей, в рамках которой осуществляется деятельность по следующим трем направлениям:  во</w:t>
      </w:r>
      <w:r>
        <w:noBreakHyphen/>
        <w:t>первых, обеспечение применимости новых механизмов финансирования для целей создания рабочих мест и повышения доходов в интересах удовлетворения потребностей малоимущих групп населения на условиях, предусматривающих доступ к таким кредитам, в частности, со стороны трудящихся неформального сектора экономики.  Предоставляемые финансовые средства могут быть использованы для целей обеспечения самозанятости или создания производственных кооперативов, позволяющих данной категории предпринимателей выживать, укреплять и в конечном счете легализовывать свой бизнес;  во</w:t>
      </w:r>
      <w:r>
        <w:noBreakHyphen/>
        <w:t>вторых, выявление инвестиционных альтернатив для целей создания рабочих мест, в частности, в системе микропредприятий;  в-третьих, повышение отдачи от реализуемых в рамках Программы мероприятий путем создания стимулов для фиксированных капиталовложений в связи с организацией для предпринимателей учебных курсов по вопросам менеджмента.  Эти инициативы призваны обеспечить сведение к минимуму предпринимательских рисков и создание благоприятных условий для расширения микропредприятий при одновременном стимулировании процесса их легализации.  За период с 1996 года по март 2000 года общая сумма задействованных в этой связи программ и средств составила свыше 60 млн. реалов, включая уже завершенные и текущие операции, а также операции, еще находящиеся на этапе анализа.</w:t>
      </w:r>
    </w:p>
    <w:p w:rsidR="00000000" w:rsidRDefault="00000000"/>
    <w:p w:rsidR="00000000" w:rsidRDefault="00000000">
      <w:r>
        <w:t>73.</w:t>
      </w:r>
      <w:r>
        <w:tab/>
        <w:t>Третий базовый элемент включает структуры, деятельность которых варьируется от осуществления различных функций на рынке труда до мероприятий, способствующих формированию более зрелых трудовых отношений.  Степень и характер регулирования рыночных отношений может либо содействовать, либо препятствовать способности рынка труда реагировать на колебания экономического роста, а также сглаживать или осложнять конфликты между администрацией и трудящимися.  В силу этого еще один набор предлагаемых федеральным правительством программ имеет целью реформирование сложившейся в Бразилии системы трудовых отношений.  Эти инициативы обусловлены необходимостью согласования системы трудовых отношений с новыми стандартами переговорного процесса между администрацией и трудящимися, которые будут в большей мере соответствовать современной динамике социальной, политической и экономической жизни бразильского общества.  Действующие на рынке труда структуры должны обеспечить соответствие своих операций, а также норм трудового законодательства требованиям открытой рыночной экономики.  Все эти меры позволят облегчить переход к оперативной, гибкой и демократической системе трудовых переговоров, поскольку ныне существующая система является излишне бюрократической, малоподвижной и авторитарной.</w:t>
      </w:r>
    </w:p>
    <w:p w:rsidR="00000000" w:rsidRDefault="00000000"/>
    <w:p w:rsidR="00000000" w:rsidRDefault="00000000">
      <w:r>
        <w:t>74.</w:t>
      </w:r>
      <w:r>
        <w:tab/>
        <w:t>Осуществляемые в Бразилии усилия по совершенствованию системы трудовых отношений способствуют добровольному учету взаимных интересов в качестве надлежащего средства разрешения споров в противовес игнорированию таких интересов или перекладыванию ответственности за решение таких проблем на государство.  Таким образом, речь идет о создании демократической системы, предусматривающей самостоятельное участие заинтересованных сторон в разрешении трудовых конфликтов и урегулирование таких конфликтов на принципах взаимопонимания.</w:t>
      </w:r>
    </w:p>
    <w:p w:rsidR="00000000" w:rsidRDefault="00000000"/>
    <w:p w:rsidR="00000000" w:rsidRDefault="00000000">
      <w:r>
        <w:t>75.</w:t>
      </w:r>
      <w:r>
        <w:tab/>
        <w:t>Важная роль новой системы трудовых отношений в контексте политики в области занятости заключается в том, что она позволит трудящимся более эффективно участвовать в процессе принятия решений на производстве.  Расширению рамок ведения переговоров с целью заключения трудовых соглашений способствует повышение гибкости системы занятости, что позволяет избегать приостановки производства как неизбежного результата процесса экономической перестройки на уровне предприятий.</w:t>
      </w:r>
    </w:p>
    <w:p w:rsidR="00000000" w:rsidRDefault="00000000"/>
    <w:p w:rsidR="00000000" w:rsidRDefault="00000000">
      <w:r>
        <w:t>76.</w:t>
      </w:r>
      <w:r>
        <w:tab/>
        <w:t>Руководствуясь вышеуказанными целями, федеральное правительство наметило комплекс реформ, включая, в частности, внесение изменений в Конституцию 1988 года и в Основы трудового законодательства (ОТЗ).  Основная цель этой инициативы заключается в укреплении роли профсоюзов, признании принципа профсоюзного плюрализма в качестве одного из средств демократизации системы представительства трудящихся, ликвидации обязательных профсоюзных взносов и изменении темпов и характера мероприятий переходного периода.  Результатом осуществления всех этих мер должна стать менее бюрократическая и более гибкая в переговорном плане система.</w:t>
      </w:r>
    </w:p>
    <w:p w:rsidR="00000000" w:rsidRDefault="00000000"/>
    <w:p w:rsidR="00000000" w:rsidRDefault="00000000">
      <w:r>
        <w:rPr>
          <w:b/>
          <w:bCs/>
        </w:rPr>
        <w:t>Стимулирование производительности</w:t>
      </w:r>
      <w:r>
        <w:t xml:space="preserve"> </w:t>
      </w:r>
      <w:r>
        <w:rPr>
          <w:b/>
          <w:bCs/>
        </w:rPr>
        <w:t>труда</w:t>
      </w:r>
    </w:p>
    <w:p w:rsidR="00000000" w:rsidRDefault="00000000"/>
    <w:p w:rsidR="00000000" w:rsidRDefault="00000000">
      <w:r>
        <w:t>77.</w:t>
      </w:r>
      <w:r>
        <w:tab/>
        <w:t>Основная цель политики бразильского правительства на рынке труда заключается в содействии росту рабочих мест;  при этом правительство стремится способствовать также росту производительности труда.  Система посреднических услуг относится к числу средств борьбы со специфической безработицей, причина которой заключается в слишком медленном распространении информации о спросе на рабочую силу и ее предложении.  Эта программа призвана содействовать более эффективному распределению трудовых ресурсов с учетом реального и потенциального спроса на рабочую силу, что, по всей видимости, позволит повысить рентабельность производства за счет увеличения производительности труда.</w:t>
      </w:r>
    </w:p>
    <w:p w:rsidR="00000000" w:rsidRDefault="00000000"/>
    <w:p w:rsidR="00000000" w:rsidRDefault="00000000">
      <w:r>
        <w:t>78.</w:t>
      </w:r>
      <w:r>
        <w:tab/>
        <w:t>Другой структурой, способствующей существенному росту производительности труда, является система повышения профессиональной квалификации.</w:t>
      </w:r>
    </w:p>
    <w:p w:rsidR="00000000" w:rsidRDefault="00000000"/>
    <w:p w:rsidR="00000000" w:rsidRDefault="00000000">
      <w:r>
        <w:t>79.</w:t>
      </w:r>
      <w:r>
        <w:tab/>
        <w:t>Программы кредитования, целью которых является создание рабочих мест, отчасти призваны косвенным образом содействовать изменению существующих в Бразилии условий труда, что со всей очевидностью влечет за собой повышение производительности труда.  В качестве примера хотелось бы отметить, что проект ПРОЭМПРЕГО был учрежден в соответствии с законом, в котором отмечается, что эта программа "…призвана содействовать росту капиталовложений в пассажирские перевозки, охрану окружающей среды, туристическую инфраструктуру, деятельность по совершенствованию инфраструктуры, способствующей повышению уровня конкурентоспособности бразильской экономики, и в модернизацию промышленных отраслей в регионах, страдающих от безработицы".  Помимо своей основной цели в форме содействия созданию рабочих мест политика в области занятости, опирающаяся на кредитные линии, выполняет также функции механизма, способствующего совершенствованию промышленной, инфраструктурной политики и региональной политики.</w:t>
      </w:r>
    </w:p>
    <w:p w:rsidR="00000000" w:rsidRDefault="00000000"/>
    <w:p w:rsidR="00000000" w:rsidRDefault="00000000">
      <w:r>
        <w:t>80.</w:t>
      </w:r>
      <w:r>
        <w:tab/>
        <w:t>Аналогичным образом экономическая политика правительства, нацеленная в первую очередь на достижение макроэкономической стабильности, способствовала также повышению производительности труда (см. диаграмму 7).  Некоторые полагают, что повышение производительности труда имело своим следствием сокращение прироста новых рабочих мест.  По мнению бразильского правительства, реструктуризация производства является необходимым условием усиления конкурентоспособности бразильской экономики.  Кроме того, усилению конкурентоспособности будет способствовать рост показателя продолжительности обучения в школе и повышение профессиональной квалификации рабочей силы в целом.  Все эти меры соответственно будут способствовать созданию новых рабочих мест и повышению доходов бразильского населения, что является конечной целью экономического роста.</w:t>
      </w:r>
    </w:p>
    <w:p w:rsidR="00000000" w:rsidRDefault="00000000"/>
    <w:p w:rsidR="00000000" w:rsidRDefault="00000000">
      <w:r>
        <w:t>81.</w:t>
      </w:r>
      <w:r>
        <w:tab/>
        <w:t>В рамках следующего вопроса рассматриваются положения бразильского законодательства, гарантирующие свободу выбора работы и принцип ненарушения основополагающих политических и экономических свобод индивида применительно к условиям труда.  В этой связи бразильское правительство считает необходимым сослаться на пункт XIII статьи 5 Федеральной конституции 1988 года, в котором говорится, что каждому человеку "гарантируется право на беспрепятственное осуществление любой работы, ремесла или профессиональной деятельности при условии соблюдения законов, касающихся профессиональной квалификации".</w:t>
      </w:r>
    </w:p>
    <w:p w:rsidR="00000000" w:rsidRDefault="00000000"/>
    <w:p w:rsidR="00000000" w:rsidRDefault="00000000">
      <w:r>
        <w:t>82.</w:t>
      </w:r>
      <w:r>
        <w:tab/>
        <w:t>Вышеупомянутые конституционные положения гарантируют право на труд и признают за индивидом право осуществлять любую общественно полезную деятельность при условии выполнения определенных требований (требований о наличии профессиональной квалификации) в соответствии с предусмотренными законом нормами.</w:t>
      </w:r>
    </w:p>
    <w:p w:rsidR="00000000" w:rsidRDefault="00000000"/>
    <w:p w:rsidR="00000000" w:rsidRDefault="00000000">
      <w:r>
        <w:t>83.</w:t>
      </w:r>
      <w:r>
        <w:tab/>
        <w:t>В ряде других положений Федеральной конституции 1988 года предусматривается также, хотя и косвенно, право на труд через гарантированное право на страхование по безработице на случай недобровольной потери работы (статья 7, пункт II).  В Бразилии данные льготы реализуются на практике в форме денежных выплат в течение определенного периода времени после того, как работник был уволен по не зависящим от него причинам.  Выплачиваемое денежное пособие призвано обеспечивать работника средствами к существованию до тех пор, пока он не найдет новую работу на рынке труда.  Принятие мер по обеспечению эффективного функционирования этих механизмов относится к числу дополнительных гарантий, защищающих право на труд.</w:t>
      </w:r>
    </w:p>
    <w:p w:rsidR="00000000" w:rsidRDefault="00000000"/>
    <w:p w:rsidR="00000000" w:rsidRDefault="00000000">
      <w:r>
        <w:t>84.</w:t>
      </w:r>
      <w:r>
        <w:tab/>
        <w:t>Пункт XIII статьи 5 Конституции не только гарантирует право на труд в широком смысле этого слова, но и предполагает уважение основополагающих экономических и политических свобод граждан, которые вправе осуществлять свое право на любую работу, ремесло или профессию.  Продолжая рассмотрение конституционных норм, посвященных этим вопросам, следует отметить, что в пункте VIII статьи 5 содержится дополнительная гарантия, согласно которой "никто не может быть лишен каких бы то ни было прав по причине религиозных убеждений или философских или политических взглядов, если только соответствующее лицо не ссылается на них с целью уклонения от выполнения налагаемых законом на всех граждан обязанностей или отказывается выполнять предусмотренное законом альтернативное обязательство".</w:t>
      </w:r>
    </w:p>
    <w:p w:rsidR="00000000" w:rsidRDefault="00000000"/>
    <w:p w:rsidR="00000000" w:rsidRDefault="00000000">
      <w:r>
        <w:t>85.</w:t>
      </w:r>
      <w:r>
        <w:tab/>
        <w:t>В связи с основополагающими экономическими свободами Конституция гарантирует право на получение минимальной ежемесячной заработной платы, необходимой для удовлетворения базовых и жизненно важных потребностей семьи (жилье, питание, образование, здоровье, досуг, одежда, гигиена, транспорт и социальное обеспечение).  Размер минимальной заработной платы периодически пересматривается с целью обеспечения его максимального соответствия динамике изменения покупательной способности населения.  Вопрос о реальном наполнении минимальной ежемесячной заработной платы не ограничивается вышеизложенными соображениями, а включает также аспект, предполагающий осуществление необходимых мер по содействию экономическому развитию и росту.  Несмотря на трудности кратковременного характера, Бразилия пытается проводить политику, основанную на сбалансированном учете этих двух факторов.  В бразильском обществе ведутся жаркие дебаты по этому вопросу.</w:t>
      </w:r>
    </w:p>
    <w:p w:rsidR="00000000" w:rsidRDefault="00000000">
      <w:pPr>
        <w:pStyle w:val="FootnoteText"/>
        <w:spacing w:line="288" w:lineRule="auto"/>
      </w:pPr>
    </w:p>
    <w:p w:rsidR="00000000" w:rsidRDefault="00000000">
      <w:pPr>
        <w:pStyle w:val="Heading1"/>
        <w:rPr>
          <w:bCs/>
        </w:rPr>
      </w:pPr>
      <w:r>
        <w:rPr>
          <w:bCs/>
        </w:rPr>
        <w:t>Наращивание потенциала</w:t>
      </w:r>
    </w:p>
    <w:p w:rsidR="00000000" w:rsidRDefault="00000000">
      <w:pPr>
        <w:pStyle w:val="Heading1"/>
        <w:rPr>
          <w:bCs/>
        </w:rPr>
      </w:pPr>
    </w:p>
    <w:p w:rsidR="00000000" w:rsidRDefault="00000000">
      <w:r>
        <w:t>86.</w:t>
      </w:r>
      <w:r>
        <w:tab/>
        <w:t>Ни одно обсуждение программ профессионально</w:t>
      </w:r>
      <w:r>
        <w:noBreakHyphen/>
        <w:t>технической подготовки не может обойтись без рассмотрения Национального плана квалификации трудящихся (ПЛАНФОР), реализация которого началась в 1996 году в рамках разработанного и внедренного правительством проекта социального развития.  ПЛАНФОР осуществляется на базе активной базовой стратегии, разработанной Национальной системой занятости, которая в свою очередь финансируется Фондом поддержки трудящихся.  Этот план предусматривает страхование по безработице, предоставление посреднических услуг по трудоустройству и осуществление программ, содействующих созданию новых рабочих мест и увеличению доходов.  ПЛАНФОР был задуман не в качестве рассчитанной на широкие слои населения учебной программы, а прежде всего в качестве стратегии по координации, укреплению и/или реструктуризации потенциала системы профессионально</w:t>
      </w:r>
      <w:r>
        <w:noBreakHyphen/>
        <w:t>технической подготовки.  Этот план имеет ключевое значение для целей разработки, на принципах последовательности и широкого участия, государственных стратегий, направленных на создание новых рабочих мест и увеличение доходов населения, повышение конкурентоспособности производства и укрепление на рынке труда принципа равных возможностей.  Реализации ПЛАНФОР предшествовала последовательная работа по созданию двух механизмов, базирующихся на основополагающих принципах участия, децентрализации и укрепления местного производственного потенциала.</w:t>
      </w:r>
    </w:p>
    <w:p w:rsidR="00000000" w:rsidRDefault="00000000"/>
    <w:p w:rsidR="00000000" w:rsidRDefault="00000000">
      <w:r>
        <w:t>87.</w:t>
      </w:r>
      <w:r>
        <w:tab/>
        <w:t>Первый механизм включает систему государственных квалификационных планов (ГКП), осуществляемых в координации с государственными трудовыми секретариатами.  На практике этот механизм реализуется через соглашения с администрацией штатов, министерством труда и занятости и секретариатом по вопросам государственной политики и занятости.  Деятельность в рамках этого механизма утверждается комитетами по вопросам занятости на уровне штатов и обсуждается муниципальными комитетами по вопросам занятости.  Второй механизм базируется на системе национального и регионального сотрудничества, а деятельность в рамках этого механизма осуществляется через соглашения, договоренности о техническом сотрудничестве, протоколы о намерениях, заключаемые с государственными и неправительственными организациями (профсоюзы, общественные ассоциации, фонды и университеты), с целью реализации на региональном или национальном уровне различных программ и проектов после их утверждения Совещательным советом Фонда поддержки трудящихся.</w:t>
      </w:r>
    </w:p>
    <w:p w:rsidR="00000000" w:rsidRDefault="00000000"/>
    <w:p w:rsidR="00000000" w:rsidRDefault="00000000">
      <w:r>
        <w:t>88.</w:t>
      </w:r>
      <w:r>
        <w:tab/>
        <w:t>Другим приоритетным направлением деятельности в рамках ПЛАНФОР является осуществление программ профессиональной технической подготовки или переподготовки трудящихся, не имеющих надлежащего школьного образования, наемных работников, затрагиваемых программами реструктуризации или технологической реорганизацией производства, лиц, получающих пособия по безработице, мелких фермеров и работников неформального сектора экономики в городских и сельских районах.  Кроме того, в рамках ПЛАНФОР разрабатываются различные методики, проводятся исследования и готовятся учебные материалы, используемые в системе повышения профессионально</w:t>
      </w:r>
      <w:r>
        <w:noBreakHyphen/>
        <w:t>технической подготовки.</w:t>
      </w:r>
    </w:p>
    <w:p w:rsidR="00000000" w:rsidRDefault="00000000"/>
    <w:p w:rsidR="00000000" w:rsidRDefault="00000000">
      <w:r>
        <w:t>89.</w:t>
      </w:r>
      <w:r>
        <w:tab/>
        <w:t>Основополагающая цель ПЛАНФОР заключается в создании системы массовой профессионально</w:t>
      </w:r>
      <w:r>
        <w:noBreakHyphen/>
        <w:t>технической подготовки, позволяющей охватить в среднесрочном и долгосрочном плане по меньшей мере 20% экономически активного населения страны.  В цифровом исчислении речь идет приблизительно о 15 млн. человек (по оценкам ПЛАНФОР, общая численность экономически активного населения в возрасте от 16 лет (минимальный возраст для трудоустройства) составляет в Бразилии более 70 млн. человек, включая как работающих, так и неработающих лиц).  Вышеупомянутый показатель на уровне 20% объясняется тем, что именно этот минимальный порог позволяет обеспечить каждому работнику возможность повышения квалификации раз в пять лет, при том что правительство понимает недостаточность использования одного только этого механизма с учетом преобразований в мировой экономике и на мировом рынке труда.</w:t>
      </w:r>
    </w:p>
    <w:p w:rsidR="00000000" w:rsidRDefault="00000000"/>
    <w:p w:rsidR="00000000" w:rsidRDefault="00000000">
      <w:r>
        <w:t>90.</w:t>
      </w:r>
      <w:r>
        <w:tab/>
        <w:t>С момента создания ПЛАНФОР в рамках его структур прошли подготовку/ переподготовку 8,3 млн. трудящихся, что способствовало значительному повышению уровня квалификации и производительности рабочей силы в Бразилии;  сумма денежных средств, затраченных на осуществление этих инициатив, составила в общей сложности 1,4 млрд. реалов.  В 1999 году за счет средств ФПТ (356 млн. реалов) курсы профессионально</w:t>
      </w:r>
      <w:r>
        <w:noBreakHyphen/>
        <w:t>технической подготовки или переподготовки прошли примерно 2,6 млн. городских и сельских жителей из числа представителей экономически активного населения, затронув следующие отрасли экономики:  сельское хозяйство, рыболовство, промышленность, строительство, туризм, систему государственного управления, здравоохранение, образование и культуру.  На текущий момент осуществляющаяся под эгидой ПЛАНФОР деятельность по созданию механизмов профессионально</w:t>
      </w:r>
      <w:r>
        <w:noBreakHyphen/>
        <w:t>технического обучения охватывает уже более 70% из 5 500 муниципий Бразилии.  Особое внимание при этом уделяется наиболее бедным районам, поскольку приоритетным направлением деятельности в рамках ПЛАНФОР является содействие развитию регионов с преобладанием наиболее уязвимых слоев населения.  Страдая от социального, экономического и культурного неравенства, представители этих малоимущих социальных групп имеют более ограниченный доступ к любым альтернативным механизмам профессионально</w:t>
      </w:r>
      <w:r>
        <w:noBreakHyphen/>
        <w:t>технической подготовки.</w:t>
      </w:r>
    </w:p>
    <w:p w:rsidR="00000000" w:rsidRDefault="00000000"/>
    <w:p w:rsidR="00000000" w:rsidRDefault="00000000">
      <w:r>
        <w:t>91.</w:t>
      </w:r>
      <w:r>
        <w:tab/>
        <w:t>ПЛАНФОР участвует также в осуществлении других программ в сфере социального обеспечения и прав человека в интересах укрепления принципа равных возможностей на производстве и развития общества на принципах социальной справедливости.  Соответствующие учебные программы предназначаются для женщин, афробразильцев, инвалидов, сотрудников гражданской службы и полиции, заключенных, социальных работников, работающих с престарелыми, воспитателей яслей и детских садов.  Руководствуясь основополагающей установкой на устойчивое развитие, ПЛАНФОР содействует осуществлению новаторских и экспериментальных мероприятий, нацеленных на повышение уровня общего образования работающих бразильцев.  В рамках этих усилий в Бразилии было создано 3 000 центров заочного обучения, через которые осуществлялась программа "Телекурс</w:t>
      </w:r>
      <w:r>
        <w:noBreakHyphen/>
        <w:t>2000".  При необходимости в этих центрах используется специальное оборудование для лиц с дефектами слуха.</w:t>
      </w:r>
    </w:p>
    <w:p w:rsidR="00000000" w:rsidRDefault="00000000"/>
    <w:p w:rsidR="00000000" w:rsidRDefault="00000000">
      <w:r>
        <w:t>92.</w:t>
      </w:r>
      <w:r>
        <w:tab/>
        <w:t>Правительство намеревается принять меры по совершенствованию системы услуг, предусматривающих оказание помощи представителям социальных групп, не располагающих какими</w:t>
      </w:r>
      <w:r>
        <w:noBreakHyphen/>
        <w:t>либо иными возможностями для повышения квалификации, помимо средств в рамках таких социальных стратегий, что объясняется бедностью и недостаточным уровнем общего образования представителей этих групп, включая, в частности, безработных, молодых людей, впервые столкнувшихся с проблемой трудоустройства, лиц, занятых на небольших фермах, владельцев малых предприятий в городах, а также представителей вышеупомянутых социальных групп, которые являются первоочередными объектами социальных и правозащитных программ.  Деятельность ПЛАНФОР свидетельствует также о намерениях правительства содействовать развитию секторов и отраслей, имеющих огромное потенциальное значение для целей создания новых рабочих мест и повышения уровня доходов населения.  Именно в этих секторах и предполагается трудоустроить выпускников курсов профессионально</w:t>
      </w:r>
      <w:r>
        <w:noBreakHyphen/>
        <w:t>технической подготовки.  К числу таких отраслей относятся:  туризм, мелкое фермерское хозяйство (включая подсобные хозяйства, создаваемые в сельских районах в рамках Программы аграрной реформы), сектор экспортных операций на уровне микро- и малых предприятий.</w:t>
      </w:r>
    </w:p>
    <w:p w:rsidR="00000000" w:rsidRDefault="00000000"/>
    <w:p w:rsidR="00000000" w:rsidRDefault="00000000">
      <w:r>
        <w:t>93.</w:t>
      </w:r>
      <w:r>
        <w:tab/>
        <w:t>С точки зрения количественных показателей и масштабов инновационной деятельности ПЛАНФОР является самой перспективой программой за всю историю Бразилии.  По мнению бразильского правительства, другой аналогичной программы в Латинской Америке не существует.  В ходе второго этапа своей деятельности, рассчитанной на период 1999</w:t>
      </w:r>
      <w:r>
        <w:noBreakHyphen/>
        <w:t>2002 годов, ПЛАНФОР намеревается закрепить достигнутые позитивные результаты путем создания в Бразилии новой системы государственных учебных заведений и включения в повестку дня государственной программы занятости вопроса о "профессионально</w:t>
      </w:r>
      <w:r>
        <w:noBreakHyphen/>
        <w:t>технической подготовке".</w:t>
      </w:r>
    </w:p>
    <w:p w:rsidR="00000000" w:rsidRDefault="00000000"/>
    <w:p w:rsidR="00000000" w:rsidRDefault="00000000">
      <w:r>
        <w:t>94.</w:t>
      </w:r>
      <w:r>
        <w:tab/>
        <w:t>В Руководящих принципах в отношении формы и содержания докладов, представляемых Комитету по экономическим, социальным и культурным правам, предлагается сообщать о встречающихся трудностях и мерах по их преодолению.  Правительство Бразилии хотело бы поблагодарить Комитет за предоставленную ему возможность рассказать о трудностях в процессе продвижения на пути к достижению полной занятости с уделением особого внимания колоссальным усилиям, предпринимаемым с целью преодоления этих трудностей.  В разделе настоящего доклада, посвященном показателям на рынке труда, упоминалось о том, что феномен безработицы в Бразилии, особенно в последние годы, является не просто следствием слабого экономического роста.  Динамика безработицы свидетельствует также о пропорциональном росте экономической производительности в сопоставлении с фактическим приростом объема выпуска/продукции за тот же период.  Вместе с тем этот аспект не следует оценивать как негативный, поскольку прирост производительности свидетельствует также о повышении конкурентоспособности бразильской экономики и создает весьма позитивные предпосылки для среднесрочного и долгосрочного развития в интересах бразильских трудящихся.  Предполагалось, что резкий рывок бразильской экономики, особенно в  2000 году, приведет к снижению уровня безработицы.  Однако, как уже отмечалось выше, процесс такого снижения, возможно, будет довольно медленным по той причине, что ускорение прироста доли трудоспособного населения создает дополнительные трудности с трудоустройством.</w:t>
      </w:r>
    </w:p>
    <w:p w:rsidR="00000000" w:rsidRDefault="00000000"/>
    <w:p w:rsidR="00000000" w:rsidRDefault="00000000">
      <w:r>
        <w:t>95.</w:t>
      </w:r>
      <w:r>
        <w:tab/>
        <w:t>Что касается права на труд, то в последние годы бразильское правительство уделяло первоочередное внимание усилиям в рамках двух важнейших взаимосвязанных и взаимозависимых направлений деятельности:  речь идет, во</w:t>
      </w:r>
      <w:r>
        <w:noBreakHyphen/>
        <w:t>первых, об осуществлении стратегий, содействующих росту занятости, профессионально-технической подготовки и защите прав трудящихся (информация об этих стратегиях содержится выше в комментариях по ряду других вопросов), а во</w:t>
      </w:r>
      <w:r>
        <w:noBreakHyphen/>
        <w:t>вторых, о совершенствовании институтов в рамках трудового законодательства с целью создания благоприятных условий, способствующих повышению качества труда, снижению расходов на найм рабочей силы и активизации диалога между управленческими структурами и трудящимися.  С одной стороны, существующая система трудового законодательства по</w:t>
      </w:r>
      <w:r>
        <w:noBreakHyphen/>
        <w:t>прежнему страдает чрезмерной бюрократичностью и зависит от решений государственных органов, о чем свидетельствует наличие многочисленных конфликтов, а, с другой стороны, экономика постепенно открывается, и при этом происходит укрепление принципов демократического общества и построенного на принципах общего участия.  Целью принимаемых правительством мер в области трудовых отношений является устранение имеющегося разрыва.  Общеизвестно, что сведенное в ОТЗ трудовое законодательство включает, в частности, чрезмерно жесткие и детальные нормы, которые полностью устарели и не соответствуют новым производительным парадигмам и управленческим требованиям на рынке труда.  Кроме того, это законодательство является слишком обременительным с точки зрения трудовых затрат.  Принятая в 1988 году Федеральная конституция позволила достичь значительного прогресса с точки зрения укрепления индивидуальных и коллективных свобод и повышения престижа переговоров в связи с заключением трудовых соглашений.  Однако даже Конституция оставила нетронутым элемент устаревшей нормативной системы, регулирующий отношения на рынке труда.  Об этом свидетельствует, в частности, сохранение закрытой профсоюзной модели, позволяющей профсоюзам пользоваться монопольным правом на представительство и облагать всех трудящихся обязательными профсоюзными взносами.</w:t>
      </w:r>
    </w:p>
    <w:p w:rsidR="00000000" w:rsidRDefault="00000000"/>
    <w:p w:rsidR="00000000" w:rsidRDefault="00000000">
      <w:r>
        <w:t>96.</w:t>
      </w:r>
      <w:r>
        <w:tab/>
        <w:t>Инициативы правительства, направленные на совершенствование системы трудовых отношений, преследуют в первую очередь две основные цели:  во</w:t>
      </w:r>
      <w:r>
        <w:noBreakHyphen/>
        <w:t>первых, реформирование правовой и судебной системы в данной области и, во</w:t>
      </w:r>
      <w:r>
        <w:noBreakHyphen/>
        <w:t>вторых, содействие развитию культуры переговорного процесса, предусматривающего участие всех сторон производственного процесса.  Меры по обоим направлениям деятельности способствуют активизации диалога, в которых участвуют конфедерации управленческих структур, конфедерации профсоюзов и другие общественные организации Бразилии.</w:t>
      </w:r>
    </w:p>
    <w:p w:rsidR="00000000" w:rsidRDefault="00000000"/>
    <w:p w:rsidR="00000000" w:rsidRDefault="00000000">
      <w:r>
        <w:t>97.</w:t>
      </w:r>
      <w:r>
        <w:tab/>
        <w:t>В законодательной сфере был осуществлен целый ряд инициатив, которые уже обрели реальные очертания.  Некоторые из них заслуживают отдельного упоминания в силу их потенциального воздействия на рынок труда и ожидаемых изменений в системе отношений между управленческими структурами и наемными работниками:</w:t>
      </w:r>
    </w:p>
    <w:p w:rsidR="00000000" w:rsidRDefault="00000000"/>
    <w:p w:rsidR="00000000" w:rsidRDefault="00000000">
      <w:r>
        <w:tab/>
        <w:t>а)</w:t>
      </w:r>
      <w:r>
        <w:tab/>
        <w:t>временное постановление 1950-59 о деиндексации заработной платы от 6 января 2000 года, принятое в дополнение к плану стабилизации бразильской экономики (так называемый "Реальный план").  В этом постановлении отмечается, что заработная плата и другие факторы, определяющие условия труда, будут определяться и пересматриваться один раз в год на основе конкретных "базовых данных" в рамках свободных переговоров в связи с заключением коллективного договора.  Кроме того, это временное постановление предусматривает укрепление посреднической роли государственных или частных структур в процессе переговоров о заключении трудового соглашения;</w:t>
      </w:r>
    </w:p>
    <w:p w:rsidR="00000000" w:rsidRDefault="00000000"/>
    <w:p w:rsidR="00000000" w:rsidRDefault="00000000">
      <w:r>
        <w:tab/>
      </w:r>
      <w:r>
        <w:rPr>
          <w:lang w:val="en-US"/>
        </w:rPr>
        <w:t>b</w:t>
      </w:r>
      <w:r>
        <w:t>)</w:t>
      </w:r>
      <w:r>
        <w:tab/>
        <w:t>временное постановление 1982-65 об участии наемных работников в прибылях или доходах компаний от 10 декабря 1999 года.  В этом постановлении участие в прибылях рассматривается не как субъективное право, а как результат переговоров с целью заключения коллективного договора и как средство стимулирования производительности труда.  Такое участие в прибылях имеет форму денежного вознаграждения, которое выводится за рамки заработной платы и не подлежит налогообложению;</w:t>
      </w:r>
    </w:p>
    <w:p w:rsidR="00000000" w:rsidRDefault="00000000"/>
    <w:p w:rsidR="00000000" w:rsidRDefault="00000000">
      <w:r>
        <w:tab/>
        <w:t>с)</w:t>
      </w:r>
      <w:r>
        <w:tab/>
        <w:t>временное постановление 1982-65 от 10 декабря 1999 года о режиме работы розничных торговых точек в воскресные дни.  Это постановление снимает ограничения на работу розничных торговых точек в воскресные дни, однако предусматривает обязательное условие в форме подачи предварительного заявления в муниципальные органы;</w:t>
      </w:r>
    </w:p>
    <w:p w:rsidR="00000000" w:rsidRDefault="00000000"/>
    <w:p w:rsidR="00000000" w:rsidRDefault="00000000">
      <w:r>
        <w:tab/>
      </w:r>
      <w:r>
        <w:rPr>
          <w:lang w:val="en-US"/>
        </w:rPr>
        <w:t>d</w:t>
      </w:r>
      <w:r>
        <w:t>)</w:t>
      </w:r>
      <w:r>
        <w:tab/>
        <w:t>введение системы срочных контрактов (Закон 9601 от 21 января 1998 года и Указ 2490/98) с целью удовлетворения особых сезонных потребностей или потребностей компаний в любой сфере предпринимательской деятельности.  Этот Закон обеспечивает защиту прав трудящихся и, кроме того, предусматривает, что подписание таких контрактов является возможным лишь при наличии соответствующей оговорки в коллективных соглашениях или договорах, а также при наличии документа, обосновывающего необходимость увеличения численности наемных работников.  При выполнении всех предусмотренных законом требований выгода компаний заключается в сокращении расходов на наем работников, поскольку в этом случае они отчисляют менее значительные суммы в ряд фондов, формируемых за счет средств системы налогообложения, включая, в частности, Страховой фонд по выслуге лет (СФВЛ).  Кроме того, компании освобождаются от внесения средств в СФВЛ в качестве гарантийной суммы на случай прекращения контракта;</w:t>
      </w:r>
    </w:p>
    <w:p w:rsidR="00000000" w:rsidRDefault="00000000"/>
    <w:p w:rsidR="00000000" w:rsidRDefault="00000000">
      <w:r>
        <w:tab/>
        <w:t>е)</w:t>
      </w:r>
      <w:r>
        <w:tab/>
        <w:t>создание "банка компенсируемого рабочего времени" в соответствии с вышеупомянутым Законом 9601.  Эта система, предусматривающая выплату компенсации за сверхурочную работу, позволяет компаниям обеспечивать увязку графика труда своих наемных работников с изменением интенсивности производственного цикла без применения режима специальных выплат за сверхурочный труд.  Сверхурочный труд компенсируется за счет предоставления дополнительных выходных дней в периоды снижения спроса на производимую продукцию.  Вышеуказанный Закон определяют следующие условия функционирования "банка компенсируемого рабочего времени":  предоставление компенсации в течение года и до истечения трудового контракта;  наличие предварительного разрешения в форме оговорки в коллективном соглашении или договоре;  соблюдение требования о 10-часовой максимальной продолжительности рабочего дня (не более двух часов сверхурочного труда в день);</w:t>
      </w:r>
    </w:p>
    <w:p w:rsidR="00000000" w:rsidRDefault="00000000"/>
    <w:p w:rsidR="00000000" w:rsidRDefault="00000000">
      <w:r>
        <w:tab/>
      </w:r>
      <w:r>
        <w:rPr>
          <w:lang w:val="en-US"/>
        </w:rPr>
        <w:t>f</w:t>
      </w:r>
      <w:r>
        <w:t>)</w:t>
      </w:r>
      <w:r>
        <w:tab/>
        <w:t>временное постановление 1952-19 от 6 января 2000 года о системе трудоустройства по неполной ставке с целью найма работников для трудовой деятельности, не превышающей 24 часа в неделю.  Эти правовые нормы обеспечивают защиту прав всех трудящихся, включая право на соответствие размера заработной платы продолжительности рабочего дня и заработной плате нанятых на полную ставку работников, выполняющих те же самые обязанности.  Такая система способствует укреплению механизма переговоров о заключении коллективного договора, поскольку ее применение требует наличия предварительного согласия наемных работников соответствующего предприятия.  Кроме того, эта система предусматривает обязательно отражение новых стандартов в коллективном соглашении или договоре.  Такая мера выгодна как работодателям, которые получают возможность экономить на фонде заработной платы, так и наемным работникам, которые зачастую вынуждены увязывать приносящую доход деятельность с другими обязанностями;  речь идет, в частность, о студентах или родителях с маленькими детьми;</w:t>
      </w:r>
    </w:p>
    <w:p w:rsidR="00000000" w:rsidRDefault="00000000"/>
    <w:p w:rsidR="00000000" w:rsidRDefault="00000000">
      <w:r>
        <w:tab/>
      </w:r>
      <w:r>
        <w:rPr>
          <w:lang w:val="en-US"/>
        </w:rPr>
        <w:t>g</w:t>
      </w:r>
      <w:r>
        <w:t>)</w:t>
      </w:r>
      <w:r>
        <w:tab/>
        <w:t>временное постановление 1952-19 от 6 января 2000 года о приостановке трудовых контрактов в связи с профессионально-техническим обучением.  Этот нормативный акт предусматривает альтернативу увольнению наемных работников и возможность их возвращения на рабочее место через предоставление компании права приостанавливать действие трудовых контрактов на период от двух до пяти месяцев для целей прохождения соответствующим наемным работником курсов технической подготовки.  В течение периода обучения такой работник получает стипендию, размеры которой примерно соответствуют размерам пособия по безработице.  Такой механизм может использоваться только с предварительного согласия наемного работника при условии наличия соответствующей оговорки в коллективном соглашении или договоре.  Соответствующие договоренности могут предусматривать возможность повышения выплачиваемой работодателями стипендии и увеличения срока временной приостановки трудового контракта, в течение которого работодатель выплачивает пособие или стипендию;</w:t>
      </w:r>
    </w:p>
    <w:p w:rsidR="00000000" w:rsidRDefault="00000000"/>
    <w:p w:rsidR="00000000" w:rsidRDefault="00000000">
      <w:r>
        <w:tab/>
      </w:r>
      <w:r>
        <w:rPr>
          <w:lang w:val="en-US"/>
        </w:rPr>
        <w:t>h</w:t>
      </w:r>
      <w:r>
        <w:t>)</w:t>
      </w:r>
      <w:r>
        <w:tab/>
        <w:t>более широкое использование возможностей в рамках системы специальной/ общеобразовательной подготовки.  Вышеупомянутый указ предусматривает также создание условий для более широкого использования системы ученичества на производстве.  Если в соответствии с действовавшим до сих пор законодательством учениками на производстве могли бы быть только учащиеся дневных профессионально-технических заведений (институтов, профессионально-технических училищ или специальных школ), то теперь функции таких учеников могут выполнять также учащиеся средних школ.  Прохождение учащимися специальных/общеобразовательных учреждений производственной практики не означает, что они обретают статус наемных работников.  Учащиеся специальных профессионально-технических заведений могут получать стипендии или другие предусмотренные законодательством виды денежного содержания;</w:t>
      </w:r>
    </w:p>
    <w:p w:rsidR="00000000" w:rsidRDefault="00000000"/>
    <w:p w:rsidR="00000000" w:rsidRDefault="00000000">
      <w:r>
        <w:tab/>
      </w:r>
      <w:r>
        <w:rPr>
          <w:lang w:val="en-US"/>
        </w:rPr>
        <w:t>i</w:t>
      </w:r>
      <w:r>
        <w:t>)</w:t>
      </w:r>
      <w:r>
        <w:tab/>
        <w:t>Закон 9 958 от 12 января  2000 года о создании согласительных комитетов.  Этот Закон предоставляет компаниям и профсоюзам право создавать согласительные комитеты, в состав которых входит равное число представителей управленческих структур и трудящихся, с целью урегулирования конфликтов на производстве.  В Законе отмечается, что создаваемые профсоюзом комитеты должны действовать на основании правил, оговоренных в коллективных соглашениях и договорах, и гарантировать участие в их работе представителей наемных работников.  До подачи иска в трудовой суд трудовой конфликт должен быть рассмотрен таким комитетом при том условии, что на соответствующем производстве такой комитет уже существует.  Наличие постановления об урегулировании конфликта является достаточным для целей начала его исполнения.  Никаких дополнительных судебных постановлений по существу дела в этой связи не требуется, и процесс исполнения постановления может быть начат даже в случае несоблюдения достигнутого соглашения.  Главная цель вышеописанного механизма заключается в содействии процессу самостоятельного урегулирования конфликтов, что позволяет снять с предприятий часть бремени, связанного с оплатой судебных издержек, и частично разгрузить суды по трудовым спорам, перегруженные исками по поводу нарушения тех или иных положений трудовых договоров.</w:t>
      </w:r>
    </w:p>
    <w:p w:rsidR="00000000" w:rsidRDefault="00000000"/>
    <w:p w:rsidR="00000000" w:rsidRDefault="00000000">
      <w:r>
        <w:t>98.</w:t>
      </w:r>
      <w:r>
        <w:tab/>
        <w:t>В дополнение к этим уже реализованным на практике мерам следует упомянуть о следующих двух важных инициативах в сфере трудового законодательства:</w:t>
      </w:r>
    </w:p>
    <w:p w:rsidR="00000000" w:rsidRDefault="00000000"/>
    <w:p w:rsidR="00000000" w:rsidRDefault="00000000">
      <w:r>
        <w:tab/>
        <w:t>а)</w:t>
      </w:r>
      <w:r>
        <w:tab/>
        <w:t>предложенная исполнительными структурами поправка к Конституции (ПКП 638/98) предусматривает внесение изменений в статьи 8, 111 и 114 Федеральной конституции.  Целью указанных изменений является ликвидация монополии профсоюзов на представительство в форме "единых профессиональных союзов", что способствует расширению права на создание профсоюзов, поскольку не предусматривает требования о формировании профсоюзных организаций по профессиональным категориям и экономическим группам или на территориальной основе.  Кроме того, вышеупомянутые изменения позволят покончить с предусматриваемой действующим законодательством системой обязательных профсоюзных налогов ("взносов"), которые работники обязаны выплачивать, даже если они не состоят в профсоюзе.  Предложенная поправка к Конституции предусматривает также пересмотр полномочий судов по рассмотрению трудовых споров при сохранении за ними права выполнять функции факультативного арбитражного органа при разрешении возникающих в трудовых коллективах конфликтов экономического характера и урегулировании индивидуальных и коллективных исков сугубо правового характера.  Аналогичные меры предусматриваются в предложенной конституционной поправке ПКП 346/96, которая предполагает реорганизацию судебных органов по рассмотрению трудовых споров и в настоящее время рассматривается специальными комитетами нижней палаты парламента (Палата депутатов);</w:t>
      </w:r>
    </w:p>
    <w:p w:rsidR="00000000" w:rsidRDefault="00000000"/>
    <w:p w:rsidR="00000000" w:rsidRDefault="00000000">
      <w:r>
        <w:tab/>
      </w:r>
      <w:r>
        <w:rPr>
          <w:lang w:val="en-US"/>
        </w:rPr>
        <w:t>b</w:t>
      </w:r>
      <w:r>
        <w:t>)</w:t>
      </w:r>
      <w:r>
        <w:tab/>
        <w:t>законопроект 3003/97, призванный гарантировать финансовую независимость профсоюзов после отмены обязательных профсоюзных взносов или налогов.  Этот законопроект предусматривает введение так называемого "оговоренного взноса", размеры которого будут определяться в ходе переговоров о заключении коллективных трудовых договоров.</w:t>
      </w:r>
    </w:p>
    <w:p w:rsidR="00000000" w:rsidRDefault="00000000"/>
    <w:p w:rsidR="00000000" w:rsidRDefault="00000000">
      <w:r>
        <w:t>99.</w:t>
      </w:r>
      <w:r>
        <w:tab/>
        <w:t>Изменения, касающиеся права на трудоустройство, также затрагивают механизм начисления заработной платы в частном секторе.  В соответствии с временным постановлением, принятым в развитие "Плана реальной экономической стабильности", был ликвидирован механизм индексации заработной платы.  Цель этого механизма заключалась в поддержании покупательной способности заработной платы, однако на деле его применение провоцировало галопирующую инфляцию.  То же самое постановление предусматривало определение и пересмотр размера заработной платы и других условий труда на основе соответствующих "базовых данных" по каждой профессиональной категории один раз в год в рамках свободных переговоров о заключении коллективного трудового соглашения.  В ходе таких переговоров стороны могут пользоваться услугами государственных или частных посредников, назначаемых ими совместно или по просьбе министерства труда и занятости в соответствии с процедурами, предусмотренными в правительственном указе 1 572 от июля 1995 года.  Эти нормативные акты дополняются административными постановлениями, включая, в частности, директивы 817 и 818 от 30 августа 1995 года и директиву 865 от 14 сентября 1995 года.  В этих подзаконных актах подробно рассматриваются критерии участия государственного посредника в разрешении трудовых конфликтов и процедура его регистрации компетентными органами и определяется режим контроля за оговариваемыми в коллективных соглашениях или договорах условиями труда.</w:t>
      </w:r>
    </w:p>
    <w:p w:rsidR="00000000" w:rsidRDefault="00000000"/>
    <w:p w:rsidR="00000000" w:rsidRDefault="00000000">
      <w:r>
        <w:t>100.</w:t>
      </w:r>
      <w:r>
        <w:tab/>
        <w:t>В дополнение к инициативам, направленным на внесение изменений в нормативную базу на рынке труда, бразильское правительство в последние годы осуществляет весьма интенсивную программу, предусматривающую проведение различных семинаров, учебных курсов и аналогичных мероприятий с целью поощрения дебатов по вопросу об оптимальных для современного бразильского общества системах коллективного найма.  Этот процесс сопровождался организацией учебных курсов для представителей государственной власти и представителей управленческих структур и профсоюзов;  цель предпринимаемых усилий заключалась в содействии развитию культуры переговорного процесса на производстве.  Все эти мероприятия содействовали укреплению сотрудничества между высококвалифицированными специалистами из числа сотрудников министерства труда и занятости, судебных органов по рассмотрению трудовых споров, отделения министерства государственного надзора по трудовым вопросам</w:t>
      </w:r>
      <w:r>
        <w:rPr>
          <w:rStyle w:val="FootnoteReference"/>
        </w:rPr>
        <w:footnoteReference w:customMarkFollows="1" w:id="2"/>
        <w:t>3</w:t>
      </w:r>
      <w:r>
        <w:t xml:space="preserve"> и организаций, представляющих управленческие структуры, трудящихся и гражданское общество.  В этой связи следует подчеркнуть, что в своих начинаниях правительство опирается на содействие со стороны Международной организации труда (МОТ), которая предоставляет в его распоряжение экспертов, обеспечивает его методологиями, оказывает ему консультативные услуги и финансовую помощь.</w:t>
      </w:r>
    </w:p>
    <w:p w:rsidR="00000000" w:rsidRDefault="00000000">
      <w:pPr>
        <w:pStyle w:val="FootnoteText"/>
        <w:spacing w:line="288" w:lineRule="auto"/>
      </w:pPr>
    </w:p>
    <w:p w:rsidR="00000000" w:rsidRDefault="00000000">
      <w:pPr>
        <w:pStyle w:val="FootnoteText"/>
        <w:spacing w:line="288" w:lineRule="auto"/>
      </w:pPr>
      <w:r>
        <w:t>101.</w:t>
      </w:r>
      <w:r>
        <w:tab/>
        <w:t>Автономная модель регулирования трудовых отношений за короткое время стала самым ходовым инструментом согласования конфликтующих интересов управленческих структур и трудящихся, невзирая на огромное экономическое, социальное и культурное разнообразие бразильского общества, о чем свидетельствует сосуществование различных с точки зрения зрелости типов производственных отношений.  Такое мнение подкрепляется данными, свидетельствующими о значительном увеличении подписанных за последние годы коллективных соглашений и договоров.  Кроме того, в министерстве труда и занятости функционирует общенациональная Система статистических данных по коллективным договорам (ССДКД), данные которой свидетельствуют о том, что в 1997 году было зарегистрировано 9 826 коллективных договоров, в 1998 году - уже 15 456, а в 1999 - 16 713.  Данные ССДКД свидетельствуют также о том, что за эти же периоды региональные трудовые бюро применяли соответственно 8 258, 10 213 и 9 700 раз процедуры государственного посредничества для целей урегулирования конфликтов, связанных с трудовыми договорами.</w:t>
      </w:r>
    </w:p>
    <w:p w:rsidR="00000000" w:rsidRDefault="00000000">
      <w:pPr>
        <w:pStyle w:val="FootnoteText"/>
        <w:spacing w:line="288" w:lineRule="auto"/>
      </w:pPr>
    </w:p>
    <w:p w:rsidR="00000000" w:rsidRDefault="00000000">
      <w:pPr>
        <w:pStyle w:val="FootnoteText"/>
        <w:spacing w:line="288" w:lineRule="auto"/>
      </w:pPr>
      <w:r>
        <w:t>102.</w:t>
      </w:r>
      <w:r>
        <w:tab/>
        <w:t>Беглый анализ содержания этих инструментов коллективного характера однозначно свидетельствует о существенной диверсификации повестки дня в рамках переговорных процессов, о чем свидетельствует все более широкое отражение в них клаузул, посвященных современным проблемам.  Речь идет, в частности, о схемах сохранения рабочих мест, участии в прибыли и доходах, производительности труда, профессионально-технической подготовке и гибком режиме труда.  Содержание повестки дня в рамках переговорного процесса, направленного на заключение коллективных трудовых договоров, которая в прошлом ограничивалась корректировкой заработной платы и системы льгот, однозначно свидетельствует о растущей зрелости участников таких переговоров и о все большей согласованности их действий с целью решения современных проблем на производстве.</w:t>
      </w:r>
    </w:p>
    <w:p w:rsidR="00000000" w:rsidRDefault="00000000">
      <w:pPr>
        <w:pStyle w:val="FootnoteText"/>
        <w:spacing w:line="288" w:lineRule="auto"/>
      </w:pPr>
    </w:p>
    <w:p w:rsidR="00000000" w:rsidRDefault="00000000">
      <w:pPr>
        <w:pStyle w:val="FootnoteText"/>
        <w:spacing w:line="288" w:lineRule="auto"/>
      </w:pPr>
      <w:r>
        <w:t>103.</w:t>
      </w:r>
      <w:r>
        <w:tab/>
        <w:t>Бразильское правительство хотело бы отметить, что нормы национального законодательства не предусматривают каких-либо различий, исключений, ограничений или предпочтений для лиц или групп лиц по признаку расы, цвета кожи, пола, религии, политических убеждений, национального или социального происхождения, имеющие целью или следствием уничтожение или умаление признания, использования или осуществления принципа равенства возможностей или обращения в сфере занятости или профессиональной деятельности.  Закрепленный в законодательстве принцип полного равноправия подкрепляется тем фактом, что Бразилия признала перед международным сообществом наличие в стране проблемы дискриминации в сфере занятости и профессиональной деятельности.  В 1995 году в ходе восемьдесят второй Международной конференции труда МОТ правительство на одном из заседаний Комитета по обеспечению соблюдения стандартов отметило, что оно сталкивается с проблемой дискриминации, и просило в этой связи технического содействия со стороны МОТ в целях оказания Бразилии помощи в деле обеспечения соблюдения положений Конвенции № 111 как в законодательной сфере, так и на практике.  В 1999 году Бразилия представила Международной организации труда свой последний доклад.  На последнем заседании Комитета по обеспечению соблюдения стандартов в рамках Международной конференции труда Бразилии было предложено поделиться опытом в этой области и рассказать о предпринимаемых бразильским правительством усилиях по борьбе с любыми формами дискриминации в области занятости и профессиональной деятельности и осуществлении вышеупомянутой Конвенции.</w:t>
      </w:r>
    </w:p>
    <w:p w:rsidR="00000000" w:rsidRDefault="00000000">
      <w:pPr>
        <w:pStyle w:val="FootnoteText"/>
        <w:spacing w:line="288" w:lineRule="auto"/>
      </w:pPr>
    </w:p>
    <w:p w:rsidR="00000000" w:rsidRDefault="00000000">
      <w:pPr>
        <w:pStyle w:val="FootnoteText"/>
        <w:spacing w:line="288" w:lineRule="auto"/>
      </w:pPr>
      <w:r>
        <w:t>104.</w:t>
      </w:r>
      <w:r>
        <w:tab/>
        <w:t>На сегодняшний день правительству удалось распространить значительный объем информации по этим вопросам;  часть этой информации воспроизводится в настоящем докладе.  В октябре 1995 года состоялся Национальный трехсторонний семинар, заложивший основы стратегии по искоренению дискриминации в Бразилии.  В ходе этого Национального трехстороннего семинара предпринимались усилия по привлечению организаций, представляющих управленческие структуры и трудящихся, к дискуссии по этой проблеме с целью принятия практических мер по ее решению.  Результатом работы этого семинара стало создание двух рабочих групп.  Первая рабочая группа получила сокращенное название ГТЕДЕО (Рабочая группа по искоренению дискриминации в области занятости), а вторая, созданная под эгидой министерства труда - МТГ (Межведомственная техническая группа).  С целью реализации принятых на семинаре решений в 1999 году при содействии МОТ было начато осуществление программы "Бразилия:  пол и раса".  В эту программу изначально закладывался принцип трехстороннего участия.  Следует также отметить, что к числу ее целей относится пропаганда принципов, закрепленных в Конвенции.</w:t>
      </w:r>
    </w:p>
    <w:p w:rsidR="00000000" w:rsidRDefault="00000000">
      <w:pPr>
        <w:pStyle w:val="FootnoteText"/>
        <w:spacing w:line="288" w:lineRule="auto"/>
      </w:pPr>
    </w:p>
    <w:p w:rsidR="00000000" w:rsidRDefault="00000000">
      <w:pPr>
        <w:pStyle w:val="FootnoteText"/>
        <w:spacing w:line="288" w:lineRule="auto"/>
      </w:pPr>
      <w:r>
        <w:t>105.</w:t>
      </w:r>
      <w:r>
        <w:tab/>
        <w:t>Правительство предпринимает решительные усилия, направленные на как можно более широкое распространение Конвенции МОТ.  Свидетельством роста осведомленности соответствующих социальных групп об этой проблеме может служить тот факт, что общественное движение "Стон земли/Бразилия" ("</w:t>
      </w:r>
      <w:r>
        <w:rPr>
          <w:lang w:val="en-US"/>
        </w:rPr>
        <w:t>Grito</w:t>
      </w:r>
      <w:r>
        <w:t xml:space="preserve"> </w:t>
      </w:r>
      <w:r>
        <w:rPr>
          <w:lang w:val="en-US"/>
        </w:rPr>
        <w:t>d</w:t>
      </w:r>
      <w:r>
        <w:t xml:space="preserve">а </w:t>
      </w:r>
      <w:r>
        <w:rPr>
          <w:lang w:val="en-US"/>
        </w:rPr>
        <w:t>Terra</w:t>
      </w:r>
      <w:r>
        <w:t>/</w:t>
      </w:r>
      <w:r>
        <w:rPr>
          <w:lang w:val="en-US"/>
        </w:rPr>
        <w:t>Brasil</w:t>
      </w:r>
      <w:r>
        <w:t>") включило в список требований Национальной конфедерации сельскохозяйственных работников (КОНТАГ) вопрос о соблюдении этой Конвенции.  Масштабный характер усилий по пропаганде Конвенции позволяет доводить соответствующую информацию до жителей сельских районов.</w:t>
      </w:r>
    </w:p>
    <w:p w:rsidR="00000000" w:rsidRDefault="00000000">
      <w:pPr>
        <w:pStyle w:val="FootnoteText"/>
        <w:spacing w:line="288" w:lineRule="auto"/>
      </w:pPr>
    </w:p>
    <w:p w:rsidR="00000000" w:rsidRDefault="00000000">
      <w:pPr>
        <w:pStyle w:val="FootnoteText"/>
        <w:spacing w:line="288" w:lineRule="auto"/>
      </w:pPr>
      <w:r>
        <w:t>106.</w:t>
      </w:r>
      <w:r>
        <w:tab/>
        <w:t>Вместе с тем правительство признает, как оно уже это делало в присутствии представителей МОТ, что на рабочих местах все еще возникает множество проблемных ситуаций, связанных с дискриминацией, при том, что социальная, экономическая и культурная дискриминация предполагает нарушение тех или иных основополагающих прав человека из числа закрепленных в Международном пакте.  К числу наиболее серьезных проблем относятся, в частности, сложности с подтверждением факта дискриминации.  В этой связи необходимо проводить более активную работу по распространению информации о правах наемных работников и обязанностях работодателей.  В 1998 году в рамках активизации деятельности по укреплению антидискриминационных стандартов правительство приступило к созданию "Групп содействия равным возможностям и борьбе с дискриминацией в сфере занятости и на рабочем месте".  Такие группы были созданы в 16 из 27 районных бюро по трудоустройству, при этом в каждом из остальных бюро предполагается создать по меньшей мере по одной такой группе.</w:t>
      </w:r>
    </w:p>
    <w:p w:rsidR="00000000" w:rsidRDefault="00000000">
      <w:pPr>
        <w:pStyle w:val="FootnoteText"/>
        <w:spacing w:line="288" w:lineRule="auto"/>
      </w:pPr>
    </w:p>
    <w:p w:rsidR="00000000" w:rsidRDefault="00000000">
      <w:pPr>
        <w:pStyle w:val="FootnoteText"/>
        <w:spacing w:line="288" w:lineRule="auto"/>
      </w:pPr>
      <w:r>
        <w:t>107.</w:t>
      </w:r>
      <w:r>
        <w:tab/>
        <w:t>Эти группы правомочны получать заявления, затрагивающие любые формы дискриминации по смыслу положений Конвенции МОТ.  По получении жалобы трудовые инспекторы рассматривают факты и обстоятельства дела и предпринимают усилия с целью его урегулирования путем примирения.  Если урегулировать дело не удается, оно передается в министерство государственного надзора с целью принятия этим органом надлежащих правовых мер.  Из представленной за период с января по март 2000 года информации следует, что пять таких групп получили 80 жалоб о дискриминации, 80% которых было урегулировано путем примирения.  Эти жалобы касались дискриминации по признаку пола (42%), производственного травматизма и профессиональных заболеваний (29%), здоровья (12%), возраста (5%), инвалидности (4%), расы и цвета кожи (1%) и других обстоятельств (3%).  Главными жертвами дискриминации являются чернокожие женщины.  Из 522 жалоб, представленных ВИЧ-инфицированными лицами, было урегулировано 513.</w:t>
      </w:r>
    </w:p>
    <w:p w:rsidR="00000000" w:rsidRDefault="00000000"/>
    <w:p w:rsidR="00000000" w:rsidRDefault="00000000">
      <w:r>
        <w:t>108.</w:t>
      </w:r>
      <w:r>
        <w:tab/>
        <w:t>Представляется важным отметить, что группы, действующие в составе районных бюро, занимаются в настоящее время созданием баз данных, содержащих сведения, касающиеся дискриминации, жалоб или заявлений, соответствующих инцидентов, количества рассмотренных дел и методов их урегулирования.  Кроме того, вопросы дискриминации по признаку расы и цвета кожи включаются в формат статистических регистрационных механизмов, используемых в министерстве труда, включая, в частности, Общий реестр наемных работников и безработных (КАДЖЕД) и Ежегодный отчет об информации социального характера (РАИС).</w:t>
      </w:r>
    </w:p>
    <w:p w:rsidR="00000000" w:rsidRDefault="00000000"/>
    <w:p w:rsidR="00000000" w:rsidRDefault="00000000">
      <w:r>
        <w:t>109.</w:t>
      </w:r>
      <w:r>
        <w:tab/>
        <w:t>Комитет по обеспечению соблюдения стандартов, функционирующий в рамках Международной конференции труда, сформулировал следующее заключение:</w:t>
      </w:r>
    </w:p>
    <w:p w:rsidR="00000000" w:rsidRDefault="00000000"/>
    <w:p w:rsidR="00000000" w:rsidRDefault="00000000">
      <w:pPr>
        <w:pStyle w:val="BodyTextIndent"/>
        <w:ind w:left="567" w:hanging="567"/>
        <w:rPr>
          <w:b w:val="0"/>
          <w:bCs w:val="0"/>
        </w:rPr>
      </w:pPr>
      <w:r>
        <w:rPr>
          <w:b w:val="0"/>
          <w:bCs w:val="0"/>
        </w:rPr>
        <w:tab/>
      </w:r>
      <w:r>
        <w:rPr>
          <w:b w:val="0"/>
          <w:bCs w:val="0"/>
        </w:rPr>
        <w:tab/>
        <w:t>"Комитет благодарит правительство за представление подробной устной информации и с удовлетворением принимает к сведению результаты развернувшейся вслед за этим дискуссии.  Он вновь обращает внимание на наиболее серьезные нарушения Конвенции, отмеченные ранее Комитетом экспертов и Комитетом Конференции по стандартам, и на прогресс, достигнутый в деле преодоления трудностей при содействии сотрудников соответствующих органов, что было также отмечено Комитетом экспертов.  Кроме того, он с особым удовлетворением обращает внимание на огромное множество осуществляемых правительством программ и мероприятий с целью укрепления прав человека в Бразилии, включая, в частности, право на равенство в соответствии с закрепленными в Конвенции принципами, не скрывая при этом того обстоятельства, что некоторые проблемы пока еще не решены.  Комитет просит правительство представить ему подробную информацию о конкретных и реальных результатах, достигнутых в ходе осуществления вышеупомянутых мероприятий, включая, в частности, доклады, исследования и статистические данные, а также другие показатели, касающиеся, среди прочего, динамики участия женщин и представителей расовых меньшинств, этнических групп и коренных народов в экономической деятельности.  Комитет призывает правительство оценить достигнутый прогресс и представить ему подробную информацию по этим многообразным аспектам в своем следующем докладе для Комитета экспертов".</w:t>
      </w:r>
    </w:p>
    <w:p w:rsidR="00000000" w:rsidRDefault="00000000">
      <w:pPr>
        <w:pStyle w:val="BodyTextIndent"/>
      </w:pPr>
    </w:p>
    <w:p w:rsidR="00000000" w:rsidRDefault="00000000">
      <w:r>
        <w:t>110.</w:t>
      </w:r>
      <w:r>
        <w:tab/>
        <w:t>Стремясь обеспечить Комитет по экономическим, социальным и культурным правам максимально развернутой информацией, бразильское правительство хотело бы также обратить внимание на ряд дополнительных аспектов Программы ПЛАНФОР, которые, по его мнению, также имеют крайне важное значение.  Один из этих аспектов заключается в том, что ПЛАНФОР опирается в своей работе на руководящие принципы Национального плана по правам человека, предусмотренные в Конвенции № 111, а также на предложения МТГ, ГТЕДЕО и РГИ (Рабочая группа по информатике).  Предложение, касающееся профессионально-технического обучения, объектом которого является экономически самодеятельная часть населения страны, носит весьма широкий характер.  Оно полностью охватывает весь спектр представителей этой группы населения и призвано обеспечить его гарантированный доступ к системе профессионально-технической подготовки без какой-либо дискриминации или предварительного отбора по любым другим признакам, включая, в частности, возраст, пол, расу/цвет кожи, продолжительность школьного образования и инвалидность при одновременном уделении приоритетного внимания наиболее уязвимым и обездоленным группам населения (этот руководящий принцип был включен в резолюцию 194/98 ССФПТ).</w:t>
      </w:r>
    </w:p>
    <w:p w:rsidR="00000000" w:rsidRDefault="00000000"/>
    <w:p w:rsidR="00000000" w:rsidRDefault="00000000">
      <w:r>
        <w:t>111.</w:t>
      </w:r>
      <w:r>
        <w:tab/>
        <w:t>В целях учета гендерного аспекта проводилась обширная работа по продвижению концептуальных идей и осуществлению практических мероприятий в координации с другими структурами через обсуждение и совершенствование содержания предложений, а также учебную и пропагандистскую деятельность, направленную на повышение уровня осведомленности сотрудников трудовых секретариатов и других участников процесса на уровне реализации практических мер.  В этой связи представляется важным упомянуть о следующих видах деятельности:  поддержка и консультативное обслуживание форумов и советов по делам женщин в штатах и муниципиях в целях продвижения их представителей в трудовые комитеты штатов и муниципий, организация или финансовая поддержка семинаров, конгрессов и рабочих совещаний правительственных и неправительственных организаций, занимающихся женской проблематикой, и содействие изданию и/или распространению текстов аналитического характера.  Весь этот комплекс мер позволил достичь определенного прогресса в деле решения проблемы учета гендерных аспектов в государственных стратегиях и способствовал обеспечению широкого участия женщин в программах ПЛАНФОР при одновременном повышении качества процесса учета гендерных аспектов в системе профессионально-технической подготовки.</w:t>
      </w:r>
    </w:p>
    <w:p w:rsidR="00000000" w:rsidRDefault="00000000"/>
    <w:p w:rsidR="00000000" w:rsidRDefault="00000000">
      <w:r>
        <w:t>112.</w:t>
      </w:r>
      <w:r>
        <w:tab/>
        <w:t>Все эти мероприятия по линии учета гендерной перспективы дали весьма позитивные результаты.  В количественных показателях налицо рост участия женщин в ПЛАНФОР - с 41% в 1996 году до 49% в 1999 году.  Это означает, что из 8,3 млн. человек, подготовленных за период 1995-1999 годов, 48% приходится на женщин (примерно 4 млн. человек).</w:t>
      </w:r>
    </w:p>
    <w:p w:rsidR="00000000" w:rsidRDefault="00000000"/>
    <w:p w:rsidR="00000000" w:rsidRDefault="00000000">
      <w:r>
        <w:t>113.</w:t>
      </w:r>
      <w:r>
        <w:tab/>
        <w:t>С другой стороны, представители чернокожей общины по</w:t>
      </w:r>
      <w:r>
        <w:noBreakHyphen/>
        <w:t>прежнему сталкиваются с крайне серьезными проблемами на рынке труда, к числу которых относятся, в частности, неквалифицированный труд, низкая заработная плата, сложности с продвижением по службе.  Эти трудности усугубляются при совокупном воздействии таких факторов, как пол и раса или цвет кожи.  Ситуация еще более обостряется, когда речь идет о представителях малоимущих групп населения или лицах с большими пробелами в общем образовании.</w:t>
      </w:r>
    </w:p>
    <w:p w:rsidR="00000000" w:rsidRDefault="00000000"/>
    <w:p w:rsidR="00000000" w:rsidRDefault="00000000">
      <w:r>
        <w:t>114.</w:t>
      </w:r>
      <w:r>
        <w:tab/>
        <w:t>Правительство посчитало, что в такой ситуации будет разумным начать процесс переговоров и дебатов с представителями организованных сегментов общины чернокожего населения на предмет получения их согласия на включение информации о расе/цвете кожи в статистические данные по системе профессионально-технического обучения с целью подготовки материалов, обеспечивающих проведение более точного анализа и соответственно осуществление более оптимальных стратегий с учетом реальных потребностей в этой области.  Теперь ПЛАНФОР имеет возможность получать полную информацию о расе и цвете кожи населения, охватываемого программами профессионально-технической подготовки.  По сути ПЛАНФОР можно назвать единственной в Латинской Америке широкомасштабной программой в сфере государственного образования, в рамках которой функционируют статистические механизмы, позволяющие учитывать вышеупомянутые факторы.</w:t>
      </w:r>
    </w:p>
    <w:p w:rsidR="00000000" w:rsidRDefault="00000000"/>
    <w:p w:rsidR="00000000" w:rsidRDefault="00000000">
      <w:r>
        <w:t>115.</w:t>
      </w:r>
      <w:r>
        <w:tab/>
        <w:t>Благодаря этим мерам по совершенствованию регистрационных систем были получены данные, свидетельствующие о том, что средний уровень участия чернокожего населения и населения со смешанной кровью в программах профессионально-технической подготовке в период 1995-1999 годов составлял 45% (примерно 3,7 млн. человек) от общего числа лиц, прошедших за этот период курсы профессионально-технической подготовки (в принципе такая доля соответствует доле представителей этих расовых групп в составе экономически активного населения).  В дополнение к мероприятиям по отражению в системе статистического учета расы и цвета кожи на местном уровне был разработан и осуществлен целый ряд проектов и программ при участии афробразильских трудящихся и в их интересах с целью прохождения ими профессиональной подготовки в тандеме с программами по сохранению их культуры и обеспечения уделения этим группам приоритетного внимания.</w:t>
      </w:r>
    </w:p>
    <w:p w:rsidR="00000000" w:rsidRDefault="00000000"/>
    <w:p w:rsidR="00000000" w:rsidRDefault="00000000">
      <w:r>
        <w:t>116.</w:t>
      </w:r>
      <w:r>
        <w:tab/>
        <w:t>В рамках дополнительных усилий, обеспечивающих эффективную интеграцию представителей общин чернокожего населения на рынке труда, министерство юстиции и министерство труда и занятости подписали 13 мая 1998 года "Протокол о мерах по поощрению расового и этнического равенства на производстве".  Данный протокол позволяет закрепить успехи, достигнутые в деле решения этих проблем, и определяет формат стратегии в области профессионально-технической подготовки, занятости и доходов применительно к работающим бразильцам африканского происхождения.</w:t>
      </w:r>
    </w:p>
    <w:p w:rsidR="00000000" w:rsidRDefault="00000000"/>
    <w:p w:rsidR="00000000" w:rsidRDefault="00000000">
      <w:r>
        <w:t>117.</w:t>
      </w:r>
      <w:r>
        <w:tab/>
        <w:t>Еще одно направление деятельности, требующее внимания со стороны правительства и также нашедшее отражение в ПЛАНФОР, касается инвалидов.  В 1996 году была разработана Национальная программа в интересах инвалидов (МТ/СЕФОР, 1997 год).  Этот механизм предусматривает осуществление согласованных и целенаправленных мероприятий (аналитического и практического характера) и участие в работе соответствующих групп целого ряда специалистов и организаций.</w:t>
      </w:r>
    </w:p>
    <w:p w:rsidR="00000000" w:rsidRDefault="00000000"/>
    <w:p w:rsidR="00000000" w:rsidRDefault="00000000">
      <w:r>
        <w:t>118.</w:t>
      </w:r>
      <w:r>
        <w:tab/>
        <w:t>В 1998 году, после введения в действие руководящих принципов и практики в интересах инвалидов, ПЛАНФОР приступил к частичному пересмотру своих важнейших концепций и методологий, лежащих в основе его деятельности, посчитав целесообразным, вместо того чтобы разрабатывать специальную программу помощи инвалидам, предоставить им гораздо более важное, как представляется, право на приоритетный доступ к программам профессионально-технической подготовки.  Согласно последним данным, в 1999 году, т.е. после введения в действие руководящих принципов и новой системы статистического учета, профессионально-техническую подготовку прошли 159 000 инвалидов (6% от общего числа лиц, охваченных ПЛАНФОР).  Эта цифра приблизительно соответствует доле инвалидов в составе экономически самодеятельного населения.</w:t>
      </w:r>
    </w:p>
    <w:p w:rsidR="00000000" w:rsidRDefault="00000000"/>
    <w:p w:rsidR="00000000" w:rsidRDefault="00000000">
      <w:r>
        <w:t>119.</w:t>
      </w:r>
      <w:r>
        <w:tab/>
        <w:t>Более тщательный анализ предпринимаемых правительством усилий по поощрению права инвалидов на труд свидетельствует о том, что, как и в случае статистического учета факторов пола или расы/цвета кожи, был реализован целый ряд новаторских и экспериментальных мер, включая программы целенаправленного действия.  Кроме того, ПЛАНФОР уделял значительное внимание осуществлению более широких программ, которые также содействуют расширению участия инвалидов в проектах, направленных на повышение их образовательного уровня.  Одним из примеров является программа заочного обучения "Телекурсо-2000", предусматривающая, в частности, дополнительное и профессионально-техническое обучение лиц с дефектами слуха на базе используемого глухонемыми языка жестов.  Широкий обзор деятельности ПЛАНФОР за период 1995</w:t>
      </w:r>
      <w:r>
        <w:noBreakHyphen/>
        <w:t>1998 годов наряду с реалистичными прогнозами на период до 2002 года свидетельствует о том, что бразильское правительство полагает возможным осуществление в будущем даже более эффективных по сравнению с предыдущим периодом мер по совершенствованию программ, направленных на удовлетворение потребностей различных групп в рамках категории экономически активного населения.  Достижение желаемых результатов потребует колоссальных усилий.  Вместе с тем уже сейчас можно говорить о несомненных успехах, включая, в частности, обеспечение более широкого доступа к системе профессионально-технической подготовки женщин, молодежи, трудящихся неформального сектора, сельских жителей и цветного населения, поскольку сложившаяся традиционная система институциональных отношений не обеспечивала надлежащее удовлетворение особых потребностей представителей всех этих групп.</w:t>
      </w:r>
    </w:p>
    <w:p w:rsidR="00000000" w:rsidRDefault="00000000"/>
    <w:p w:rsidR="00000000" w:rsidRDefault="00000000">
      <w:r>
        <w:t>120.</w:t>
      </w:r>
      <w:r>
        <w:tab/>
        <w:t>Представляется важным проводить различие между спросом на работников определенной квалификации, обусловленным состоянием трудового рынка, и практикой дискриминации.  Бразилия с удовлетворением отмечает рост интереса к этой проблеме со стороны Комитета по экономическим, социальным и культурным правам.</w:t>
      </w:r>
    </w:p>
    <w:p w:rsidR="00000000" w:rsidRDefault="00000000"/>
    <w:p w:rsidR="00000000" w:rsidRDefault="00000000">
      <w:r>
        <w:t>121.</w:t>
      </w:r>
      <w:r>
        <w:tab/>
        <w:t>В Конституции Бразилии содержится глава о социальных правах, в которой предусматривается особая защита права женщин на трудовую деятельность через принятие конкретных законодательных инициатив, включая запрет на проведение различий в заработной плате, в обязанностях и различий при приеме на работу по признаку пола, возраста, цвета кожи или социального положения, запрещение какой бы то ни было дискриминации работников-инвалидов в отношении заработной платы и при трудоустройстве, а также запрет на проведение различий между ручным, техническим и интеллектуальным трудом или между работниками в этих соответствующих областях.  Вышеупомянутые положения позволили Бразилии установить минимальный уровень гарантий, применение которых регулируется специальным законодательством, с целью защиты физической и психической неприкосновенности трудящихся.</w:t>
      </w:r>
    </w:p>
    <w:p w:rsidR="00000000" w:rsidRDefault="00000000"/>
    <w:p w:rsidR="00000000" w:rsidRDefault="00000000">
      <w:r>
        <w:t>122.</w:t>
      </w:r>
      <w:r>
        <w:tab/>
        <w:t>Бразильское законодательство категорически запрещает проведение каких-либо различий, исключений, ограничений или предпочтений, основанных на вышеуказанных признаках.  Не допускается применение каких-либо изъятий из законов о дискриминации на основе критериев, применимых к конкретному виду профессиональной деятельности.  Органы трудовой инспекции обеспечивают постоянное наблюдение за соблюдением требований при трудоустройстве и критериев, касающихся конкретных видов трудовой деятельности, в целях обеспечения того, чтобы такие предварительные условия не носили дискриминационного характера.</w:t>
      </w:r>
    </w:p>
    <w:p w:rsidR="00000000" w:rsidRDefault="00000000"/>
    <w:p w:rsidR="00000000" w:rsidRDefault="00000000">
      <w:r>
        <w:t>123.</w:t>
      </w:r>
      <w:r>
        <w:tab/>
        <w:t>Что касается работы по совместительству, то данные, содержащиеся в обзоре ОВОДХ/БИГС (Общенациональное выборочное обследование домашних хозяйств) за 1999 год, свидетельствуют о том, что в Бразилии примерно 3,3 млн. человек (4,7% от общей численности занятых) совмещают различные виды трудовой деятельности.  В абсолютных цифрах за период 1995-1999 годов не произошло никаких существенных изменений в численности данной категории трудящихся:  было отмечено лишь незначительное ее увеличение.  Данные, приводимые в таблице 19, свидетельствуют о том, что в течение того же четырехлетнего периода прирост лиц, работающих по совместительству, несколько отставал от аналогичного показателя для всего занятого населения, что повлекло за собой небольшое совокупное сокращение его доли.</w:t>
      </w:r>
    </w:p>
    <w:p w:rsidR="00000000" w:rsidRDefault="00000000"/>
    <w:p w:rsidR="00000000" w:rsidRDefault="00000000">
      <w:pPr>
        <w:pStyle w:val="10"/>
        <w:tabs>
          <w:tab w:val="clear" w:pos="1701"/>
        </w:tabs>
        <w:ind w:left="1683" w:hanging="1683"/>
        <w:rPr>
          <w:bCs/>
        </w:rPr>
      </w:pPr>
      <w:r>
        <w:rPr>
          <w:bCs/>
        </w:rPr>
        <w:br w:type="page"/>
        <w:t>Таблица 19.    Данные о численности занятых лиц в разбивке по количеству</w:t>
      </w:r>
    </w:p>
    <w:p w:rsidR="00000000" w:rsidRDefault="00000000">
      <w:pPr>
        <w:pStyle w:val="10"/>
        <w:tabs>
          <w:tab w:val="clear" w:pos="1701"/>
        </w:tabs>
        <w:ind w:left="1683" w:hanging="1683"/>
        <w:rPr>
          <w:bCs/>
        </w:rPr>
      </w:pPr>
      <w:r>
        <w:rPr>
          <w:bCs/>
        </w:rPr>
        <w:t>видов выполняемой трудовой деятельности</w:t>
      </w:r>
    </w:p>
    <w:p w:rsidR="00000000" w:rsidRDefault="00000000">
      <w:pPr>
        <w:pStyle w:val="10"/>
        <w:tabs>
          <w:tab w:val="clear" w:pos="1701"/>
        </w:tabs>
        <w:ind w:left="1683" w:hanging="1683"/>
        <w:rPr>
          <w:bCs/>
        </w:rPr>
      </w:pPr>
      <w:r>
        <w:rPr>
          <w:bCs/>
        </w:rPr>
        <w:t>в течение взятой за базу недели</w:t>
      </w:r>
    </w:p>
    <w:p w:rsidR="00000000" w:rsidRDefault="00000000">
      <w:pPr>
        <w:pStyle w:val="10"/>
        <w:tabs>
          <w:tab w:val="clear" w:pos="1701"/>
        </w:tabs>
        <w:ind w:left="1683" w:hanging="1683"/>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2" w:type="dxa"/>
          </w:tcPr>
          <w:p w:rsidR="00000000" w:rsidRDefault="00000000">
            <w:pPr>
              <w:spacing w:line="240" w:lineRule="auto"/>
              <w:jc w:val="center"/>
            </w:pPr>
            <w:r>
              <w:t>Количество видов трудовой деятельности в течение недели</w:t>
            </w:r>
          </w:p>
        </w:tc>
        <w:tc>
          <w:tcPr>
            <w:tcW w:w="2393" w:type="dxa"/>
            <w:vAlign w:val="center"/>
          </w:tcPr>
          <w:p w:rsidR="00000000" w:rsidRDefault="00000000">
            <w:pPr>
              <w:pStyle w:val="16"/>
              <w:spacing w:line="240" w:lineRule="auto"/>
            </w:pPr>
            <w:r>
              <w:t>Занятые лица</w:t>
            </w:r>
          </w:p>
          <w:p w:rsidR="00000000" w:rsidRDefault="00000000">
            <w:pPr>
              <w:pStyle w:val="16"/>
              <w:spacing w:line="240" w:lineRule="auto"/>
            </w:pPr>
            <w:r>
              <w:t>1995 год</w:t>
            </w:r>
          </w:p>
        </w:tc>
        <w:tc>
          <w:tcPr>
            <w:tcW w:w="2393" w:type="dxa"/>
            <w:vAlign w:val="center"/>
          </w:tcPr>
          <w:p w:rsidR="00000000" w:rsidRDefault="00000000">
            <w:pPr>
              <w:pStyle w:val="16"/>
              <w:spacing w:line="240" w:lineRule="auto"/>
            </w:pPr>
            <w:r>
              <w:t>Занятые лица</w:t>
            </w:r>
          </w:p>
          <w:p w:rsidR="00000000" w:rsidRDefault="00000000">
            <w:pPr>
              <w:pStyle w:val="16"/>
              <w:spacing w:line="240" w:lineRule="auto"/>
            </w:pPr>
            <w:r>
              <w:t>1999 год</w:t>
            </w:r>
          </w:p>
        </w:tc>
        <w:tc>
          <w:tcPr>
            <w:tcW w:w="2393" w:type="dxa"/>
            <w:vAlign w:val="center"/>
          </w:tcPr>
          <w:p w:rsidR="00000000" w:rsidRDefault="00000000">
            <w:pPr>
              <w:pStyle w:val="16"/>
              <w:spacing w:line="240" w:lineRule="auto"/>
            </w:pPr>
            <w:r>
              <w:t>Изменение в процентах</w:t>
            </w:r>
          </w:p>
        </w:tc>
      </w:tr>
      <w:tr w:rsidR="00000000">
        <w:tblPrEx>
          <w:tblCellMar>
            <w:top w:w="0" w:type="dxa"/>
            <w:bottom w:w="0" w:type="dxa"/>
          </w:tblCellMar>
        </w:tblPrEx>
        <w:tc>
          <w:tcPr>
            <w:tcW w:w="2392" w:type="dxa"/>
          </w:tcPr>
          <w:p w:rsidR="00000000" w:rsidRDefault="00000000">
            <w:pPr>
              <w:pStyle w:val="16"/>
              <w:spacing w:line="240" w:lineRule="auto"/>
            </w:pPr>
            <w:r>
              <w:t>Один вид трудовой деятельности</w:t>
            </w:r>
          </w:p>
        </w:tc>
        <w:tc>
          <w:tcPr>
            <w:tcW w:w="2393" w:type="dxa"/>
            <w:vAlign w:val="center"/>
          </w:tcPr>
          <w:p w:rsidR="00000000" w:rsidRDefault="00000000">
            <w:pPr>
              <w:spacing w:line="240" w:lineRule="auto"/>
              <w:jc w:val="center"/>
            </w:pPr>
            <w:r>
              <w:t>66</w:t>
            </w:r>
            <w:r>
              <w:rPr>
                <w:lang w:val="en-US"/>
              </w:rPr>
              <w:t> </w:t>
            </w:r>
            <w:r>
              <w:t>277</w:t>
            </w:r>
            <w:r>
              <w:rPr>
                <w:lang w:val="en-US"/>
              </w:rPr>
              <w:t> </w:t>
            </w:r>
            <w:r>
              <w:t>014</w:t>
            </w:r>
          </w:p>
        </w:tc>
        <w:tc>
          <w:tcPr>
            <w:tcW w:w="2393" w:type="dxa"/>
            <w:vAlign w:val="center"/>
          </w:tcPr>
          <w:p w:rsidR="00000000" w:rsidRDefault="00000000">
            <w:pPr>
              <w:spacing w:line="240" w:lineRule="auto"/>
              <w:jc w:val="center"/>
            </w:pPr>
            <w:r>
              <w:t>68 318</w:t>
            </w:r>
            <w:r>
              <w:rPr>
                <w:lang w:val="en-US"/>
              </w:rPr>
              <w:t> </w:t>
            </w:r>
            <w:r>
              <w:t>027</w:t>
            </w:r>
          </w:p>
        </w:tc>
        <w:tc>
          <w:tcPr>
            <w:tcW w:w="2393" w:type="dxa"/>
            <w:vAlign w:val="center"/>
          </w:tcPr>
          <w:p w:rsidR="00000000" w:rsidRDefault="00000000">
            <w:pPr>
              <w:spacing w:line="240" w:lineRule="auto"/>
              <w:jc w:val="center"/>
            </w:pPr>
            <w:r>
              <w:t>3,1%</w:t>
            </w:r>
          </w:p>
        </w:tc>
      </w:tr>
      <w:tr w:rsidR="00000000">
        <w:tblPrEx>
          <w:tblCellMar>
            <w:top w:w="0" w:type="dxa"/>
            <w:bottom w:w="0" w:type="dxa"/>
          </w:tblCellMar>
        </w:tblPrEx>
        <w:tc>
          <w:tcPr>
            <w:tcW w:w="2392" w:type="dxa"/>
          </w:tcPr>
          <w:p w:rsidR="00000000" w:rsidRDefault="00000000">
            <w:pPr>
              <w:spacing w:line="240" w:lineRule="auto"/>
              <w:jc w:val="center"/>
            </w:pPr>
            <w:r>
              <w:t>Два вида трудовой деятельности</w:t>
            </w:r>
          </w:p>
        </w:tc>
        <w:tc>
          <w:tcPr>
            <w:tcW w:w="2393" w:type="dxa"/>
            <w:vAlign w:val="center"/>
          </w:tcPr>
          <w:p w:rsidR="00000000" w:rsidRDefault="00000000">
            <w:pPr>
              <w:spacing w:line="240" w:lineRule="auto"/>
              <w:jc w:val="center"/>
            </w:pPr>
            <w:r>
              <w:t>3 119 766</w:t>
            </w:r>
          </w:p>
        </w:tc>
        <w:tc>
          <w:tcPr>
            <w:tcW w:w="2393" w:type="dxa"/>
            <w:vAlign w:val="center"/>
          </w:tcPr>
          <w:p w:rsidR="00000000" w:rsidRDefault="00000000">
            <w:pPr>
              <w:spacing w:line="240" w:lineRule="auto"/>
              <w:jc w:val="center"/>
            </w:pPr>
            <w:r>
              <w:t>3 125 455</w:t>
            </w:r>
          </w:p>
        </w:tc>
        <w:tc>
          <w:tcPr>
            <w:tcW w:w="2393" w:type="dxa"/>
            <w:vAlign w:val="center"/>
          </w:tcPr>
          <w:p w:rsidR="00000000" w:rsidRDefault="00000000">
            <w:pPr>
              <w:spacing w:line="240" w:lineRule="auto"/>
              <w:jc w:val="center"/>
            </w:pPr>
            <w:r>
              <w:t>0,2%</w:t>
            </w:r>
          </w:p>
        </w:tc>
      </w:tr>
      <w:tr w:rsidR="00000000">
        <w:tblPrEx>
          <w:tblCellMar>
            <w:top w:w="0" w:type="dxa"/>
            <w:bottom w:w="0" w:type="dxa"/>
          </w:tblCellMar>
        </w:tblPrEx>
        <w:tc>
          <w:tcPr>
            <w:tcW w:w="2392" w:type="dxa"/>
          </w:tcPr>
          <w:p w:rsidR="00000000" w:rsidRDefault="00000000">
            <w:pPr>
              <w:spacing w:line="240" w:lineRule="auto"/>
              <w:jc w:val="center"/>
            </w:pPr>
            <w:r>
              <w:t>Три или несколько видов трудовой деятельности</w:t>
            </w:r>
          </w:p>
        </w:tc>
        <w:tc>
          <w:tcPr>
            <w:tcW w:w="2393" w:type="dxa"/>
            <w:vAlign w:val="center"/>
          </w:tcPr>
          <w:p w:rsidR="00000000" w:rsidRDefault="00000000">
            <w:pPr>
              <w:pStyle w:val="16"/>
              <w:spacing w:line="240" w:lineRule="auto"/>
            </w:pPr>
            <w:r>
              <w:t>231 828</w:t>
            </w:r>
          </w:p>
        </w:tc>
        <w:tc>
          <w:tcPr>
            <w:tcW w:w="2393" w:type="dxa"/>
            <w:vAlign w:val="center"/>
          </w:tcPr>
          <w:p w:rsidR="00000000" w:rsidRDefault="00000000">
            <w:pPr>
              <w:spacing w:line="240" w:lineRule="auto"/>
              <w:jc w:val="center"/>
            </w:pPr>
            <w:r>
              <w:t>232 737</w:t>
            </w:r>
          </w:p>
        </w:tc>
        <w:tc>
          <w:tcPr>
            <w:tcW w:w="2393" w:type="dxa"/>
            <w:vAlign w:val="center"/>
          </w:tcPr>
          <w:p w:rsidR="00000000" w:rsidRDefault="00000000">
            <w:pPr>
              <w:spacing w:line="240" w:lineRule="auto"/>
              <w:jc w:val="center"/>
            </w:pPr>
            <w:r>
              <w:t>0,4%</w:t>
            </w:r>
          </w:p>
        </w:tc>
      </w:tr>
      <w:tr w:rsidR="00000000">
        <w:tblPrEx>
          <w:tblCellMar>
            <w:top w:w="0" w:type="dxa"/>
            <w:bottom w:w="0" w:type="dxa"/>
          </w:tblCellMar>
        </w:tblPrEx>
        <w:tc>
          <w:tcPr>
            <w:tcW w:w="2392" w:type="dxa"/>
          </w:tcPr>
          <w:p w:rsidR="00000000" w:rsidRDefault="00000000">
            <w:pPr>
              <w:spacing w:line="240" w:lineRule="auto"/>
              <w:jc w:val="center"/>
            </w:pPr>
            <w:r>
              <w:t>Всего</w:t>
            </w:r>
          </w:p>
        </w:tc>
        <w:tc>
          <w:tcPr>
            <w:tcW w:w="2393" w:type="dxa"/>
            <w:vAlign w:val="center"/>
          </w:tcPr>
          <w:p w:rsidR="00000000" w:rsidRDefault="00000000">
            <w:pPr>
              <w:spacing w:line="240" w:lineRule="auto"/>
              <w:jc w:val="center"/>
            </w:pPr>
            <w:r>
              <w:t>69 628 608</w:t>
            </w:r>
          </w:p>
        </w:tc>
        <w:tc>
          <w:tcPr>
            <w:tcW w:w="2393" w:type="dxa"/>
            <w:vAlign w:val="center"/>
          </w:tcPr>
          <w:p w:rsidR="00000000" w:rsidRDefault="00000000">
            <w:pPr>
              <w:spacing w:line="240" w:lineRule="auto"/>
              <w:jc w:val="center"/>
            </w:pPr>
            <w:r>
              <w:t>71 676 219</w:t>
            </w:r>
          </w:p>
        </w:tc>
        <w:tc>
          <w:tcPr>
            <w:tcW w:w="2393" w:type="dxa"/>
            <w:vAlign w:val="center"/>
          </w:tcPr>
          <w:p w:rsidR="00000000" w:rsidRDefault="00000000">
            <w:pPr>
              <w:spacing w:line="240" w:lineRule="auto"/>
              <w:jc w:val="center"/>
            </w:pPr>
            <w:r>
              <w:t>2,9%</w:t>
            </w:r>
          </w:p>
        </w:tc>
      </w:tr>
    </w:tbl>
    <w:p w:rsidR="00000000" w:rsidRDefault="00000000">
      <w:pPr>
        <w:pStyle w:val="10"/>
        <w:tabs>
          <w:tab w:val="clear" w:pos="1701"/>
        </w:tabs>
        <w:spacing w:line="240" w:lineRule="auto"/>
        <w:jc w:val="left"/>
        <w:rPr>
          <w:bCs/>
        </w:rPr>
      </w:pPr>
    </w:p>
    <w:p w:rsidR="00000000" w:rsidRDefault="00000000">
      <w:pPr>
        <w:pStyle w:val="10"/>
        <w:tabs>
          <w:tab w:val="clear" w:pos="1701"/>
        </w:tabs>
        <w:spacing w:line="240" w:lineRule="auto"/>
        <w:jc w:val="left"/>
        <w:rPr>
          <w:b w:val="0"/>
        </w:rPr>
      </w:pPr>
      <w:r>
        <w:rPr>
          <w:b w:val="0"/>
          <w:u w:val="single"/>
        </w:rPr>
        <w:t>Источник</w:t>
      </w:r>
      <w:r>
        <w:rPr>
          <w:b w:val="0"/>
        </w:rPr>
        <w:t>:  ОВОДХ - подготовлено министерством труда и занятости.</w:t>
      </w:r>
    </w:p>
    <w:p w:rsidR="00000000" w:rsidRDefault="00000000">
      <w:pPr>
        <w:pStyle w:val="10"/>
        <w:tabs>
          <w:tab w:val="clear" w:pos="1701"/>
        </w:tabs>
        <w:spacing w:line="240" w:lineRule="auto"/>
        <w:jc w:val="left"/>
        <w:rPr>
          <w:b w:val="0"/>
        </w:rPr>
      </w:pPr>
    </w:p>
    <w:p w:rsidR="00000000" w:rsidRDefault="00000000">
      <w:pPr>
        <w:pStyle w:val="10"/>
        <w:rPr>
          <w:bCs/>
        </w:rPr>
      </w:pPr>
      <w:r>
        <w:rPr>
          <w:bCs/>
        </w:rPr>
        <w:t>Статья 7</w:t>
      </w:r>
    </w:p>
    <w:p w:rsidR="00000000" w:rsidRDefault="00000000">
      <w:pPr>
        <w:pStyle w:val="10"/>
        <w:rPr>
          <w:bCs/>
        </w:rPr>
      </w:pPr>
    </w:p>
    <w:p w:rsidR="00000000" w:rsidRDefault="00000000">
      <w:r>
        <w:t>124.</w:t>
      </w:r>
      <w:r>
        <w:tab/>
        <w:t>В связи с Конвенциями МОТ, по которым в руководящих принципах Комитета по экономическим, социальным и культурным правам запрашивается соответствующая  информация, Бразилия хотела бы отметить следующее:</w:t>
      </w:r>
    </w:p>
    <w:p w:rsidR="00000000" w:rsidRDefault="00000000"/>
    <w:p w:rsidR="00000000" w:rsidRDefault="00000000">
      <w:r>
        <w:tab/>
      </w:r>
      <w:r>
        <w:rPr>
          <w:lang w:val="en-US"/>
        </w:rPr>
        <w:t>a</w:t>
      </w:r>
      <w:r>
        <w:t>)</w:t>
      </w:r>
      <w:r>
        <w:tab/>
        <w:t>Конвенция МОТ 1970 года об установлении минимальной заработной платы (№ 131).  Бразилия ратифицировала эту Конвенцию 4 мая 1993 года.  Последний доклад по этой Конвенции был представлен в 1999 году.  В нем содержались ответы на замечания Комитета экспертов МОТ относительно методики установления минимальной ежемесячной заработной платы и участия в этом процессе организаций, представляющих управленческие структуры и трудящихся.  Процесс определения минимальной ежемесячной заработной платы относится к числу вопросов, которые неизменно порождают жаркие дебаты, в связи с чем он будет детально рассмотрен в одном из последующих разделов настоящего доклада;</w:t>
      </w:r>
    </w:p>
    <w:p w:rsidR="00000000" w:rsidRDefault="00000000"/>
    <w:p w:rsidR="00000000" w:rsidRDefault="00000000">
      <w:r>
        <w:tab/>
      </w:r>
      <w:r>
        <w:rPr>
          <w:lang w:val="en-US"/>
        </w:rPr>
        <w:t>b</w:t>
      </w:r>
      <w:r>
        <w:t>)</w:t>
      </w:r>
      <w:r>
        <w:tab/>
        <w:t>Конвенция МОТ 1951 года о равном вознаграждении (№ 100).  Бразилия ратифицировала эту Конвенцию 25 апреля 1957 года.  Доклад по этой Конвенции будет представлен в текущем году.  В него будут включены данные Общенационального выборочного обследования домашних хозяйств за 1999 год (ОВОДХ-1999) и статистика относительно участия мужчин и женщин на рынке труда.  В этой связи представляется важным отметить сохраняющиеся различия в заработной плате мужчин и женщин несмотря на проявившуюся в последние годы тенденцию к сокращению такого разрыва.  Что касается вопроса о равном денежном вознаграждении для мужчин и женщин, то недавно принятое в Бразилии законодательство позволило достичь некоторого прогресса в этой области.  В качестве примера можно сослаться на законопроект 382-В/91, который был утвержден Национальным конгрессом и преобразован в Закон 9 799 от 26 мая 1999 года, который предусматривает включение в Основы трудового законодательства Бразилии положений, касающихся доступа женщин на рынок труда и других соответствующих инициатив</w:t>
      </w:r>
      <w:r>
        <w:rPr>
          <w:b/>
          <w:bCs/>
          <w:vertAlign w:val="superscript"/>
        </w:rPr>
        <w:t>4</w:t>
      </w:r>
      <w:r>
        <w:t>;</w:t>
      </w:r>
    </w:p>
    <w:p w:rsidR="00000000" w:rsidRDefault="00000000">
      <w:pPr>
        <w:pStyle w:val="1"/>
      </w:pPr>
    </w:p>
    <w:p w:rsidR="00000000" w:rsidRDefault="00000000">
      <w:r>
        <w:tab/>
      </w:r>
      <w:r>
        <w:rPr>
          <w:lang w:val="en-US"/>
        </w:rPr>
        <w:t>c</w:t>
      </w:r>
      <w:r>
        <w:t>)</w:t>
      </w:r>
      <w:r>
        <w:tab/>
        <w:t>Конвенция МОТ 1921 года о еженедельном отдыхе в промышленности (№ 14).  Бразилия ратифицировала эту Конвенцию 25 апреля 1957 года.  В текущем году будет представлен упрощенный доклад по этой Конвенции, содержащий информацию о национальном законодательстве в этой области и статистические данные Федеральной системы трудовой инспекции (ФСТИ) относительно случаев нарушения принципов данной Конвенции, выявленных в 1997, 1998 и 1999 годах и в первой половине 2000 года;</w:t>
      </w:r>
    </w:p>
    <w:p w:rsidR="00000000" w:rsidRDefault="00000000"/>
    <w:p w:rsidR="00000000" w:rsidRDefault="00000000">
      <w:r>
        <w:tab/>
      </w:r>
      <w:r>
        <w:rPr>
          <w:lang w:val="en-US"/>
        </w:rPr>
        <w:t>d</w:t>
      </w:r>
      <w:r>
        <w:t>)</w:t>
      </w:r>
      <w:r>
        <w:tab/>
        <w:t>Конвенция МОТ 1957 года о еженедельном отдыхе в торговле и учреждениях (№ 106).  Бразилия ратифицировала эту Конвенцию 18 июня 1965 года.  В текущем году будет представлен доклад по этой Конвенции, содержащий информацию о национальном законодательстве в этой области и статистические данные Федеральной системы трудовой инспекции (ФСТИ) относительно случаев нарушения принципов Конвенции, выявленных в 1997, 1998 и 1999 годах и в первой половине 2000 года;</w:t>
      </w:r>
    </w:p>
    <w:p w:rsidR="00000000" w:rsidRDefault="00000000"/>
    <w:p w:rsidR="00000000" w:rsidRDefault="00000000">
      <w:r>
        <w:tab/>
      </w:r>
      <w:r>
        <w:rPr>
          <w:lang w:val="en-US"/>
        </w:rPr>
        <w:t>e</w:t>
      </w:r>
      <w:r>
        <w:t>)</w:t>
      </w:r>
      <w:r>
        <w:tab/>
        <w:t>Конвенция (пересмотренная) МОТ 1970 года об оплачиваемых отпусках (№ 132).  Бразилия ратифицировала эту Конвенцию 23 сентября 1998 года.  В текущем году будет представлен первый доклад/отчет по этой Конвенции, содержащий информацию о положениях национального законодательства в данной области;</w:t>
      </w:r>
    </w:p>
    <w:p w:rsidR="00000000" w:rsidRDefault="00000000"/>
    <w:p w:rsidR="00000000" w:rsidRDefault="00000000">
      <w:r>
        <w:tab/>
      </w:r>
      <w:r>
        <w:rPr>
          <w:lang w:val="en-US"/>
        </w:rPr>
        <w:t>f</w:t>
      </w:r>
      <w:r>
        <w:t>)</w:t>
      </w:r>
      <w:r>
        <w:tab/>
        <w:t>Конвенция МОТ 1947 года об инспекции труда (№ 81).  Бразилия ратифицировала эту Конвенцию 11 октября 1989 года.  В 1999 году в МОТ был представлен последний подробный доклад по этой Конвенции, содержащий информацию о конституционной поправке 20, которая предусматривает повышение минимального возраста для приема на работу до 16 лет и 14 лет в случае подмастерий.  Кроме того, в МОТ направлялась информация о прогрессе в деле борьбы с принудительным трудом и усилиях по борьбе с производственным травматизмом и профессиональными заболеваниями;</w:t>
      </w:r>
    </w:p>
    <w:p w:rsidR="00000000" w:rsidRDefault="00000000"/>
    <w:p w:rsidR="00000000" w:rsidRDefault="00000000">
      <w:r>
        <w:tab/>
      </w:r>
      <w:r>
        <w:rPr>
          <w:lang w:val="en-US"/>
        </w:rPr>
        <w:t>g</w:t>
      </w:r>
      <w:r>
        <w:t>)</w:t>
      </w:r>
      <w:r>
        <w:tab/>
        <w:t xml:space="preserve">Конвенция МОТ 1981 года о безопасности и гигиене труда (№ 155).  Бразилия ратифицировала эту Конвенцию 18 мая 1992 года.  Последний детальный доклад по этой Конвенции был представлен в МОТ в 1999 году.  Комитет экспертов представил замечания по поводу заявления профсоюза работников предприятий по добыче мрамора, гранита и известняка в Эспириту-Санту (СИНДИМАРМОРЕ).  В этой связи бразильское правительство сообщило о создании отраслевой палаты по добыче мрамора и гранита.  Эта инициатива преследовала следующие цели:  а)  адаптацию инспекционной системы к специфическим условиям данного вида экономической деятельности;  </w:t>
      </w:r>
      <w:r>
        <w:rPr>
          <w:lang w:val="en-US"/>
        </w:rPr>
        <w:t>b</w:t>
      </w:r>
      <w:r>
        <w:t xml:space="preserve">)  поощрение переговорного процесса между представителями управленческих структур и трудящихся с целью активизации дискуссии относительно необходимости включения в будущие коллективные соглашения и договоры клаузул о режиме труда;  с)  поощрение сотрудничества между всеми структурами в секторе добычи мрамора и гранита в целях совместного поиска решений проблем, предполагающего совершенствование методов работы, сохранение здоровой производственной среды, определение оценочных критериев в контексте данного вида экономической деятельности, а также сбор информации о положении на производстве;  </w:t>
      </w:r>
      <w:r>
        <w:rPr>
          <w:lang w:val="en-US"/>
        </w:rPr>
        <w:t>d</w:t>
      </w:r>
      <w:r>
        <w:t>)  проведение активной работы, направленной на обеспечение соблюдения трудовых стандартов, касающихся, в частности, охраны здоровья и безопасности трудящихся.</w:t>
      </w:r>
    </w:p>
    <w:p w:rsidR="00000000" w:rsidRDefault="00000000"/>
    <w:p w:rsidR="00000000" w:rsidRDefault="00000000">
      <w:r>
        <w:t>125.</w:t>
      </w:r>
      <w:r>
        <w:tab/>
        <w:t>Прежде чем переходить к описанию методов, используемых для целей установления размеров заработной платы, как это предлагается в руководящих принципах Комитета по экономическим, социальным и культурным правам, бразильское правительство хотело бы сказать несколько слов о принципе равных возможностей в контексте продвижения по службе.  В рамках бразильского законодательства этот вопрос рассматривается во вводном пункте и подпункте 1 статьи 461 Основ трудового законодательства.  Вместе с тем, если компания использует собственный план продвижения сотрудников по службе, основанный на внутренних правилах распорядка этой компании, то применяемый ею режим такого профессионального роста должен соответствовать таким критериям, как служебное положение, трудовой стаж и личные качества (добросовестность, работоспособность и т.д.) (там же, подпункт 2).  Все это означает, что строгое следование этим внутренним критериям не нарушает принцип равенства возможностей для продвижения по службе, а всего лишь предполагает необходимость отражения во внутреннем распорядке компаний объективных критериев такого профессионального роста (выслуга лет и личные качества) в целях неукоснительного соблюдения работодателем этих принципов при продвижении по службе того или иного наемного работника.</w:t>
      </w:r>
    </w:p>
    <w:p w:rsidR="00000000" w:rsidRDefault="00000000"/>
    <w:p w:rsidR="00000000" w:rsidRDefault="00000000">
      <w:r>
        <w:t>126.</w:t>
      </w:r>
      <w:r>
        <w:tab/>
        <w:t>С проблемой отсутствия равных возможностей при продвижении по службе, как правило, сталкиваются работники неформального сектора экономики, не имеющие надлежащим образом оформленных трудовых соглашений), что весьма затрудняет деятельность трудовой инспекции по выявлению таких ситуаций.  В таких случаях любой контроль за продвижением по службе является следствием субъективного решения работодателя.  При подтверждении факта такого неправомерного обращения, что, как правило, происходит после подачи соответствующим работником жалобы или вмешательства представителя соответствующего профсоюза, на предприятии проводится инспекционная проверка.  Как правило, инспекционные службы начинают работу с установления контактов с работодателем в целях урегулирования конфликтной ситуации.  Если такие усилия не достигают цели, составляется соответствующий юридический документ в форме письменного предупреждения.  Однако одно лишь подобное предупреждение без каких-либо дополнительных мер не дает позитивных результатов.  Само по себе это предупреждение является недостаточно эффективным инструментом в деле борьбы с вышеописанной дискриминационной практикой, прежде всего по той причине, что такая дискриминация относится к разряду проблем культурологического характера, требующих изменения менталитета всего общества.  В этой связи наиболее оптимальные результаты дают процедуры, предусматривающие проведение диалога с администрацией предприятия, самим работником и представителями инспекционной службы.  Как правило, администрация соответствующего предприятия принимает меры по урегулированию конфликтной ситуации и обеспечивает соблюдение принципа равных возможностей.</w:t>
      </w:r>
    </w:p>
    <w:p w:rsidR="00000000" w:rsidRDefault="00000000"/>
    <w:p w:rsidR="00000000" w:rsidRDefault="00000000">
      <w:r>
        <w:t>127.</w:t>
      </w:r>
      <w:r>
        <w:tab/>
        <w:t>В контексте вопроса о минимальной месячной заработной плате и механизме определения ее размера представляется целесообразным дать краткую справку о функционировании этого механизма в Бразилии.  Впервые минимальная месячная заработная плата была введена в Бразилии 1 мая 1940 года в развитие положений Закона 185 от января 1936 года (о введении минимальной заработной платы), а также Указа-закона 399 от апреля 1938 года (о порядке исполнения вышеупомянутого закона) и Указа-закона 2 162 от 1 мая 1940 года (об определении размеров минимальной месячной заработной платы и дате введения в действие этого механизма).  После введения в действие механизма минимальной месячной зарплаты Бразилия была поделена на 50 районов для целей установления различных уровней минимальной ежемесячной зарплаты.</w:t>
      </w:r>
    </w:p>
    <w:p w:rsidR="00000000" w:rsidRDefault="00000000"/>
    <w:p w:rsidR="00000000" w:rsidRDefault="00000000">
      <w:r>
        <w:t>128.</w:t>
      </w:r>
      <w:r>
        <w:tab/>
        <w:t>По поводу размера минимального оклада следует отметить, что за период с 40-х до 80-х годов политика в этой области претерпела лишь незначительные изменения до принятия Конституции 1988 года.  В пункте </w:t>
      </w:r>
      <w:r>
        <w:rPr>
          <w:lang w:val="en-US"/>
        </w:rPr>
        <w:t>IV</w:t>
      </w:r>
      <w:r>
        <w:t xml:space="preserve"> статьи 7 новой Федеральной конституции говорится, что размер минимального месячного оклада должен определяться на основе единого для всей страны законодательства.  Закон предусматривает, что установленный минимальный оклад должен обеспечивать удовлетворение базовых потребностей трудящихся и их семей в отношении жилья, питания, образования, здоровья, досуга, одежды, гигиены, транспортных расходов и социального обеспечения.  Кроме того, законом предусматривается периодический пересмотр размера минимального месячного оклада.  Минимальный оклад не может ставиться в зависимость от каких-либо других требований, предусматривающих какие-либо иные цели.</w:t>
      </w:r>
    </w:p>
    <w:p w:rsidR="00000000" w:rsidRDefault="00000000"/>
    <w:p w:rsidR="00000000" w:rsidRDefault="00000000">
      <w:r>
        <w:t>129.</w:t>
      </w:r>
      <w:r>
        <w:tab/>
        <w:t>Во исполнение соответствующих положений Конституции 18 мая 2000 года был принят Закон 9971, который содержит, в частности, положения, касающиеся механизма начисления минимального месячного оклада, который начал действовать с 1 мая 1995 года и предусматривает введение единого размера минимального месячного оклада на всей территории Бразилии.  В настоящее время размер минимального оклада составляет 151 реал для всех наемных работников в городах и сельской местности и для всех секторов экономики.</w:t>
      </w:r>
    </w:p>
    <w:p w:rsidR="00000000" w:rsidRDefault="00000000"/>
    <w:p w:rsidR="00000000" w:rsidRDefault="00000000">
      <w:r>
        <w:t>130.</w:t>
      </w:r>
      <w:r>
        <w:tab/>
        <w:t>Пересмотр размера минимального месячного оклада проводился на ежегодной основе, хотя ни в Конституции, ни в других законодательных актах не определяются конкретные сроки или периоды, в течение которых правительство должно устанавливать новый уровень минимального месячного оклада.  Цель такого ежегодного пересмотра заключается в том, чтобы минимальный оклад не терял своей покупательной способности, и чтобы соответствующая корректировка проводилась с учетом инфляции.  Инфляция, в свою очередь определятся на основе традиционных индексов потребительских цен, включая, в частности, Национальный индекс потребительских цен (НИПЦ), рассчитываемый БИГС, или индекс потребительских цен (ИПЦ), рассчитываемый Институтом и Фондом экономических исследований (ФИПЕ).  Кроме того, предпринимались усилия по созданию механизма, обеспечивающего постепенное реальное повышение заработной платы в целях содействия борьбы с бедностью и дальнейшего совершенствования системы распределения доходов, не задействуя при этом средства из госбюджета и не провоцируя утечки рабочей силы в неформальный сектор экономики.</w:t>
      </w:r>
    </w:p>
    <w:p w:rsidR="00000000" w:rsidRDefault="00000000"/>
    <w:p w:rsidR="00000000" w:rsidRDefault="00000000">
      <w:r>
        <w:t>131.</w:t>
      </w:r>
      <w:r>
        <w:tab/>
        <w:t>Следует отметить, что рынок труда и набор потребительских товаров и услуг является в Бразилии неоднородным и весьма различается по регионам, что также затрудняет усилия по обеспечению более ощутимого повышения размера общенациональной минимальной заработной платы.  В соответствии с Дополнительным законом 103 от 14 июля 2000 года отдельные штаты и Федеральный округ наделяются полномочиями, позволяющими им самостоятельно устанавливать в рамках своей компетенции размер минимального оклада на уровне, превышающем размер общенационального минимального оклада, руководствуясь положениями пункта </w:t>
      </w:r>
      <w:r>
        <w:rPr>
          <w:lang w:val="en-US"/>
        </w:rPr>
        <w:t>V</w:t>
      </w:r>
      <w:r>
        <w:t xml:space="preserve"> статьи 7 Федеральной конституции.</w:t>
      </w:r>
    </w:p>
    <w:p w:rsidR="00000000" w:rsidRDefault="00000000"/>
    <w:p w:rsidR="00000000" w:rsidRDefault="00000000">
      <w:r>
        <w:t>132.</w:t>
      </w:r>
      <w:r>
        <w:tab/>
        <w:t>В Бразилии все наемные работники и их работодатели обязаны заключать индивидуальные трудовые соглашения в соответствии с нормами, предусмотренными в Основах трудового законодательства (ОТЗ).  Факт заключения трудового договора должен фиксироваться в трудовых книжках и карточках социального обеспечения соответствующих наемных работников.  Вместе с тем, согласно данным Общенационального выборочного обследования домашних хозяйств (ОВОДХ), проведенного в 1998 году Бразильским институтом географии и статистики (БИГС), 38,4% наемных работников (примерно 15 841 464 человека) не имеют надлежащим образом оформленных трудовых книжек, что позволяет причислять их к категории трудящихся неформального сектора экономики.</w:t>
      </w:r>
    </w:p>
    <w:p w:rsidR="00000000" w:rsidRDefault="00000000"/>
    <w:p w:rsidR="00000000" w:rsidRDefault="00000000">
      <w:r>
        <w:t>133.</w:t>
      </w:r>
      <w:r>
        <w:tab/>
        <w:t>Как отмечалось выше, Федеральная конституция устанавливает принцип минимального месячного оклада, а Основы трудового законодательства (ОТЗ) предусматривают порядок реализации этого принципа на практике.  Аналогичным образом обеспечивается корректировка минимального оклада в целях сохранения ее реальной покупательной способности, как того требует Федеральный закон 9 971 от 18 мая 2000 года о механизме корректировки размера минимального оклада за период с 1 мая 1996 года.  В последние годы меры по корректировке размера минимального оклада имели целью не только сохранение его покупательной способности через применение механизма прибавок, рассчитываемых на основе темпов инфляции, которые в свою очередь исчисляются на основе общенациональных индексов потребительских цен, но и содействие повышению реальной покупательной силы минимального оклада.  Хотя в Федеральной конституции определены критерии, которыми надлежит руководствоваться при установлении минимального оклада, обеспечивающего удовлетворение основных потребностей трудящихся, Закон 9971 от 18 мая 2000 года, регулирующий порядок корректировки заработной платы на основе соответствующих показателей и критериев, фактически не увязывает размер минимального оклада с базовыми потребностями трудящихся, включая, в частности, такие упоминаемые в Федеральной конституции потребности, как жилье и питание.</w:t>
      </w:r>
    </w:p>
    <w:p w:rsidR="00000000" w:rsidRDefault="00000000"/>
    <w:p w:rsidR="00000000" w:rsidRDefault="00000000">
      <w:r>
        <w:t>134.</w:t>
      </w:r>
      <w:r>
        <w:tab/>
        <w:t>Процесс корректировки размера минимального оклада неизменно сопровождается жаркими дебатами и не всегда отвечает ожиданиям трудящихся.  Кроме того, размер минимального оклада используется в качестве базисной точки при установлении цен в неформальном секторе экономики.  Это означает, что с учетом весьма масштабных размеров неформального сектора бразильской экономики, после проведения корректировки минимального оклада неизменно возникает весьма реальная угроза повышения цен в целом и в сфере персональных и аналогичных услуг, в частности.  Поскольку эта проблема затрагивает всю экономику, то при установлении размера минимального оклада ее нельзя игнорировать.</w:t>
      </w:r>
    </w:p>
    <w:p w:rsidR="00000000" w:rsidRDefault="00000000"/>
    <w:p w:rsidR="00000000" w:rsidRDefault="00000000">
      <w:r>
        <w:t>135.</w:t>
      </w:r>
      <w:r>
        <w:tab/>
        <w:t xml:space="preserve">В этих условиях правительство старается учитывать два дополнительных фактора.  Первый касается возможности использования минимального оклада для совершенствования механизма функционального распределения доходов посредством содействия увеличению общей доли доходов трудящихся.  Второй фактор касается использования минимального оклада в качестве средства борьбы с неравенством в сфере начисления заработной платы, поскольку де-факто она выполняет функции нижнего порога денежного вознаграждения.  В контексте этого второго фактора правительство проявляет чрезвычайную осторожность при осуществлении мер, обусловленных последствиями изменения размера минимального оклада, с учетом того, что по причине уязвимого положения наименее квалифицированных работников такие меры могут не достичь своей главной цели, заключающейся в содействии ликвидации неравенства в сфере заработной платы.  В первую очередь это касается неформальных секторов, на которые приходится значительная часть бразильской экономики и в которых прослеживается тенденция прямой зависимости заработной платы от предусмотренного законом уровня.  </w:t>
      </w:r>
    </w:p>
    <w:p w:rsidR="00000000" w:rsidRDefault="00000000"/>
    <w:p w:rsidR="00000000" w:rsidRDefault="00000000">
      <w:r>
        <w:t>136.</w:t>
      </w:r>
      <w:r>
        <w:tab/>
        <w:t>Дебаты по вопросу о размере минимального ежемесячного оклада являются неизменным элементом усилий, призванных отразить чаяния общества, характерной чертой которого является постепенное повышение уровня осведомленности населения об имеющихся у него правах.  В ближайшем будущем, когда Бразилия получит доступ к более совершенным аналитическим методам, которые в настоящее время пока еще разрабатываются, эти дебаты будут базироваться на более точных данных.  Новая методика позволит получать оценки, более адекватно отражающие реальность в контексте идеального или близкого к идеальному размеру минимальной заработной платы.  Разработка этой методики была поручена Бразильскому институту географии и статистики (БИГС).  Ее суть заключается в том, что в конце каждого года на базе ежемесячных данных производятся расчеты, позволяющие определить точную стоимость базовой потребительской корзины в соответствии с закрепленным в Федеральной конституции перечнем.  В настоящее время такие данные представляются только научно-исследовательским институтом ДИЕЕСЕ, который связан с профсоюзами и не является официальным учреждением.</w:t>
      </w:r>
    </w:p>
    <w:p w:rsidR="00000000" w:rsidRDefault="00000000"/>
    <w:p w:rsidR="00000000" w:rsidRDefault="00000000">
      <w:r>
        <w:t>137.</w:t>
      </w:r>
      <w:r>
        <w:tab/>
        <w:t>Следует отметить, что общий надзор за соблюдением трудового законодательства, включая, в частности, контроль за тем, чтобы выплачиваемое денежное вознаграждение не опускалось ниже общенационального уровня минимального оклада, входит в число обязанностей секретариата трудовой инспекции министерства труда и занятости (СТИ/МТЗ).  В ведении МТЗ находится 117 инспекционных отделений, расположенных в 27 штатах Бразилии;  в этих отделениях работают 2 444 инспектора, которые проводят инспекционные проверки по всей стране.  В 1999 году было проверено 347 380 предприятий, на которых было занято 17 842 511 человек.  В результате этих проверок был легализован трудовой статус 249 795 наемных работников, занятых в неформальном секторе экономики.  В 2000 году предполагается обеспечить легализацию трудовых отношений еще 600 000 наемных работников, гарантировав им, среди прочего, право на получение минимального оклада.</w:t>
      </w:r>
    </w:p>
    <w:p w:rsidR="00000000" w:rsidRDefault="00000000"/>
    <w:p w:rsidR="00000000" w:rsidRDefault="00000000">
      <w:r>
        <w:t>138.</w:t>
      </w:r>
      <w:r>
        <w:tab/>
        <w:t>Бразильское правительство уделяет особое внимание проблеме различий в оплате труда мужчин и женщин.  В дополнение к комментариям, сформулированным по поводу Конвенции МОТ № 100, и осуществляющимся в этой связи законодательным инициативам (см. сноску 4), представляется целесообразным отметить следующее.  По данным последнего обследования БИГС/ОВОДХ (Общенациональное выборочное обследование домашних хозяйств) за период с 1993 года (год, предшествовавший введению в действие "Реального плана") по прошлый год заработки трудящихся женщин выросли в Бразилии почти вдвое.  За этот период средний прирост заработной платы составил 24,3%, при этом заработки женщин выросли на 43,3%, а заработки мужчин - на 19,4%.  Хотя неравенство в оплате труда мужчин и женщин пока еще сохраняется, соответствующие различия существенно сгладились:  если в 1993 году заработная плата женщин за равный с мужчинами труд составляла только 49,4% от заработной платы мужчин, то в 1999 году этот показатель достиг 60,7%.  За период 1993-1999 годов заработная плата мужчин увеличилась с 447 реалов до 534 реалов, а заработная плата женщин - с 226 реалов до 324 реалов.</w:t>
      </w:r>
    </w:p>
    <w:p w:rsidR="00000000" w:rsidRDefault="00000000"/>
    <w:p w:rsidR="00000000" w:rsidRDefault="00000000">
      <w:r>
        <w:t>139.</w:t>
      </w:r>
      <w:r>
        <w:tab/>
        <w:t>Тем не менее, по данным ОВОДХ за прошлый год, доля женщин, имеющих полное среднее образование, составляла 30,4%, а аналогичная доля мужчин - 21,2%.  Кроме того, женщины находятся в более выгодном положении в контексте показателей неграмотности:  в возрастной группе 10-14 лет доля неграмотных девочек составляет 4%, а доля неграмотных мальчиков - 7%.  Постепенно выравнивается доля участия женщин на рынке труда.  Если в 1993 году доля занятых мужчин составляла 61,2%, а доля занятых женщин - 38,8%, то в 1999 году эти показатели составили, соответственно, 59,7% и 40,3%.</w:t>
      </w:r>
    </w:p>
    <w:p w:rsidR="00000000" w:rsidRDefault="00000000"/>
    <w:p w:rsidR="00000000" w:rsidRDefault="00000000">
      <w:r>
        <w:t>140.</w:t>
      </w:r>
      <w:r>
        <w:tab/>
        <w:t>Кроме того, результаты последних обследований свидетельствуют об увеличении численности женщин, являющихся главами семей.  В 1990 году женщины возглавляли 20,1% домашних хозяйств, в 1995 году - уже 22,9%, а в 1999 году - 26%.</w:t>
      </w:r>
    </w:p>
    <w:p w:rsidR="00000000" w:rsidRDefault="00000000"/>
    <w:p w:rsidR="00000000" w:rsidRDefault="00000000">
      <w:r>
        <w:t>141.</w:t>
      </w:r>
      <w:r>
        <w:tab/>
        <w:t>Проводимое один раз в год обследование ОВОДХ позволяет получить общее представление о положении в стране, о динамике социально-экономических условий на общенациональном уровне и на уровне регионов, а также о характере соответствующих различий по географическим зонам.  Последними данными ОВОДХ за десятилетие 90</w:t>
      </w:r>
      <w:r>
        <w:noBreakHyphen/>
        <w:t xml:space="preserve">х годов являются сведения за 1999 год.  Действовавшие в течение этого периода экономические факторы привели к существенному изменению демографического, социального и экономического профиля населения Бразилии.  Эти факторы носили как внешний, так и внутренний характер и складывались под влиянием государственных стратегий, технологического прогресса, новых методов управления и производства и дальнейшего расширение доступа к данным и процессам, касающимся предшествующих десятилетий.  Согласно данным ОВОДХ, жесткие меры, заложенные в плане Коллора, затронули все без исключения социальные группы, причем в первую очередь население с наиболее высокими доходами.  В 1990 году доходы этой социальной группы были ниже, чем в течение четырех предшествующих  лет, что способствовало более справедливому распределению доходов.  Рецессия, последовавшая за введением в действие вышеуказанного экономического плана, способствовала сохранению тенденции к сокращению доходов вплоть до 1992 года.  Задействованная в 1991 году стратегия в области заработной платы, одним из аспектов которых являлась защита малоимущих групп населения, до 1992 года способствовала продолжению процесса более сбалансированного распределения доходов в обществе.  В 1993 году, когда, несмотря на дальнейшее раскручивание спирали инфляции, в стране впервые за десятилетие начался экономический подъем, проведение более активной политики в области заработной платы повлекло за собой увеличение ее размеров.  Наиболее благоприятное воздействие этот позитивный фактор оказал на положение самых зажиточных групп населения, доходы которых начали расти. </w:t>
      </w:r>
    </w:p>
    <w:p w:rsidR="00000000" w:rsidRDefault="00000000"/>
    <w:p w:rsidR="00000000" w:rsidRDefault="00000000">
      <w:r>
        <w:t>142.</w:t>
      </w:r>
      <w:r>
        <w:tab/>
        <w:t>"Реальный план", введенный в действие в июле 1994 года, в кратчайшие сроки привел к резкому падению инфляции и содействовал ускорению экономического подъема и росту доходов населения.  При этом в Бразилии сохранялся режим индексации, который был частично отменен лишь в июне 1995 года, обеспечивая в той или иной мере защиту интересов малоимущего населения.  В 1995 году уровень доходов, рост которых был обусловлен этим благоприятным периодом экономической стабильности, достиг основания пирамиды заработной платы, вследствие чего вновь встал вопрос о внесении корректив в механизм распределения доходов.  В 1996 году, по завершении первого этапа "Реального плана", реальные доходы населения вновь стали снижаться с учетом новой реальности в форме стабильной экономики.  В целом доходы населения росли обратно пропорционально номинальной заработной плате, что опять-таки способствовало более сбалансированному распределению доходов.</w:t>
      </w:r>
    </w:p>
    <w:p w:rsidR="00000000" w:rsidRDefault="00000000"/>
    <w:p w:rsidR="00000000" w:rsidRDefault="00000000">
      <w:r>
        <w:t>143.</w:t>
      </w:r>
      <w:r>
        <w:tab/>
        <w:t>Два кризиса, разразившиеся в стране в результате потрясений на общемировом рынке, заставили правительство внести коррективы в национальную экономическую политику.  Первый кризис разразился уже после проведения в 1997 году обследования ОВОДХ, а второй - незадолго до проведения соответствующего обследования в 1998 году, вследствие чего причиненный этим кризисом ущерб не получил в обследовании полного отражения ввиду наличия временно</w:t>
      </w:r>
      <w:r>
        <w:rPr>
          <w:rFonts w:ascii="Tahoma" w:hAnsi="Tahoma" w:cs="Tahoma"/>
        </w:rPr>
        <w:t></w:t>
      </w:r>
      <w:r>
        <w:t xml:space="preserve">го расхождения между фактическим воздействием кризиса на экономику и его последствиями для рынка труда и доходов населения.  В 1997 и 1998 годах уровень заработной платы несколько снизился.  Распределение доходов, стабилизировавшееся в 1997 году, в 1998 году вновь обрело тенденцию к большей сбалансированности в результате прироста доходов в нижней половине пирамиды заработной платы и некоторого снижения доходов в верхней ее половине, особенно применительно к денежному вознаграждению за труд.  Все эти факторы уже можно было считать первыми признаками воздействия экономического спада.  Доходы, связанные с ростом реальной покупательной способности минимальной заработной платы, входили в число факторов, содействовавших дальнейшему росту нижней половины пирамиды распределения денежного вознаграждения.  </w:t>
      </w:r>
    </w:p>
    <w:p w:rsidR="00000000" w:rsidRDefault="00000000"/>
    <w:p w:rsidR="00000000" w:rsidRDefault="00000000">
      <w:r>
        <w:t>144.</w:t>
      </w:r>
      <w:r>
        <w:tab/>
        <w:t xml:space="preserve">В 1999 году обозначились первые признаки оздоровления экономики, однако это оздоровление сопровождалось ростом инфляции, которая снижалась с момента введения в действие "Реального плана".  Рост инфляции привел к небольшому падению реальной покупательной способности минимального оклада.  Кроме того, процесс рецессии привел к реальной потере доходов.  В 1999 году доходы населения существенно сократились, при том что зажиточные слои населения пострадали от этого сокращения несколько больше, чем другие социальные группы.  Доля, изъятая из верхней части пирамиды доходов за счет оплачиваемого труда, была перераспределена по всей остальной части пирамиды, что вновь способствовало более сбалансированному распределению доходов.  </w:t>
      </w:r>
    </w:p>
    <w:p w:rsidR="00000000" w:rsidRDefault="00000000"/>
    <w:p w:rsidR="00000000" w:rsidRDefault="00000000">
      <w:r>
        <w:t>145.</w:t>
      </w:r>
      <w:r>
        <w:tab/>
        <w:t xml:space="preserve">В 1998 году и вплоть до начала 1999 года реальные потери доходов 10% наименее зажиточного населения составили 6,8%, а 10% наиболее зажиточного населения - 8,6%.  Общий объем финансовых средств, затраченных на оплачиваемый труд, распределялся следующим образом:  на 10% наиболее высокооплачиваемых работников в 1989 году приходилось 51,5% от общего объема затраченных на денежное вознаграждение финансовых средств, а в 1999 году - 45,7%.  Данные за период 1989-1999 годов свидетельствуют о том, что индекс Гини (этот показатель отражает характер распределения доходов в форме заработной платы) достиг своего максимального значения (0,630) в 1989 году и минимального значения (0,567) в 1999 году.  Из сопоставления данных по географическим зонам явствует, что самое несбалансированное распределение доходов наблюдалось в северо-восточных и западных районах центральной части страны.  </w:t>
      </w:r>
    </w:p>
    <w:p w:rsidR="00000000" w:rsidRDefault="00000000"/>
    <w:p w:rsidR="00000000" w:rsidRDefault="00000000">
      <w:r>
        <w:t>146.</w:t>
      </w:r>
      <w:r>
        <w:tab/>
        <w:t>В 1999 году средний размер денежного вознаграждения наемных работников сократился по сравнению с предыдущим годом на 7,1%, опустившись ниже уровня, достигнутого в 1989 году и после 1995 года.  Падение доходов затронуло все категории трудящихся:  6,2% наемных работников, 7,4% самозанятых работников и 9,5% предпринимателей.  Доходы работников, занятых в сфере домашней прислуги, сократились не так сильно - на 2,2%.</w:t>
      </w:r>
    </w:p>
    <w:p w:rsidR="00000000" w:rsidRDefault="00000000"/>
    <w:p w:rsidR="00000000" w:rsidRDefault="00000000">
      <w:r>
        <w:t>147.</w:t>
      </w:r>
      <w:r>
        <w:tab/>
        <w:t>В разбивке по регионам для северо-восточной части страны по</w:t>
      </w:r>
      <w:r>
        <w:noBreakHyphen/>
        <w:t>прежнему характерны гораздо более низкие средние уровни денежного вознаграждения по сравнению с другими районами.</w:t>
      </w:r>
    </w:p>
    <w:p w:rsidR="00000000" w:rsidRDefault="00000000"/>
    <w:p w:rsidR="00000000" w:rsidRDefault="00000000">
      <w:r>
        <w:t>148.</w:t>
      </w:r>
      <w:r>
        <w:tab/>
        <w:t>Другим аспектом, который следует учитывать в контексте вопроса об оплачиваемом труде и которому бразильское правительство уделяет самое пристальное внимание, является дискриминация по признакам, связанным не только с половой принадлежностью.  Для целей подготовки и осуществления мероприятий по борьбе с такой дискриминацией была разработана программа "Бразилия:  пол и раса".  В рамках этой программы при районных бюро по трудоустройству были созданы "группы по поощрению равных возможностей и борьбы с дискриминацией на рабочем месте и в сфере профессиональной деятельности".  Их функции заключаются в практической реализации стратегии по борьбе с дискриминацией в каждом из штатов.  Основная цель этих групп состоит в подготовке мероприятий, направленных на искоренение неравенства и борьбу с практикой дискриминации в сфере трудовых отношений.  По всем поступающим в группы жалобам проводится надлежащее расследование, и если конфликтную ситуацию не удается разрешить или урегулировать на уровне районных бюро, то соответствующие дела передаются в отделение по трудовым вопросам министерства государственного надзора.</w:t>
      </w:r>
    </w:p>
    <w:p w:rsidR="00000000" w:rsidRDefault="00000000"/>
    <w:p w:rsidR="00000000" w:rsidRDefault="00000000">
      <w:r>
        <w:t>149.</w:t>
      </w:r>
      <w:r>
        <w:tab/>
        <w:t xml:space="preserve">Эти группы имеют настолько важное значение в деле борьбы с дискриминацией на  производстве, что бразильское правительство считает целесообразным подробнее остановиться на осуществляемой ими деятельности.  Группы были созданы при министерстве труда и занятости на основании Директивы 604 от 1 июня 2000 года в соответствии с рекомендациями, содержащимися с Конвенциях МОТ № 100, № 111 и № 159.  Стоящие перед этими группами задачи включают:  i)  разработку учебно-пропагандистских программ, обеспечивающих практическую реализацию стратегий в области поощрения равных возможностей в сфере труда и профессиональной деятельности;  ii)  подготовку рекомендаций о стратегиях и мероприятиях, направленных на искоренение дискриминации и унижающего достоинство обращения в целях защиты достоинства личности в сфере трудовых отношений;  iii)  осуществление мероприятий по координации деятельности ряда государственных и частных организаций, ведущих борьбу с дискриминацией, в целях согласования усилий по повышению социальной значимости и эффективности этих организаций;  </w:t>
      </w:r>
      <w:r>
        <w:rPr>
          <w:lang w:val="en-US"/>
        </w:rPr>
        <w:t>iv)  </w:t>
      </w:r>
      <w:r>
        <w:t xml:space="preserve">установление партнерских отношений </w:t>
      </w:r>
      <w:r>
        <w:rPr>
          <w:lang w:val="en-US"/>
        </w:rPr>
        <w:t>с</w:t>
      </w:r>
      <w:r>
        <w:t xml:space="preserve"> организациями, представляющими предпринимательские круги, профсоюзы и неправительственные группы, в целях систематизации потока информации о наличии новых рабочих мест или открывающихся вакансий для представителей уязвимых с точки зрения дискриминации групп населения;  v)  ведение реестров в форме баз данных относительно спроса и предложения на труд инвалидов с целью заполнения предусмотренных законом квот для найма инвалидов;  vi)  получение жалоб и заявлений о случаях дискриминации на рабочих местах с целью последующего урегулирования конфликтных ситуаций в соответствии с законом и, при необходимости, передача соответствующих дел в отделение по трудовым вопросам министерства государственного надзора.  В настоящее время такие группы функционируют в штатах Пиауи, Мату Гросу-ду-Сул, Риу-Гранди-ду-Норти, Риу-Гранди-ду-Сул, Рио-де-Жанейро, Пернамбуку, Сеара, Баия, Алагоас, Амазонас, Эспириту-Санту, Гояс, Федеральный округ, Мараньян, Мату-Гросу и Минас-Жерайс.  В соответствии с изданной министерством труда и занятости Директивой 604, приложение 1, во второй половине года дополнительные группы предполагается создать в штатах Мату-Гросу, Пара, Парана и Рондония (одна дополнительная группа).</w:t>
      </w:r>
    </w:p>
    <w:p w:rsidR="00000000" w:rsidRDefault="00000000"/>
    <w:p w:rsidR="00000000" w:rsidRDefault="00000000">
      <w:r>
        <w:t>150.</w:t>
      </w:r>
      <w:r>
        <w:tab/>
        <w:t>Осуществляемая этими группами деятельность включает также содействие проведению акций, дебатов, кампаний и лекций в рамках информационно-пропагандистских мероприятий, направленных на повышение уровня осведомленности населения о проблеме дискриминации.  Достижению этих целей содействует установление партнерских отношений с рядом заинтересованных общественных структур и их вовлечение в процесс борьбы с дискриминацией.</w:t>
      </w:r>
    </w:p>
    <w:p w:rsidR="00000000" w:rsidRDefault="00000000"/>
    <w:p w:rsidR="00000000" w:rsidRDefault="00000000">
      <w:r>
        <w:t>151.</w:t>
      </w:r>
      <w:r>
        <w:tab/>
        <w:t>За период с января по март 2000 года пять групп, действующих в штатах Риу-Гранди-ду-Норти, Пернамбуку, Мату-Гросу, Пиауи и Сеара, приняли к рассмотрению в общей сложности 80 жалоб, 63% которых были представлены трудящимися женщинами.  Сведения об осуществляющейся в Бразилии программе по борьбе с дискриминацией по признаку пола и расы, а также адреса вышеупомянутых групп приводятся на электронном сайте министерства труда и занятости (www.mte.gov.br).</w:t>
      </w:r>
    </w:p>
    <w:p w:rsidR="00000000" w:rsidRDefault="00000000"/>
    <w:p w:rsidR="00000000" w:rsidRDefault="00000000">
      <w:r>
        <w:t>152.</w:t>
      </w:r>
      <w:r>
        <w:tab/>
        <w:t>Кроме того, бразильское правительство принимает дополнительные меры, которые оно считает важными для целей борьбы с дискриминацией на производстве.  Министерство труда и занятости и министерство юстиции подписали 13 мая 1998 года Протокол о техническом сотрудничестве, предусматривающий расширение поля деятельности в рамках стратегий, направленных на содействие расовому и этническому равноправию на рынке труда, совершенствование системы профессионально-технического обучения, а также рост доходов населения и создание новых рабочих мест.  Кроме того, с этой же целью была создана Добровольная гражданская служба, цель которой заключается в уделении более пристального внимания проведению среди молодежи информационно-просветительских кампаний в целях содействия укреплению и защите прав человека и гражданских прав.  После прохождения соответствующей подготовки молодые люди получают возможность принимать участие в деятельности по пропаганде гражданских ценностей по месту своего жительства.  Места в рамках Добровольной гражданской службы распределяются равномерно между юношами и девушками.  Особое внимание уделяется участию в этих мероприятиях чернокожей молодежи, доля которой должна по меньшей мере соответствовать доле чернокожей общины в составе населения соответствующего района.  В 1998 году в Федеральном округе соответствующую подготовку получили 1 300 молодых людей, а в Рио-де-Жанейро - 3 100.  В 1999 году отделения этой службы, в составе которой работает в общей сложности 6 500 молодых людей, были созданы в штатах Рондония, Пара, Мараньян, Сеара, Пернамбуку, Баия, Парана, Риу-Гранди-ду-Сул, Санта-Катарина, Минас-Жерайс, Рио-де-Жанейро, Сан-Паулу, Мату-Гросу, Мату-Гросу-ду-Сул и Гояс и в Федеральном округе.  В ближайшие финансовые годы этот проект будет осуществляться Государственным секретариатом по правам человека по линии программы "Права человека - права каждого" в рамках долгосрочного плана (ДП) на период 2000-2003 годов.  Поставленные на период 1999-2002 годов задачи предусматривают подготовку в общей сложности 200 000 человек (в среднем по 50 000 человек в год).</w:t>
      </w:r>
    </w:p>
    <w:p w:rsidR="00000000" w:rsidRDefault="00000000"/>
    <w:p w:rsidR="00000000" w:rsidRDefault="00000000">
      <w:r>
        <w:t>153.</w:t>
      </w:r>
      <w:r>
        <w:tab/>
        <w:t>Ниже приводятся таблицы статистических данных относительно состояния бразильского рынка труда.</w:t>
      </w:r>
    </w:p>
    <w:p w:rsidR="00000000" w:rsidRDefault="00000000"/>
    <w:p w:rsidR="00000000" w:rsidRDefault="00000000">
      <w:pPr>
        <w:jc w:val="center"/>
        <w:rPr>
          <w:b/>
          <w:bCs/>
        </w:rPr>
      </w:pPr>
      <w:r>
        <w:rPr>
          <w:b/>
          <w:bCs/>
        </w:rPr>
        <w:t>Таблица 20.   Экономически активное население (ЭАН) в разбивке по полу</w:t>
      </w:r>
    </w:p>
    <w:p w:rsidR="00000000" w:rsidRDefault="00000000">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48"/>
        <w:gridCol w:w="2992"/>
        <w:gridCol w:w="2453"/>
      </w:tblGrid>
      <w:tr w:rsidR="00000000">
        <w:tblPrEx>
          <w:tblCellMar>
            <w:top w:w="0" w:type="dxa"/>
            <w:bottom w:w="0" w:type="dxa"/>
          </w:tblCellMar>
        </w:tblPrEx>
        <w:trPr>
          <w:trHeight w:val="179"/>
          <w:jc w:val="center"/>
        </w:trPr>
        <w:tc>
          <w:tcPr>
            <w:tcW w:w="2848" w:type="dxa"/>
          </w:tcPr>
          <w:p w:rsidR="00000000" w:rsidRDefault="00000000">
            <w:pPr>
              <w:jc w:val="center"/>
            </w:pPr>
            <w:r>
              <w:t>Период</w:t>
            </w:r>
          </w:p>
        </w:tc>
        <w:tc>
          <w:tcPr>
            <w:tcW w:w="2992" w:type="dxa"/>
          </w:tcPr>
          <w:p w:rsidR="00000000" w:rsidRDefault="00000000">
            <w:pPr>
              <w:jc w:val="center"/>
            </w:pPr>
            <w:r>
              <w:t>Мужчины</w:t>
            </w:r>
          </w:p>
        </w:tc>
        <w:tc>
          <w:tcPr>
            <w:tcW w:w="2453" w:type="dxa"/>
          </w:tcPr>
          <w:p w:rsidR="00000000" w:rsidRDefault="00000000">
            <w:pPr>
              <w:jc w:val="center"/>
            </w:pPr>
            <w:r>
              <w:t>Женщины</w:t>
            </w:r>
          </w:p>
        </w:tc>
      </w:tr>
      <w:tr w:rsidR="00000000">
        <w:tblPrEx>
          <w:tblCellMar>
            <w:top w:w="0" w:type="dxa"/>
            <w:bottom w:w="0" w:type="dxa"/>
          </w:tblCellMar>
        </w:tblPrEx>
        <w:trPr>
          <w:jc w:val="center"/>
        </w:trPr>
        <w:tc>
          <w:tcPr>
            <w:tcW w:w="2848" w:type="dxa"/>
          </w:tcPr>
          <w:p w:rsidR="00000000" w:rsidRDefault="00000000">
            <w:pPr>
              <w:jc w:val="center"/>
            </w:pPr>
            <w:r>
              <w:t>1991 год</w:t>
            </w:r>
          </w:p>
        </w:tc>
        <w:tc>
          <w:tcPr>
            <w:tcW w:w="2992" w:type="dxa"/>
          </w:tcPr>
          <w:p w:rsidR="00000000" w:rsidRDefault="00000000">
            <w:pPr>
              <w:jc w:val="center"/>
            </w:pPr>
            <w:r>
              <w:t>9 744 102</w:t>
            </w:r>
          </w:p>
        </w:tc>
        <w:tc>
          <w:tcPr>
            <w:tcW w:w="2453" w:type="dxa"/>
          </w:tcPr>
          <w:p w:rsidR="00000000" w:rsidRDefault="00000000">
            <w:pPr>
              <w:jc w:val="center"/>
            </w:pPr>
            <w:r>
              <w:t>6 104 093</w:t>
            </w:r>
          </w:p>
        </w:tc>
      </w:tr>
      <w:tr w:rsidR="00000000">
        <w:tblPrEx>
          <w:tblCellMar>
            <w:top w:w="0" w:type="dxa"/>
            <w:bottom w:w="0" w:type="dxa"/>
          </w:tblCellMar>
        </w:tblPrEx>
        <w:trPr>
          <w:jc w:val="center"/>
        </w:trPr>
        <w:tc>
          <w:tcPr>
            <w:tcW w:w="2848" w:type="dxa"/>
          </w:tcPr>
          <w:p w:rsidR="00000000" w:rsidRDefault="00000000">
            <w:pPr>
              <w:jc w:val="center"/>
            </w:pPr>
            <w:r>
              <w:t>1992 год</w:t>
            </w:r>
          </w:p>
        </w:tc>
        <w:tc>
          <w:tcPr>
            <w:tcW w:w="2992" w:type="dxa"/>
          </w:tcPr>
          <w:p w:rsidR="00000000" w:rsidRDefault="00000000">
            <w:pPr>
              <w:jc w:val="center"/>
            </w:pPr>
            <w:r>
              <w:t>9 889 346</w:t>
            </w:r>
          </w:p>
        </w:tc>
        <w:tc>
          <w:tcPr>
            <w:tcW w:w="2453" w:type="dxa"/>
          </w:tcPr>
          <w:p w:rsidR="00000000" w:rsidRDefault="00000000">
            <w:pPr>
              <w:jc w:val="center"/>
            </w:pPr>
            <w:r>
              <w:t>6 042 552</w:t>
            </w:r>
          </w:p>
        </w:tc>
      </w:tr>
      <w:tr w:rsidR="00000000">
        <w:tblPrEx>
          <w:tblCellMar>
            <w:top w:w="0" w:type="dxa"/>
            <w:bottom w:w="0" w:type="dxa"/>
          </w:tblCellMar>
        </w:tblPrEx>
        <w:trPr>
          <w:jc w:val="center"/>
        </w:trPr>
        <w:tc>
          <w:tcPr>
            <w:tcW w:w="2848" w:type="dxa"/>
          </w:tcPr>
          <w:p w:rsidR="00000000" w:rsidRDefault="00000000">
            <w:pPr>
              <w:jc w:val="center"/>
            </w:pPr>
            <w:r>
              <w:t>1993 год</w:t>
            </w:r>
          </w:p>
        </w:tc>
        <w:tc>
          <w:tcPr>
            <w:tcW w:w="2992" w:type="dxa"/>
          </w:tcPr>
          <w:p w:rsidR="00000000" w:rsidRDefault="00000000">
            <w:pPr>
              <w:jc w:val="center"/>
            </w:pPr>
            <w:r>
              <w:t>9 882 113</w:t>
            </w:r>
          </w:p>
        </w:tc>
        <w:tc>
          <w:tcPr>
            <w:tcW w:w="2453" w:type="dxa"/>
          </w:tcPr>
          <w:p w:rsidR="00000000" w:rsidRDefault="00000000">
            <w:pPr>
              <w:jc w:val="center"/>
            </w:pPr>
            <w:r>
              <w:t>6 174 537</w:t>
            </w:r>
          </w:p>
        </w:tc>
      </w:tr>
      <w:tr w:rsidR="00000000">
        <w:tblPrEx>
          <w:tblCellMar>
            <w:top w:w="0" w:type="dxa"/>
            <w:bottom w:w="0" w:type="dxa"/>
          </w:tblCellMar>
        </w:tblPrEx>
        <w:trPr>
          <w:jc w:val="center"/>
        </w:trPr>
        <w:tc>
          <w:tcPr>
            <w:tcW w:w="2848" w:type="dxa"/>
          </w:tcPr>
          <w:p w:rsidR="00000000" w:rsidRDefault="00000000">
            <w:pPr>
              <w:jc w:val="center"/>
            </w:pPr>
            <w:r>
              <w:t>1994 год</w:t>
            </w:r>
          </w:p>
        </w:tc>
        <w:tc>
          <w:tcPr>
            <w:tcW w:w="2992" w:type="dxa"/>
          </w:tcPr>
          <w:p w:rsidR="00000000" w:rsidRDefault="00000000">
            <w:pPr>
              <w:jc w:val="center"/>
            </w:pPr>
            <w:r>
              <w:t>10 073 502</w:t>
            </w:r>
          </w:p>
        </w:tc>
        <w:tc>
          <w:tcPr>
            <w:tcW w:w="2453" w:type="dxa"/>
          </w:tcPr>
          <w:p w:rsidR="00000000" w:rsidRDefault="00000000">
            <w:pPr>
              <w:jc w:val="center"/>
            </w:pPr>
            <w:r>
              <w:t>6 358 241</w:t>
            </w:r>
          </w:p>
        </w:tc>
      </w:tr>
      <w:tr w:rsidR="00000000">
        <w:tblPrEx>
          <w:tblCellMar>
            <w:top w:w="0" w:type="dxa"/>
            <w:bottom w:w="0" w:type="dxa"/>
          </w:tblCellMar>
        </w:tblPrEx>
        <w:trPr>
          <w:jc w:val="center"/>
        </w:trPr>
        <w:tc>
          <w:tcPr>
            <w:tcW w:w="2848" w:type="dxa"/>
          </w:tcPr>
          <w:p w:rsidR="00000000" w:rsidRDefault="00000000">
            <w:pPr>
              <w:jc w:val="center"/>
            </w:pPr>
            <w:r>
              <w:t>1995 год</w:t>
            </w:r>
          </w:p>
        </w:tc>
        <w:tc>
          <w:tcPr>
            <w:tcW w:w="2992" w:type="dxa"/>
          </w:tcPr>
          <w:p w:rsidR="00000000" w:rsidRDefault="00000000">
            <w:pPr>
              <w:jc w:val="center"/>
            </w:pPr>
            <w:r>
              <w:t>10 153 021</w:t>
            </w:r>
          </w:p>
        </w:tc>
        <w:tc>
          <w:tcPr>
            <w:tcW w:w="2453" w:type="dxa"/>
          </w:tcPr>
          <w:p w:rsidR="00000000" w:rsidRDefault="00000000">
            <w:pPr>
              <w:jc w:val="center"/>
            </w:pPr>
            <w:r>
              <w:t>6 601 660</w:t>
            </w:r>
          </w:p>
        </w:tc>
      </w:tr>
      <w:tr w:rsidR="00000000">
        <w:tblPrEx>
          <w:tblCellMar>
            <w:top w:w="0" w:type="dxa"/>
            <w:bottom w:w="0" w:type="dxa"/>
          </w:tblCellMar>
        </w:tblPrEx>
        <w:trPr>
          <w:jc w:val="center"/>
        </w:trPr>
        <w:tc>
          <w:tcPr>
            <w:tcW w:w="2848" w:type="dxa"/>
          </w:tcPr>
          <w:p w:rsidR="00000000" w:rsidRDefault="00000000">
            <w:pPr>
              <w:jc w:val="center"/>
            </w:pPr>
            <w:r>
              <w:t>1996 год</w:t>
            </w:r>
          </w:p>
        </w:tc>
        <w:tc>
          <w:tcPr>
            <w:tcW w:w="2992" w:type="dxa"/>
          </w:tcPr>
          <w:p w:rsidR="00000000" w:rsidRDefault="00000000">
            <w:pPr>
              <w:jc w:val="center"/>
            </w:pPr>
            <w:r>
              <w:t>10 383 991</w:t>
            </w:r>
          </w:p>
        </w:tc>
        <w:tc>
          <w:tcPr>
            <w:tcW w:w="2453" w:type="dxa"/>
          </w:tcPr>
          <w:p w:rsidR="00000000" w:rsidRDefault="00000000">
            <w:pPr>
              <w:jc w:val="center"/>
            </w:pPr>
            <w:r>
              <w:t>6 889 617</w:t>
            </w:r>
          </w:p>
        </w:tc>
      </w:tr>
      <w:tr w:rsidR="00000000">
        <w:tblPrEx>
          <w:tblCellMar>
            <w:top w:w="0" w:type="dxa"/>
            <w:bottom w:w="0" w:type="dxa"/>
          </w:tblCellMar>
        </w:tblPrEx>
        <w:trPr>
          <w:jc w:val="center"/>
        </w:trPr>
        <w:tc>
          <w:tcPr>
            <w:tcW w:w="2848" w:type="dxa"/>
          </w:tcPr>
          <w:p w:rsidR="00000000" w:rsidRDefault="00000000">
            <w:pPr>
              <w:jc w:val="center"/>
            </w:pPr>
            <w:r>
              <w:t>1997 год</w:t>
            </w:r>
          </w:p>
        </w:tc>
        <w:tc>
          <w:tcPr>
            <w:tcW w:w="2992" w:type="dxa"/>
          </w:tcPr>
          <w:p w:rsidR="00000000" w:rsidRDefault="00000000">
            <w:pPr>
              <w:jc w:val="center"/>
            </w:pPr>
            <w:r>
              <w:t>10 375 947</w:t>
            </w:r>
          </w:p>
        </w:tc>
        <w:tc>
          <w:tcPr>
            <w:tcW w:w="2453" w:type="dxa"/>
          </w:tcPr>
          <w:p w:rsidR="00000000" w:rsidRDefault="00000000">
            <w:pPr>
              <w:jc w:val="center"/>
            </w:pPr>
            <w:r>
              <w:t>6 692 284</w:t>
            </w:r>
          </w:p>
        </w:tc>
      </w:tr>
      <w:tr w:rsidR="00000000">
        <w:tblPrEx>
          <w:tblCellMar>
            <w:top w:w="0" w:type="dxa"/>
            <w:bottom w:w="0" w:type="dxa"/>
          </w:tblCellMar>
        </w:tblPrEx>
        <w:trPr>
          <w:jc w:val="center"/>
        </w:trPr>
        <w:tc>
          <w:tcPr>
            <w:tcW w:w="2848" w:type="dxa"/>
          </w:tcPr>
          <w:p w:rsidR="00000000" w:rsidRDefault="00000000">
            <w:pPr>
              <w:jc w:val="center"/>
            </w:pPr>
            <w:r>
              <w:t>1998 год</w:t>
            </w:r>
          </w:p>
        </w:tc>
        <w:tc>
          <w:tcPr>
            <w:tcW w:w="2992" w:type="dxa"/>
          </w:tcPr>
          <w:p w:rsidR="00000000" w:rsidRDefault="00000000">
            <w:pPr>
              <w:jc w:val="center"/>
            </w:pPr>
            <w:r>
              <w:t>10 471 056</w:t>
            </w:r>
          </w:p>
        </w:tc>
        <w:tc>
          <w:tcPr>
            <w:tcW w:w="2453" w:type="dxa"/>
          </w:tcPr>
          <w:p w:rsidR="00000000" w:rsidRDefault="00000000">
            <w:pPr>
              <w:jc w:val="center"/>
            </w:pPr>
            <w:r>
              <w:t>7 214 254</w:t>
            </w:r>
          </w:p>
        </w:tc>
      </w:tr>
      <w:tr w:rsidR="00000000">
        <w:tblPrEx>
          <w:tblCellMar>
            <w:top w:w="0" w:type="dxa"/>
            <w:bottom w:w="0" w:type="dxa"/>
          </w:tblCellMar>
        </w:tblPrEx>
        <w:trPr>
          <w:jc w:val="center"/>
        </w:trPr>
        <w:tc>
          <w:tcPr>
            <w:tcW w:w="2848" w:type="dxa"/>
          </w:tcPr>
          <w:p w:rsidR="00000000" w:rsidRDefault="00000000">
            <w:pPr>
              <w:jc w:val="center"/>
            </w:pPr>
            <w:r>
              <w:t>1999 год</w:t>
            </w:r>
          </w:p>
        </w:tc>
        <w:tc>
          <w:tcPr>
            <w:tcW w:w="2992" w:type="dxa"/>
          </w:tcPr>
          <w:p w:rsidR="00000000" w:rsidRDefault="00000000">
            <w:pPr>
              <w:jc w:val="center"/>
            </w:pPr>
            <w:r>
              <w:t>10 421 763</w:t>
            </w:r>
          </w:p>
        </w:tc>
        <w:tc>
          <w:tcPr>
            <w:tcW w:w="2453" w:type="dxa"/>
          </w:tcPr>
          <w:p w:rsidR="00000000" w:rsidRDefault="00000000">
            <w:pPr>
              <w:jc w:val="center"/>
            </w:pPr>
            <w:r>
              <w:t>7 299 357</w:t>
            </w:r>
          </w:p>
        </w:tc>
      </w:tr>
      <w:tr w:rsidR="00000000">
        <w:tblPrEx>
          <w:tblCellMar>
            <w:top w:w="0" w:type="dxa"/>
            <w:bottom w:w="0" w:type="dxa"/>
          </w:tblCellMar>
        </w:tblPrEx>
        <w:trPr>
          <w:jc w:val="center"/>
        </w:trPr>
        <w:tc>
          <w:tcPr>
            <w:tcW w:w="2848" w:type="dxa"/>
          </w:tcPr>
          <w:p w:rsidR="00000000" w:rsidRDefault="00000000">
            <w:pPr>
              <w:jc w:val="center"/>
            </w:pPr>
            <w:r>
              <w:t>Январь-апрель 1999 года</w:t>
            </w:r>
          </w:p>
        </w:tc>
        <w:tc>
          <w:tcPr>
            <w:tcW w:w="2992" w:type="dxa"/>
          </w:tcPr>
          <w:p w:rsidR="00000000" w:rsidRDefault="00000000">
            <w:pPr>
              <w:jc w:val="center"/>
            </w:pPr>
            <w:r>
              <w:t>10 302 018</w:t>
            </w:r>
          </w:p>
        </w:tc>
        <w:tc>
          <w:tcPr>
            <w:tcW w:w="2453" w:type="dxa"/>
          </w:tcPr>
          <w:p w:rsidR="00000000" w:rsidRDefault="00000000">
            <w:pPr>
              <w:jc w:val="center"/>
            </w:pPr>
            <w:r>
              <w:t>7 204 415</w:t>
            </w:r>
          </w:p>
        </w:tc>
      </w:tr>
      <w:tr w:rsidR="00000000">
        <w:tblPrEx>
          <w:tblCellMar>
            <w:top w:w="0" w:type="dxa"/>
            <w:bottom w:w="0" w:type="dxa"/>
          </w:tblCellMar>
        </w:tblPrEx>
        <w:trPr>
          <w:jc w:val="center"/>
        </w:trPr>
        <w:tc>
          <w:tcPr>
            <w:tcW w:w="2848" w:type="dxa"/>
          </w:tcPr>
          <w:p w:rsidR="00000000" w:rsidRDefault="00000000">
            <w:pPr>
              <w:jc w:val="center"/>
            </w:pPr>
            <w:r>
              <w:t>Апрель 1999 года</w:t>
            </w:r>
          </w:p>
        </w:tc>
        <w:tc>
          <w:tcPr>
            <w:tcW w:w="2992" w:type="dxa"/>
          </w:tcPr>
          <w:p w:rsidR="00000000" w:rsidRDefault="00000000">
            <w:pPr>
              <w:jc w:val="center"/>
            </w:pPr>
            <w:r>
              <w:t>10 310 499</w:t>
            </w:r>
          </w:p>
        </w:tc>
        <w:tc>
          <w:tcPr>
            <w:tcW w:w="2453" w:type="dxa"/>
          </w:tcPr>
          <w:p w:rsidR="00000000" w:rsidRDefault="00000000">
            <w:pPr>
              <w:jc w:val="center"/>
            </w:pPr>
            <w:r>
              <w:t>7 235 202</w:t>
            </w:r>
          </w:p>
        </w:tc>
      </w:tr>
      <w:tr w:rsidR="00000000">
        <w:tblPrEx>
          <w:tblCellMar>
            <w:top w:w="0" w:type="dxa"/>
            <w:bottom w:w="0" w:type="dxa"/>
          </w:tblCellMar>
        </w:tblPrEx>
        <w:trPr>
          <w:jc w:val="center"/>
        </w:trPr>
        <w:tc>
          <w:tcPr>
            <w:tcW w:w="2848" w:type="dxa"/>
          </w:tcPr>
          <w:p w:rsidR="00000000" w:rsidRDefault="00000000">
            <w:pPr>
              <w:jc w:val="center"/>
            </w:pPr>
            <w:r>
              <w:t>Май 1999 года</w:t>
            </w:r>
          </w:p>
        </w:tc>
        <w:tc>
          <w:tcPr>
            <w:tcW w:w="2992" w:type="dxa"/>
          </w:tcPr>
          <w:p w:rsidR="00000000" w:rsidRDefault="00000000">
            <w:pPr>
              <w:jc w:val="center"/>
            </w:pPr>
            <w:r>
              <w:t>10 394 800</w:t>
            </w:r>
          </w:p>
        </w:tc>
        <w:tc>
          <w:tcPr>
            <w:tcW w:w="2453" w:type="dxa"/>
          </w:tcPr>
          <w:p w:rsidR="00000000" w:rsidRDefault="00000000">
            <w:pPr>
              <w:jc w:val="center"/>
            </w:pPr>
            <w:r>
              <w:t>7 275 138</w:t>
            </w:r>
          </w:p>
        </w:tc>
      </w:tr>
      <w:tr w:rsidR="00000000">
        <w:tblPrEx>
          <w:tblCellMar>
            <w:top w:w="0" w:type="dxa"/>
            <w:bottom w:w="0" w:type="dxa"/>
          </w:tblCellMar>
        </w:tblPrEx>
        <w:trPr>
          <w:jc w:val="center"/>
        </w:trPr>
        <w:tc>
          <w:tcPr>
            <w:tcW w:w="2848" w:type="dxa"/>
          </w:tcPr>
          <w:p w:rsidR="00000000" w:rsidRDefault="00000000">
            <w:pPr>
              <w:jc w:val="center"/>
            </w:pPr>
            <w:r>
              <w:t>Июнь 1999 года</w:t>
            </w:r>
          </w:p>
        </w:tc>
        <w:tc>
          <w:tcPr>
            <w:tcW w:w="2992" w:type="dxa"/>
          </w:tcPr>
          <w:p w:rsidR="00000000" w:rsidRDefault="00000000">
            <w:pPr>
              <w:jc w:val="center"/>
            </w:pPr>
            <w:r>
              <w:t>10 571 700</w:t>
            </w:r>
          </w:p>
        </w:tc>
        <w:tc>
          <w:tcPr>
            <w:tcW w:w="2453" w:type="dxa"/>
          </w:tcPr>
          <w:p w:rsidR="00000000" w:rsidRDefault="00000000">
            <w:pPr>
              <w:jc w:val="center"/>
            </w:pPr>
            <w:r>
              <w:t>7 307 592</w:t>
            </w:r>
          </w:p>
        </w:tc>
      </w:tr>
      <w:tr w:rsidR="00000000">
        <w:tblPrEx>
          <w:tblCellMar>
            <w:top w:w="0" w:type="dxa"/>
            <w:bottom w:w="0" w:type="dxa"/>
          </w:tblCellMar>
        </w:tblPrEx>
        <w:trPr>
          <w:jc w:val="center"/>
        </w:trPr>
        <w:tc>
          <w:tcPr>
            <w:tcW w:w="2848" w:type="dxa"/>
          </w:tcPr>
          <w:p w:rsidR="00000000" w:rsidRDefault="00000000">
            <w:pPr>
              <w:jc w:val="center"/>
            </w:pPr>
            <w:r>
              <w:t>Июль 1999 года</w:t>
            </w:r>
          </w:p>
        </w:tc>
        <w:tc>
          <w:tcPr>
            <w:tcW w:w="2992" w:type="dxa"/>
          </w:tcPr>
          <w:p w:rsidR="00000000" w:rsidRDefault="00000000">
            <w:pPr>
              <w:jc w:val="center"/>
            </w:pPr>
            <w:r>
              <w:t>10 409 262</w:t>
            </w:r>
          </w:p>
        </w:tc>
        <w:tc>
          <w:tcPr>
            <w:tcW w:w="2453" w:type="dxa"/>
          </w:tcPr>
          <w:p w:rsidR="00000000" w:rsidRDefault="00000000">
            <w:pPr>
              <w:jc w:val="center"/>
            </w:pPr>
            <w:r>
              <w:t>7 258 545</w:t>
            </w:r>
          </w:p>
        </w:tc>
      </w:tr>
      <w:tr w:rsidR="00000000">
        <w:tblPrEx>
          <w:tblCellMar>
            <w:top w:w="0" w:type="dxa"/>
            <w:bottom w:w="0" w:type="dxa"/>
          </w:tblCellMar>
        </w:tblPrEx>
        <w:trPr>
          <w:jc w:val="center"/>
        </w:trPr>
        <w:tc>
          <w:tcPr>
            <w:tcW w:w="2848" w:type="dxa"/>
          </w:tcPr>
          <w:p w:rsidR="00000000" w:rsidRDefault="00000000">
            <w:pPr>
              <w:jc w:val="center"/>
            </w:pPr>
            <w:r>
              <w:t>Август 1999 года</w:t>
            </w:r>
          </w:p>
        </w:tc>
        <w:tc>
          <w:tcPr>
            <w:tcW w:w="2992" w:type="dxa"/>
          </w:tcPr>
          <w:p w:rsidR="00000000" w:rsidRDefault="00000000">
            <w:pPr>
              <w:jc w:val="center"/>
            </w:pPr>
            <w:r>
              <w:t>10 407 436</w:t>
            </w:r>
          </w:p>
        </w:tc>
        <w:tc>
          <w:tcPr>
            <w:tcW w:w="2453" w:type="dxa"/>
          </w:tcPr>
          <w:p w:rsidR="00000000" w:rsidRDefault="00000000">
            <w:pPr>
              <w:jc w:val="center"/>
            </w:pPr>
            <w:r>
              <w:t>7 295 210</w:t>
            </w:r>
          </w:p>
        </w:tc>
      </w:tr>
      <w:tr w:rsidR="00000000">
        <w:tblPrEx>
          <w:tblCellMar>
            <w:top w:w="0" w:type="dxa"/>
            <w:bottom w:w="0" w:type="dxa"/>
          </w:tblCellMar>
        </w:tblPrEx>
        <w:trPr>
          <w:jc w:val="center"/>
        </w:trPr>
        <w:tc>
          <w:tcPr>
            <w:tcW w:w="2848" w:type="dxa"/>
          </w:tcPr>
          <w:p w:rsidR="00000000" w:rsidRDefault="00000000">
            <w:pPr>
              <w:jc w:val="center"/>
            </w:pPr>
            <w:r>
              <w:t>Сентябрь 1999 года</w:t>
            </w:r>
          </w:p>
        </w:tc>
        <w:tc>
          <w:tcPr>
            <w:tcW w:w="2992" w:type="dxa"/>
          </w:tcPr>
          <w:p w:rsidR="00000000" w:rsidRDefault="00000000">
            <w:pPr>
              <w:jc w:val="center"/>
            </w:pPr>
            <w:r>
              <w:t>10 452 981</w:t>
            </w:r>
          </w:p>
        </w:tc>
        <w:tc>
          <w:tcPr>
            <w:tcW w:w="2453" w:type="dxa"/>
          </w:tcPr>
          <w:p w:rsidR="00000000" w:rsidRDefault="00000000">
            <w:pPr>
              <w:jc w:val="center"/>
            </w:pPr>
            <w:r>
              <w:t>7 374 816</w:t>
            </w:r>
          </w:p>
        </w:tc>
      </w:tr>
      <w:tr w:rsidR="00000000">
        <w:tblPrEx>
          <w:tblCellMar>
            <w:top w:w="0" w:type="dxa"/>
            <w:bottom w:w="0" w:type="dxa"/>
          </w:tblCellMar>
        </w:tblPrEx>
        <w:trPr>
          <w:jc w:val="center"/>
        </w:trPr>
        <w:tc>
          <w:tcPr>
            <w:tcW w:w="2848" w:type="dxa"/>
          </w:tcPr>
          <w:p w:rsidR="00000000" w:rsidRDefault="00000000">
            <w:pPr>
              <w:jc w:val="center"/>
            </w:pPr>
            <w:r>
              <w:t>Октябрь 1999 года</w:t>
            </w:r>
          </w:p>
        </w:tc>
        <w:tc>
          <w:tcPr>
            <w:tcW w:w="2992" w:type="dxa"/>
          </w:tcPr>
          <w:p w:rsidR="00000000" w:rsidRDefault="00000000">
            <w:pPr>
              <w:jc w:val="center"/>
            </w:pPr>
            <w:r>
              <w:t>10 521 028</w:t>
            </w:r>
          </w:p>
        </w:tc>
        <w:tc>
          <w:tcPr>
            <w:tcW w:w="2453" w:type="dxa"/>
          </w:tcPr>
          <w:p w:rsidR="00000000" w:rsidRDefault="00000000">
            <w:pPr>
              <w:jc w:val="center"/>
            </w:pPr>
            <w:r>
              <w:t>7 411 248</w:t>
            </w:r>
          </w:p>
        </w:tc>
      </w:tr>
      <w:tr w:rsidR="00000000">
        <w:tblPrEx>
          <w:tblCellMar>
            <w:top w:w="0" w:type="dxa"/>
            <w:bottom w:w="0" w:type="dxa"/>
          </w:tblCellMar>
        </w:tblPrEx>
        <w:trPr>
          <w:jc w:val="center"/>
        </w:trPr>
        <w:tc>
          <w:tcPr>
            <w:tcW w:w="2848" w:type="dxa"/>
          </w:tcPr>
          <w:p w:rsidR="00000000" w:rsidRDefault="00000000">
            <w:pPr>
              <w:jc w:val="center"/>
            </w:pPr>
            <w:r>
              <w:t>Ноябрь 1999 года</w:t>
            </w:r>
          </w:p>
        </w:tc>
        <w:tc>
          <w:tcPr>
            <w:tcW w:w="2992" w:type="dxa"/>
          </w:tcPr>
          <w:p w:rsidR="00000000" w:rsidRDefault="00000000">
            <w:pPr>
              <w:jc w:val="center"/>
            </w:pPr>
            <w:r>
              <w:t>10 572 971</w:t>
            </w:r>
          </w:p>
        </w:tc>
        <w:tc>
          <w:tcPr>
            <w:tcW w:w="2453" w:type="dxa"/>
          </w:tcPr>
          <w:p w:rsidR="00000000" w:rsidRDefault="00000000">
            <w:pPr>
              <w:jc w:val="center"/>
            </w:pPr>
            <w:r>
              <w:t>7 427 359</w:t>
            </w:r>
          </w:p>
        </w:tc>
      </w:tr>
      <w:tr w:rsidR="00000000">
        <w:tblPrEx>
          <w:tblCellMar>
            <w:top w:w="0" w:type="dxa"/>
            <w:bottom w:w="0" w:type="dxa"/>
          </w:tblCellMar>
        </w:tblPrEx>
        <w:trPr>
          <w:jc w:val="center"/>
        </w:trPr>
        <w:tc>
          <w:tcPr>
            <w:tcW w:w="2848" w:type="dxa"/>
          </w:tcPr>
          <w:p w:rsidR="00000000" w:rsidRDefault="00000000">
            <w:pPr>
              <w:jc w:val="center"/>
            </w:pPr>
            <w:r>
              <w:t>Декабрь 1999 года</w:t>
            </w:r>
          </w:p>
        </w:tc>
        <w:tc>
          <w:tcPr>
            <w:tcW w:w="2992" w:type="dxa"/>
          </w:tcPr>
          <w:p w:rsidR="00000000" w:rsidRDefault="00000000">
            <w:pPr>
              <w:jc w:val="center"/>
            </w:pPr>
            <w:r>
              <w:t>10 522 905</w:t>
            </w:r>
          </w:p>
        </w:tc>
        <w:tc>
          <w:tcPr>
            <w:tcW w:w="2453" w:type="dxa"/>
          </w:tcPr>
          <w:p w:rsidR="00000000" w:rsidRDefault="00000000">
            <w:pPr>
              <w:jc w:val="center"/>
            </w:pPr>
            <w:r>
              <w:t>7 424 716</w:t>
            </w:r>
          </w:p>
        </w:tc>
      </w:tr>
      <w:tr w:rsidR="00000000">
        <w:tblPrEx>
          <w:tblCellMar>
            <w:top w:w="0" w:type="dxa"/>
            <w:bottom w:w="0" w:type="dxa"/>
          </w:tblCellMar>
        </w:tblPrEx>
        <w:trPr>
          <w:jc w:val="center"/>
        </w:trPr>
        <w:tc>
          <w:tcPr>
            <w:tcW w:w="2848" w:type="dxa"/>
          </w:tcPr>
          <w:p w:rsidR="00000000" w:rsidRDefault="00000000">
            <w:pPr>
              <w:jc w:val="center"/>
            </w:pPr>
            <w:r>
              <w:t>Январь 2000 года</w:t>
            </w:r>
          </w:p>
        </w:tc>
        <w:tc>
          <w:tcPr>
            <w:tcW w:w="2992" w:type="dxa"/>
          </w:tcPr>
          <w:p w:rsidR="00000000" w:rsidRDefault="00000000">
            <w:pPr>
              <w:jc w:val="center"/>
            </w:pPr>
            <w:r>
              <w:t>10 518 213</w:t>
            </w:r>
          </w:p>
        </w:tc>
        <w:tc>
          <w:tcPr>
            <w:tcW w:w="2453" w:type="dxa"/>
          </w:tcPr>
          <w:p w:rsidR="00000000" w:rsidRDefault="00000000">
            <w:pPr>
              <w:jc w:val="center"/>
            </w:pPr>
            <w:r>
              <w:t>7 396 863</w:t>
            </w:r>
          </w:p>
        </w:tc>
      </w:tr>
      <w:tr w:rsidR="00000000">
        <w:tblPrEx>
          <w:tblCellMar>
            <w:top w:w="0" w:type="dxa"/>
            <w:bottom w:w="0" w:type="dxa"/>
          </w:tblCellMar>
        </w:tblPrEx>
        <w:trPr>
          <w:jc w:val="center"/>
        </w:trPr>
        <w:tc>
          <w:tcPr>
            <w:tcW w:w="2848" w:type="dxa"/>
          </w:tcPr>
          <w:p w:rsidR="00000000" w:rsidRDefault="00000000">
            <w:pPr>
              <w:jc w:val="center"/>
            </w:pPr>
            <w:r>
              <w:t>Февраль 2000 года</w:t>
            </w:r>
          </w:p>
        </w:tc>
        <w:tc>
          <w:tcPr>
            <w:tcW w:w="2992" w:type="dxa"/>
          </w:tcPr>
          <w:p w:rsidR="00000000" w:rsidRDefault="00000000">
            <w:pPr>
              <w:jc w:val="center"/>
            </w:pPr>
            <w:r>
              <w:t>1 0 629 911</w:t>
            </w:r>
          </w:p>
        </w:tc>
        <w:tc>
          <w:tcPr>
            <w:tcW w:w="2453" w:type="dxa"/>
          </w:tcPr>
          <w:p w:rsidR="00000000" w:rsidRDefault="00000000">
            <w:pPr>
              <w:jc w:val="center"/>
            </w:pPr>
            <w:r>
              <w:t>7 472 434</w:t>
            </w:r>
          </w:p>
        </w:tc>
      </w:tr>
      <w:tr w:rsidR="00000000">
        <w:tblPrEx>
          <w:tblCellMar>
            <w:top w:w="0" w:type="dxa"/>
            <w:bottom w:w="0" w:type="dxa"/>
          </w:tblCellMar>
        </w:tblPrEx>
        <w:trPr>
          <w:jc w:val="center"/>
        </w:trPr>
        <w:tc>
          <w:tcPr>
            <w:tcW w:w="2848" w:type="dxa"/>
          </w:tcPr>
          <w:p w:rsidR="00000000" w:rsidRDefault="00000000">
            <w:pPr>
              <w:jc w:val="center"/>
            </w:pPr>
            <w:r>
              <w:t>Март 2000 года</w:t>
            </w:r>
          </w:p>
        </w:tc>
        <w:tc>
          <w:tcPr>
            <w:tcW w:w="2992" w:type="dxa"/>
          </w:tcPr>
          <w:p w:rsidR="00000000" w:rsidRDefault="00000000">
            <w:pPr>
              <w:jc w:val="center"/>
            </w:pPr>
            <w:r>
              <w:t>10 743 151</w:t>
            </w:r>
          </w:p>
        </w:tc>
        <w:tc>
          <w:tcPr>
            <w:tcW w:w="2453" w:type="dxa"/>
          </w:tcPr>
          <w:p w:rsidR="00000000" w:rsidRDefault="00000000">
            <w:pPr>
              <w:jc w:val="center"/>
            </w:pPr>
            <w:r>
              <w:t>7 500 401</w:t>
            </w:r>
          </w:p>
        </w:tc>
      </w:tr>
      <w:tr w:rsidR="00000000">
        <w:tblPrEx>
          <w:tblCellMar>
            <w:top w:w="0" w:type="dxa"/>
            <w:bottom w:w="0" w:type="dxa"/>
          </w:tblCellMar>
        </w:tblPrEx>
        <w:trPr>
          <w:jc w:val="center"/>
        </w:trPr>
        <w:tc>
          <w:tcPr>
            <w:tcW w:w="2848" w:type="dxa"/>
          </w:tcPr>
          <w:p w:rsidR="00000000" w:rsidRDefault="00000000">
            <w:pPr>
              <w:jc w:val="center"/>
            </w:pPr>
            <w:r>
              <w:t xml:space="preserve">Апрель </w:t>
            </w:r>
            <w:r>
              <w:rPr>
                <w:lang w:val="en-US"/>
              </w:rPr>
              <w:t>20</w:t>
            </w:r>
            <w:r>
              <w:t>00 года</w:t>
            </w:r>
          </w:p>
        </w:tc>
        <w:tc>
          <w:tcPr>
            <w:tcW w:w="2992" w:type="dxa"/>
          </w:tcPr>
          <w:p w:rsidR="00000000" w:rsidRDefault="00000000">
            <w:pPr>
              <w:jc w:val="center"/>
            </w:pPr>
            <w:r>
              <w:t>10 807 757</w:t>
            </w:r>
          </w:p>
        </w:tc>
        <w:tc>
          <w:tcPr>
            <w:tcW w:w="2453" w:type="dxa"/>
          </w:tcPr>
          <w:p w:rsidR="00000000" w:rsidRDefault="00000000">
            <w:pPr>
              <w:jc w:val="center"/>
            </w:pPr>
            <w:r>
              <w:t>7 641 348</w:t>
            </w:r>
          </w:p>
        </w:tc>
      </w:tr>
      <w:tr w:rsidR="00000000">
        <w:tblPrEx>
          <w:tblCellMar>
            <w:top w:w="0" w:type="dxa"/>
            <w:bottom w:w="0" w:type="dxa"/>
          </w:tblCellMar>
        </w:tblPrEx>
        <w:trPr>
          <w:jc w:val="center"/>
        </w:trPr>
        <w:tc>
          <w:tcPr>
            <w:tcW w:w="2848" w:type="dxa"/>
          </w:tcPr>
          <w:p w:rsidR="00000000" w:rsidRDefault="00000000">
            <w:pPr>
              <w:jc w:val="center"/>
            </w:pPr>
            <w:r>
              <w:t>Январь-апрель 2000 года</w:t>
            </w:r>
          </w:p>
        </w:tc>
        <w:tc>
          <w:tcPr>
            <w:tcW w:w="2992" w:type="dxa"/>
          </w:tcPr>
          <w:p w:rsidR="00000000" w:rsidRDefault="00000000">
            <w:pPr>
              <w:jc w:val="center"/>
            </w:pPr>
            <w:r>
              <w:t>10 674 758</w:t>
            </w:r>
          </w:p>
        </w:tc>
        <w:tc>
          <w:tcPr>
            <w:tcW w:w="2453" w:type="dxa"/>
          </w:tcPr>
          <w:p w:rsidR="00000000" w:rsidRDefault="00000000">
            <w:pPr>
              <w:jc w:val="center"/>
            </w:pPr>
            <w:r>
              <w:t>7 502 761</w:t>
            </w:r>
          </w:p>
        </w:tc>
      </w:tr>
    </w:tbl>
    <w:p w:rsidR="00000000" w:rsidRDefault="00000000">
      <w:pPr>
        <w:rPr>
          <w:b/>
          <w:spacing w:val="20"/>
          <w:kern w:val="2"/>
        </w:rPr>
      </w:pPr>
    </w:p>
    <w:p w:rsidR="00000000" w:rsidRDefault="00000000">
      <w:pPr>
        <w:tabs>
          <w:tab w:val="clear" w:pos="1701"/>
          <w:tab w:val="left" w:pos="1870"/>
        </w:tabs>
        <w:rPr>
          <w:kern w:val="2"/>
        </w:rPr>
      </w:pPr>
      <w:r>
        <w:rPr>
          <w:kern w:val="2"/>
        </w:rPr>
        <w:tab/>
      </w:r>
      <w:r>
        <w:rPr>
          <w:kern w:val="2"/>
          <w:u w:val="single"/>
        </w:rPr>
        <w:t>Источник</w:t>
      </w:r>
      <w:r>
        <w:rPr>
          <w:kern w:val="2"/>
        </w:rPr>
        <w:t>:</w:t>
      </w:r>
      <w:r>
        <w:rPr>
          <w:kern w:val="2"/>
        </w:rPr>
        <w:tab/>
        <w:t>Министерство труда и занятости - данные ЕОЗ/БИГС.  Журнал "</w:t>
      </w:r>
      <w:r>
        <w:rPr>
          <w:kern w:val="2"/>
          <w:lang w:val="en-US"/>
        </w:rPr>
        <w:t>Mercado</w:t>
      </w:r>
      <w:r>
        <w:rPr>
          <w:kern w:val="2"/>
        </w:rPr>
        <w:t xml:space="preserve"> </w:t>
      </w:r>
      <w:r>
        <w:rPr>
          <w:kern w:val="2"/>
          <w:lang w:val="en-US"/>
        </w:rPr>
        <w:t>de</w:t>
      </w:r>
      <w:r>
        <w:rPr>
          <w:kern w:val="2"/>
        </w:rPr>
        <w:t xml:space="preserve"> </w:t>
      </w:r>
      <w:r>
        <w:rPr>
          <w:kern w:val="2"/>
          <w:lang w:val="en-US"/>
        </w:rPr>
        <w:t>Trabalho</w:t>
      </w:r>
      <w:r>
        <w:rPr>
          <w:kern w:val="2"/>
        </w:rPr>
        <w:t xml:space="preserve"> – </w:t>
      </w:r>
      <w:r>
        <w:rPr>
          <w:kern w:val="2"/>
          <w:lang w:val="en-US"/>
        </w:rPr>
        <w:t>Conjuntura</w:t>
      </w:r>
      <w:r>
        <w:rPr>
          <w:kern w:val="2"/>
        </w:rPr>
        <w:t xml:space="preserve"> </w:t>
      </w:r>
      <w:r>
        <w:rPr>
          <w:kern w:val="2"/>
          <w:lang w:val="en-US"/>
        </w:rPr>
        <w:t>e</w:t>
      </w:r>
      <w:r>
        <w:rPr>
          <w:kern w:val="2"/>
        </w:rPr>
        <w:t xml:space="preserve"> </w:t>
      </w:r>
      <w:r>
        <w:rPr>
          <w:kern w:val="2"/>
          <w:lang w:val="en-US"/>
        </w:rPr>
        <w:t>An</w:t>
      </w:r>
      <w:r>
        <w:rPr>
          <w:kern w:val="2"/>
        </w:rPr>
        <w:t>á</w:t>
      </w:r>
      <w:r>
        <w:rPr>
          <w:kern w:val="2"/>
          <w:lang w:val="en-US"/>
        </w:rPr>
        <w:t>lise</w:t>
      </w:r>
      <w:r>
        <w:rPr>
          <w:kern w:val="2"/>
        </w:rPr>
        <w:t>", пятый год издания, июнь 2000</w:t>
      </w:r>
      <w:r>
        <w:rPr>
          <w:kern w:val="2"/>
          <w:lang w:val="en-US"/>
        </w:rPr>
        <w:t> </w:t>
      </w:r>
      <w:r>
        <w:rPr>
          <w:kern w:val="2"/>
        </w:rPr>
        <w:t>года.</w:t>
      </w:r>
    </w:p>
    <w:p w:rsidR="00000000" w:rsidRDefault="00000000"/>
    <w:p w:rsidR="00000000" w:rsidRDefault="00000000"/>
    <w:p w:rsidR="00000000" w:rsidRDefault="00000000">
      <w:pPr>
        <w:spacing w:line="216" w:lineRule="auto"/>
        <w:jc w:val="center"/>
        <w:rPr>
          <w:b/>
          <w:bCs/>
          <w:kern w:val="2"/>
        </w:rPr>
      </w:pPr>
      <w:r>
        <w:rPr>
          <w:b/>
          <w:bCs/>
          <w:kern w:val="2"/>
        </w:rPr>
        <w:t>Таблица 21.   ЭАН в разбивке по положению в семье</w:t>
      </w:r>
    </w:p>
    <w:p w:rsidR="00000000" w:rsidRDefault="00000000">
      <w:pPr>
        <w:spacing w:line="216" w:lineRule="auto"/>
        <w:jc w:val="center"/>
        <w:rPr>
          <w:b/>
          <w:bCs/>
          <w:kern w:val="2"/>
        </w:rPr>
      </w:pPr>
    </w:p>
    <w:tbl>
      <w:tblPr>
        <w:tblW w:w="941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2268"/>
        <w:gridCol w:w="1418"/>
        <w:gridCol w:w="1474"/>
        <w:gridCol w:w="1418"/>
        <w:gridCol w:w="1418"/>
        <w:gridCol w:w="1418"/>
      </w:tblGrid>
      <w:tr w:rsidR="00000000">
        <w:tc>
          <w:tcPr>
            <w:tcW w:w="2268" w:type="dxa"/>
            <w:vAlign w:val="center"/>
          </w:tcPr>
          <w:p w:rsidR="00000000" w:rsidRDefault="00000000">
            <w:pPr>
              <w:pStyle w:val="16"/>
              <w:spacing w:line="240" w:lineRule="auto"/>
            </w:pPr>
            <w:r>
              <w:t>Период</w:t>
            </w:r>
          </w:p>
        </w:tc>
        <w:tc>
          <w:tcPr>
            <w:tcW w:w="1418" w:type="dxa"/>
            <w:vAlign w:val="center"/>
          </w:tcPr>
          <w:p w:rsidR="00000000" w:rsidRDefault="00000000">
            <w:pPr>
              <w:spacing w:line="240" w:lineRule="auto"/>
              <w:jc w:val="center"/>
            </w:pPr>
            <w:r>
              <w:t>Глава семьи</w:t>
            </w:r>
          </w:p>
        </w:tc>
        <w:tc>
          <w:tcPr>
            <w:tcW w:w="1474" w:type="dxa"/>
            <w:vAlign w:val="center"/>
          </w:tcPr>
          <w:p w:rsidR="00000000" w:rsidRDefault="00000000">
            <w:pPr>
              <w:spacing w:line="240" w:lineRule="auto"/>
              <w:jc w:val="center"/>
              <w:rPr>
                <w:sz w:val="22"/>
              </w:rPr>
            </w:pPr>
            <w:r>
              <w:rPr>
                <w:sz w:val="22"/>
              </w:rPr>
              <w:t>Находящийся на иждивении супруг/ супруга</w:t>
            </w:r>
          </w:p>
        </w:tc>
        <w:tc>
          <w:tcPr>
            <w:tcW w:w="1418" w:type="dxa"/>
            <w:vAlign w:val="center"/>
          </w:tcPr>
          <w:p w:rsidR="00000000" w:rsidRDefault="00000000">
            <w:pPr>
              <w:spacing w:line="240" w:lineRule="auto"/>
              <w:jc w:val="center"/>
            </w:pPr>
            <w:r>
              <w:t>Дети</w:t>
            </w:r>
          </w:p>
        </w:tc>
        <w:tc>
          <w:tcPr>
            <w:tcW w:w="1418" w:type="dxa"/>
            <w:vAlign w:val="center"/>
          </w:tcPr>
          <w:p w:rsidR="00000000" w:rsidRDefault="00000000">
            <w:pPr>
              <w:spacing w:line="240" w:lineRule="auto"/>
              <w:jc w:val="center"/>
            </w:pPr>
            <w:r>
              <w:t>Прочие члены семьи</w:t>
            </w:r>
          </w:p>
        </w:tc>
        <w:tc>
          <w:tcPr>
            <w:tcW w:w="1418" w:type="dxa"/>
            <w:vAlign w:val="center"/>
          </w:tcPr>
          <w:p w:rsidR="00000000" w:rsidRDefault="00000000">
            <w:pPr>
              <w:spacing w:line="240" w:lineRule="auto"/>
              <w:jc w:val="center"/>
            </w:pPr>
            <w:r>
              <w:t>Всего</w:t>
            </w:r>
          </w:p>
        </w:tc>
      </w:tr>
      <w:tr w:rsidR="00000000">
        <w:tc>
          <w:tcPr>
            <w:tcW w:w="2268" w:type="dxa"/>
            <w:vAlign w:val="center"/>
          </w:tcPr>
          <w:p w:rsidR="00000000" w:rsidRDefault="00000000">
            <w:pPr>
              <w:spacing w:line="240" w:lineRule="auto"/>
              <w:jc w:val="center"/>
              <w:rPr>
                <w:sz w:val="22"/>
              </w:rPr>
            </w:pPr>
            <w:r>
              <w:rPr>
                <w:sz w:val="22"/>
              </w:rPr>
              <w:t>1991 год</w:t>
            </w:r>
          </w:p>
        </w:tc>
        <w:tc>
          <w:tcPr>
            <w:tcW w:w="1418" w:type="dxa"/>
            <w:vAlign w:val="center"/>
          </w:tcPr>
          <w:p w:rsidR="00000000" w:rsidRDefault="00000000">
            <w:pPr>
              <w:spacing w:line="240" w:lineRule="auto"/>
              <w:jc w:val="center"/>
            </w:pPr>
            <w:r>
              <w:t>7 982 033</w:t>
            </w:r>
          </w:p>
        </w:tc>
        <w:tc>
          <w:tcPr>
            <w:tcW w:w="1474" w:type="dxa"/>
            <w:vAlign w:val="center"/>
          </w:tcPr>
          <w:p w:rsidR="00000000" w:rsidRDefault="00000000">
            <w:pPr>
              <w:pStyle w:val="16"/>
              <w:spacing w:line="240" w:lineRule="auto"/>
            </w:pPr>
            <w:r>
              <w:t>2 671 412</w:t>
            </w:r>
          </w:p>
        </w:tc>
        <w:tc>
          <w:tcPr>
            <w:tcW w:w="1418" w:type="dxa"/>
            <w:vAlign w:val="center"/>
          </w:tcPr>
          <w:p w:rsidR="00000000" w:rsidRDefault="00000000">
            <w:pPr>
              <w:spacing w:line="240" w:lineRule="auto"/>
              <w:jc w:val="center"/>
            </w:pPr>
            <w:r>
              <w:t>4 101 100</w:t>
            </w:r>
          </w:p>
        </w:tc>
        <w:tc>
          <w:tcPr>
            <w:tcW w:w="1418" w:type="dxa"/>
            <w:vAlign w:val="center"/>
          </w:tcPr>
          <w:p w:rsidR="00000000" w:rsidRDefault="00000000">
            <w:pPr>
              <w:spacing w:line="240" w:lineRule="auto"/>
              <w:jc w:val="center"/>
            </w:pPr>
            <w:r>
              <w:t>1 093 650</w:t>
            </w:r>
          </w:p>
        </w:tc>
        <w:tc>
          <w:tcPr>
            <w:tcW w:w="1418" w:type="dxa"/>
            <w:vAlign w:val="center"/>
          </w:tcPr>
          <w:p w:rsidR="00000000" w:rsidRDefault="00000000">
            <w:pPr>
              <w:spacing w:line="240" w:lineRule="auto"/>
              <w:jc w:val="center"/>
            </w:pPr>
            <w:r>
              <w:t>15 848 195</w:t>
            </w:r>
          </w:p>
        </w:tc>
      </w:tr>
      <w:tr w:rsidR="00000000">
        <w:tc>
          <w:tcPr>
            <w:tcW w:w="2268" w:type="dxa"/>
            <w:vAlign w:val="center"/>
          </w:tcPr>
          <w:p w:rsidR="00000000" w:rsidRDefault="00000000">
            <w:pPr>
              <w:spacing w:line="240" w:lineRule="auto"/>
              <w:jc w:val="center"/>
              <w:rPr>
                <w:sz w:val="22"/>
              </w:rPr>
            </w:pPr>
            <w:r>
              <w:rPr>
                <w:sz w:val="22"/>
              </w:rPr>
              <w:t>1992 год</w:t>
            </w:r>
          </w:p>
        </w:tc>
        <w:tc>
          <w:tcPr>
            <w:tcW w:w="1418" w:type="dxa"/>
            <w:vAlign w:val="center"/>
          </w:tcPr>
          <w:p w:rsidR="00000000" w:rsidRDefault="00000000">
            <w:pPr>
              <w:spacing w:line="240" w:lineRule="auto"/>
              <w:jc w:val="center"/>
            </w:pPr>
            <w:r>
              <w:t>8 028 371</w:t>
            </w:r>
          </w:p>
        </w:tc>
        <w:tc>
          <w:tcPr>
            <w:tcW w:w="1474" w:type="dxa"/>
            <w:vAlign w:val="center"/>
          </w:tcPr>
          <w:p w:rsidR="00000000" w:rsidRDefault="00000000">
            <w:pPr>
              <w:spacing w:line="240" w:lineRule="auto"/>
              <w:jc w:val="center"/>
            </w:pPr>
            <w:r>
              <w:t>2 650 555</w:t>
            </w:r>
          </w:p>
        </w:tc>
        <w:tc>
          <w:tcPr>
            <w:tcW w:w="1418" w:type="dxa"/>
            <w:vAlign w:val="center"/>
          </w:tcPr>
          <w:p w:rsidR="00000000" w:rsidRDefault="00000000">
            <w:pPr>
              <w:spacing w:line="240" w:lineRule="auto"/>
              <w:jc w:val="center"/>
            </w:pPr>
            <w:r>
              <w:t>4 191 551</w:t>
            </w:r>
          </w:p>
        </w:tc>
        <w:tc>
          <w:tcPr>
            <w:tcW w:w="1418" w:type="dxa"/>
            <w:vAlign w:val="center"/>
          </w:tcPr>
          <w:p w:rsidR="00000000" w:rsidRDefault="00000000">
            <w:pPr>
              <w:spacing w:line="240" w:lineRule="auto"/>
              <w:jc w:val="center"/>
            </w:pPr>
            <w:r>
              <w:t>1 061 421</w:t>
            </w:r>
          </w:p>
        </w:tc>
        <w:tc>
          <w:tcPr>
            <w:tcW w:w="1418" w:type="dxa"/>
            <w:vAlign w:val="center"/>
          </w:tcPr>
          <w:p w:rsidR="00000000" w:rsidRDefault="00000000">
            <w:pPr>
              <w:spacing w:line="240" w:lineRule="auto"/>
              <w:jc w:val="center"/>
            </w:pPr>
            <w:r>
              <w:t>15 931 898</w:t>
            </w:r>
          </w:p>
        </w:tc>
      </w:tr>
      <w:tr w:rsidR="00000000">
        <w:tc>
          <w:tcPr>
            <w:tcW w:w="2268" w:type="dxa"/>
            <w:vAlign w:val="center"/>
          </w:tcPr>
          <w:p w:rsidR="00000000" w:rsidRDefault="00000000">
            <w:pPr>
              <w:spacing w:line="240" w:lineRule="auto"/>
              <w:jc w:val="center"/>
              <w:rPr>
                <w:sz w:val="22"/>
              </w:rPr>
            </w:pPr>
            <w:r>
              <w:rPr>
                <w:sz w:val="22"/>
              </w:rPr>
              <w:t>1993 год</w:t>
            </w:r>
          </w:p>
        </w:tc>
        <w:tc>
          <w:tcPr>
            <w:tcW w:w="1418" w:type="dxa"/>
            <w:vAlign w:val="center"/>
          </w:tcPr>
          <w:p w:rsidR="00000000" w:rsidRDefault="00000000">
            <w:pPr>
              <w:spacing w:line="240" w:lineRule="auto"/>
              <w:jc w:val="center"/>
            </w:pPr>
            <w:r>
              <w:t>8 100 633</w:t>
            </w:r>
          </w:p>
        </w:tc>
        <w:tc>
          <w:tcPr>
            <w:tcW w:w="1474" w:type="dxa"/>
            <w:vAlign w:val="center"/>
          </w:tcPr>
          <w:p w:rsidR="00000000" w:rsidRDefault="00000000">
            <w:pPr>
              <w:spacing w:line="240" w:lineRule="auto"/>
              <w:jc w:val="center"/>
            </w:pPr>
            <w:r>
              <w:t>2 695 080</w:t>
            </w:r>
          </w:p>
        </w:tc>
        <w:tc>
          <w:tcPr>
            <w:tcW w:w="1418" w:type="dxa"/>
            <w:vAlign w:val="center"/>
          </w:tcPr>
          <w:p w:rsidR="00000000" w:rsidRDefault="00000000">
            <w:pPr>
              <w:spacing w:line="240" w:lineRule="auto"/>
              <w:jc w:val="center"/>
            </w:pPr>
            <w:r>
              <w:t>4 252 416</w:t>
            </w:r>
          </w:p>
        </w:tc>
        <w:tc>
          <w:tcPr>
            <w:tcW w:w="1418" w:type="dxa"/>
            <w:vAlign w:val="center"/>
          </w:tcPr>
          <w:p w:rsidR="00000000" w:rsidRDefault="00000000">
            <w:pPr>
              <w:spacing w:line="240" w:lineRule="auto"/>
              <w:jc w:val="center"/>
            </w:pPr>
            <w:r>
              <w:t>1 008 521</w:t>
            </w:r>
          </w:p>
        </w:tc>
        <w:tc>
          <w:tcPr>
            <w:tcW w:w="1418" w:type="dxa"/>
            <w:vAlign w:val="center"/>
          </w:tcPr>
          <w:p w:rsidR="00000000" w:rsidRDefault="00000000">
            <w:pPr>
              <w:spacing w:line="240" w:lineRule="auto"/>
              <w:jc w:val="center"/>
            </w:pPr>
            <w:r>
              <w:t>16 056 650</w:t>
            </w:r>
          </w:p>
        </w:tc>
      </w:tr>
      <w:tr w:rsidR="00000000">
        <w:tc>
          <w:tcPr>
            <w:tcW w:w="2268" w:type="dxa"/>
            <w:vAlign w:val="center"/>
          </w:tcPr>
          <w:p w:rsidR="00000000" w:rsidRDefault="00000000">
            <w:pPr>
              <w:spacing w:line="240" w:lineRule="auto"/>
              <w:jc w:val="center"/>
              <w:rPr>
                <w:sz w:val="22"/>
              </w:rPr>
            </w:pPr>
            <w:r>
              <w:rPr>
                <w:sz w:val="22"/>
              </w:rPr>
              <w:t>1994 год</w:t>
            </w:r>
          </w:p>
        </w:tc>
        <w:tc>
          <w:tcPr>
            <w:tcW w:w="1418" w:type="dxa"/>
            <w:vAlign w:val="center"/>
          </w:tcPr>
          <w:p w:rsidR="00000000" w:rsidRDefault="00000000">
            <w:pPr>
              <w:spacing w:line="240" w:lineRule="auto"/>
              <w:jc w:val="center"/>
            </w:pPr>
            <w:r>
              <w:t>8 342 412</w:t>
            </w:r>
          </w:p>
        </w:tc>
        <w:tc>
          <w:tcPr>
            <w:tcW w:w="1474" w:type="dxa"/>
            <w:vAlign w:val="center"/>
          </w:tcPr>
          <w:p w:rsidR="00000000" w:rsidRDefault="00000000">
            <w:pPr>
              <w:spacing w:line="240" w:lineRule="auto"/>
              <w:jc w:val="center"/>
            </w:pPr>
            <w:r>
              <w:t>2 909 325</w:t>
            </w:r>
          </w:p>
        </w:tc>
        <w:tc>
          <w:tcPr>
            <w:tcW w:w="1418" w:type="dxa"/>
            <w:vAlign w:val="center"/>
          </w:tcPr>
          <w:p w:rsidR="00000000" w:rsidRDefault="00000000">
            <w:pPr>
              <w:spacing w:line="240" w:lineRule="auto"/>
              <w:jc w:val="center"/>
            </w:pPr>
            <w:r>
              <w:t>4 187 035</w:t>
            </w:r>
          </w:p>
        </w:tc>
        <w:tc>
          <w:tcPr>
            <w:tcW w:w="1418" w:type="dxa"/>
            <w:vAlign w:val="center"/>
          </w:tcPr>
          <w:p w:rsidR="00000000" w:rsidRDefault="00000000">
            <w:pPr>
              <w:spacing w:line="240" w:lineRule="auto"/>
              <w:jc w:val="center"/>
            </w:pPr>
            <w:r>
              <w:t>992 971</w:t>
            </w:r>
          </w:p>
        </w:tc>
        <w:tc>
          <w:tcPr>
            <w:tcW w:w="1418" w:type="dxa"/>
            <w:vAlign w:val="center"/>
          </w:tcPr>
          <w:p w:rsidR="00000000" w:rsidRDefault="00000000">
            <w:pPr>
              <w:spacing w:line="240" w:lineRule="auto"/>
              <w:jc w:val="center"/>
            </w:pPr>
            <w:r>
              <w:t>16 431 743</w:t>
            </w:r>
          </w:p>
        </w:tc>
      </w:tr>
      <w:tr w:rsidR="00000000">
        <w:tc>
          <w:tcPr>
            <w:tcW w:w="2268" w:type="dxa"/>
            <w:vAlign w:val="center"/>
          </w:tcPr>
          <w:p w:rsidR="00000000" w:rsidRDefault="00000000">
            <w:pPr>
              <w:pStyle w:val="16"/>
              <w:spacing w:line="240" w:lineRule="auto"/>
              <w:rPr>
                <w:sz w:val="22"/>
              </w:rPr>
            </w:pPr>
            <w:r>
              <w:rPr>
                <w:sz w:val="22"/>
              </w:rPr>
              <w:t>1995 год</w:t>
            </w:r>
          </w:p>
        </w:tc>
        <w:tc>
          <w:tcPr>
            <w:tcW w:w="1418" w:type="dxa"/>
            <w:vAlign w:val="center"/>
          </w:tcPr>
          <w:p w:rsidR="00000000" w:rsidRDefault="00000000">
            <w:pPr>
              <w:spacing w:line="240" w:lineRule="auto"/>
              <w:jc w:val="center"/>
            </w:pPr>
            <w:r>
              <w:t>8 429 028</w:t>
            </w:r>
          </w:p>
        </w:tc>
        <w:tc>
          <w:tcPr>
            <w:tcW w:w="1474" w:type="dxa"/>
            <w:vAlign w:val="center"/>
          </w:tcPr>
          <w:p w:rsidR="00000000" w:rsidRDefault="00000000">
            <w:pPr>
              <w:spacing w:line="240" w:lineRule="auto"/>
              <w:jc w:val="center"/>
            </w:pPr>
            <w:r>
              <w:t>3 007 101</w:t>
            </w:r>
          </w:p>
        </w:tc>
        <w:tc>
          <w:tcPr>
            <w:tcW w:w="1418" w:type="dxa"/>
            <w:vAlign w:val="center"/>
          </w:tcPr>
          <w:p w:rsidR="00000000" w:rsidRDefault="00000000">
            <w:pPr>
              <w:spacing w:line="240" w:lineRule="auto"/>
              <w:jc w:val="center"/>
            </w:pPr>
            <w:r>
              <w:t>4 333 965</w:t>
            </w:r>
          </w:p>
        </w:tc>
        <w:tc>
          <w:tcPr>
            <w:tcW w:w="1418" w:type="dxa"/>
            <w:vAlign w:val="center"/>
          </w:tcPr>
          <w:p w:rsidR="00000000" w:rsidRDefault="00000000">
            <w:pPr>
              <w:spacing w:line="240" w:lineRule="auto"/>
              <w:jc w:val="center"/>
            </w:pPr>
            <w:r>
              <w:t>984 588</w:t>
            </w:r>
          </w:p>
        </w:tc>
        <w:tc>
          <w:tcPr>
            <w:tcW w:w="1418" w:type="dxa"/>
            <w:vAlign w:val="center"/>
          </w:tcPr>
          <w:p w:rsidR="00000000" w:rsidRDefault="00000000">
            <w:pPr>
              <w:spacing w:line="240" w:lineRule="auto"/>
              <w:jc w:val="center"/>
            </w:pPr>
            <w:r>
              <w:t>16 754 681</w:t>
            </w:r>
          </w:p>
        </w:tc>
      </w:tr>
      <w:tr w:rsidR="00000000">
        <w:tc>
          <w:tcPr>
            <w:tcW w:w="2268" w:type="dxa"/>
            <w:vAlign w:val="center"/>
          </w:tcPr>
          <w:p w:rsidR="00000000" w:rsidRDefault="00000000">
            <w:pPr>
              <w:spacing w:line="240" w:lineRule="auto"/>
              <w:jc w:val="center"/>
              <w:rPr>
                <w:sz w:val="22"/>
              </w:rPr>
            </w:pPr>
            <w:r>
              <w:rPr>
                <w:sz w:val="22"/>
              </w:rPr>
              <w:t>1996 год</w:t>
            </w:r>
          </w:p>
        </w:tc>
        <w:tc>
          <w:tcPr>
            <w:tcW w:w="1418" w:type="dxa"/>
            <w:vAlign w:val="center"/>
          </w:tcPr>
          <w:p w:rsidR="00000000" w:rsidRDefault="00000000">
            <w:pPr>
              <w:spacing w:line="240" w:lineRule="auto"/>
              <w:jc w:val="center"/>
            </w:pPr>
            <w:r>
              <w:t>8 577 345</w:t>
            </w:r>
          </w:p>
        </w:tc>
        <w:tc>
          <w:tcPr>
            <w:tcW w:w="1474" w:type="dxa"/>
            <w:vAlign w:val="center"/>
          </w:tcPr>
          <w:p w:rsidR="00000000" w:rsidRDefault="00000000">
            <w:pPr>
              <w:spacing w:line="240" w:lineRule="auto"/>
              <w:jc w:val="center"/>
            </w:pPr>
            <w:r>
              <w:t>3 156 468</w:t>
            </w:r>
          </w:p>
        </w:tc>
        <w:tc>
          <w:tcPr>
            <w:tcW w:w="1418" w:type="dxa"/>
            <w:vAlign w:val="center"/>
          </w:tcPr>
          <w:p w:rsidR="00000000" w:rsidRDefault="00000000">
            <w:pPr>
              <w:spacing w:line="240" w:lineRule="auto"/>
              <w:jc w:val="center"/>
            </w:pPr>
            <w:r>
              <w:t>4 487 067</w:t>
            </w:r>
          </w:p>
        </w:tc>
        <w:tc>
          <w:tcPr>
            <w:tcW w:w="1418" w:type="dxa"/>
            <w:vAlign w:val="center"/>
          </w:tcPr>
          <w:p w:rsidR="00000000" w:rsidRDefault="00000000">
            <w:pPr>
              <w:spacing w:line="240" w:lineRule="auto"/>
              <w:jc w:val="center"/>
            </w:pPr>
            <w:r>
              <w:t>1 052 728</w:t>
            </w:r>
          </w:p>
        </w:tc>
        <w:tc>
          <w:tcPr>
            <w:tcW w:w="1418" w:type="dxa"/>
            <w:vAlign w:val="center"/>
          </w:tcPr>
          <w:p w:rsidR="00000000" w:rsidRDefault="00000000">
            <w:pPr>
              <w:spacing w:line="240" w:lineRule="auto"/>
              <w:jc w:val="center"/>
            </w:pPr>
            <w:r>
              <w:t>17 273 609</w:t>
            </w:r>
          </w:p>
        </w:tc>
      </w:tr>
      <w:tr w:rsidR="00000000">
        <w:tc>
          <w:tcPr>
            <w:tcW w:w="2268" w:type="dxa"/>
            <w:vAlign w:val="center"/>
          </w:tcPr>
          <w:p w:rsidR="00000000" w:rsidRDefault="00000000">
            <w:pPr>
              <w:spacing w:line="240" w:lineRule="auto"/>
              <w:jc w:val="center"/>
              <w:rPr>
                <w:sz w:val="22"/>
              </w:rPr>
            </w:pPr>
            <w:r>
              <w:rPr>
                <w:sz w:val="22"/>
              </w:rPr>
              <w:t>1997 год</w:t>
            </w:r>
          </w:p>
        </w:tc>
        <w:tc>
          <w:tcPr>
            <w:tcW w:w="1418" w:type="dxa"/>
            <w:vAlign w:val="center"/>
          </w:tcPr>
          <w:p w:rsidR="00000000" w:rsidRDefault="00000000">
            <w:pPr>
              <w:spacing w:line="240" w:lineRule="auto"/>
              <w:jc w:val="center"/>
            </w:pPr>
            <w:r>
              <w:t>8 639 928</w:t>
            </w:r>
          </w:p>
        </w:tc>
        <w:tc>
          <w:tcPr>
            <w:tcW w:w="1474" w:type="dxa"/>
            <w:vAlign w:val="center"/>
          </w:tcPr>
          <w:p w:rsidR="00000000" w:rsidRDefault="00000000">
            <w:pPr>
              <w:spacing w:line="240" w:lineRule="auto"/>
              <w:jc w:val="center"/>
            </w:pPr>
            <w:r>
              <w:t>3 183 918</w:t>
            </w:r>
          </w:p>
        </w:tc>
        <w:tc>
          <w:tcPr>
            <w:tcW w:w="1418" w:type="dxa"/>
            <w:vAlign w:val="center"/>
          </w:tcPr>
          <w:p w:rsidR="00000000" w:rsidRDefault="00000000">
            <w:pPr>
              <w:spacing w:line="240" w:lineRule="auto"/>
              <w:jc w:val="center"/>
            </w:pPr>
            <w:r>
              <w:t>4 530 240</w:t>
            </w:r>
          </w:p>
        </w:tc>
        <w:tc>
          <w:tcPr>
            <w:tcW w:w="1418" w:type="dxa"/>
            <w:vAlign w:val="center"/>
          </w:tcPr>
          <w:p w:rsidR="00000000" w:rsidRDefault="00000000">
            <w:pPr>
              <w:spacing w:line="240" w:lineRule="auto"/>
              <w:jc w:val="center"/>
            </w:pPr>
            <w:r>
              <w:t>1 014 144</w:t>
            </w:r>
          </w:p>
        </w:tc>
        <w:tc>
          <w:tcPr>
            <w:tcW w:w="1418" w:type="dxa"/>
            <w:vAlign w:val="center"/>
          </w:tcPr>
          <w:p w:rsidR="00000000" w:rsidRDefault="00000000">
            <w:pPr>
              <w:spacing w:line="240" w:lineRule="auto"/>
              <w:jc w:val="center"/>
            </w:pPr>
            <w:r>
              <w:t>17 368 230</w:t>
            </w:r>
          </w:p>
        </w:tc>
      </w:tr>
      <w:tr w:rsidR="00000000">
        <w:tc>
          <w:tcPr>
            <w:tcW w:w="2268" w:type="dxa"/>
            <w:vAlign w:val="center"/>
          </w:tcPr>
          <w:p w:rsidR="00000000" w:rsidRDefault="00000000">
            <w:pPr>
              <w:spacing w:line="240" w:lineRule="auto"/>
              <w:jc w:val="center"/>
              <w:rPr>
                <w:sz w:val="22"/>
              </w:rPr>
            </w:pPr>
            <w:r>
              <w:rPr>
                <w:sz w:val="22"/>
              </w:rPr>
              <w:t>1998 год</w:t>
            </w:r>
          </w:p>
        </w:tc>
        <w:tc>
          <w:tcPr>
            <w:tcW w:w="1418" w:type="dxa"/>
            <w:vAlign w:val="center"/>
          </w:tcPr>
          <w:p w:rsidR="00000000" w:rsidRDefault="00000000">
            <w:pPr>
              <w:spacing w:line="240" w:lineRule="auto"/>
              <w:jc w:val="center"/>
            </w:pPr>
            <w:r>
              <w:t>8 654 771</w:t>
            </w:r>
          </w:p>
        </w:tc>
        <w:tc>
          <w:tcPr>
            <w:tcW w:w="1474" w:type="dxa"/>
            <w:vAlign w:val="center"/>
          </w:tcPr>
          <w:p w:rsidR="00000000" w:rsidRDefault="00000000">
            <w:pPr>
              <w:spacing w:line="240" w:lineRule="auto"/>
              <w:jc w:val="center"/>
            </w:pPr>
            <w:r>
              <w:t>3 260 708</w:t>
            </w:r>
          </w:p>
        </w:tc>
        <w:tc>
          <w:tcPr>
            <w:tcW w:w="1418" w:type="dxa"/>
            <w:vAlign w:val="center"/>
          </w:tcPr>
          <w:p w:rsidR="00000000" w:rsidRDefault="00000000">
            <w:pPr>
              <w:spacing w:line="240" w:lineRule="auto"/>
              <w:jc w:val="center"/>
            </w:pPr>
            <w:r>
              <w:t>4 678 905</w:t>
            </w:r>
          </w:p>
        </w:tc>
        <w:tc>
          <w:tcPr>
            <w:tcW w:w="1418" w:type="dxa"/>
            <w:vAlign w:val="center"/>
          </w:tcPr>
          <w:p w:rsidR="00000000" w:rsidRDefault="00000000">
            <w:pPr>
              <w:spacing w:line="240" w:lineRule="auto"/>
              <w:jc w:val="center"/>
            </w:pPr>
            <w:r>
              <w:t>1 090 925</w:t>
            </w:r>
          </w:p>
        </w:tc>
        <w:tc>
          <w:tcPr>
            <w:tcW w:w="1418" w:type="dxa"/>
            <w:vAlign w:val="center"/>
          </w:tcPr>
          <w:p w:rsidR="00000000" w:rsidRDefault="00000000">
            <w:pPr>
              <w:spacing w:line="240" w:lineRule="auto"/>
              <w:jc w:val="center"/>
            </w:pPr>
            <w:r>
              <w:t>17 685 310</w:t>
            </w:r>
          </w:p>
        </w:tc>
      </w:tr>
      <w:tr w:rsidR="00000000">
        <w:tc>
          <w:tcPr>
            <w:tcW w:w="2268" w:type="dxa"/>
            <w:vAlign w:val="center"/>
          </w:tcPr>
          <w:p w:rsidR="00000000" w:rsidRDefault="00000000">
            <w:pPr>
              <w:spacing w:line="240" w:lineRule="auto"/>
              <w:jc w:val="center"/>
              <w:rPr>
                <w:sz w:val="22"/>
              </w:rPr>
            </w:pPr>
            <w:r>
              <w:rPr>
                <w:sz w:val="22"/>
              </w:rPr>
              <w:t>1999 год</w:t>
            </w:r>
          </w:p>
        </w:tc>
        <w:tc>
          <w:tcPr>
            <w:tcW w:w="1418" w:type="dxa"/>
            <w:vAlign w:val="center"/>
          </w:tcPr>
          <w:p w:rsidR="00000000" w:rsidRDefault="00000000">
            <w:pPr>
              <w:spacing w:line="240" w:lineRule="auto"/>
              <w:jc w:val="center"/>
            </w:pPr>
            <w:r>
              <w:t>8 720 040</w:t>
            </w:r>
          </w:p>
        </w:tc>
        <w:tc>
          <w:tcPr>
            <w:tcW w:w="1474" w:type="dxa"/>
            <w:vAlign w:val="center"/>
          </w:tcPr>
          <w:p w:rsidR="00000000" w:rsidRDefault="00000000">
            <w:pPr>
              <w:spacing w:line="240" w:lineRule="auto"/>
              <w:jc w:val="center"/>
            </w:pPr>
            <w:r>
              <w:t>3 267 549</w:t>
            </w:r>
          </w:p>
        </w:tc>
        <w:tc>
          <w:tcPr>
            <w:tcW w:w="1418" w:type="dxa"/>
            <w:vAlign w:val="center"/>
          </w:tcPr>
          <w:p w:rsidR="00000000" w:rsidRDefault="00000000">
            <w:pPr>
              <w:spacing w:line="240" w:lineRule="auto"/>
              <w:jc w:val="center"/>
            </w:pPr>
            <w:r>
              <w:t>4 696 605</w:t>
            </w:r>
          </w:p>
        </w:tc>
        <w:tc>
          <w:tcPr>
            <w:tcW w:w="1418" w:type="dxa"/>
            <w:vAlign w:val="center"/>
          </w:tcPr>
          <w:p w:rsidR="00000000" w:rsidRDefault="00000000">
            <w:pPr>
              <w:spacing w:line="240" w:lineRule="auto"/>
              <w:jc w:val="center"/>
            </w:pPr>
            <w:r>
              <w:t>1 036 926</w:t>
            </w:r>
          </w:p>
        </w:tc>
        <w:tc>
          <w:tcPr>
            <w:tcW w:w="1418" w:type="dxa"/>
            <w:vAlign w:val="center"/>
          </w:tcPr>
          <w:p w:rsidR="00000000" w:rsidRDefault="00000000">
            <w:pPr>
              <w:spacing w:line="240" w:lineRule="auto"/>
              <w:jc w:val="center"/>
            </w:pPr>
            <w:r>
              <w:t>17 721 120</w:t>
            </w:r>
          </w:p>
        </w:tc>
      </w:tr>
      <w:tr w:rsidR="00000000">
        <w:tc>
          <w:tcPr>
            <w:tcW w:w="2268" w:type="dxa"/>
            <w:vAlign w:val="center"/>
          </w:tcPr>
          <w:p w:rsidR="00000000" w:rsidRDefault="00000000">
            <w:pPr>
              <w:pStyle w:val="16"/>
              <w:spacing w:line="240" w:lineRule="auto"/>
              <w:rPr>
                <w:iCs/>
                <w:sz w:val="22"/>
              </w:rPr>
            </w:pPr>
            <w:r>
              <w:rPr>
                <w:iCs/>
                <w:sz w:val="22"/>
              </w:rPr>
              <w:t>Январь-апрель 1999 года</w:t>
            </w:r>
          </w:p>
        </w:tc>
        <w:tc>
          <w:tcPr>
            <w:tcW w:w="1418" w:type="dxa"/>
            <w:vAlign w:val="center"/>
          </w:tcPr>
          <w:p w:rsidR="00000000" w:rsidRDefault="00000000">
            <w:pPr>
              <w:spacing w:line="240" w:lineRule="auto"/>
              <w:jc w:val="center"/>
            </w:pPr>
            <w:r>
              <w:t>8 609 247</w:t>
            </w:r>
          </w:p>
        </w:tc>
        <w:tc>
          <w:tcPr>
            <w:tcW w:w="1474" w:type="dxa"/>
            <w:vAlign w:val="center"/>
          </w:tcPr>
          <w:p w:rsidR="00000000" w:rsidRDefault="00000000">
            <w:pPr>
              <w:spacing w:line="240" w:lineRule="auto"/>
              <w:jc w:val="center"/>
            </w:pPr>
            <w:r>
              <w:t>3 202 754</w:t>
            </w:r>
          </w:p>
        </w:tc>
        <w:tc>
          <w:tcPr>
            <w:tcW w:w="1418" w:type="dxa"/>
            <w:vAlign w:val="center"/>
          </w:tcPr>
          <w:p w:rsidR="00000000" w:rsidRDefault="00000000">
            <w:pPr>
              <w:spacing w:line="240" w:lineRule="auto"/>
              <w:jc w:val="center"/>
            </w:pPr>
            <w:r>
              <w:t>4 663 116</w:t>
            </w:r>
          </w:p>
        </w:tc>
        <w:tc>
          <w:tcPr>
            <w:tcW w:w="1418" w:type="dxa"/>
            <w:vAlign w:val="center"/>
          </w:tcPr>
          <w:p w:rsidR="00000000" w:rsidRDefault="00000000">
            <w:pPr>
              <w:spacing w:line="240" w:lineRule="auto"/>
              <w:jc w:val="center"/>
            </w:pPr>
            <w:r>
              <w:t>1 031 316</w:t>
            </w:r>
          </w:p>
        </w:tc>
        <w:tc>
          <w:tcPr>
            <w:tcW w:w="1418" w:type="dxa"/>
            <w:vAlign w:val="center"/>
          </w:tcPr>
          <w:p w:rsidR="00000000" w:rsidRDefault="00000000">
            <w:pPr>
              <w:spacing w:line="240" w:lineRule="auto"/>
              <w:jc w:val="center"/>
            </w:pPr>
            <w:r>
              <w:t>17 506 433</w:t>
            </w:r>
          </w:p>
        </w:tc>
      </w:tr>
      <w:tr w:rsidR="00000000">
        <w:tc>
          <w:tcPr>
            <w:tcW w:w="2268" w:type="dxa"/>
            <w:vAlign w:val="center"/>
          </w:tcPr>
          <w:p w:rsidR="00000000" w:rsidRDefault="00000000">
            <w:pPr>
              <w:spacing w:line="240" w:lineRule="auto"/>
              <w:jc w:val="center"/>
              <w:rPr>
                <w:sz w:val="22"/>
              </w:rPr>
            </w:pPr>
            <w:r>
              <w:rPr>
                <w:sz w:val="22"/>
              </w:rPr>
              <w:t>Апрель 1999 года</w:t>
            </w:r>
          </w:p>
        </w:tc>
        <w:tc>
          <w:tcPr>
            <w:tcW w:w="1418" w:type="dxa"/>
            <w:vAlign w:val="center"/>
          </w:tcPr>
          <w:p w:rsidR="00000000" w:rsidRDefault="00000000">
            <w:pPr>
              <w:spacing w:line="240" w:lineRule="auto"/>
              <w:jc w:val="center"/>
            </w:pPr>
            <w:r>
              <w:t>8 650 736</w:t>
            </w:r>
          </w:p>
        </w:tc>
        <w:tc>
          <w:tcPr>
            <w:tcW w:w="1474" w:type="dxa"/>
            <w:vAlign w:val="center"/>
          </w:tcPr>
          <w:p w:rsidR="00000000" w:rsidRDefault="00000000">
            <w:pPr>
              <w:spacing w:line="240" w:lineRule="auto"/>
              <w:jc w:val="center"/>
            </w:pPr>
            <w:r>
              <w:t>3 200 112</w:t>
            </w:r>
          </w:p>
        </w:tc>
        <w:tc>
          <w:tcPr>
            <w:tcW w:w="1418" w:type="dxa"/>
            <w:vAlign w:val="center"/>
          </w:tcPr>
          <w:p w:rsidR="00000000" w:rsidRDefault="00000000">
            <w:pPr>
              <w:spacing w:line="240" w:lineRule="auto"/>
              <w:jc w:val="center"/>
            </w:pPr>
            <w:r>
              <w:t>4 685 860</w:t>
            </w:r>
          </w:p>
        </w:tc>
        <w:tc>
          <w:tcPr>
            <w:tcW w:w="1418" w:type="dxa"/>
            <w:vAlign w:val="center"/>
          </w:tcPr>
          <w:p w:rsidR="00000000" w:rsidRDefault="00000000">
            <w:pPr>
              <w:spacing w:line="240" w:lineRule="auto"/>
              <w:jc w:val="center"/>
            </w:pPr>
            <w:r>
              <w:t>1008 994</w:t>
            </w:r>
          </w:p>
        </w:tc>
        <w:tc>
          <w:tcPr>
            <w:tcW w:w="1418" w:type="dxa"/>
            <w:vAlign w:val="center"/>
          </w:tcPr>
          <w:p w:rsidR="00000000" w:rsidRDefault="00000000">
            <w:pPr>
              <w:spacing w:line="240" w:lineRule="auto"/>
              <w:jc w:val="center"/>
            </w:pPr>
            <w:r>
              <w:t>17 506 433</w:t>
            </w:r>
          </w:p>
        </w:tc>
      </w:tr>
      <w:tr w:rsidR="00000000">
        <w:tc>
          <w:tcPr>
            <w:tcW w:w="2268" w:type="dxa"/>
            <w:vAlign w:val="center"/>
          </w:tcPr>
          <w:p w:rsidR="00000000" w:rsidRDefault="00000000">
            <w:pPr>
              <w:spacing w:line="240" w:lineRule="auto"/>
              <w:jc w:val="center"/>
              <w:rPr>
                <w:sz w:val="22"/>
              </w:rPr>
            </w:pPr>
            <w:r>
              <w:rPr>
                <w:sz w:val="22"/>
              </w:rPr>
              <w:t>Май 1999 года</w:t>
            </w:r>
          </w:p>
        </w:tc>
        <w:tc>
          <w:tcPr>
            <w:tcW w:w="1418" w:type="dxa"/>
            <w:vAlign w:val="center"/>
          </w:tcPr>
          <w:p w:rsidR="00000000" w:rsidRDefault="00000000">
            <w:pPr>
              <w:spacing w:line="240" w:lineRule="auto"/>
              <w:jc w:val="center"/>
            </w:pPr>
            <w:r>
              <w:t>8 705 196</w:t>
            </w:r>
          </w:p>
        </w:tc>
        <w:tc>
          <w:tcPr>
            <w:tcW w:w="1474" w:type="dxa"/>
            <w:vAlign w:val="center"/>
          </w:tcPr>
          <w:p w:rsidR="00000000" w:rsidRDefault="00000000">
            <w:pPr>
              <w:spacing w:line="240" w:lineRule="auto"/>
              <w:jc w:val="center"/>
            </w:pPr>
            <w:r>
              <w:t>3 231 913</w:t>
            </w:r>
          </w:p>
        </w:tc>
        <w:tc>
          <w:tcPr>
            <w:tcW w:w="1418" w:type="dxa"/>
            <w:vAlign w:val="center"/>
          </w:tcPr>
          <w:p w:rsidR="00000000" w:rsidRDefault="00000000">
            <w:pPr>
              <w:spacing w:line="240" w:lineRule="auto"/>
              <w:jc w:val="center"/>
            </w:pPr>
            <w:r>
              <w:t>4 705 893</w:t>
            </w:r>
          </w:p>
        </w:tc>
        <w:tc>
          <w:tcPr>
            <w:tcW w:w="1418" w:type="dxa"/>
            <w:vAlign w:val="center"/>
          </w:tcPr>
          <w:p w:rsidR="00000000" w:rsidRDefault="00000000">
            <w:pPr>
              <w:spacing w:line="240" w:lineRule="auto"/>
              <w:jc w:val="center"/>
            </w:pPr>
            <w:r>
              <w:t>1 026 935</w:t>
            </w:r>
          </w:p>
        </w:tc>
        <w:tc>
          <w:tcPr>
            <w:tcW w:w="1418" w:type="dxa"/>
            <w:vAlign w:val="center"/>
          </w:tcPr>
          <w:p w:rsidR="00000000" w:rsidRDefault="00000000">
            <w:pPr>
              <w:pStyle w:val="16"/>
              <w:spacing w:line="240" w:lineRule="auto"/>
            </w:pPr>
            <w:r>
              <w:t>17 669 938</w:t>
            </w:r>
          </w:p>
        </w:tc>
      </w:tr>
      <w:tr w:rsidR="00000000">
        <w:tc>
          <w:tcPr>
            <w:tcW w:w="2268" w:type="dxa"/>
            <w:vAlign w:val="center"/>
          </w:tcPr>
          <w:p w:rsidR="00000000" w:rsidRDefault="00000000">
            <w:pPr>
              <w:spacing w:line="240" w:lineRule="auto"/>
              <w:jc w:val="center"/>
              <w:rPr>
                <w:sz w:val="22"/>
              </w:rPr>
            </w:pPr>
            <w:r>
              <w:rPr>
                <w:sz w:val="22"/>
              </w:rPr>
              <w:t>Июнь 1999 года</w:t>
            </w:r>
          </w:p>
        </w:tc>
        <w:tc>
          <w:tcPr>
            <w:tcW w:w="1418" w:type="dxa"/>
            <w:vAlign w:val="center"/>
          </w:tcPr>
          <w:p w:rsidR="00000000" w:rsidRDefault="00000000">
            <w:pPr>
              <w:spacing w:line="240" w:lineRule="auto"/>
              <w:jc w:val="center"/>
            </w:pPr>
            <w:r>
              <w:t>8 787 119</w:t>
            </w:r>
          </w:p>
        </w:tc>
        <w:tc>
          <w:tcPr>
            <w:tcW w:w="1474" w:type="dxa"/>
            <w:vAlign w:val="center"/>
          </w:tcPr>
          <w:p w:rsidR="00000000" w:rsidRDefault="00000000">
            <w:pPr>
              <w:spacing w:line="240" w:lineRule="auto"/>
              <w:jc w:val="center"/>
            </w:pPr>
            <w:r>
              <w:t>3 256 538</w:t>
            </w:r>
          </w:p>
        </w:tc>
        <w:tc>
          <w:tcPr>
            <w:tcW w:w="1418" w:type="dxa"/>
            <w:vAlign w:val="center"/>
          </w:tcPr>
          <w:p w:rsidR="00000000" w:rsidRDefault="00000000">
            <w:pPr>
              <w:spacing w:line="240" w:lineRule="auto"/>
              <w:jc w:val="center"/>
            </w:pPr>
            <w:r>
              <w:t>4 786 988</w:t>
            </w:r>
          </w:p>
        </w:tc>
        <w:tc>
          <w:tcPr>
            <w:tcW w:w="1418" w:type="dxa"/>
            <w:vAlign w:val="center"/>
          </w:tcPr>
          <w:p w:rsidR="00000000" w:rsidRDefault="00000000">
            <w:pPr>
              <w:spacing w:line="240" w:lineRule="auto"/>
              <w:jc w:val="center"/>
            </w:pPr>
            <w:r>
              <w:t>1 048 646</w:t>
            </w:r>
          </w:p>
        </w:tc>
        <w:tc>
          <w:tcPr>
            <w:tcW w:w="1418" w:type="dxa"/>
            <w:vAlign w:val="center"/>
          </w:tcPr>
          <w:p w:rsidR="00000000" w:rsidRDefault="00000000">
            <w:pPr>
              <w:spacing w:line="240" w:lineRule="auto"/>
              <w:jc w:val="center"/>
            </w:pPr>
            <w:r>
              <w:t>17 879 292</w:t>
            </w:r>
          </w:p>
        </w:tc>
      </w:tr>
      <w:tr w:rsidR="00000000">
        <w:tc>
          <w:tcPr>
            <w:tcW w:w="2268" w:type="dxa"/>
            <w:vAlign w:val="center"/>
          </w:tcPr>
          <w:p w:rsidR="00000000" w:rsidRDefault="00000000">
            <w:pPr>
              <w:spacing w:line="240" w:lineRule="auto"/>
              <w:jc w:val="center"/>
              <w:rPr>
                <w:sz w:val="22"/>
              </w:rPr>
            </w:pPr>
            <w:r>
              <w:rPr>
                <w:sz w:val="22"/>
              </w:rPr>
              <w:t>Июль 1999 года</w:t>
            </w:r>
          </w:p>
        </w:tc>
        <w:tc>
          <w:tcPr>
            <w:tcW w:w="1418" w:type="dxa"/>
            <w:vAlign w:val="center"/>
          </w:tcPr>
          <w:p w:rsidR="00000000" w:rsidRDefault="00000000">
            <w:pPr>
              <w:spacing w:line="240" w:lineRule="auto"/>
              <w:jc w:val="center"/>
            </w:pPr>
            <w:r>
              <w:t>8 690 431</w:t>
            </w:r>
          </w:p>
        </w:tc>
        <w:tc>
          <w:tcPr>
            <w:tcW w:w="1474" w:type="dxa"/>
            <w:vAlign w:val="center"/>
          </w:tcPr>
          <w:p w:rsidR="00000000" w:rsidRDefault="00000000">
            <w:pPr>
              <w:spacing w:line="240" w:lineRule="auto"/>
              <w:jc w:val="center"/>
            </w:pPr>
            <w:r>
              <w:t>3 212 158</w:t>
            </w:r>
          </w:p>
        </w:tc>
        <w:tc>
          <w:tcPr>
            <w:tcW w:w="1418" w:type="dxa"/>
            <w:vAlign w:val="center"/>
          </w:tcPr>
          <w:p w:rsidR="00000000" w:rsidRDefault="00000000">
            <w:pPr>
              <w:spacing w:line="240" w:lineRule="auto"/>
              <w:jc w:val="center"/>
            </w:pPr>
            <w:r>
              <w:t>4 753 085</w:t>
            </w:r>
          </w:p>
        </w:tc>
        <w:tc>
          <w:tcPr>
            <w:tcW w:w="1418" w:type="dxa"/>
            <w:vAlign w:val="center"/>
          </w:tcPr>
          <w:p w:rsidR="00000000" w:rsidRDefault="00000000">
            <w:pPr>
              <w:spacing w:line="240" w:lineRule="auto"/>
              <w:jc w:val="center"/>
            </w:pPr>
            <w:r>
              <w:t>1 012 134</w:t>
            </w:r>
          </w:p>
        </w:tc>
        <w:tc>
          <w:tcPr>
            <w:tcW w:w="1418" w:type="dxa"/>
            <w:vAlign w:val="center"/>
          </w:tcPr>
          <w:p w:rsidR="00000000" w:rsidRDefault="00000000">
            <w:pPr>
              <w:spacing w:line="240" w:lineRule="auto"/>
              <w:jc w:val="center"/>
            </w:pPr>
            <w:r>
              <w:t>17 667 807</w:t>
            </w:r>
          </w:p>
        </w:tc>
      </w:tr>
      <w:tr w:rsidR="00000000">
        <w:tc>
          <w:tcPr>
            <w:tcW w:w="2268" w:type="dxa"/>
            <w:vAlign w:val="center"/>
          </w:tcPr>
          <w:p w:rsidR="00000000" w:rsidRDefault="00000000">
            <w:pPr>
              <w:spacing w:line="240" w:lineRule="auto"/>
              <w:jc w:val="center"/>
              <w:rPr>
                <w:sz w:val="22"/>
              </w:rPr>
            </w:pPr>
            <w:r>
              <w:rPr>
                <w:sz w:val="22"/>
              </w:rPr>
              <w:t>Август 1999 года</w:t>
            </w:r>
          </w:p>
        </w:tc>
        <w:tc>
          <w:tcPr>
            <w:tcW w:w="1418" w:type="dxa"/>
            <w:vAlign w:val="center"/>
          </w:tcPr>
          <w:p w:rsidR="00000000" w:rsidRDefault="00000000">
            <w:pPr>
              <w:spacing w:line="240" w:lineRule="auto"/>
              <w:jc w:val="center"/>
            </w:pPr>
            <w:r>
              <w:t>8 730 537</w:t>
            </w:r>
          </w:p>
        </w:tc>
        <w:tc>
          <w:tcPr>
            <w:tcW w:w="1474" w:type="dxa"/>
            <w:vAlign w:val="center"/>
          </w:tcPr>
          <w:p w:rsidR="00000000" w:rsidRDefault="00000000">
            <w:pPr>
              <w:spacing w:line="240" w:lineRule="auto"/>
              <w:jc w:val="center"/>
            </w:pPr>
            <w:r>
              <w:t>3 259 038</w:t>
            </w:r>
          </w:p>
        </w:tc>
        <w:tc>
          <w:tcPr>
            <w:tcW w:w="1418" w:type="dxa"/>
            <w:vAlign w:val="center"/>
          </w:tcPr>
          <w:p w:rsidR="00000000" w:rsidRDefault="00000000">
            <w:pPr>
              <w:spacing w:line="240" w:lineRule="auto"/>
              <w:jc w:val="center"/>
            </w:pPr>
            <w:r>
              <w:t>4 656 684</w:t>
            </w:r>
          </w:p>
        </w:tc>
        <w:tc>
          <w:tcPr>
            <w:tcW w:w="1418" w:type="dxa"/>
            <w:vAlign w:val="center"/>
          </w:tcPr>
          <w:p w:rsidR="00000000" w:rsidRDefault="00000000">
            <w:pPr>
              <w:spacing w:line="240" w:lineRule="auto"/>
              <w:jc w:val="center"/>
            </w:pPr>
            <w:r>
              <w:t>1 056 387</w:t>
            </w:r>
          </w:p>
        </w:tc>
        <w:tc>
          <w:tcPr>
            <w:tcW w:w="1418" w:type="dxa"/>
            <w:vAlign w:val="center"/>
          </w:tcPr>
          <w:p w:rsidR="00000000" w:rsidRDefault="00000000">
            <w:pPr>
              <w:spacing w:line="240" w:lineRule="auto"/>
              <w:jc w:val="center"/>
            </w:pPr>
            <w:r>
              <w:t>17 702 646</w:t>
            </w:r>
          </w:p>
        </w:tc>
      </w:tr>
      <w:tr w:rsidR="00000000">
        <w:tc>
          <w:tcPr>
            <w:tcW w:w="2268" w:type="dxa"/>
            <w:vAlign w:val="center"/>
          </w:tcPr>
          <w:p w:rsidR="00000000" w:rsidRDefault="00000000">
            <w:pPr>
              <w:spacing w:line="240" w:lineRule="auto"/>
              <w:jc w:val="center"/>
              <w:rPr>
                <w:sz w:val="22"/>
              </w:rPr>
            </w:pPr>
            <w:r>
              <w:rPr>
                <w:sz w:val="22"/>
              </w:rPr>
              <w:t>Сентябрь 1999 года</w:t>
            </w:r>
          </w:p>
        </w:tc>
        <w:tc>
          <w:tcPr>
            <w:tcW w:w="1418" w:type="dxa"/>
            <w:vAlign w:val="center"/>
          </w:tcPr>
          <w:p w:rsidR="00000000" w:rsidRDefault="00000000">
            <w:pPr>
              <w:spacing w:line="240" w:lineRule="auto"/>
              <w:jc w:val="center"/>
            </w:pPr>
            <w:r>
              <w:t>8 743 557</w:t>
            </w:r>
          </w:p>
        </w:tc>
        <w:tc>
          <w:tcPr>
            <w:tcW w:w="1474" w:type="dxa"/>
            <w:vAlign w:val="center"/>
          </w:tcPr>
          <w:p w:rsidR="00000000" w:rsidRDefault="00000000">
            <w:pPr>
              <w:spacing w:line="240" w:lineRule="auto"/>
              <w:jc w:val="center"/>
            </w:pPr>
            <w:r>
              <w:t>3 305 367</w:t>
            </w:r>
          </w:p>
        </w:tc>
        <w:tc>
          <w:tcPr>
            <w:tcW w:w="1418" w:type="dxa"/>
            <w:vAlign w:val="center"/>
          </w:tcPr>
          <w:p w:rsidR="00000000" w:rsidRDefault="00000000">
            <w:pPr>
              <w:spacing w:line="240" w:lineRule="auto"/>
              <w:jc w:val="center"/>
            </w:pPr>
            <w:r>
              <w:t>4 720 893</w:t>
            </w:r>
          </w:p>
        </w:tc>
        <w:tc>
          <w:tcPr>
            <w:tcW w:w="1418" w:type="dxa"/>
            <w:vAlign w:val="center"/>
          </w:tcPr>
          <w:p w:rsidR="00000000" w:rsidRDefault="00000000">
            <w:pPr>
              <w:spacing w:line="240" w:lineRule="auto"/>
              <w:jc w:val="center"/>
            </w:pPr>
            <w:r>
              <w:t>1 057 980</w:t>
            </w:r>
          </w:p>
        </w:tc>
        <w:tc>
          <w:tcPr>
            <w:tcW w:w="1418" w:type="dxa"/>
            <w:vAlign w:val="center"/>
          </w:tcPr>
          <w:p w:rsidR="00000000" w:rsidRDefault="00000000">
            <w:pPr>
              <w:spacing w:line="240" w:lineRule="auto"/>
              <w:jc w:val="center"/>
            </w:pPr>
            <w:r>
              <w:t>17 827 797</w:t>
            </w:r>
          </w:p>
        </w:tc>
      </w:tr>
      <w:tr w:rsidR="00000000">
        <w:tc>
          <w:tcPr>
            <w:tcW w:w="2268" w:type="dxa"/>
            <w:vAlign w:val="center"/>
          </w:tcPr>
          <w:p w:rsidR="00000000" w:rsidRDefault="00000000">
            <w:pPr>
              <w:spacing w:line="240" w:lineRule="auto"/>
              <w:jc w:val="center"/>
              <w:rPr>
                <w:sz w:val="22"/>
              </w:rPr>
            </w:pPr>
            <w:r>
              <w:rPr>
                <w:sz w:val="22"/>
              </w:rPr>
              <w:t>Октябрь 1999 года</w:t>
            </w:r>
          </w:p>
        </w:tc>
        <w:tc>
          <w:tcPr>
            <w:tcW w:w="1418" w:type="dxa"/>
            <w:vAlign w:val="center"/>
          </w:tcPr>
          <w:p w:rsidR="00000000" w:rsidRDefault="00000000">
            <w:pPr>
              <w:spacing w:line="240" w:lineRule="auto"/>
              <w:jc w:val="center"/>
            </w:pPr>
            <w:r>
              <w:t>8 822 892</w:t>
            </w:r>
          </w:p>
        </w:tc>
        <w:tc>
          <w:tcPr>
            <w:tcW w:w="1474" w:type="dxa"/>
            <w:vAlign w:val="center"/>
          </w:tcPr>
          <w:p w:rsidR="00000000" w:rsidRDefault="00000000">
            <w:pPr>
              <w:pStyle w:val="FootnoteText"/>
              <w:jc w:val="center"/>
            </w:pPr>
            <w:r>
              <w:t>3 343 272</w:t>
            </w:r>
          </w:p>
        </w:tc>
        <w:tc>
          <w:tcPr>
            <w:tcW w:w="1418" w:type="dxa"/>
            <w:vAlign w:val="center"/>
          </w:tcPr>
          <w:p w:rsidR="00000000" w:rsidRDefault="00000000">
            <w:pPr>
              <w:spacing w:line="240" w:lineRule="auto"/>
              <w:jc w:val="center"/>
            </w:pPr>
            <w:r>
              <w:t>4 697 257</w:t>
            </w:r>
          </w:p>
        </w:tc>
        <w:tc>
          <w:tcPr>
            <w:tcW w:w="1418" w:type="dxa"/>
            <w:vAlign w:val="center"/>
          </w:tcPr>
          <w:p w:rsidR="00000000" w:rsidRDefault="00000000">
            <w:pPr>
              <w:spacing w:line="240" w:lineRule="auto"/>
              <w:jc w:val="center"/>
            </w:pPr>
            <w:r>
              <w:t>1 068 855</w:t>
            </w:r>
          </w:p>
        </w:tc>
        <w:tc>
          <w:tcPr>
            <w:tcW w:w="1418" w:type="dxa"/>
            <w:vAlign w:val="center"/>
          </w:tcPr>
          <w:p w:rsidR="00000000" w:rsidRDefault="00000000">
            <w:pPr>
              <w:spacing w:line="240" w:lineRule="auto"/>
              <w:jc w:val="center"/>
            </w:pPr>
            <w:r>
              <w:t>17 932 276</w:t>
            </w:r>
          </w:p>
        </w:tc>
      </w:tr>
      <w:tr w:rsidR="00000000">
        <w:tc>
          <w:tcPr>
            <w:tcW w:w="2268" w:type="dxa"/>
            <w:vAlign w:val="center"/>
          </w:tcPr>
          <w:p w:rsidR="00000000" w:rsidRDefault="00000000">
            <w:pPr>
              <w:spacing w:line="240" w:lineRule="auto"/>
              <w:jc w:val="center"/>
              <w:rPr>
                <w:sz w:val="22"/>
              </w:rPr>
            </w:pPr>
            <w:r>
              <w:rPr>
                <w:sz w:val="22"/>
              </w:rPr>
              <w:t>Ноябрь 1999 года</w:t>
            </w:r>
          </w:p>
        </w:tc>
        <w:tc>
          <w:tcPr>
            <w:tcW w:w="1418" w:type="dxa"/>
            <w:vAlign w:val="center"/>
          </w:tcPr>
          <w:p w:rsidR="00000000" w:rsidRDefault="00000000">
            <w:pPr>
              <w:spacing w:line="240" w:lineRule="auto"/>
              <w:jc w:val="center"/>
            </w:pPr>
            <w:r>
              <w:t>8 878 532</w:t>
            </w:r>
          </w:p>
        </w:tc>
        <w:tc>
          <w:tcPr>
            <w:tcW w:w="1474" w:type="dxa"/>
            <w:vAlign w:val="center"/>
          </w:tcPr>
          <w:p w:rsidR="00000000" w:rsidRDefault="00000000">
            <w:pPr>
              <w:spacing w:line="240" w:lineRule="auto"/>
              <w:jc w:val="center"/>
            </w:pPr>
            <w:r>
              <w:t>3 387 035</w:t>
            </w:r>
          </w:p>
        </w:tc>
        <w:tc>
          <w:tcPr>
            <w:tcW w:w="1418" w:type="dxa"/>
            <w:vAlign w:val="center"/>
          </w:tcPr>
          <w:p w:rsidR="00000000" w:rsidRDefault="00000000">
            <w:pPr>
              <w:spacing w:line="240" w:lineRule="auto"/>
              <w:jc w:val="center"/>
            </w:pPr>
            <w:r>
              <w:t>4 686 668</w:t>
            </w:r>
          </w:p>
        </w:tc>
        <w:tc>
          <w:tcPr>
            <w:tcW w:w="1418" w:type="dxa"/>
            <w:vAlign w:val="center"/>
          </w:tcPr>
          <w:p w:rsidR="00000000" w:rsidRDefault="00000000">
            <w:pPr>
              <w:spacing w:line="240" w:lineRule="auto"/>
              <w:jc w:val="center"/>
            </w:pPr>
            <w:r>
              <w:t>1 048 096</w:t>
            </w:r>
          </w:p>
        </w:tc>
        <w:tc>
          <w:tcPr>
            <w:tcW w:w="1418" w:type="dxa"/>
            <w:vAlign w:val="center"/>
          </w:tcPr>
          <w:p w:rsidR="00000000" w:rsidRDefault="00000000">
            <w:pPr>
              <w:spacing w:line="240" w:lineRule="auto"/>
              <w:jc w:val="center"/>
            </w:pPr>
            <w:r>
              <w:t>18 000 330</w:t>
            </w:r>
          </w:p>
        </w:tc>
      </w:tr>
      <w:tr w:rsidR="00000000">
        <w:tc>
          <w:tcPr>
            <w:tcW w:w="2268" w:type="dxa"/>
            <w:vAlign w:val="center"/>
          </w:tcPr>
          <w:p w:rsidR="00000000" w:rsidRDefault="00000000">
            <w:pPr>
              <w:spacing w:line="240" w:lineRule="auto"/>
              <w:jc w:val="center"/>
              <w:rPr>
                <w:sz w:val="22"/>
              </w:rPr>
            </w:pPr>
            <w:r>
              <w:rPr>
                <w:sz w:val="22"/>
              </w:rPr>
              <w:t>Декабрь 1999 года</w:t>
            </w:r>
          </w:p>
        </w:tc>
        <w:tc>
          <w:tcPr>
            <w:tcW w:w="1418" w:type="dxa"/>
            <w:vAlign w:val="center"/>
          </w:tcPr>
          <w:p w:rsidR="00000000" w:rsidRDefault="00000000">
            <w:pPr>
              <w:spacing w:line="240" w:lineRule="auto"/>
              <w:jc w:val="center"/>
            </w:pPr>
            <w:r>
              <w:t>8 845 231</w:t>
            </w:r>
          </w:p>
        </w:tc>
        <w:tc>
          <w:tcPr>
            <w:tcW w:w="1474" w:type="dxa"/>
            <w:vAlign w:val="center"/>
          </w:tcPr>
          <w:p w:rsidR="00000000" w:rsidRDefault="00000000">
            <w:pPr>
              <w:spacing w:line="240" w:lineRule="auto"/>
              <w:jc w:val="center"/>
            </w:pPr>
            <w:r>
              <w:t>3 404 244</w:t>
            </w:r>
          </w:p>
        </w:tc>
        <w:tc>
          <w:tcPr>
            <w:tcW w:w="1418" w:type="dxa"/>
            <w:vAlign w:val="center"/>
          </w:tcPr>
          <w:p w:rsidR="00000000" w:rsidRDefault="00000000">
            <w:pPr>
              <w:spacing w:line="240" w:lineRule="auto"/>
              <w:jc w:val="center"/>
            </w:pPr>
            <w:r>
              <w:t>4 699 328</w:t>
            </w:r>
          </w:p>
        </w:tc>
        <w:tc>
          <w:tcPr>
            <w:tcW w:w="1418" w:type="dxa"/>
            <w:vAlign w:val="center"/>
          </w:tcPr>
          <w:p w:rsidR="00000000" w:rsidRDefault="00000000">
            <w:pPr>
              <w:spacing w:line="240" w:lineRule="auto"/>
              <w:jc w:val="center"/>
            </w:pPr>
            <w:r>
              <w:t>998 818</w:t>
            </w:r>
          </w:p>
        </w:tc>
        <w:tc>
          <w:tcPr>
            <w:tcW w:w="1418" w:type="dxa"/>
            <w:vAlign w:val="center"/>
          </w:tcPr>
          <w:p w:rsidR="00000000" w:rsidRDefault="00000000">
            <w:pPr>
              <w:spacing w:line="240" w:lineRule="auto"/>
              <w:jc w:val="center"/>
            </w:pPr>
            <w:r>
              <w:t>17 947 621</w:t>
            </w:r>
          </w:p>
        </w:tc>
      </w:tr>
      <w:tr w:rsidR="00000000">
        <w:tc>
          <w:tcPr>
            <w:tcW w:w="2268" w:type="dxa"/>
            <w:vAlign w:val="center"/>
          </w:tcPr>
          <w:p w:rsidR="00000000" w:rsidRDefault="00000000">
            <w:pPr>
              <w:spacing w:line="240" w:lineRule="auto"/>
              <w:jc w:val="center"/>
              <w:rPr>
                <w:sz w:val="22"/>
              </w:rPr>
            </w:pPr>
            <w:r>
              <w:rPr>
                <w:sz w:val="22"/>
              </w:rPr>
              <w:t>Январь 2000 года</w:t>
            </w:r>
          </w:p>
        </w:tc>
        <w:tc>
          <w:tcPr>
            <w:tcW w:w="1418" w:type="dxa"/>
            <w:vAlign w:val="center"/>
          </w:tcPr>
          <w:p w:rsidR="00000000" w:rsidRDefault="00000000">
            <w:pPr>
              <w:spacing w:line="240" w:lineRule="auto"/>
              <w:jc w:val="center"/>
            </w:pPr>
            <w:r>
              <w:t>8 847 760</w:t>
            </w:r>
          </w:p>
        </w:tc>
        <w:tc>
          <w:tcPr>
            <w:tcW w:w="1474" w:type="dxa"/>
            <w:vAlign w:val="center"/>
          </w:tcPr>
          <w:p w:rsidR="00000000" w:rsidRDefault="00000000">
            <w:pPr>
              <w:spacing w:line="240" w:lineRule="auto"/>
              <w:jc w:val="center"/>
            </w:pPr>
            <w:r>
              <w:t>3 388 098</w:t>
            </w:r>
          </w:p>
        </w:tc>
        <w:tc>
          <w:tcPr>
            <w:tcW w:w="1418" w:type="dxa"/>
            <w:vAlign w:val="center"/>
          </w:tcPr>
          <w:p w:rsidR="00000000" w:rsidRDefault="00000000">
            <w:pPr>
              <w:spacing w:line="240" w:lineRule="auto"/>
              <w:jc w:val="center"/>
            </w:pPr>
            <w:r>
              <w:t>4 736 716</w:t>
            </w:r>
          </w:p>
        </w:tc>
        <w:tc>
          <w:tcPr>
            <w:tcW w:w="1418" w:type="dxa"/>
            <w:vAlign w:val="center"/>
          </w:tcPr>
          <w:p w:rsidR="00000000" w:rsidRDefault="00000000">
            <w:pPr>
              <w:spacing w:line="240" w:lineRule="auto"/>
              <w:jc w:val="center"/>
            </w:pPr>
            <w:r>
              <w:t>942 501</w:t>
            </w:r>
          </w:p>
        </w:tc>
        <w:tc>
          <w:tcPr>
            <w:tcW w:w="1418" w:type="dxa"/>
            <w:vAlign w:val="center"/>
          </w:tcPr>
          <w:p w:rsidR="00000000" w:rsidRDefault="00000000">
            <w:pPr>
              <w:spacing w:line="240" w:lineRule="auto"/>
              <w:jc w:val="center"/>
            </w:pPr>
            <w:r>
              <w:t>17 915 076</w:t>
            </w:r>
          </w:p>
        </w:tc>
      </w:tr>
      <w:tr w:rsidR="00000000">
        <w:tc>
          <w:tcPr>
            <w:tcW w:w="2268" w:type="dxa"/>
            <w:vAlign w:val="center"/>
          </w:tcPr>
          <w:p w:rsidR="00000000" w:rsidRDefault="00000000">
            <w:pPr>
              <w:spacing w:line="240" w:lineRule="auto"/>
              <w:jc w:val="center"/>
              <w:rPr>
                <w:sz w:val="22"/>
              </w:rPr>
            </w:pPr>
            <w:r>
              <w:rPr>
                <w:sz w:val="22"/>
              </w:rPr>
              <w:t>Февраль 2000 года</w:t>
            </w:r>
          </w:p>
        </w:tc>
        <w:tc>
          <w:tcPr>
            <w:tcW w:w="1418" w:type="dxa"/>
            <w:vAlign w:val="center"/>
          </w:tcPr>
          <w:p w:rsidR="00000000" w:rsidRDefault="00000000">
            <w:pPr>
              <w:spacing w:line="240" w:lineRule="auto"/>
              <w:jc w:val="center"/>
            </w:pPr>
            <w:r>
              <w:t>8 940 706</w:t>
            </w:r>
          </w:p>
        </w:tc>
        <w:tc>
          <w:tcPr>
            <w:tcW w:w="1474" w:type="dxa"/>
            <w:vAlign w:val="center"/>
          </w:tcPr>
          <w:p w:rsidR="00000000" w:rsidRDefault="00000000">
            <w:pPr>
              <w:spacing w:line="240" w:lineRule="auto"/>
              <w:jc w:val="center"/>
            </w:pPr>
            <w:r>
              <w:t>3 446 918</w:t>
            </w:r>
          </w:p>
        </w:tc>
        <w:tc>
          <w:tcPr>
            <w:tcW w:w="1418" w:type="dxa"/>
            <w:vAlign w:val="center"/>
          </w:tcPr>
          <w:p w:rsidR="00000000" w:rsidRDefault="00000000">
            <w:pPr>
              <w:spacing w:line="240" w:lineRule="auto"/>
              <w:jc w:val="center"/>
            </w:pPr>
            <w:r>
              <w:t>4 748 151</w:t>
            </w:r>
          </w:p>
        </w:tc>
        <w:tc>
          <w:tcPr>
            <w:tcW w:w="1418" w:type="dxa"/>
            <w:vAlign w:val="center"/>
          </w:tcPr>
          <w:p w:rsidR="00000000" w:rsidRDefault="00000000">
            <w:pPr>
              <w:spacing w:line="240" w:lineRule="auto"/>
              <w:jc w:val="center"/>
            </w:pPr>
            <w:r>
              <w:t>966 570</w:t>
            </w:r>
          </w:p>
        </w:tc>
        <w:tc>
          <w:tcPr>
            <w:tcW w:w="1418" w:type="dxa"/>
            <w:vAlign w:val="center"/>
          </w:tcPr>
          <w:p w:rsidR="00000000" w:rsidRDefault="00000000">
            <w:pPr>
              <w:spacing w:line="240" w:lineRule="auto"/>
              <w:jc w:val="center"/>
            </w:pPr>
            <w:r>
              <w:t>18 102 345</w:t>
            </w:r>
          </w:p>
        </w:tc>
      </w:tr>
      <w:tr w:rsidR="00000000">
        <w:tc>
          <w:tcPr>
            <w:tcW w:w="2268" w:type="dxa"/>
            <w:vAlign w:val="center"/>
          </w:tcPr>
          <w:p w:rsidR="00000000" w:rsidRDefault="00000000">
            <w:pPr>
              <w:spacing w:line="240" w:lineRule="auto"/>
              <w:jc w:val="center"/>
              <w:rPr>
                <w:sz w:val="22"/>
              </w:rPr>
            </w:pPr>
            <w:r>
              <w:rPr>
                <w:sz w:val="22"/>
              </w:rPr>
              <w:t>Март 2000 года</w:t>
            </w:r>
          </w:p>
        </w:tc>
        <w:tc>
          <w:tcPr>
            <w:tcW w:w="1418" w:type="dxa"/>
            <w:vAlign w:val="center"/>
          </w:tcPr>
          <w:p w:rsidR="00000000" w:rsidRDefault="00000000">
            <w:pPr>
              <w:spacing w:line="240" w:lineRule="auto"/>
              <w:jc w:val="center"/>
            </w:pPr>
            <w:r>
              <w:t>8 933 288</w:t>
            </w:r>
          </w:p>
        </w:tc>
        <w:tc>
          <w:tcPr>
            <w:tcW w:w="1474" w:type="dxa"/>
            <w:vAlign w:val="center"/>
          </w:tcPr>
          <w:p w:rsidR="00000000" w:rsidRDefault="00000000">
            <w:pPr>
              <w:spacing w:line="240" w:lineRule="auto"/>
              <w:jc w:val="center"/>
            </w:pPr>
            <w:r>
              <w:t>3 473 944</w:t>
            </w:r>
          </w:p>
        </w:tc>
        <w:tc>
          <w:tcPr>
            <w:tcW w:w="1418" w:type="dxa"/>
            <w:vAlign w:val="center"/>
          </w:tcPr>
          <w:p w:rsidR="00000000" w:rsidRDefault="00000000">
            <w:pPr>
              <w:spacing w:line="240" w:lineRule="auto"/>
              <w:jc w:val="center"/>
            </w:pPr>
            <w:r>
              <w:t>4 810 767</w:t>
            </w:r>
          </w:p>
        </w:tc>
        <w:tc>
          <w:tcPr>
            <w:tcW w:w="1418" w:type="dxa"/>
            <w:vAlign w:val="center"/>
          </w:tcPr>
          <w:p w:rsidR="00000000" w:rsidRDefault="00000000">
            <w:pPr>
              <w:spacing w:line="240" w:lineRule="auto"/>
              <w:jc w:val="center"/>
            </w:pPr>
            <w:r>
              <w:t>1 025 553</w:t>
            </w:r>
          </w:p>
        </w:tc>
        <w:tc>
          <w:tcPr>
            <w:tcW w:w="1418" w:type="dxa"/>
            <w:vAlign w:val="center"/>
          </w:tcPr>
          <w:p w:rsidR="00000000" w:rsidRDefault="00000000">
            <w:pPr>
              <w:spacing w:line="240" w:lineRule="auto"/>
              <w:jc w:val="center"/>
            </w:pPr>
            <w:r>
              <w:t>18 243 552</w:t>
            </w:r>
          </w:p>
        </w:tc>
      </w:tr>
      <w:tr w:rsidR="00000000">
        <w:tc>
          <w:tcPr>
            <w:tcW w:w="2268" w:type="dxa"/>
            <w:vAlign w:val="center"/>
          </w:tcPr>
          <w:p w:rsidR="00000000" w:rsidRDefault="00000000">
            <w:pPr>
              <w:spacing w:line="240" w:lineRule="auto"/>
              <w:jc w:val="center"/>
              <w:rPr>
                <w:sz w:val="22"/>
              </w:rPr>
            </w:pPr>
            <w:r>
              <w:rPr>
                <w:sz w:val="22"/>
              </w:rPr>
              <w:t>Апрель 2000 года</w:t>
            </w:r>
          </w:p>
        </w:tc>
        <w:tc>
          <w:tcPr>
            <w:tcW w:w="1418" w:type="dxa"/>
            <w:vAlign w:val="center"/>
          </w:tcPr>
          <w:p w:rsidR="00000000" w:rsidRDefault="00000000">
            <w:pPr>
              <w:spacing w:line="240" w:lineRule="auto"/>
              <w:jc w:val="center"/>
            </w:pPr>
            <w:r>
              <w:t>9 072 385</w:t>
            </w:r>
          </w:p>
        </w:tc>
        <w:tc>
          <w:tcPr>
            <w:tcW w:w="1474" w:type="dxa"/>
            <w:vAlign w:val="center"/>
          </w:tcPr>
          <w:p w:rsidR="00000000" w:rsidRDefault="00000000">
            <w:pPr>
              <w:spacing w:line="240" w:lineRule="auto"/>
              <w:jc w:val="center"/>
            </w:pPr>
            <w:r>
              <w:t>3 489 906</w:t>
            </w:r>
          </w:p>
        </w:tc>
        <w:tc>
          <w:tcPr>
            <w:tcW w:w="1418" w:type="dxa"/>
            <w:vAlign w:val="center"/>
          </w:tcPr>
          <w:p w:rsidR="00000000" w:rsidRDefault="00000000">
            <w:pPr>
              <w:spacing w:line="240" w:lineRule="auto"/>
              <w:jc w:val="center"/>
            </w:pPr>
            <w:r>
              <w:t>4 856 186</w:t>
            </w:r>
          </w:p>
        </w:tc>
        <w:tc>
          <w:tcPr>
            <w:tcW w:w="1418" w:type="dxa"/>
            <w:vAlign w:val="center"/>
          </w:tcPr>
          <w:p w:rsidR="00000000" w:rsidRDefault="00000000">
            <w:pPr>
              <w:spacing w:line="240" w:lineRule="auto"/>
              <w:jc w:val="center"/>
            </w:pPr>
            <w:r>
              <w:t>1 030 628</w:t>
            </w:r>
          </w:p>
        </w:tc>
        <w:tc>
          <w:tcPr>
            <w:tcW w:w="1418" w:type="dxa"/>
            <w:vAlign w:val="center"/>
          </w:tcPr>
          <w:p w:rsidR="00000000" w:rsidRDefault="00000000">
            <w:pPr>
              <w:spacing w:line="240" w:lineRule="auto"/>
              <w:jc w:val="center"/>
            </w:pPr>
            <w:r>
              <w:t>18 449 105</w:t>
            </w:r>
          </w:p>
        </w:tc>
      </w:tr>
      <w:tr w:rsidR="00000000">
        <w:tc>
          <w:tcPr>
            <w:tcW w:w="2268" w:type="dxa"/>
            <w:vAlign w:val="center"/>
          </w:tcPr>
          <w:p w:rsidR="00000000" w:rsidRDefault="00000000">
            <w:pPr>
              <w:pStyle w:val="16"/>
              <w:spacing w:line="240" w:lineRule="auto"/>
              <w:rPr>
                <w:sz w:val="22"/>
              </w:rPr>
            </w:pPr>
            <w:r>
              <w:rPr>
                <w:sz w:val="22"/>
              </w:rPr>
              <w:t>Январь-апрель 2000 года</w:t>
            </w:r>
          </w:p>
        </w:tc>
        <w:tc>
          <w:tcPr>
            <w:tcW w:w="1418" w:type="dxa"/>
            <w:vAlign w:val="center"/>
          </w:tcPr>
          <w:p w:rsidR="00000000" w:rsidRDefault="00000000">
            <w:pPr>
              <w:spacing w:line="240" w:lineRule="auto"/>
              <w:jc w:val="center"/>
            </w:pPr>
            <w:r>
              <w:t>8 948 535</w:t>
            </w:r>
          </w:p>
        </w:tc>
        <w:tc>
          <w:tcPr>
            <w:tcW w:w="1474" w:type="dxa"/>
            <w:vAlign w:val="center"/>
          </w:tcPr>
          <w:p w:rsidR="00000000" w:rsidRDefault="00000000">
            <w:pPr>
              <w:spacing w:line="240" w:lineRule="auto"/>
              <w:jc w:val="center"/>
            </w:pPr>
            <w:r>
              <w:t>3 449 717</w:t>
            </w:r>
          </w:p>
        </w:tc>
        <w:tc>
          <w:tcPr>
            <w:tcW w:w="1418" w:type="dxa"/>
            <w:vAlign w:val="center"/>
          </w:tcPr>
          <w:p w:rsidR="00000000" w:rsidRDefault="00000000">
            <w:pPr>
              <w:spacing w:line="240" w:lineRule="auto"/>
              <w:jc w:val="center"/>
            </w:pPr>
            <w:r>
              <w:t>4 787 955</w:t>
            </w:r>
          </w:p>
        </w:tc>
        <w:tc>
          <w:tcPr>
            <w:tcW w:w="1418" w:type="dxa"/>
            <w:vAlign w:val="center"/>
          </w:tcPr>
          <w:p w:rsidR="00000000" w:rsidRDefault="00000000">
            <w:pPr>
              <w:spacing w:line="240" w:lineRule="auto"/>
              <w:jc w:val="center"/>
            </w:pPr>
            <w:r>
              <w:t>991 313</w:t>
            </w:r>
          </w:p>
        </w:tc>
        <w:tc>
          <w:tcPr>
            <w:tcW w:w="1418" w:type="dxa"/>
            <w:vAlign w:val="center"/>
          </w:tcPr>
          <w:p w:rsidR="00000000" w:rsidRDefault="00000000">
            <w:pPr>
              <w:spacing w:line="240" w:lineRule="auto"/>
              <w:jc w:val="center"/>
            </w:pPr>
            <w:r>
              <w:t>18 177 520</w:t>
            </w:r>
          </w:p>
        </w:tc>
      </w:tr>
    </w:tbl>
    <w:p w:rsidR="00000000" w:rsidRDefault="00000000">
      <w:pPr>
        <w:spacing w:line="240" w:lineRule="auto"/>
        <w:rPr>
          <w:bCs/>
          <w:spacing w:val="20"/>
          <w:kern w:val="2"/>
          <w:sz w:val="20"/>
        </w:rPr>
      </w:pPr>
    </w:p>
    <w:p w:rsidR="00000000" w:rsidRDefault="00000000">
      <w:pPr>
        <w:tabs>
          <w:tab w:val="clear" w:pos="1701"/>
          <w:tab w:val="left" w:pos="1843"/>
        </w:tabs>
        <w:spacing w:line="240" w:lineRule="auto"/>
        <w:rPr>
          <w:kern w:val="2"/>
        </w:rPr>
      </w:pPr>
      <w:r>
        <w:rPr>
          <w:kern w:val="2"/>
          <w:u w:val="single"/>
        </w:rPr>
        <w:t>Источник</w:t>
      </w:r>
      <w:r>
        <w:rPr>
          <w:kern w:val="2"/>
        </w:rPr>
        <w:t>:  Министерство труда и занятости </w:t>
      </w:r>
      <w:r>
        <w:rPr>
          <w:kern w:val="2"/>
        </w:rPr>
        <w:sym w:font="Symbol" w:char="F02D"/>
      </w:r>
      <w:r>
        <w:rPr>
          <w:kern w:val="2"/>
        </w:rPr>
        <w:t xml:space="preserve"> данные ЕОЗ/БИГС.  Журнал "Mercado de Traba</w:t>
      </w:r>
      <w:r>
        <w:rPr>
          <w:kern w:val="2"/>
          <w:lang w:val="en-US"/>
        </w:rPr>
        <w:t>l</w:t>
      </w:r>
      <w:r>
        <w:rPr>
          <w:kern w:val="2"/>
        </w:rPr>
        <w:t xml:space="preserve">ho </w:t>
      </w:r>
      <w:r>
        <w:rPr>
          <w:kern w:val="2"/>
        </w:rPr>
        <w:sym w:font="Symbol" w:char="F02D"/>
      </w:r>
      <w:r>
        <w:rPr>
          <w:kern w:val="2"/>
        </w:rPr>
        <w:t xml:space="preserve"> Conjuntura e Análise", пятый год издания, июнь 2000 года.</w:t>
      </w:r>
    </w:p>
    <w:p w:rsidR="00000000" w:rsidRDefault="00000000">
      <w:pPr>
        <w:pStyle w:val="10"/>
        <w:spacing w:line="240" w:lineRule="auto"/>
        <w:rPr>
          <w:bCs/>
          <w:kern w:val="2"/>
        </w:rPr>
      </w:pPr>
    </w:p>
    <w:p w:rsidR="00000000" w:rsidRDefault="00000000">
      <w:pPr>
        <w:pStyle w:val="10"/>
        <w:spacing w:line="240" w:lineRule="auto"/>
        <w:rPr>
          <w:bCs/>
          <w:kern w:val="2"/>
        </w:rPr>
      </w:pPr>
    </w:p>
    <w:p w:rsidR="00000000" w:rsidRDefault="00000000">
      <w:pPr>
        <w:pStyle w:val="10"/>
        <w:spacing w:line="240" w:lineRule="auto"/>
        <w:rPr>
          <w:kern w:val="2"/>
        </w:rPr>
      </w:pPr>
      <w:r>
        <w:rPr>
          <w:bCs/>
          <w:kern w:val="2"/>
        </w:rPr>
        <w:t xml:space="preserve">Таблица 22.   </w:t>
      </w:r>
      <w:r>
        <w:rPr>
          <w:kern w:val="2"/>
        </w:rPr>
        <w:t>Показатель участия на рынке труда в разбивке по полу (в %)</w:t>
      </w:r>
    </w:p>
    <w:p w:rsidR="00000000" w:rsidRDefault="00000000">
      <w:pPr>
        <w:pStyle w:val="10"/>
        <w:spacing w:line="240" w:lineRule="auto"/>
        <w:rPr>
          <w:b w:val="0"/>
          <w:bCs/>
          <w:kern w:val="2"/>
        </w:rPr>
      </w:pPr>
    </w:p>
    <w:tbl>
      <w:tblPr>
        <w:tblW w:w="7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70" w:type="dxa"/>
          <w:bottom w:w="57" w:type="dxa"/>
          <w:right w:w="170" w:type="dxa"/>
        </w:tblCellMar>
        <w:tblLook w:val="0000" w:firstRow="0" w:lastRow="0" w:firstColumn="0" w:lastColumn="0" w:noHBand="0" w:noVBand="0"/>
      </w:tblPr>
      <w:tblGrid>
        <w:gridCol w:w="3439"/>
        <w:gridCol w:w="1876"/>
        <w:gridCol w:w="1876"/>
      </w:tblGrid>
      <w:tr w:rsidR="00000000">
        <w:trPr>
          <w:jc w:val="center"/>
        </w:trPr>
        <w:tc>
          <w:tcPr>
            <w:tcW w:w="3119" w:type="dxa"/>
            <w:vAlign w:val="center"/>
          </w:tcPr>
          <w:p w:rsidR="00000000" w:rsidRDefault="00000000">
            <w:pPr>
              <w:pStyle w:val="16"/>
              <w:spacing w:line="240" w:lineRule="auto"/>
            </w:pPr>
            <w:r>
              <w:t>Период</w:t>
            </w:r>
          </w:p>
        </w:tc>
        <w:tc>
          <w:tcPr>
            <w:tcW w:w="1701" w:type="dxa"/>
            <w:vAlign w:val="center"/>
          </w:tcPr>
          <w:p w:rsidR="00000000" w:rsidRDefault="00000000">
            <w:pPr>
              <w:spacing w:line="240" w:lineRule="auto"/>
              <w:jc w:val="center"/>
            </w:pPr>
            <w:r>
              <w:t>Мужчины</w:t>
            </w:r>
          </w:p>
        </w:tc>
        <w:tc>
          <w:tcPr>
            <w:tcW w:w="1701" w:type="dxa"/>
            <w:vAlign w:val="center"/>
          </w:tcPr>
          <w:p w:rsidR="00000000" w:rsidRDefault="00000000">
            <w:pPr>
              <w:spacing w:line="240" w:lineRule="auto"/>
              <w:jc w:val="center"/>
            </w:pPr>
            <w:r>
              <w:t>Женщины</w:t>
            </w:r>
          </w:p>
        </w:tc>
      </w:tr>
      <w:tr w:rsidR="00000000">
        <w:trPr>
          <w:jc w:val="center"/>
        </w:trPr>
        <w:tc>
          <w:tcPr>
            <w:tcW w:w="3119" w:type="dxa"/>
            <w:vAlign w:val="center"/>
          </w:tcPr>
          <w:p w:rsidR="00000000" w:rsidRDefault="00000000">
            <w:pPr>
              <w:spacing w:line="240" w:lineRule="auto"/>
              <w:jc w:val="center"/>
            </w:pPr>
            <w:r>
              <w:t>1991 год</w:t>
            </w:r>
          </w:p>
        </w:tc>
        <w:tc>
          <w:tcPr>
            <w:tcW w:w="1701" w:type="dxa"/>
            <w:vAlign w:val="center"/>
          </w:tcPr>
          <w:p w:rsidR="00000000" w:rsidRDefault="00000000">
            <w:pPr>
              <w:spacing w:line="240" w:lineRule="auto"/>
              <w:jc w:val="center"/>
            </w:pPr>
            <w:r>
              <w:t>79,98</w:t>
            </w:r>
          </w:p>
        </w:tc>
        <w:tc>
          <w:tcPr>
            <w:tcW w:w="1701" w:type="dxa"/>
            <w:vAlign w:val="center"/>
          </w:tcPr>
          <w:p w:rsidR="00000000" w:rsidRDefault="00000000">
            <w:pPr>
              <w:spacing w:line="240" w:lineRule="auto"/>
              <w:jc w:val="center"/>
            </w:pPr>
            <w:r>
              <w:t>44,28</w:t>
            </w:r>
          </w:p>
        </w:tc>
      </w:tr>
      <w:tr w:rsidR="00000000">
        <w:trPr>
          <w:jc w:val="center"/>
        </w:trPr>
        <w:tc>
          <w:tcPr>
            <w:tcW w:w="3119" w:type="dxa"/>
            <w:vAlign w:val="center"/>
          </w:tcPr>
          <w:p w:rsidR="00000000" w:rsidRDefault="00000000">
            <w:pPr>
              <w:spacing w:line="240" w:lineRule="auto"/>
              <w:jc w:val="center"/>
            </w:pPr>
            <w:r>
              <w:t>1992 год</w:t>
            </w:r>
          </w:p>
        </w:tc>
        <w:tc>
          <w:tcPr>
            <w:tcW w:w="1701" w:type="dxa"/>
            <w:vAlign w:val="center"/>
          </w:tcPr>
          <w:p w:rsidR="00000000" w:rsidRDefault="00000000">
            <w:pPr>
              <w:spacing w:line="240" w:lineRule="auto"/>
              <w:jc w:val="center"/>
            </w:pPr>
            <w:r>
              <w:t>78,35</w:t>
            </w:r>
          </w:p>
        </w:tc>
        <w:tc>
          <w:tcPr>
            <w:tcW w:w="1701" w:type="dxa"/>
            <w:vAlign w:val="center"/>
          </w:tcPr>
          <w:p w:rsidR="00000000" w:rsidRDefault="00000000">
            <w:pPr>
              <w:spacing w:line="240" w:lineRule="auto"/>
              <w:jc w:val="center"/>
            </w:pPr>
            <w:r>
              <w:t>42,69</w:t>
            </w:r>
          </w:p>
        </w:tc>
      </w:tr>
      <w:tr w:rsidR="00000000">
        <w:trPr>
          <w:jc w:val="center"/>
        </w:trPr>
        <w:tc>
          <w:tcPr>
            <w:tcW w:w="3119" w:type="dxa"/>
            <w:vAlign w:val="center"/>
          </w:tcPr>
          <w:p w:rsidR="00000000" w:rsidRDefault="00000000">
            <w:pPr>
              <w:spacing w:line="240" w:lineRule="auto"/>
              <w:jc w:val="center"/>
            </w:pPr>
            <w:r>
              <w:t>1993 год</w:t>
            </w:r>
          </w:p>
        </w:tc>
        <w:tc>
          <w:tcPr>
            <w:tcW w:w="1701" w:type="dxa"/>
            <w:vAlign w:val="center"/>
          </w:tcPr>
          <w:p w:rsidR="00000000" w:rsidRDefault="00000000">
            <w:pPr>
              <w:spacing w:line="240" w:lineRule="auto"/>
              <w:jc w:val="center"/>
            </w:pPr>
            <w:r>
              <w:t>77,16</w:t>
            </w:r>
          </w:p>
        </w:tc>
        <w:tc>
          <w:tcPr>
            <w:tcW w:w="1701" w:type="dxa"/>
            <w:vAlign w:val="center"/>
          </w:tcPr>
          <w:p w:rsidR="00000000" w:rsidRDefault="00000000">
            <w:pPr>
              <w:spacing w:line="240" w:lineRule="auto"/>
              <w:jc w:val="center"/>
            </w:pPr>
            <w:r>
              <w:t>42,51</w:t>
            </w:r>
          </w:p>
        </w:tc>
      </w:tr>
      <w:tr w:rsidR="00000000">
        <w:trPr>
          <w:jc w:val="center"/>
        </w:trPr>
        <w:tc>
          <w:tcPr>
            <w:tcW w:w="3119" w:type="dxa"/>
            <w:vAlign w:val="center"/>
          </w:tcPr>
          <w:p w:rsidR="00000000" w:rsidRDefault="00000000">
            <w:pPr>
              <w:spacing w:line="240" w:lineRule="auto"/>
              <w:jc w:val="center"/>
            </w:pPr>
            <w:r>
              <w:t>1994 год</w:t>
            </w:r>
          </w:p>
        </w:tc>
        <w:tc>
          <w:tcPr>
            <w:tcW w:w="1701" w:type="dxa"/>
            <w:vAlign w:val="center"/>
          </w:tcPr>
          <w:p w:rsidR="00000000" w:rsidRDefault="00000000">
            <w:pPr>
              <w:pStyle w:val="16"/>
              <w:spacing w:line="240" w:lineRule="auto"/>
            </w:pPr>
            <w:r>
              <w:t>77,20</w:t>
            </w:r>
          </w:p>
        </w:tc>
        <w:tc>
          <w:tcPr>
            <w:tcW w:w="1701" w:type="dxa"/>
            <w:vAlign w:val="center"/>
          </w:tcPr>
          <w:p w:rsidR="00000000" w:rsidRDefault="00000000">
            <w:pPr>
              <w:spacing w:line="240" w:lineRule="auto"/>
              <w:jc w:val="center"/>
            </w:pPr>
            <w:r>
              <w:t>43,35</w:t>
            </w:r>
          </w:p>
        </w:tc>
      </w:tr>
      <w:tr w:rsidR="00000000">
        <w:trPr>
          <w:jc w:val="center"/>
        </w:trPr>
        <w:tc>
          <w:tcPr>
            <w:tcW w:w="3119" w:type="dxa"/>
            <w:vAlign w:val="center"/>
          </w:tcPr>
          <w:p w:rsidR="00000000" w:rsidRDefault="00000000">
            <w:pPr>
              <w:pStyle w:val="16"/>
              <w:spacing w:line="240" w:lineRule="auto"/>
            </w:pPr>
            <w:r>
              <w:t>1995 год</w:t>
            </w:r>
          </w:p>
        </w:tc>
        <w:tc>
          <w:tcPr>
            <w:tcW w:w="1701" w:type="dxa"/>
            <w:vAlign w:val="center"/>
          </w:tcPr>
          <w:p w:rsidR="00000000" w:rsidRDefault="00000000">
            <w:pPr>
              <w:spacing w:line="240" w:lineRule="auto"/>
              <w:jc w:val="center"/>
            </w:pPr>
            <w:r>
              <w:t>76,67</w:t>
            </w:r>
          </w:p>
        </w:tc>
        <w:tc>
          <w:tcPr>
            <w:tcW w:w="1701" w:type="dxa"/>
            <w:vAlign w:val="center"/>
          </w:tcPr>
          <w:p w:rsidR="00000000" w:rsidRDefault="00000000">
            <w:pPr>
              <w:spacing w:line="240" w:lineRule="auto"/>
              <w:jc w:val="center"/>
            </w:pPr>
            <w:r>
              <w:t>43,92</w:t>
            </w:r>
          </w:p>
        </w:tc>
      </w:tr>
      <w:tr w:rsidR="00000000">
        <w:trPr>
          <w:jc w:val="center"/>
        </w:trPr>
        <w:tc>
          <w:tcPr>
            <w:tcW w:w="3119" w:type="dxa"/>
            <w:vAlign w:val="center"/>
          </w:tcPr>
          <w:p w:rsidR="00000000" w:rsidRDefault="00000000">
            <w:pPr>
              <w:spacing w:line="240" w:lineRule="auto"/>
              <w:jc w:val="center"/>
            </w:pPr>
            <w:r>
              <w:t>1996 год</w:t>
            </w:r>
          </w:p>
        </w:tc>
        <w:tc>
          <w:tcPr>
            <w:tcW w:w="1701" w:type="dxa"/>
            <w:vAlign w:val="center"/>
          </w:tcPr>
          <w:p w:rsidR="00000000" w:rsidRDefault="00000000">
            <w:pPr>
              <w:spacing w:line="240" w:lineRule="auto"/>
              <w:jc w:val="center"/>
            </w:pPr>
            <w:r>
              <w:t>76,26</w:t>
            </w:r>
          </w:p>
        </w:tc>
        <w:tc>
          <w:tcPr>
            <w:tcW w:w="1701" w:type="dxa"/>
            <w:vAlign w:val="center"/>
          </w:tcPr>
          <w:p w:rsidR="00000000" w:rsidRDefault="00000000">
            <w:pPr>
              <w:spacing w:line="240" w:lineRule="auto"/>
              <w:jc w:val="center"/>
            </w:pPr>
            <w:r>
              <w:t>44,86</w:t>
            </w:r>
          </w:p>
        </w:tc>
      </w:tr>
      <w:tr w:rsidR="00000000">
        <w:trPr>
          <w:jc w:val="center"/>
        </w:trPr>
        <w:tc>
          <w:tcPr>
            <w:tcW w:w="3119" w:type="dxa"/>
            <w:vAlign w:val="center"/>
          </w:tcPr>
          <w:p w:rsidR="00000000" w:rsidRDefault="00000000">
            <w:pPr>
              <w:spacing w:line="240" w:lineRule="auto"/>
              <w:jc w:val="center"/>
            </w:pPr>
            <w:r>
              <w:t>1997 год</w:t>
            </w:r>
          </w:p>
        </w:tc>
        <w:tc>
          <w:tcPr>
            <w:tcW w:w="1701" w:type="dxa"/>
            <w:vAlign w:val="center"/>
          </w:tcPr>
          <w:p w:rsidR="00000000" w:rsidRDefault="00000000">
            <w:pPr>
              <w:spacing w:line="240" w:lineRule="auto"/>
              <w:jc w:val="center"/>
            </w:pPr>
            <w:r>
              <w:t>74,66</w:t>
            </w:r>
          </w:p>
        </w:tc>
        <w:tc>
          <w:tcPr>
            <w:tcW w:w="1701" w:type="dxa"/>
            <w:vAlign w:val="center"/>
          </w:tcPr>
          <w:p w:rsidR="00000000" w:rsidRDefault="00000000">
            <w:pPr>
              <w:spacing w:line="240" w:lineRule="auto"/>
              <w:jc w:val="center"/>
            </w:pPr>
            <w:r>
              <w:t>44,29</w:t>
            </w:r>
          </w:p>
        </w:tc>
      </w:tr>
      <w:tr w:rsidR="00000000">
        <w:trPr>
          <w:jc w:val="center"/>
        </w:trPr>
        <w:tc>
          <w:tcPr>
            <w:tcW w:w="3119" w:type="dxa"/>
            <w:vAlign w:val="center"/>
          </w:tcPr>
          <w:p w:rsidR="00000000" w:rsidRDefault="00000000">
            <w:pPr>
              <w:spacing w:line="240" w:lineRule="auto"/>
              <w:jc w:val="center"/>
            </w:pPr>
            <w:r>
              <w:t>1998 год</w:t>
            </w:r>
          </w:p>
        </w:tc>
        <w:tc>
          <w:tcPr>
            <w:tcW w:w="1701" w:type="dxa"/>
            <w:vAlign w:val="center"/>
          </w:tcPr>
          <w:p w:rsidR="00000000" w:rsidRDefault="00000000">
            <w:pPr>
              <w:spacing w:line="240" w:lineRule="auto"/>
              <w:jc w:val="center"/>
            </w:pPr>
            <w:r>
              <w:t>73,70</w:t>
            </w:r>
          </w:p>
        </w:tc>
        <w:tc>
          <w:tcPr>
            <w:tcW w:w="1701" w:type="dxa"/>
            <w:vAlign w:val="center"/>
          </w:tcPr>
          <w:p w:rsidR="00000000" w:rsidRDefault="00000000">
            <w:pPr>
              <w:spacing w:line="240" w:lineRule="auto"/>
              <w:jc w:val="center"/>
            </w:pPr>
            <w:r>
              <w:t>44,53</w:t>
            </w:r>
          </w:p>
        </w:tc>
      </w:tr>
      <w:tr w:rsidR="00000000">
        <w:trPr>
          <w:jc w:val="center"/>
        </w:trPr>
        <w:tc>
          <w:tcPr>
            <w:tcW w:w="3119" w:type="dxa"/>
            <w:vAlign w:val="center"/>
          </w:tcPr>
          <w:p w:rsidR="00000000" w:rsidRDefault="00000000">
            <w:pPr>
              <w:spacing w:line="240" w:lineRule="auto"/>
              <w:jc w:val="center"/>
            </w:pPr>
            <w:r>
              <w:t>1999 год</w:t>
            </w:r>
          </w:p>
        </w:tc>
        <w:tc>
          <w:tcPr>
            <w:tcW w:w="1701" w:type="dxa"/>
            <w:vAlign w:val="center"/>
          </w:tcPr>
          <w:p w:rsidR="00000000" w:rsidRDefault="00000000">
            <w:pPr>
              <w:spacing w:line="240" w:lineRule="auto"/>
              <w:jc w:val="center"/>
            </w:pPr>
            <w:r>
              <w:t>72,18</w:t>
            </w:r>
          </w:p>
        </w:tc>
        <w:tc>
          <w:tcPr>
            <w:tcW w:w="1701" w:type="dxa"/>
            <w:vAlign w:val="center"/>
          </w:tcPr>
          <w:p w:rsidR="00000000" w:rsidRDefault="00000000">
            <w:pPr>
              <w:spacing w:line="240" w:lineRule="auto"/>
              <w:jc w:val="center"/>
            </w:pPr>
            <w:r>
              <w:t>43,88,</w:t>
            </w:r>
          </w:p>
        </w:tc>
      </w:tr>
      <w:tr w:rsidR="00000000">
        <w:trPr>
          <w:jc w:val="center"/>
        </w:trPr>
        <w:tc>
          <w:tcPr>
            <w:tcW w:w="3119" w:type="dxa"/>
            <w:vAlign w:val="center"/>
          </w:tcPr>
          <w:p w:rsidR="00000000" w:rsidRDefault="00000000">
            <w:pPr>
              <w:pStyle w:val="16"/>
              <w:spacing w:line="240" w:lineRule="auto"/>
              <w:rPr>
                <w:iCs/>
              </w:rPr>
            </w:pPr>
            <w:r>
              <w:rPr>
                <w:iCs/>
              </w:rPr>
              <w:t>Январь-апрель 1999 года</w:t>
            </w:r>
          </w:p>
        </w:tc>
        <w:tc>
          <w:tcPr>
            <w:tcW w:w="1701" w:type="dxa"/>
            <w:vAlign w:val="center"/>
          </w:tcPr>
          <w:p w:rsidR="00000000" w:rsidRDefault="00000000">
            <w:pPr>
              <w:spacing w:line="240" w:lineRule="auto"/>
              <w:jc w:val="center"/>
            </w:pPr>
            <w:r>
              <w:t>71,97</w:t>
            </w:r>
          </w:p>
        </w:tc>
        <w:tc>
          <w:tcPr>
            <w:tcW w:w="1701" w:type="dxa"/>
            <w:vAlign w:val="center"/>
          </w:tcPr>
          <w:p w:rsidR="00000000" w:rsidRDefault="00000000">
            <w:pPr>
              <w:spacing w:line="240" w:lineRule="auto"/>
              <w:jc w:val="center"/>
            </w:pPr>
            <w:r>
              <w:t>43,51</w:t>
            </w:r>
          </w:p>
        </w:tc>
      </w:tr>
      <w:tr w:rsidR="00000000">
        <w:trPr>
          <w:jc w:val="center"/>
        </w:trPr>
        <w:tc>
          <w:tcPr>
            <w:tcW w:w="3119" w:type="dxa"/>
            <w:vAlign w:val="center"/>
          </w:tcPr>
          <w:p w:rsidR="00000000" w:rsidRDefault="00000000">
            <w:pPr>
              <w:spacing w:line="240" w:lineRule="auto"/>
              <w:jc w:val="center"/>
            </w:pPr>
            <w:r>
              <w:t>Апрель 1999 года</w:t>
            </w:r>
          </w:p>
        </w:tc>
        <w:tc>
          <w:tcPr>
            <w:tcW w:w="1701" w:type="dxa"/>
            <w:vAlign w:val="center"/>
          </w:tcPr>
          <w:p w:rsidR="00000000" w:rsidRDefault="00000000">
            <w:pPr>
              <w:spacing w:line="240" w:lineRule="auto"/>
              <w:jc w:val="center"/>
            </w:pPr>
            <w:r>
              <w:t>72,06</w:t>
            </w:r>
          </w:p>
        </w:tc>
        <w:tc>
          <w:tcPr>
            <w:tcW w:w="1701" w:type="dxa"/>
            <w:vAlign w:val="center"/>
          </w:tcPr>
          <w:p w:rsidR="00000000" w:rsidRDefault="00000000">
            <w:pPr>
              <w:spacing w:line="240" w:lineRule="auto"/>
              <w:jc w:val="center"/>
            </w:pPr>
            <w:r>
              <w:t>43,56</w:t>
            </w:r>
          </w:p>
        </w:tc>
      </w:tr>
      <w:tr w:rsidR="00000000">
        <w:trPr>
          <w:jc w:val="center"/>
        </w:trPr>
        <w:tc>
          <w:tcPr>
            <w:tcW w:w="3119" w:type="dxa"/>
            <w:vAlign w:val="center"/>
          </w:tcPr>
          <w:p w:rsidR="00000000" w:rsidRDefault="00000000">
            <w:pPr>
              <w:spacing w:line="240" w:lineRule="auto"/>
              <w:jc w:val="center"/>
            </w:pPr>
            <w:r>
              <w:t>Май 1999 года</w:t>
            </w:r>
          </w:p>
        </w:tc>
        <w:tc>
          <w:tcPr>
            <w:tcW w:w="1701" w:type="dxa"/>
            <w:vAlign w:val="center"/>
          </w:tcPr>
          <w:p w:rsidR="00000000" w:rsidRDefault="00000000">
            <w:pPr>
              <w:spacing w:line="240" w:lineRule="auto"/>
              <w:jc w:val="center"/>
            </w:pPr>
            <w:r>
              <w:t>72,16</w:t>
            </w:r>
          </w:p>
        </w:tc>
        <w:tc>
          <w:tcPr>
            <w:tcW w:w="1701" w:type="dxa"/>
            <w:vAlign w:val="center"/>
          </w:tcPr>
          <w:p w:rsidR="00000000" w:rsidRDefault="00000000">
            <w:pPr>
              <w:spacing w:line="240" w:lineRule="auto"/>
              <w:jc w:val="center"/>
            </w:pPr>
            <w:r>
              <w:t>43,73</w:t>
            </w:r>
          </w:p>
        </w:tc>
      </w:tr>
      <w:tr w:rsidR="00000000">
        <w:trPr>
          <w:jc w:val="center"/>
        </w:trPr>
        <w:tc>
          <w:tcPr>
            <w:tcW w:w="3119" w:type="dxa"/>
            <w:vAlign w:val="center"/>
          </w:tcPr>
          <w:p w:rsidR="00000000" w:rsidRDefault="00000000">
            <w:pPr>
              <w:spacing w:line="240" w:lineRule="auto"/>
              <w:jc w:val="center"/>
            </w:pPr>
            <w:r>
              <w:t>Июнь 1999 года</w:t>
            </w:r>
          </w:p>
        </w:tc>
        <w:tc>
          <w:tcPr>
            <w:tcW w:w="1701" w:type="dxa"/>
            <w:vAlign w:val="center"/>
          </w:tcPr>
          <w:p w:rsidR="00000000" w:rsidRDefault="00000000">
            <w:pPr>
              <w:spacing w:line="240" w:lineRule="auto"/>
              <w:jc w:val="center"/>
            </w:pPr>
            <w:r>
              <w:t>73,12</w:t>
            </w:r>
          </w:p>
        </w:tc>
        <w:tc>
          <w:tcPr>
            <w:tcW w:w="1701" w:type="dxa"/>
            <w:vAlign w:val="center"/>
          </w:tcPr>
          <w:p w:rsidR="00000000" w:rsidRDefault="00000000">
            <w:pPr>
              <w:spacing w:line="240" w:lineRule="auto"/>
              <w:jc w:val="center"/>
            </w:pPr>
            <w:r>
              <w:t>43,94</w:t>
            </w:r>
          </w:p>
        </w:tc>
      </w:tr>
      <w:tr w:rsidR="00000000">
        <w:trPr>
          <w:jc w:val="center"/>
        </w:trPr>
        <w:tc>
          <w:tcPr>
            <w:tcW w:w="3119" w:type="dxa"/>
            <w:vAlign w:val="center"/>
          </w:tcPr>
          <w:p w:rsidR="00000000" w:rsidRDefault="00000000">
            <w:pPr>
              <w:spacing w:line="240" w:lineRule="auto"/>
              <w:jc w:val="center"/>
            </w:pPr>
            <w:r>
              <w:t>Июль 1999 года</w:t>
            </w:r>
          </w:p>
        </w:tc>
        <w:tc>
          <w:tcPr>
            <w:tcW w:w="1701" w:type="dxa"/>
            <w:vAlign w:val="center"/>
          </w:tcPr>
          <w:p w:rsidR="00000000" w:rsidRDefault="00000000">
            <w:pPr>
              <w:spacing w:line="240" w:lineRule="auto"/>
              <w:jc w:val="center"/>
            </w:pPr>
            <w:r>
              <w:t>72,21</w:t>
            </w:r>
          </w:p>
        </w:tc>
        <w:tc>
          <w:tcPr>
            <w:tcW w:w="1701" w:type="dxa"/>
            <w:vAlign w:val="center"/>
          </w:tcPr>
          <w:p w:rsidR="00000000" w:rsidRDefault="00000000">
            <w:pPr>
              <w:spacing w:line="240" w:lineRule="auto"/>
              <w:jc w:val="center"/>
            </w:pPr>
            <w:r>
              <w:t>43,76</w:t>
            </w:r>
          </w:p>
        </w:tc>
      </w:tr>
      <w:tr w:rsidR="00000000">
        <w:trPr>
          <w:jc w:val="center"/>
        </w:trPr>
        <w:tc>
          <w:tcPr>
            <w:tcW w:w="3119" w:type="dxa"/>
            <w:vAlign w:val="center"/>
          </w:tcPr>
          <w:p w:rsidR="00000000" w:rsidRDefault="00000000">
            <w:pPr>
              <w:spacing w:line="240" w:lineRule="auto"/>
              <w:jc w:val="center"/>
            </w:pPr>
            <w:r>
              <w:t>Август 1999 года</w:t>
            </w:r>
          </w:p>
        </w:tc>
        <w:tc>
          <w:tcPr>
            <w:tcW w:w="1701" w:type="dxa"/>
            <w:vAlign w:val="center"/>
          </w:tcPr>
          <w:p w:rsidR="00000000" w:rsidRDefault="00000000">
            <w:pPr>
              <w:spacing w:line="240" w:lineRule="auto"/>
              <w:jc w:val="center"/>
            </w:pPr>
            <w:r>
              <w:t>71,82</w:t>
            </w:r>
          </w:p>
        </w:tc>
        <w:tc>
          <w:tcPr>
            <w:tcW w:w="1701" w:type="dxa"/>
            <w:vAlign w:val="center"/>
          </w:tcPr>
          <w:p w:rsidR="00000000" w:rsidRDefault="00000000">
            <w:pPr>
              <w:spacing w:line="240" w:lineRule="auto"/>
              <w:jc w:val="center"/>
            </w:pPr>
            <w:r>
              <w:t>43,76</w:t>
            </w:r>
          </w:p>
        </w:tc>
      </w:tr>
      <w:tr w:rsidR="00000000">
        <w:trPr>
          <w:jc w:val="center"/>
        </w:trPr>
        <w:tc>
          <w:tcPr>
            <w:tcW w:w="3119" w:type="dxa"/>
            <w:vAlign w:val="center"/>
          </w:tcPr>
          <w:p w:rsidR="00000000" w:rsidRDefault="00000000">
            <w:pPr>
              <w:spacing w:line="240" w:lineRule="auto"/>
              <w:jc w:val="center"/>
            </w:pPr>
            <w:r>
              <w:t>Сентябрь 1999 года</w:t>
            </w:r>
          </w:p>
        </w:tc>
        <w:tc>
          <w:tcPr>
            <w:tcW w:w="1701" w:type="dxa"/>
            <w:vAlign w:val="center"/>
          </w:tcPr>
          <w:p w:rsidR="00000000" w:rsidRDefault="00000000">
            <w:pPr>
              <w:spacing w:line="240" w:lineRule="auto"/>
              <w:jc w:val="center"/>
            </w:pPr>
            <w:r>
              <w:t>72,09</w:t>
            </w:r>
          </w:p>
        </w:tc>
        <w:tc>
          <w:tcPr>
            <w:tcW w:w="1701" w:type="dxa"/>
            <w:vAlign w:val="center"/>
          </w:tcPr>
          <w:p w:rsidR="00000000" w:rsidRDefault="00000000">
            <w:pPr>
              <w:spacing w:line="240" w:lineRule="auto"/>
              <w:jc w:val="center"/>
            </w:pPr>
            <w:r>
              <w:t>44,12</w:t>
            </w:r>
          </w:p>
        </w:tc>
      </w:tr>
      <w:tr w:rsidR="00000000">
        <w:trPr>
          <w:jc w:val="center"/>
        </w:trPr>
        <w:tc>
          <w:tcPr>
            <w:tcW w:w="3119" w:type="dxa"/>
            <w:vAlign w:val="center"/>
          </w:tcPr>
          <w:p w:rsidR="00000000" w:rsidRDefault="00000000">
            <w:pPr>
              <w:spacing w:line="240" w:lineRule="auto"/>
              <w:jc w:val="center"/>
            </w:pPr>
            <w:r>
              <w:t>Октябрь 1999 года</w:t>
            </w:r>
          </w:p>
        </w:tc>
        <w:tc>
          <w:tcPr>
            <w:tcW w:w="1701" w:type="dxa"/>
            <w:vAlign w:val="center"/>
          </w:tcPr>
          <w:p w:rsidR="00000000" w:rsidRDefault="00000000">
            <w:pPr>
              <w:spacing w:line="240" w:lineRule="auto"/>
              <w:jc w:val="center"/>
            </w:pPr>
            <w:r>
              <w:t>72,34</w:t>
            </w:r>
          </w:p>
        </w:tc>
        <w:tc>
          <w:tcPr>
            <w:tcW w:w="1701" w:type="dxa"/>
            <w:vAlign w:val="center"/>
          </w:tcPr>
          <w:p w:rsidR="00000000" w:rsidRDefault="00000000">
            <w:pPr>
              <w:spacing w:line="240" w:lineRule="auto"/>
              <w:jc w:val="center"/>
            </w:pPr>
            <w:r>
              <w:t>44,50</w:t>
            </w:r>
          </w:p>
        </w:tc>
      </w:tr>
      <w:tr w:rsidR="00000000">
        <w:trPr>
          <w:jc w:val="center"/>
        </w:trPr>
        <w:tc>
          <w:tcPr>
            <w:tcW w:w="3119" w:type="dxa"/>
            <w:vAlign w:val="center"/>
          </w:tcPr>
          <w:p w:rsidR="00000000" w:rsidRDefault="00000000">
            <w:pPr>
              <w:spacing w:line="240" w:lineRule="auto"/>
              <w:jc w:val="center"/>
            </w:pPr>
            <w:r>
              <w:t>Ноябрь 1999 года</w:t>
            </w:r>
          </w:p>
        </w:tc>
        <w:tc>
          <w:tcPr>
            <w:tcW w:w="1701" w:type="dxa"/>
            <w:vAlign w:val="center"/>
          </w:tcPr>
          <w:p w:rsidR="00000000" w:rsidRDefault="00000000">
            <w:pPr>
              <w:spacing w:line="240" w:lineRule="auto"/>
              <w:jc w:val="center"/>
            </w:pPr>
            <w:r>
              <w:t>72,33</w:t>
            </w:r>
          </w:p>
        </w:tc>
        <w:tc>
          <w:tcPr>
            <w:tcW w:w="1701" w:type="dxa"/>
            <w:vAlign w:val="center"/>
          </w:tcPr>
          <w:p w:rsidR="00000000" w:rsidRDefault="00000000">
            <w:pPr>
              <w:spacing w:line="240" w:lineRule="auto"/>
              <w:jc w:val="center"/>
            </w:pPr>
            <w:r>
              <w:t>44,52</w:t>
            </w:r>
          </w:p>
        </w:tc>
      </w:tr>
      <w:tr w:rsidR="00000000">
        <w:trPr>
          <w:jc w:val="center"/>
        </w:trPr>
        <w:tc>
          <w:tcPr>
            <w:tcW w:w="3119" w:type="dxa"/>
            <w:vAlign w:val="center"/>
          </w:tcPr>
          <w:p w:rsidR="00000000" w:rsidRDefault="00000000">
            <w:pPr>
              <w:spacing w:line="240" w:lineRule="auto"/>
              <w:jc w:val="center"/>
            </w:pPr>
            <w:r>
              <w:t>Декабрь 1999 года</w:t>
            </w:r>
          </w:p>
        </w:tc>
        <w:tc>
          <w:tcPr>
            <w:tcW w:w="1701" w:type="dxa"/>
            <w:vAlign w:val="center"/>
          </w:tcPr>
          <w:p w:rsidR="00000000" w:rsidRDefault="00000000">
            <w:pPr>
              <w:spacing w:line="240" w:lineRule="auto"/>
              <w:jc w:val="center"/>
            </w:pPr>
            <w:r>
              <w:t>72,19</w:t>
            </w:r>
          </w:p>
        </w:tc>
        <w:tc>
          <w:tcPr>
            <w:tcW w:w="1701" w:type="dxa"/>
            <w:vAlign w:val="center"/>
          </w:tcPr>
          <w:p w:rsidR="00000000" w:rsidRDefault="00000000">
            <w:pPr>
              <w:spacing w:line="240" w:lineRule="auto"/>
              <w:jc w:val="center"/>
            </w:pPr>
            <w:r>
              <w:t>44,54</w:t>
            </w:r>
          </w:p>
        </w:tc>
      </w:tr>
      <w:tr w:rsidR="00000000">
        <w:trPr>
          <w:jc w:val="center"/>
        </w:trPr>
        <w:tc>
          <w:tcPr>
            <w:tcW w:w="3119" w:type="dxa"/>
            <w:vAlign w:val="center"/>
          </w:tcPr>
          <w:p w:rsidR="00000000" w:rsidRDefault="00000000">
            <w:pPr>
              <w:spacing w:line="240" w:lineRule="auto"/>
              <w:jc w:val="center"/>
            </w:pPr>
            <w:r>
              <w:t>Январь 2000 года</w:t>
            </w:r>
          </w:p>
        </w:tc>
        <w:tc>
          <w:tcPr>
            <w:tcW w:w="1701" w:type="dxa"/>
            <w:vAlign w:val="center"/>
          </w:tcPr>
          <w:p w:rsidR="00000000" w:rsidRDefault="00000000">
            <w:pPr>
              <w:spacing w:line="240" w:lineRule="auto"/>
              <w:jc w:val="center"/>
            </w:pPr>
            <w:r>
              <w:t>71,96</w:t>
            </w:r>
          </w:p>
        </w:tc>
        <w:tc>
          <w:tcPr>
            <w:tcW w:w="1701" w:type="dxa"/>
            <w:vAlign w:val="center"/>
          </w:tcPr>
          <w:p w:rsidR="00000000" w:rsidRDefault="00000000">
            <w:pPr>
              <w:spacing w:line="240" w:lineRule="auto"/>
              <w:jc w:val="center"/>
            </w:pPr>
            <w:r>
              <w:t>44,29</w:t>
            </w:r>
          </w:p>
        </w:tc>
      </w:tr>
      <w:tr w:rsidR="00000000">
        <w:trPr>
          <w:jc w:val="center"/>
        </w:trPr>
        <w:tc>
          <w:tcPr>
            <w:tcW w:w="3119" w:type="dxa"/>
            <w:vAlign w:val="center"/>
          </w:tcPr>
          <w:p w:rsidR="00000000" w:rsidRDefault="00000000">
            <w:pPr>
              <w:spacing w:line="240" w:lineRule="auto"/>
              <w:jc w:val="center"/>
            </w:pPr>
            <w:r>
              <w:t>Февраль 2000 года</w:t>
            </w:r>
          </w:p>
        </w:tc>
        <w:tc>
          <w:tcPr>
            <w:tcW w:w="1701" w:type="dxa"/>
            <w:vAlign w:val="center"/>
          </w:tcPr>
          <w:p w:rsidR="00000000" w:rsidRDefault="00000000">
            <w:pPr>
              <w:spacing w:line="240" w:lineRule="auto"/>
              <w:jc w:val="center"/>
            </w:pPr>
            <w:r>
              <w:t>72,52</w:t>
            </w:r>
          </w:p>
        </w:tc>
        <w:tc>
          <w:tcPr>
            <w:tcW w:w="1701" w:type="dxa"/>
            <w:vAlign w:val="center"/>
          </w:tcPr>
          <w:p w:rsidR="00000000" w:rsidRDefault="00000000">
            <w:pPr>
              <w:spacing w:line="240" w:lineRule="auto"/>
              <w:jc w:val="center"/>
            </w:pPr>
            <w:r>
              <w:t>44,65</w:t>
            </w:r>
          </w:p>
        </w:tc>
      </w:tr>
      <w:tr w:rsidR="00000000">
        <w:trPr>
          <w:jc w:val="center"/>
        </w:trPr>
        <w:tc>
          <w:tcPr>
            <w:tcW w:w="3119" w:type="dxa"/>
            <w:vAlign w:val="center"/>
          </w:tcPr>
          <w:p w:rsidR="00000000" w:rsidRDefault="00000000">
            <w:pPr>
              <w:spacing w:line="240" w:lineRule="auto"/>
              <w:jc w:val="center"/>
            </w:pPr>
            <w:r>
              <w:t>Март 2000 года</w:t>
            </w:r>
          </w:p>
        </w:tc>
        <w:tc>
          <w:tcPr>
            <w:tcW w:w="1701" w:type="dxa"/>
            <w:vAlign w:val="center"/>
          </w:tcPr>
          <w:p w:rsidR="00000000" w:rsidRDefault="00000000">
            <w:pPr>
              <w:spacing w:line="240" w:lineRule="auto"/>
              <w:jc w:val="center"/>
            </w:pPr>
            <w:r>
              <w:t>72,78</w:t>
            </w:r>
          </w:p>
        </w:tc>
        <w:tc>
          <w:tcPr>
            <w:tcW w:w="1701" w:type="dxa"/>
            <w:vAlign w:val="center"/>
          </w:tcPr>
          <w:p w:rsidR="00000000" w:rsidRDefault="00000000">
            <w:pPr>
              <w:spacing w:line="240" w:lineRule="auto"/>
              <w:jc w:val="center"/>
            </w:pPr>
            <w:r>
              <w:t>44,84</w:t>
            </w:r>
          </w:p>
        </w:tc>
      </w:tr>
      <w:tr w:rsidR="00000000">
        <w:trPr>
          <w:jc w:val="center"/>
        </w:trPr>
        <w:tc>
          <w:tcPr>
            <w:tcW w:w="3119" w:type="dxa"/>
            <w:vAlign w:val="center"/>
          </w:tcPr>
          <w:p w:rsidR="00000000" w:rsidRDefault="00000000">
            <w:pPr>
              <w:spacing w:line="240" w:lineRule="auto"/>
              <w:jc w:val="center"/>
            </w:pPr>
            <w:r>
              <w:t>Апрель 2000 года</w:t>
            </w:r>
          </w:p>
        </w:tc>
        <w:tc>
          <w:tcPr>
            <w:tcW w:w="1701" w:type="dxa"/>
            <w:vAlign w:val="center"/>
          </w:tcPr>
          <w:p w:rsidR="00000000" w:rsidRDefault="00000000">
            <w:pPr>
              <w:spacing w:line="240" w:lineRule="auto"/>
              <w:jc w:val="center"/>
            </w:pPr>
            <w:r>
              <w:t>73,39</w:t>
            </w:r>
          </w:p>
        </w:tc>
        <w:tc>
          <w:tcPr>
            <w:tcW w:w="1701" w:type="dxa"/>
            <w:vAlign w:val="center"/>
          </w:tcPr>
          <w:p w:rsidR="00000000" w:rsidRDefault="00000000">
            <w:pPr>
              <w:spacing w:line="240" w:lineRule="auto"/>
              <w:jc w:val="center"/>
            </w:pPr>
            <w:r>
              <w:t>45,43</w:t>
            </w:r>
          </w:p>
        </w:tc>
      </w:tr>
      <w:tr w:rsidR="00000000">
        <w:trPr>
          <w:jc w:val="center"/>
        </w:trPr>
        <w:tc>
          <w:tcPr>
            <w:tcW w:w="3119" w:type="dxa"/>
            <w:vAlign w:val="center"/>
          </w:tcPr>
          <w:p w:rsidR="00000000" w:rsidRDefault="00000000">
            <w:pPr>
              <w:spacing w:line="240" w:lineRule="auto"/>
              <w:jc w:val="center"/>
            </w:pPr>
            <w:r>
              <w:t>Январь-апрель 2000 года</w:t>
            </w:r>
          </w:p>
        </w:tc>
        <w:tc>
          <w:tcPr>
            <w:tcW w:w="1701" w:type="dxa"/>
            <w:vAlign w:val="center"/>
          </w:tcPr>
          <w:p w:rsidR="00000000" w:rsidRDefault="00000000">
            <w:pPr>
              <w:spacing w:line="240" w:lineRule="auto"/>
              <w:jc w:val="center"/>
            </w:pPr>
            <w:r>
              <w:t>72,66</w:t>
            </w:r>
          </w:p>
        </w:tc>
        <w:tc>
          <w:tcPr>
            <w:tcW w:w="1701" w:type="dxa"/>
            <w:vAlign w:val="center"/>
          </w:tcPr>
          <w:p w:rsidR="00000000" w:rsidRDefault="00000000">
            <w:pPr>
              <w:spacing w:line="240" w:lineRule="auto"/>
              <w:jc w:val="center"/>
            </w:pPr>
            <w:r>
              <w:t>44,80</w:t>
            </w:r>
          </w:p>
        </w:tc>
      </w:tr>
    </w:tbl>
    <w:p w:rsidR="00000000" w:rsidRDefault="00000000">
      <w:pPr>
        <w:spacing w:line="240" w:lineRule="auto"/>
        <w:rPr>
          <w:kern w:val="2"/>
        </w:rPr>
      </w:pPr>
    </w:p>
    <w:p w:rsidR="00000000" w:rsidRDefault="00000000">
      <w:pPr>
        <w:tabs>
          <w:tab w:val="clear" w:pos="1701"/>
          <w:tab w:val="left" w:pos="1843"/>
        </w:tabs>
        <w:spacing w:line="240" w:lineRule="auto"/>
        <w:rPr>
          <w:kern w:val="2"/>
        </w:rPr>
      </w:pPr>
      <w:r>
        <w:rPr>
          <w:kern w:val="2"/>
          <w:u w:val="single"/>
        </w:rPr>
        <w:t>Источник</w:t>
      </w:r>
      <w:r>
        <w:rPr>
          <w:kern w:val="2"/>
        </w:rPr>
        <w:t>:</w:t>
      </w:r>
      <w:r>
        <w:rPr>
          <w:kern w:val="2"/>
        </w:rPr>
        <w:tab/>
        <w:t>Министерство труда и занятости </w:t>
      </w:r>
      <w:r>
        <w:rPr>
          <w:kern w:val="2"/>
        </w:rPr>
        <w:sym w:font="Symbol" w:char="F02D"/>
      </w:r>
      <w:r>
        <w:rPr>
          <w:kern w:val="2"/>
        </w:rPr>
        <w:t xml:space="preserve"> данные ЕОЗ/БИГС.  Журнал "Mercado de Traba</w:t>
      </w:r>
      <w:r>
        <w:rPr>
          <w:kern w:val="2"/>
          <w:lang w:val="en-US"/>
        </w:rPr>
        <w:t>l</w:t>
      </w:r>
      <w:r>
        <w:rPr>
          <w:kern w:val="2"/>
        </w:rPr>
        <w:t>ho </w:t>
      </w:r>
      <w:r>
        <w:rPr>
          <w:kern w:val="2"/>
        </w:rPr>
        <w:sym w:font="Symbol" w:char="F02D"/>
      </w:r>
      <w:r>
        <w:rPr>
          <w:kern w:val="2"/>
        </w:rPr>
        <w:t xml:space="preserve"> Conjuntura e Análise", пятый год издания, июнь 2000 года.</w:t>
      </w:r>
    </w:p>
    <w:p w:rsidR="00000000" w:rsidRDefault="00000000">
      <w:pPr>
        <w:spacing w:line="240" w:lineRule="auto"/>
      </w:pPr>
    </w:p>
    <w:p w:rsidR="00000000" w:rsidRDefault="00000000">
      <w:pPr>
        <w:pStyle w:val="16"/>
        <w:rPr>
          <w:b/>
          <w:bCs/>
          <w:kern w:val="2"/>
        </w:rPr>
      </w:pPr>
      <w:r>
        <w:rPr>
          <w:b/>
          <w:bCs/>
          <w:kern w:val="2"/>
        </w:rPr>
        <w:t>Таблица 23.   Численность занятого населения в разбивке по полу</w:t>
      </w:r>
    </w:p>
    <w:p w:rsidR="00000000" w:rsidRDefault="00000000">
      <w:pPr>
        <w:rPr>
          <w:kern w:val="2"/>
        </w:rPr>
      </w:pPr>
    </w:p>
    <w:tbl>
      <w:tblPr>
        <w:tblW w:w="0" w:type="auto"/>
        <w:jc w:val="center"/>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718"/>
        <w:gridCol w:w="2244"/>
        <w:gridCol w:w="2253"/>
      </w:tblGrid>
      <w:tr w:rsidR="00000000">
        <w:tblPrEx>
          <w:tblCellMar>
            <w:top w:w="0" w:type="dxa"/>
            <w:bottom w:w="0" w:type="dxa"/>
          </w:tblCellMar>
        </w:tblPrEx>
        <w:trPr>
          <w:jc w:val="center"/>
        </w:trPr>
        <w:tc>
          <w:tcPr>
            <w:tcW w:w="4718" w:type="dxa"/>
          </w:tcPr>
          <w:p w:rsidR="00000000" w:rsidRDefault="00000000">
            <w:pPr>
              <w:spacing w:line="240" w:lineRule="auto"/>
              <w:jc w:val="center"/>
            </w:pPr>
            <w:r>
              <w:t>Период</w:t>
            </w:r>
          </w:p>
        </w:tc>
        <w:tc>
          <w:tcPr>
            <w:tcW w:w="2244" w:type="dxa"/>
          </w:tcPr>
          <w:p w:rsidR="00000000" w:rsidRDefault="00000000">
            <w:pPr>
              <w:spacing w:line="240" w:lineRule="auto"/>
              <w:jc w:val="center"/>
            </w:pPr>
            <w:r>
              <w:t>Мужчины</w:t>
            </w:r>
          </w:p>
        </w:tc>
        <w:tc>
          <w:tcPr>
            <w:tcW w:w="2253" w:type="dxa"/>
          </w:tcPr>
          <w:p w:rsidR="00000000" w:rsidRDefault="00000000">
            <w:pPr>
              <w:spacing w:line="240" w:lineRule="auto"/>
              <w:jc w:val="center"/>
            </w:pPr>
            <w:r>
              <w:t>Женщины</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1991 год</w:t>
            </w:r>
          </w:p>
        </w:tc>
        <w:tc>
          <w:tcPr>
            <w:tcW w:w="2244" w:type="dxa"/>
          </w:tcPr>
          <w:p w:rsidR="00000000" w:rsidRDefault="00000000">
            <w:pPr>
              <w:spacing w:line="240" w:lineRule="auto"/>
              <w:jc w:val="center"/>
            </w:pPr>
            <w:r>
              <w:t>9 275 868</w:t>
            </w:r>
          </w:p>
        </w:tc>
        <w:tc>
          <w:tcPr>
            <w:tcW w:w="2253" w:type="dxa"/>
          </w:tcPr>
          <w:p w:rsidR="00000000" w:rsidRDefault="00000000">
            <w:pPr>
              <w:spacing w:line="240" w:lineRule="auto"/>
              <w:jc w:val="center"/>
            </w:pPr>
            <w:r>
              <w:t>5 805 363</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1992 год</w:t>
            </w:r>
          </w:p>
        </w:tc>
        <w:tc>
          <w:tcPr>
            <w:tcW w:w="2244" w:type="dxa"/>
          </w:tcPr>
          <w:p w:rsidR="00000000" w:rsidRDefault="00000000">
            <w:pPr>
              <w:spacing w:line="240" w:lineRule="auto"/>
              <w:jc w:val="center"/>
            </w:pPr>
            <w:r>
              <w:t>9 332 246</w:t>
            </w:r>
          </w:p>
        </w:tc>
        <w:tc>
          <w:tcPr>
            <w:tcW w:w="2253" w:type="dxa"/>
          </w:tcPr>
          <w:p w:rsidR="00000000" w:rsidRDefault="00000000">
            <w:pPr>
              <w:spacing w:line="240" w:lineRule="auto"/>
              <w:jc w:val="center"/>
            </w:pPr>
            <w:r>
              <w:t>5 678 531</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1993 год</w:t>
            </w:r>
          </w:p>
        </w:tc>
        <w:tc>
          <w:tcPr>
            <w:tcW w:w="2244" w:type="dxa"/>
          </w:tcPr>
          <w:p w:rsidR="00000000" w:rsidRDefault="00000000">
            <w:pPr>
              <w:spacing w:line="240" w:lineRule="auto"/>
              <w:jc w:val="center"/>
            </w:pPr>
            <w:r>
              <w:t>9 372 919</w:t>
            </w:r>
          </w:p>
        </w:tc>
        <w:tc>
          <w:tcPr>
            <w:tcW w:w="2253" w:type="dxa"/>
          </w:tcPr>
          <w:p w:rsidR="00000000" w:rsidRDefault="00000000">
            <w:pPr>
              <w:spacing w:line="240" w:lineRule="auto"/>
              <w:jc w:val="center"/>
            </w:pPr>
            <w:r>
              <w:t>5 829 793</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1994 год</w:t>
            </w:r>
          </w:p>
        </w:tc>
        <w:tc>
          <w:tcPr>
            <w:tcW w:w="2244" w:type="dxa"/>
          </w:tcPr>
          <w:p w:rsidR="00000000" w:rsidRDefault="00000000">
            <w:pPr>
              <w:spacing w:line="240" w:lineRule="auto"/>
              <w:jc w:val="center"/>
            </w:pPr>
            <w:r>
              <w:t>9 588 012</w:t>
            </w:r>
          </w:p>
        </w:tc>
        <w:tc>
          <w:tcPr>
            <w:tcW w:w="2253" w:type="dxa"/>
          </w:tcPr>
          <w:p w:rsidR="00000000" w:rsidRDefault="00000000">
            <w:pPr>
              <w:spacing w:line="240" w:lineRule="auto"/>
              <w:jc w:val="center"/>
            </w:pPr>
            <w:r>
              <w:t>6 012 396</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1995 год</w:t>
            </w:r>
          </w:p>
        </w:tc>
        <w:tc>
          <w:tcPr>
            <w:tcW w:w="2244" w:type="dxa"/>
          </w:tcPr>
          <w:p w:rsidR="00000000" w:rsidRDefault="00000000">
            <w:pPr>
              <w:spacing w:line="240" w:lineRule="auto"/>
              <w:jc w:val="center"/>
            </w:pPr>
            <w:r>
              <w:t>9 693 032</w:t>
            </w:r>
          </w:p>
        </w:tc>
        <w:tc>
          <w:tcPr>
            <w:tcW w:w="2253" w:type="dxa"/>
          </w:tcPr>
          <w:p w:rsidR="00000000" w:rsidRDefault="00000000">
            <w:pPr>
              <w:spacing w:line="240" w:lineRule="auto"/>
              <w:jc w:val="center"/>
            </w:pPr>
            <w:r>
              <w:t>6 282 002</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1996 год</w:t>
            </w:r>
          </w:p>
        </w:tc>
        <w:tc>
          <w:tcPr>
            <w:tcW w:w="2244" w:type="dxa"/>
          </w:tcPr>
          <w:p w:rsidR="00000000" w:rsidRDefault="00000000">
            <w:pPr>
              <w:spacing w:line="240" w:lineRule="auto"/>
              <w:jc w:val="center"/>
            </w:pPr>
            <w:r>
              <w:t>9 864 371</w:t>
            </w:r>
          </w:p>
        </w:tc>
        <w:tc>
          <w:tcPr>
            <w:tcW w:w="2253" w:type="dxa"/>
          </w:tcPr>
          <w:p w:rsidR="00000000" w:rsidRDefault="00000000">
            <w:pPr>
              <w:spacing w:line="240" w:lineRule="auto"/>
              <w:jc w:val="center"/>
            </w:pPr>
            <w:r>
              <w:t>6 471 059</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1997 год</w:t>
            </w:r>
          </w:p>
        </w:tc>
        <w:tc>
          <w:tcPr>
            <w:tcW w:w="2244" w:type="dxa"/>
          </w:tcPr>
          <w:p w:rsidR="00000000" w:rsidRDefault="00000000">
            <w:pPr>
              <w:spacing w:line="240" w:lineRule="auto"/>
              <w:jc w:val="center"/>
            </w:pPr>
            <w:r>
              <w:t>9 828 342</w:t>
            </w:r>
          </w:p>
        </w:tc>
        <w:tc>
          <w:tcPr>
            <w:tcW w:w="2253" w:type="dxa"/>
          </w:tcPr>
          <w:p w:rsidR="00000000" w:rsidRDefault="00000000">
            <w:pPr>
              <w:spacing w:line="240" w:lineRule="auto"/>
              <w:jc w:val="center"/>
            </w:pPr>
            <w:r>
              <w:t>6 554 669</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1998 год</w:t>
            </w:r>
          </w:p>
        </w:tc>
        <w:tc>
          <w:tcPr>
            <w:tcW w:w="2244" w:type="dxa"/>
          </w:tcPr>
          <w:p w:rsidR="00000000" w:rsidRDefault="00000000">
            <w:pPr>
              <w:spacing w:line="240" w:lineRule="auto"/>
              <w:jc w:val="center"/>
            </w:pPr>
            <w:r>
              <w:t>9 728 907</w:t>
            </w:r>
          </w:p>
        </w:tc>
        <w:tc>
          <w:tcPr>
            <w:tcW w:w="2253" w:type="dxa"/>
          </w:tcPr>
          <w:p w:rsidR="00000000" w:rsidRDefault="00000000">
            <w:pPr>
              <w:spacing w:line="240" w:lineRule="auto"/>
              <w:jc w:val="center"/>
            </w:pPr>
            <w:r>
              <w:t>6 612 221</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1999 год</w:t>
            </w:r>
          </w:p>
        </w:tc>
        <w:tc>
          <w:tcPr>
            <w:tcW w:w="2244" w:type="dxa"/>
          </w:tcPr>
          <w:p w:rsidR="00000000" w:rsidRDefault="00000000">
            <w:pPr>
              <w:spacing w:line="240" w:lineRule="auto"/>
              <w:jc w:val="center"/>
            </w:pPr>
            <w:r>
              <w:t>9 689 872</w:t>
            </w:r>
          </w:p>
        </w:tc>
        <w:tc>
          <w:tcPr>
            <w:tcW w:w="2253" w:type="dxa"/>
          </w:tcPr>
          <w:p w:rsidR="00000000" w:rsidRDefault="00000000">
            <w:pPr>
              <w:spacing w:line="240" w:lineRule="auto"/>
              <w:jc w:val="center"/>
            </w:pPr>
            <w:r>
              <w:t>6 696 730</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Январь-апрель 1999 года</w:t>
            </w:r>
          </w:p>
        </w:tc>
        <w:tc>
          <w:tcPr>
            <w:tcW w:w="2244" w:type="dxa"/>
          </w:tcPr>
          <w:p w:rsidR="00000000" w:rsidRDefault="00000000">
            <w:pPr>
              <w:spacing w:line="240" w:lineRule="auto"/>
              <w:jc w:val="center"/>
            </w:pPr>
            <w:r>
              <w:t>9 539 409</w:t>
            </w:r>
          </w:p>
        </w:tc>
        <w:tc>
          <w:tcPr>
            <w:tcW w:w="2253" w:type="dxa"/>
          </w:tcPr>
          <w:p w:rsidR="00000000" w:rsidRDefault="00000000">
            <w:pPr>
              <w:spacing w:line="240" w:lineRule="auto"/>
              <w:jc w:val="center"/>
            </w:pPr>
            <w:r>
              <w:t>6 696 730</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Апрель 1999 года</w:t>
            </w:r>
          </w:p>
        </w:tc>
        <w:tc>
          <w:tcPr>
            <w:tcW w:w="2244" w:type="dxa"/>
          </w:tcPr>
          <w:p w:rsidR="00000000" w:rsidRDefault="00000000">
            <w:pPr>
              <w:spacing w:line="240" w:lineRule="auto"/>
              <w:jc w:val="center"/>
            </w:pPr>
            <w:r>
              <w:t>9 525 863</w:t>
            </w:r>
          </w:p>
        </w:tc>
        <w:tc>
          <w:tcPr>
            <w:tcW w:w="2253" w:type="dxa"/>
          </w:tcPr>
          <w:p w:rsidR="00000000" w:rsidRDefault="00000000">
            <w:pPr>
              <w:spacing w:line="240" w:lineRule="auto"/>
              <w:jc w:val="center"/>
            </w:pPr>
            <w:r>
              <w:t>6 618 388</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Май 1999 года</w:t>
            </w:r>
          </w:p>
        </w:tc>
        <w:tc>
          <w:tcPr>
            <w:tcW w:w="2244" w:type="dxa"/>
          </w:tcPr>
          <w:p w:rsidR="00000000" w:rsidRDefault="00000000">
            <w:pPr>
              <w:pStyle w:val="FootnoteText"/>
              <w:jc w:val="center"/>
            </w:pPr>
            <w:r>
              <w:t>9 655 582</w:t>
            </w:r>
          </w:p>
        </w:tc>
        <w:tc>
          <w:tcPr>
            <w:tcW w:w="2253" w:type="dxa"/>
          </w:tcPr>
          <w:p w:rsidR="00000000" w:rsidRDefault="00000000">
            <w:pPr>
              <w:spacing w:line="240" w:lineRule="auto"/>
              <w:jc w:val="center"/>
            </w:pPr>
            <w:r>
              <w:t>6 659 005</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Июнь 1999 года</w:t>
            </w:r>
          </w:p>
        </w:tc>
        <w:tc>
          <w:tcPr>
            <w:tcW w:w="2244" w:type="dxa"/>
          </w:tcPr>
          <w:p w:rsidR="00000000" w:rsidRDefault="00000000">
            <w:pPr>
              <w:spacing w:line="240" w:lineRule="auto"/>
              <w:jc w:val="center"/>
            </w:pPr>
            <w:r>
              <w:t>9 796 966</w:t>
            </w:r>
          </w:p>
        </w:tc>
        <w:tc>
          <w:tcPr>
            <w:tcW w:w="2253" w:type="dxa"/>
          </w:tcPr>
          <w:p w:rsidR="00000000" w:rsidRDefault="00000000">
            <w:pPr>
              <w:spacing w:line="240" w:lineRule="auto"/>
              <w:jc w:val="center"/>
            </w:pPr>
            <w:r>
              <w:t>6 681 252</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Июль 1999 года</w:t>
            </w:r>
          </w:p>
        </w:tc>
        <w:tc>
          <w:tcPr>
            <w:tcW w:w="2244" w:type="dxa"/>
          </w:tcPr>
          <w:p w:rsidR="00000000" w:rsidRDefault="00000000">
            <w:pPr>
              <w:spacing w:line="240" w:lineRule="auto"/>
              <w:jc w:val="center"/>
            </w:pPr>
            <w:r>
              <w:t>9 682 744</w:t>
            </w:r>
          </w:p>
        </w:tc>
        <w:tc>
          <w:tcPr>
            <w:tcW w:w="2253" w:type="dxa"/>
          </w:tcPr>
          <w:p w:rsidR="00000000" w:rsidRDefault="00000000">
            <w:pPr>
              <w:spacing w:line="240" w:lineRule="auto"/>
              <w:jc w:val="center"/>
            </w:pPr>
            <w:r>
              <w:t>6 655 819</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Август 1999 года</w:t>
            </w:r>
          </w:p>
        </w:tc>
        <w:tc>
          <w:tcPr>
            <w:tcW w:w="2244" w:type="dxa"/>
          </w:tcPr>
          <w:p w:rsidR="00000000" w:rsidRDefault="00000000">
            <w:pPr>
              <w:pStyle w:val="16"/>
              <w:spacing w:line="240" w:lineRule="auto"/>
            </w:pPr>
            <w:r>
              <w:t>9 665 083</w:t>
            </w:r>
          </w:p>
        </w:tc>
        <w:tc>
          <w:tcPr>
            <w:tcW w:w="2253" w:type="dxa"/>
          </w:tcPr>
          <w:p w:rsidR="00000000" w:rsidRDefault="00000000">
            <w:pPr>
              <w:spacing w:line="240" w:lineRule="auto"/>
              <w:jc w:val="center"/>
            </w:pPr>
            <w:r>
              <w:t>6 680 991</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Сентябрь 1999 года</w:t>
            </w:r>
          </w:p>
        </w:tc>
        <w:tc>
          <w:tcPr>
            <w:tcW w:w="2244" w:type="dxa"/>
          </w:tcPr>
          <w:p w:rsidR="00000000" w:rsidRDefault="00000000">
            <w:pPr>
              <w:spacing w:line="240" w:lineRule="auto"/>
              <w:jc w:val="center"/>
            </w:pPr>
            <w:r>
              <w:t>9 729 810</w:t>
            </w:r>
          </w:p>
        </w:tc>
        <w:tc>
          <w:tcPr>
            <w:tcW w:w="2253" w:type="dxa"/>
          </w:tcPr>
          <w:p w:rsidR="00000000" w:rsidRDefault="00000000">
            <w:pPr>
              <w:spacing w:line="240" w:lineRule="auto"/>
              <w:jc w:val="center"/>
            </w:pPr>
            <w:r>
              <w:t>6 788 264</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Октябрь 1999 года</w:t>
            </w:r>
          </w:p>
        </w:tc>
        <w:tc>
          <w:tcPr>
            <w:tcW w:w="2244" w:type="dxa"/>
          </w:tcPr>
          <w:p w:rsidR="00000000" w:rsidRDefault="00000000">
            <w:pPr>
              <w:pStyle w:val="16"/>
              <w:spacing w:line="240" w:lineRule="auto"/>
            </w:pPr>
            <w:r>
              <w:t>9 794 727</w:t>
            </w:r>
          </w:p>
        </w:tc>
        <w:tc>
          <w:tcPr>
            <w:tcW w:w="2253" w:type="dxa"/>
          </w:tcPr>
          <w:p w:rsidR="00000000" w:rsidRDefault="00000000">
            <w:pPr>
              <w:spacing w:line="240" w:lineRule="auto"/>
              <w:jc w:val="center"/>
            </w:pPr>
            <w:r>
              <w:t>6 790 456</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Ноябрь 1999 года</w:t>
            </w:r>
          </w:p>
        </w:tc>
        <w:tc>
          <w:tcPr>
            <w:tcW w:w="2244" w:type="dxa"/>
          </w:tcPr>
          <w:p w:rsidR="00000000" w:rsidRDefault="00000000">
            <w:pPr>
              <w:spacing w:line="240" w:lineRule="auto"/>
              <w:jc w:val="center"/>
            </w:pPr>
            <w:r>
              <w:t>9 870 908</w:t>
            </w:r>
          </w:p>
        </w:tc>
        <w:tc>
          <w:tcPr>
            <w:tcW w:w="2253" w:type="dxa"/>
          </w:tcPr>
          <w:p w:rsidR="00000000" w:rsidRDefault="00000000">
            <w:pPr>
              <w:spacing w:line="240" w:lineRule="auto"/>
              <w:jc w:val="center"/>
            </w:pPr>
            <w:r>
              <w:t>6 817 650</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Декабрь 1999 года</w:t>
            </w:r>
          </w:p>
        </w:tc>
        <w:tc>
          <w:tcPr>
            <w:tcW w:w="2244" w:type="dxa"/>
          </w:tcPr>
          <w:p w:rsidR="00000000" w:rsidRDefault="00000000">
            <w:pPr>
              <w:spacing w:line="240" w:lineRule="auto"/>
              <w:jc w:val="center"/>
            </w:pPr>
            <w:r>
              <w:t>9 925 005</w:t>
            </w:r>
          </w:p>
        </w:tc>
        <w:tc>
          <w:tcPr>
            <w:tcW w:w="2253" w:type="dxa"/>
          </w:tcPr>
          <w:p w:rsidR="00000000" w:rsidRDefault="00000000">
            <w:pPr>
              <w:spacing w:line="240" w:lineRule="auto"/>
              <w:jc w:val="center"/>
            </w:pPr>
            <w:r>
              <w:t>6 903 272</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Январь 2000 года</w:t>
            </w:r>
          </w:p>
        </w:tc>
        <w:tc>
          <w:tcPr>
            <w:tcW w:w="2244" w:type="dxa"/>
          </w:tcPr>
          <w:p w:rsidR="00000000" w:rsidRDefault="00000000">
            <w:pPr>
              <w:spacing w:line="240" w:lineRule="auto"/>
              <w:jc w:val="center"/>
            </w:pPr>
            <w:r>
              <w:t>9 808 822</w:t>
            </w:r>
          </w:p>
        </w:tc>
        <w:tc>
          <w:tcPr>
            <w:tcW w:w="2253" w:type="dxa"/>
          </w:tcPr>
          <w:p w:rsidR="00000000" w:rsidRDefault="00000000">
            <w:pPr>
              <w:spacing w:line="240" w:lineRule="auto"/>
              <w:jc w:val="center"/>
            </w:pPr>
            <w:r>
              <w:t>6 744 541</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Февраль 2000 года</w:t>
            </w:r>
          </w:p>
        </w:tc>
        <w:tc>
          <w:tcPr>
            <w:tcW w:w="2244" w:type="dxa"/>
          </w:tcPr>
          <w:p w:rsidR="00000000" w:rsidRDefault="00000000">
            <w:pPr>
              <w:spacing w:line="240" w:lineRule="auto"/>
              <w:jc w:val="center"/>
            </w:pPr>
            <w:r>
              <w:t>9 865 862</w:t>
            </w:r>
          </w:p>
        </w:tc>
        <w:tc>
          <w:tcPr>
            <w:tcW w:w="2253" w:type="dxa"/>
          </w:tcPr>
          <w:p w:rsidR="00000000" w:rsidRDefault="00000000">
            <w:pPr>
              <w:spacing w:line="240" w:lineRule="auto"/>
              <w:jc w:val="center"/>
            </w:pPr>
            <w:r>
              <w:t>6 762 470</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Март 2000 года</w:t>
            </w:r>
          </w:p>
        </w:tc>
        <w:tc>
          <w:tcPr>
            <w:tcW w:w="2244" w:type="dxa"/>
          </w:tcPr>
          <w:p w:rsidR="00000000" w:rsidRDefault="00000000">
            <w:pPr>
              <w:spacing w:line="240" w:lineRule="auto"/>
              <w:jc w:val="center"/>
            </w:pPr>
            <w:r>
              <w:t>9 961 228</w:t>
            </w:r>
          </w:p>
        </w:tc>
        <w:tc>
          <w:tcPr>
            <w:tcW w:w="2253" w:type="dxa"/>
          </w:tcPr>
          <w:p w:rsidR="00000000" w:rsidRDefault="00000000">
            <w:pPr>
              <w:spacing w:line="240" w:lineRule="auto"/>
              <w:jc w:val="center"/>
            </w:pPr>
            <w:r>
              <w:t>6 819 477</w:t>
            </w:r>
          </w:p>
        </w:tc>
      </w:tr>
      <w:tr w:rsidR="00000000">
        <w:tblPrEx>
          <w:tblCellMar>
            <w:top w:w="0" w:type="dxa"/>
            <w:bottom w:w="0" w:type="dxa"/>
          </w:tblCellMar>
        </w:tblPrEx>
        <w:trPr>
          <w:jc w:val="center"/>
        </w:trPr>
        <w:tc>
          <w:tcPr>
            <w:tcW w:w="4718" w:type="dxa"/>
          </w:tcPr>
          <w:p w:rsidR="00000000" w:rsidRDefault="00000000">
            <w:pPr>
              <w:spacing w:line="240" w:lineRule="auto"/>
              <w:jc w:val="center"/>
            </w:pPr>
            <w:r>
              <w:t>Апрель 2000 года</w:t>
            </w:r>
          </w:p>
        </w:tc>
        <w:tc>
          <w:tcPr>
            <w:tcW w:w="2244" w:type="dxa"/>
          </w:tcPr>
          <w:p w:rsidR="00000000" w:rsidRDefault="00000000">
            <w:pPr>
              <w:spacing w:line="240" w:lineRule="auto"/>
              <w:jc w:val="center"/>
            </w:pPr>
            <w:r>
              <w:t>10 047 420</w:t>
            </w:r>
          </w:p>
        </w:tc>
        <w:tc>
          <w:tcPr>
            <w:tcW w:w="2253" w:type="dxa"/>
          </w:tcPr>
          <w:p w:rsidR="00000000" w:rsidRDefault="00000000">
            <w:pPr>
              <w:spacing w:line="240" w:lineRule="auto"/>
              <w:jc w:val="center"/>
            </w:pPr>
            <w:r>
              <w:t>6 960 742</w:t>
            </w:r>
          </w:p>
        </w:tc>
      </w:tr>
      <w:tr w:rsidR="00000000">
        <w:tblPrEx>
          <w:tblCellMar>
            <w:top w:w="0" w:type="dxa"/>
            <w:bottom w:w="0" w:type="dxa"/>
          </w:tblCellMar>
        </w:tblPrEx>
        <w:trPr>
          <w:jc w:val="center"/>
        </w:trPr>
        <w:tc>
          <w:tcPr>
            <w:tcW w:w="4718" w:type="dxa"/>
          </w:tcPr>
          <w:p w:rsidR="00000000" w:rsidRDefault="00000000">
            <w:pPr>
              <w:pStyle w:val="16"/>
              <w:tabs>
                <w:tab w:val="left" w:pos="567"/>
                <w:tab w:val="left" w:pos="1134"/>
                <w:tab w:val="left" w:pos="1701"/>
                <w:tab w:val="left" w:pos="2268"/>
                <w:tab w:val="left" w:pos="6237"/>
              </w:tabs>
              <w:spacing w:line="240" w:lineRule="auto"/>
              <w:rPr>
                <w:iCs/>
              </w:rPr>
            </w:pPr>
            <w:r>
              <w:rPr>
                <w:iCs/>
              </w:rPr>
              <w:t>Январь-апрель 2000</w:t>
            </w:r>
          </w:p>
        </w:tc>
        <w:tc>
          <w:tcPr>
            <w:tcW w:w="2244" w:type="dxa"/>
          </w:tcPr>
          <w:p w:rsidR="00000000" w:rsidRDefault="00000000">
            <w:pPr>
              <w:spacing w:line="240" w:lineRule="auto"/>
              <w:jc w:val="center"/>
            </w:pPr>
            <w:r>
              <w:t>9 920 833</w:t>
            </w:r>
          </w:p>
        </w:tc>
        <w:tc>
          <w:tcPr>
            <w:tcW w:w="2253" w:type="dxa"/>
          </w:tcPr>
          <w:p w:rsidR="00000000" w:rsidRDefault="00000000">
            <w:pPr>
              <w:spacing w:line="240" w:lineRule="auto"/>
              <w:jc w:val="center"/>
            </w:pPr>
            <w:r>
              <w:t>6 821 808</w:t>
            </w:r>
          </w:p>
        </w:tc>
      </w:tr>
    </w:tbl>
    <w:p w:rsidR="00000000" w:rsidRDefault="00000000">
      <w:pPr>
        <w:spacing w:line="240" w:lineRule="auto"/>
        <w:rPr>
          <w:kern w:val="2"/>
        </w:rPr>
      </w:pPr>
    </w:p>
    <w:p w:rsidR="00000000" w:rsidRDefault="00000000">
      <w:pPr>
        <w:tabs>
          <w:tab w:val="clear" w:pos="1134"/>
          <w:tab w:val="left" w:pos="1309"/>
        </w:tabs>
        <w:spacing w:line="240" w:lineRule="auto"/>
      </w:pPr>
      <w:r>
        <w:rPr>
          <w:kern w:val="2"/>
          <w:u w:val="single"/>
        </w:rPr>
        <w:t>Источник</w:t>
      </w:r>
      <w:r>
        <w:rPr>
          <w:kern w:val="2"/>
        </w:rPr>
        <w:t>:</w:t>
      </w:r>
      <w:r>
        <w:rPr>
          <w:kern w:val="2"/>
        </w:rPr>
        <w:tab/>
        <w:t xml:space="preserve">Министерство труда и занятости – данные ЕОЗ/БИГС.  </w:t>
      </w:r>
      <w:r>
        <w:t>Журнал "</w:t>
      </w:r>
      <w:r>
        <w:rPr>
          <w:lang w:val="en-US"/>
        </w:rPr>
        <w:t>Mercado</w:t>
      </w:r>
      <w:r>
        <w:t xml:space="preserve"> </w:t>
      </w:r>
      <w:r>
        <w:rPr>
          <w:lang w:val="en-US"/>
        </w:rPr>
        <w:t>de</w:t>
      </w:r>
      <w:r>
        <w:t xml:space="preserve"> </w:t>
      </w:r>
      <w:r>
        <w:rPr>
          <w:lang w:val="en-US"/>
        </w:rPr>
        <w:t>Trabalho</w:t>
      </w:r>
      <w:r>
        <w:t xml:space="preserve"> – </w:t>
      </w:r>
      <w:r>
        <w:rPr>
          <w:lang w:val="en-US"/>
        </w:rPr>
        <w:t>Conjuntura</w:t>
      </w:r>
      <w:r>
        <w:t xml:space="preserve"> </w:t>
      </w:r>
      <w:r>
        <w:rPr>
          <w:lang w:val="en-US"/>
        </w:rPr>
        <w:t>e</w:t>
      </w:r>
      <w:r>
        <w:t xml:space="preserve"> </w:t>
      </w:r>
      <w:r>
        <w:rPr>
          <w:lang w:val="en-US"/>
        </w:rPr>
        <w:t>An</w:t>
      </w:r>
      <w:r>
        <w:t>á</w:t>
      </w:r>
      <w:r>
        <w:rPr>
          <w:lang w:val="en-US"/>
        </w:rPr>
        <w:t>lise</w:t>
      </w:r>
      <w:r>
        <w:t>", пятый год издания, июнь 2000 года.</w:t>
      </w:r>
    </w:p>
    <w:p w:rsidR="00000000" w:rsidRDefault="00000000">
      <w:pPr>
        <w:pStyle w:val="FootnoteText"/>
        <w:spacing w:line="288" w:lineRule="auto"/>
        <w:rPr>
          <w:kern w:val="2"/>
        </w:rPr>
      </w:pPr>
    </w:p>
    <w:p w:rsidR="00000000" w:rsidRDefault="00000000">
      <w:pPr>
        <w:pStyle w:val="BodyText3"/>
        <w:spacing w:line="288" w:lineRule="auto"/>
        <w:jc w:val="center"/>
        <w:rPr>
          <w:b/>
          <w:spacing w:val="20"/>
          <w:kern w:val="2"/>
          <w:sz w:val="16"/>
          <w:lang w:val="ru-RU"/>
        </w:rPr>
      </w:pPr>
    </w:p>
    <w:p w:rsidR="00000000" w:rsidRDefault="00000000">
      <w:pPr>
        <w:pStyle w:val="16"/>
        <w:rPr>
          <w:b/>
          <w:bCs/>
          <w:kern w:val="2"/>
        </w:rPr>
      </w:pPr>
      <w:r>
        <w:rPr>
          <w:b/>
          <w:bCs/>
          <w:kern w:val="2"/>
        </w:rPr>
        <w:br w:type="page"/>
        <w:t>Таблица 24.</w:t>
      </w:r>
      <w:r>
        <w:rPr>
          <w:b/>
          <w:bCs/>
          <w:kern w:val="2"/>
        </w:rPr>
        <w:tab/>
        <w:t>Численность безработного населения в разбивке по полу (в %)</w:t>
      </w:r>
    </w:p>
    <w:p w:rsidR="00000000" w:rsidRDefault="00000000">
      <w:pPr>
        <w:pStyle w:val="BodyText3"/>
        <w:spacing w:line="288" w:lineRule="auto"/>
        <w:ind w:left="374"/>
        <w:jc w:val="center"/>
        <w:rPr>
          <w:b/>
          <w:spacing w:val="20"/>
          <w:kern w:val="2"/>
          <w:sz w:val="24"/>
          <w:lang w:val="ru-RU"/>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1"/>
        <w:gridCol w:w="2244"/>
        <w:gridCol w:w="2805"/>
      </w:tblGrid>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Период</w:t>
            </w:r>
          </w:p>
        </w:tc>
        <w:tc>
          <w:tcPr>
            <w:tcW w:w="2244" w:type="dxa"/>
          </w:tcPr>
          <w:p w:rsidR="00000000" w:rsidRDefault="00000000">
            <w:pPr>
              <w:pStyle w:val="BodyText3"/>
              <w:spacing w:line="288" w:lineRule="auto"/>
              <w:jc w:val="center"/>
              <w:rPr>
                <w:sz w:val="24"/>
                <w:lang w:val="ru-RU"/>
              </w:rPr>
            </w:pPr>
            <w:r>
              <w:rPr>
                <w:sz w:val="24"/>
                <w:lang w:val="ru-RU"/>
              </w:rPr>
              <w:t>Мужчины</w:t>
            </w:r>
          </w:p>
        </w:tc>
        <w:tc>
          <w:tcPr>
            <w:tcW w:w="2805" w:type="dxa"/>
          </w:tcPr>
          <w:p w:rsidR="00000000" w:rsidRDefault="00000000">
            <w:pPr>
              <w:pStyle w:val="BodyText3"/>
              <w:spacing w:line="288" w:lineRule="auto"/>
              <w:jc w:val="center"/>
              <w:rPr>
                <w:sz w:val="24"/>
                <w:lang w:val="ru-RU"/>
              </w:rPr>
            </w:pPr>
            <w:r>
              <w:rPr>
                <w:sz w:val="24"/>
                <w:lang w:val="ru-RU"/>
              </w:rPr>
              <w:t>Женщины</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1991 год</w:t>
            </w:r>
          </w:p>
        </w:tc>
        <w:tc>
          <w:tcPr>
            <w:tcW w:w="2244" w:type="dxa"/>
          </w:tcPr>
          <w:p w:rsidR="00000000" w:rsidRDefault="00000000">
            <w:pPr>
              <w:pStyle w:val="BodyText3"/>
              <w:spacing w:line="288" w:lineRule="auto"/>
              <w:jc w:val="center"/>
              <w:rPr>
                <w:sz w:val="24"/>
                <w:lang w:val="ru-RU"/>
              </w:rPr>
            </w:pPr>
            <w:r>
              <w:rPr>
                <w:sz w:val="24"/>
                <w:lang w:val="ru-RU"/>
              </w:rPr>
              <w:t>61,05</w:t>
            </w:r>
          </w:p>
        </w:tc>
        <w:tc>
          <w:tcPr>
            <w:tcW w:w="2805" w:type="dxa"/>
          </w:tcPr>
          <w:p w:rsidR="00000000" w:rsidRDefault="00000000">
            <w:pPr>
              <w:pStyle w:val="BodyText3"/>
              <w:spacing w:line="288" w:lineRule="auto"/>
              <w:jc w:val="center"/>
              <w:rPr>
                <w:sz w:val="24"/>
                <w:lang w:val="ru-RU"/>
              </w:rPr>
            </w:pPr>
            <w:r>
              <w:rPr>
                <w:sz w:val="24"/>
                <w:lang w:val="ru-RU"/>
              </w:rPr>
              <w:t>38,95</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1992 год</w:t>
            </w:r>
          </w:p>
        </w:tc>
        <w:tc>
          <w:tcPr>
            <w:tcW w:w="2244" w:type="dxa"/>
          </w:tcPr>
          <w:p w:rsidR="00000000" w:rsidRDefault="00000000">
            <w:pPr>
              <w:pStyle w:val="BodyText3"/>
              <w:spacing w:line="288" w:lineRule="auto"/>
              <w:jc w:val="center"/>
              <w:rPr>
                <w:sz w:val="24"/>
                <w:lang w:val="ru-RU"/>
              </w:rPr>
            </w:pPr>
            <w:r>
              <w:rPr>
                <w:sz w:val="24"/>
                <w:lang w:val="ru-RU"/>
              </w:rPr>
              <w:t>60,48</w:t>
            </w:r>
          </w:p>
        </w:tc>
        <w:tc>
          <w:tcPr>
            <w:tcW w:w="2805" w:type="dxa"/>
          </w:tcPr>
          <w:p w:rsidR="00000000" w:rsidRDefault="00000000">
            <w:pPr>
              <w:pStyle w:val="BodyText3"/>
              <w:spacing w:line="288" w:lineRule="auto"/>
              <w:jc w:val="center"/>
              <w:rPr>
                <w:sz w:val="24"/>
                <w:lang w:val="ru-RU"/>
              </w:rPr>
            </w:pPr>
            <w:r>
              <w:rPr>
                <w:sz w:val="24"/>
                <w:lang w:val="ru-RU"/>
              </w:rPr>
              <w:t>39,52</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1993 год</w:t>
            </w:r>
          </w:p>
        </w:tc>
        <w:tc>
          <w:tcPr>
            <w:tcW w:w="2244" w:type="dxa"/>
          </w:tcPr>
          <w:p w:rsidR="00000000" w:rsidRDefault="00000000">
            <w:pPr>
              <w:pStyle w:val="BodyText3"/>
              <w:spacing w:line="288" w:lineRule="auto"/>
              <w:jc w:val="center"/>
              <w:rPr>
                <w:sz w:val="24"/>
                <w:lang w:val="ru-RU"/>
              </w:rPr>
            </w:pPr>
            <w:r>
              <w:rPr>
                <w:sz w:val="24"/>
                <w:lang w:val="ru-RU"/>
              </w:rPr>
              <w:t>59,63</w:t>
            </w:r>
          </w:p>
        </w:tc>
        <w:tc>
          <w:tcPr>
            <w:tcW w:w="2805" w:type="dxa"/>
          </w:tcPr>
          <w:p w:rsidR="00000000" w:rsidRDefault="00000000">
            <w:pPr>
              <w:pStyle w:val="BodyText3"/>
              <w:spacing w:line="288" w:lineRule="auto"/>
              <w:jc w:val="center"/>
              <w:rPr>
                <w:sz w:val="24"/>
                <w:lang w:val="ru-RU"/>
              </w:rPr>
            </w:pPr>
            <w:r>
              <w:rPr>
                <w:sz w:val="24"/>
                <w:lang w:val="ru-RU"/>
              </w:rPr>
              <w:t>40,37</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1994 год</w:t>
            </w:r>
          </w:p>
        </w:tc>
        <w:tc>
          <w:tcPr>
            <w:tcW w:w="2244" w:type="dxa"/>
          </w:tcPr>
          <w:p w:rsidR="00000000" w:rsidRDefault="00000000">
            <w:pPr>
              <w:pStyle w:val="BodyText3"/>
              <w:spacing w:line="288" w:lineRule="auto"/>
              <w:jc w:val="center"/>
              <w:rPr>
                <w:sz w:val="24"/>
                <w:lang w:val="ru-RU"/>
              </w:rPr>
            </w:pPr>
            <w:r>
              <w:rPr>
                <w:sz w:val="24"/>
                <w:lang w:val="ru-RU"/>
              </w:rPr>
              <w:t>58,40</w:t>
            </w:r>
          </w:p>
        </w:tc>
        <w:tc>
          <w:tcPr>
            <w:tcW w:w="2805" w:type="dxa"/>
          </w:tcPr>
          <w:p w:rsidR="00000000" w:rsidRDefault="00000000">
            <w:pPr>
              <w:pStyle w:val="BodyText3"/>
              <w:spacing w:line="288" w:lineRule="auto"/>
              <w:jc w:val="center"/>
              <w:rPr>
                <w:sz w:val="24"/>
                <w:lang w:val="ru-RU"/>
              </w:rPr>
            </w:pPr>
            <w:r>
              <w:rPr>
                <w:sz w:val="24"/>
                <w:lang w:val="ru-RU"/>
              </w:rPr>
              <w:t>41,60</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1995 год</w:t>
            </w:r>
          </w:p>
        </w:tc>
        <w:tc>
          <w:tcPr>
            <w:tcW w:w="2244" w:type="dxa"/>
          </w:tcPr>
          <w:p w:rsidR="00000000" w:rsidRDefault="00000000">
            <w:pPr>
              <w:pStyle w:val="BodyText3"/>
              <w:spacing w:line="288" w:lineRule="auto"/>
              <w:jc w:val="center"/>
              <w:rPr>
                <w:sz w:val="24"/>
                <w:lang w:val="ru-RU"/>
              </w:rPr>
            </w:pPr>
            <w:r>
              <w:rPr>
                <w:sz w:val="24"/>
                <w:lang w:val="ru-RU"/>
              </w:rPr>
              <w:t>59,00</w:t>
            </w:r>
          </w:p>
        </w:tc>
        <w:tc>
          <w:tcPr>
            <w:tcW w:w="2805" w:type="dxa"/>
          </w:tcPr>
          <w:p w:rsidR="00000000" w:rsidRDefault="00000000">
            <w:pPr>
              <w:pStyle w:val="BodyText3"/>
              <w:spacing w:line="288" w:lineRule="auto"/>
              <w:jc w:val="center"/>
              <w:rPr>
                <w:sz w:val="24"/>
                <w:lang w:val="ru-RU"/>
              </w:rPr>
            </w:pPr>
            <w:r>
              <w:rPr>
                <w:sz w:val="24"/>
                <w:lang w:val="ru-RU"/>
              </w:rPr>
              <w:t>41,00</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1996 год</w:t>
            </w:r>
          </w:p>
        </w:tc>
        <w:tc>
          <w:tcPr>
            <w:tcW w:w="2244" w:type="dxa"/>
          </w:tcPr>
          <w:p w:rsidR="00000000" w:rsidRDefault="00000000">
            <w:pPr>
              <w:pStyle w:val="BodyText3"/>
              <w:spacing w:line="288" w:lineRule="auto"/>
              <w:jc w:val="center"/>
              <w:rPr>
                <w:sz w:val="24"/>
                <w:lang w:val="ru-RU"/>
              </w:rPr>
            </w:pPr>
            <w:r>
              <w:rPr>
                <w:sz w:val="24"/>
                <w:lang w:val="ru-RU"/>
              </w:rPr>
              <w:t>55,39</w:t>
            </w:r>
          </w:p>
        </w:tc>
        <w:tc>
          <w:tcPr>
            <w:tcW w:w="2805" w:type="dxa"/>
          </w:tcPr>
          <w:p w:rsidR="00000000" w:rsidRDefault="00000000">
            <w:pPr>
              <w:pStyle w:val="BodyText3"/>
              <w:spacing w:line="288" w:lineRule="auto"/>
              <w:jc w:val="center"/>
              <w:rPr>
                <w:sz w:val="24"/>
                <w:lang w:val="ru-RU"/>
              </w:rPr>
            </w:pPr>
            <w:r>
              <w:rPr>
                <w:sz w:val="24"/>
                <w:lang w:val="ru-RU"/>
              </w:rPr>
              <w:t>44,61</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1997 год</w:t>
            </w:r>
          </w:p>
        </w:tc>
        <w:tc>
          <w:tcPr>
            <w:tcW w:w="2244" w:type="dxa"/>
          </w:tcPr>
          <w:p w:rsidR="00000000" w:rsidRDefault="00000000">
            <w:pPr>
              <w:pStyle w:val="BodyText3"/>
              <w:spacing w:line="288" w:lineRule="auto"/>
              <w:jc w:val="center"/>
              <w:rPr>
                <w:sz w:val="24"/>
                <w:lang w:val="ru-RU"/>
              </w:rPr>
            </w:pPr>
            <w:r>
              <w:rPr>
                <w:sz w:val="24"/>
                <w:lang w:val="ru-RU"/>
              </w:rPr>
              <w:t>55,58</w:t>
            </w:r>
          </w:p>
        </w:tc>
        <w:tc>
          <w:tcPr>
            <w:tcW w:w="2805" w:type="dxa"/>
          </w:tcPr>
          <w:p w:rsidR="00000000" w:rsidRDefault="00000000">
            <w:pPr>
              <w:pStyle w:val="BodyText3"/>
              <w:spacing w:line="288" w:lineRule="auto"/>
              <w:jc w:val="center"/>
              <w:rPr>
                <w:sz w:val="24"/>
                <w:lang w:val="ru-RU"/>
              </w:rPr>
            </w:pPr>
            <w:r>
              <w:rPr>
                <w:sz w:val="24"/>
                <w:lang w:val="ru-RU"/>
              </w:rPr>
              <w:t>44,42</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1998 год</w:t>
            </w:r>
          </w:p>
        </w:tc>
        <w:tc>
          <w:tcPr>
            <w:tcW w:w="2244" w:type="dxa"/>
          </w:tcPr>
          <w:p w:rsidR="00000000" w:rsidRDefault="00000000">
            <w:pPr>
              <w:pStyle w:val="BodyText3"/>
              <w:spacing w:line="288" w:lineRule="auto"/>
              <w:jc w:val="center"/>
              <w:rPr>
                <w:sz w:val="24"/>
                <w:lang w:val="ru-RU"/>
              </w:rPr>
            </w:pPr>
            <w:r>
              <w:rPr>
                <w:sz w:val="24"/>
                <w:lang w:val="ru-RU"/>
              </w:rPr>
              <w:t>55,21</w:t>
            </w:r>
          </w:p>
        </w:tc>
        <w:tc>
          <w:tcPr>
            <w:tcW w:w="2805" w:type="dxa"/>
          </w:tcPr>
          <w:p w:rsidR="00000000" w:rsidRDefault="00000000">
            <w:pPr>
              <w:pStyle w:val="BodyText3"/>
              <w:spacing w:line="288" w:lineRule="auto"/>
              <w:jc w:val="center"/>
              <w:rPr>
                <w:sz w:val="24"/>
                <w:lang w:val="ru-RU"/>
              </w:rPr>
            </w:pPr>
            <w:r>
              <w:rPr>
                <w:sz w:val="24"/>
                <w:lang w:val="ru-RU"/>
              </w:rPr>
              <w:t>44,79</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1999 год</w:t>
            </w:r>
          </w:p>
        </w:tc>
        <w:tc>
          <w:tcPr>
            <w:tcW w:w="2244" w:type="dxa"/>
          </w:tcPr>
          <w:p w:rsidR="00000000" w:rsidRDefault="00000000">
            <w:pPr>
              <w:pStyle w:val="BodyText3"/>
              <w:spacing w:line="288" w:lineRule="auto"/>
              <w:jc w:val="center"/>
              <w:rPr>
                <w:sz w:val="24"/>
                <w:lang w:val="ru-RU"/>
              </w:rPr>
            </w:pPr>
            <w:r>
              <w:rPr>
                <w:sz w:val="24"/>
                <w:lang w:val="ru-RU"/>
              </w:rPr>
              <w:t>54,84</w:t>
            </w:r>
          </w:p>
        </w:tc>
        <w:tc>
          <w:tcPr>
            <w:tcW w:w="2805" w:type="dxa"/>
          </w:tcPr>
          <w:p w:rsidR="00000000" w:rsidRDefault="00000000">
            <w:pPr>
              <w:pStyle w:val="BodyText3"/>
              <w:spacing w:line="288" w:lineRule="auto"/>
              <w:jc w:val="center"/>
              <w:rPr>
                <w:sz w:val="24"/>
                <w:lang w:val="ru-RU"/>
              </w:rPr>
            </w:pPr>
            <w:r>
              <w:rPr>
                <w:sz w:val="24"/>
                <w:lang w:val="ru-RU"/>
              </w:rPr>
              <w:t>45,16</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Январь-апрель 1999 года</w:t>
            </w:r>
          </w:p>
        </w:tc>
        <w:tc>
          <w:tcPr>
            <w:tcW w:w="2244" w:type="dxa"/>
          </w:tcPr>
          <w:p w:rsidR="00000000" w:rsidRDefault="00000000">
            <w:pPr>
              <w:pStyle w:val="BodyText3"/>
              <w:spacing w:line="288" w:lineRule="auto"/>
              <w:jc w:val="center"/>
              <w:rPr>
                <w:sz w:val="24"/>
                <w:lang w:val="ru-RU"/>
              </w:rPr>
            </w:pPr>
            <w:r>
              <w:rPr>
                <w:sz w:val="24"/>
                <w:lang w:val="ru-RU"/>
              </w:rPr>
              <w:t>55,62</w:t>
            </w:r>
          </w:p>
        </w:tc>
        <w:tc>
          <w:tcPr>
            <w:tcW w:w="2805" w:type="dxa"/>
          </w:tcPr>
          <w:p w:rsidR="00000000" w:rsidRDefault="00000000">
            <w:pPr>
              <w:pStyle w:val="BodyText3"/>
              <w:spacing w:line="288" w:lineRule="auto"/>
              <w:jc w:val="center"/>
              <w:rPr>
                <w:sz w:val="24"/>
                <w:lang w:val="ru-RU"/>
              </w:rPr>
            </w:pPr>
            <w:r>
              <w:rPr>
                <w:sz w:val="24"/>
                <w:lang w:val="ru-RU"/>
              </w:rPr>
              <w:t>44,38</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Апрель 1999 года</w:t>
            </w:r>
          </w:p>
        </w:tc>
        <w:tc>
          <w:tcPr>
            <w:tcW w:w="2244" w:type="dxa"/>
          </w:tcPr>
          <w:p w:rsidR="00000000" w:rsidRDefault="00000000">
            <w:pPr>
              <w:pStyle w:val="BodyText3"/>
              <w:spacing w:line="288" w:lineRule="auto"/>
              <w:jc w:val="center"/>
              <w:rPr>
                <w:sz w:val="24"/>
                <w:lang w:val="ru-RU"/>
              </w:rPr>
            </w:pPr>
            <w:r>
              <w:rPr>
                <w:sz w:val="24"/>
                <w:lang w:val="ru-RU"/>
              </w:rPr>
              <w:t>55,99</w:t>
            </w:r>
          </w:p>
        </w:tc>
        <w:tc>
          <w:tcPr>
            <w:tcW w:w="2805" w:type="dxa"/>
          </w:tcPr>
          <w:p w:rsidR="00000000" w:rsidRDefault="00000000">
            <w:pPr>
              <w:pStyle w:val="BodyText3"/>
              <w:spacing w:line="288" w:lineRule="auto"/>
              <w:jc w:val="center"/>
              <w:rPr>
                <w:sz w:val="24"/>
                <w:lang w:val="ru-RU"/>
              </w:rPr>
            </w:pPr>
            <w:r>
              <w:rPr>
                <w:sz w:val="24"/>
                <w:lang w:val="ru-RU"/>
              </w:rPr>
              <w:t>44,01</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Май 1999 года</w:t>
            </w:r>
          </w:p>
        </w:tc>
        <w:tc>
          <w:tcPr>
            <w:tcW w:w="2244" w:type="dxa"/>
          </w:tcPr>
          <w:p w:rsidR="00000000" w:rsidRDefault="00000000">
            <w:pPr>
              <w:pStyle w:val="BodyText3"/>
              <w:spacing w:line="288" w:lineRule="auto"/>
              <w:jc w:val="center"/>
              <w:rPr>
                <w:sz w:val="24"/>
                <w:lang w:val="ru-RU"/>
              </w:rPr>
            </w:pPr>
            <w:r>
              <w:rPr>
                <w:sz w:val="24"/>
                <w:lang w:val="ru-RU"/>
              </w:rPr>
              <w:t>54,54</w:t>
            </w:r>
          </w:p>
        </w:tc>
        <w:tc>
          <w:tcPr>
            <w:tcW w:w="2805" w:type="dxa"/>
          </w:tcPr>
          <w:p w:rsidR="00000000" w:rsidRDefault="00000000">
            <w:pPr>
              <w:pStyle w:val="BodyText3"/>
              <w:spacing w:line="288" w:lineRule="auto"/>
              <w:jc w:val="center"/>
              <w:rPr>
                <w:sz w:val="24"/>
                <w:lang w:val="ru-RU"/>
              </w:rPr>
            </w:pPr>
            <w:r>
              <w:rPr>
                <w:sz w:val="24"/>
                <w:lang w:val="ru-RU"/>
              </w:rPr>
              <w:t>45,46</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Июнь 1999 года</w:t>
            </w:r>
          </w:p>
        </w:tc>
        <w:tc>
          <w:tcPr>
            <w:tcW w:w="2244" w:type="dxa"/>
          </w:tcPr>
          <w:p w:rsidR="00000000" w:rsidRDefault="00000000">
            <w:pPr>
              <w:pStyle w:val="BodyText3"/>
              <w:spacing w:line="288" w:lineRule="auto"/>
              <w:jc w:val="center"/>
              <w:rPr>
                <w:sz w:val="24"/>
                <w:lang w:val="ru-RU"/>
              </w:rPr>
            </w:pPr>
            <w:r>
              <w:rPr>
                <w:sz w:val="24"/>
                <w:lang w:val="ru-RU"/>
              </w:rPr>
              <w:t>55,30</w:t>
            </w:r>
          </w:p>
        </w:tc>
        <w:tc>
          <w:tcPr>
            <w:tcW w:w="2805" w:type="dxa"/>
          </w:tcPr>
          <w:p w:rsidR="00000000" w:rsidRDefault="00000000">
            <w:pPr>
              <w:pStyle w:val="BodyText3"/>
              <w:spacing w:line="288" w:lineRule="auto"/>
              <w:jc w:val="center"/>
              <w:rPr>
                <w:sz w:val="24"/>
                <w:lang w:val="ru-RU"/>
              </w:rPr>
            </w:pPr>
            <w:r>
              <w:rPr>
                <w:sz w:val="24"/>
                <w:lang w:val="ru-RU"/>
              </w:rPr>
              <w:t>44,70</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Июль 1999 года</w:t>
            </w:r>
          </w:p>
        </w:tc>
        <w:tc>
          <w:tcPr>
            <w:tcW w:w="2244" w:type="dxa"/>
          </w:tcPr>
          <w:p w:rsidR="00000000" w:rsidRDefault="00000000">
            <w:pPr>
              <w:pStyle w:val="BodyText3"/>
              <w:spacing w:line="288" w:lineRule="auto"/>
              <w:jc w:val="center"/>
              <w:rPr>
                <w:sz w:val="24"/>
                <w:lang w:val="ru-RU"/>
              </w:rPr>
            </w:pPr>
            <w:r>
              <w:rPr>
                <w:sz w:val="24"/>
                <w:lang w:val="ru-RU"/>
              </w:rPr>
              <w:t>54,66</w:t>
            </w:r>
          </w:p>
        </w:tc>
        <w:tc>
          <w:tcPr>
            <w:tcW w:w="2805" w:type="dxa"/>
          </w:tcPr>
          <w:p w:rsidR="00000000" w:rsidRDefault="00000000">
            <w:pPr>
              <w:pStyle w:val="BodyText3"/>
              <w:spacing w:line="288" w:lineRule="auto"/>
              <w:jc w:val="center"/>
              <w:rPr>
                <w:sz w:val="24"/>
                <w:lang w:val="ru-RU"/>
              </w:rPr>
            </w:pPr>
            <w:r>
              <w:rPr>
                <w:sz w:val="24"/>
                <w:lang w:val="ru-RU"/>
              </w:rPr>
              <w:t>45,34</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Август 1999 года</w:t>
            </w:r>
          </w:p>
        </w:tc>
        <w:tc>
          <w:tcPr>
            <w:tcW w:w="2244" w:type="dxa"/>
          </w:tcPr>
          <w:p w:rsidR="00000000" w:rsidRDefault="00000000">
            <w:pPr>
              <w:pStyle w:val="BodyText3"/>
              <w:spacing w:line="288" w:lineRule="auto"/>
              <w:jc w:val="center"/>
              <w:rPr>
                <w:sz w:val="24"/>
                <w:lang w:val="ru-RU"/>
              </w:rPr>
            </w:pPr>
            <w:r>
              <w:rPr>
                <w:sz w:val="24"/>
                <w:lang w:val="ru-RU"/>
              </w:rPr>
              <w:t>54,72</w:t>
            </w:r>
          </w:p>
        </w:tc>
        <w:tc>
          <w:tcPr>
            <w:tcW w:w="2805" w:type="dxa"/>
          </w:tcPr>
          <w:p w:rsidR="00000000" w:rsidRDefault="00000000">
            <w:pPr>
              <w:pStyle w:val="BodyText3"/>
              <w:spacing w:line="288" w:lineRule="auto"/>
              <w:jc w:val="center"/>
              <w:rPr>
                <w:sz w:val="24"/>
                <w:lang w:val="ru-RU"/>
              </w:rPr>
            </w:pPr>
            <w:r>
              <w:rPr>
                <w:sz w:val="24"/>
                <w:lang w:val="ru-RU"/>
              </w:rPr>
              <w:t>45,28</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Сентябрь 1999 года</w:t>
            </w:r>
          </w:p>
        </w:tc>
        <w:tc>
          <w:tcPr>
            <w:tcW w:w="2244" w:type="dxa"/>
          </w:tcPr>
          <w:p w:rsidR="00000000" w:rsidRDefault="00000000">
            <w:pPr>
              <w:pStyle w:val="BodyText3"/>
              <w:spacing w:line="288" w:lineRule="auto"/>
              <w:jc w:val="center"/>
              <w:rPr>
                <w:sz w:val="24"/>
                <w:lang w:val="ru-RU"/>
              </w:rPr>
            </w:pPr>
            <w:r>
              <w:rPr>
                <w:sz w:val="24"/>
                <w:lang w:val="ru-RU"/>
              </w:rPr>
              <w:t>55,22</w:t>
            </w:r>
          </w:p>
        </w:tc>
        <w:tc>
          <w:tcPr>
            <w:tcW w:w="2805" w:type="dxa"/>
          </w:tcPr>
          <w:p w:rsidR="00000000" w:rsidRDefault="00000000">
            <w:pPr>
              <w:pStyle w:val="BodyText3"/>
              <w:spacing w:line="288" w:lineRule="auto"/>
              <w:jc w:val="center"/>
              <w:rPr>
                <w:sz w:val="24"/>
                <w:lang w:val="ru-RU"/>
              </w:rPr>
            </w:pPr>
            <w:r>
              <w:rPr>
                <w:sz w:val="24"/>
                <w:lang w:val="ru-RU"/>
              </w:rPr>
              <w:t>44,78</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Октябрь 1999 года</w:t>
            </w:r>
          </w:p>
        </w:tc>
        <w:tc>
          <w:tcPr>
            <w:tcW w:w="2244" w:type="dxa"/>
          </w:tcPr>
          <w:p w:rsidR="00000000" w:rsidRDefault="00000000">
            <w:pPr>
              <w:pStyle w:val="BodyText3"/>
              <w:spacing w:line="288" w:lineRule="auto"/>
              <w:jc w:val="center"/>
              <w:rPr>
                <w:sz w:val="24"/>
                <w:lang w:val="ru-RU"/>
              </w:rPr>
            </w:pPr>
            <w:r>
              <w:rPr>
                <w:sz w:val="24"/>
                <w:lang w:val="ru-RU"/>
              </w:rPr>
              <w:t>53,92</w:t>
            </w:r>
          </w:p>
        </w:tc>
        <w:tc>
          <w:tcPr>
            <w:tcW w:w="2805" w:type="dxa"/>
          </w:tcPr>
          <w:p w:rsidR="00000000" w:rsidRDefault="00000000">
            <w:pPr>
              <w:pStyle w:val="BodyText3"/>
              <w:spacing w:line="288" w:lineRule="auto"/>
              <w:jc w:val="center"/>
              <w:rPr>
                <w:sz w:val="24"/>
                <w:lang w:val="ru-RU"/>
              </w:rPr>
            </w:pPr>
            <w:r>
              <w:rPr>
                <w:sz w:val="24"/>
                <w:lang w:val="ru-RU"/>
              </w:rPr>
              <w:t>46,08</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Ноябрь 1999 года</w:t>
            </w:r>
          </w:p>
        </w:tc>
        <w:tc>
          <w:tcPr>
            <w:tcW w:w="2244" w:type="dxa"/>
          </w:tcPr>
          <w:p w:rsidR="00000000" w:rsidRDefault="00000000">
            <w:pPr>
              <w:pStyle w:val="BodyText3"/>
              <w:spacing w:line="288" w:lineRule="auto"/>
              <w:jc w:val="center"/>
              <w:rPr>
                <w:sz w:val="24"/>
                <w:lang w:val="ru-RU"/>
              </w:rPr>
            </w:pPr>
            <w:r>
              <w:rPr>
                <w:sz w:val="24"/>
                <w:lang w:val="ru-RU"/>
              </w:rPr>
              <w:t>53,52</w:t>
            </w:r>
          </w:p>
        </w:tc>
        <w:tc>
          <w:tcPr>
            <w:tcW w:w="2805" w:type="dxa"/>
          </w:tcPr>
          <w:p w:rsidR="00000000" w:rsidRDefault="00000000">
            <w:pPr>
              <w:pStyle w:val="BodyText3"/>
              <w:spacing w:line="288" w:lineRule="auto"/>
              <w:jc w:val="center"/>
              <w:rPr>
                <w:sz w:val="24"/>
                <w:lang w:val="ru-RU"/>
              </w:rPr>
            </w:pPr>
            <w:r>
              <w:rPr>
                <w:sz w:val="24"/>
                <w:lang w:val="ru-RU"/>
              </w:rPr>
              <w:t>46,48</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Декабрь 1999 года</w:t>
            </w:r>
          </w:p>
        </w:tc>
        <w:tc>
          <w:tcPr>
            <w:tcW w:w="2244" w:type="dxa"/>
          </w:tcPr>
          <w:p w:rsidR="00000000" w:rsidRDefault="00000000">
            <w:pPr>
              <w:pStyle w:val="BodyText3"/>
              <w:spacing w:line="288" w:lineRule="auto"/>
              <w:jc w:val="center"/>
              <w:rPr>
                <w:sz w:val="24"/>
                <w:lang w:val="ru-RU"/>
              </w:rPr>
            </w:pPr>
            <w:r>
              <w:rPr>
                <w:sz w:val="24"/>
                <w:lang w:val="ru-RU"/>
              </w:rPr>
              <w:t>53,42</w:t>
            </w:r>
          </w:p>
        </w:tc>
        <w:tc>
          <w:tcPr>
            <w:tcW w:w="2805" w:type="dxa"/>
          </w:tcPr>
          <w:p w:rsidR="00000000" w:rsidRDefault="00000000">
            <w:pPr>
              <w:pStyle w:val="BodyText3"/>
              <w:spacing w:line="288" w:lineRule="auto"/>
              <w:jc w:val="center"/>
              <w:rPr>
                <w:sz w:val="24"/>
                <w:lang w:val="ru-RU"/>
              </w:rPr>
            </w:pPr>
            <w:r>
              <w:rPr>
                <w:sz w:val="24"/>
                <w:lang w:val="ru-RU"/>
              </w:rPr>
              <w:t>46,48</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Январь 2000 года</w:t>
            </w:r>
          </w:p>
        </w:tc>
        <w:tc>
          <w:tcPr>
            <w:tcW w:w="2244" w:type="dxa"/>
          </w:tcPr>
          <w:p w:rsidR="00000000" w:rsidRDefault="00000000">
            <w:pPr>
              <w:pStyle w:val="BodyText3"/>
              <w:spacing w:line="288" w:lineRule="auto"/>
              <w:jc w:val="center"/>
              <w:rPr>
                <w:sz w:val="24"/>
                <w:lang w:val="ru-RU"/>
              </w:rPr>
            </w:pPr>
            <w:r>
              <w:rPr>
                <w:sz w:val="24"/>
                <w:lang w:val="ru-RU"/>
              </w:rPr>
              <w:t>52,10</w:t>
            </w:r>
          </w:p>
        </w:tc>
        <w:tc>
          <w:tcPr>
            <w:tcW w:w="2805" w:type="dxa"/>
          </w:tcPr>
          <w:p w:rsidR="00000000" w:rsidRDefault="00000000">
            <w:pPr>
              <w:pStyle w:val="BodyText3"/>
              <w:spacing w:line="288" w:lineRule="auto"/>
              <w:jc w:val="center"/>
              <w:rPr>
                <w:sz w:val="24"/>
                <w:lang w:val="ru-RU"/>
              </w:rPr>
            </w:pPr>
            <w:r>
              <w:rPr>
                <w:sz w:val="24"/>
                <w:lang w:val="ru-RU"/>
              </w:rPr>
              <w:t>47,90</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Февраль 2000 года</w:t>
            </w:r>
          </w:p>
        </w:tc>
        <w:tc>
          <w:tcPr>
            <w:tcW w:w="2244" w:type="dxa"/>
          </w:tcPr>
          <w:p w:rsidR="00000000" w:rsidRDefault="00000000">
            <w:pPr>
              <w:pStyle w:val="BodyText3"/>
              <w:spacing w:line="288" w:lineRule="auto"/>
              <w:jc w:val="center"/>
              <w:rPr>
                <w:sz w:val="24"/>
                <w:lang w:val="ru-RU"/>
              </w:rPr>
            </w:pPr>
            <w:r>
              <w:rPr>
                <w:sz w:val="24"/>
                <w:lang w:val="ru-RU"/>
              </w:rPr>
              <w:t>51,83</w:t>
            </w:r>
          </w:p>
        </w:tc>
        <w:tc>
          <w:tcPr>
            <w:tcW w:w="2805" w:type="dxa"/>
          </w:tcPr>
          <w:p w:rsidR="00000000" w:rsidRDefault="00000000">
            <w:pPr>
              <w:pStyle w:val="BodyText3"/>
              <w:spacing w:line="288" w:lineRule="auto"/>
              <w:jc w:val="center"/>
              <w:rPr>
                <w:sz w:val="24"/>
                <w:lang w:val="ru-RU"/>
              </w:rPr>
            </w:pPr>
            <w:r>
              <w:rPr>
                <w:sz w:val="24"/>
                <w:lang w:val="ru-RU"/>
              </w:rPr>
              <w:t>48,17</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Март 2000 года</w:t>
            </w:r>
          </w:p>
        </w:tc>
        <w:tc>
          <w:tcPr>
            <w:tcW w:w="2244" w:type="dxa"/>
          </w:tcPr>
          <w:p w:rsidR="00000000" w:rsidRDefault="00000000">
            <w:pPr>
              <w:pStyle w:val="BodyText3"/>
              <w:spacing w:line="288" w:lineRule="auto"/>
              <w:jc w:val="center"/>
              <w:rPr>
                <w:sz w:val="24"/>
                <w:lang w:val="ru-RU"/>
              </w:rPr>
            </w:pPr>
            <w:r>
              <w:rPr>
                <w:sz w:val="24"/>
                <w:lang w:val="ru-RU"/>
              </w:rPr>
              <w:t>53,45</w:t>
            </w:r>
          </w:p>
        </w:tc>
        <w:tc>
          <w:tcPr>
            <w:tcW w:w="2805" w:type="dxa"/>
          </w:tcPr>
          <w:p w:rsidR="00000000" w:rsidRDefault="00000000">
            <w:pPr>
              <w:pStyle w:val="BodyText3"/>
              <w:spacing w:line="288" w:lineRule="auto"/>
              <w:jc w:val="center"/>
              <w:rPr>
                <w:sz w:val="24"/>
                <w:lang w:val="ru-RU"/>
              </w:rPr>
            </w:pPr>
            <w:r>
              <w:rPr>
                <w:sz w:val="24"/>
                <w:lang w:val="ru-RU"/>
              </w:rPr>
              <w:t>46,55</w:t>
            </w:r>
          </w:p>
        </w:tc>
      </w:tr>
      <w:tr w:rsidR="00000000">
        <w:tblPrEx>
          <w:tblCellMar>
            <w:top w:w="0" w:type="dxa"/>
            <w:bottom w:w="0" w:type="dxa"/>
          </w:tblCellMar>
        </w:tblPrEx>
        <w:tc>
          <w:tcPr>
            <w:tcW w:w="4301" w:type="dxa"/>
          </w:tcPr>
          <w:p w:rsidR="00000000" w:rsidRDefault="00000000">
            <w:pPr>
              <w:pStyle w:val="BodyText3"/>
              <w:spacing w:line="288" w:lineRule="auto"/>
              <w:jc w:val="center"/>
              <w:rPr>
                <w:sz w:val="24"/>
                <w:lang w:val="ru-RU"/>
              </w:rPr>
            </w:pPr>
            <w:r>
              <w:rPr>
                <w:sz w:val="24"/>
                <w:lang w:val="ru-RU"/>
              </w:rPr>
              <w:t>Апрель 2000 года</w:t>
            </w:r>
          </w:p>
        </w:tc>
        <w:tc>
          <w:tcPr>
            <w:tcW w:w="2244" w:type="dxa"/>
          </w:tcPr>
          <w:p w:rsidR="00000000" w:rsidRDefault="00000000">
            <w:pPr>
              <w:pStyle w:val="BodyText3"/>
              <w:spacing w:line="288" w:lineRule="auto"/>
              <w:jc w:val="center"/>
              <w:rPr>
                <w:sz w:val="24"/>
                <w:lang w:val="ru-RU"/>
              </w:rPr>
            </w:pPr>
            <w:r>
              <w:rPr>
                <w:sz w:val="24"/>
                <w:lang w:val="ru-RU"/>
              </w:rPr>
              <w:t>53,45</w:t>
            </w:r>
          </w:p>
        </w:tc>
        <w:tc>
          <w:tcPr>
            <w:tcW w:w="2805" w:type="dxa"/>
          </w:tcPr>
          <w:p w:rsidR="00000000" w:rsidRDefault="00000000">
            <w:pPr>
              <w:pStyle w:val="BodyText3"/>
              <w:spacing w:line="288" w:lineRule="auto"/>
              <w:jc w:val="center"/>
              <w:rPr>
                <w:sz w:val="24"/>
                <w:lang w:val="ru-RU"/>
              </w:rPr>
            </w:pPr>
            <w:r>
              <w:rPr>
                <w:sz w:val="24"/>
                <w:lang w:val="ru-RU"/>
              </w:rPr>
              <w:t>46,55</w:t>
            </w:r>
          </w:p>
        </w:tc>
      </w:tr>
      <w:tr w:rsidR="00000000">
        <w:tblPrEx>
          <w:tblCellMar>
            <w:top w:w="0" w:type="dxa"/>
            <w:bottom w:w="0" w:type="dxa"/>
          </w:tblCellMar>
        </w:tblPrEx>
        <w:tc>
          <w:tcPr>
            <w:tcW w:w="4301" w:type="dxa"/>
          </w:tcPr>
          <w:p w:rsidR="00000000" w:rsidRDefault="00000000">
            <w:pPr>
              <w:pStyle w:val="BodyText3"/>
              <w:spacing w:line="288" w:lineRule="auto"/>
              <w:jc w:val="center"/>
              <w:rPr>
                <w:iCs/>
                <w:sz w:val="24"/>
                <w:lang w:val="ru-RU"/>
              </w:rPr>
            </w:pPr>
            <w:r>
              <w:rPr>
                <w:iCs/>
                <w:sz w:val="24"/>
                <w:lang w:val="ru-RU"/>
              </w:rPr>
              <w:t>Январь-апрель2000 года</w:t>
            </w:r>
          </w:p>
        </w:tc>
        <w:tc>
          <w:tcPr>
            <w:tcW w:w="2244" w:type="dxa"/>
          </w:tcPr>
          <w:p w:rsidR="00000000" w:rsidRDefault="00000000">
            <w:pPr>
              <w:pStyle w:val="BodyText3"/>
              <w:spacing w:line="288" w:lineRule="auto"/>
              <w:jc w:val="center"/>
              <w:rPr>
                <w:sz w:val="24"/>
                <w:lang w:val="ru-RU"/>
              </w:rPr>
            </w:pPr>
            <w:r>
              <w:rPr>
                <w:sz w:val="24"/>
                <w:lang w:val="ru-RU"/>
              </w:rPr>
              <w:t>52,54</w:t>
            </w:r>
          </w:p>
        </w:tc>
        <w:tc>
          <w:tcPr>
            <w:tcW w:w="2805" w:type="dxa"/>
          </w:tcPr>
          <w:p w:rsidR="00000000" w:rsidRDefault="00000000">
            <w:pPr>
              <w:pStyle w:val="BodyText3"/>
              <w:spacing w:line="288" w:lineRule="auto"/>
              <w:jc w:val="center"/>
              <w:rPr>
                <w:sz w:val="24"/>
                <w:lang w:val="ru-RU"/>
              </w:rPr>
            </w:pPr>
            <w:r>
              <w:rPr>
                <w:sz w:val="24"/>
                <w:lang w:val="ru-RU"/>
              </w:rPr>
              <w:t>47,46</w:t>
            </w:r>
          </w:p>
        </w:tc>
      </w:tr>
    </w:tbl>
    <w:p w:rsidR="00000000" w:rsidRDefault="00000000">
      <w:pPr>
        <w:pStyle w:val="BodyText3"/>
        <w:spacing w:line="288" w:lineRule="auto"/>
        <w:jc w:val="center"/>
        <w:rPr>
          <w:b/>
          <w:spacing w:val="20"/>
          <w:kern w:val="2"/>
          <w:sz w:val="24"/>
          <w:lang w:val="ru-RU"/>
        </w:rPr>
      </w:pPr>
    </w:p>
    <w:p w:rsidR="00000000" w:rsidRDefault="00000000">
      <w:pPr>
        <w:tabs>
          <w:tab w:val="clear" w:pos="1134"/>
          <w:tab w:val="left" w:pos="1309"/>
        </w:tabs>
        <w:rPr>
          <w:kern w:val="2"/>
        </w:rPr>
      </w:pPr>
      <w:r>
        <w:rPr>
          <w:kern w:val="2"/>
          <w:u w:val="single"/>
        </w:rPr>
        <w:t>Источник</w:t>
      </w:r>
      <w:r>
        <w:rPr>
          <w:kern w:val="2"/>
        </w:rPr>
        <w:t>:</w:t>
      </w:r>
      <w:r>
        <w:rPr>
          <w:kern w:val="2"/>
        </w:rPr>
        <w:tab/>
      </w:r>
      <w:r>
        <w:rPr>
          <w:kern w:val="2"/>
        </w:rPr>
        <w:tab/>
        <w:t>Министерство труда и занятости – данные ЕОЗ/БИГС.  Журнал "</w:t>
      </w:r>
      <w:r>
        <w:rPr>
          <w:kern w:val="2"/>
          <w:lang w:val="en-US"/>
        </w:rPr>
        <w:t>Mercado</w:t>
      </w:r>
      <w:r>
        <w:rPr>
          <w:kern w:val="2"/>
        </w:rPr>
        <w:t xml:space="preserve"> </w:t>
      </w:r>
      <w:r>
        <w:rPr>
          <w:kern w:val="2"/>
          <w:lang w:val="en-US"/>
        </w:rPr>
        <w:t>de</w:t>
      </w:r>
      <w:r>
        <w:rPr>
          <w:kern w:val="2"/>
        </w:rPr>
        <w:t xml:space="preserve"> </w:t>
      </w:r>
      <w:r>
        <w:rPr>
          <w:kern w:val="2"/>
          <w:lang w:val="en-US"/>
        </w:rPr>
        <w:t>Trabalho</w:t>
      </w:r>
      <w:r>
        <w:rPr>
          <w:kern w:val="2"/>
        </w:rPr>
        <w:t xml:space="preserve"> – </w:t>
      </w:r>
      <w:r>
        <w:rPr>
          <w:kern w:val="2"/>
          <w:lang w:val="en-US"/>
        </w:rPr>
        <w:t>Conjuntura</w:t>
      </w:r>
      <w:r>
        <w:rPr>
          <w:kern w:val="2"/>
        </w:rPr>
        <w:t xml:space="preserve"> </w:t>
      </w:r>
      <w:r>
        <w:rPr>
          <w:kern w:val="2"/>
          <w:lang w:val="en-US"/>
        </w:rPr>
        <w:t>e</w:t>
      </w:r>
      <w:r>
        <w:rPr>
          <w:kern w:val="2"/>
        </w:rPr>
        <w:t xml:space="preserve"> </w:t>
      </w:r>
      <w:r>
        <w:rPr>
          <w:kern w:val="2"/>
          <w:lang w:val="en-US"/>
        </w:rPr>
        <w:t>An</w:t>
      </w:r>
      <w:r>
        <w:rPr>
          <w:kern w:val="2"/>
        </w:rPr>
        <w:t>á</w:t>
      </w:r>
      <w:r>
        <w:rPr>
          <w:kern w:val="2"/>
          <w:lang w:val="en-US"/>
        </w:rPr>
        <w:t>lise</w:t>
      </w:r>
      <w:r>
        <w:rPr>
          <w:kern w:val="2"/>
        </w:rPr>
        <w:t>", пятый год издания, июнь 2000 года.</w:t>
      </w:r>
    </w:p>
    <w:p w:rsidR="00000000" w:rsidRDefault="00000000">
      <w:pPr>
        <w:pStyle w:val="BodyText3"/>
        <w:jc w:val="center"/>
        <w:rPr>
          <w:b/>
          <w:spacing w:val="20"/>
          <w:kern w:val="2"/>
          <w:sz w:val="24"/>
          <w:lang w:val="ru-RU"/>
        </w:rPr>
      </w:pPr>
    </w:p>
    <w:p w:rsidR="00000000" w:rsidRDefault="00000000">
      <w:pPr>
        <w:spacing w:line="240" w:lineRule="auto"/>
      </w:pPr>
    </w:p>
    <w:p w:rsidR="00000000" w:rsidRDefault="00000000">
      <w:pPr>
        <w:pStyle w:val="10"/>
        <w:spacing w:line="240" w:lineRule="auto"/>
        <w:rPr>
          <w:bCs/>
          <w:kern w:val="2"/>
        </w:rPr>
      </w:pPr>
      <w:r>
        <w:rPr>
          <w:kern w:val="2"/>
        </w:rPr>
        <w:t>Таблица 25.</w:t>
      </w:r>
      <w:r>
        <w:rPr>
          <w:kern w:val="2"/>
        </w:rPr>
        <w:tab/>
      </w:r>
      <w:r>
        <w:rPr>
          <w:bCs/>
          <w:kern w:val="2"/>
        </w:rPr>
        <w:t>Уровень безработицы в разбивке по положению в семье (в %)</w:t>
      </w:r>
    </w:p>
    <w:p w:rsidR="00000000" w:rsidRDefault="00000000">
      <w:pPr>
        <w:pStyle w:val="10"/>
        <w:spacing w:line="240" w:lineRule="auto"/>
        <w:rPr>
          <w:bCs/>
          <w:kern w:val="2"/>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113" w:type="dxa"/>
          <w:bottom w:w="57" w:type="dxa"/>
          <w:right w:w="113" w:type="dxa"/>
        </w:tblCellMar>
        <w:tblLook w:val="0000" w:firstRow="0" w:lastRow="0" w:firstColumn="0" w:lastColumn="0" w:noHBand="0" w:noVBand="0"/>
      </w:tblPr>
      <w:tblGrid>
        <w:gridCol w:w="2948"/>
        <w:gridCol w:w="1531"/>
        <w:gridCol w:w="1871"/>
        <w:gridCol w:w="1531"/>
        <w:gridCol w:w="1531"/>
      </w:tblGrid>
      <w:tr w:rsidR="00000000">
        <w:tc>
          <w:tcPr>
            <w:tcW w:w="2948" w:type="dxa"/>
            <w:vAlign w:val="center"/>
          </w:tcPr>
          <w:p w:rsidR="00000000" w:rsidRDefault="00000000">
            <w:pPr>
              <w:pStyle w:val="16"/>
              <w:spacing w:line="240" w:lineRule="auto"/>
            </w:pPr>
            <w:r>
              <w:t>Период</w:t>
            </w:r>
          </w:p>
        </w:tc>
        <w:tc>
          <w:tcPr>
            <w:tcW w:w="1531" w:type="dxa"/>
            <w:vAlign w:val="center"/>
          </w:tcPr>
          <w:p w:rsidR="00000000" w:rsidRDefault="00000000">
            <w:pPr>
              <w:pStyle w:val="16"/>
              <w:spacing w:line="240" w:lineRule="auto"/>
            </w:pPr>
            <w:r>
              <w:t>Глава семьи</w:t>
            </w:r>
          </w:p>
        </w:tc>
        <w:tc>
          <w:tcPr>
            <w:tcW w:w="1871" w:type="dxa"/>
            <w:vAlign w:val="center"/>
          </w:tcPr>
          <w:p w:rsidR="00000000" w:rsidRDefault="00000000">
            <w:pPr>
              <w:pStyle w:val="16"/>
              <w:spacing w:line="240" w:lineRule="auto"/>
            </w:pPr>
            <w:r>
              <w:t>Находящаяся на иждивении супруга/супруг</w:t>
            </w:r>
          </w:p>
        </w:tc>
        <w:tc>
          <w:tcPr>
            <w:tcW w:w="1531" w:type="dxa"/>
            <w:vAlign w:val="center"/>
          </w:tcPr>
          <w:p w:rsidR="00000000" w:rsidRDefault="00000000">
            <w:pPr>
              <w:pStyle w:val="16"/>
              <w:spacing w:line="240" w:lineRule="auto"/>
            </w:pPr>
            <w:r>
              <w:t>Дети</w:t>
            </w:r>
          </w:p>
        </w:tc>
        <w:tc>
          <w:tcPr>
            <w:tcW w:w="1531" w:type="dxa"/>
            <w:vAlign w:val="center"/>
          </w:tcPr>
          <w:p w:rsidR="00000000" w:rsidRDefault="00000000">
            <w:pPr>
              <w:pStyle w:val="16"/>
              <w:spacing w:line="240" w:lineRule="auto"/>
            </w:pPr>
            <w:r>
              <w:t>Другие члены семьи</w:t>
            </w:r>
          </w:p>
        </w:tc>
      </w:tr>
      <w:tr w:rsidR="00000000">
        <w:tc>
          <w:tcPr>
            <w:tcW w:w="2948" w:type="dxa"/>
            <w:vAlign w:val="center"/>
          </w:tcPr>
          <w:p w:rsidR="00000000" w:rsidRDefault="00000000">
            <w:pPr>
              <w:spacing w:line="240" w:lineRule="auto"/>
              <w:jc w:val="center"/>
            </w:pPr>
            <w:r>
              <w:t>1991 год</w:t>
            </w:r>
          </w:p>
        </w:tc>
        <w:tc>
          <w:tcPr>
            <w:tcW w:w="1531" w:type="dxa"/>
          </w:tcPr>
          <w:p w:rsidR="00000000" w:rsidRDefault="00000000">
            <w:pPr>
              <w:spacing w:line="240" w:lineRule="auto"/>
              <w:jc w:val="center"/>
            </w:pPr>
            <w:r>
              <w:t>3,08</w:t>
            </w:r>
          </w:p>
        </w:tc>
        <w:tc>
          <w:tcPr>
            <w:tcW w:w="1871" w:type="dxa"/>
          </w:tcPr>
          <w:p w:rsidR="00000000" w:rsidRDefault="00000000">
            <w:pPr>
              <w:spacing w:line="240" w:lineRule="auto"/>
              <w:jc w:val="center"/>
            </w:pPr>
            <w:r>
              <w:t>2,59</w:t>
            </w:r>
          </w:p>
        </w:tc>
        <w:tc>
          <w:tcPr>
            <w:tcW w:w="1531" w:type="dxa"/>
          </w:tcPr>
          <w:p w:rsidR="00000000" w:rsidRDefault="00000000">
            <w:pPr>
              <w:spacing w:line="240" w:lineRule="auto"/>
              <w:jc w:val="center"/>
            </w:pPr>
            <w:r>
              <w:t>9,38</w:t>
            </w:r>
          </w:p>
        </w:tc>
        <w:tc>
          <w:tcPr>
            <w:tcW w:w="1531" w:type="dxa"/>
          </w:tcPr>
          <w:p w:rsidR="00000000" w:rsidRDefault="00000000">
            <w:pPr>
              <w:spacing w:line="240" w:lineRule="auto"/>
              <w:jc w:val="center"/>
            </w:pPr>
            <w:r>
              <w:t>6,16</w:t>
            </w:r>
          </w:p>
        </w:tc>
      </w:tr>
      <w:tr w:rsidR="00000000">
        <w:tc>
          <w:tcPr>
            <w:tcW w:w="2948" w:type="dxa"/>
            <w:vAlign w:val="center"/>
          </w:tcPr>
          <w:p w:rsidR="00000000" w:rsidRDefault="00000000">
            <w:pPr>
              <w:spacing w:line="240" w:lineRule="auto"/>
              <w:jc w:val="center"/>
            </w:pPr>
            <w:r>
              <w:t>1992 год</w:t>
            </w:r>
          </w:p>
        </w:tc>
        <w:tc>
          <w:tcPr>
            <w:tcW w:w="1531" w:type="dxa"/>
          </w:tcPr>
          <w:p w:rsidR="00000000" w:rsidRDefault="00000000">
            <w:pPr>
              <w:spacing w:line="240" w:lineRule="auto"/>
              <w:jc w:val="center"/>
            </w:pPr>
            <w:r>
              <w:t>3,66</w:t>
            </w:r>
          </w:p>
        </w:tc>
        <w:tc>
          <w:tcPr>
            <w:tcW w:w="1871" w:type="dxa"/>
          </w:tcPr>
          <w:p w:rsidR="00000000" w:rsidRDefault="00000000">
            <w:pPr>
              <w:spacing w:line="240" w:lineRule="auto"/>
              <w:jc w:val="center"/>
            </w:pPr>
            <w:r>
              <w:t>3,38</w:t>
            </w:r>
          </w:p>
        </w:tc>
        <w:tc>
          <w:tcPr>
            <w:tcW w:w="1531" w:type="dxa"/>
          </w:tcPr>
          <w:p w:rsidR="00000000" w:rsidRDefault="00000000">
            <w:pPr>
              <w:spacing w:line="240" w:lineRule="auto"/>
              <w:jc w:val="center"/>
            </w:pPr>
            <w:r>
              <w:t>11,01</w:t>
            </w:r>
          </w:p>
        </w:tc>
        <w:tc>
          <w:tcPr>
            <w:tcW w:w="1531" w:type="dxa"/>
          </w:tcPr>
          <w:p w:rsidR="00000000" w:rsidRDefault="00000000">
            <w:pPr>
              <w:spacing w:line="240" w:lineRule="auto"/>
              <w:jc w:val="center"/>
            </w:pPr>
            <w:r>
              <w:t>7,16</w:t>
            </w:r>
          </w:p>
        </w:tc>
      </w:tr>
      <w:tr w:rsidR="00000000">
        <w:tc>
          <w:tcPr>
            <w:tcW w:w="2948" w:type="dxa"/>
            <w:vAlign w:val="center"/>
          </w:tcPr>
          <w:p w:rsidR="00000000" w:rsidRDefault="00000000">
            <w:pPr>
              <w:spacing w:line="240" w:lineRule="auto"/>
              <w:jc w:val="center"/>
            </w:pPr>
            <w:r>
              <w:t>1993 год</w:t>
            </w:r>
          </w:p>
        </w:tc>
        <w:tc>
          <w:tcPr>
            <w:tcW w:w="1531" w:type="dxa"/>
          </w:tcPr>
          <w:p w:rsidR="00000000" w:rsidRDefault="00000000">
            <w:pPr>
              <w:spacing w:line="240" w:lineRule="auto"/>
              <w:jc w:val="center"/>
            </w:pPr>
            <w:r>
              <w:t>3,39</w:t>
            </w:r>
          </w:p>
        </w:tc>
        <w:tc>
          <w:tcPr>
            <w:tcW w:w="1871" w:type="dxa"/>
          </w:tcPr>
          <w:p w:rsidR="00000000" w:rsidRDefault="00000000">
            <w:pPr>
              <w:spacing w:line="240" w:lineRule="auto"/>
              <w:jc w:val="center"/>
            </w:pPr>
            <w:r>
              <w:t>3,08</w:t>
            </w:r>
          </w:p>
        </w:tc>
        <w:tc>
          <w:tcPr>
            <w:tcW w:w="1531" w:type="dxa"/>
          </w:tcPr>
          <w:p w:rsidR="00000000" w:rsidRDefault="00000000">
            <w:pPr>
              <w:spacing w:line="240" w:lineRule="auto"/>
              <w:jc w:val="center"/>
            </w:pPr>
            <w:r>
              <w:t>10,04</w:t>
            </w:r>
          </w:p>
        </w:tc>
        <w:tc>
          <w:tcPr>
            <w:tcW w:w="1531" w:type="dxa"/>
          </w:tcPr>
          <w:p w:rsidR="00000000" w:rsidRDefault="00000000">
            <w:pPr>
              <w:spacing w:line="240" w:lineRule="auto"/>
              <w:jc w:val="center"/>
            </w:pPr>
            <w:r>
              <w:t>6,83</w:t>
            </w:r>
          </w:p>
        </w:tc>
      </w:tr>
      <w:tr w:rsidR="00000000">
        <w:tc>
          <w:tcPr>
            <w:tcW w:w="2948" w:type="dxa"/>
            <w:vAlign w:val="center"/>
          </w:tcPr>
          <w:p w:rsidR="00000000" w:rsidRDefault="00000000">
            <w:pPr>
              <w:spacing w:line="240" w:lineRule="auto"/>
              <w:jc w:val="center"/>
            </w:pPr>
            <w:r>
              <w:t>1994 год</w:t>
            </w:r>
          </w:p>
        </w:tc>
        <w:tc>
          <w:tcPr>
            <w:tcW w:w="1531" w:type="dxa"/>
          </w:tcPr>
          <w:p w:rsidR="00000000" w:rsidRDefault="00000000">
            <w:pPr>
              <w:spacing w:line="240" w:lineRule="auto"/>
              <w:jc w:val="center"/>
            </w:pPr>
            <w:r>
              <w:t>3,22</w:t>
            </w:r>
          </w:p>
        </w:tc>
        <w:tc>
          <w:tcPr>
            <w:tcW w:w="1871" w:type="dxa"/>
          </w:tcPr>
          <w:p w:rsidR="00000000" w:rsidRDefault="00000000">
            <w:pPr>
              <w:spacing w:line="240" w:lineRule="auto"/>
              <w:jc w:val="center"/>
            </w:pPr>
            <w:r>
              <w:t>3,11</w:t>
            </w:r>
          </w:p>
        </w:tc>
        <w:tc>
          <w:tcPr>
            <w:tcW w:w="1531" w:type="dxa"/>
          </w:tcPr>
          <w:p w:rsidR="00000000" w:rsidRDefault="00000000">
            <w:pPr>
              <w:spacing w:line="240" w:lineRule="auto"/>
              <w:jc w:val="center"/>
            </w:pPr>
            <w:r>
              <w:t>9,72</w:t>
            </w:r>
          </w:p>
        </w:tc>
        <w:tc>
          <w:tcPr>
            <w:tcW w:w="1531" w:type="dxa"/>
          </w:tcPr>
          <w:p w:rsidR="00000000" w:rsidRDefault="00000000">
            <w:pPr>
              <w:spacing w:line="240" w:lineRule="auto"/>
              <w:jc w:val="center"/>
            </w:pPr>
            <w:r>
              <w:t>6,68</w:t>
            </w:r>
          </w:p>
        </w:tc>
      </w:tr>
      <w:tr w:rsidR="00000000">
        <w:tc>
          <w:tcPr>
            <w:tcW w:w="2948" w:type="dxa"/>
            <w:vAlign w:val="center"/>
          </w:tcPr>
          <w:p w:rsidR="00000000" w:rsidRDefault="00000000">
            <w:pPr>
              <w:pStyle w:val="16"/>
              <w:spacing w:line="240" w:lineRule="auto"/>
            </w:pPr>
            <w:r>
              <w:t>1995 год</w:t>
            </w:r>
          </w:p>
        </w:tc>
        <w:tc>
          <w:tcPr>
            <w:tcW w:w="1531" w:type="dxa"/>
          </w:tcPr>
          <w:p w:rsidR="00000000" w:rsidRDefault="00000000">
            <w:pPr>
              <w:spacing w:line="240" w:lineRule="auto"/>
              <w:jc w:val="center"/>
            </w:pPr>
            <w:r>
              <w:t>2,95</w:t>
            </w:r>
          </w:p>
        </w:tc>
        <w:tc>
          <w:tcPr>
            <w:tcW w:w="1871" w:type="dxa"/>
          </w:tcPr>
          <w:p w:rsidR="00000000" w:rsidRDefault="00000000">
            <w:pPr>
              <w:spacing w:line="240" w:lineRule="auto"/>
              <w:jc w:val="center"/>
            </w:pPr>
            <w:r>
              <w:t>2,87</w:t>
            </w:r>
          </w:p>
        </w:tc>
        <w:tc>
          <w:tcPr>
            <w:tcW w:w="1531" w:type="dxa"/>
          </w:tcPr>
          <w:p w:rsidR="00000000" w:rsidRDefault="00000000">
            <w:pPr>
              <w:spacing w:line="240" w:lineRule="auto"/>
              <w:jc w:val="center"/>
            </w:pPr>
            <w:r>
              <w:t>8,97</w:t>
            </w:r>
          </w:p>
        </w:tc>
        <w:tc>
          <w:tcPr>
            <w:tcW w:w="1531" w:type="dxa"/>
          </w:tcPr>
          <w:p w:rsidR="00000000" w:rsidRDefault="00000000">
            <w:pPr>
              <w:spacing w:line="240" w:lineRule="auto"/>
              <w:jc w:val="center"/>
            </w:pPr>
            <w:r>
              <w:t>5,67</w:t>
            </w:r>
          </w:p>
        </w:tc>
      </w:tr>
      <w:tr w:rsidR="00000000">
        <w:tc>
          <w:tcPr>
            <w:tcW w:w="2948" w:type="dxa"/>
            <w:vAlign w:val="center"/>
          </w:tcPr>
          <w:p w:rsidR="00000000" w:rsidRDefault="00000000">
            <w:pPr>
              <w:spacing w:line="240" w:lineRule="auto"/>
              <w:jc w:val="center"/>
            </w:pPr>
            <w:r>
              <w:t>1996 год</w:t>
            </w:r>
          </w:p>
        </w:tc>
        <w:tc>
          <w:tcPr>
            <w:tcW w:w="1531" w:type="dxa"/>
          </w:tcPr>
          <w:p w:rsidR="00000000" w:rsidRDefault="00000000">
            <w:pPr>
              <w:spacing w:line="240" w:lineRule="auto"/>
              <w:jc w:val="center"/>
            </w:pPr>
            <w:r>
              <w:t>3,42</w:t>
            </w:r>
          </w:p>
        </w:tc>
        <w:tc>
          <w:tcPr>
            <w:tcW w:w="1871" w:type="dxa"/>
          </w:tcPr>
          <w:p w:rsidR="00000000" w:rsidRDefault="00000000">
            <w:pPr>
              <w:spacing w:line="240" w:lineRule="auto"/>
              <w:jc w:val="center"/>
            </w:pPr>
            <w:r>
              <w:t>3,79</w:t>
            </w:r>
          </w:p>
        </w:tc>
        <w:tc>
          <w:tcPr>
            <w:tcW w:w="1531" w:type="dxa"/>
          </w:tcPr>
          <w:p w:rsidR="00000000" w:rsidRDefault="00000000">
            <w:pPr>
              <w:spacing w:line="240" w:lineRule="auto"/>
              <w:jc w:val="center"/>
            </w:pPr>
            <w:r>
              <w:t>10,02</w:t>
            </w:r>
          </w:p>
        </w:tc>
        <w:tc>
          <w:tcPr>
            <w:tcW w:w="1531" w:type="dxa"/>
          </w:tcPr>
          <w:p w:rsidR="00000000" w:rsidRDefault="00000000">
            <w:pPr>
              <w:spacing w:line="240" w:lineRule="auto"/>
              <w:jc w:val="center"/>
            </w:pPr>
            <w:r>
              <w:t>7,25</w:t>
            </w:r>
          </w:p>
        </w:tc>
      </w:tr>
      <w:tr w:rsidR="00000000">
        <w:tc>
          <w:tcPr>
            <w:tcW w:w="2948" w:type="dxa"/>
            <w:vAlign w:val="center"/>
          </w:tcPr>
          <w:p w:rsidR="00000000" w:rsidRDefault="00000000">
            <w:pPr>
              <w:spacing w:line="240" w:lineRule="auto"/>
              <w:jc w:val="center"/>
            </w:pPr>
            <w:r>
              <w:t>1997 год</w:t>
            </w:r>
          </w:p>
        </w:tc>
        <w:tc>
          <w:tcPr>
            <w:tcW w:w="1531" w:type="dxa"/>
          </w:tcPr>
          <w:p w:rsidR="00000000" w:rsidRDefault="00000000">
            <w:pPr>
              <w:spacing w:line="240" w:lineRule="auto"/>
              <w:jc w:val="center"/>
            </w:pPr>
            <w:r>
              <w:t>3,70</w:t>
            </w:r>
          </w:p>
        </w:tc>
        <w:tc>
          <w:tcPr>
            <w:tcW w:w="1871" w:type="dxa"/>
          </w:tcPr>
          <w:p w:rsidR="00000000" w:rsidRDefault="00000000">
            <w:pPr>
              <w:spacing w:line="240" w:lineRule="auto"/>
              <w:jc w:val="center"/>
            </w:pPr>
            <w:r>
              <w:t>3,90</w:t>
            </w:r>
          </w:p>
        </w:tc>
        <w:tc>
          <w:tcPr>
            <w:tcW w:w="1531" w:type="dxa"/>
          </w:tcPr>
          <w:p w:rsidR="00000000" w:rsidRDefault="00000000">
            <w:pPr>
              <w:spacing w:line="240" w:lineRule="auto"/>
              <w:jc w:val="center"/>
            </w:pPr>
            <w:r>
              <w:t>10,36</w:t>
            </w:r>
          </w:p>
        </w:tc>
        <w:tc>
          <w:tcPr>
            <w:tcW w:w="1531" w:type="dxa"/>
          </w:tcPr>
          <w:p w:rsidR="00000000" w:rsidRDefault="00000000">
            <w:pPr>
              <w:spacing w:line="240" w:lineRule="auto"/>
              <w:jc w:val="center"/>
            </w:pPr>
            <w:r>
              <w:t>7,08</w:t>
            </w:r>
          </w:p>
        </w:tc>
      </w:tr>
      <w:tr w:rsidR="00000000">
        <w:tc>
          <w:tcPr>
            <w:tcW w:w="2948" w:type="dxa"/>
            <w:vAlign w:val="center"/>
          </w:tcPr>
          <w:p w:rsidR="00000000" w:rsidRDefault="00000000">
            <w:pPr>
              <w:spacing w:line="240" w:lineRule="auto"/>
              <w:jc w:val="center"/>
            </w:pPr>
            <w:r>
              <w:t>1998 год</w:t>
            </w:r>
          </w:p>
        </w:tc>
        <w:tc>
          <w:tcPr>
            <w:tcW w:w="1531" w:type="dxa"/>
          </w:tcPr>
          <w:p w:rsidR="00000000" w:rsidRDefault="00000000">
            <w:pPr>
              <w:spacing w:line="240" w:lineRule="auto"/>
              <w:jc w:val="center"/>
            </w:pPr>
            <w:r>
              <w:t>5,05</w:t>
            </w:r>
          </w:p>
        </w:tc>
        <w:tc>
          <w:tcPr>
            <w:tcW w:w="1871" w:type="dxa"/>
          </w:tcPr>
          <w:p w:rsidR="00000000" w:rsidRDefault="00000000">
            <w:pPr>
              <w:spacing w:line="240" w:lineRule="auto"/>
              <w:jc w:val="center"/>
            </w:pPr>
            <w:r>
              <w:t>5,43</w:t>
            </w:r>
          </w:p>
        </w:tc>
        <w:tc>
          <w:tcPr>
            <w:tcW w:w="1531" w:type="dxa"/>
          </w:tcPr>
          <w:p w:rsidR="00000000" w:rsidRDefault="00000000">
            <w:pPr>
              <w:spacing w:line="240" w:lineRule="auto"/>
              <w:jc w:val="center"/>
            </w:pPr>
            <w:r>
              <w:t>13,42</w:t>
            </w:r>
          </w:p>
        </w:tc>
        <w:tc>
          <w:tcPr>
            <w:tcW w:w="1531" w:type="dxa"/>
          </w:tcPr>
          <w:p w:rsidR="00000000" w:rsidRDefault="00000000">
            <w:pPr>
              <w:spacing w:line="240" w:lineRule="auto"/>
              <w:jc w:val="center"/>
            </w:pPr>
            <w:r>
              <w:t>9,29</w:t>
            </w:r>
          </w:p>
        </w:tc>
      </w:tr>
      <w:tr w:rsidR="00000000">
        <w:tc>
          <w:tcPr>
            <w:tcW w:w="2948" w:type="dxa"/>
            <w:vAlign w:val="center"/>
          </w:tcPr>
          <w:p w:rsidR="00000000" w:rsidRDefault="00000000">
            <w:pPr>
              <w:spacing w:line="240" w:lineRule="auto"/>
              <w:jc w:val="center"/>
            </w:pPr>
            <w:r>
              <w:t>1999 год</w:t>
            </w:r>
          </w:p>
        </w:tc>
        <w:tc>
          <w:tcPr>
            <w:tcW w:w="1531" w:type="dxa"/>
          </w:tcPr>
          <w:p w:rsidR="00000000" w:rsidRDefault="00000000">
            <w:pPr>
              <w:spacing w:line="240" w:lineRule="auto"/>
              <w:jc w:val="center"/>
            </w:pPr>
            <w:r>
              <w:t>5,04</w:t>
            </w:r>
          </w:p>
        </w:tc>
        <w:tc>
          <w:tcPr>
            <w:tcW w:w="1871" w:type="dxa"/>
          </w:tcPr>
          <w:p w:rsidR="00000000" w:rsidRDefault="00000000">
            <w:pPr>
              <w:spacing w:line="240" w:lineRule="auto"/>
              <w:jc w:val="center"/>
            </w:pPr>
            <w:r>
              <w:t>5,19</w:t>
            </w:r>
          </w:p>
        </w:tc>
        <w:tc>
          <w:tcPr>
            <w:tcW w:w="1531" w:type="dxa"/>
          </w:tcPr>
          <w:p w:rsidR="00000000" w:rsidRDefault="00000000">
            <w:pPr>
              <w:spacing w:line="240" w:lineRule="auto"/>
              <w:jc w:val="center"/>
            </w:pPr>
            <w:r>
              <w:t>13,45</w:t>
            </w:r>
          </w:p>
        </w:tc>
        <w:tc>
          <w:tcPr>
            <w:tcW w:w="1531" w:type="dxa"/>
          </w:tcPr>
          <w:p w:rsidR="00000000" w:rsidRDefault="00000000">
            <w:pPr>
              <w:spacing w:line="240" w:lineRule="auto"/>
              <w:jc w:val="center"/>
            </w:pPr>
            <w:r>
              <w:t>9,10</w:t>
            </w:r>
          </w:p>
        </w:tc>
      </w:tr>
      <w:tr w:rsidR="00000000">
        <w:tc>
          <w:tcPr>
            <w:tcW w:w="2948" w:type="dxa"/>
            <w:vAlign w:val="center"/>
          </w:tcPr>
          <w:p w:rsidR="00000000" w:rsidRDefault="00000000">
            <w:pPr>
              <w:pStyle w:val="16"/>
              <w:spacing w:line="240" w:lineRule="auto"/>
              <w:rPr>
                <w:iCs/>
              </w:rPr>
            </w:pPr>
            <w:r>
              <w:rPr>
                <w:iCs/>
              </w:rPr>
              <w:t>Январь-апрель 1999 года</w:t>
            </w:r>
          </w:p>
        </w:tc>
        <w:tc>
          <w:tcPr>
            <w:tcW w:w="1531" w:type="dxa"/>
          </w:tcPr>
          <w:p w:rsidR="00000000" w:rsidRDefault="00000000">
            <w:pPr>
              <w:spacing w:line="240" w:lineRule="auto"/>
              <w:jc w:val="center"/>
            </w:pPr>
            <w:r>
              <w:t>5,17</w:t>
            </w:r>
          </w:p>
        </w:tc>
        <w:tc>
          <w:tcPr>
            <w:tcW w:w="1871" w:type="dxa"/>
          </w:tcPr>
          <w:p w:rsidR="00000000" w:rsidRDefault="00000000">
            <w:pPr>
              <w:spacing w:line="240" w:lineRule="auto"/>
              <w:jc w:val="center"/>
            </w:pPr>
            <w:r>
              <w:t>5,22</w:t>
            </w:r>
          </w:p>
        </w:tc>
        <w:tc>
          <w:tcPr>
            <w:tcW w:w="1531" w:type="dxa"/>
          </w:tcPr>
          <w:p w:rsidR="00000000" w:rsidRDefault="00000000">
            <w:pPr>
              <w:spacing w:line="240" w:lineRule="auto"/>
              <w:jc w:val="center"/>
            </w:pPr>
            <w:r>
              <w:t>14,20</w:t>
            </w:r>
          </w:p>
        </w:tc>
        <w:tc>
          <w:tcPr>
            <w:tcW w:w="1531" w:type="dxa"/>
          </w:tcPr>
          <w:p w:rsidR="00000000" w:rsidRDefault="00000000">
            <w:pPr>
              <w:spacing w:line="240" w:lineRule="auto"/>
              <w:jc w:val="center"/>
            </w:pPr>
            <w:r>
              <w:t>9,36</w:t>
            </w:r>
          </w:p>
        </w:tc>
      </w:tr>
      <w:tr w:rsidR="00000000">
        <w:tc>
          <w:tcPr>
            <w:tcW w:w="2948" w:type="dxa"/>
            <w:vAlign w:val="center"/>
          </w:tcPr>
          <w:p w:rsidR="00000000" w:rsidRDefault="00000000">
            <w:pPr>
              <w:spacing w:line="240" w:lineRule="auto"/>
              <w:jc w:val="center"/>
            </w:pPr>
            <w:r>
              <w:t>Апрель 1999 года</w:t>
            </w:r>
          </w:p>
        </w:tc>
        <w:tc>
          <w:tcPr>
            <w:tcW w:w="1531" w:type="dxa"/>
          </w:tcPr>
          <w:p w:rsidR="00000000" w:rsidRDefault="00000000">
            <w:pPr>
              <w:spacing w:line="240" w:lineRule="auto"/>
              <w:jc w:val="center"/>
            </w:pPr>
            <w:r>
              <w:t>5,46</w:t>
            </w:r>
          </w:p>
        </w:tc>
        <w:tc>
          <w:tcPr>
            <w:tcW w:w="1871" w:type="dxa"/>
          </w:tcPr>
          <w:p w:rsidR="00000000" w:rsidRDefault="00000000">
            <w:pPr>
              <w:spacing w:line="240" w:lineRule="auto"/>
              <w:jc w:val="center"/>
            </w:pPr>
            <w:r>
              <w:t>5,35</w:t>
            </w:r>
          </w:p>
        </w:tc>
        <w:tc>
          <w:tcPr>
            <w:tcW w:w="1531" w:type="dxa"/>
          </w:tcPr>
          <w:p w:rsidR="00000000" w:rsidRDefault="00000000">
            <w:pPr>
              <w:spacing w:line="240" w:lineRule="auto"/>
              <w:jc w:val="center"/>
            </w:pPr>
            <w:r>
              <w:t>14,17</w:t>
            </w:r>
          </w:p>
        </w:tc>
        <w:tc>
          <w:tcPr>
            <w:tcW w:w="1531" w:type="dxa"/>
          </w:tcPr>
          <w:p w:rsidR="00000000" w:rsidRDefault="00000000">
            <w:pPr>
              <w:spacing w:line="240" w:lineRule="auto"/>
              <w:jc w:val="center"/>
            </w:pPr>
            <w:r>
              <w:t>9,31</w:t>
            </w:r>
          </w:p>
        </w:tc>
      </w:tr>
      <w:tr w:rsidR="00000000">
        <w:tc>
          <w:tcPr>
            <w:tcW w:w="2948" w:type="dxa"/>
            <w:vAlign w:val="center"/>
          </w:tcPr>
          <w:p w:rsidR="00000000" w:rsidRDefault="00000000">
            <w:pPr>
              <w:spacing w:line="240" w:lineRule="auto"/>
              <w:jc w:val="center"/>
            </w:pPr>
            <w:r>
              <w:t>Май 1999 года</w:t>
            </w:r>
          </w:p>
        </w:tc>
        <w:tc>
          <w:tcPr>
            <w:tcW w:w="1531" w:type="dxa"/>
          </w:tcPr>
          <w:p w:rsidR="00000000" w:rsidRDefault="00000000">
            <w:pPr>
              <w:spacing w:line="240" w:lineRule="auto"/>
              <w:jc w:val="center"/>
            </w:pPr>
            <w:r>
              <w:t>5,27</w:t>
            </w:r>
          </w:p>
        </w:tc>
        <w:tc>
          <w:tcPr>
            <w:tcW w:w="1871" w:type="dxa"/>
          </w:tcPr>
          <w:p w:rsidR="00000000" w:rsidRDefault="00000000">
            <w:pPr>
              <w:spacing w:line="240" w:lineRule="auto"/>
              <w:jc w:val="center"/>
            </w:pPr>
            <w:r>
              <w:t>5,30</w:t>
            </w:r>
          </w:p>
        </w:tc>
        <w:tc>
          <w:tcPr>
            <w:tcW w:w="1531" w:type="dxa"/>
          </w:tcPr>
          <w:p w:rsidR="00000000" w:rsidRDefault="00000000">
            <w:pPr>
              <w:spacing w:line="240" w:lineRule="auto"/>
              <w:jc w:val="center"/>
            </w:pPr>
            <w:r>
              <w:t>13,28</w:t>
            </w:r>
          </w:p>
        </w:tc>
        <w:tc>
          <w:tcPr>
            <w:tcW w:w="1531" w:type="dxa"/>
          </w:tcPr>
          <w:p w:rsidR="00000000" w:rsidRDefault="00000000">
            <w:pPr>
              <w:spacing w:line="240" w:lineRule="auto"/>
              <w:jc w:val="center"/>
            </w:pPr>
            <w:r>
              <w:t>9,81</w:t>
            </w:r>
          </w:p>
        </w:tc>
      </w:tr>
      <w:tr w:rsidR="00000000">
        <w:tc>
          <w:tcPr>
            <w:tcW w:w="2948" w:type="dxa"/>
            <w:vAlign w:val="center"/>
          </w:tcPr>
          <w:p w:rsidR="00000000" w:rsidRDefault="00000000">
            <w:pPr>
              <w:spacing w:line="240" w:lineRule="auto"/>
              <w:jc w:val="center"/>
            </w:pPr>
            <w:r>
              <w:t>Июнь 1999 года</w:t>
            </w:r>
          </w:p>
        </w:tc>
        <w:tc>
          <w:tcPr>
            <w:tcW w:w="1531" w:type="dxa"/>
          </w:tcPr>
          <w:p w:rsidR="00000000" w:rsidRDefault="00000000">
            <w:pPr>
              <w:spacing w:line="240" w:lineRule="auto"/>
              <w:jc w:val="center"/>
            </w:pPr>
            <w:r>
              <w:t>5,09</w:t>
            </w:r>
          </w:p>
        </w:tc>
        <w:tc>
          <w:tcPr>
            <w:tcW w:w="1871" w:type="dxa"/>
          </w:tcPr>
          <w:p w:rsidR="00000000" w:rsidRDefault="00000000">
            <w:pPr>
              <w:spacing w:line="240" w:lineRule="auto"/>
              <w:jc w:val="center"/>
            </w:pPr>
            <w:r>
              <w:t>5,86</w:t>
            </w:r>
          </w:p>
        </w:tc>
        <w:tc>
          <w:tcPr>
            <w:tcW w:w="1531" w:type="dxa"/>
          </w:tcPr>
          <w:p w:rsidR="00000000" w:rsidRDefault="00000000">
            <w:pPr>
              <w:spacing w:line="240" w:lineRule="auto"/>
              <w:jc w:val="center"/>
            </w:pPr>
            <w:r>
              <w:t>13,87</w:t>
            </w:r>
          </w:p>
        </w:tc>
        <w:tc>
          <w:tcPr>
            <w:tcW w:w="1531" w:type="dxa"/>
          </w:tcPr>
          <w:p w:rsidR="00000000" w:rsidRDefault="00000000">
            <w:pPr>
              <w:spacing w:line="240" w:lineRule="auto"/>
              <w:jc w:val="center"/>
            </w:pPr>
            <w:r>
              <w:t>9,43</w:t>
            </w:r>
          </w:p>
        </w:tc>
      </w:tr>
      <w:tr w:rsidR="00000000">
        <w:tc>
          <w:tcPr>
            <w:tcW w:w="2948" w:type="dxa"/>
            <w:vAlign w:val="center"/>
          </w:tcPr>
          <w:p w:rsidR="00000000" w:rsidRDefault="00000000">
            <w:pPr>
              <w:spacing w:line="240" w:lineRule="auto"/>
              <w:jc w:val="center"/>
            </w:pPr>
            <w:r>
              <w:t>Июль 1999 года</w:t>
            </w:r>
          </w:p>
        </w:tc>
        <w:tc>
          <w:tcPr>
            <w:tcW w:w="1531" w:type="dxa"/>
          </w:tcPr>
          <w:p w:rsidR="00000000" w:rsidRDefault="00000000">
            <w:pPr>
              <w:spacing w:line="240" w:lineRule="auto"/>
              <w:jc w:val="center"/>
            </w:pPr>
            <w:r>
              <w:t>4,90</w:t>
            </w:r>
          </w:p>
        </w:tc>
        <w:tc>
          <w:tcPr>
            <w:tcW w:w="1871" w:type="dxa"/>
          </w:tcPr>
          <w:p w:rsidR="00000000" w:rsidRDefault="00000000">
            <w:pPr>
              <w:spacing w:line="240" w:lineRule="auto"/>
              <w:jc w:val="center"/>
            </w:pPr>
            <w:r>
              <w:t>5,15</w:t>
            </w:r>
          </w:p>
        </w:tc>
        <w:tc>
          <w:tcPr>
            <w:tcW w:w="1531" w:type="dxa"/>
          </w:tcPr>
          <w:p w:rsidR="00000000" w:rsidRDefault="00000000">
            <w:pPr>
              <w:spacing w:line="240" w:lineRule="auto"/>
              <w:jc w:val="center"/>
            </w:pPr>
            <w:r>
              <w:t>13,64</w:t>
            </w:r>
          </w:p>
        </w:tc>
        <w:tc>
          <w:tcPr>
            <w:tcW w:w="1531" w:type="dxa"/>
          </w:tcPr>
          <w:p w:rsidR="00000000" w:rsidRDefault="00000000">
            <w:pPr>
              <w:spacing w:line="240" w:lineRule="auto"/>
              <w:jc w:val="center"/>
            </w:pPr>
            <w:r>
              <w:t>8,86</w:t>
            </w:r>
          </w:p>
        </w:tc>
      </w:tr>
      <w:tr w:rsidR="00000000">
        <w:tc>
          <w:tcPr>
            <w:tcW w:w="2948" w:type="dxa"/>
            <w:vAlign w:val="center"/>
          </w:tcPr>
          <w:p w:rsidR="00000000" w:rsidRDefault="00000000">
            <w:pPr>
              <w:spacing w:line="240" w:lineRule="auto"/>
              <w:jc w:val="center"/>
            </w:pPr>
            <w:r>
              <w:t>Август 1999 года</w:t>
            </w:r>
          </w:p>
        </w:tc>
        <w:tc>
          <w:tcPr>
            <w:tcW w:w="1531" w:type="dxa"/>
          </w:tcPr>
          <w:p w:rsidR="00000000" w:rsidRDefault="00000000">
            <w:pPr>
              <w:spacing w:line="240" w:lineRule="auto"/>
              <w:jc w:val="center"/>
            </w:pPr>
            <w:r>
              <w:t>5,17</w:t>
            </w:r>
          </w:p>
        </w:tc>
        <w:tc>
          <w:tcPr>
            <w:tcW w:w="1871" w:type="dxa"/>
          </w:tcPr>
          <w:p w:rsidR="00000000" w:rsidRDefault="00000000">
            <w:pPr>
              <w:spacing w:line="240" w:lineRule="auto"/>
              <w:jc w:val="center"/>
            </w:pPr>
            <w:r>
              <w:t>5,70</w:t>
            </w:r>
          </w:p>
        </w:tc>
        <w:tc>
          <w:tcPr>
            <w:tcW w:w="1531" w:type="dxa"/>
          </w:tcPr>
          <w:p w:rsidR="00000000" w:rsidRDefault="00000000">
            <w:pPr>
              <w:spacing w:line="240" w:lineRule="auto"/>
              <w:jc w:val="center"/>
            </w:pPr>
            <w:r>
              <w:t>13,21</w:t>
            </w:r>
          </w:p>
        </w:tc>
        <w:tc>
          <w:tcPr>
            <w:tcW w:w="1531" w:type="dxa"/>
          </w:tcPr>
          <w:p w:rsidR="00000000" w:rsidRDefault="00000000">
            <w:pPr>
              <w:spacing w:line="240" w:lineRule="auto"/>
              <w:jc w:val="center"/>
            </w:pPr>
            <w:r>
              <w:t>9,88</w:t>
            </w:r>
          </w:p>
        </w:tc>
      </w:tr>
      <w:tr w:rsidR="00000000">
        <w:tc>
          <w:tcPr>
            <w:tcW w:w="2948" w:type="dxa"/>
            <w:vAlign w:val="center"/>
          </w:tcPr>
          <w:p w:rsidR="00000000" w:rsidRDefault="00000000">
            <w:pPr>
              <w:spacing w:line="240" w:lineRule="auto"/>
              <w:jc w:val="center"/>
            </w:pPr>
            <w:r>
              <w:t>Сентябрь 1999 года</w:t>
            </w:r>
          </w:p>
        </w:tc>
        <w:tc>
          <w:tcPr>
            <w:tcW w:w="1531" w:type="dxa"/>
          </w:tcPr>
          <w:p w:rsidR="00000000" w:rsidRDefault="00000000">
            <w:pPr>
              <w:spacing w:line="240" w:lineRule="auto"/>
              <w:jc w:val="center"/>
            </w:pPr>
            <w:r>
              <w:t>5,12</w:t>
            </w:r>
          </w:p>
        </w:tc>
        <w:tc>
          <w:tcPr>
            <w:tcW w:w="1871" w:type="dxa"/>
          </w:tcPr>
          <w:p w:rsidR="00000000" w:rsidRDefault="00000000">
            <w:pPr>
              <w:spacing w:line="240" w:lineRule="auto"/>
              <w:jc w:val="center"/>
            </w:pPr>
            <w:r>
              <w:t>5,05</w:t>
            </w:r>
          </w:p>
        </w:tc>
        <w:tc>
          <w:tcPr>
            <w:tcW w:w="1531" w:type="dxa"/>
          </w:tcPr>
          <w:p w:rsidR="00000000" w:rsidRDefault="00000000">
            <w:pPr>
              <w:spacing w:line="240" w:lineRule="auto"/>
              <w:jc w:val="center"/>
            </w:pPr>
            <w:r>
              <w:t>12,70</w:t>
            </w:r>
          </w:p>
        </w:tc>
        <w:tc>
          <w:tcPr>
            <w:tcW w:w="1531" w:type="dxa"/>
          </w:tcPr>
          <w:p w:rsidR="00000000" w:rsidRDefault="00000000">
            <w:pPr>
              <w:spacing w:line="240" w:lineRule="auto"/>
              <w:jc w:val="center"/>
            </w:pPr>
            <w:r>
              <w:t>9,01</w:t>
            </w:r>
          </w:p>
        </w:tc>
      </w:tr>
      <w:tr w:rsidR="00000000">
        <w:tc>
          <w:tcPr>
            <w:tcW w:w="2948" w:type="dxa"/>
            <w:vAlign w:val="center"/>
          </w:tcPr>
          <w:p w:rsidR="00000000" w:rsidRDefault="00000000">
            <w:pPr>
              <w:spacing w:line="240" w:lineRule="auto"/>
              <w:jc w:val="center"/>
            </w:pPr>
            <w:r>
              <w:t>Октябрь 1999 года</w:t>
            </w:r>
          </w:p>
        </w:tc>
        <w:tc>
          <w:tcPr>
            <w:tcW w:w="1531" w:type="dxa"/>
          </w:tcPr>
          <w:p w:rsidR="00000000" w:rsidRDefault="00000000">
            <w:pPr>
              <w:spacing w:line="240" w:lineRule="auto"/>
              <w:jc w:val="center"/>
            </w:pPr>
            <w:r>
              <w:t>5,18</w:t>
            </w:r>
          </w:p>
        </w:tc>
        <w:tc>
          <w:tcPr>
            <w:tcW w:w="1871" w:type="dxa"/>
          </w:tcPr>
          <w:p w:rsidR="00000000" w:rsidRDefault="00000000">
            <w:pPr>
              <w:spacing w:line="240" w:lineRule="auto"/>
              <w:jc w:val="center"/>
            </w:pPr>
            <w:r>
              <w:t>5,04</w:t>
            </w:r>
          </w:p>
        </w:tc>
        <w:tc>
          <w:tcPr>
            <w:tcW w:w="1531" w:type="dxa"/>
          </w:tcPr>
          <w:p w:rsidR="00000000" w:rsidRDefault="00000000">
            <w:pPr>
              <w:spacing w:line="240" w:lineRule="auto"/>
              <w:jc w:val="center"/>
            </w:pPr>
            <w:r>
              <w:t>13,31</w:t>
            </w:r>
          </w:p>
        </w:tc>
        <w:tc>
          <w:tcPr>
            <w:tcW w:w="1531" w:type="dxa"/>
          </w:tcPr>
          <w:p w:rsidR="00000000" w:rsidRDefault="00000000">
            <w:pPr>
              <w:spacing w:line="240" w:lineRule="auto"/>
              <w:jc w:val="center"/>
            </w:pPr>
            <w:r>
              <w:t>9,02</w:t>
            </w:r>
          </w:p>
        </w:tc>
      </w:tr>
      <w:tr w:rsidR="00000000">
        <w:tc>
          <w:tcPr>
            <w:tcW w:w="2948" w:type="dxa"/>
            <w:vAlign w:val="center"/>
          </w:tcPr>
          <w:p w:rsidR="00000000" w:rsidRDefault="00000000">
            <w:pPr>
              <w:spacing w:line="240" w:lineRule="auto"/>
              <w:jc w:val="center"/>
            </w:pPr>
            <w:r>
              <w:t>Ноябрь 1999 года</w:t>
            </w:r>
          </w:p>
        </w:tc>
        <w:tc>
          <w:tcPr>
            <w:tcW w:w="1531" w:type="dxa"/>
          </w:tcPr>
          <w:p w:rsidR="00000000" w:rsidRDefault="00000000">
            <w:pPr>
              <w:spacing w:line="240" w:lineRule="auto"/>
              <w:jc w:val="center"/>
            </w:pPr>
            <w:r>
              <w:t>4,98</w:t>
            </w:r>
          </w:p>
        </w:tc>
        <w:tc>
          <w:tcPr>
            <w:tcW w:w="1871" w:type="dxa"/>
          </w:tcPr>
          <w:p w:rsidR="00000000" w:rsidRDefault="00000000">
            <w:pPr>
              <w:spacing w:line="240" w:lineRule="auto"/>
              <w:jc w:val="center"/>
            </w:pPr>
            <w:r>
              <w:t>5,04</w:t>
            </w:r>
          </w:p>
        </w:tc>
        <w:tc>
          <w:tcPr>
            <w:tcW w:w="1531" w:type="dxa"/>
          </w:tcPr>
          <w:p w:rsidR="00000000" w:rsidRDefault="00000000">
            <w:pPr>
              <w:spacing w:line="240" w:lineRule="auto"/>
              <w:jc w:val="center"/>
            </w:pPr>
            <w:r>
              <w:t>13,04</w:t>
            </w:r>
          </w:p>
        </w:tc>
        <w:tc>
          <w:tcPr>
            <w:tcW w:w="1531" w:type="dxa"/>
          </w:tcPr>
          <w:p w:rsidR="00000000" w:rsidRDefault="00000000">
            <w:pPr>
              <w:spacing w:line="240" w:lineRule="auto"/>
              <w:jc w:val="center"/>
            </w:pPr>
            <w:r>
              <w:t>8,41</w:t>
            </w:r>
          </w:p>
        </w:tc>
      </w:tr>
      <w:tr w:rsidR="00000000">
        <w:tc>
          <w:tcPr>
            <w:tcW w:w="2948" w:type="dxa"/>
            <w:vAlign w:val="center"/>
          </w:tcPr>
          <w:p w:rsidR="00000000" w:rsidRDefault="00000000">
            <w:pPr>
              <w:spacing w:line="240" w:lineRule="auto"/>
              <w:jc w:val="center"/>
            </w:pPr>
            <w:r>
              <w:t>Декабрь 1999 года</w:t>
            </w:r>
          </w:p>
        </w:tc>
        <w:tc>
          <w:tcPr>
            <w:tcW w:w="1531" w:type="dxa"/>
          </w:tcPr>
          <w:p w:rsidR="00000000" w:rsidRDefault="00000000">
            <w:pPr>
              <w:spacing w:line="240" w:lineRule="auto"/>
              <w:jc w:val="center"/>
            </w:pPr>
            <w:r>
              <w:t>4,04</w:t>
            </w:r>
          </w:p>
        </w:tc>
        <w:tc>
          <w:tcPr>
            <w:tcW w:w="1871" w:type="dxa"/>
          </w:tcPr>
          <w:p w:rsidR="00000000" w:rsidRDefault="00000000">
            <w:pPr>
              <w:spacing w:line="240" w:lineRule="auto"/>
              <w:jc w:val="center"/>
            </w:pPr>
            <w:r>
              <w:t>4,22</w:t>
            </w:r>
          </w:p>
        </w:tc>
        <w:tc>
          <w:tcPr>
            <w:tcW w:w="1531" w:type="dxa"/>
          </w:tcPr>
          <w:p w:rsidR="00000000" w:rsidRDefault="00000000">
            <w:pPr>
              <w:spacing w:line="240" w:lineRule="auto"/>
              <w:jc w:val="center"/>
            </w:pPr>
            <w:r>
              <w:t>11,60</w:t>
            </w:r>
          </w:p>
        </w:tc>
        <w:tc>
          <w:tcPr>
            <w:tcW w:w="1531" w:type="dxa"/>
          </w:tcPr>
          <w:p w:rsidR="00000000" w:rsidRDefault="00000000">
            <w:pPr>
              <w:spacing w:line="240" w:lineRule="auto"/>
              <w:jc w:val="center"/>
            </w:pPr>
            <w:r>
              <w:t>7,33</w:t>
            </w:r>
          </w:p>
        </w:tc>
      </w:tr>
      <w:tr w:rsidR="00000000">
        <w:tc>
          <w:tcPr>
            <w:tcW w:w="2948" w:type="dxa"/>
            <w:vAlign w:val="center"/>
          </w:tcPr>
          <w:p w:rsidR="00000000" w:rsidRDefault="00000000">
            <w:pPr>
              <w:spacing w:line="240" w:lineRule="auto"/>
              <w:jc w:val="center"/>
            </w:pPr>
            <w:r>
              <w:t>Январь 2000 года</w:t>
            </w:r>
          </w:p>
        </w:tc>
        <w:tc>
          <w:tcPr>
            <w:tcW w:w="1531" w:type="dxa"/>
          </w:tcPr>
          <w:p w:rsidR="00000000" w:rsidRDefault="00000000">
            <w:pPr>
              <w:spacing w:line="240" w:lineRule="auto"/>
              <w:jc w:val="center"/>
            </w:pPr>
            <w:r>
              <w:t>4,88</w:t>
            </w:r>
          </w:p>
        </w:tc>
        <w:tc>
          <w:tcPr>
            <w:tcW w:w="1871" w:type="dxa"/>
          </w:tcPr>
          <w:p w:rsidR="00000000" w:rsidRDefault="00000000">
            <w:pPr>
              <w:spacing w:line="240" w:lineRule="auto"/>
              <w:jc w:val="center"/>
            </w:pPr>
            <w:r>
              <w:t>5,87</w:t>
            </w:r>
          </w:p>
        </w:tc>
        <w:tc>
          <w:tcPr>
            <w:tcW w:w="1531" w:type="dxa"/>
          </w:tcPr>
          <w:p w:rsidR="00000000" w:rsidRDefault="00000000">
            <w:pPr>
              <w:spacing w:line="240" w:lineRule="auto"/>
              <w:jc w:val="center"/>
            </w:pPr>
            <w:r>
              <w:t>13,60</w:t>
            </w:r>
          </w:p>
        </w:tc>
        <w:tc>
          <w:tcPr>
            <w:tcW w:w="1531" w:type="dxa"/>
          </w:tcPr>
          <w:p w:rsidR="00000000" w:rsidRDefault="00000000">
            <w:pPr>
              <w:spacing w:line="240" w:lineRule="auto"/>
              <w:jc w:val="center"/>
            </w:pPr>
            <w:r>
              <w:t>9,19</w:t>
            </w:r>
          </w:p>
        </w:tc>
      </w:tr>
      <w:tr w:rsidR="00000000">
        <w:tc>
          <w:tcPr>
            <w:tcW w:w="2948" w:type="dxa"/>
            <w:vAlign w:val="center"/>
          </w:tcPr>
          <w:p w:rsidR="00000000" w:rsidRDefault="00000000">
            <w:pPr>
              <w:spacing w:line="240" w:lineRule="auto"/>
              <w:jc w:val="center"/>
            </w:pPr>
            <w:r>
              <w:t>Февраль 2000 года</w:t>
            </w:r>
          </w:p>
        </w:tc>
        <w:tc>
          <w:tcPr>
            <w:tcW w:w="1531" w:type="dxa"/>
          </w:tcPr>
          <w:p w:rsidR="00000000" w:rsidRDefault="00000000">
            <w:pPr>
              <w:spacing w:line="240" w:lineRule="auto"/>
              <w:jc w:val="center"/>
            </w:pPr>
            <w:r>
              <w:t>5,21</w:t>
            </w:r>
          </w:p>
        </w:tc>
        <w:tc>
          <w:tcPr>
            <w:tcW w:w="1871" w:type="dxa"/>
          </w:tcPr>
          <w:p w:rsidR="00000000" w:rsidRDefault="00000000">
            <w:pPr>
              <w:spacing w:line="240" w:lineRule="auto"/>
              <w:jc w:val="center"/>
            </w:pPr>
            <w:r>
              <w:t>6,60</w:t>
            </w:r>
          </w:p>
        </w:tc>
        <w:tc>
          <w:tcPr>
            <w:tcW w:w="1531" w:type="dxa"/>
          </w:tcPr>
          <w:p w:rsidR="00000000" w:rsidRDefault="00000000">
            <w:pPr>
              <w:spacing w:line="240" w:lineRule="auto"/>
              <w:jc w:val="center"/>
            </w:pPr>
            <w:r>
              <w:t>14,42</w:t>
            </w:r>
          </w:p>
        </w:tc>
        <w:tc>
          <w:tcPr>
            <w:tcW w:w="1531" w:type="dxa"/>
          </w:tcPr>
          <w:p w:rsidR="00000000" w:rsidRDefault="00000000">
            <w:pPr>
              <w:spacing w:line="240" w:lineRule="auto"/>
              <w:jc w:val="center"/>
            </w:pPr>
            <w:r>
              <w:t>9,91</w:t>
            </w:r>
          </w:p>
        </w:tc>
      </w:tr>
      <w:tr w:rsidR="00000000">
        <w:tc>
          <w:tcPr>
            <w:tcW w:w="2948" w:type="dxa"/>
            <w:vAlign w:val="center"/>
          </w:tcPr>
          <w:p w:rsidR="00000000" w:rsidRDefault="00000000">
            <w:pPr>
              <w:spacing w:line="240" w:lineRule="auto"/>
              <w:jc w:val="center"/>
            </w:pPr>
            <w:r>
              <w:t>Март 2000 года</w:t>
            </w:r>
          </w:p>
        </w:tc>
        <w:tc>
          <w:tcPr>
            <w:tcW w:w="1531" w:type="dxa"/>
          </w:tcPr>
          <w:p w:rsidR="00000000" w:rsidRDefault="00000000">
            <w:pPr>
              <w:spacing w:line="240" w:lineRule="auto"/>
              <w:jc w:val="center"/>
            </w:pPr>
            <w:r>
              <w:t>5,18</w:t>
            </w:r>
          </w:p>
        </w:tc>
        <w:tc>
          <w:tcPr>
            <w:tcW w:w="1871" w:type="dxa"/>
          </w:tcPr>
          <w:p w:rsidR="00000000" w:rsidRDefault="00000000">
            <w:pPr>
              <w:spacing w:line="240" w:lineRule="auto"/>
              <w:jc w:val="center"/>
            </w:pPr>
            <w:r>
              <w:t>6,15</w:t>
            </w:r>
          </w:p>
        </w:tc>
        <w:tc>
          <w:tcPr>
            <w:tcW w:w="1531" w:type="dxa"/>
          </w:tcPr>
          <w:p w:rsidR="00000000" w:rsidRDefault="00000000">
            <w:pPr>
              <w:spacing w:line="240" w:lineRule="auto"/>
              <w:jc w:val="center"/>
            </w:pPr>
            <w:r>
              <w:t>14,12</w:t>
            </w:r>
          </w:p>
        </w:tc>
        <w:tc>
          <w:tcPr>
            <w:tcW w:w="1531" w:type="dxa"/>
          </w:tcPr>
          <w:p w:rsidR="00000000" w:rsidRDefault="00000000">
            <w:pPr>
              <w:spacing w:line="240" w:lineRule="auto"/>
              <w:jc w:val="center"/>
            </w:pPr>
            <w:r>
              <w:t>10,48</w:t>
            </w:r>
          </w:p>
        </w:tc>
      </w:tr>
      <w:tr w:rsidR="00000000">
        <w:tc>
          <w:tcPr>
            <w:tcW w:w="2948" w:type="dxa"/>
            <w:vAlign w:val="center"/>
          </w:tcPr>
          <w:p w:rsidR="00000000" w:rsidRDefault="00000000">
            <w:pPr>
              <w:spacing w:line="240" w:lineRule="auto"/>
              <w:jc w:val="center"/>
            </w:pPr>
            <w:r>
              <w:t>Апрель 2000 года</w:t>
            </w:r>
          </w:p>
        </w:tc>
        <w:tc>
          <w:tcPr>
            <w:tcW w:w="1531" w:type="dxa"/>
          </w:tcPr>
          <w:p w:rsidR="00000000" w:rsidRDefault="00000000">
            <w:pPr>
              <w:spacing w:line="240" w:lineRule="auto"/>
              <w:jc w:val="center"/>
            </w:pPr>
            <w:r>
              <w:t>4,74</w:t>
            </w:r>
          </w:p>
        </w:tc>
        <w:tc>
          <w:tcPr>
            <w:tcW w:w="1871" w:type="dxa"/>
          </w:tcPr>
          <w:p w:rsidR="00000000" w:rsidRDefault="00000000">
            <w:pPr>
              <w:spacing w:line="240" w:lineRule="auto"/>
              <w:jc w:val="center"/>
            </w:pPr>
            <w:r>
              <w:t>5,48</w:t>
            </w:r>
          </w:p>
        </w:tc>
        <w:tc>
          <w:tcPr>
            <w:tcW w:w="1531" w:type="dxa"/>
          </w:tcPr>
          <w:p w:rsidR="00000000" w:rsidRDefault="00000000">
            <w:pPr>
              <w:spacing w:line="240" w:lineRule="auto"/>
              <w:jc w:val="center"/>
            </w:pPr>
            <w:r>
              <w:t>14,79</w:t>
            </w:r>
          </w:p>
        </w:tc>
        <w:tc>
          <w:tcPr>
            <w:tcW w:w="1531" w:type="dxa"/>
          </w:tcPr>
          <w:p w:rsidR="00000000" w:rsidRDefault="00000000">
            <w:pPr>
              <w:spacing w:line="240" w:lineRule="auto"/>
              <w:jc w:val="center"/>
            </w:pPr>
            <w:r>
              <w:t>9,86</w:t>
            </w:r>
          </w:p>
        </w:tc>
      </w:tr>
      <w:tr w:rsidR="00000000">
        <w:tc>
          <w:tcPr>
            <w:tcW w:w="2948" w:type="dxa"/>
            <w:vAlign w:val="center"/>
          </w:tcPr>
          <w:p w:rsidR="00000000" w:rsidRDefault="00000000">
            <w:pPr>
              <w:spacing w:line="240" w:lineRule="auto"/>
              <w:jc w:val="center"/>
            </w:pPr>
            <w:r>
              <w:t>Январь-апрель 2000 года</w:t>
            </w:r>
          </w:p>
        </w:tc>
        <w:tc>
          <w:tcPr>
            <w:tcW w:w="1531" w:type="dxa"/>
          </w:tcPr>
          <w:p w:rsidR="00000000" w:rsidRDefault="00000000">
            <w:pPr>
              <w:spacing w:line="240" w:lineRule="auto"/>
              <w:jc w:val="center"/>
            </w:pPr>
            <w:r>
              <w:t>5,00</w:t>
            </w:r>
          </w:p>
        </w:tc>
        <w:tc>
          <w:tcPr>
            <w:tcW w:w="1871" w:type="dxa"/>
          </w:tcPr>
          <w:p w:rsidR="00000000" w:rsidRDefault="00000000">
            <w:pPr>
              <w:spacing w:line="240" w:lineRule="auto"/>
              <w:jc w:val="center"/>
            </w:pPr>
            <w:r>
              <w:t>6,03</w:t>
            </w:r>
          </w:p>
        </w:tc>
        <w:tc>
          <w:tcPr>
            <w:tcW w:w="1531" w:type="dxa"/>
          </w:tcPr>
          <w:p w:rsidR="00000000" w:rsidRDefault="00000000">
            <w:pPr>
              <w:spacing w:line="240" w:lineRule="auto"/>
              <w:jc w:val="center"/>
            </w:pPr>
            <w:r>
              <w:t>14,23</w:t>
            </w:r>
          </w:p>
        </w:tc>
        <w:tc>
          <w:tcPr>
            <w:tcW w:w="1531" w:type="dxa"/>
          </w:tcPr>
          <w:p w:rsidR="00000000" w:rsidRDefault="00000000">
            <w:pPr>
              <w:spacing w:line="240" w:lineRule="auto"/>
              <w:jc w:val="center"/>
            </w:pPr>
            <w:r>
              <w:t>9,86</w:t>
            </w:r>
          </w:p>
        </w:tc>
      </w:tr>
    </w:tbl>
    <w:p w:rsidR="00000000" w:rsidRDefault="00000000"/>
    <w:p w:rsidR="00000000" w:rsidRDefault="00000000">
      <w:pPr>
        <w:tabs>
          <w:tab w:val="clear" w:pos="1134"/>
          <w:tab w:val="clear" w:pos="1701"/>
          <w:tab w:val="left" w:pos="1309"/>
          <w:tab w:val="left" w:pos="1843"/>
        </w:tabs>
        <w:jc w:val="both"/>
      </w:pPr>
      <w:r>
        <w:rPr>
          <w:kern w:val="2"/>
          <w:u w:val="single"/>
        </w:rPr>
        <w:t>Источник</w:t>
      </w:r>
      <w:r>
        <w:rPr>
          <w:kern w:val="2"/>
        </w:rPr>
        <w:t>:</w:t>
      </w:r>
      <w:r>
        <w:rPr>
          <w:kern w:val="2"/>
        </w:rPr>
        <w:tab/>
        <w:t>Министерство труда и занятости </w:t>
      </w:r>
      <w:r>
        <w:rPr>
          <w:kern w:val="2"/>
        </w:rPr>
        <w:sym w:font="Symbol" w:char="F02D"/>
      </w:r>
      <w:r>
        <w:rPr>
          <w:kern w:val="2"/>
        </w:rPr>
        <w:t xml:space="preserve"> данные ЕОЗ/БИГС.  </w:t>
      </w:r>
      <w:r>
        <w:t>Журнал "</w:t>
      </w:r>
      <w:r>
        <w:rPr>
          <w:lang w:val="en-US"/>
        </w:rPr>
        <w:t>Mercado</w:t>
      </w:r>
      <w:r>
        <w:t xml:space="preserve"> </w:t>
      </w:r>
      <w:r>
        <w:rPr>
          <w:lang w:val="en-US"/>
        </w:rPr>
        <w:t>de</w:t>
      </w:r>
      <w:r>
        <w:t xml:space="preserve"> </w:t>
      </w:r>
      <w:r>
        <w:rPr>
          <w:lang w:val="en-US"/>
        </w:rPr>
        <w:t>Trabalho</w:t>
      </w:r>
      <w:r>
        <w:t xml:space="preserve"> </w:t>
      </w:r>
      <w:r>
        <w:sym w:font="Symbol" w:char="F02D"/>
      </w:r>
      <w:r>
        <w:t xml:space="preserve"> </w:t>
      </w:r>
      <w:r>
        <w:rPr>
          <w:lang w:val="en-US"/>
        </w:rPr>
        <w:t>Conjuntura</w:t>
      </w:r>
      <w:r>
        <w:t xml:space="preserve"> </w:t>
      </w:r>
      <w:r>
        <w:rPr>
          <w:lang w:val="en-US"/>
        </w:rPr>
        <w:t>e</w:t>
      </w:r>
      <w:r>
        <w:t xml:space="preserve"> </w:t>
      </w:r>
      <w:r>
        <w:rPr>
          <w:lang w:val="en-US"/>
        </w:rPr>
        <w:t>An</w:t>
      </w:r>
      <w:r>
        <w:t>á</w:t>
      </w:r>
      <w:r>
        <w:rPr>
          <w:lang w:val="en-US"/>
        </w:rPr>
        <w:t>lise</w:t>
      </w:r>
      <w:r>
        <w:t>", пятый год издания, июнь 2000</w:t>
      </w:r>
      <w:r>
        <w:rPr>
          <w:lang w:val="en-US"/>
        </w:rPr>
        <w:t> </w:t>
      </w:r>
      <w:r>
        <w:t>года.</w:t>
      </w:r>
    </w:p>
    <w:p w:rsidR="00000000" w:rsidRDefault="00000000">
      <w:pPr>
        <w:rPr>
          <w:kern w:val="2"/>
        </w:rPr>
      </w:pPr>
    </w:p>
    <w:p w:rsidR="00000000" w:rsidRDefault="00000000">
      <w:pPr>
        <w:rPr>
          <w:kern w:val="2"/>
        </w:rPr>
      </w:pPr>
    </w:p>
    <w:p w:rsidR="00000000" w:rsidRDefault="00000000">
      <w:r>
        <w:t>154.</w:t>
      </w:r>
      <w:r>
        <w:tab/>
        <w:t>В связи с распределением доходов среди государственных служащих и лиц, занятых в частном секторе, следует отметить, что из имеющихся на сегодняшний день данных явствует, что за период 1992</w:t>
      </w:r>
      <w:r>
        <w:noBreakHyphen/>
        <w:t>1999 годов реальный прирост доходов соответствующих групп трудящихся составил примерно 27,6%.  Реальный прирост доходов гражданских служащих и военнослужащих опережал прирост доходов лиц, занятых в официальном частном секторе (соответственно 42,9% и 17,1%).  В других секторах, включая занятых в неформальном частном секторе лиц, не имеющих надлежащим образом оформленных трудовых документов, самозанятых работников, домашнюю прислугу и работодателей, показатель прироста реальных доходов составил 61,5%.  В течение всего этого периода наиболее высокое денежное вознаграждение приходилось на гражданских служащих и военнослужащих, среднее жалованье которых составляло в 1999 году шесть минимальных заработных плат (906 реалов, или примерно 503 долл. США).</w:t>
      </w:r>
    </w:p>
    <w:p w:rsidR="00000000" w:rsidRDefault="00000000"/>
    <w:p w:rsidR="00000000" w:rsidRDefault="00000000">
      <w:r>
        <w:t>155.</w:t>
      </w:r>
      <w:r>
        <w:tab/>
        <w:t>Что касается законодательства, гарантирующего безопасные и здоровые условия труда на рабочем месте, то в этой связи вновь можно сослаться на Конституцию Бразилии 1988 года, в пункте XXII статьи 7 которой конкретно подчеркивается, что трудящиеся имеют право на труд в условиях низкого производственного травматизма.  Это право гарантируется через соблюдение стандартов в сфере охраны здоровья, гигиены и техники безопасности.  В главе V тома II Основ трудового законодательства (ОТЗ) содержится раздел, посвященный вопросам безопасности и медицинского обслуживания на производстве, в который в этой связи были внесены изменения на основе Закона 6 514 от 22 декабря 1977 года.</w:t>
      </w:r>
    </w:p>
    <w:p w:rsidR="00000000" w:rsidRDefault="00000000"/>
    <w:p w:rsidR="00000000" w:rsidRDefault="00000000">
      <w:r>
        <w:t>156.</w:t>
      </w:r>
      <w:r>
        <w:tab/>
        <w:t>Директива министерства труда и занятости 3 124 от 8 июня 1978 года о порядке исполнения Закона 6 514/77 предусматривает введение в действие 28 стандартов, регулирующих сферу безопасности и медицинского обслуживания на производстве.  12 апреля 1988 года была принята Директива 3 607 об утверждении 5 новых стандартов, регулирующих сферу безопасности и санитарии в сельском хозяйстве.  Достаточно недавно, а именно 17 декабря 1997 года, была принята Директива 53 об утверждении стандарта 29, регулирующего сферу "безопасности и медицинского обслуживания при осуществлении работ в портах" в соответствии с нормами, закрепленными в Конвенциях МОТ № 81, 152 и 155.</w:t>
      </w:r>
    </w:p>
    <w:p w:rsidR="00000000" w:rsidRDefault="00000000"/>
    <w:p w:rsidR="00000000" w:rsidRDefault="00000000">
      <w:r>
        <w:t>157.</w:t>
      </w:r>
      <w:r>
        <w:tab/>
        <w:t>Вопросы, касающиеся производственного травматизма и профессиональных заболеваний, относятся к сфере ведения министерства социального обеспечения.  Информация по данной тематике распространяется по каналам "Системы учета производственного травматизма" (СУПТ).  Приводимые ниже данные свидетельствуют о том, что "типичные несчастные случаи" происходят в ходе выполнения наемными работниками своих профессиональных обязанностей.  В рубрике "По пути на работу" приводятся данные о несчастных случаях, которые имели место во время следования соответствующих лиц к месту работу.  В рубрике о профессиональных заболеваниях приводятся данные о болезнях, развившихся в результате трудовой деятельности, сопряженной с риском для здоровья.  Данные о точном времени, когда имел место тот или иной несчастный случай на производстве, пока что являются недостаточно полными и поэтому в дальнейшем могут подлежать корректировке.  Кроме того, при рассмотрении любых этих данных следует иметь в виду, что они не охватывают трудящихся неформального сектора экономики, трудящихся в сельских районах и лиц, не имевших официального трудового статуса на момент сбора соответствующих данных.</w:t>
      </w:r>
    </w:p>
    <w:p w:rsidR="00000000" w:rsidRDefault="00000000">
      <w:pPr>
        <w:pStyle w:val="FootnoteText"/>
        <w:spacing w:line="288" w:lineRule="auto"/>
      </w:pPr>
    </w:p>
    <w:p w:rsidR="00000000" w:rsidRDefault="00000000">
      <w:pPr>
        <w:spacing w:line="216" w:lineRule="auto"/>
        <w:jc w:val="center"/>
        <w:rPr>
          <w:b/>
          <w:bCs/>
        </w:rPr>
      </w:pPr>
      <w:r>
        <w:rPr>
          <w:b/>
          <w:bCs/>
        </w:rPr>
        <w:t xml:space="preserve">Таблица 26.   Несчастные случаи на производстве, зарегистрированные </w:t>
      </w:r>
    </w:p>
    <w:p w:rsidR="00000000" w:rsidRDefault="00000000">
      <w:pPr>
        <w:spacing w:line="216" w:lineRule="auto"/>
        <w:jc w:val="center"/>
        <w:rPr>
          <w:b/>
        </w:rPr>
      </w:pPr>
      <w:r>
        <w:rPr>
          <w:b/>
          <w:bCs/>
        </w:rPr>
        <w:t>системой СУПТ в период 1990-1998</w:t>
      </w:r>
      <w:r>
        <w:rPr>
          <w:b/>
        </w:rPr>
        <w:t> годов</w:t>
      </w:r>
    </w:p>
    <w:p w:rsidR="00000000" w:rsidRDefault="00000000">
      <w:pPr>
        <w:spacing w:line="216" w:lineRule="auto"/>
      </w:pPr>
    </w:p>
    <w:tbl>
      <w:tblPr>
        <w:tblW w:w="0" w:type="auto"/>
        <w:jc w:val="center"/>
        <w:tblInd w:w="-106" w:type="dxa"/>
        <w:tblLayout w:type="fixed"/>
        <w:tblCellMar>
          <w:left w:w="30" w:type="dxa"/>
          <w:right w:w="30" w:type="dxa"/>
        </w:tblCellMar>
        <w:tblLook w:val="0000" w:firstRow="0" w:lastRow="0" w:firstColumn="0" w:lastColumn="0" w:noHBand="0" w:noVBand="0"/>
      </w:tblPr>
      <w:tblGrid>
        <w:gridCol w:w="1071"/>
        <w:gridCol w:w="1303"/>
        <w:gridCol w:w="1502"/>
        <w:gridCol w:w="1309"/>
        <w:gridCol w:w="2244"/>
      </w:tblGrid>
      <w:tr w:rsidR="00000000">
        <w:tblPrEx>
          <w:tblCellMar>
            <w:top w:w="0" w:type="dxa"/>
            <w:bottom w:w="0" w:type="dxa"/>
          </w:tblCellMar>
        </w:tblPrEx>
        <w:trPr>
          <w:cantSplit/>
          <w:trHeight w:val="250"/>
          <w:jc w:val="center"/>
        </w:trPr>
        <w:tc>
          <w:tcPr>
            <w:tcW w:w="1071"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Год</w:t>
            </w:r>
          </w:p>
        </w:tc>
        <w:tc>
          <w:tcPr>
            <w:tcW w:w="1303" w:type="dxa"/>
            <w:vMerge w:val="restart"/>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Всего</w:t>
            </w:r>
          </w:p>
        </w:tc>
        <w:tc>
          <w:tcPr>
            <w:tcW w:w="5055"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Причина</w:t>
            </w:r>
          </w:p>
        </w:tc>
      </w:tr>
      <w:tr w:rsidR="00000000">
        <w:tblPrEx>
          <w:tblCellMar>
            <w:top w:w="0" w:type="dxa"/>
            <w:bottom w:w="0" w:type="dxa"/>
          </w:tblCellMar>
        </w:tblPrEx>
        <w:trPr>
          <w:cantSplit/>
          <w:trHeight w:val="250"/>
          <w:jc w:val="center"/>
        </w:trPr>
        <w:tc>
          <w:tcPr>
            <w:tcW w:w="1071" w:type="dxa"/>
            <w:vMerge/>
            <w:tcBorders>
              <w:top w:val="single" w:sz="4" w:space="0" w:color="auto"/>
              <w:left w:val="single" w:sz="4" w:space="0" w:color="auto"/>
              <w:bottom w:val="single" w:sz="4" w:space="0" w:color="auto"/>
              <w:right w:val="single" w:sz="4" w:space="0" w:color="auto"/>
            </w:tcBorders>
          </w:tcPr>
          <w:p w:rsidR="00000000" w:rsidRDefault="00000000">
            <w:pPr>
              <w:rPr>
                <w:snapToGrid w:val="0"/>
              </w:rPr>
            </w:pPr>
          </w:p>
        </w:tc>
        <w:tc>
          <w:tcPr>
            <w:tcW w:w="1303" w:type="dxa"/>
            <w:vMerge/>
            <w:tcBorders>
              <w:top w:val="single" w:sz="4" w:space="0" w:color="auto"/>
              <w:left w:val="single" w:sz="4" w:space="0" w:color="auto"/>
              <w:bottom w:val="single" w:sz="4" w:space="0" w:color="auto"/>
              <w:right w:val="single" w:sz="4" w:space="0" w:color="auto"/>
            </w:tcBorders>
          </w:tcPr>
          <w:p w:rsidR="00000000" w:rsidRDefault="00000000">
            <w:pPr>
              <w:rPr>
                <w:snapToGrid w:val="0"/>
              </w:rPr>
            </w:pP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Типичный</w:t>
            </w:r>
          </w:p>
          <w:p w:rsidR="00000000" w:rsidRDefault="00000000">
            <w:pPr>
              <w:jc w:val="center"/>
              <w:rPr>
                <w:snapToGrid w:val="0"/>
              </w:rPr>
            </w:pPr>
            <w:r>
              <w:rPr>
                <w:snapToGrid w:val="0"/>
              </w:rPr>
              <w:t>травматизм</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По пути на работу</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Профессиональные заболевания</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16"/>
              <w:rPr>
                <w:snapToGrid w:val="0"/>
              </w:rPr>
            </w:pPr>
            <w:r>
              <w:rPr>
                <w:snapToGrid w:val="0"/>
              </w:rPr>
              <w:t>1990</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693 572</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632 012</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56 343</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5 217</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1991</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632 322</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579 362</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46 679</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6 281</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1992</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532 514</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490 916</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33 299</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8 299</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1993</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412 293</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374 167</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22 709</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15 417</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1994</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388 304</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350 210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22 824</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15 270</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1995</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424 137</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374 700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28 791</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20 646</w:t>
            </w:r>
          </w:p>
        </w:tc>
      </w:tr>
      <w:tr w:rsidR="00000000">
        <w:tblPrEx>
          <w:tblCellMar>
            <w:top w:w="0" w:type="dxa"/>
            <w:bottom w:w="0" w:type="dxa"/>
          </w:tblCellMar>
        </w:tblPrEx>
        <w:trPr>
          <w:trHeight w:val="235"/>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1996</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395 455</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325 870</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34 696</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34 889</w:t>
            </w:r>
          </w:p>
        </w:tc>
      </w:tr>
      <w:tr w:rsidR="00000000">
        <w:tblPrEx>
          <w:tblCellMar>
            <w:top w:w="0" w:type="dxa"/>
            <w:bottom w:w="0" w:type="dxa"/>
          </w:tblCellMar>
        </w:tblPrEx>
        <w:trPr>
          <w:trHeight w:val="192"/>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1997</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421 343</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347 482</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37 213</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36 648</w:t>
            </w:r>
          </w:p>
        </w:tc>
      </w:tr>
      <w:tr w:rsidR="00000000">
        <w:tblPrEx>
          <w:tblCellMar>
            <w:top w:w="0" w:type="dxa"/>
            <w:bottom w:w="0" w:type="dxa"/>
          </w:tblCellMar>
        </w:tblPrEx>
        <w:trPr>
          <w:trHeight w:val="192"/>
          <w:jc w:val="center"/>
        </w:trPr>
        <w:tc>
          <w:tcPr>
            <w:tcW w:w="107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rPr>
            </w:pPr>
            <w:r>
              <w:rPr>
                <w:snapToGrid w:val="0"/>
              </w:rPr>
              <w:t>1998</w:t>
            </w:r>
          </w:p>
        </w:tc>
        <w:tc>
          <w:tcPr>
            <w:tcW w:w="1303"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2"/>
              <w:jc w:val="right"/>
              <w:rPr>
                <w:snapToGrid w:val="0"/>
              </w:rPr>
            </w:pPr>
            <w:r>
              <w:rPr>
                <w:snapToGrid w:val="0"/>
              </w:rPr>
              <w:t>414 341</w:t>
            </w:r>
          </w:p>
        </w:tc>
        <w:tc>
          <w:tcPr>
            <w:tcW w:w="1502" w:type="dxa"/>
            <w:tcBorders>
              <w:top w:val="single" w:sz="4" w:space="0" w:color="auto"/>
              <w:left w:val="single" w:sz="4" w:space="0" w:color="auto"/>
              <w:bottom w:val="single" w:sz="4" w:space="0" w:color="auto"/>
              <w:right w:val="single" w:sz="4" w:space="0" w:color="auto"/>
            </w:tcBorders>
          </w:tcPr>
          <w:p w:rsidR="00000000" w:rsidRDefault="00000000">
            <w:pPr>
              <w:ind w:right="268"/>
              <w:jc w:val="right"/>
              <w:rPr>
                <w:snapToGrid w:val="0"/>
              </w:rPr>
            </w:pPr>
            <w:r>
              <w:rPr>
                <w:snapToGrid w:val="0"/>
              </w:rPr>
              <w:t>347 738</w:t>
            </w:r>
          </w:p>
        </w:tc>
        <w:tc>
          <w:tcPr>
            <w:tcW w:w="1309" w:type="dxa"/>
            <w:tcBorders>
              <w:top w:val="single" w:sz="4" w:space="0" w:color="auto"/>
              <w:left w:val="single" w:sz="4" w:space="0" w:color="auto"/>
              <w:bottom w:val="single" w:sz="4" w:space="0" w:color="auto"/>
              <w:right w:val="single" w:sz="4" w:space="0" w:color="auto"/>
            </w:tcBorders>
          </w:tcPr>
          <w:p w:rsidR="00000000" w:rsidRDefault="00000000">
            <w:pPr>
              <w:tabs>
                <w:tab w:val="clear" w:pos="1134"/>
              </w:tabs>
              <w:ind w:right="268"/>
              <w:jc w:val="right"/>
              <w:rPr>
                <w:snapToGrid w:val="0"/>
              </w:rPr>
            </w:pPr>
            <w:r>
              <w:rPr>
                <w:snapToGrid w:val="0"/>
              </w:rPr>
              <w:t>36 114</w:t>
            </w: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 w:val="clear" w:pos="2268"/>
              </w:tabs>
              <w:ind w:right="642"/>
              <w:jc w:val="right"/>
              <w:rPr>
                <w:snapToGrid w:val="0"/>
              </w:rPr>
            </w:pPr>
            <w:r>
              <w:rPr>
                <w:snapToGrid w:val="0"/>
              </w:rPr>
              <w:t>30 489</w:t>
            </w:r>
          </w:p>
        </w:tc>
      </w:tr>
    </w:tbl>
    <w:p w:rsidR="00000000" w:rsidRDefault="00000000">
      <w:pPr>
        <w:rPr>
          <w:kern w:val="2"/>
        </w:rPr>
      </w:pPr>
    </w:p>
    <w:p w:rsidR="00000000" w:rsidRDefault="00000000">
      <w:pPr>
        <w:rPr>
          <w:kern w:val="2"/>
        </w:rPr>
      </w:pPr>
      <w:r>
        <w:rPr>
          <w:kern w:val="2"/>
        </w:rPr>
        <w:tab/>
      </w:r>
      <w:r>
        <w:rPr>
          <w:kern w:val="2"/>
          <w:u w:val="single"/>
        </w:rPr>
        <w:t>Источник</w:t>
      </w:r>
      <w:r>
        <w:rPr>
          <w:kern w:val="2"/>
        </w:rPr>
        <w:t>:  Ежегодный сборник статистических данных министерства социального обеспечения.</w:t>
      </w:r>
    </w:p>
    <w:p w:rsidR="00000000" w:rsidRDefault="00000000">
      <w:pPr>
        <w:rPr>
          <w:kern w:val="2"/>
        </w:rPr>
      </w:pPr>
    </w:p>
    <w:p w:rsidR="00000000" w:rsidRDefault="00000000">
      <w:pPr>
        <w:spacing w:line="216" w:lineRule="auto"/>
        <w:jc w:val="center"/>
        <w:rPr>
          <w:b/>
          <w:bCs/>
          <w:kern w:val="2"/>
        </w:rPr>
      </w:pPr>
      <w:r>
        <w:rPr>
          <w:b/>
          <w:bCs/>
          <w:kern w:val="2"/>
        </w:rPr>
        <w:t xml:space="preserve">Таблица 27.   Помесячный учет несчастных случаев на производстве </w:t>
      </w:r>
    </w:p>
    <w:p w:rsidR="00000000" w:rsidRDefault="00000000">
      <w:pPr>
        <w:pStyle w:val="10"/>
        <w:tabs>
          <w:tab w:val="left" w:pos="567"/>
          <w:tab w:val="left" w:pos="1134"/>
          <w:tab w:val="left" w:pos="1701"/>
          <w:tab w:val="left" w:pos="2268"/>
          <w:tab w:val="left" w:pos="6237"/>
        </w:tabs>
        <w:spacing w:line="216" w:lineRule="auto"/>
        <w:rPr>
          <w:bCs/>
          <w:kern w:val="2"/>
        </w:rPr>
      </w:pPr>
      <w:r>
        <w:rPr>
          <w:bCs/>
          <w:kern w:val="2"/>
        </w:rPr>
        <w:t>в разбивке по причинам, 1997</w:t>
      </w:r>
      <w:r>
        <w:rPr>
          <w:bCs/>
          <w:kern w:val="2"/>
        </w:rPr>
        <w:noBreakHyphen/>
        <w:t>1999 годы</w:t>
      </w:r>
    </w:p>
    <w:p w:rsidR="00000000" w:rsidRDefault="00000000">
      <w:pPr>
        <w:spacing w:line="216" w:lineRule="auto"/>
        <w:jc w:val="center"/>
        <w:rPr>
          <w:b/>
          <w:bCs/>
          <w:kern w:val="2"/>
        </w:rPr>
      </w:pPr>
    </w:p>
    <w:tbl>
      <w:tblPr>
        <w:tblW w:w="0" w:type="auto"/>
        <w:jc w:val="center"/>
        <w:tblLayout w:type="fixed"/>
        <w:tblCellMar>
          <w:left w:w="30" w:type="dxa"/>
          <w:right w:w="30" w:type="dxa"/>
        </w:tblCellMar>
        <w:tblLook w:val="0000" w:firstRow="0" w:lastRow="0" w:firstColumn="0" w:lastColumn="0" w:noHBand="0" w:noVBand="0"/>
      </w:tblPr>
      <w:tblGrid>
        <w:gridCol w:w="1361"/>
        <w:gridCol w:w="1066"/>
        <w:gridCol w:w="1178"/>
        <w:gridCol w:w="1309"/>
        <w:gridCol w:w="1309"/>
        <w:gridCol w:w="2155"/>
      </w:tblGrid>
      <w:tr w:rsidR="00000000">
        <w:tblPrEx>
          <w:tblCellMar>
            <w:top w:w="0" w:type="dxa"/>
            <w:bottom w:w="0" w:type="dxa"/>
          </w:tblCellMar>
        </w:tblPrEx>
        <w:trPr>
          <w:cantSplit/>
          <w:trHeight w:val="444"/>
          <w:jc w:val="center"/>
        </w:trPr>
        <w:tc>
          <w:tcPr>
            <w:tcW w:w="1361" w:type="dxa"/>
            <w:vMerge w:val="restart"/>
            <w:tcBorders>
              <w:top w:val="single" w:sz="2" w:space="0" w:color="auto"/>
              <w:left w:val="single" w:sz="4" w:space="0" w:color="auto"/>
              <w:right w:val="single" w:sz="2" w:space="0" w:color="auto"/>
            </w:tcBorders>
            <w:vAlign w:val="center"/>
          </w:tcPr>
          <w:p w:rsidR="00000000" w:rsidRDefault="00000000">
            <w:pPr>
              <w:spacing w:line="216" w:lineRule="auto"/>
              <w:jc w:val="center"/>
              <w:rPr>
                <w:snapToGrid w:val="0"/>
                <w:sz w:val="22"/>
              </w:rPr>
            </w:pPr>
            <w:r>
              <w:rPr>
                <w:snapToGrid w:val="0"/>
                <w:sz w:val="22"/>
              </w:rPr>
              <w:t>Месяц</w:t>
            </w:r>
          </w:p>
        </w:tc>
        <w:tc>
          <w:tcPr>
            <w:tcW w:w="1066" w:type="dxa"/>
            <w:vMerge w:val="restart"/>
            <w:tcBorders>
              <w:top w:val="single" w:sz="2" w:space="0" w:color="auto"/>
              <w:left w:val="single" w:sz="2" w:space="0" w:color="auto"/>
              <w:right w:val="single" w:sz="2" w:space="0" w:color="auto"/>
            </w:tcBorders>
            <w:vAlign w:val="center"/>
          </w:tcPr>
          <w:p w:rsidR="00000000" w:rsidRDefault="00000000">
            <w:pPr>
              <w:spacing w:line="216" w:lineRule="auto"/>
              <w:jc w:val="center"/>
              <w:rPr>
                <w:snapToGrid w:val="0"/>
                <w:sz w:val="22"/>
              </w:rPr>
            </w:pPr>
            <w:r>
              <w:rPr>
                <w:snapToGrid w:val="0"/>
                <w:sz w:val="22"/>
              </w:rPr>
              <w:t>Год</w:t>
            </w:r>
          </w:p>
        </w:tc>
        <w:tc>
          <w:tcPr>
            <w:tcW w:w="5951" w:type="dxa"/>
            <w:gridSpan w:val="4"/>
            <w:tcBorders>
              <w:top w:val="single" w:sz="2" w:space="0" w:color="auto"/>
              <w:left w:val="single" w:sz="2" w:space="0" w:color="auto"/>
              <w:bottom w:val="single" w:sz="2" w:space="0" w:color="auto"/>
              <w:right w:val="single" w:sz="4" w:space="0" w:color="auto"/>
            </w:tcBorders>
            <w:vAlign w:val="bottom"/>
          </w:tcPr>
          <w:p w:rsidR="00000000" w:rsidRDefault="00000000">
            <w:pPr>
              <w:spacing w:line="216" w:lineRule="auto"/>
              <w:jc w:val="center"/>
              <w:rPr>
                <w:snapToGrid w:val="0"/>
                <w:sz w:val="20"/>
              </w:rPr>
            </w:pPr>
            <w:r>
              <w:rPr>
                <w:snapToGrid w:val="0"/>
                <w:sz w:val="20"/>
              </w:rPr>
              <w:t>Количество зарегистрированных несчастных случаев на производстве</w:t>
            </w:r>
          </w:p>
        </w:tc>
      </w:tr>
      <w:tr w:rsidR="00000000">
        <w:tblPrEx>
          <w:tblCellMar>
            <w:top w:w="0" w:type="dxa"/>
            <w:bottom w:w="0" w:type="dxa"/>
          </w:tblCellMar>
        </w:tblPrEx>
        <w:trPr>
          <w:cantSplit/>
          <w:trHeight w:val="84"/>
          <w:jc w:val="center"/>
        </w:trPr>
        <w:tc>
          <w:tcPr>
            <w:tcW w:w="1361" w:type="dxa"/>
            <w:vMerge/>
            <w:tcBorders>
              <w:left w:val="single" w:sz="4" w:space="0" w:color="auto"/>
              <w:right w:val="single" w:sz="2" w:space="0" w:color="auto"/>
            </w:tcBorders>
          </w:tcPr>
          <w:p w:rsidR="00000000" w:rsidRDefault="00000000">
            <w:pPr>
              <w:spacing w:line="216" w:lineRule="auto"/>
              <w:jc w:val="center"/>
              <w:rPr>
                <w:snapToGrid w:val="0"/>
                <w:sz w:val="22"/>
              </w:rPr>
            </w:pPr>
          </w:p>
        </w:tc>
        <w:tc>
          <w:tcPr>
            <w:tcW w:w="1066" w:type="dxa"/>
            <w:vMerge/>
            <w:tcBorders>
              <w:left w:val="single" w:sz="2" w:space="0" w:color="auto"/>
              <w:right w:val="single" w:sz="2" w:space="0" w:color="auto"/>
            </w:tcBorders>
          </w:tcPr>
          <w:p w:rsidR="00000000" w:rsidRDefault="00000000">
            <w:pPr>
              <w:spacing w:line="216" w:lineRule="auto"/>
              <w:jc w:val="center"/>
              <w:rPr>
                <w:snapToGrid w:val="0"/>
                <w:sz w:val="22"/>
              </w:rPr>
            </w:pPr>
          </w:p>
        </w:tc>
        <w:tc>
          <w:tcPr>
            <w:tcW w:w="1178" w:type="dxa"/>
            <w:vMerge w:val="restart"/>
            <w:tcBorders>
              <w:top w:val="single" w:sz="2" w:space="0" w:color="auto"/>
              <w:left w:val="single" w:sz="2" w:space="0" w:color="auto"/>
              <w:right w:val="single" w:sz="2" w:space="0" w:color="auto"/>
            </w:tcBorders>
          </w:tcPr>
          <w:p w:rsidR="00000000" w:rsidRDefault="00000000">
            <w:pPr>
              <w:spacing w:line="216" w:lineRule="auto"/>
              <w:jc w:val="center"/>
              <w:rPr>
                <w:snapToGrid w:val="0"/>
                <w:sz w:val="22"/>
              </w:rPr>
            </w:pPr>
          </w:p>
          <w:p w:rsidR="00000000" w:rsidRDefault="00000000">
            <w:pPr>
              <w:spacing w:line="216" w:lineRule="auto"/>
              <w:jc w:val="center"/>
              <w:rPr>
                <w:snapToGrid w:val="0"/>
                <w:sz w:val="22"/>
              </w:rPr>
            </w:pPr>
            <w:r>
              <w:rPr>
                <w:snapToGrid w:val="0"/>
                <w:sz w:val="22"/>
              </w:rPr>
              <w:t>Всего</w:t>
            </w:r>
          </w:p>
        </w:tc>
        <w:tc>
          <w:tcPr>
            <w:tcW w:w="4773" w:type="dxa"/>
            <w:gridSpan w:val="3"/>
            <w:tcBorders>
              <w:top w:val="single" w:sz="2" w:space="0" w:color="auto"/>
              <w:left w:val="single" w:sz="2" w:space="0" w:color="auto"/>
              <w:bottom w:val="single" w:sz="2" w:space="0" w:color="auto"/>
              <w:right w:val="single" w:sz="4" w:space="0" w:color="auto"/>
            </w:tcBorders>
          </w:tcPr>
          <w:p w:rsidR="00000000" w:rsidRDefault="00000000">
            <w:pPr>
              <w:spacing w:line="216" w:lineRule="auto"/>
              <w:jc w:val="center"/>
              <w:rPr>
                <w:snapToGrid w:val="0"/>
                <w:sz w:val="22"/>
              </w:rPr>
            </w:pPr>
            <w:r>
              <w:rPr>
                <w:snapToGrid w:val="0"/>
                <w:sz w:val="22"/>
              </w:rPr>
              <w:t>Причина</w:t>
            </w:r>
          </w:p>
        </w:tc>
      </w:tr>
      <w:tr w:rsidR="00000000">
        <w:tblPrEx>
          <w:tblCellMar>
            <w:top w:w="0" w:type="dxa"/>
            <w:bottom w:w="0" w:type="dxa"/>
          </w:tblCellMar>
        </w:tblPrEx>
        <w:trPr>
          <w:cantSplit/>
          <w:trHeight w:val="245"/>
          <w:jc w:val="center"/>
        </w:trPr>
        <w:tc>
          <w:tcPr>
            <w:tcW w:w="1361" w:type="dxa"/>
            <w:vMerge/>
            <w:tcBorders>
              <w:left w:val="single" w:sz="4" w:space="0" w:color="auto"/>
              <w:bottom w:val="single" w:sz="2" w:space="0" w:color="auto"/>
              <w:right w:val="single" w:sz="2" w:space="0" w:color="auto"/>
            </w:tcBorders>
          </w:tcPr>
          <w:p w:rsidR="00000000" w:rsidRDefault="00000000">
            <w:pPr>
              <w:spacing w:line="216" w:lineRule="auto"/>
              <w:jc w:val="center"/>
              <w:rPr>
                <w:snapToGrid w:val="0"/>
                <w:sz w:val="22"/>
              </w:rPr>
            </w:pPr>
          </w:p>
        </w:tc>
        <w:tc>
          <w:tcPr>
            <w:tcW w:w="1066" w:type="dxa"/>
            <w:vMerge/>
            <w:tcBorders>
              <w:left w:val="single" w:sz="2" w:space="0" w:color="auto"/>
              <w:right w:val="single" w:sz="2" w:space="0" w:color="auto"/>
            </w:tcBorders>
          </w:tcPr>
          <w:p w:rsidR="00000000" w:rsidRDefault="00000000">
            <w:pPr>
              <w:spacing w:line="216" w:lineRule="auto"/>
              <w:jc w:val="center"/>
              <w:rPr>
                <w:snapToGrid w:val="0"/>
                <w:sz w:val="22"/>
              </w:rPr>
            </w:pPr>
          </w:p>
        </w:tc>
        <w:tc>
          <w:tcPr>
            <w:tcW w:w="1178" w:type="dxa"/>
            <w:vMerge/>
            <w:tcBorders>
              <w:left w:val="single" w:sz="2" w:space="0" w:color="auto"/>
              <w:right w:val="single" w:sz="2" w:space="0" w:color="auto"/>
            </w:tcBorders>
          </w:tcPr>
          <w:p w:rsidR="00000000" w:rsidRDefault="00000000">
            <w:pPr>
              <w:spacing w:line="216" w:lineRule="auto"/>
              <w:jc w:val="center"/>
              <w:rPr>
                <w:snapToGrid w:val="0"/>
                <w:sz w:val="22"/>
              </w:rPr>
            </w:pPr>
          </w:p>
        </w:tc>
        <w:tc>
          <w:tcPr>
            <w:tcW w:w="1309" w:type="dxa"/>
            <w:tcBorders>
              <w:top w:val="single" w:sz="2" w:space="0" w:color="auto"/>
              <w:left w:val="single" w:sz="2" w:space="0" w:color="auto"/>
              <w:right w:val="single" w:sz="2" w:space="0" w:color="auto"/>
            </w:tcBorders>
          </w:tcPr>
          <w:p w:rsidR="00000000" w:rsidRDefault="00000000">
            <w:pPr>
              <w:spacing w:line="216" w:lineRule="auto"/>
              <w:jc w:val="center"/>
              <w:rPr>
                <w:snapToGrid w:val="0"/>
                <w:sz w:val="22"/>
              </w:rPr>
            </w:pPr>
            <w:r>
              <w:rPr>
                <w:snapToGrid w:val="0"/>
                <w:sz w:val="22"/>
              </w:rPr>
              <w:t>Типичный травматизм</w:t>
            </w:r>
          </w:p>
        </w:tc>
        <w:tc>
          <w:tcPr>
            <w:tcW w:w="1309" w:type="dxa"/>
            <w:tcBorders>
              <w:top w:val="single" w:sz="2" w:space="0" w:color="auto"/>
              <w:left w:val="single" w:sz="2" w:space="0" w:color="auto"/>
              <w:right w:val="single" w:sz="2" w:space="0" w:color="auto"/>
            </w:tcBorders>
          </w:tcPr>
          <w:p w:rsidR="00000000" w:rsidRDefault="00000000">
            <w:pPr>
              <w:spacing w:line="216" w:lineRule="auto"/>
              <w:jc w:val="center"/>
              <w:rPr>
                <w:snapToGrid w:val="0"/>
                <w:sz w:val="22"/>
              </w:rPr>
            </w:pPr>
            <w:r>
              <w:rPr>
                <w:snapToGrid w:val="0"/>
                <w:sz w:val="22"/>
              </w:rPr>
              <w:t>По пути на работу</w:t>
            </w:r>
          </w:p>
        </w:tc>
        <w:tc>
          <w:tcPr>
            <w:tcW w:w="2155" w:type="dxa"/>
            <w:tcBorders>
              <w:top w:val="single" w:sz="2" w:space="0" w:color="auto"/>
              <w:left w:val="single" w:sz="2" w:space="0" w:color="auto"/>
              <w:right w:val="single" w:sz="4" w:space="0" w:color="auto"/>
            </w:tcBorders>
          </w:tcPr>
          <w:p w:rsidR="00000000" w:rsidRDefault="00000000">
            <w:pPr>
              <w:spacing w:line="216" w:lineRule="auto"/>
              <w:jc w:val="center"/>
              <w:rPr>
                <w:snapToGrid w:val="0"/>
                <w:sz w:val="22"/>
              </w:rPr>
            </w:pPr>
            <w:r>
              <w:rPr>
                <w:snapToGrid w:val="0"/>
                <w:sz w:val="22"/>
              </w:rPr>
              <w:t>Профессиональные заболевания</w:t>
            </w:r>
          </w:p>
        </w:tc>
      </w:tr>
      <w:tr w:rsidR="00000000">
        <w:tblPrEx>
          <w:tblCellMar>
            <w:top w:w="0" w:type="dxa"/>
            <w:bottom w:w="0" w:type="dxa"/>
          </w:tblCellMar>
        </w:tblPrEx>
        <w:trPr>
          <w:jc w:val="center"/>
        </w:trPr>
        <w:tc>
          <w:tcPr>
            <w:tcW w:w="1361" w:type="dxa"/>
            <w:tcBorders>
              <w:top w:val="single" w:sz="2" w:space="0" w:color="auto"/>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421 343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347 482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37 213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36 648</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ВСЕГО</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414 341</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347 738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36 114</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30 489</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b/>
                <w:bCs/>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378 365</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319 617</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36 716</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22 032</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33 386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27 116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3 013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3 257</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Январь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31 652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26 381</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2 718</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2 553</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29 639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24 866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2 872</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1 901</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30 095</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24 612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2 567</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2 916</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Февраль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30 983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25 908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2 591</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2 484</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26 323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21 987</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2 600</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1 736</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34 692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28 273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2 882</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3 537</w:t>
            </w:r>
          </w:p>
        </w:tc>
      </w:tr>
      <w:tr w:rsidR="00000000">
        <w:tblPrEx>
          <w:tblCellMar>
            <w:top w:w="0" w:type="dxa"/>
            <w:bottom w:w="0" w:type="dxa"/>
          </w:tblCellMar>
        </w:tblPrEx>
        <w:trPr>
          <w:trHeight w:val="20"/>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Март</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37 743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31 538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3 080</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3 125</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32 948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27 439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3 124</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2 385</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34 986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28 374</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2 921</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3 691</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Апрель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31 879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26 495</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2 748</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2 636</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30 157</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25 400</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2 964</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1 793</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35 032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28 997</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3 105</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2 930</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Май</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36 033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30 261</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3 123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2 649</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34 043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28 718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3 344</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1 981</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36 195</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29 573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3 460</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3 162</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Июнь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34 623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29 034</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3 099</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2 490</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33 373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28 037</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3 350</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1 986</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38 251</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31 815</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3 363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3 073</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Июль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36 424</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30 716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3 233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2 475</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34 159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28 968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3 212</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1 979</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36 742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30 428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3 246</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3 068</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Август</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38 107</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32 069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3 268</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2 770</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35 566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30 168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3 306</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2 092</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39 649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32 769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3 432</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3 448</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Сентябрь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36 674</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30 818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3 211</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2 645</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33 085</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28 256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3 159</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1 670</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40 988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34 336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3 603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3 049</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Октябрь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36 043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30 470</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3 072</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2 501</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31 449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26 879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2 913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1 657</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35 353</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29 610</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3 129</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2 614</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Ноябрь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35 246</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29 700</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3 178</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2 368</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30 542</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25 978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2 993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1 571</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1997</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25 974</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21 579</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2 492</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1 903</w:t>
            </w:r>
          </w:p>
        </w:tc>
      </w:tr>
      <w:tr w:rsidR="00000000">
        <w:tblPrEx>
          <w:tblCellMar>
            <w:top w:w="0" w:type="dxa"/>
            <w:bottom w:w="0" w:type="dxa"/>
          </w:tblCellMar>
        </w:tblPrEx>
        <w:trPr>
          <w:trHeight w:val="187"/>
          <w:jc w:val="center"/>
        </w:trPr>
        <w:tc>
          <w:tcPr>
            <w:tcW w:w="1361" w:type="dxa"/>
            <w:tcBorders>
              <w:left w:val="single" w:sz="4" w:space="0" w:color="auto"/>
              <w:right w:val="single" w:sz="4" w:space="0" w:color="auto"/>
            </w:tcBorders>
          </w:tcPr>
          <w:p w:rsidR="00000000" w:rsidRDefault="00000000">
            <w:pPr>
              <w:spacing w:line="240" w:lineRule="auto"/>
              <w:rPr>
                <w:snapToGrid w:val="0"/>
                <w:sz w:val="22"/>
              </w:rPr>
            </w:pPr>
            <w:r>
              <w:rPr>
                <w:snapToGrid w:val="0"/>
                <w:sz w:val="22"/>
              </w:rPr>
              <w:t>Декабрь</w:t>
            </w: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1998</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28 934</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24 348</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2 793</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1 793</w:t>
            </w:r>
          </w:p>
        </w:tc>
      </w:tr>
      <w:tr w:rsidR="00000000">
        <w:tblPrEx>
          <w:tblCellMar>
            <w:top w:w="0" w:type="dxa"/>
            <w:bottom w:w="0" w:type="dxa"/>
          </w:tblCellMar>
        </w:tblPrEx>
        <w:trPr>
          <w:trHeight w:val="187"/>
          <w:jc w:val="center"/>
        </w:trPr>
        <w:tc>
          <w:tcPr>
            <w:tcW w:w="1361" w:type="dxa"/>
            <w:tcBorders>
              <w:left w:val="single" w:sz="4" w:space="0" w:color="auto"/>
              <w:bottom w:val="single" w:sz="4" w:space="0" w:color="auto"/>
              <w:right w:val="single" w:sz="4" w:space="0" w:color="auto"/>
            </w:tcBorders>
          </w:tcPr>
          <w:p w:rsidR="00000000" w:rsidRDefault="00000000">
            <w:pPr>
              <w:spacing w:line="240" w:lineRule="auto"/>
              <w:rPr>
                <w:snapToGrid w:val="0"/>
                <w:sz w:val="22"/>
              </w:rPr>
            </w:pPr>
          </w:p>
        </w:tc>
        <w:tc>
          <w:tcPr>
            <w:tcW w:w="1066"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22"/>
              </w:rPr>
            </w:pPr>
            <w:r>
              <w:rPr>
                <w:snapToGrid w:val="0"/>
                <w:sz w:val="22"/>
              </w:rPr>
              <w:t>1999</w:t>
            </w:r>
          </w:p>
        </w:tc>
        <w:tc>
          <w:tcPr>
            <w:tcW w:w="1178"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27 081</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22 921</w:t>
            </w:r>
          </w:p>
        </w:tc>
        <w:tc>
          <w:tcPr>
            <w:tcW w:w="1309" w:type="dxa"/>
            <w:tcBorders>
              <w:top w:val="single" w:sz="4" w:space="0" w:color="auto"/>
              <w:bottom w:val="single" w:sz="4" w:space="0" w:color="auto"/>
              <w:right w:val="single" w:sz="4" w:space="0" w:color="auto"/>
            </w:tcBorders>
          </w:tcPr>
          <w:p w:rsidR="00000000" w:rsidRDefault="00000000">
            <w:pPr>
              <w:tabs>
                <w:tab w:val="clear" w:pos="1134"/>
              </w:tabs>
              <w:spacing w:line="240" w:lineRule="auto"/>
              <w:ind w:right="136"/>
              <w:jc w:val="right"/>
              <w:rPr>
                <w:snapToGrid w:val="0"/>
                <w:sz w:val="22"/>
              </w:rPr>
            </w:pPr>
            <w:r>
              <w:rPr>
                <w:snapToGrid w:val="0"/>
                <w:sz w:val="22"/>
              </w:rPr>
              <w:t>2 879</w:t>
            </w:r>
          </w:p>
        </w:tc>
        <w:tc>
          <w:tcPr>
            <w:tcW w:w="2155" w:type="dxa"/>
            <w:tcBorders>
              <w:top w:val="single" w:sz="4" w:space="0" w:color="auto"/>
              <w:bottom w:val="single" w:sz="4" w:space="0" w:color="auto"/>
              <w:right w:val="single" w:sz="4" w:space="0" w:color="auto"/>
            </w:tcBorders>
          </w:tcPr>
          <w:p w:rsidR="00000000" w:rsidRDefault="00000000">
            <w:pPr>
              <w:spacing w:line="240" w:lineRule="auto"/>
              <w:ind w:right="608"/>
              <w:jc w:val="right"/>
              <w:rPr>
                <w:snapToGrid w:val="0"/>
                <w:sz w:val="22"/>
              </w:rPr>
            </w:pPr>
            <w:r>
              <w:rPr>
                <w:snapToGrid w:val="0"/>
                <w:sz w:val="22"/>
              </w:rPr>
              <w:t>1 281</w:t>
            </w:r>
          </w:p>
        </w:tc>
      </w:tr>
    </w:tbl>
    <w:p w:rsidR="00000000" w:rsidRDefault="00000000">
      <w:pPr>
        <w:spacing w:line="216" w:lineRule="auto"/>
        <w:rPr>
          <w:snapToGrid w:val="0"/>
          <w:color w:val="000000"/>
          <w:kern w:val="2"/>
        </w:rPr>
      </w:pPr>
    </w:p>
    <w:p w:rsidR="00000000" w:rsidRDefault="00000000">
      <w:pPr>
        <w:spacing w:line="216" w:lineRule="auto"/>
        <w:rPr>
          <w:snapToGrid w:val="0"/>
          <w:color w:val="000000"/>
          <w:kern w:val="2"/>
        </w:rPr>
      </w:pPr>
      <w:r>
        <w:rPr>
          <w:snapToGrid w:val="0"/>
          <w:color w:val="000000"/>
          <w:kern w:val="2"/>
          <w:u w:val="single"/>
        </w:rPr>
        <w:t>Источник</w:t>
      </w:r>
      <w:r>
        <w:rPr>
          <w:snapToGrid w:val="0"/>
          <w:color w:val="000000"/>
          <w:kern w:val="2"/>
        </w:rPr>
        <w:t>:  ДАТАПРЕВ, СУПТ.</w:t>
      </w:r>
    </w:p>
    <w:p w:rsidR="00000000" w:rsidRDefault="00000000">
      <w:pPr>
        <w:spacing w:line="216" w:lineRule="auto"/>
        <w:rPr>
          <w:snapToGrid w:val="0"/>
          <w:color w:val="000000"/>
          <w:kern w:val="2"/>
        </w:rPr>
      </w:pPr>
    </w:p>
    <w:p w:rsidR="00000000" w:rsidRDefault="00000000">
      <w:pPr>
        <w:spacing w:line="216" w:lineRule="auto"/>
        <w:rPr>
          <w:snapToGrid w:val="0"/>
          <w:kern w:val="2"/>
        </w:rPr>
      </w:pPr>
      <w:r>
        <w:rPr>
          <w:snapToGrid w:val="0"/>
          <w:kern w:val="2"/>
          <w:u w:val="single"/>
        </w:rPr>
        <w:t>Примечание</w:t>
      </w:r>
      <w:r>
        <w:rPr>
          <w:snapToGrid w:val="0"/>
          <w:kern w:val="2"/>
        </w:rPr>
        <w:t>:  Вышеприведенные данные являются неполными и могут подлежать корректировке.</w:t>
      </w:r>
    </w:p>
    <w:p w:rsidR="00000000" w:rsidRDefault="00000000">
      <w:pPr>
        <w:tabs>
          <w:tab w:val="clear" w:pos="2268"/>
          <w:tab w:val="left" w:pos="1988"/>
        </w:tabs>
        <w:spacing w:line="216" w:lineRule="auto"/>
        <w:ind w:left="1988" w:hanging="1421"/>
        <w:rPr>
          <w:b/>
          <w:bCs/>
          <w:snapToGrid w:val="0"/>
          <w:kern w:val="2"/>
        </w:rPr>
      </w:pPr>
    </w:p>
    <w:p w:rsidR="00000000" w:rsidRDefault="00000000">
      <w:pPr>
        <w:tabs>
          <w:tab w:val="clear" w:pos="2268"/>
          <w:tab w:val="left" w:pos="1988"/>
        </w:tabs>
        <w:spacing w:line="216" w:lineRule="auto"/>
        <w:ind w:left="1988" w:hanging="1421"/>
        <w:rPr>
          <w:b/>
          <w:bCs/>
          <w:snapToGrid w:val="0"/>
          <w:kern w:val="2"/>
        </w:rPr>
      </w:pPr>
      <w:r>
        <w:rPr>
          <w:b/>
          <w:bCs/>
          <w:snapToGrid w:val="0"/>
          <w:kern w:val="2"/>
        </w:rPr>
        <w:t>Таблица 28.</w:t>
      </w:r>
      <w:r>
        <w:rPr>
          <w:b/>
          <w:bCs/>
          <w:snapToGrid w:val="0"/>
          <w:kern w:val="2"/>
        </w:rPr>
        <w:tab/>
        <w:t>Количество несчастных случаев на производстве в разбивке по причинам и регионам или штатам, 1997-1999 годы</w:t>
      </w:r>
    </w:p>
    <w:p w:rsidR="00000000" w:rsidRDefault="00000000">
      <w:pPr>
        <w:pStyle w:val="BodyText3"/>
        <w:spacing w:before="80" w:after="120" w:line="216" w:lineRule="auto"/>
        <w:jc w:val="center"/>
        <w:rPr>
          <w:b/>
          <w:snapToGrid w:val="0"/>
          <w:color w:val="000000"/>
          <w:spacing w:val="20"/>
          <w:kern w:val="2"/>
          <w:sz w:val="24"/>
          <w:lang w:val="ru-RU"/>
        </w:rPr>
      </w:pPr>
    </w:p>
    <w:tbl>
      <w:tblPr>
        <w:tblW w:w="0" w:type="auto"/>
        <w:jc w:val="center"/>
        <w:tblLayout w:type="fixed"/>
        <w:tblCellMar>
          <w:left w:w="30" w:type="dxa"/>
          <w:right w:w="30" w:type="dxa"/>
        </w:tblCellMar>
        <w:tblLook w:val="0000" w:firstRow="0" w:lastRow="0" w:firstColumn="0" w:lastColumn="0" w:noHBand="0" w:noVBand="0"/>
      </w:tblPr>
      <w:tblGrid>
        <w:gridCol w:w="8"/>
        <w:gridCol w:w="2240"/>
        <w:gridCol w:w="823"/>
        <w:gridCol w:w="1324"/>
        <w:gridCol w:w="1591"/>
        <w:gridCol w:w="1591"/>
        <w:gridCol w:w="1592"/>
      </w:tblGrid>
      <w:tr w:rsidR="00000000">
        <w:tblPrEx>
          <w:tblCellMar>
            <w:top w:w="0" w:type="dxa"/>
            <w:bottom w:w="0" w:type="dxa"/>
          </w:tblCellMar>
        </w:tblPrEx>
        <w:trPr>
          <w:cantSplit/>
          <w:trHeight w:val="194"/>
          <w:tblHeader/>
          <w:jc w:val="center"/>
        </w:trPr>
        <w:tc>
          <w:tcPr>
            <w:tcW w:w="2248" w:type="dxa"/>
            <w:gridSpan w:val="2"/>
            <w:vMerge w:val="restart"/>
            <w:tcBorders>
              <w:top w:val="single" w:sz="4" w:space="0" w:color="auto"/>
              <w:left w:val="single" w:sz="4" w:space="0" w:color="auto"/>
              <w:bottom w:val="nil"/>
              <w:right w:val="single" w:sz="4" w:space="0" w:color="auto"/>
            </w:tcBorders>
          </w:tcPr>
          <w:p w:rsidR="00000000" w:rsidRDefault="00000000">
            <w:pPr>
              <w:pStyle w:val="BodyText3"/>
              <w:spacing w:line="216" w:lineRule="auto"/>
              <w:jc w:val="center"/>
              <w:rPr>
                <w:snapToGrid w:val="0"/>
                <w:sz w:val="18"/>
                <w:lang w:val="ru-RU"/>
              </w:rPr>
            </w:pPr>
          </w:p>
        </w:tc>
        <w:tc>
          <w:tcPr>
            <w:tcW w:w="823" w:type="dxa"/>
            <w:vMerge w:val="restart"/>
            <w:tcBorders>
              <w:top w:val="single" w:sz="4" w:space="0" w:color="auto"/>
              <w:left w:val="single" w:sz="4" w:space="0" w:color="auto"/>
              <w:right w:val="single" w:sz="4"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Год</w:t>
            </w:r>
          </w:p>
        </w:tc>
        <w:tc>
          <w:tcPr>
            <w:tcW w:w="1324" w:type="dxa"/>
            <w:vMerge w:val="restart"/>
            <w:tcBorders>
              <w:top w:val="single" w:sz="4" w:space="0" w:color="auto"/>
              <w:left w:val="single" w:sz="4" w:space="0" w:color="auto"/>
              <w:right w:val="single" w:sz="4"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Всего</w:t>
            </w:r>
          </w:p>
        </w:tc>
        <w:tc>
          <w:tcPr>
            <w:tcW w:w="4774" w:type="dxa"/>
            <w:gridSpan w:val="3"/>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Причина</w:t>
            </w:r>
          </w:p>
        </w:tc>
      </w:tr>
      <w:tr w:rsidR="00000000">
        <w:tblPrEx>
          <w:tblCellMar>
            <w:top w:w="0" w:type="dxa"/>
            <w:bottom w:w="0" w:type="dxa"/>
          </w:tblCellMar>
        </w:tblPrEx>
        <w:trPr>
          <w:cantSplit/>
          <w:trHeight w:val="188"/>
          <w:tblHeader/>
          <w:jc w:val="center"/>
        </w:trPr>
        <w:tc>
          <w:tcPr>
            <w:tcW w:w="2248" w:type="dxa"/>
            <w:gridSpan w:val="2"/>
            <w:vMerge/>
            <w:tcBorders>
              <w:top w:val="nil"/>
              <w:left w:val="single" w:sz="4" w:space="0" w:color="auto"/>
              <w:right w:val="single" w:sz="4" w:space="0" w:color="auto"/>
            </w:tcBorders>
          </w:tcPr>
          <w:p w:rsidR="00000000" w:rsidRDefault="00000000">
            <w:pPr>
              <w:pStyle w:val="BodyText3"/>
              <w:spacing w:line="216" w:lineRule="auto"/>
              <w:jc w:val="center"/>
              <w:rPr>
                <w:snapToGrid w:val="0"/>
                <w:sz w:val="18"/>
                <w:lang w:val="ru-RU"/>
              </w:rPr>
            </w:pPr>
          </w:p>
        </w:tc>
        <w:tc>
          <w:tcPr>
            <w:tcW w:w="823" w:type="dxa"/>
            <w:vMerge/>
            <w:tcBorders>
              <w:left w:val="single" w:sz="4" w:space="0" w:color="auto"/>
              <w:bottom w:val="single" w:sz="4" w:space="0" w:color="auto"/>
              <w:right w:val="single" w:sz="4" w:space="0" w:color="auto"/>
            </w:tcBorders>
            <w:vAlign w:val="center"/>
          </w:tcPr>
          <w:p w:rsidR="00000000" w:rsidRDefault="00000000">
            <w:pPr>
              <w:pStyle w:val="BodyText3"/>
              <w:spacing w:line="216" w:lineRule="auto"/>
              <w:jc w:val="center"/>
              <w:rPr>
                <w:snapToGrid w:val="0"/>
                <w:sz w:val="18"/>
                <w:lang w:val="ru-RU"/>
              </w:rPr>
            </w:pPr>
          </w:p>
        </w:tc>
        <w:tc>
          <w:tcPr>
            <w:tcW w:w="1324" w:type="dxa"/>
            <w:vMerge/>
            <w:tcBorders>
              <w:left w:val="single" w:sz="4" w:space="0" w:color="auto"/>
              <w:bottom w:val="single" w:sz="4" w:space="0" w:color="auto"/>
              <w:right w:val="single" w:sz="4" w:space="0" w:color="auto"/>
            </w:tcBorders>
            <w:vAlign w:val="center"/>
          </w:tcPr>
          <w:p w:rsidR="00000000" w:rsidRDefault="00000000">
            <w:pPr>
              <w:pStyle w:val="BodyText3"/>
              <w:spacing w:line="216" w:lineRule="auto"/>
              <w:jc w:val="center"/>
              <w:rPr>
                <w:snapToGrid w:val="0"/>
                <w:sz w:val="18"/>
                <w:lang w:val="ru-RU"/>
              </w:rPr>
            </w:pP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Типичный травматизм</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По пути на работу</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Профессиональные заболевания</w:t>
            </w:r>
          </w:p>
        </w:tc>
      </w:tr>
      <w:tr w:rsidR="00000000">
        <w:tblPrEx>
          <w:tblCellMar>
            <w:top w:w="0" w:type="dxa"/>
            <w:bottom w:w="0" w:type="dxa"/>
          </w:tblCellMar>
        </w:tblPrEx>
        <w:trPr>
          <w:trHeight w:val="134"/>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421 343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347 482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37 213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36 648</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БРАЗИЛИЯ</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414 341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347 738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36 114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30 489</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378 365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319 617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36 716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22 032</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СЕВЕРНЫЙ</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7 334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6 104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799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431</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РЕГИОН</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8 582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6 838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954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790</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8 837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7 276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958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603</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1 083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900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152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31</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Рондония</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1 343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1 093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183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67</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1 423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1 192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198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33</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202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175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Акри</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207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177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185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139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2 156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1 722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205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229</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Амазонас</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2 426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1 759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273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394</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2 271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1 695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201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375</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57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Рорайма*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73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81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3 312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2 829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318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165</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Пара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3 860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3 193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350</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317</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4 023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3 475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384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164</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183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138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Амапа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199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200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341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295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Токантинс</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474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412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654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566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74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СЕВЕРО-ВОСТОЧНЫЙ</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29 472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23 108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3 399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2 965</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РЕГИОН</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27 196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21 467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3 193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2 536</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24 989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19 667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3 282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2 040</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766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603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52</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Мараньян</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868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713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40</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826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651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57</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462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330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Пиауи</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488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335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138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15</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599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443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138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18</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3 193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2 371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585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237</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Сеара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3 243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2 360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619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264</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3 551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2 630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617</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304</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1 450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1 229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193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28</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Риу-Гранди-ду-Норти</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1 695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1 431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216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48</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1 613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1 359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214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40</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1 500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1 209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173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118</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Параиба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1 340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1 051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145</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1 126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858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166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102</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keepNext/>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keepNext/>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keepNext/>
              <w:ind w:right="340"/>
              <w:jc w:val="right"/>
              <w:rPr>
                <w:snapToGrid w:val="0"/>
                <w:sz w:val="18"/>
                <w:lang w:val="ru-RU"/>
              </w:rPr>
            </w:pPr>
            <w:r>
              <w:rPr>
                <w:snapToGrid w:val="0"/>
                <w:sz w:val="18"/>
                <w:lang w:val="ru-RU"/>
              </w:rPr>
              <w:t>7 087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keepNext/>
              <w:ind w:right="397"/>
              <w:jc w:val="right"/>
              <w:rPr>
                <w:snapToGrid w:val="0"/>
                <w:sz w:val="18"/>
                <w:lang w:val="ru-RU"/>
              </w:rPr>
            </w:pPr>
            <w:r>
              <w:rPr>
                <w:snapToGrid w:val="0"/>
                <w:sz w:val="18"/>
                <w:lang w:val="ru-RU"/>
              </w:rPr>
              <w:t>5 880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keepNext/>
              <w:ind w:right="397"/>
              <w:jc w:val="right"/>
              <w:rPr>
                <w:snapToGrid w:val="0"/>
                <w:sz w:val="18"/>
                <w:lang w:val="ru-RU"/>
              </w:rPr>
            </w:pPr>
            <w:r>
              <w:rPr>
                <w:snapToGrid w:val="0"/>
                <w:sz w:val="18"/>
                <w:lang w:val="ru-RU"/>
              </w:rPr>
              <w:t>867</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keepNext/>
              <w:ind w:right="397"/>
              <w:jc w:val="right"/>
              <w:rPr>
                <w:snapToGrid w:val="0"/>
                <w:sz w:val="18"/>
                <w:lang w:val="ru-RU"/>
              </w:rPr>
            </w:pPr>
            <w:r>
              <w:rPr>
                <w:snapToGrid w:val="0"/>
                <w:sz w:val="18"/>
                <w:lang w:val="ru-RU"/>
              </w:rPr>
              <w:t>340</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Пернамбуку</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6 111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4 948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845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318</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5 924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4 677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870</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377</w:t>
            </w:r>
          </w:p>
        </w:tc>
      </w:tr>
      <w:tr w:rsidR="00000000">
        <w:tblPrEx>
          <w:tblCellMar>
            <w:top w:w="0" w:type="dxa"/>
            <w:bottom w:w="0" w:type="dxa"/>
          </w:tblCellMar>
        </w:tblPrEx>
        <w:trPr>
          <w:trHeight w:val="192"/>
          <w:jc w:val="center"/>
        </w:trPr>
        <w:tc>
          <w:tcPr>
            <w:tcW w:w="2248" w:type="dxa"/>
            <w:gridSpan w:val="2"/>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3 409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3 010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295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104</w:t>
            </w:r>
          </w:p>
        </w:tc>
      </w:tr>
      <w:tr w:rsidR="00000000">
        <w:tblPrEx>
          <w:tblCellMar>
            <w:top w:w="0" w:type="dxa"/>
            <w:bottom w:w="0" w:type="dxa"/>
          </w:tblCellMar>
        </w:tblPrEx>
        <w:trPr>
          <w:trHeight w:val="192"/>
          <w:jc w:val="center"/>
        </w:trPr>
        <w:tc>
          <w:tcPr>
            <w:tcW w:w="2248" w:type="dxa"/>
            <w:gridSpan w:val="2"/>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Алагоас</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3 264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2 950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215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99</w:t>
            </w:r>
          </w:p>
        </w:tc>
      </w:tr>
      <w:tr w:rsidR="00000000">
        <w:tblPrEx>
          <w:tblCellMar>
            <w:top w:w="0" w:type="dxa"/>
            <w:bottom w:w="0" w:type="dxa"/>
          </w:tblCellMar>
        </w:tblPrEx>
        <w:trPr>
          <w:trHeight w:val="192"/>
          <w:jc w:val="center"/>
        </w:trPr>
        <w:tc>
          <w:tcPr>
            <w:tcW w:w="2248" w:type="dxa"/>
            <w:gridSpan w:val="2"/>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2 703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2 406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198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hanging="15"/>
              <w:jc w:val="right"/>
              <w:rPr>
                <w:snapToGrid w:val="0"/>
                <w:sz w:val="18"/>
                <w:lang w:val="ru-RU"/>
              </w:rPr>
            </w:pPr>
            <w:r>
              <w:rPr>
                <w:snapToGrid w:val="0"/>
                <w:sz w:val="18"/>
                <w:lang w:val="ru-RU"/>
              </w:rPr>
              <w:t>99</w:t>
            </w:r>
          </w:p>
        </w:tc>
      </w:tr>
      <w:tr w:rsidR="00000000">
        <w:tblPrEx>
          <w:tblCellMar>
            <w:top w:w="0" w:type="dxa"/>
            <w:bottom w:w="0" w:type="dxa"/>
          </w:tblCellMar>
        </w:tblPrEx>
        <w:trPr>
          <w:gridBefore w:val="1"/>
          <w:wBefore w:w="8" w:type="dxa"/>
          <w:trHeight w:val="134"/>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1 284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1 001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136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147</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Сержипи</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1 358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1 094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153</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1 165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918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116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131</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10 321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7 475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921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1 925</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Баия</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8 829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6 585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790</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1 454</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7 482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5 725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845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912</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ЮГО-ВОСТОЧНЫЙ</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277 938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227 208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23 958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26 772</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РЕГИОН</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271 499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226 993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22 789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21 717</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242 702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204 579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22 942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15 181</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51 494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39 202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3 806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8 486</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Минас-Жераис</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48 643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40 051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3 319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5 273</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46 491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39 780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3 771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2 940</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6 200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5 056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604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540</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Эспириту-Санту</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5 925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5 070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516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339</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5 646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4 842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561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243</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25 382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20 386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4 095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901</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Рио-де-Жанейро</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24 738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19 789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3 806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1 143</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23 272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18 235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3 729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1 308</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194 862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162 564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15 453</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16 845</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Сан-Паулу</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192 193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162 083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15 148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14 962</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167 293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141 722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14 881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10 690</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ЮЖНЫЙ</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91 183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78 669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7 090</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5 424</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РЕГИОН</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91 273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79 559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7 162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4 552</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85 488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74 706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7 277</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3 505</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30 866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27 266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1 859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1 741</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Парана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31 046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27 467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2 240</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1 339</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26 857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23 851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2 180</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826</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21 582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18 954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1 922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706</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Санта-Катарина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23 267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20 490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2 064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713</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23 496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20 571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2 295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630</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38 735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32 449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3 309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2 977</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Риу-Гранди-ду-Сул</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36 960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31 602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2 858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2 500</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35 135</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30 284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2 802</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2 049</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ЦЕНТРАЛЬНАЯ ЧАСТЬ</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15 416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12 393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1 967</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1 056</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ЗАПАДНОГО</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15 791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12 881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2 016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894</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РЕГИОНА</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b/>
                <w:snapToGrid w:val="0"/>
                <w:sz w:val="18"/>
                <w:lang w:val="ru-RU"/>
              </w:rPr>
            </w:pPr>
            <w:r>
              <w:rPr>
                <w:b/>
                <w:snapToGrid w:val="0"/>
                <w:sz w:val="18"/>
                <w:lang w:val="ru-RU"/>
              </w:rPr>
              <w:t>16 349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13 389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2 257</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b/>
                <w:snapToGrid w:val="0"/>
                <w:sz w:val="18"/>
                <w:lang w:val="ru-RU"/>
              </w:rPr>
            </w:pPr>
            <w:r>
              <w:rPr>
                <w:b/>
                <w:snapToGrid w:val="0"/>
                <w:sz w:val="18"/>
                <w:lang w:val="ru-RU"/>
              </w:rPr>
              <w:t>703</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3 218</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2 773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355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90</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Мату-Гросу-ду-Сул</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3 089</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2 672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308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109</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3 317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2 871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351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95</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3 194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2 730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315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149</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Мату-Гросу</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3 531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3 067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279</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185</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3 531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3 146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288</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97</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6 113</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4 854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906</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353</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Гояс</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6 227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4 920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975</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332</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6 304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4 902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1 104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298</w:t>
            </w:r>
          </w:p>
        </w:tc>
      </w:tr>
      <w:tr w:rsidR="00000000">
        <w:tblPrEx>
          <w:tblCellMar>
            <w:top w:w="0" w:type="dxa"/>
            <w:bottom w:w="0" w:type="dxa"/>
          </w:tblCellMar>
        </w:tblPrEx>
        <w:trPr>
          <w:gridBefore w:val="1"/>
          <w:wBefore w:w="8" w:type="dxa"/>
          <w:trHeight w:val="187"/>
          <w:jc w:val="center"/>
        </w:trPr>
        <w:tc>
          <w:tcPr>
            <w:tcW w:w="2240" w:type="dxa"/>
            <w:tcBorders>
              <w:top w:val="single" w:sz="4" w:space="0" w:color="auto"/>
              <w:left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2 891</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2 036</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391</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464</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Федеральный округ</w:t>
            </w: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2 944</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2 222</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454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268</w:t>
            </w:r>
          </w:p>
        </w:tc>
      </w:tr>
      <w:tr w:rsidR="00000000">
        <w:tblPrEx>
          <w:tblCellMar>
            <w:top w:w="0" w:type="dxa"/>
            <w:bottom w:w="0" w:type="dxa"/>
          </w:tblCellMar>
        </w:tblPrEx>
        <w:trPr>
          <w:gridBefore w:val="1"/>
          <w:wBefore w:w="8" w:type="dxa"/>
          <w:trHeight w:val="187"/>
          <w:jc w:val="center"/>
        </w:trPr>
        <w:tc>
          <w:tcPr>
            <w:tcW w:w="2240"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82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1324"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40"/>
              <w:jc w:val="right"/>
              <w:rPr>
                <w:snapToGrid w:val="0"/>
                <w:sz w:val="18"/>
                <w:lang w:val="ru-RU"/>
              </w:rPr>
            </w:pPr>
            <w:r>
              <w:rPr>
                <w:snapToGrid w:val="0"/>
                <w:sz w:val="18"/>
                <w:lang w:val="ru-RU"/>
              </w:rPr>
              <w:t>3 197</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2 470</w:t>
            </w:r>
          </w:p>
        </w:tc>
        <w:tc>
          <w:tcPr>
            <w:tcW w:w="1591"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514</w:t>
            </w:r>
          </w:p>
        </w:tc>
        <w:tc>
          <w:tcPr>
            <w:tcW w:w="1592" w:type="dxa"/>
            <w:tcBorders>
              <w:top w:val="single" w:sz="4" w:space="0" w:color="auto"/>
              <w:left w:val="single" w:sz="4" w:space="0" w:color="auto"/>
              <w:bottom w:val="single" w:sz="4" w:space="0" w:color="auto"/>
              <w:right w:val="single" w:sz="4" w:space="0" w:color="auto"/>
            </w:tcBorders>
          </w:tcPr>
          <w:p w:rsidR="00000000" w:rsidRDefault="00000000">
            <w:pPr>
              <w:pStyle w:val="BodyText3"/>
              <w:ind w:right="397"/>
              <w:jc w:val="right"/>
              <w:rPr>
                <w:snapToGrid w:val="0"/>
                <w:sz w:val="18"/>
                <w:lang w:val="ru-RU"/>
              </w:rPr>
            </w:pPr>
            <w:r>
              <w:rPr>
                <w:snapToGrid w:val="0"/>
                <w:sz w:val="18"/>
                <w:lang w:val="ru-RU"/>
              </w:rPr>
              <w:t>213</w:t>
            </w:r>
          </w:p>
        </w:tc>
      </w:tr>
    </w:tbl>
    <w:p w:rsidR="00000000" w:rsidRDefault="00000000">
      <w:pPr>
        <w:pStyle w:val="BodyText3"/>
        <w:spacing w:after="120" w:line="240" w:lineRule="atLeast"/>
        <w:jc w:val="center"/>
        <w:rPr>
          <w:b/>
          <w:snapToGrid w:val="0"/>
          <w:color w:val="000000"/>
          <w:spacing w:val="20"/>
          <w:kern w:val="2"/>
          <w:sz w:val="16"/>
          <w:lang w:val="ru-RU"/>
        </w:rPr>
      </w:pPr>
    </w:p>
    <w:p w:rsidR="00000000" w:rsidRDefault="00000000">
      <w:pPr>
        <w:rPr>
          <w:snapToGrid w:val="0"/>
          <w:kern w:val="2"/>
        </w:rPr>
      </w:pPr>
      <w:r>
        <w:rPr>
          <w:snapToGrid w:val="0"/>
          <w:kern w:val="2"/>
          <w:u w:val="single"/>
        </w:rPr>
        <w:t>Источник</w:t>
      </w:r>
      <w:r>
        <w:rPr>
          <w:snapToGrid w:val="0"/>
          <w:kern w:val="2"/>
        </w:rPr>
        <w:t>:  ДАТАПРЕВ, СУПТ.</w:t>
      </w:r>
    </w:p>
    <w:p w:rsidR="00000000" w:rsidRDefault="00000000">
      <w:pPr>
        <w:rPr>
          <w:kern w:val="2"/>
        </w:rPr>
      </w:pPr>
    </w:p>
    <w:p w:rsidR="00000000" w:rsidRDefault="00000000">
      <w:pPr>
        <w:rPr>
          <w:snapToGrid w:val="0"/>
          <w:kern w:val="2"/>
        </w:rPr>
      </w:pPr>
      <w:r>
        <w:rPr>
          <w:snapToGrid w:val="0"/>
          <w:kern w:val="2"/>
          <w:u w:val="single"/>
        </w:rPr>
        <w:t>Примечание</w:t>
      </w:r>
      <w:r>
        <w:rPr>
          <w:snapToGrid w:val="0"/>
          <w:kern w:val="2"/>
        </w:rPr>
        <w:t>:  Вышеприведенные данные являются неполными и могут подлежать корректировке.</w:t>
      </w:r>
    </w:p>
    <w:p w:rsidR="00000000" w:rsidRDefault="00000000">
      <w:pPr>
        <w:rPr>
          <w:snapToGrid w:val="0"/>
          <w:kern w:val="2"/>
        </w:rPr>
      </w:pPr>
    </w:p>
    <w:p w:rsidR="00000000" w:rsidRDefault="00000000">
      <w:pPr>
        <w:rPr>
          <w:snapToGrid w:val="0"/>
          <w:kern w:val="2"/>
        </w:rPr>
      </w:pPr>
      <w:r>
        <w:rPr>
          <w:snapToGrid w:val="0"/>
          <w:kern w:val="2"/>
        </w:rPr>
        <w:t>*</w:t>
      </w:r>
      <w:r>
        <w:rPr>
          <w:snapToGrid w:val="0"/>
          <w:kern w:val="2"/>
        </w:rPr>
        <w:tab/>
        <w:t>Информация по Рорайме включена в данные по Амазонас.</w:t>
      </w:r>
    </w:p>
    <w:p w:rsidR="00000000" w:rsidRDefault="00000000">
      <w:pPr>
        <w:pStyle w:val="BodyText3"/>
        <w:spacing w:after="120" w:line="240" w:lineRule="atLeast"/>
        <w:jc w:val="left"/>
        <w:rPr>
          <w:b/>
          <w:snapToGrid w:val="0"/>
          <w:color w:val="000000"/>
          <w:spacing w:val="20"/>
          <w:kern w:val="2"/>
          <w:sz w:val="16"/>
          <w:lang w:val="ru-RU"/>
        </w:rPr>
      </w:pPr>
    </w:p>
    <w:p w:rsidR="00000000" w:rsidRDefault="00000000">
      <w:pPr>
        <w:tabs>
          <w:tab w:val="clear" w:pos="567"/>
          <w:tab w:val="clear" w:pos="2268"/>
          <w:tab w:val="left" w:pos="561"/>
          <w:tab w:val="left" w:pos="2057"/>
        </w:tabs>
        <w:spacing w:line="240" w:lineRule="auto"/>
        <w:ind w:left="2057" w:hanging="1496"/>
        <w:rPr>
          <w:b/>
          <w:bCs/>
          <w:snapToGrid w:val="0"/>
          <w:kern w:val="2"/>
          <w:sz w:val="22"/>
        </w:rPr>
      </w:pPr>
      <w:r>
        <w:rPr>
          <w:snapToGrid w:val="0"/>
          <w:kern w:val="2"/>
          <w:sz w:val="16"/>
        </w:rPr>
        <w:br w:type="page"/>
      </w:r>
      <w:r>
        <w:rPr>
          <w:b/>
          <w:bCs/>
          <w:snapToGrid w:val="0"/>
          <w:kern w:val="2"/>
          <w:sz w:val="22"/>
        </w:rPr>
        <w:t>Таблица 29.</w:t>
      </w:r>
      <w:r>
        <w:rPr>
          <w:b/>
          <w:bCs/>
          <w:snapToGrid w:val="0"/>
          <w:kern w:val="2"/>
          <w:sz w:val="22"/>
        </w:rPr>
        <w:tab/>
        <w:t>Количество несчастных случаев на производстве в разбивке по причинам и возрастным группам, 1997-1999 годы</w:t>
      </w:r>
    </w:p>
    <w:p w:rsidR="00000000" w:rsidRDefault="00000000">
      <w:pPr>
        <w:tabs>
          <w:tab w:val="clear" w:pos="567"/>
          <w:tab w:val="clear" w:pos="2268"/>
          <w:tab w:val="left" w:pos="561"/>
          <w:tab w:val="left" w:pos="2057"/>
        </w:tabs>
        <w:spacing w:line="240" w:lineRule="auto"/>
        <w:ind w:left="2057" w:hanging="1496"/>
        <w:rPr>
          <w:b/>
          <w:bCs/>
          <w:kern w:val="2"/>
          <w:sz w:val="22"/>
        </w:rPr>
      </w:pPr>
    </w:p>
    <w:tbl>
      <w:tblPr>
        <w:tblW w:w="9350" w:type="dxa"/>
        <w:tblInd w:w="30" w:type="dxa"/>
        <w:tblLayout w:type="fixed"/>
        <w:tblCellMar>
          <w:left w:w="30" w:type="dxa"/>
          <w:right w:w="30" w:type="dxa"/>
        </w:tblCellMar>
        <w:tblLook w:val="0000" w:firstRow="0" w:lastRow="0" w:firstColumn="0" w:lastColumn="0" w:noHBand="0" w:noVBand="0"/>
      </w:tblPr>
      <w:tblGrid>
        <w:gridCol w:w="1309"/>
        <w:gridCol w:w="561"/>
        <w:gridCol w:w="785"/>
        <w:gridCol w:w="963"/>
        <w:gridCol w:w="964"/>
        <w:gridCol w:w="1028"/>
        <w:gridCol w:w="785"/>
        <w:gridCol w:w="935"/>
        <w:gridCol w:w="935"/>
        <w:gridCol w:w="1085"/>
      </w:tblGrid>
      <w:tr w:rsidR="00000000">
        <w:tblPrEx>
          <w:tblCellMar>
            <w:top w:w="0" w:type="dxa"/>
            <w:bottom w:w="0" w:type="dxa"/>
          </w:tblCellMar>
        </w:tblPrEx>
        <w:trPr>
          <w:trHeight w:val="133"/>
        </w:trPr>
        <w:tc>
          <w:tcPr>
            <w:tcW w:w="1309" w:type="dxa"/>
            <w:tcBorders>
              <w:top w:val="single" w:sz="2" w:space="0" w:color="auto"/>
              <w:left w:val="single" w:sz="4" w:space="0" w:color="auto"/>
              <w:right w:val="single" w:sz="2" w:space="0" w:color="auto"/>
            </w:tcBorders>
          </w:tcPr>
          <w:p w:rsidR="00000000" w:rsidRDefault="00000000">
            <w:pPr>
              <w:pStyle w:val="BodyText3"/>
              <w:jc w:val="center"/>
              <w:rPr>
                <w:snapToGrid w:val="0"/>
                <w:spacing w:val="20"/>
                <w:sz w:val="16"/>
                <w:lang w:val="ru-RU"/>
              </w:rPr>
            </w:pPr>
          </w:p>
        </w:tc>
        <w:tc>
          <w:tcPr>
            <w:tcW w:w="561" w:type="dxa"/>
            <w:tcBorders>
              <w:top w:val="single" w:sz="2" w:space="0" w:color="auto"/>
              <w:left w:val="single" w:sz="2" w:space="0" w:color="auto"/>
            </w:tcBorders>
          </w:tcPr>
          <w:p w:rsidR="00000000" w:rsidRDefault="00000000">
            <w:pPr>
              <w:pStyle w:val="BodyText3"/>
              <w:jc w:val="center"/>
              <w:rPr>
                <w:snapToGrid w:val="0"/>
                <w:spacing w:val="20"/>
                <w:sz w:val="16"/>
                <w:lang w:val="ru-RU"/>
              </w:rPr>
            </w:pPr>
          </w:p>
        </w:tc>
        <w:tc>
          <w:tcPr>
            <w:tcW w:w="7480" w:type="dxa"/>
            <w:gridSpan w:val="8"/>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Количество зарегистрированных несчастных случаев на производстве</w:t>
            </w:r>
          </w:p>
        </w:tc>
      </w:tr>
      <w:tr w:rsidR="00000000">
        <w:tblPrEx>
          <w:tblCellMar>
            <w:top w:w="0" w:type="dxa"/>
            <w:bottom w:w="0" w:type="dxa"/>
          </w:tblCellMar>
        </w:tblPrEx>
        <w:trPr>
          <w:trHeight w:val="93"/>
        </w:trPr>
        <w:tc>
          <w:tcPr>
            <w:tcW w:w="1309" w:type="dxa"/>
            <w:tcBorders>
              <w:left w:val="single" w:sz="4" w:space="0" w:color="auto"/>
              <w:right w:val="single" w:sz="2" w:space="0" w:color="auto"/>
            </w:tcBorders>
          </w:tcPr>
          <w:p w:rsidR="00000000" w:rsidRDefault="00000000">
            <w:pPr>
              <w:pStyle w:val="BodyText3"/>
              <w:jc w:val="center"/>
              <w:rPr>
                <w:snapToGrid w:val="0"/>
                <w:spacing w:val="20"/>
                <w:sz w:val="16"/>
                <w:lang w:val="ru-RU"/>
              </w:rPr>
            </w:pPr>
            <w:r>
              <w:rPr>
                <w:snapToGrid w:val="0"/>
                <w:spacing w:val="20"/>
                <w:sz w:val="16"/>
                <w:lang w:val="ru-RU"/>
              </w:rPr>
              <w:t>Возрастная</w:t>
            </w:r>
          </w:p>
        </w:tc>
        <w:tc>
          <w:tcPr>
            <w:tcW w:w="561" w:type="dxa"/>
            <w:tcBorders>
              <w:left w:val="single" w:sz="2" w:space="0" w:color="auto"/>
            </w:tcBorders>
          </w:tcPr>
          <w:p w:rsidR="00000000" w:rsidRDefault="00000000">
            <w:pPr>
              <w:pStyle w:val="BodyText3"/>
              <w:jc w:val="center"/>
              <w:rPr>
                <w:snapToGrid w:val="0"/>
                <w:spacing w:val="20"/>
                <w:sz w:val="16"/>
                <w:lang w:val="ru-RU"/>
              </w:rPr>
            </w:pPr>
          </w:p>
        </w:tc>
        <w:tc>
          <w:tcPr>
            <w:tcW w:w="7480" w:type="dxa"/>
            <w:gridSpan w:val="8"/>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Причина</w:t>
            </w:r>
          </w:p>
        </w:tc>
      </w:tr>
      <w:tr w:rsidR="00000000">
        <w:tblPrEx>
          <w:tblCellMar>
            <w:top w:w="0" w:type="dxa"/>
            <w:bottom w:w="0" w:type="dxa"/>
          </w:tblCellMar>
        </w:tblPrEx>
        <w:trPr>
          <w:trHeight w:val="181"/>
        </w:trPr>
        <w:tc>
          <w:tcPr>
            <w:tcW w:w="1309" w:type="dxa"/>
            <w:tcBorders>
              <w:left w:val="single" w:sz="4" w:space="0" w:color="auto"/>
              <w:right w:val="single" w:sz="2" w:space="0" w:color="auto"/>
            </w:tcBorders>
          </w:tcPr>
          <w:p w:rsidR="00000000" w:rsidRDefault="00000000">
            <w:pPr>
              <w:pStyle w:val="BodyText3"/>
              <w:jc w:val="center"/>
              <w:rPr>
                <w:snapToGrid w:val="0"/>
                <w:spacing w:val="20"/>
                <w:sz w:val="16"/>
                <w:lang w:val="ru-RU"/>
              </w:rPr>
            </w:pPr>
            <w:r>
              <w:rPr>
                <w:snapToGrid w:val="0"/>
                <w:spacing w:val="20"/>
                <w:sz w:val="16"/>
                <w:lang w:val="ru-RU"/>
              </w:rPr>
              <w:t>группа</w:t>
            </w:r>
          </w:p>
        </w:tc>
        <w:tc>
          <w:tcPr>
            <w:tcW w:w="561" w:type="dxa"/>
            <w:tcBorders>
              <w:left w:val="single" w:sz="2" w:space="0" w:color="auto"/>
            </w:tcBorders>
          </w:tcPr>
          <w:p w:rsidR="00000000" w:rsidRDefault="00000000">
            <w:pPr>
              <w:pStyle w:val="BodyText3"/>
              <w:jc w:val="center"/>
              <w:rPr>
                <w:snapToGrid w:val="0"/>
                <w:spacing w:val="20"/>
                <w:sz w:val="16"/>
                <w:lang w:val="ru-RU"/>
              </w:rPr>
            </w:pPr>
            <w:r>
              <w:rPr>
                <w:snapToGrid w:val="0"/>
                <w:spacing w:val="20"/>
                <w:sz w:val="16"/>
                <w:lang w:val="ru-RU"/>
              </w:rPr>
              <w:t>Год</w:t>
            </w:r>
          </w:p>
        </w:tc>
        <w:tc>
          <w:tcPr>
            <w:tcW w:w="3740" w:type="dxa"/>
            <w:gridSpan w:val="4"/>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По пути на работу</w:t>
            </w:r>
          </w:p>
        </w:tc>
        <w:tc>
          <w:tcPr>
            <w:tcW w:w="3740" w:type="dxa"/>
            <w:gridSpan w:val="4"/>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Профессиональные заболевания</w:t>
            </w:r>
          </w:p>
        </w:tc>
      </w:tr>
      <w:tr w:rsidR="00000000">
        <w:tblPrEx>
          <w:tblCellMar>
            <w:top w:w="0" w:type="dxa"/>
            <w:bottom w:w="0" w:type="dxa"/>
          </w:tblCellMar>
        </w:tblPrEx>
        <w:trPr>
          <w:trHeight w:val="250"/>
        </w:trPr>
        <w:tc>
          <w:tcPr>
            <w:tcW w:w="1309" w:type="dxa"/>
            <w:tcBorders>
              <w:left w:val="single" w:sz="4" w:space="0" w:color="auto"/>
              <w:bottom w:val="single" w:sz="2" w:space="0" w:color="auto"/>
              <w:right w:val="single" w:sz="2" w:space="0" w:color="auto"/>
            </w:tcBorders>
          </w:tcPr>
          <w:p w:rsidR="00000000" w:rsidRDefault="00000000">
            <w:pPr>
              <w:pStyle w:val="BodyText3"/>
              <w:jc w:val="center"/>
              <w:rPr>
                <w:snapToGrid w:val="0"/>
                <w:spacing w:val="20"/>
                <w:sz w:val="16"/>
                <w:lang w:val="ru-RU"/>
              </w:rPr>
            </w:pPr>
          </w:p>
        </w:tc>
        <w:tc>
          <w:tcPr>
            <w:tcW w:w="561" w:type="dxa"/>
            <w:tcBorders>
              <w:left w:val="single" w:sz="2" w:space="0" w:color="auto"/>
            </w:tcBorders>
          </w:tcPr>
          <w:p w:rsidR="00000000" w:rsidRDefault="00000000">
            <w:pPr>
              <w:pStyle w:val="BodyText3"/>
              <w:jc w:val="center"/>
              <w:rPr>
                <w:snapToGrid w:val="0"/>
                <w:spacing w:val="20"/>
                <w:sz w:val="16"/>
                <w:lang w:val="ru-RU"/>
              </w:rPr>
            </w:pPr>
          </w:p>
        </w:tc>
        <w:tc>
          <w:tcPr>
            <w:tcW w:w="785"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Всего</w:t>
            </w:r>
          </w:p>
        </w:tc>
        <w:tc>
          <w:tcPr>
            <w:tcW w:w="963"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Мужчины</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Женщины</w:t>
            </w:r>
          </w:p>
        </w:tc>
        <w:tc>
          <w:tcPr>
            <w:tcW w:w="102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 xml:space="preserve">Данные </w:t>
            </w:r>
            <w:r>
              <w:rPr>
                <w:snapToGrid w:val="0"/>
                <w:sz w:val="16"/>
                <w:lang w:val="ru-RU"/>
              </w:rPr>
              <w:t>отсутствуют</w:t>
            </w:r>
            <w:r>
              <w:rPr>
                <w:snapToGrid w:val="0"/>
                <w:spacing w:val="20"/>
                <w:sz w:val="16"/>
                <w:lang w:val="ru-RU"/>
              </w:rPr>
              <w:t>*</w:t>
            </w:r>
          </w:p>
        </w:tc>
        <w:tc>
          <w:tcPr>
            <w:tcW w:w="785"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Всего</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Мужчины</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Женщины</w:t>
            </w:r>
          </w:p>
        </w:tc>
        <w:tc>
          <w:tcPr>
            <w:tcW w:w="1085"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pacing w:val="20"/>
                <w:sz w:val="16"/>
                <w:lang w:val="ru-RU"/>
              </w:rPr>
            </w:pPr>
            <w:r>
              <w:rPr>
                <w:snapToGrid w:val="0"/>
                <w:spacing w:val="20"/>
                <w:sz w:val="16"/>
                <w:lang w:val="ru-RU"/>
              </w:rPr>
              <w:t xml:space="preserve">Данные </w:t>
            </w:r>
            <w:r>
              <w:rPr>
                <w:snapToGrid w:val="0"/>
                <w:sz w:val="16"/>
                <w:lang w:val="ru-RU"/>
              </w:rPr>
              <w:t>отсутствуют*</w:t>
            </w:r>
          </w:p>
        </w:tc>
      </w:tr>
      <w:tr w:rsidR="00000000">
        <w:tblPrEx>
          <w:tblCellMar>
            <w:top w:w="0" w:type="dxa"/>
            <w:bottom w:w="0" w:type="dxa"/>
          </w:tblCellMar>
        </w:tblPrEx>
        <w:trPr>
          <w:trHeight w:val="216"/>
        </w:trPr>
        <w:tc>
          <w:tcPr>
            <w:tcW w:w="1309" w:type="dxa"/>
            <w:tcBorders>
              <w:top w:val="single" w:sz="2" w:space="0" w:color="auto"/>
              <w:left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b/>
                <w:snapToGrid w:val="0"/>
                <w:spacing w:val="20"/>
                <w:sz w:val="18"/>
                <w:lang w:val="ru-RU"/>
              </w:rPr>
            </w:pPr>
            <w:r>
              <w:rPr>
                <w:b/>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b/>
                <w:snapToGrid w:val="0"/>
                <w:spacing w:val="20"/>
                <w:sz w:val="18"/>
                <w:lang w:val="ru-RU"/>
              </w:rPr>
            </w:pPr>
            <w:r>
              <w:rPr>
                <w:b/>
                <w:snapToGrid w:val="0"/>
                <w:spacing w:val="20"/>
                <w:sz w:val="18"/>
                <w:lang w:val="ru-RU"/>
              </w:rPr>
              <w:t>37 213</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13 676</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4 838</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18 699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b/>
                <w:snapToGrid w:val="0"/>
                <w:spacing w:val="20"/>
                <w:sz w:val="18"/>
                <w:lang w:val="ru-RU"/>
              </w:rPr>
            </w:pPr>
            <w:r>
              <w:rPr>
                <w:b/>
                <w:snapToGrid w:val="0"/>
                <w:spacing w:val="20"/>
                <w:sz w:val="18"/>
                <w:lang w:val="ru-RU"/>
              </w:rPr>
              <w:t>36 648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6 068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11 848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b/>
                <w:snapToGrid w:val="0"/>
                <w:spacing w:val="20"/>
                <w:sz w:val="18"/>
                <w:lang w:val="ru-RU"/>
              </w:rPr>
            </w:pPr>
            <w:r>
              <w:rPr>
                <w:b/>
                <w:snapToGrid w:val="0"/>
                <w:spacing w:val="20"/>
                <w:sz w:val="18"/>
                <w:lang w:val="ru-RU"/>
              </w:rPr>
              <w:t>18 732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b/>
                <w:snapToGrid w:val="0"/>
                <w:spacing w:val="20"/>
                <w:sz w:val="18"/>
                <w:lang w:val="ru-RU"/>
              </w:rPr>
            </w:pPr>
            <w:r>
              <w:rPr>
                <w:b/>
                <w:snapToGrid w:val="0"/>
                <w:spacing w:val="20"/>
                <w:sz w:val="18"/>
                <w:lang w:val="ru-RU"/>
              </w:rPr>
              <w:t>ВСЕГО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b/>
                <w:snapToGrid w:val="0"/>
                <w:spacing w:val="20"/>
                <w:sz w:val="18"/>
                <w:lang w:val="ru-RU"/>
              </w:rPr>
            </w:pPr>
            <w:r>
              <w:rPr>
                <w:b/>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b/>
                <w:snapToGrid w:val="0"/>
                <w:spacing w:val="20"/>
                <w:sz w:val="18"/>
                <w:lang w:val="ru-RU"/>
              </w:rPr>
            </w:pPr>
            <w:r>
              <w:rPr>
                <w:b/>
                <w:snapToGrid w:val="0"/>
                <w:spacing w:val="20"/>
                <w:sz w:val="18"/>
                <w:lang w:val="ru-RU"/>
              </w:rPr>
              <w:t>36 114</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23 485</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9 851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2 778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b/>
                <w:snapToGrid w:val="0"/>
                <w:spacing w:val="20"/>
                <w:sz w:val="18"/>
                <w:lang w:val="ru-RU"/>
              </w:rPr>
            </w:pPr>
            <w:r>
              <w:rPr>
                <w:b/>
                <w:snapToGrid w:val="0"/>
                <w:spacing w:val="20"/>
                <w:sz w:val="18"/>
                <w:lang w:val="ru-RU"/>
              </w:rPr>
              <w:t>30 489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14 862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13 678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b/>
                <w:snapToGrid w:val="0"/>
                <w:spacing w:val="20"/>
                <w:sz w:val="18"/>
                <w:lang w:val="ru-RU"/>
              </w:rPr>
            </w:pPr>
            <w:r>
              <w:rPr>
                <w:b/>
                <w:snapToGrid w:val="0"/>
                <w:spacing w:val="20"/>
                <w:sz w:val="18"/>
                <w:lang w:val="ru-RU"/>
              </w:rPr>
              <w:t>1 949</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b/>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b/>
                <w:snapToGrid w:val="0"/>
                <w:spacing w:val="20"/>
                <w:sz w:val="18"/>
                <w:lang w:val="ru-RU"/>
              </w:rPr>
            </w:pPr>
            <w:r>
              <w:rPr>
                <w:b/>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b/>
                <w:snapToGrid w:val="0"/>
                <w:spacing w:val="20"/>
                <w:sz w:val="18"/>
                <w:lang w:val="ru-RU"/>
              </w:rPr>
            </w:pPr>
            <w:r>
              <w:rPr>
                <w:b/>
                <w:snapToGrid w:val="0"/>
                <w:spacing w:val="20"/>
                <w:sz w:val="18"/>
                <w:lang w:val="ru-RU"/>
              </w:rPr>
              <w:t>36 716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25 548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11 139</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29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b/>
                <w:snapToGrid w:val="0"/>
                <w:spacing w:val="20"/>
                <w:sz w:val="18"/>
                <w:lang w:val="ru-RU"/>
              </w:rPr>
            </w:pPr>
            <w:r>
              <w:rPr>
                <w:b/>
                <w:snapToGrid w:val="0"/>
                <w:spacing w:val="20"/>
                <w:sz w:val="18"/>
                <w:lang w:val="ru-RU"/>
              </w:rPr>
              <w:t>22 032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11 886</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b/>
                <w:snapToGrid w:val="0"/>
                <w:spacing w:val="20"/>
                <w:sz w:val="18"/>
                <w:lang w:val="ru-RU"/>
              </w:rPr>
            </w:pPr>
            <w:r>
              <w:rPr>
                <w:b/>
                <w:snapToGrid w:val="0"/>
                <w:spacing w:val="20"/>
                <w:sz w:val="18"/>
                <w:lang w:val="ru-RU"/>
              </w:rPr>
              <w:t>10 136</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b/>
                <w:snapToGrid w:val="0"/>
                <w:spacing w:val="20"/>
                <w:sz w:val="18"/>
                <w:lang w:val="ru-RU"/>
              </w:rPr>
            </w:pPr>
            <w:r>
              <w:rPr>
                <w:b/>
                <w:snapToGrid w:val="0"/>
                <w:spacing w:val="20"/>
                <w:sz w:val="18"/>
                <w:lang w:val="ru-RU"/>
              </w:rPr>
              <w:t>10</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b/>
                <w:snapToGrid w:val="0"/>
                <w:spacing w:val="20"/>
                <w:sz w:val="18"/>
                <w:lang w:val="ru-RU"/>
              </w:rPr>
            </w:pPr>
            <w:r>
              <w:rPr>
                <w:snapToGrid w:val="0"/>
                <w:spacing w:val="20"/>
                <w:sz w:val="18"/>
                <w:lang w:val="ru-RU"/>
              </w:rPr>
              <w:t>Не старше</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2 620</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1 062</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226</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1 332</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788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111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356</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321</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 xml:space="preserve">19 лет </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2 446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1 802</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443</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201</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730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254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443</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33</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2 365</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1 834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527</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408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128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280</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b/>
                <w:snapToGrid w:val="0"/>
                <w:spacing w:val="20"/>
                <w:sz w:val="18"/>
                <w:lang w:val="ru-RU"/>
              </w:rPr>
            </w:pPr>
            <w:r>
              <w:rPr>
                <w:snapToGrid w:val="0"/>
                <w:spacing w:val="20"/>
                <w:sz w:val="18"/>
                <w:lang w:val="ru-RU"/>
              </w:rPr>
              <w:t>От 20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6 414</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2 418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610</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3 386</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3 308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553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1 510</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1 245</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24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6 477</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4 528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1 431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518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2 985</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1 008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1 812</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165</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7 009</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5 322</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1 680</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2 152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824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1 326</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25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6 257</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2 393</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679</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3 185</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4 732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890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2 017</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1 825</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29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6 320</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4 364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1 476</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480</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4 176</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1 599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2 362</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215</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6 697</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4 933</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1 760</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2 999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1 259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1 739</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30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5 670</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2 152</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711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2 807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5 758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1 064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2 112</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2 582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34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5 696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3 808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1 484</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404</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4 927</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2 .239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2 438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250</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5 754</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4 005</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1 744</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3 619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1 768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1 848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35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4 613</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1 717</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688</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2 208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6 530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1 .121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2 178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3 231</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39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4 737</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2 925</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1 462</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350</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5 433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2 630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2 506</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297</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4 793</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3 224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1 564</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3 870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2 051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1 818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40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3 878</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1 383</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622</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1 873</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6 099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978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1 628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3 493</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44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3 786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2 216</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1 297</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273</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5 141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2 814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2 000</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327</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3 785</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2 380</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1 403</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3 998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2 411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1 587</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45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2 672</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879</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473</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1 320</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4 079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579</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878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2 622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49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2 529</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1 481</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879</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169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3 386</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2 048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1 099</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239</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2 750</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1 644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1 105</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2 463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1 635</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827</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50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1 589</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535</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319</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735</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1 901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250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298</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1 353</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54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1 537</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847</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591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1 636</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1 056</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436</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144</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1 550</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884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666</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1 208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908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300</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55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926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325</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168</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433</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883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108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127</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648</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59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910</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510</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343</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720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524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126</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70</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865</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504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360</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520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405</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115</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60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402</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160</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201</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341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282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64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389</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268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86</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35</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238</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187</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22</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29</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381</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280</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101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186</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164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20</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 65 до</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102</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20</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76</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125</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111</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69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95</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33</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64</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53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8</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86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22</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42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 xml:space="preserve">Начиная с </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36</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30</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32</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70 лет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27</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14</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9</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4</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39</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11</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1997</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2 034</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628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293</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1 113</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2 071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350</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734</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987</w:t>
            </w:r>
          </w:p>
        </w:tc>
      </w:tr>
      <w:tr w:rsidR="00000000">
        <w:tblPrEx>
          <w:tblCellMar>
            <w:top w:w="0" w:type="dxa"/>
            <w:bottom w:w="0" w:type="dxa"/>
          </w:tblCellMar>
        </w:tblPrEx>
        <w:trPr>
          <w:trHeight w:val="221"/>
        </w:trPr>
        <w:tc>
          <w:tcPr>
            <w:tcW w:w="1309" w:type="dxa"/>
            <w:tcBorders>
              <w:left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Данные</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1998</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1 165</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668</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317</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180</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1 042</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443</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431</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168</w:t>
            </w:r>
          </w:p>
        </w:tc>
      </w:tr>
      <w:tr w:rsidR="00000000">
        <w:tblPrEx>
          <w:tblCellMar>
            <w:top w:w="0" w:type="dxa"/>
            <w:bottom w:w="0" w:type="dxa"/>
          </w:tblCellMar>
        </w:tblPrEx>
        <w:trPr>
          <w:trHeight w:val="221"/>
        </w:trPr>
        <w:tc>
          <w:tcPr>
            <w:tcW w:w="1309" w:type="dxa"/>
            <w:tcBorders>
              <w:left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отсутствуют</w:t>
            </w:r>
          </w:p>
        </w:tc>
        <w:tc>
          <w:tcPr>
            <w:tcW w:w="561" w:type="dxa"/>
            <w:tcBorders>
              <w:top w:val="single" w:sz="4" w:space="0" w:color="auto"/>
              <w:bottom w:val="single" w:sz="4" w:space="0" w:color="auto"/>
              <w:right w:val="single" w:sz="4" w:space="0" w:color="auto"/>
            </w:tcBorders>
          </w:tcPr>
          <w:p w:rsidR="00000000" w:rsidRDefault="00000000">
            <w:pPr>
              <w:pStyle w:val="BodyText3"/>
              <w:jc w:val="center"/>
              <w:rPr>
                <w:snapToGrid w:val="0"/>
                <w:spacing w:val="20"/>
                <w:sz w:val="18"/>
                <w:lang w:val="ru-RU"/>
              </w:rPr>
            </w:pPr>
            <w:r>
              <w:rPr>
                <w:snapToGrid w:val="0"/>
                <w:spacing w:val="20"/>
                <w:sz w:val="18"/>
                <w:lang w:val="ru-RU"/>
              </w:rPr>
              <w:t>1999</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642</w:t>
            </w:r>
          </w:p>
        </w:tc>
        <w:tc>
          <w:tcPr>
            <w:tcW w:w="963"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446</w:t>
            </w:r>
          </w:p>
        </w:tc>
        <w:tc>
          <w:tcPr>
            <w:tcW w:w="964"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196</w:t>
            </w:r>
          </w:p>
        </w:tc>
        <w:tc>
          <w:tcPr>
            <w:tcW w:w="1028"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w:t>
            </w:r>
          </w:p>
        </w:tc>
        <w:tc>
          <w:tcPr>
            <w:tcW w:w="785" w:type="dxa"/>
            <w:tcBorders>
              <w:top w:val="single" w:sz="4" w:space="0" w:color="auto"/>
              <w:bottom w:val="single" w:sz="4" w:space="0" w:color="auto"/>
              <w:right w:val="single" w:sz="4" w:space="0" w:color="auto"/>
            </w:tcBorders>
          </w:tcPr>
          <w:p w:rsidR="00000000" w:rsidRDefault="00000000">
            <w:pPr>
              <w:pStyle w:val="BodyText3"/>
              <w:ind w:right="57"/>
              <w:jc w:val="right"/>
              <w:rPr>
                <w:snapToGrid w:val="0"/>
                <w:spacing w:val="20"/>
                <w:sz w:val="18"/>
                <w:lang w:val="ru-RU"/>
              </w:rPr>
            </w:pPr>
            <w:r>
              <w:rPr>
                <w:snapToGrid w:val="0"/>
                <w:spacing w:val="20"/>
                <w:sz w:val="18"/>
                <w:lang w:val="ru-RU"/>
              </w:rPr>
              <w:t>555</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281</w:t>
            </w:r>
          </w:p>
        </w:tc>
        <w:tc>
          <w:tcPr>
            <w:tcW w:w="935" w:type="dxa"/>
            <w:tcBorders>
              <w:top w:val="single" w:sz="4" w:space="0" w:color="auto"/>
              <w:bottom w:val="single" w:sz="4" w:space="0" w:color="auto"/>
              <w:right w:val="single" w:sz="4" w:space="0" w:color="auto"/>
            </w:tcBorders>
          </w:tcPr>
          <w:p w:rsidR="00000000" w:rsidRDefault="00000000">
            <w:pPr>
              <w:pStyle w:val="BodyText3"/>
              <w:ind w:right="170"/>
              <w:jc w:val="right"/>
              <w:rPr>
                <w:snapToGrid w:val="0"/>
                <w:spacing w:val="20"/>
                <w:sz w:val="18"/>
                <w:lang w:val="ru-RU"/>
              </w:rPr>
            </w:pPr>
            <w:r>
              <w:rPr>
                <w:snapToGrid w:val="0"/>
                <w:spacing w:val="20"/>
                <w:sz w:val="18"/>
                <w:lang w:val="ru-RU"/>
              </w:rPr>
              <w:t>274</w:t>
            </w:r>
          </w:p>
        </w:tc>
        <w:tc>
          <w:tcPr>
            <w:tcW w:w="1085" w:type="dxa"/>
            <w:tcBorders>
              <w:top w:val="single" w:sz="4" w:space="0" w:color="auto"/>
              <w:bottom w:val="single" w:sz="4" w:space="0" w:color="auto"/>
              <w:right w:val="single" w:sz="4" w:space="0" w:color="auto"/>
            </w:tcBorders>
          </w:tcPr>
          <w:p w:rsidR="00000000" w:rsidRDefault="00000000">
            <w:pPr>
              <w:pStyle w:val="BodyText3"/>
              <w:ind w:right="227"/>
              <w:jc w:val="right"/>
              <w:rPr>
                <w:snapToGrid w:val="0"/>
                <w:spacing w:val="20"/>
                <w:sz w:val="18"/>
                <w:lang w:val="ru-RU"/>
              </w:rPr>
            </w:pPr>
            <w:r>
              <w:rPr>
                <w:snapToGrid w:val="0"/>
                <w:spacing w:val="20"/>
                <w:sz w:val="18"/>
                <w:lang w:val="ru-RU"/>
              </w:rPr>
              <w:t>–</w:t>
            </w:r>
          </w:p>
        </w:tc>
      </w:tr>
    </w:tbl>
    <w:p w:rsidR="00000000" w:rsidRDefault="00000000">
      <w:pPr>
        <w:pStyle w:val="BodyText3"/>
        <w:rPr>
          <w:spacing w:val="20"/>
          <w:lang w:val="ru-RU"/>
        </w:rPr>
      </w:pPr>
    </w:p>
    <w:p w:rsidR="00000000" w:rsidRDefault="00000000">
      <w:pPr>
        <w:spacing w:line="240" w:lineRule="auto"/>
      </w:pPr>
      <w:r>
        <w:t>*</w:t>
      </w:r>
      <w:r>
        <w:tab/>
        <w:t>С 1997 года в данные с разбивкой по гендерному признаку начали включать сведения, направляемые различными структурами в центральную базу данных системы СУПТ.  Распространение процедур учета данных на новые структуры повлечет за собой устойчивое и постепенное сокращение объема информации о производственном травматизме, представляемой без указания пола пострадавших.</w:t>
      </w:r>
    </w:p>
    <w:p w:rsidR="00000000" w:rsidRDefault="00000000">
      <w:pPr>
        <w:tabs>
          <w:tab w:val="clear" w:pos="2268"/>
          <w:tab w:val="left" w:pos="2057"/>
        </w:tabs>
        <w:spacing w:line="216" w:lineRule="auto"/>
        <w:ind w:left="2057" w:hanging="1490"/>
        <w:rPr>
          <w:b/>
          <w:bCs/>
          <w:snapToGrid w:val="0"/>
        </w:rPr>
      </w:pPr>
      <w:r>
        <w:br w:type="page"/>
      </w:r>
      <w:r>
        <w:rPr>
          <w:b/>
          <w:bCs/>
          <w:snapToGrid w:val="0"/>
        </w:rPr>
        <w:t>Таблица 30.</w:t>
      </w:r>
      <w:r>
        <w:rPr>
          <w:b/>
          <w:bCs/>
          <w:snapToGrid w:val="0"/>
        </w:rPr>
        <w:tab/>
        <w:t>Количество несчастных случаев на производстве в разбивке по причинам, полу и возрастным группам, 1997-1999 годы</w:t>
      </w:r>
    </w:p>
    <w:p w:rsidR="00000000" w:rsidRDefault="00000000">
      <w:pPr>
        <w:tabs>
          <w:tab w:val="clear" w:pos="2268"/>
          <w:tab w:val="left" w:pos="2057"/>
        </w:tabs>
        <w:spacing w:line="216" w:lineRule="auto"/>
        <w:ind w:left="2057" w:hanging="1490"/>
        <w:rPr>
          <w:b/>
          <w:bCs/>
          <w:sz w:val="16"/>
        </w:rPr>
      </w:pPr>
    </w:p>
    <w:tbl>
      <w:tblPr>
        <w:tblW w:w="9475" w:type="dxa"/>
        <w:jc w:val="center"/>
        <w:tblLayout w:type="fixed"/>
        <w:tblCellMar>
          <w:left w:w="30" w:type="dxa"/>
          <w:right w:w="30" w:type="dxa"/>
        </w:tblCellMar>
        <w:tblLook w:val="0000" w:firstRow="0" w:lastRow="0" w:firstColumn="0" w:lastColumn="0" w:noHBand="0" w:noVBand="0"/>
      </w:tblPr>
      <w:tblGrid>
        <w:gridCol w:w="1369"/>
        <w:gridCol w:w="610"/>
        <w:gridCol w:w="794"/>
        <w:gridCol w:w="908"/>
        <w:gridCol w:w="1002"/>
        <w:gridCol w:w="1116"/>
        <w:gridCol w:w="803"/>
        <w:gridCol w:w="910"/>
        <w:gridCol w:w="980"/>
        <w:gridCol w:w="983"/>
      </w:tblGrid>
      <w:tr w:rsidR="00000000">
        <w:tblPrEx>
          <w:tblCellMar>
            <w:top w:w="0" w:type="dxa"/>
            <w:bottom w:w="0" w:type="dxa"/>
          </w:tblCellMar>
        </w:tblPrEx>
        <w:trPr>
          <w:trHeight w:val="133"/>
          <w:jc w:val="center"/>
        </w:trPr>
        <w:tc>
          <w:tcPr>
            <w:tcW w:w="1369" w:type="dxa"/>
            <w:tcBorders>
              <w:top w:val="single" w:sz="2" w:space="0" w:color="auto"/>
              <w:left w:val="single" w:sz="4" w:space="0" w:color="auto"/>
              <w:right w:val="single" w:sz="2" w:space="0" w:color="auto"/>
            </w:tcBorders>
          </w:tcPr>
          <w:p w:rsidR="00000000" w:rsidRDefault="00000000">
            <w:pPr>
              <w:spacing w:line="240" w:lineRule="auto"/>
              <w:jc w:val="center"/>
              <w:rPr>
                <w:snapToGrid w:val="0"/>
                <w:sz w:val="16"/>
              </w:rPr>
            </w:pPr>
          </w:p>
        </w:tc>
        <w:tc>
          <w:tcPr>
            <w:tcW w:w="610" w:type="dxa"/>
            <w:tcBorders>
              <w:top w:val="single" w:sz="2" w:space="0" w:color="auto"/>
              <w:left w:val="single" w:sz="2" w:space="0" w:color="auto"/>
            </w:tcBorders>
          </w:tcPr>
          <w:p w:rsidR="00000000" w:rsidRDefault="00000000">
            <w:pPr>
              <w:spacing w:line="240" w:lineRule="auto"/>
              <w:jc w:val="center"/>
              <w:rPr>
                <w:snapToGrid w:val="0"/>
                <w:sz w:val="16"/>
              </w:rPr>
            </w:pPr>
          </w:p>
        </w:tc>
        <w:tc>
          <w:tcPr>
            <w:tcW w:w="7496" w:type="dxa"/>
            <w:gridSpan w:val="8"/>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Количество зарегистрированных несчастных случаев на производстве</w:t>
            </w:r>
          </w:p>
        </w:tc>
      </w:tr>
      <w:tr w:rsidR="00000000">
        <w:tblPrEx>
          <w:tblCellMar>
            <w:top w:w="0" w:type="dxa"/>
            <w:bottom w:w="0" w:type="dxa"/>
          </w:tblCellMar>
        </w:tblPrEx>
        <w:trPr>
          <w:trHeight w:val="93"/>
          <w:jc w:val="center"/>
        </w:trPr>
        <w:tc>
          <w:tcPr>
            <w:tcW w:w="1369" w:type="dxa"/>
            <w:tcBorders>
              <w:left w:val="single" w:sz="4" w:space="0" w:color="auto"/>
              <w:right w:val="single" w:sz="2" w:space="0" w:color="auto"/>
            </w:tcBorders>
          </w:tcPr>
          <w:p w:rsidR="00000000" w:rsidRDefault="00000000">
            <w:pPr>
              <w:spacing w:line="240" w:lineRule="auto"/>
              <w:jc w:val="center"/>
              <w:rPr>
                <w:snapToGrid w:val="0"/>
                <w:sz w:val="16"/>
              </w:rPr>
            </w:pPr>
            <w:r>
              <w:rPr>
                <w:snapToGrid w:val="0"/>
                <w:sz w:val="16"/>
              </w:rPr>
              <w:t>ВОЗРАСТ</w:t>
            </w:r>
          </w:p>
        </w:tc>
        <w:tc>
          <w:tcPr>
            <w:tcW w:w="610" w:type="dxa"/>
            <w:tcBorders>
              <w:left w:val="single" w:sz="2" w:space="0" w:color="auto"/>
            </w:tcBorders>
          </w:tcPr>
          <w:p w:rsidR="00000000" w:rsidRDefault="00000000">
            <w:pPr>
              <w:spacing w:line="240" w:lineRule="auto"/>
              <w:jc w:val="center"/>
              <w:rPr>
                <w:snapToGrid w:val="0"/>
                <w:sz w:val="16"/>
              </w:rPr>
            </w:pPr>
            <w:r>
              <w:rPr>
                <w:snapToGrid w:val="0"/>
                <w:sz w:val="16"/>
              </w:rPr>
              <w:t>ГОД</w:t>
            </w:r>
          </w:p>
        </w:tc>
        <w:tc>
          <w:tcPr>
            <w:tcW w:w="3820" w:type="dxa"/>
            <w:gridSpan w:val="4"/>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Всего</w:t>
            </w:r>
          </w:p>
        </w:tc>
        <w:tc>
          <w:tcPr>
            <w:tcW w:w="3676" w:type="dxa"/>
            <w:gridSpan w:val="4"/>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Типичный травматизм</w:t>
            </w:r>
          </w:p>
        </w:tc>
      </w:tr>
      <w:tr w:rsidR="00000000">
        <w:tblPrEx>
          <w:tblCellMar>
            <w:top w:w="0" w:type="dxa"/>
            <w:bottom w:w="0" w:type="dxa"/>
          </w:tblCellMar>
        </w:tblPrEx>
        <w:trPr>
          <w:trHeight w:val="181"/>
          <w:jc w:val="center"/>
        </w:trPr>
        <w:tc>
          <w:tcPr>
            <w:tcW w:w="1369" w:type="dxa"/>
            <w:tcBorders>
              <w:left w:val="single" w:sz="4" w:space="0" w:color="auto"/>
              <w:bottom w:val="single" w:sz="2" w:space="0" w:color="auto"/>
              <w:right w:val="single" w:sz="2" w:space="0" w:color="auto"/>
            </w:tcBorders>
          </w:tcPr>
          <w:p w:rsidR="00000000" w:rsidRDefault="00000000">
            <w:pPr>
              <w:spacing w:line="240" w:lineRule="auto"/>
              <w:jc w:val="center"/>
              <w:rPr>
                <w:snapToGrid w:val="0"/>
                <w:sz w:val="16"/>
              </w:rPr>
            </w:pPr>
          </w:p>
        </w:tc>
        <w:tc>
          <w:tcPr>
            <w:tcW w:w="610" w:type="dxa"/>
            <w:tcBorders>
              <w:left w:val="single" w:sz="2" w:space="0" w:color="auto"/>
            </w:tcBorders>
          </w:tcPr>
          <w:p w:rsidR="00000000" w:rsidRDefault="00000000">
            <w:pPr>
              <w:spacing w:line="240" w:lineRule="auto"/>
              <w:jc w:val="center"/>
              <w:rPr>
                <w:snapToGrid w:val="0"/>
                <w:sz w:val="16"/>
              </w:rPr>
            </w:pPr>
          </w:p>
        </w:tc>
        <w:tc>
          <w:tcPr>
            <w:tcW w:w="794"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Всего</w:t>
            </w:r>
          </w:p>
        </w:tc>
        <w:tc>
          <w:tcPr>
            <w:tcW w:w="908"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Мужчины</w:t>
            </w:r>
          </w:p>
        </w:tc>
        <w:tc>
          <w:tcPr>
            <w:tcW w:w="100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Женщины</w:t>
            </w:r>
          </w:p>
        </w:tc>
        <w:tc>
          <w:tcPr>
            <w:tcW w:w="111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Данные отсутствуют*</w:t>
            </w:r>
          </w:p>
        </w:tc>
        <w:tc>
          <w:tcPr>
            <w:tcW w:w="80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Всего</w:t>
            </w:r>
          </w:p>
        </w:tc>
        <w:tc>
          <w:tcPr>
            <w:tcW w:w="91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Мужчины</w:t>
            </w:r>
          </w:p>
        </w:tc>
        <w:tc>
          <w:tcPr>
            <w:tcW w:w="98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Женщины</w:t>
            </w:r>
          </w:p>
        </w:tc>
        <w:tc>
          <w:tcPr>
            <w:tcW w:w="983"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sz w:val="16"/>
              </w:rPr>
            </w:pPr>
            <w:r>
              <w:rPr>
                <w:snapToGrid w:val="0"/>
                <w:sz w:val="16"/>
              </w:rPr>
              <w:t>Данные отсутствуют</w:t>
            </w:r>
          </w:p>
        </w:tc>
      </w:tr>
      <w:tr w:rsidR="00000000">
        <w:tblPrEx>
          <w:tblCellMar>
            <w:top w:w="0" w:type="dxa"/>
            <w:bottom w:w="0" w:type="dxa"/>
          </w:tblCellMar>
        </w:tblPrEx>
        <w:trPr>
          <w:trHeight w:val="216"/>
          <w:jc w:val="center"/>
        </w:trPr>
        <w:tc>
          <w:tcPr>
            <w:tcW w:w="1369" w:type="dxa"/>
            <w:tcBorders>
              <w:top w:val="single" w:sz="2" w:space="0" w:color="auto"/>
              <w:left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b/>
                <w:snapToGrid w:val="0"/>
                <w:sz w:val="18"/>
              </w:rPr>
            </w:pPr>
            <w:r>
              <w:rPr>
                <w:b/>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421 343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118 349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32 400</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b/>
                <w:snapToGrid w:val="0"/>
                <w:sz w:val="18"/>
              </w:rPr>
            </w:pPr>
            <w:r>
              <w:rPr>
                <w:b/>
                <w:snapToGrid w:val="0"/>
                <w:sz w:val="18"/>
              </w:rPr>
              <w:t>270 594</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b/>
                <w:snapToGrid w:val="0"/>
                <w:sz w:val="18"/>
              </w:rPr>
            </w:pPr>
            <w:r>
              <w:rPr>
                <w:b/>
                <w:snapToGrid w:val="0"/>
                <w:sz w:val="18"/>
              </w:rPr>
              <w:t>347 482</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98 605</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15 714</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b/>
                <w:snapToGrid w:val="0"/>
                <w:sz w:val="18"/>
              </w:rPr>
            </w:pPr>
            <w:r>
              <w:rPr>
                <w:b/>
                <w:snapToGrid w:val="0"/>
                <w:sz w:val="18"/>
              </w:rPr>
              <w:t>233 163</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b/>
                <w:snapToGrid w:val="0"/>
                <w:sz w:val="18"/>
              </w:rPr>
            </w:pPr>
            <w:r>
              <w:rPr>
                <w:b/>
                <w:snapToGrid w:val="0"/>
                <w:sz w:val="18"/>
              </w:rPr>
              <w:t>ВСЕГО</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b/>
                <w:snapToGrid w:val="0"/>
                <w:sz w:val="18"/>
              </w:rPr>
            </w:pPr>
            <w:r>
              <w:rPr>
                <w:b/>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414 341</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298 399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72 142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b/>
                <w:snapToGrid w:val="0"/>
                <w:sz w:val="18"/>
              </w:rPr>
            </w:pPr>
            <w:r>
              <w:rPr>
                <w:b/>
                <w:snapToGrid w:val="0"/>
                <w:sz w:val="18"/>
              </w:rPr>
              <w:t>43 800</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b/>
                <w:snapToGrid w:val="0"/>
                <w:sz w:val="18"/>
              </w:rPr>
            </w:pPr>
            <w:r>
              <w:rPr>
                <w:b/>
                <w:snapToGrid w:val="0"/>
                <w:sz w:val="18"/>
              </w:rPr>
              <w:t>347 738</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260 052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48 613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b/>
                <w:snapToGrid w:val="0"/>
                <w:sz w:val="18"/>
              </w:rPr>
            </w:pPr>
            <w:r>
              <w:rPr>
                <w:b/>
                <w:snapToGrid w:val="0"/>
                <w:sz w:val="18"/>
              </w:rPr>
              <w:t>39 073</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b/>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b/>
                <w:snapToGrid w:val="0"/>
                <w:sz w:val="18"/>
              </w:rPr>
            </w:pPr>
            <w:r>
              <w:rPr>
                <w:b/>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378 365</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302 684</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75 026</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b/>
                <w:snapToGrid w:val="0"/>
                <w:sz w:val="18"/>
              </w:rPr>
            </w:pPr>
            <w:r>
              <w:rPr>
                <w:b/>
                <w:snapToGrid w:val="0"/>
                <w:sz w:val="18"/>
              </w:rPr>
              <w:t>655</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b/>
                <w:snapToGrid w:val="0"/>
                <w:sz w:val="18"/>
              </w:rPr>
            </w:pPr>
            <w:r>
              <w:rPr>
                <w:b/>
                <w:snapToGrid w:val="0"/>
                <w:sz w:val="18"/>
              </w:rPr>
              <w:t>319 617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265 250</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b/>
                <w:snapToGrid w:val="0"/>
                <w:sz w:val="18"/>
              </w:rPr>
            </w:pPr>
            <w:r>
              <w:rPr>
                <w:b/>
                <w:snapToGrid w:val="0"/>
                <w:sz w:val="18"/>
              </w:rPr>
              <w:t>53 751</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b/>
                <w:snapToGrid w:val="0"/>
                <w:sz w:val="18"/>
              </w:rPr>
            </w:pPr>
            <w:r>
              <w:rPr>
                <w:b/>
                <w:snapToGrid w:val="0"/>
                <w:sz w:val="18"/>
              </w:rPr>
              <w:t>616</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b/>
                <w:snapToGrid w:val="0"/>
                <w:sz w:val="18"/>
              </w:rPr>
            </w:pPr>
            <w:r>
              <w:rPr>
                <w:snapToGrid w:val="0"/>
                <w:sz w:val="18"/>
              </w:rPr>
              <w:t>Не старше</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30 901</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8 754</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1 643</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20 504</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27 493</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7 581</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1 061</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18 851</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19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29 .015</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21 895</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3 813</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3 307</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25 839</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19 839</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2 927</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3 073</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24 760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20 802</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3 892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66</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21 987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18 840</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3 085</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62</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b/>
                <w:snapToGrid w:val="0"/>
                <w:sz w:val="18"/>
              </w:rPr>
            </w:pPr>
            <w:r>
              <w:rPr>
                <w:snapToGrid w:val="0"/>
                <w:sz w:val="18"/>
              </w:rPr>
              <w:t>От 20</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73 691</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18 818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4 054</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50 819</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63 969</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15 847</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1 934</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46 188</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24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74 .343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55 808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10 186</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8 349</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64 881</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50 272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6 943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7 666</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69 889</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58 .642</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11 094</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153</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60 728</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52 496</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8 088</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144</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25</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69 500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18 726</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4 854</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45 920</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58 511</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15 443</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2 158</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40 910</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29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70 973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51 .935</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11 417</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7 .621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60 .477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45 972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7 579</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6 926</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66 198</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54 137</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11 943</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118</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56 502</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47 945</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8 444</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113</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30</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63 664</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17 886</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5 070</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40 708</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52 236</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14 670</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2 247</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35 319</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34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64 379</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46 128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11 696</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6 .555</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53 756</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40 081</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7 774</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5 901</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59 881</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47 502</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12 .270</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109</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50 508</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41 729</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8 678</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101</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35</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54 950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15 866</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5 239</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33 845</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43 807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13 028</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2 373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28 406</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39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55 177</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38 459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11 478</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5 240</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45 007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32 904</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7 510</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4 593</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51 690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39 933</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11 686</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71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43 027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34 658</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8 304</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65</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40</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45 172</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13 469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4 315</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27 388</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35 195</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11 108</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2 065</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22 022</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44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44 571</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30 971</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9 462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4 138</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35 644</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25 941</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6 165</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3 538</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41 976</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31939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9 978</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59</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34 193</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27 148</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6 988</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57</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45</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30 513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9 220</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2 903</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18 390</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23 762</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7 762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1 552</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14 448</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49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29 966</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20 957</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6 185</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2 824</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24 051</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17 428</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4 207</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2 416</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28 107</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21 494</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6 582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31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22 894</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18 215</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4 650</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29</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50</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17 500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5 616</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1 652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10 232</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14 010</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4 831</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1 035</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8 144</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54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17 276</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12 189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3 518</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1 569</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14 103</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10 286</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2 491</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1 326</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15 973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12 090</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3 861</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22</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13 215</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10 298</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2 895</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22</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55</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9 298</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3 260</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732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5 306</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7 489</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2 827</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437</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4 225</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59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9 266</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6 .817</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1 622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827</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7 636</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5 783</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1 153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700</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8 483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6 678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1 794</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7 098</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5 769</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1 319</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10</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60</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3 850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1 288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125</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2 437</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3 107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1 076</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77</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1 954</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64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3 528</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2 781</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401</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346</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2 901</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2 326</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293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282</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3 392</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2 906</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479</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7</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2 825</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2 462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358</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5</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От 65</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1 079</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187</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21</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871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852</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155</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684</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до 69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943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738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96</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109</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784</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631</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60</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93</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833</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718</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115</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705</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612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Начиная с</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346</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29</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313</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277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25</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251</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70 лет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310</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224</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32</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54</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272</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203</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23</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46</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289</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243</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45</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238</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205</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32</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1997</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20 879</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5 230</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1 788</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13 861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16 774</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4 252</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761</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11 761</w:t>
            </w:r>
          </w:p>
        </w:tc>
      </w:tr>
      <w:tr w:rsidR="00000000">
        <w:tblPrEx>
          <w:tblCellMar>
            <w:top w:w="0" w:type="dxa"/>
            <w:bottom w:w="0" w:type="dxa"/>
          </w:tblCellMar>
        </w:tblPrEx>
        <w:trPr>
          <w:trHeight w:val="221"/>
          <w:jc w:val="center"/>
        </w:trPr>
        <w:tc>
          <w:tcPr>
            <w:tcW w:w="1369" w:type="dxa"/>
            <w:tcBorders>
              <w:left w:val="single" w:sz="4" w:space="0" w:color="auto"/>
              <w:right w:val="single" w:sz="4" w:space="0" w:color="auto"/>
            </w:tcBorders>
          </w:tcPr>
          <w:p w:rsidR="00000000" w:rsidRDefault="00000000">
            <w:pPr>
              <w:spacing w:line="240" w:lineRule="auto"/>
              <w:jc w:val="center"/>
              <w:rPr>
                <w:snapToGrid w:val="0"/>
                <w:sz w:val="18"/>
              </w:rPr>
            </w:pPr>
            <w:r>
              <w:rPr>
                <w:snapToGrid w:val="0"/>
                <w:sz w:val="18"/>
              </w:rPr>
              <w:t>Данные</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1998</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14 594</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9 497</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2 236</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2 861</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12 387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8 386</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1 488</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2 513</w:t>
            </w:r>
          </w:p>
        </w:tc>
      </w:tr>
      <w:tr w:rsidR="00000000">
        <w:tblPrEx>
          <w:tblCellMar>
            <w:top w:w="0" w:type="dxa"/>
            <w:bottom w:w="0" w:type="dxa"/>
          </w:tblCellMar>
        </w:tblPrEx>
        <w:trPr>
          <w:trHeight w:val="221"/>
          <w:jc w:val="center"/>
        </w:trPr>
        <w:tc>
          <w:tcPr>
            <w:tcW w:w="1369" w:type="dxa"/>
            <w:tcBorders>
              <w:left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отсутствуют</w:t>
            </w:r>
          </w:p>
        </w:tc>
        <w:tc>
          <w:tcPr>
            <w:tcW w:w="610" w:type="dxa"/>
            <w:tcBorders>
              <w:top w:val="single" w:sz="4" w:space="0" w:color="auto"/>
              <w:bottom w:val="single" w:sz="4" w:space="0" w:color="auto"/>
              <w:right w:val="single" w:sz="4" w:space="0" w:color="auto"/>
            </w:tcBorders>
          </w:tcPr>
          <w:p w:rsidR="00000000" w:rsidRDefault="00000000">
            <w:pPr>
              <w:spacing w:line="240" w:lineRule="auto"/>
              <w:jc w:val="center"/>
              <w:rPr>
                <w:snapToGrid w:val="0"/>
                <w:sz w:val="18"/>
              </w:rPr>
            </w:pPr>
            <w:r>
              <w:rPr>
                <w:snapToGrid w:val="0"/>
                <w:sz w:val="18"/>
              </w:rPr>
              <w:t>1999</w:t>
            </w:r>
          </w:p>
        </w:tc>
        <w:tc>
          <w:tcPr>
            <w:tcW w:w="794"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6 894</w:t>
            </w:r>
          </w:p>
        </w:tc>
        <w:tc>
          <w:tcPr>
            <w:tcW w:w="908"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5 600</w:t>
            </w:r>
          </w:p>
        </w:tc>
        <w:tc>
          <w:tcPr>
            <w:tcW w:w="1002"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1 287</w:t>
            </w:r>
          </w:p>
        </w:tc>
        <w:tc>
          <w:tcPr>
            <w:tcW w:w="1116" w:type="dxa"/>
            <w:tcBorders>
              <w:top w:val="single" w:sz="4" w:space="0" w:color="auto"/>
              <w:bottom w:val="single" w:sz="4" w:space="0" w:color="auto"/>
              <w:right w:val="single" w:sz="4" w:space="0" w:color="auto"/>
            </w:tcBorders>
          </w:tcPr>
          <w:p w:rsidR="00000000" w:rsidRDefault="00000000">
            <w:pPr>
              <w:spacing w:line="240" w:lineRule="auto"/>
              <w:ind w:right="227"/>
              <w:jc w:val="right"/>
              <w:rPr>
                <w:snapToGrid w:val="0"/>
                <w:sz w:val="18"/>
              </w:rPr>
            </w:pPr>
            <w:r>
              <w:rPr>
                <w:snapToGrid w:val="0"/>
                <w:sz w:val="18"/>
              </w:rPr>
              <w:t>7</w:t>
            </w:r>
          </w:p>
        </w:tc>
        <w:tc>
          <w:tcPr>
            <w:tcW w:w="803" w:type="dxa"/>
            <w:tcBorders>
              <w:top w:val="single" w:sz="4" w:space="0" w:color="auto"/>
              <w:bottom w:val="single" w:sz="4" w:space="0" w:color="auto"/>
              <w:right w:val="single" w:sz="4" w:space="0" w:color="auto"/>
            </w:tcBorders>
          </w:tcPr>
          <w:p w:rsidR="00000000" w:rsidRDefault="00000000">
            <w:pPr>
              <w:spacing w:line="240" w:lineRule="auto"/>
              <w:ind w:right="57"/>
              <w:jc w:val="right"/>
              <w:rPr>
                <w:snapToGrid w:val="0"/>
                <w:sz w:val="18"/>
              </w:rPr>
            </w:pPr>
            <w:r>
              <w:rPr>
                <w:snapToGrid w:val="0"/>
                <w:sz w:val="18"/>
              </w:rPr>
              <w:t>5 697</w:t>
            </w:r>
          </w:p>
        </w:tc>
        <w:tc>
          <w:tcPr>
            <w:tcW w:w="91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4 873</w:t>
            </w:r>
          </w:p>
        </w:tc>
        <w:tc>
          <w:tcPr>
            <w:tcW w:w="980" w:type="dxa"/>
            <w:tcBorders>
              <w:top w:val="single" w:sz="4" w:space="0" w:color="auto"/>
              <w:bottom w:val="single" w:sz="4" w:space="0" w:color="auto"/>
              <w:right w:val="single" w:sz="4" w:space="0" w:color="auto"/>
            </w:tcBorders>
          </w:tcPr>
          <w:p w:rsidR="00000000" w:rsidRDefault="00000000">
            <w:pPr>
              <w:spacing w:line="240" w:lineRule="auto"/>
              <w:ind w:right="113"/>
              <w:jc w:val="right"/>
              <w:rPr>
                <w:snapToGrid w:val="0"/>
                <w:sz w:val="18"/>
              </w:rPr>
            </w:pPr>
            <w:r>
              <w:rPr>
                <w:snapToGrid w:val="0"/>
                <w:sz w:val="18"/>
              </w:rPr>
              <w:t>817</w:t>
            </w:r>
          </w:p>
        </w:tc>
        <w:tc>
          <w:tcPr>
            <w:tcW w:w="983" w:type="dxa"/>
            <w:tcBorders>
              <w:top w:val="single" w:sz="4" w:space="0" w:color="auto"/>
              <w:bottom w:val="single" w:sz="4" w:space="0" w:color="auto"/>
              <w:right w:val="single" w:sz="4" w:space="0" w:color="auto"/>
            </w:tcBorders>
          </w:tcPr>
          <w:p w:rsidR="00000000" w:rsidRDefault="00000000">
            <w:pPr>
              <w:spacing w:line="240" w:lineRule="auto"/>
              <w:ind w:right="170"/>
              <w:jc w:val="right"/>
              <w:rPr>
                <w:snapToGrid w:val="0"/>
                <w:sz w:val="18"/>
              </w:rPr>
            </w:pPr>
            <w:r>
              <w:rPr>
                <w:snapToGrid w:val="0"/>
                <w:sz w:val="18"/>
              </w:rPr>
              <w:t>7</w:t>
            </w:r>
          </w:p>
        </w:tc>
      </w:tr>
    </w:tbl>
    <w:p w:rsidR="00000000" w:rsidRDefault="00000000">
      <w:pPr>
        <w:pStyle w:val="BodyText3"/>
        <w:rPr>
          <w:b/>
          <w:bCs/>
          <w:sz w:val="16"/>
          <w:lang w:val="ru-RU"/>
        </w:rPr>
      </w:pPr>
    </w:p>
    <w:p w:rsidR="00000000" w:rsidRDefault="00000000">
      <w:pPr>
        <w:spacing w:line="240" w:lineRule="auto"/>
        <w:rPr>
          <w:sz w:val="20"/>
        </w:rPr>
      </w:pPr>
      <w:r>
        <w:rPr>
          <w:sz w:val="20"/>
          <w:u w:val="single"/>
        </w:rPr>
        <w:t>Источник</w:t>
      </w:r>
      <w:r>
        <w:rPr>
          <w:sz w:val="20"/>
        </w:rPr>
        <w:t>:  ДАТАПРЕВ, СУПТ.</w:t>
      </w:r>
    </w:p>
    <w:p w:rsidR="00000000" w:rsidRDefault="00000000">
      <w:pPr>
        <w:spacing w:line="240" w:lineRule="auto"/>
        <w:rPr>
          <w:sz w:val="16"/>
        </w:rPr>
      </w:pPr>
    </w:p>
    <w:p w:rsidR="00000000" w:rsidRDefault="00000000">
      <w:pPr>
        <w:spacing w:line="240" w:lineRule="auto"/>
        <w:rPr>
          <w:sz w:val="20"/>
        </w:rPr>
      </w:pPr>
      <w:r>
        <w:rPr>
          <w:sz w:val="20"/>
          <w:u w:val="single"/>
        </w:rPr>
        <w:t>Примечание</w:t>
      </w:r>
      <w:r>
        <w:rPr>
          <w:sz w:val="20"/>
        </w:rPr>
        <w:t>:  Вышеуказанные данные являются неполными и могут подлежать корректировке.</w:t>
      </w:r>
    </w:p>
    <w:p w:rsidR="00000000" w:rsidRDefault="00000000">
      <w:pPr>
        <w:spacing w:line="240" w:lineRule="auto"/>
        <w:rPr>
          <w:sz w:val="16"/>
        </w:rPr>
      </w:pPr>
    </w:p>
    <w:p w:rsidR="00000000" w:rsidRDefault="00000000">
      <w:pPr>
        <w:spacing w:line="240" w:lineRule="auto"/>
      </w:pPr>
      <w:r>
        <w:rPr>
          <w:sz w:val="20"/>
        </w:rPr>
        <w:t>*</w:t>
      </w:r>
      <w:r>
        <w:rPr>
          <w:sz w:val="20"/>
        </w:rPr>
        <w:tab/>
        <w:t>С 1997 года в данные с разбивкой по гендерному признаку стали включаться сведения, направляемые различными структурами в центральную базу данных системы СУПТ.  Расширение процедур учета данных на новые структуры повлечет за собой устойчивое и постепенное сокращение объема информации о производственном травматизме, представляемой без указания пола пострадавших.</w:t>
      </w:r>
    </w:p>
    <w:p w:rsidR="00000000" w:rsidRDefault="00000000">
      <w:pPr>
        <w:pStyle w:val="BodyText3"/>
        <w:tabs>
          <w:tab w:val="left" w:pos="1683"/>
        </w:tabs>
        <w:spacing w:after="120"/>
        <w:ind w:left="1683" w:hanging="1683"/>
        <w:jc w:val="center"/>
        <w:rPr>
          <w:b/>
          <w:snapToGrid w:val="0"/>
          <w:spacing w:val="20"/>
          <w:kern w:val="2"/>
          <w:sz w:val="24"/>
          <w:lang w:val="ru-RU"/>
        </w:rPr>
      </w:pPr>
      <w:r>
        <w:rPr>
          <w:b/>
          <w:snapToGrid w:val="0"/>
          <w:spacing w:val="20"/>
          <w:kern w:val="2"/>
          <w:sz w:val="24"/>
          <w:lang w:val="ru-RU"/>
        </w:rPr>
        <w:t>Таблица 31.</w:t>
      </w:r>
      <w:r>
        <w:rPr>
          <w:b/>
          <w:snapToGrid w:val="0"/>
          <w:spacing w:val="20"/>
          <w:kern w:val="2"/>
          <w:sz w:val="24"/>
          <w:lang w:val="ru-RU"/>
        </w:rPr>
        <w:tab/>
        <w:t>Помесячное количество урегулированных случаев производственного травматизма в разбивке по последствиям, 1997-1999 годы</w:t>
      </w:r>
    </w:p>
    <w:p w:rsidR="00000000" w:rsidRDefault="00000000">
      <w:pPr>
        <w:pStyle w:val="BodyText3"/>
        <w:tabs>
          <w:tab w:val="left" w:pos="1683"/>
        </w:tabs>
        <w:spacing w:after="120"/>
        <w:ind w:left="1683" w:hanging="1683"/>
        <w:jc w:val="left"/>
        <w:rPr>
          <w:spacing w:val="20"/>
          <w:kern w:val="2"/>
          <w:sz w:val="24"/>
          <w:lang w:val="ru-RU"/>
        </w:rPr>
      </w:pPr>
    </w:p>
    <w:tbl>
      <w:tblPr>
        <w:tblW w:w="0" w:type="auto"/>
        <w:jc w:val="center"/>
        <w:tblLayout w:type="fixed"/>
        <w:tblCellMar>
          <w:left w:w="30" w:type="dxa"/>
          <w:right w:w="30" w:type="dxa"/>
        </w:tblCellMar>
        <w:tblLook w:val="0000" w:firstRow="0" w:lastRow="0" w:firstColumn="0" w:lastColumn="0" w:noHBand="0" w:noVBand="0"/>
      </w:tblPr>
      <w:tblGrid>
        <w:gridCol w:w="833"/>
        <w:gridCol w:w="567"/>
        <w:gridCol w:w="709"/>
        <w:gridCol w:w="850"/>
        <w:gridCol w:w="993"/>
        <w:gridCol w:w="1134"/>
        <w:gridCol w:w="1275"/>
        <w:gridCol w:w="1203"/>
        <w:gridCol w:w="837"/>
      </w:tblGrid>
      <w:tr w:rsidR="00000000">
        <w:tblPrEx>
          <w:tblCellMar>
            <w:top w:w="0" w:type="dxa"/>
            <w:bottom w:w="0" w:type="dxa"/>
          </w:tblCellMar>
        </w:tblPrEx>
        <w:trPr>
          <w:cantSplit/>
          <w:trHeight w:val="245"/>
          <w:jc w:val="center"/>
        </w:trPr>
        <w:tc>
          <w:tcPr>
            <w:tcW w:w="833" w:type="dxa"/>
            <w:vMerge w:val="restart"/>
            <w:tcBorders>
              <w:top w:val="single" w:sz="2" w:space="0" w:color="auto"/>
              <w:left w:val="single" w:sz="4"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Месяц</w:t>
            </w:r>
          </w:p>
        </w:tc>
        <w:tc>
          <w:tcPr>
            <w:tcW w:w="567" w:type="dxa"/>
            <w:vMerge w:val="restart"/>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Год</w:t>
            </w:r>
          </w:p>
        </w:tc>
        <w:tc>
          <w:tcPr>
            <w:tcW w:w="7001" w:type="dxa"/>
            <w:gridSpan w:val="7"/>
            <w:tcBorders>
              <w:top w:val="single" w:sz="2" w:space="0" w:color="auto"/>
              <w:left w:val="single" w:sz="2" w:space="0" w:color="auto"/>
              <w:bottom w:val="single" w:sz="2"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Количество урегулированных случаев производственного травматизма</w:t>
            </w:r>
          </w:p>
        </w:tc>
      </w:tr>
      <w:tr w:rsidR="00000000">
        <w:tblPrEx>
          <w:tblCellMar>
            <w:top w:w="0" w:type="dxa"/>
            <w:bottom w:w="0" w:type="dxa"/>
          </w:tblCellMar>
        </w:tblPrEx>
        <w:trPr>
          <w:cantSplit/>
          <w:trHeight w:val="245"/>
          <w:jc w:val="center"/>
        </w:trPr>
        <w:tc>
          <w:tcPr>
            <w:tcW w:w="833" w:type="dxa"/>
            <w:vMerge/>
            <w:tcBorders>
              <w:left w:val="single" w:sz="4" w:space="0" w:color="auto"/>
              <w:right w:val="single" w:sz="2" w:space="0" w:color="auto"/>
            </w:tcBorders>
          </w:tcPr>
          <w:p w:rsidR="00000000" w:rsidRDefault="00000000">
            <w:pPr>
              <w:pStyle w:val="BodyText3"/>
              <w:jc w:val="center"/>
              <w:rPr>
                <w:snapToGrid w:val="0"/>
                <w:sz w:val="18"/>
                <w:lang w:val="ru-RU"/>
              </w:rPr>
            </w:pPr>
          </w:p>
        </w:tc>
        <w:tc>
          <w:tcPr>
            <w:tcW w:w="567"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709" w:type="dxa"/>
            <w:vMerge w:val="restart"/>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Всего</w:t>
            </w:r>
          </w:p>
        </w:tc>
        <w:tc>
          <w:tcPr>
            <w:tcW w:w="6292" w:type="dxa"/>
            <w:gridSpan w:val="6"/>
            <w:tcBorders>
              <w:top w:val="single" w:sz="2" w:space="0" w:color="auto"/>
              <w:left w:val="single" w:sz="2" w:space="0" w:color="auto"/>
              <w:bottom w:val="single" w:sz="2"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Результаты</w:t>
            </w:r>
          </w:p>
        </w:tc>
      </w:tr>
      <w:tr w:rsidR="00000000">
        <w:tblPrEx>
          <w:tblCellMar>
            <w:top w:w="0" w:type="dxa"/>
            <w:bottom w:w="0" w:type="dxa"/>
          </w:tblCellMar>
        </w:tblPrEx>
        <w:trPr>
          <w:cantSplit/>
          <w:trHeight w:val="245"/>
          <w:jc w:val="center"/>
        </w:trPr>
        <w:tc>
          <w:tcPr>
            <w:tcW w:w="833" w:type="dxa"/>
            <w:vMerge/>
            <w:tcBorders>
              <w:left w:val="single" w:sz="4" w:space="0" w:color="auto"/>
              <w:right w:val="single" w:sz="2" w:space="0" w:color="auto"/>
            </w:tcBorders>
          </w:tcPr>
          <w:p w:rsidR="00000000" w:rsidRDefault="00000000">
            <w:pPr>
              <w:pStyle w:val="BodyText3"/>
              <w:jc w:val="center"/>
              <w:rPr>
                <w:snapToGrid w:val="0"/>
                <w:sz w:val="18"/>
                <w:lang w:val="ru-RU"/>
              </w:rPr>
            </w:pPr>
          </w:p>
        </w:tc>
        <w:tc>
          <w:tcPr>
            <w:tcW w:w="567"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709" w:type="dxa"/>
            <w:vMerge/>
            <w:tcBorders>
              <w:left w:val="single" w:sz="2" w:space="0" w:color="auto"/>
              <w:right w:val="single" w:sz="2" w:space="0" w:color="auto"/>
            </w:tcBorders>
            <w:vAlign w:val="center"/>
          </w:tcPr>
          <w:p w:rsidR="00000000" w:rsidRDefault="00000000">
            <w:pPr>
              <w:pStyle w:val="BodyText3"/>
              <w:jc w:val="center"/>
              <w:rPr>
                <w:snapToGrid w:val="0"/>
                <w:sz w:val="18"/>
                <w:lang w:val="ru-RU"/>
              </w:rPr>
            </w:pPr>
          </w:p>
        </w:tc>
        <w:tc>
          <w:tcPr>
            <w:tcW w:w="850" w:type="dxa"/>
            <w:vMerge w:val="restart"/>
            <w:tcBorders>
              <w:top w:val="single" w:sz="2" w:space="0" w:color="auto"/>
              <w:left w:val="single" w:sz="2" w:space="0" w:color="auto"/>
              <w:right w:val="single" w:sz="2" w:space="0" w:color="auto"/>
            </w:tcBorders>
          </w:tcPr>
          <w:p w:rsidR="00000000" w:rsidRDefault="00000000">
            <w:pPr>
              <w:pStyle w:val="BodyText3"/>
              <w:jc w:val="center"/>
              <w:rPr>
                <w:snapToGrid w:val="0"/>
                <w:sz w:val="18"/>
                <w:lang w:val="ru-RU"/>
              </w:rPr>
            </w:pPr>
            <w:r>
              <w:rPr>
                <w:snapToGrid w:val="0"/>
                <w:sz w:val="18"/>
                <w:lang w:val="ru-RU"/>
              </w:rPr>
              <w:t>Меди-цинская помощь</w:t>
            </w:r>
          </w:p>
        </w:tc>
        <w:tc>
          <w:tcPr>
            <w:tcW w:w="3402" w:type="dxa"/>
            <w:gridSpan w:val="3"/>
            <w:tcBorders>
              <w:top w:val="single" w:sz="2" w:space="0" w:color="auto"/>
              <w:left w:val="single" w:sz="2" w:space="0" w:color="auto"/>
              <w:bottom w:val="single" w:sz="2" w:space="0" w:color="auto"/>
            </w:tcBorders>
            <w:vAlign w:val="center"/>
          </w:tcPr>
          <w:p w:rsidR="00000000" w:rsidRDefault="00000000">
            <w:pPr>
              <w:pStyle w:val="BodyText3"/>
              <w:jc w:val="center"/>
              <w:rPr>
                <w:snapToGrid w:val="0"/>
                <w:sz w:val="18"/>
                <w:lang w:val="ru-RU"/>
              </w:rPr>
            </w:pPr>
            <w:r>
              <w:rPr>
                <w:snapToGrid w:val="0"/>
                <w:sz w:val="18"/>
                <w:lang w:val="ru-RU"/>
              </w:rPr>
              <w:t>Временная нетрудоспособность</w:t>
            </w:r>
          </w:p>
        </w:tc>
        <w:tc>
          <w:tcPr>
            <w:tcW w:w="1203" w:type="dxa"/>
            <w:vMerge w:val="restart"/>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Инвалидность</w:t>
            </w:r>
          </w:p>
        </w:tc>
        <w:tc>
          <w:tcPr>
            <w:tcW w:w="837" w:type="dxa"/>
            <w:vMerge w:val="restart"/>
            <w:tcBorders>
              <w:top w:val="single" w:sz="2" w:space="0" w:color="auto"/>
              <w:left w:val="single" w:sz="2" w:space="0" w:color="auto"/>
              <w:right w:val="single" w:sz="4" w:space="0" w:color="auto"/>
            </w:tcBorders>
            <w:vAlign w:val="center"/>
          </w:tcPr>
          <w:p w:rsidR="00000000" w:rsidRDefault="00000000">
            <w:pPr>
              <w:pStyle w:val="BodyText3"/>
              <w:jc w:val="center"/>
              <w:rPr>
                <w:snapToGrid w:val="0"/>
                <w:sz w:val="18"/>
                <w:lang w:val="ru-RU"/>
              </w:rPr>
            </w:pPr>
            <w:r>
              <w:rPr>
                <w:snapToGrid w:val="0"/>
                <w:sz w:val="18"/>
                <w:lang w:val="ru-RU"/>
              </w:rPr>
              <w:t>Смерть</w:t>
            </w:r>
          </w:p>
        </w:tc>
      </w:tr>
      <w:tr w:rsidR="00000000">
        <w:tblPrEx>
          <w:tblCellMar>
            <w:top w:w="0" w:type="dxa"/>
            <w:bottom w:w="0" w:type="dxa"/>
          </w:tblCellMar>
        </w:tblPrEx>
        <w:trPr>
          <w:cantSplit/>
          <w:trHeight w:val="245"/>
          <w:jc w:val="center"/>
        </w:trPr>
        <w:tc>
          <w:tcPr>
            <w:tcW w:w="833" w:type="dxa"/>
            <w:vMerge/>
            <w:tcBorders>
              <w:left w:val="single" w:sz="4" w:space="0" w:color="auto"/>
              <w:bottom w:val="single" w:sz="2" w:space="0" w:color="auto"/>
              <w:right w:val="single" w:sz="2" w:space="0" w:color="auto"/>
            </w:tcBorders>
          </w:tcPr>
          <w:p w:rsidR="00000000" w:rsidRDefault="00000000">
            <w:pPr>
              <w:pStyle w:val="BodyText3"/>
              <w:jc w:val="center"/>
              <w:rPr>
                <w:snapToGrid w:val="0"/>
                <w:sz w:val="18"/>
                <w:lang w:val="ru-RU"/>
              </w:rPr>
            </w:pPr>
          </w:p>
        </w:tc>
        <w:tc>
          <w:tcPr>
            <w:tcW w:w="567"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709" w:type="dxa"/>
            <w:vMerge/>
            <w:tcBorders>
              <w:left w:val="single" w:sz="2" w:space="0" w:color="auto"/>
              <w:right w:val="single" w:sz="2" w:space="0" w:color="auto"/>
            </w:tcBorders>
            <w:vAlign w:val="center"/>
          </w:tcPr>
          <w:p w:rsidR="00000000" w:rsidRDefault="00000000">
            <w:pPr>
              <w:pStyle w:val="BodyText3"/>
              <w:jc w:val="center"/>
              <w:rPr>
                <w:snapToGrid w:val="0"/>
                <w:sz w:val="18"/>
                <w:lang w:val="ru-RU"/>
              </w:rPr>
            </w:pPr>
          </w:p>
        </w:tc>
        <w:tc>
          <w:tcPr>
            <w:tcW w:w="850"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993" w:type="dxa"/>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Всего</w:t>
            </w:r>
          </w:p>
        </w:tc>
        <w:tc>
          <w:tcPr>
            <w:tcW w:w="1134" w:type="dxa"/>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Менее 15 дней</w:t>
            </w:r>
          </w:p>
        </w:tc>
        <w:tc>
          <w:tcPr>
            <w:tcW w:w="1275" w:type="dxa"/>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Более</w:t>
            </w:r>
          </w:p>
          <w:p w:rsidR="00000000" w:rsidRDefault="00000000">
            <w:pPr>
              <w:pStyle w:val="BodyText3"/>
              <w:jc w:val="center"/>
              <w:rPr>
                <w:snapToGrid w:val="0"/>
                <w:sz w:val="18"/>
                <w:lang w:val="ru-RU"/>
              </w:rPr>
            </w:pPr>
            <w:r>
              <w:rPr>
                <w:snapToGrid w:val="0"/>
                <w:sz w:val="18"/>
                <w:lang w:val="ru-RU"/>
              </w:rPr>
              <w:t>15 дней</w:t>
            </w:r>
          </w:p>
        </w:tc>
        <w:tc>
          <w:tcPr>
            <w:tcW w:w="1203" w:type="dxa"/>
            <w:vMerge/>
            <w:tcBorders>
              <w:left w:val="single" w:sz="2" w:space="0" w:color="auto"/>
              <w:right w:val="single" w:sz="2" w:space="0" w:color="auto"/>
            </w:tcBorders>
            <w:vAlign w:val="center"/>
          </w:tcPr>
          <w:p w:rsidR="00000000" w:rsidRDefault="00000000">
            <w:pPr>
              <w:pStyle w:val="BodyText3"/>
              <w:jc w:val="center"/>
              <w:rPr>
                <w:snapToGrid w:val="0"/>
                <w:sz w:val="18"/>
                <w:lang w:val="ru-RU"/>
              </w:rPr>
            </w:pPr>
          </w:p>
        </w:tc>
        <w:tc>
          <w:tcPr>
            <w:tcW w:w="837" w:type="dxa"/>
            <w:vMerge/>
            <w:tcBorders>
              <w:left w:val="single" w:sz="2" w:space="0" w:color="auto"/>
              <w:right w:val="single" w:sz="4" w:space="0" w:color="auto"/>
            </w:tcBorders>
            <w:vAlign w:val="center"/>
          </w:tcPr>
          <w:p w:rsidR="00000000" w:rsidRDefault="00000000">
            <w:pPr>
              <w:pStyle w:val="BodyText3"/>
              <w:jc w:val="center"/>
              <w:rPr>
                <w:snapToGrid w:val="0"/>
                <w:sz w:val="18"/>
                <w:lang w:val="ru-RU"/>
              </w:rPr>
            </w:pPr>
          </w:p>
        </w:tc>
      </w:tr>
      <w:tr w:rsidR="00000000">
        <w:tblPrEx>
          <w:tblCellMar>
            <w:top w:w="0" w:type="dxa"/>
            <w:bottom w:w="0" w:type="dxa"/>
          </w:tblCellMar>
        </w:tblPrEx>
        <w:trPr>
          <w:trHeight w:val="216"/>
          <w:jc w:val="center"/>
        </w:trPr>
        <w:tc>
          <w:tcPr>
            <w:tcW w:w="833" w:type="dxa"/>
            <w:tcBorders>
              <w:top w:val="single" w:sz="2" w:space="0" w:color="auto"/>
              <w:left w:val="single" w:sz="4" w:space="0" w:color="auto"/>
              <w:right w:val="single" w:sz="4" w:space="0" w:color="auto"/>
            </w:tcBorders>
          </w:tcPr>
          <w:p w:rsidR="00000000" w:rsidRDefault="00000000">
            <w:pPr>
              <w:pStyle w:val="BodyText3"/>
              <w:jc w:val="center"/>
              <w:rPr>
                <w:bCs/>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440 281</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56 431</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362 712</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206 608</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156 104</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17 669</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3 469</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ВСЕГО</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408 987</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55 686</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333 234</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188 221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145 013</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15 923</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4 144</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393 946</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48 948</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324 728</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187 211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137 517</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16 347</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bCs/>
                <w:snapToGrid w:val="0"/>
                <w:sz w:val="18"/>
                <w:lang w:val="ru-RU"/>
              </w:rPr>
            </w:pPr>
            <w:r>
              <w:rPr>
                <w:bCs/>
                <w:snapToGrid w:val="0"/>
                <w:sz w:val="18"/>
                <w:lang w:val="ru-RU"/>
              </w:rPr>
              <w:t>3 923</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b/>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33 875</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4 667</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27 408</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15 918</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11 490</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1 462</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338</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Январь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31 949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4 276</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26 018</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14 150</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11 868</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1 332</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323</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28 940</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3 172</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23 957</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13 245</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10 712</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1 467</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344</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30 741</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3 668</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25 587</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14 231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11 356</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1 200</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286</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Февраль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29 434</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3 563</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24 469</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13 603</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10 866</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1 110</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292</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30 753</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3 355</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25 855</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15 749</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10 106</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1 191</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352</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36 230</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3 885</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30 608</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16 669</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13 939</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1 409</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328</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Март</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36 876</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4 091</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31 105</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17 933</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13 172</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1 302</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378</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35 815</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4 589</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29 551</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17 018</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12 533</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1 350</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325</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38 964</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5 929</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31 168</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17 785</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13 383</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1 546</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321</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Апрель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33 865</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4 202</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28 041</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16 053</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11 988</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1 296</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326</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30 737</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3 617</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25 465</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14 450</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11 015</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1 322</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333</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36 899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5 144</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29 983</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16 590</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13 393</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1 465</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307</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Май</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37 793</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8 873</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27 079</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14 772</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12 307</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1 461</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380</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34 901</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4 607</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28 432</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16 386</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12 046</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1 503</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359</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37 540</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4 700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31 066</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18 486</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12 580</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1 464</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310</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Июнь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34 197</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4 493</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27 649</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15 501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12 148</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1 693</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362</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34 561</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3 853</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28 849</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17 096</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11 753</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1 542</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317</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37 853</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4 943</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30 895</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17 183</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13 712</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1 705</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310</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Июль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36 375</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4 394</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30 294</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17 435</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12 859</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1 314</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373</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35 278</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5 000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28 486</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16 392</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12 094</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1 439</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353</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37 194</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4 200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31 081</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17 364</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13 717</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1 605</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308</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Август</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35 100</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5 330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28 066</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15 061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13 005</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1 341</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363</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35 388</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4 375</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29 342</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16 814</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12 528</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1 336</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335</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39 893</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5 902</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32 254</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19 189</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13 065</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1 496</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241</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Сентябрь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33 997</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4 395</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28 023</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15 716</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12 307</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1 235</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344</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35 269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4 650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28 927</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17 250</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11 677</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1 363</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329</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40 979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5 046</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34 142</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20 016</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14 126</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1 569</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222</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Октябрь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36 115</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4 836</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29 578</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17 291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12 287</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1 331</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370</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32 259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4 233</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26 369</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14 920</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11 449</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1 337</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320</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37 240</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4 387</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31 097</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17 916</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13 181</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1 500</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256</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Ноябрь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33 687</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3 916</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28 225</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16 393</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11 832</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1 212</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334</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31 159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4 120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25 545</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14 484</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11 061</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1 228</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266</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32 873</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3 960</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27 423</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15 261</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12 162</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1 248</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242</w:t>
            </w:r>
          </w:p>
        </w:tc>
      </w:tr>
      <w:tr w:rsidR="00000000">
        <w:tblPrEx>
          <w:tblCellMar>
            <w:top w:w="0" w:type="dxa"/>
            <w:bottom w:w="0" w:type="dxa"/>
          </w:tblCellMar>
        </w:tblPrEx>
        <w:trPr>
          <w:trHeight w:val="139"/>
          <w:jc w:val="center"/>
        </w:trPr>
        <w:tc>
          <w:tcPr>
            <w:tcW w:w="833" w:type="dxa"/>
            <w:tcBorders>
              <w:left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Декабрь</w:t>
            </w: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29 599</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3 317</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24 687</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14 313</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10 374</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1 296</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299</w:t>
            </w:r>
          </w:p>
        </w:tc>
      </w:tr>
      <w:tr w:rsidR="00000000">
        <w:tblPrEx>
          <w:tblCellMar>
            <w:top w:w="0" w:type="dxa"/>
            <w:bottom w:w="0" w:type="dxa"/>
          </w:tblCellMar>
        </w:tblPrEx>
        <w:trPr>
          <w:trHeight w:val="139"/>
          <w:jc w:val="center"/>
        </w:trPr>
        <w:tc>
          <w:tcPr>
            <w:tcW w:w="833" w:type="dxa"/>
            <w:tcBorders>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p>
        </w:tc>
        <w:tc>
          <w:tcPr>
            <w:tcW w:w="56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28 886</w:t>
            </w:r>
          </w:p>
        </w:tc>
        <w:tc>
          <w:tcPr>
            <w:tcW w:w="850"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3 377</w:t>
            </w:r>
          </w:p>
        </w:tc>
        <w:tc>
          <w:tcPr>
            <w:tcW w:w="99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23 950</w:t>
            </w:r>
          </w:p>
        </w:tc>
        <w:tc>
          <w:tcPr>
            <w:tcW w:w="1134"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13 407</w:t>
            </w:r>
          </w:p>
        </w:tc>
        <w:tc>
          <w:tcPr>
            <w:tcW w:w="1275"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10 543</w:t>
            </w:r>
          </w:p>
        </w:tc>
        <w:tc>
          <w:tcPr>
            <w:tcW w:w="1203"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1 269</w:t>
            </w:r>
          </w:p>
        </w:tc>
        <w:tc>
          <w:tcPr>
            <w:tcW w:w="837" w:type="dxa"/>
            <w:tcBorders>
              <w:top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290</w:t>
            </w:r>
          </w:p>
        </w:tc>
      </w:tr>
    </w:tbl>
    <w:p w:rsidR="00000000" w:rsidRDefault="00000000">
      <w:pPr>
        <w:pStyle w:val="BodyText3"/>
        <w:spacing w:before="80" w:line="240" w:lineRule="atLeast"/>
        <w:jc w:val="left"/>
        <w:rPr>
          <w:bCs/>
          <w:snapToGrid w:val="0"/>
          <w:sz w:val="24"/>
          <w:lang w:val="ru-RU"/>
        </w:rPr>
      </w:pPr>
      <w:r>
        <w:rPr>
          <w:bCs/>
          <w:snapToGrid w:val="0"/>
          <w:sz w:val="24"/>
          <w:u w:val="single"/>
          <w:lang w:val="ru-RU"/>
        </w:rPr>
        <w:t>Источник</w:t>
      </w:r>
      <w:r>
        <w:rPr>
          <w:bCs/>
          <w:snapToGrid w:val="0"/>
          <w:sz w:val="24"/>
          <w:lang w:val="ru-RU"/>
        </w:rPr>
        <w:t>:  ДАТАПРЕВ, СУБ, СУПТ.</w:t>
      </w:r>
    </w:p>
    <w:p w:rsidR="00000000" w:rsidRDefault="00000000">
      <w:pPr>
        <w:pStyle w:val="BodyText3"/>
        <w:spacing w:before="80" w:line="240" w:lineRule="atLeast"/>
        <w:jc w:val="left"/>
        <w:rPr>
          <w:bCs/>
          <w:snapToGrid w:val="0"/>
          <w:sz w:val="24"/>
          <w:u w:val="words"/>
          <w:lang w:val="ru-RU"/>
        </w:rPr>
      </w:pPr>
    </w:p>
    <w:p w:rsidR="00000000" w:rsidRDefault="00000000">
      <w:pPr>
        <w:pStyle w:val="BodyText3"/>
        <w:spacing w:before="80" w:line="240" w:lineRule="atLeast"/>
        <w:jc w:val="left"/>
        <w:rPr>
          <w:bCs/>
          <w:snapToGrid w:val="0"/>
          <w:sz w:val="24"/>
          <w:u w:val="words"/>
          <w:lang w:val="ru-RU"/>
        </w:rPr>
      </w:pPr>
      <w:r>
        <w:rPr>
          <w:bCs/>
          <w:snapToGrid w:val="0"/>
          <w:sz w:val="24"/>
          <w:u w:val="single"/>
          <w:lang w:val="ru-RU"/>
        </w:rPr>
        <w:t>Примечание</w:t>
      </w:r>
      <w:r>
        <w:rPr>
          <w:bCs/>
          <w:snapToGrid w:val="0"/>
          <w:sz w:val="24"/>
          <w:lang w:val="ru-RU"/>
        </w:rPr>
        <w:t>:  Вышеприведенные данные являются неполными и могут подлежать корректировке.</w:t>
      </w:r>
    </w:p>
    <w:p w:rsidR="00000000" w:rsidRDefault="00000000">
      <w:pPr>
        <w:pStyle w:val="BodyText3"/>
        <w:rPr>
          <w:b/>
          <w:snapToGrid w:val="0"/>
          <w:u w:val="words"/>
          <w:lang w:val="ru-RU"/>
        </w:rPr>
      </w:pPr>
    </w:p>
    <w:p w:rsidR="00000000" w:rsidRDefault="00000000">
      <w:pPr>
        <w:pStyle w:val="BodyText3"/>
        <w:jc w:val="center"/>
        <w:rPr>
          <w:b/>
          <w:snapToGrid w:val="0"/>
          <w:u w:val="words"/>
          <w:lang w:val="ru-RU"/>
        </w:rPr>
      </w:pPr>
    </w:p>
    <w:p w:rsidR="00000000" w:rsidRDefault="00000000">
      <w:pPr>
        <w:pStyle w:val="BodyText3"/>
        <w:tabs>
          <w:tab w:val="left" w:pos="1496"/>
        </w:tabs>
        <w:spacing w:after="120" w:line="216" w:lineRule="auto"/>
        <w:ind w:left="1496" w:hanging="1496"/>
        <w:jc w:val="left"/>
        <w:rPr>
          <w:b/>
          <w:snapToGrid w:val="0"/>
          <w:sz w:val="24"/>
          <w:u w:val="words"/>
          <w:lang w:val="ru-RU"/>
        </w:rPr>
      </w:pPr>
      <w:r>
        <w:rPr>
          <w:b/>
          <w:snapToGrid w:val="0"/>
          <w:lang w:val="ru-RU"/>
        </w:rPr>
        <w:br w:type="page"/>
      </w:r>
      <w:r>
        <w:rPr>
          <w:b/>
          <w:snapToGrid w:val="0"/>
          <w:sz w:val="24"/>
          <w:lang w:val="ru-RU"/>
        </w:rPr>
        <w:t>Таблица 32.</w:t>
      </w:r>
      <w:r>
        <w:rPr>
          <w:b/>
          <w:snapToGrid w:val="0"/>
          <w:sz w:val="24"/>
          <w:lang w:val="ru-RU"/>
        </w:rPr>
        <w:tab/>
        <w:t>Количество урегулированных несчастных случаев на производстве в разбивке по основным регионам и штатам, 1997-1999 годы</w:t>
      </w:r>
    </w:p>
    <w:tbl>
      <w:tblPr>
        <w:tblW w:w="0" w:type="auto"/>
        <w:jc w:val="center"/>
        <w:tblLayout w:type="fixed"/>
        <w:tblCellMar>
          <w:left w:w="30" w:type="dxa"/>
          <w:right w:w="30" w:type="dxa"/>
        </w:tblCellMar>
        <w:tblLook w:val="0000" w:firstRow="0" w:lastRow="0" w:firstColumn="0" w:lastColumn="0" w:noHBand="0" w:noVBand="0"/>
      </w:tblPr>
      <w:tblGrid>
        <w:gridCol w:w="1701"/>
        <w:gridCol w:w="709"/>
        <w:gridCol w:w="709"/>
        <w:gridCol w:w="850"/>
        <w:gridCol w:w="709"/>
        <w:gridCol w:w="992"/>
        <w:gridCol w:w="1134"/>
        <w:gridCol w:w="1267"/>
        <w:gridCol w:w="748"/>
      </w:tblGrid>
      <w:tr w:rsidR="00000000">
        <w:tblPrEx>
          <w:tblCellMar>
            <w:top w:w="0" w:type="dxa"/>
            <w:bottom w:w="0" w:type="dxa"/>
          </w:tblCellMar>
        </w:tblPrEx>
        <w:trPr>
          <w:cantSplit/>
          <w:trHeight w:val="162"/>
          <w:jc w:val="center"/>
        </w:trPr>
        <w:tc>
          <w:tcPr>
            <w:tcW w:w="1701" w:type="dxa"/>
            <w:vMerge w:val="restart"/>
            <w:tcBorders>
              <w:top w:val="single" w:sz="2" w:space="0" w:color="auto"/>
              <w:left w:val="single" w:sz="4" w:space="0" w:color="auto"/>
              <w:right w:val="single" w:sz="2"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Регионы и штаты</w:t>
            </w:r>
          </w:p>
        </w:tc>
        <w:tc>
          <w:tcPr>
            <w:tcW w:w="709" w:type="dxa"/>
            <w:vMerge w:val="restart"/>
            <w:tcBorders>
              <w:top w:val="single" w:sz="2" w:space="0" w:color="auto"/>
              <w:left w:val="single" w:sz="2" w:space="0" w:color="auto"/>
              <w:right w:val="single" w:sz="2"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Годы</w:t>
            </w:r>
          </w:p>
        </w:tc>
        <w:tc>
          <w:tcPr>
            <w:tcW w:w="6409" w:type="dxa"/>
            <w:gridSpan w:val="7"/>
            <w:tcBorders>
              <w:top w:val="single" w:sz="2" w:space="0" w:color="auto"/>
              <w:left w:val="single" w:sz="2" w:space="0" w:color="auto"/>
              <w:bottom w:val="single" w:sz="2"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Количество урегулированных несчастных случаев на производстве</w:t>
            </w:r>
          </w:p>
        </w:tc>
      </w:tr>
      <w:tr w:rsidR="00000000">
        <w:tblPrEx>
          <w:tblCellMar>
            <w:top w:w="0" w:type="dxa"/>
            <w:bottom w:w="0" w:type="dxa"/>
          </w:tblCellMar>
        </w:tblPrEx>
        <w:trPr>
          <w:cantSplit/>
          <w:trHeight w:val="121"/>
          <w:jc w:val="center"/>
        </w:trPr>
        <w:tc>
          <w:tcPr>
            <w:tcW w:w="1701" w:type="dxa"/>
            <w:vMerge/>
            <w:tcBorders>
              <w:left w:val="single" w:sz="4" w:space="0" w:color="auto"/>
              <w:right w:val="single" w:sz="2" w:space="0" w:color="auto"/>
            </w:tcBorders>
          </w:tcPr>
          <w:p w:rsidR="00000000" w:rsidRDefault="00000000">
            <w:pPr>
              <w:pStyle w:val="BodyText3"/>
              <w:spacing w:line="216" w:lineRule="auto"/>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spacing w:line="216" w:lineRule="auto"/>
              <w:jc w:val="center"/>
              <w:rPr>
                <w:snapToGrid w:val="0"/>
                <w:sz w:val="18"/>
                <w:lang w:val="ru-RU"/>
              </w:rPr>
            </w:pPr>
          </w:p>
        </w:tc>
        <w:tc>
          <w:tcPr>
            <w:tcW w:w="709" w:type="dxa"/>
            <w:tcBorders>
              <w:top w:val="single" w:sz="2" w:space="0" w:color="auto"/>
              <w:left w:val="single" w:sz="2" w:space="0" w:color="auto"/>
              <w:bottom w:val="single" w:sz="4" w:space="0" w:color="auto"/>
              <w:right w:val="single" w:sz="2" w:space="0" w:color="auto"/>
            </w:tcBorders>
          </w:tcPr>
          <w:p w:rsidR="00000000" w:rsidRDefault="00000000">
            <w:pPr>
              <w:pStyle w:val="BodyText3"/>
              <w:spacing w:line="216" w:lineRule="auto"/>
              <w:jc w:val="center"/>
              <w:rPr>
                <w:snapToGrid w:val="0"/>
                <w:sz w:val="18"/>
                <w:lang w:val="ru-RU"/>
              </w:rPr>
            </w:pPr>
          </w:p>
        </w:tc>
        <w:tc>
          <w:tcPr>
            <w:tcW w:w="5700" w:type="dxa"/>
            <w:gridSpan w:val="6"/>
            <w:tcBorders>
              <w:top w:val="single" w:sz="2" w:space="0" w:color="auto"/>
              <w:left w:val="single" w:sz="2"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Результаты</w:t>
            </w:r>
          </w:p>
        </w:tc>
      </w:tr>
      <w:tr w:rsidR="00000000">
        <w:tblPrEx>
          <w:tblCellMar>
            <w:top w:w="0" w:type="dxa"/>
            <w:bottom w:w="0" w:type="dxa"/>
          </w:tblCellMar>
        </w:tblPrEx>
        <w:trPr>
          <w:cantSplit/>
          <w:trHeight w:val="75"/>
          <w:jc w:val="center"/>
        </w:trPr>
        <w:tc>
          <w:tcPr>
            <w:tcW w:w="1701" w:type="dxa"/>
            <w:vMerge/>
            <w:tcBorders>
              <w:left w:val="single" w:sz="4" w:space="0" w:color="auto"/>
              <w:right w:val="single" w:sz="2" w:space="0" w:color="auto"/>
            </w:tcBorders>
          </w:tcPr>
          <w:p w:rsidR="00000000" w:rsidRDefault="00000000">
            <w:pPr>
              <w:pStyle w:val="BodyText3"/>
              <w:spacing w:line="216" w:lineRule="auto"/>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spacing w:line="216" w:lineRule="auto"/>
              <w:jc w:val="center"/>
              <w:rPr>
                <w:snapToGrid w:val="0"/>
                <w:sz w:val="18"/>
                <w:lang w:val="ru-RU"/>
              </w:rPr>
            </w:pPr>
          </w:p>
        </w:tc>
        <w:tc>
          <w:tcPr>
            <w:tcW w:w="709" w:type="dxa"/>
            <w:vMerge w:val="restart"/>
            <w:tcBorders>
              <w:left w:val="single" w:sz="2" w:space="0" w:color="auto"/>
              <w:right w:val="single" w:sz="2"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Всего</w:t>
            </w:r>
          </w:p>
        </w:tc>
        <w:tc>
          <w:tcPr>
            <w:tcW w:w="850" w:type="dxa"/>
            <w:vMerge w:val="restart"/>
            <w:tcBorders>
              <w:left w:val="single" w:sz="2" w:space="0" w:color="auto"/>
              <w:right w:val="single" w:sz="2" w:space="0" w:color="auto"/>
            </w:tcBorders>
          </w:tcPr>
          <w:p w:rsidR="00000000" w:rsidRDefault="00000000">
            <w:pPr>
              <w:pStyle w:val="BodyText3"/>
              <w:spacing w:line="216" w:lineRule="auto"/>
              <w:jc w:val="center"/>
              <w:rPr>
                <w:snapToGrid w:val="0"/>
                <w:sz w:val="18"/>
                <w:lang w:val="ru-RU"/>
              </w:rPr>
            </w:pPr>
            <w:r>
              <w:rPr>
                <w:snapToGrid w:val="0"/>
                <w:sz w:val="18"/>
                <w:lang w:val="ru-RU"/>
              </w:rPr>
              <w:t>Меди-цинская помощь</w:t>
            </w:r>
          </w:p>
        </w:tc>
        <w:tc>
          <w:tcPr>
            <w:tcW w:w="2835" w:type="dxa"/>
            <w:gridSpan w:val="3"/>
            <w:tcBorders>
              <w:left w:val="single" w:sz="2" w:space="0" w:color="auto"/>
              <w:bottom w:val="single" w:sz="2" w:space="0" w:color="auto"/>
            </w:tcBorders>
          </w:tcPr>
          <w:p w:rsidR="00000000" w:rsidRDefault="00000000">
            <w:pPr>
              <w:pStyle w:val="BodyText3"/>
              <w:spacing w:line="216" w:lineRule="auto"/>
              <w:jc w:val="center"/>
              <w:rPr>
                <w:snapToGrid w:val="0"/>
                <w:sz w:val="18"/>
                <w:lang w:val="ru-RU"/>
              </w:rPr>
            </w:pPr>
            <w:r>
              <w:rPr>
                <w:snapToGrid w:val="0"/>
                <w:sz w:val="18"/>
                <w:lang w:val="ru-RU"/>
              </w:rPr>
              <w:t>Временная нетрудоспособность</w:t>
            </w:r>
          </w:p>
        </w:tc>
        <w:tc>
          <w:tcPr>
            <w:tcW w:w="1267" w:type="dxa"/>
            <w:vMerge w:val="restart"/>
            <w:tcBorders>
              <w:left w:val="single" w:sz="2" w:space="0" w:color="auto"/>
              <w:right w:val="single" w:sz="4"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Инвалидность</w:t>
            </w:r>
          </w:p>
        </w:tc>
        <w:tc>
          <w:tcPr>
            <w:tcW w:w="748" w:type="dxa"/>
            <w:vMerge w:val="restart"/>
            <w:tcBorders>
              <w:left w:val="single" w:sz="4" w:space="0" w:color="auto"/>
              <w:bottom w:val="single" w:sz="4" w:space="0" w:color="auto"/>
              <w:right w:val="single" w:sz="4"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Смерть</w:t>
            </w:r>
          </w:p>
        </w:tc>
      </w:tr>
      <w:tr w:rsidR="00000000">
        <w:tblPrEx>
          <w:tblCellMar>
            <w:top w:w="0" w:type="dxa"/>
            <w:bottom w:w="0" w:type="dxa"/>
          </w:tblCellMar>
        </w:tblPrEx>
        <w:trPr>
          <w:cantSplit/>
          <w:trHeight w:val="155"/>
          <w:jc w:val="center"/>
        </w:trPr>
        <w:tc>
          <w:tcPr>
            <w:tcW w:w="1701" w:type="dxa"/>
            <w:vMerge/>
            <w:tcBorders>
              <w:left w:val="single" w:sz="4" w:space="0" w:color="auto"/>
              <w:right w:val="single" w:sz="2" w:space="0" w:color="auto"/>
            </w:tcBorders>
          </w:tcPr>
          <w:p w:rsidR="00000000" w:rsidRDefault="00000000">
            <w:pPr>
              <w:pStyle w:val="BodyText3"/>
              <w:spacing w:line="216" w:lineRule="auto"/>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spacing w:line="216" w:lineRule="auto"/>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spacing w:line="216" w:lineRule="auto"/>
              <w:rPr>
                <w:snapToGrid w:val="0"/>
                <w:sz w:val="18"/>
                <w:lang w:val="ru-RU"/>
              </w:rPr>
            </w:pPr>
          </w:p>
        </w:tc>
        <w:tc>
          <w:tcPr>
            <w:tcW w:w="850" w:type="dxa"/>
            <w:vMerge/>
            <w:tcBorders>
              <w:left w:val="single" w:sz="2" w:space="0" w:color="auto"/>
              <w:right w:val="single" w:sz="2" w:space="0" w:color="auto"/>
            </w:tcBorders>
          </w:tcPr>
          <w:p w:rsidR="00000000" w:rsidRDefault="00000000">
            <w:pPr>
              <w:pStyle w:val="BodyText3"/>
              <w:spacing w:line="216" w:lineRule="auto"/>
              <w:rPr>
                <w:snapToGrid w:val="0"/>
                <w:sz w:val="18"/>
                <w:lang w:val="ru-RU"/>
              </w:rPr>
            </w:pPr>
          </w:p>
        </w:tc>
        <w:tc>
          <w:tcPr>
            <w:tcW w:w="709" w:type="dxa"/>
            <w:tcBorders>
              <w:top w:val="single" w:sz="2" w:space="0" w:color="auto"/>
              <w:left w:val="single" w:sz="2" w:space="0" w:color="auto"/>
              <w:right w:val="single" w:sz="2"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Всего</w:t>
            </w:r>
          </w:p>
        </w:tc>
        <w:tc>
          <w:tcPr>
            <w:tcW w:w="992" w:type="dxa"/>
            <w:tcBorders>
              <w:top w:val="single" w:sz="2" w:space="0" w:color="auto"/>
              <w:left w:val="single" w:sz="2" w:space="0" w:color="auto"/>
              <w:right w:val="single" w:sz="2" w:space="0" w:color="auto"/>
            </w:tcBorders>
          </w:tcPr>
          <w:p w:rsidR="00000000" w:rsidRDefault="00000000">
            <w:pPr>
              <w:pStyle w:val="BodyText3"/>
              <w:spacing w:line="216" w:lineRule="auto"/>
              <w:jc w:val="center"/>
              <w:rPr>
                <w:snapToGrid w:val="0"/>
                <w:sz w:val="18"/>
                <w:lang w:val="ru-RU"/>
              </w:rPr>
            </w:pPr>
            <w:r>
              <w:rPr>
                <w:snapToGrid w:val="0"/>
                <w:sz w:val="18"/>
                <w:lang w:val="ru-RU"/>
              </w:rPr>
              <w:t>Менее 15 дней</w:t>
            </w:r>
          </w:p>
        </w:tc>
        <w:tc>
          <w:tcPr>
            <w:tcW w:w="1134" w:type="dxa"/>
            <w:tcBorders>
              <w:top w:val="single" w:sz="2" w:space="0" w:color="auto"/>
              <w:left w:val="single" w:sz="2" w:space="0" w:color="auto"/>
              <w:right w:val="single" w:sz="2" w:space="0" w:color="auto"/>
            </w:tcBorders>
          </w:tcPr>
          <w:p w:rsidR="00000000" w:rsidRDefault="00000000">
            <w:pPr>
              <w:pStyle w:val="BodyText3"/>
              <w:spacing w:line="216" w:lineRule="auto"/>
              <w:jc w:val="center"/>
              <w:rPr>
                <w:snapToGrid w:val="0"/>
                <w:sz w:val="18"/>
                <w:lang w:val="ru-RU"/>
              </w:rPr>
            </w:pPr>
            <w:r>
              <w:rPr>
                <w:snapToGrid w:val="0"/>
                <w:sz w:val="18"/>
                <w:lang w:val="ru-RU"/>
              </w:rPr>
              <w:t>Более 15 дней</w:t>
            </w:r>
          </w:p>
        </w:tc>
        <w:tc>
          <w:tcPr>
            <w:tcW w:w="1267" w:type="dxa"/>
            <w:vMerge/>
            <w:tcBorders>
              <w:left w:val="single" w:sz="2" w:space="0" w:color="auto"/>
              <w:right w:val="single" w:sz="4" w:space="0" w:color="auto"/>
            </w:tcBorders>
          </w:tcPr>
          <w:p w:rsidR="00000000" w:rsidRDefault="00000000">
            <w:pPr>
              <w:pStyle w:val="BodyText3"/>
              <w:spacing w:line="216" w:lineRule="auto"/>
              <w:rPr>
                <w:snapToGrid w:val="0"/>
                <w:sz w:val="18"/>
                <w:lang w:val="ru-RU"/>
              </w:rPr>
            </w:pPr>
          </w:p>
        </w:tc>
        <w:tc>
          <w:tcPr>
            <w:tcW w:w="748" w:type="dxa"/>
            <w:vMerge/>
            <w:tcBorders>
              <w:left w:val="single" w:sz="4" w:space="0" w:color="auto"/>
              <w:bottom w:val="single" w:sz="4" w:space="0" w:color="auto"/>
              <w:right w:val="single" w:sz="4" w:space="0" w:color="auto"/>
            </w:tcBorders>
          </w:tcPr>
          <w:p w:rsidR="00000000" w:rsidRDefault="00000000">
            <w:pPr>
              <w:pStyle w:val="BodyText3"/>
              <w:spacing w:line="216" w:lineRule="auto"/>
              <w:rPr>
                <w:snapToGrid w:val="0"/>
                <w:sz w:val="18"/>
                <w:lang w:val="ru-RU"/>
              </w:rPr>
            </w:pPr>
          </w:p>
        </w:tc>
      </w:tr>
      <w:tr w:rsidR="00000000">
        <w:tblPrEx>
          <w:tblCellMar>
            <w:top w:w="0" w:type="dxa"/>
            <w:bottom w:w="0" w:type="dxa"/>
          </w:tblCellMar>
        </w:tblPrEx>
        <w:trPr>
          <w:trHeight w:val="216"/>
          <w:jc w:val="center"/>
        </w:trPr>
        <w:tc>
          <w:tcPr>
            <w:tcW w:w="1701" w:type="dxa"/>
            <w:tcBorders>
              <w:top w:val="single" w:sz="2" w:space="0" w:color="auto"/>
              <w:left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440 281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56 431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362 712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206 608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156 104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17 669</w:t>
            </w:r>
          </w:p>
        </w:tc>
        <w:tc>
          <w:tcPr>
            <w:tcW w:w="748" w:type="dxa"/>
            <w:tcBorders>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3 469</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БРАЗИЛИЯ</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408 987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55 686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333 234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188 221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145 013</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15 923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4 144</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393 946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48 948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324 728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187 211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137 517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16 347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3 923</w:t>
            </w:r>
          </w:p>
        </w:tc>
      </w:tr>
      <w:tr w:rsidR="00000000">
        <w:tblPrEx>
          <w:tblCellMar>
            <w:top w:w="0" w:type="dxa"/>
            <w:bottom w:w="0" w:type="dxa"/>
          </w:tblCellMar>
        </w:tblPrEx>
        <w:trPr>
          <w:cantSplit/>
          <w:trHeight w:val="187"/>
          <w:jc w:val="center"/>
        </w:trPr>
        <w:tc>
          <w:tcPr>
            <w:tcW w:w="1701" w:type="dxa"/>
            <w:vMerge w:val="restart"/>
            <w:tcBorders>
              <w:left w:val="single" w:sz="4" w:space="0" w:color="auto"/>
            </w:tcBorders>
            <w:vAlign w:val="center"/>
          </w:tcPr>
          <w:p w:rsidR="00000000" w:rsidRDefault="00000000">
            <w:pPr>
              <w:pStyle w:val="BodyText3"/>
              <w:spacing w:line="216" w:lineRule="auto"/>
              <w:jc w:val="center"/>
              <w:rPr>
                <w:b/>
                <w:snapToGrid w:val="0"/>
                <w:sz w:val="18"/>
                <w:lang w:val="ru-RU"/>
              </w:rPr>
            </w:pPr>
            <w:r>
              <w:rPr>
                <w:b/>
                <w:snapToGrid w:val="0"/>
                <w:sz w:val="18"/>
                <w:lang w:val="ru-RU"/>
              </w:rPr>
              <w:t>СЕВЕРНЫЙ РЕГИОН</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5 849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601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4 623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1 234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3 389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492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133</w:t>
            </w:r>
          </w:p>
        </w:tc>
      </w:tr>
      <w:tr w:rsidR="00000000">
        <w:tblPrEx>
          <w:tblCellMar>
            <w:top w:w="0" w:type="dxa"/>
            <w:bottom w:w="0" w:type="dxa"/>
          </w:tblCellMar>
        </w:tblPrEx>
        <w:trPr>
          <w:cantSplit/>
          <w:trHeight w:val="187"/>
          <w:jc w:val="center"/>
        </w:trPr>
        <w:tc>
          <w:tcPr>
            <w:tcW w:w="1701" w:type="dxa"/>
            <w:vMerge/>
            <w:tcBorders>
              <w:left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6 396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755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4 995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1 211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3 784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437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209</w:t>
            </w:r>
          </w:p>
        </w:tc>
      </w:tr>
      <w:tr w:rsidR="00000000">
        <w:tblPrEx>
          <w:tblCellMar>
            <w:top w:w="0" w:type="dxa"/>
            <w:bottom w:w="0" w:type="dxa"/>
          </w:tblCellMar>
        </w:tblPrEx>
        <w:trPr>
          <w:cantSplit/>
          <w:trHeight w:val="187"/>
          <w:jc w:val="center"/>
        </w:trPr>
        <w:tc>
          <w:tcPr>
            <w:tcW w:w="1701" w:type="dxa"/>
            <w:vMerge/>
            <w:tcBorders>
              <w:left w:val="single" w:sz="4" w:space="0" w:color="auto"/>
              <w:bottom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7 007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1 088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5 269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1 481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3 788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464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186</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1 060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939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371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568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34</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Рондония</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1 311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1 160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377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783</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52</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1 430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1 253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829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118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33</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Акре</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1 062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936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934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108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18</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Амазонас</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1 102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1 009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994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27</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1 420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201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1 143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337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806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15</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15</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Рорайма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10</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3 127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583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2 229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698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1 531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258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57</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Пара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3 282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712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2 232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646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1 586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263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75</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3 383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780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2 279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563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1 716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220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104</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175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164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Амапа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133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112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11</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104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283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246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187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Токантинс</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421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365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241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34</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506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388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143</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245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12</w:t>
            </w:r>
          </w:p>
        </w:tc>
      </w:tr>
      <w:tr w:rsidR="00000000">
        <w:tblPrEx>
          <w:tblCellMar>
            <w:top w:w="0" w:type="dxa"/>
            <w:bottom w:w="0" w:type="dxa"/>
          </w:tblCellMar>
        </w:tblPrEx>
        <w:trPr>
          <w:cantSplit/>
          <w:trHeight w:val="187"/>
          <w:jc w:val="center"/>
        </w:trPr>
        <w:tc>
          <w:tcPr>
            <w:tcW w:w="1701" w:type="dxa"/>
            <w:vMerge w:val="restart"/>
            <w:tcBorders>
              <w:left w:val="single" w:sz="4" w:space="0" w:color="auto"/>
            </w:tcBorders>
            <w:vAlign w:val="center"/>
          </w:tcPr>
          <w:p w:rsidR="00000000" w:rsidRDefault="00000000">
            <w:pPr>
              <w:pStyle w:val="BodyText3"/>
              <w:spacing w:line="216" w:lineRule="auto"/>
              <w:jc w:val="center"/>
              <w:rPr>
                <w:b/>
                <w:snapToGrid w:val="0"/>
                <w:sz w:val="17"/>
                <w:lang w:val="ru-RU"/>
              </w:rPr>
            </w:pPr>
            <w:r>
              <w:rPr>
                <w:b/>
                <w:snapToGrid w:val="0"/>
                <w:sz w:val="17"/>
                <w:lang w:val="ru-RU"/>
              </w:rPr>
              <w:t>СЕВЕРО-ВОСТОЧНЫЙ</w:t>
            </w:r>
          </w:p>
          <w:p w:rsidR="00000000" w:rsidRDefault="00000000">
            <w:pPr>
              <w:pStyle w:val="BodyText3"/>
              <w:spacing w:line="216" w:lineRule="auto"/>
              <w:jc w:val="center"/>
              <w:rPr>
                <w:b/>
                <w:snapToGrid w:val="0"/>
                <w:sz w:val="17"/>
                <w:lang w:val="ru-RU"/>
              </w:rPr>
            </w:pPr>
            <w:r>
              <w:rPr>
                <w:b/>
                <w:snapToGrid w:val="0"/>
                <w:sz w:val="17"/>
                <w:lang w:val="ru-RU"/>
              </w:rPr>
              <w:t>РЕГИОН</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30 406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3 191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24 503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9 896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14 607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2 168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544</w:t>
            </w:r>
          </w:p>
        </w:tc>
      </w:tr>
      <w:tr w:rsidR="00000000">
        <w:tblPrEx>
          <w:tblCellMar>
            <w:top w:w="0" w:type="dxa"/>
            <w:bottom w:w="0" w:type="dxa"/>
          </w:tblCellMar>
        </w:tblPrEx>
        <w:trPr>
          <w:cantSplit/>
          <w:trHeight w:val="187"/>
          <w:jc w:val="center"/>
        </w:trPr>
        <w:tc>
          <w:tcPr>
            <w:tcW w:w="1701" w:type="dxa"/>
            <w:vMerge/>
            <w:tcBorders>
              <w:left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27 121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3 255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21 099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8 375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12 724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2 142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625</w:t>
            </w:r>
          </w:p>
        </w:tc>
      </w:tr>
      <w:tr w:rsidR="00000000">
        <w:tblPrEx>
          <w:tblCellMar>
            <w:top w:w="0" w:type="dxa"/>
            <w:bottom w:w="0" w:type="dxa"/>
          </w:tblCellMar>
        </w:tblPrEx>
        <w:trPr>
          <w:cantSplit/>
          <w:trHeight w:val="187"/>
          <w:jc w:val="center"/>
        </w:trPr>
        <w:tc>
          <w:tcPr>
            <w:tcW w:w="1701" w:type="dxa"/>
            <w:vMerge/>
            <w:tcBorders>
              <w:left w:val="single" w:sz="4" w:space="0" w:color="auto"/>
              <w:bottom w:val="single" w:sz="4" w:space="0" w:color="auto"/>
            </w:tcBorders>
          </w:tcPr>
          <w:p w:rsidR="00000000" w:rsidRDefault="00000000">
            <w:pPr>
              <w:pStyle w:val="BodyText3"/>
              <w:spacing w:line="216" w:lineRule="auto"/>
              <w:jc w:val="center"/>
              <w:rPr>
                <w:b/>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25 231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3 049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19 099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7 740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11 359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2 533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b/>
                <w:snapToGrid w:val="0"/>
                <w:sz w:val="18"/>
                <w:lang w:val="ru-RU"/>
              </w:rPr>
            </w:pPr>
            <w:r>
              <w:rPr>
                <w:b/>
                <w:snapToGrid w:val="0"/>
                <w:sz w:val="18"/>
                <w:lang w:val="ru-RU"/>
              </w:rPr>
              <w:t>550</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600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527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495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22</w:t>
            </w:r>
          </w:p>
        </w:tc>
      </w:tr>
      <w:tr w:rsidR="00000000">
        <w:tblPrEx>
          <w:tblCellMar>
            <w:top w:w="0" w:type="dxa"/>
            <w:bottom w:w="0" w:type="dxa"/>
          </w:tblCellMar>
        </w:tblPrEx>
        <w:trPr>
          <w:trHeight w:val="187"/>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Мараньян</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614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513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468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39</w:t>
            </w:r>
          </w:p>
        </w:tc>
      </w:tr>
      <w:tr w:rsidR="00000000">
        <w:tblPrEx>
          <w:tblCellMar>
            <w:top w:w="0" w:type="dxa"/>
            <w:bottom w:w="0" w:type="dxa"/>
          </w:tblCellMar>
        </w:tblPrEx>
        <w:trPr>
          <w:trHeight w:val="187"/>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554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391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365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125</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30</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357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316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291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22</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Пиауи</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379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313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278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35</w:t>
            </w:r>
          </w:p>
        </w:tc>
      </w:tr>
      <w:tr w:rsidR="00000000">
        <w:tblPrEx>
          <w:tblCellMar>
            <w:top w:w="0" w:type="dxa"/>
            <w:bottom w:w="0" w:type="dxa"/>
          </w:tblCellMar>
        </w:tblPrEx>
        <w:trPr>
          <w:trHeight w:val="192"/>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408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306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282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27</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3 001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159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2 494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829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1 665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271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77</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Сеара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3 105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180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2 559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882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1 677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281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85</w:t>
            </w:r>
          </w:p>
        </w:tc>
      </w:tr>
      <w:tr w:rsidR="00000000">
        <w:tblPrEx>
          <w:tblCellMar>
            <w:top w:w="0" w:type="dxa"/>
            <w:bottom w:w="0" w:type="dxa"/>
          </w:tblCellMar>
        </w:tblPrEx>
        <w:trPr>
          <w:trHeight w:val="192"/>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3 320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592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2 441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825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1 616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206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81</w:t>
            </w:r>
          </w:p>
        </w:tc>
      </w:tr>
      <w:tr w:rsidR="00000000">
        <w:tblPrEx>
          <w:tblCellMar>
            <w:top w:w="0" w:type="dxa"/>
            <w:bottom w:w="0" w:type="dxa"/>
          </w:tblCellMar>
        </w:tblPrEx>
        <w:trPr>
          <w:cantSplit/>
          <w:trHeight w:val="192"/>
          <w:jc w:val="center"/>
        </w:trPr>
        <w:tc>
          <w:tcPr>
            <w:tcW w:w="1701" w:type="dxa"/>
            <w:vMerge w:val="restart"/>
            <w:tcBorders>
              <w:left w:val="single" w:sz="4" w:space="0" w:color="auto"/>
            </w:tcBorders>
            <w:vAlign w:val="center"/>
          </w:tcPr>
          <w:p w:rsidR="00000000" w:rsidRDefault="00000000">
            <w:pPr>
              <w:pStyle w:val="BodyText3"/>
              <w:spacing w:line="216" w:lineRule="auto"/>
              <w:jc w:val="center"/>
              <w:rPr>
                <w:snapToGrid w:val="0"/>
                <w:sz w:val="18"/>
                <w:lang w:val="ru-RU"/>
              </w:rPr>
            </w:pPr>
            <w:r>
              <w:rPr>
                <w:snapToGrid w:val="0"/>
                <w:sz w:val="18"/>
                <w:lang w:val="ru-RU"/>
              </w:rPr>
              <w:t>Риу-Гранди-ду-</w:t>
            </w:r>
          </w:p>
          <w:p w:rsidR="00000000" w:rsidRDefault="00000000">
            <w:pPr>
              <w:pStyle w:val="BodyText3"/>
              <w:spacing w:line="216" w:lineRule="auto"/>
              <w:jc w:val="center"/>
              <w:rPr>
                <w:snapToGrid w:val="0"/>
                <w:sz w:val="18"/>
                <w:lang w:val="ru-RU"/>
              </w:rPr>
            </w:pPr>
            <w:r>
              <w:rPr>
                <w:snapToGrid w:val="0"/>
                <w:sz w:val="18"/>
                <w:lang w:val="ru-RU"/>
              </w:rPr>
              <w:t>Норти</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1 401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1 172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376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796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119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34</w:t>
            </w:r>
          </w:p>
        </w:tc>
      </w:tr>
      <w:tr w:rsidR="00000000">
        <w:tblPrEx>
          <w:tblCellMar>
            <w:top w:w="0" w:type="dxa"/>
            <w:bottom w:w="0" w:type="dxa"/>
          </w:tblCellMar>
        </w:tblPrEx>
        <w:trPr>
          <w:cantSplit/>
          <w:trHeight w:val="192"/>
          <w:jc w:val="center"/>
        </w:trPr>
        <w:tc>
          <w:tcPr>
            <w:tcW w:w="1701" w:type="dxa"/>
            <w:vMerge/>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1 712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1 435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646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789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148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44</w:t>
            </w:r>
          </w:p>
        </w:tc>
      </w:tr>
      <w:tr w:rsidR="00000000">
        <w:tblPrEx>
          <w:tblCellMar>
            <w:top w:w="0" w:type="dxa"/>
            <w:bottom w:w="0" w:type="dxa"/>
          </w:tblCellMar>
        </w:tblPrEx>
        <w:trPr>
          <w:cantSplit/>
          <w:trHeight w:val="192"/>
          <w:jc w:val="center"/>
        </w:trPr>
        <w:tc>
          <w:tcPr>
            <w:tcW w:w="1701" w:type="dxa"/>
            <w:vMerge/>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1 530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1 249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482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767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20</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1 450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130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1 163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504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659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120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37</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Параиба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1 249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1 023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364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659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136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36</w:t>
            </w:r>
          </w:p>
        </w:tc>
      </w:tr>
      <w:tr w:rsidR="00000000">
        <w:tblPrEx>
          <w:tblCellMar>
            <w:top w:w="0" w:type="dxa"/>
            <w:bottom w:w="0" w:type="dxa"/>
          </w:tblCellMar>
        </w:tblPrEx>
        <w:trPr>
          <w:trHeight w:val="192"/>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1 125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909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309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600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136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45</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8 743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348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7 761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3 701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4 060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509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125</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Пернамбуку</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6 807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345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5 819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2 565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3 254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501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142</w:t>
            </w:r>
          </w:p>
        </w:tc>
      </w:tr>
      <w:tr w:rsidR="00000000">
        <w:tblPrEx>
          <w:tblCellMar>
            <w:top w:w="0" w:type="dxa"/>
            <w:bottom w:w="0" w:type="dxa"/>
          </w:tblCellMar>
        </w:tblPrEx>
        <w:trPr>
          <w:trHeight w:val="192"/>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6 161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329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5 221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2 185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3 036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466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145</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2 810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204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2 505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1 734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771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33</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Алагоас</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2 921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346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2 473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1 768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705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43</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2 909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307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2 479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1 855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624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85</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38</w:t>
            </w:r>
          </w:p>
        </w:tc>
      </w:tr>
      <w:tr w:rsidR="00000000">
        <w:tblPrEx>
          <w:tblCellMar>
            <w:top w:w="0" w:type="dxa"/>
            <w:bottom w:w="0" w:type="dxa"/>
          </w:tblCellMar>
        </w:tblPrEx>
        <w:trPr>
          <w:trHeight w:val="192"/>
          <w:jc w:val="center"/>
        </w:trPr>
        <w:tc>
          <w:tcPr>
            <w:tcW w:w="1701" w:type="dxa"/>
            <w:tcBorders>
              <w:top w:val="single" w:sz="4" w:space="0" w:color="auto"/>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1 355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296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940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471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469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lang w:val="ru-RU"/>
              </w:rPr>
              <w:t>57</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Сержипи</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1 458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413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941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480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461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lang w:val="ru-RU"/>
              </w:rPr>
              <w:t>37</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1 248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260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879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444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435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17</w:t>
            </w:r>
          </w:p>
        </w:tc>
      </w:tr>
      <w:tr w:rsidR="00000000">
        <w:tblPrEx>
          <w:tblCellMar>
            <w:top w:w="0" w:type="dxa"/>
            <w:bottom w:w="0" w:type="dxa"/>
          </w:tblCellMar>
        </w:tblPrEx>
        <w:trPr>
          <w:trHeight w:val="192"/>
          <w:jc w:val="center"/>
        </w:trPr>
        <w:tc>
          <w:tcPr>
            <w:tcW w:w="1701" w:type="dxa"/>
            <w:tcBorders>
              <w:top w:val="single" w:sz="4" w:space="0" w:color="auto"/>
              <w:left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10 689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1 968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7 625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2 224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5 401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959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137</w:t>
            </w:r>
          </w:p>
        </w:tc>
      </w:tr>
      <w:tr w:rsidR="00000000">
        <w:tblPrEx>
          <w:tblCellMar>
            <w:top w:w="0" w:type="dxa"/>
            <w:bottom w:w="0" w:type="dxa"/>
          </w:tblCellMar>
        </w:tblPrEx>
        <w:trPr>
          <w:trHeight w:val="192"/>
          <w:jc w:val="center"/>
        </w:trPr>
        <w:tc>
          <w:tcPr>
            <w:tcW w:w="1701" w:type="dxa"/>
            <w:tcBorders>
              <w:lef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Баия</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8 876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1 826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6 023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1 590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4 433</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863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164</w:t>
            </w:r>
          </w:p>
        </w:tc>
      </w:tr>
      <w:tr w:rsidR="00000000">
        <w:tblPrEx>
          <w:tblCellMar>
            <w:top w:w="0" w:type="dxa"/>
            <w:bottom w:w="0" w:type="dxa"/>
          </w:tblCellMar>
        </w:tblPrEx>
        <w:trPr>
          <w:trHeight w:val="192"/>
          <w:jc w:val="center"/>
        </w:trPr>
        <w:tc>
          <w:tcPr>
            <w:tcW w:w="1701" w:type="dxa"/>
            <w:tcBorders>
              <w:left w:val="single" w:sz="4" w:space="0" w:color="auto"/>
              <w:bottom w:val="single" w:sz="4" w:space="0" w:color="auto"/>
            </w:tcBorders>
          </w:tcPr>
          <w:p w:rsidR="00000000" w:rsidRDefault="00000000">
            <w:pPr>
              <w:pStyle w:val="BodyText3"/>
              <w:spacing w:line="216" w:lineRule="auto"/>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7 976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1 436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5 224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1 590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3 634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1 169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16" w:lineRule="auto"/>
              <w:jc w:val="center"/>
              <w:rPr>
                <w:snapToGrid w:val="0"/>
                <w:sz w:val="18"/>
                <w:lang w:val="ru-RU"/>
              </w:rPr>
            </w:pPr>
            <w:r>
              <w:rPr>
                <w:snapToGrid w:val="0"/>
                <w:sz w:val="18"/>
                <w:lang w:val="ru-RU"/>
              </w:rPr>
              <w:t>147</w:t>
            </w:r>
          </w:p>
        </w:tc>
      </w:tr>
    </w:tbl>
    <w:p w:rsidR="00000000" w:rsidRDefault="00000000">
      <w:pPr>
        <w:spacing w:after="120"/>
        <w:jc w:val="center"/>
        <w:rPr>
          <w:b/>
        </w:rPr>
      </w:pPr>
      <w:r>
        <w:br w:type="page"/>
      </w:r>
    </w:p>
    <w:tbl>
      <w:tblPr>
        <w:tblW w:w="0" w:type="auto"/>
        <w:jc w:val="center"/>
        <w:tblLayout w:type="fixed"/>
        <w:tblCellMar>
          <w:left w:w="30" w:type="dxa"/>
          <w:right w:w="30" w:type="dxa"/>
        </w:tblCellMar>
        <w:tblLook w:val="0000" w:firstRow="0" w:lastRow="0" w:firstColumn="0" w:lastColumn="0" w:noHBand="0" w:noVBand="0"/>
      </w:tblPr>
      <w:tblGrid>
        <w:gridCol w:w="1701"/>
        <w:gridCol w:w="709"/>
        <w:gridCol w:w="709"/>
        <w:gridCol w:w="850"/>
        <w:gridCol w:w="709"/>
        <w:gridCol w:w="992"/>
        <w:gridCol w:w="1134"/>
        <w:gridCol w:w="1267"/>
        <w:gridCol w:w="748"/>
      </w:tblGrid>
      <w:tr w:rsidR="00000000">
        <w:tblPrEx>
          <w:tblCellMar>
            <w:top w:w="0" w:type="dxa"/>
            <w:bottom w:w="0" w:type="dxa"/>
          </w:tblCellMar>
        </w:tblPrEx>
        <w:trPr>
          <w:cantSplit/>
          <w:trHeight w:val="162"/>
          <w:jc w:val="center"/>
        </w:trPr>
        <w:tc>
          <w:tcPr>
            <w:tcW w:w="1701" w:type="dxa"/>
            <w:vMerge w:val="restart"/>
            <w:tcBorders>
              <w:top w:val="single" w:sz="2" w:space="0" w:color="auto"/>
              <w:left w:val="single" w:sz="4"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Регионы и штаты</w:t>
            </w:r>
          </w:p>
        </w:tc>
        <w:tc>
          <w:tcPr>
            <w:tcW w:w="709" w:type="dxa"/>
            <w:vMerge w:val="restart"/>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Годы</w:t>
            </w:r>
          </w:p>
        </w:tc>
        <w:tc>
          <w:tcPr>
            <w:tcW w:w="6409" w:type="dxa"/>
            <w:gridSpan w:val="7"/>
            <w:tcBorders>
              <w:top w:val="single" w:sz="2" w:space="0" w:color="auto"/>
              <w:left w:val="single" w:sz="2" w:space="0" w:color="auto"/>
              <w:bottom w:val="single" w:sz="2" w:space="0" w:color="auto"/>
              <w:right w:val="single" w:sz="4" w:space="0" w:color="auto"/>
            </w:tcBorders>
          </w:tcPr>
          <w:p w:rsidR="00000000" w:rsidRDefault="00000000">
            <w:pPr>
              <w:pStyle w:val="BodyText3"/>
              <w:jc w:val="center"/>
              <w:rPr>
                <w:snapToGrid w:val="0"/>
                <w:sz w:val="18"/>
                <w:lang w:val="ru-RU"/>
              </w:rPr>
            </w:pPr>
            <w:r>
              <w:rPr>
                <w:snapToGrid w:val="0"/>
                <w:sz w:val="18"/>
                <w:lang w:val="ru-RU"/>
              </w:rPr>
              <w:t>Количество урегулированных несчастных случаев на производстве</w:t>
            </w:r>
          </w:p>
        </w:tc>
      </w:tr>
      <w:tr w:rsidR="00000000">
        <w:tblPrEx>
          <w:tblCellMar>
            <w:top w:w="0" w:type="dxa"/>
            <w:bottom w:w="0" w:type="dxa"/>
          </w:tblCellMar>
        </w:tblPrEx>
        <w:trPr>
          <w:cantSplit/>
          <w:trHeight w:val="121"/>
          <w:jc w:val="center"/>
        </w:trPr>
        <w:tc>
          <w:tcPr>
            <w:tcW w:w="1701" w:type="dxa"/>
            <w:vMerge/>
            <w:tcBorders>
              <w:left w:val="single" w:sz="4" w:space="0" w:color="auto"/>
              <w:right w:val="single" w:sz="2" w:space="0" w:color="auto"/>
            </w:tcBorders>
            <w:vAlign w:val="center"/>
          </w:tcPr>
          <w:p w:rsidR="00000000" w:rsidRDefault="00000000">
            <w:pPr>
              <w:pStyle w:val="BodyText3"/>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709" w:type="dxa"/>
            <w:vMerge w:val="restart"/>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Всего</w:t>
            </w:r>
          </w:p>
        </w:tc>
        <w:tc>
          <w:tcPr>
            <w:tcW w:w="5700" w:type="dxa"/>
            <w:gridSpan w:val="6"/>
            <w:tcBorders>
              <w:top w:val="single" w:sz="2" w:space="0" w:color="auto"/>
              <w:left w:val="single" w:sz="2" w:space="0" w:color="auto"/>
              <w:right w:val="single" w:sz="4" w:space="0" w:color="auto"/>
            </w:tcBorders>
          </w:tcPr>
          <w:p w:rsidR="00000000" w:rsidRDefault="00000000">
            <w:pPr>
              <w:pStyle w:val="BodyText3"/>
              <w:jc w:val="center"/>
              <w:rPr>
                <w:snapToGrid w:val="0"/>
                <w:sz w:val="18"/>
                <w:lang w:val="ru-RU"/>
              </w:rPr>
            </w:pPr>
            <w:r>
              <w:rPr>
                <w:snapToGrid w:val="0"/>
                <w:sz w:val="18"/>
                <w:lang w:val="ru-RU"/>
              </w:rPr>
              <w:t>Результаты</w:t>
            </w:r>
          </w:p>
        </w:tc>
      </w:tr>
      <w:tr w:rsidR="00000000">
        <w:tblPrEx>
          <w:tblCellMar>
            <w:top w:w="0" w:type="dxa"/>
            <w:bottom w:w="0" w:type="dxa"/>
          </w:tblCellMar>
        </w:tblPrEx>
        <w:trPr>
          <w:cantSplit/>
          <w:trHeight w:val="251"/>
          <w:jc w:val="center"/>
        </w:trPr>
        <w:tc>
          <w:tcPr>
            <w:tcW w:w="1701" w:type="dxa"/>
            <w:vMerge/>
            <w:tcBorders>
              <w:left w:val="single" w:sz="4" w:space="0" w:color="auto"/>
              <w:right w:val="single" w:sz="2" w:space="0" w:color="auto"/>
            </w:tcBorders>
            <w:vAlign w:val="center"/>
          </w:tcPr>
          <w:p w:rsidR="00000000" w:rsidRDefault="00000000">
            <w:pPr>
              <w:pStyle w:val="BodyText3"/>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jc w:val="center"/>
              <w:rPr>
                <w:snapToGrid w:val="0"/>
                <w:sz w:val="18"/>
                <w:lang w:val="ru-RU"/>
              </w:rPr>
            </w:pPr>
          </w:p>
        </w:tc>
        <w:tc>
          <w:tcPr>
            <w:tcW w:w="850" w:type="dxa"/>
            <w:vMerge w:val="restart"/>
            <w:tcBorders>
              <w:top w:val="single" w:sz="2" w:space="0" w:color="auto"/>
              <w:left w:val="single" w:sz="2" w:space="0" w:color="auto"/>
              <w:bottom w:val="single" w:sz="4" w:space="0" w:color="auto"/>
              <w:right w:val="single" w:sz="2" w:space="0" w:color="auto"/>
            </w:tcBorders>
          </w:tcPr>
          <w:p w:rsidR="00000000" w:rsidRDefault="00000000">
            <w:pPr>
              <w:pStyle w:val="BodyText3"/>
              <w:jc w:val="center"/>
              <w:rPr>
                <w:snapToGrid w:val="0"/>
                <w:sz w:val="18"/>
                <w:lang w:val="ru-RU"/>
              </w:rPr>
            </w:pPr>
            <w:r>
              <w:rPr>
                <w:snapToGrid w:val="0"/>
                <w:sz w:val="18"/>
                <w:lang w:val="ru-RU"/>
              </w:rPr>
              <w:t>Меди-цинская помощь</w:t>
            </w:r>
          </w:p>
        </w:tc>
        <w:tc>
          <w:tcPr>
            <w:tcW w:w="2835" w:type="dxa"/>
            <w:gridSpan w:val="3"/>
            <w:tcBorders>
              <w:top w:val="single" w:sz="2" w:space="0" w:color="auto"/>
              <w:left w:val="single" w:sz="2" w:space="0" w:color="auto"/>
              <w:bottom w:val="single" w:sz="2" w:space="0" w:color="auto"/>
            </w:tcBorders>
          </w:tcPr>
          <w:p w:rsidR="00000000" w:rsidRDefault="00000000">
            <w:pPr>
              <w:pStyle w:val="BodyText3"/>
              <w:jc w:val="center"/>
              <w:rPr>
                <w:snapToGrid w:val="0"/>
                <w:sz w:val="18"/>
                <w:lang w:val="ru-RU"/>
              </w:rPr>
            </w:pPr>
            <w:r>
              <w:rPr>
                <w:snapToGrid w:val="0"/>
                <w:sz w:val="18"/>
                <w:lang w:val="ru-RU"/>
              </w:rPr>
              <w:t>Временная нетрудоспособность</w:t>
            </w:r>
          </w:p>
        </w:tc>
        <w:tc>
          <w:tcPr>
            <w:tcW w:w="1267" w:type="dxa"/>
            <w:vMerge w:val="restart"/>
            <w:tcBorders>
              <w:top w:val="single" w:sz="2" w:space="0" w:color="auto"/>
              <w:left w:val="single" w:sz="2" w:space="0" w:color="auto"/>
              <w:bottom w:val="single" w:sz="4"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Инвалидность</w:t>
            </w:r>
          </w:p>
        </w:tc>
        <w:tc>
          <w:tcPr>
            <w:tcW w:w="748" w:type="dxa"/>
            <w:vMerge w:val="restart"/>
            <w:tcBorders>
              <w:top w:val="single" w:sz="2" w:space="0" w:color="auto"/>
              <w:left w:val="single" w:sz="2" w:space="0" w:color="auto"/>
              <w:bottom w:val="single" w:sz="4" w:space="0" w:color="auto"/>
              <w:right w:val="single" w:sz="4" w:space="0" w:color="auto"/>
            </w:tcBorders>
            <w:vAlign w:val="center"/>
          </w:tcPr>
          <w:p w:rsidR="00000000" w:rsidRDefault="00000000">
            <w:pPr>
              <w:pStyle w:val="BodyText3"/>
              <w:jc w:val="center"/>
              <w:rPr>
                <w:snapToGrid w:val="0"/>
                <w:sz w:val="18"/>
                <w:lang w:val="ru-RU"/>
              </w:rPr>
            </w:pPr>
            <w:r>
              <w:rPr>
                <w:snapToGrid w:val="0"/>
                <w:sz w:val="18"/>
                <w:lang w:val="ru-RU"/>
              </w:rPr>
              <w:t>Смерть</w:t>
            </w:r>
          </w:p>
        </w:tc>
      </w:tr>
      <w:tr w:rsidR="00000000">
        <w:tblPrEx>
          <w:tblCellMar>
            <w:top w:w="0" w:type="dxa"/>
            <w:bottom w:w="0" w:type="dxa"/>
          </w:tblCellMar>
        </w:tblPrEx>
        <w:trPr>
          <w:cantSplit/>
          <w:trHeight w:val="263"/>
          <w:jc w:val="center"/>
        </w:trPr>
        <w:tc>
          <w:tcPr>
            <w:tcW w:w="1701" w:type="dxa"/>
            <w:vMerge/>
            <w:tcBorders>
              <w:left w:val="single" w:sz="4" w:space="0" w:color="auto"/>
              <w:bottom w:val="single" w:sz="4" w:space="0" w:color="auto"/>
              <w:right w:val="single" w:sz="2" w:space="0" w:color="auto"/>
            </w:tcBorders>
            <w:vAlign w:val="center"/>
          </w:tcPr>
          <w:p w:rsidR="00000000" w:rsidRDefault="00000000">
            <w:pPr>
              <w:pStyle w:val="BodyText3"/>
              <w:jc w:val="center"/>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rPr>
                <w:snapToGrid w:val="0"/>
                <w:sz w:val="18"/>
                <w:lang w:val="ru-RU"/>
              </w:rPr>
            </w:pPr>
          </w:p>
        </w:tc>
        <w:tc>
          <w:tcPr>
            <w:tcW w:w="709" w:type="dxa"/>
            <w:vMerge/>
            <w:tcBorders>
              <w:left w:val="single" w:sz="2" w:space="0" w:color="auto"/>
              <w:right w:val="single" w:sz="2" w:space="0" w:color="auto"/>
            </w:tcBorders>
          </w:tcPr>
          <w:p w:rsidR="00000000" w:rsidRDefault="00000000">
            <w:pPr>
              <w:pStyle w:val="BodyText3"/>
              <w:rPr>
                <w:snapToGrid w:val="0"/>
                <w:sz w:val="18"/>
                <w:lang w:val="ru-RU"/>
              </w:rPr>
            </w:pPr>
          </w:p>
        </w:tc>
        <w:tc>
          <w:tcPr>
            <w:tcW w:w="850" w:type="dxa"/>
            <w:vMerge/>
            <w:tcBorders>
              <w:left w:val="single" w:sz="2" w:space="0" w:color="auto"/>
              <w:right w:val="single" w:sz="2" w:space="0" w:color="auto"/>
            </w:tcBorders>
          </w:tcPr>
          <w:p w:rsidR="00000000" w:rsidRDefault="00000000">
            <w:pPr>
              <w:pStyle w:val="BodyText3"/>
              <w:rPr>
                <w:snapToGrid w:val="0"/>
                <w:sz w:val="18"/>
                <w:lang w:val="ru-RU"/>
              </w:rPr>
            </w:pPr>
          </w:p>
        </w:tc>
        <w:tc>
          <w:tcPr>
            <w:tcW w:w="709" w:type="dxa"/>
            <w:tcBorders>
              <w:top w:val="single" w:sz="2" w:space="0" w:color="auto"/>
              <w:left w:val="single" w:sz="2" w:space="0" w:color="auto"/>
              <w:right w:val="single" w:sz="2" w:space="0" w:color="auto"/>
            </w:tcBorders>
          </w:tcPr>
          <w:p w:rsidR="00000000" w:rsidRDefault="00000000">
            <w:pPr>
              <w:pStyle w:val="BodyText3"/>
              <w:jc w:val="center"/>
              <w:rPr>
                <w:snapToGrid w:val="0"/>
                <w:sz w:val="18"/>
                <w:lang w:val="ru-RU"/>
              </w:rPr>
            </w:pPr>
            <w:r>
              <w:rPr>
                <w:snapToGrid w:val="0"/>
                <w:sz w:val="18"/>
                <w:lang w:val="ru-RU"/>
              </w:rPr>
              <w:t>Всего</w:t>
            </w:r>
          </w:p>
        </w:tc>
        <w:tc>
          <w:tcPr>
            <w:tcW w:w="992" w:type="dxa"/>
            <w:tcBorders>
              <w:top w:val="single" w:sz="2" w:space="0" w:color="auto"/>
              <w:left w:val="single" w:sz="2" w:space="0" w:color="auto"/>
              <w:right w:val="single" w:sz="2" w:space="0" w:color="auto"/>
            </w:tcBorders>
          </w:tcPr>
          <w:p w:rsidR="00000000" w:rsidRDefault="00000000">
            <w:pPr>
              <w:pStyle w:val="BodyText3"/>
              <w:jc w:val="center"/>
              <w:rPr>
                <w:snapToGrid w:val="0"/>
                <w:sz w:val="18"/>
                <w:lang w:val="ru-RU"/>
              </w:rPr>
            </w:pPr>
            <w:r>
              <w:rPr>
                <w:snapToGrid w:val="0"/>
                <w:sz w:val="18"/>
                <w:lang w:val="ru-RU"/>
              </w:rPr>
              <w:t>Менее 15 дней</w:t>
            </w:r>
          </w:p>
        </w:tc>
        <w:tc>
          <w:tcPr>
            <w:tcW w:w="1134" w:type="dxa"/>
            <w:tcBorders>
              <w:top w:val="single" w:sz="2" w:space="0" w:color="auto"/>
              <w:left w:val="single" w:sz="2" w:space="0" w:color="auto"/>
              <w:right w:val="single" w:sz="2" w:space="0" w:color="auto"/>
            </w:tcBorders>
            <w:vAlign w:val="center"/>
          </w:tcPr>
          <w:p w:rsidR="00000000" w:rsidRDefault="00000000">
            <w:pPr>
              <w:pStyle w:val="BodyText3"/>
              <w:jc w:val="center"/>
              <w:rPr>
                <w:snapToGrid w:val="0"/>
                <w:sz w:val="18"/>
                <w:lang w:val="ru-RU"/>
              </w:rPr>
            </w:pPr>
            <w:r>
              <w:rPr>
                <w:snapToGrid w:val="0"/>
                <w:sz w:val="18"/>
                <w:lang w:val="ru-RU"/>
              </w:rPr>
              <w:t>Более 15 дней</w:t>
            </w:r>
          </w:p>
        </w:tc>
        <w:tc>
          <w:tcPr>
            <w:tcW w:w="1267" w:type="dxa"/>
            <w:vMerge/>
            <w:tcBorders>
              <w:left w:val="single" w:sz="2" w:space="0" w:color="auto"/>
              <w:right w:val="single" w:sz="2" w:space="0" w:color="auto"/>
            </w:tcBorders>
          </w:tcPr>
          <w:p w:rsidR="00000000" w:rsidRDefault="00000000">
            <w:pPr>
              <w:pStyle w:val="BodyText3"/>
              <w:rPr>
                <w:snapToGrid w:val="0"/>
                <w:sz w:val="18"/>
                <w:lang w:val="ru-RU"/>
              </w:rPr>
            </w:pPr>
          </w:p>
        </w:tc>
        <w:tc>
          <w:tcPr>
            <w:tcW w:w="748" w:type="dxa"/>
            <w:vMerge/>
            <w:tcBorders>
              <w:left w:val="single" w:sz="2" w:space="0" w:color="auto"/>
              <w:right w:val="single" w:sz="4" w:space="0" w:color="auto"/>
            </w:tcBorders>
          </w:tcPr>
          <w:p w:rsidR="00000000" w:rsidRDefault="00000000">
            <w:pPr>
              <w:pStyle w:val="BodyText3"/>
              <w:rPr>
                <w:snapToGrid w:val="0"/>
                <w:sz w:val="18"/>
                <w:lang w:val="ru-RU"/>
              </w:rPr>
            </w:pP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b/>
                <w:sz w:val="18"/>
                <w:lang w:val="ru-RU"/>
              </w:rPr>
              <w:t>ЮЖНАЯ ЧАСТЬ</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b/>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299 627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40 866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245 185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153 957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91 228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11 786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1 790</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b/>
                <w:sz w:val="18"/>
                <w:lang w:val="ru-RU"/>
              </w:rPr>
              <w:t>ВОСТОЧНОГО</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b/>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270 998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38 125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220 960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139 642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81 318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9 833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2 080</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b/>
                <w:bCs/>
                <w:snapToGrid w:val="0"/>
                <w:sz w:val="18"/>
                <w:lang w:val="ru-RU"/>
              </w:rPr>
            </w:pPr>
            <w:r>
              <w:rPr>
                <w:b/>
                <w:bCs/>
                <w:snapToGrid w:val="0"/>
                <w:sz w:val="18"/>
                <w:lang w:val="ru-RU"/>
              </w:rPr>
              <w:t>РЕГИОНА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b/>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260 579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37 810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210 834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135 738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75 096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9 940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1 995</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54 886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8 565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41 507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23 677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17 830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4 417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397</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Минас-Жерайс</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49 699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8 877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36 707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21 691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15 016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3 646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469</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50 802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10 682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36 633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23 517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13 116</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2 994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493</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6 081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835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4 616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1 944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2 672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509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121</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Эспириту-Санту</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5 811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972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4 378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1 805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2 573</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338</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123</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5 597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1 039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4 137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1 747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2 390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117</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24 692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3 380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20 198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8 781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11 417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861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253</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Рио-де-Жанейро</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23 253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3 498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18 627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8 166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10 461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765</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363</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21 443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3 463</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16 417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7 237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9 180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1 219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344</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213 968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28 086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178 864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119 555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59 309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5 999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1 019</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Сан-Паулу</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192 235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24 778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161 248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107 980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53 268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5 084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1 125</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182 737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22 626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153 647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103 237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50 410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5 423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1 041</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b/>
                <w:bCs/>
                <w:snapToGrid w:val="0"/>
                <w:sz w:val="18"/>
                <w:lang w:val="ru-RU"/>
              </w:rPr>
              <w:t>ЮЖНЫЙ</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90 087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11 162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75 976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36 707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39 269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2 256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693</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b/>
                <w:snapToGrid w:val="0"/>
                <w:sz w:val="18"/>
                <w:lang w:val="ru-RU"/>
              </w:rPr>
            </w:pPr>
            <w:r>
              <w:rPr>
                <w:b/>
                <w:snapToGrid w:val="0"/>
                <w:sz w:val="18"/>
                <w:lang w:val="ru-RU"/>
              </w:rPr>
              <w:t>РЕГИОН</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89 819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12 867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73 640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34 445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39 195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2 509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803</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86 628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6 315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77 049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38 136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38 913</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2 469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795</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27 698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5 785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20 882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11 035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9 847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763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268</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Парана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30 164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7 555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21 468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11 461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10 007</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787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354</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28 591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2 104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25 476</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15 815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9 661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682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329</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23 577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2 466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20 377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10 557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9 820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524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210</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Санта-Катарина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24 261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2 742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20 791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11 212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9 579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510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218</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23 413</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1 485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21 128</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10 990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10 138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573</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227</w:t>
            </w:r>
          </w:p>
        </w:tc>
      </w:tr>
      <w:tr w:rsidR="00000000">
        <w:tblPrEx>
          <w:tblCellMar>
            <w:top w:w="0" w:type="dxa"/>
            <w:bottom w:w="0" w:type="dxa"/>
          </w:tblCellMar>
        </w:tblPrEx>
        <w:trPr>
          <w:cantSplit/>
          <w:trHeight w:val="155"/>
          <w:jc w:val="center"/>
        </w:trPr>
        <w:tc>
          <w:tcPr>
            <w:tcW w:w="1701" w:type="dxa"/>
            <w:vMerge w:val="restart"/>
            <w:tcBorders>
              <w:left w:val="single" w:sz="4" w:space="0" w:color="auto"/>
            </w:tcBorders>
            <w:vAlign w:val="center"/>
          </w:tcPr>
          <w:p w:rsidR="00000000" w:rsidRDefault="00000000">
            <w:pPr>
              <w:pStyle w:val="BodyText3"/>
              <w:jc w:val="center"/>
              <w:rPr>
                <w:snapToGrid w:val="0"/>
                <w:sz w:val="18"/>
                <w:lang w:val="ru-RU"/>
              </w:rPr>
            </w:pPr>
            <w:r>
              <w:rPr>
                <w:snapToGrid w:val="0"/>
                <w:sz w:val="18"/>
                <w:lang w:val="ru-RU"/>
              </w:rPr>
              <w:t>Риу-Гранди-ду-</w:t>
            </w:r>
          </w:p>
          <w:p w:rsidR="00000000" w:rsidRDefault="00000000">
            <w:pPr>
              <w:pStyle w:val="BodyText3"/>
              <w:jc w:val="center"/>
              <w:rPr>
                <w:snapToGrid w:val="0"/>
                <w:sz w:val="18"/>
                <w:lang w:val="ru-RU"/>
              </w:rPr>
            </w:pPr>
            <w:r>
              <w:rPr>
                <w:snapToGrid w:val="0"/>
                <w:sz w:val="18"/>
                <w:lang w:val="ru-RU"/>
              </w:rPr>
              <w:t>Сул</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38 812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2 911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34 717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15 115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19 602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969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215</w:t>
            </w:r>
          </w:p>
        </w:tc>
      </w:tr>
      <w:tr w:rsidR="00000000">
        <w:tblPrEx>
          <w:tblCellMar>
            <w:top w:w="0" w:type="dxa"/>
            <w:bottom w:w="0" w:type="dxa"/>
          </w:tblCellMar>
        </w:tblPrEx>
        <w:trPr>
          <w:cantSplit/>
          <w:trHeight w:val="155"/>
          <w:jc w:val="center"/>
        </w:trPr>
        <w:tc>
          <w:tcPr>
            <w:tcW w:w="1701" w:type="dxa"/>
            <w:vMerge/>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35 394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2 570</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31 381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11 772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19 609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1 212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231</w:t>
            </w:r>
          </w:p>
        </w:tc>
      </w:tr>
      <w:tr w:rsidR="00000000">
        <w:tblPrEx>
          <w:tblCellMar>
            <w:top w:w="0" w:type="dxa"/>
            <w:bottom w:w="0" w:type="dxa"/>
          </w:tblCellMar>
        </w:tblPrEx>
        <w:trPr>
          <w:cantSplit/>
          <w:trHeight w:val="155"/>
          <w:jc w:val="center"/>
        </w:trPr>
        <w:tc>
          <w:tcPr>
            <w:tcW w:w="1701" w:type="dxa"/>
            <w:vMerge/>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34 624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2 726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30 445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11 331</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19 114</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1 214</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239</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b/>
                <w:snapToGrid w:val="0"/>
                <w:sz w:val="18"/>
                <w:lang w:val="ru-RU"/>
              </w:rPr>
              <w:t>ЦЕНТРАЛЬНАЯ</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14 312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611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12 425</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4 814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7 611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967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309</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b/>
                <w:snapToGrid w:val="0"/>
                <w:sz w:val="18"/>
                <w:lang w:val="ru-RU"/>
              </w:rPr>
            </w:pPr>
            <w:r>
              <w:rPr>
                <w:b/>
                <w:snapToGrid w:val="0"/>
                <w:sz w:val="18"/>
                <w:lang w:val="ru-RU"/>
              </w:rPr>
              <w:t>ЧАСТЬ ЗАПАД-</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14 652</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684</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12 540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4 548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7 992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1 002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426</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b/>
                <w:bCs/>
                <w:snapToGrid w:val="0"/>
                <w:sz w:val="18"/>
                <w:lang w:val="ru-RU"/>
              </w:rPr>
            </w:pPr>
            <w:r>
              <w:rPr>
                <w:b/>
                <w:bCs/>
                <w:snapToGrid w:val="0"/>
                <w:sz w:val="18"/>
                <w:lang w:val="ru-RU"/>
              </w:rPr>
              <w:t>НОГО РЕГИОНА</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14 501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686</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12 477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4 116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8 361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941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b/>
                <w:snapToGrid w:val="0"/>
                <w:sz w:val="18"/>
                <w:lang w:val="ru-RU"/>
              </w:rPr>
            </w:pPr>
            <w:r>
              <w:rPr>
                <w:b/>
                <w:snapToGrid w:val="0"/>
                <w:sz w:val="18"/>
                <w:lang w:val="ru-RU"/>
              </w:rPr>
              <w:t>397</w:t>
            </w:r>
          </w:p>
        </w:tc>
      </w:tr>
      <w:tr w:rsidR="00000000">
        <w:tblPrEx>
          <w:tblCellMar>
            <w:top w:w="0" w:type="dxa"/>
            <w:bottom w:w="0" w:type="dxa"/>
          </w:tblCellMar>
        </w:tblPrEx>
        <w:trPr>
          <w:cantSplit/>
          <w:trHeight w:val="155"/>
          <w:jc w:val="center"/>
        </w:trPr>
        <w:tc>
          <w:tcPr>
            <w:tcW w:w="1701" w:type="dxa"/>
            <w:vMerge w:val="restart"/>
            <w:tcBorders>
              <w:left w:val="single" w:sz="4" w:space="0" w:color="auto"/>
            </w:tcBorders>
            <w:vAlign w:val="center"/>
          </w:tcPr>
          <w:p w:rsidR="00000000" w:rsidRDefault="00000000">
            <w:pPr>
              <w:pStyle w:val="BodyText3"/>
              <w:jc w:val="center"/>
              <w:rPr>
                <w:snapToGrid w:val="0"/>
                <w:sz w:val="18"/>
                <w:lang w:val="ru-RU"/>
              </w:rPr>
            </w:pPr>
            <w:r>
              <w:rPr>
                <w:snapToGrid w:val="0"/>
                <w:sz w:val="18"/>
                <w:lang w:val="ru-RU"/>
              </w:rPr>
              <w:t>Мату-Гросу-ду-</w:t>
            </w:r>
          </w:p>
          <w:p w:rsidR="00000000" w:rsidRDefault="00000000">
            <w:pPr>
              <w:pStyle w:val="BodyText3"/>
              <w:jc w:val="center"/>
              <w:rPr>
                <w:snapToGrid w:val="0"/>
                <w:sz w:val="18"/>
                <w:lang w:val="ru-RU"/>
              </w:rPr>
            </w:pPr>
            <w:r>
              <w:rPr>
                <w:snapToGrid w:val="0"/>
                <w:sz w:val="18"/>
                <w:lang w:val="ru-RU"/>
              </w:rPr>
              <w:t>Сул</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3 211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2 914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1 096</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1 818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66</w:t>
            </w:r>
          </w:p>
        </w:tc>
      </w:tr>
      <w:tr w:rsidR="00000000">
        <w:tblPrEx>
          <w:tblCellMar>
            <w:top w:w="0" w:type="dxa"/>
            <w:bottom w:w="0" w:type="dxa"/>
          </w:tblCellMar>
        </w:tblPrEx>
        <w:trPr>
          <w:cantSplit/>
          <w:trHeight w:val="155"/>
          <w:jc w:val="center"/>
        </w:trPr>
        <w:tc>
          <w:tcPr>
            <w:tcW w:w="1701" w:type="dxa"/>
            <w:vMerge/>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3 095</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2 783</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884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1 899</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186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78</w:t>
            </w:r>
          </w:p>
        </w:tc>
      </w:tr>
      <w:tr w:rsidR="00000000">
        <w:tblPrEx>
          <w:tblCellMar>
            <w:top w:w="0" w:type="dxa"/>
            <w:bottom w:w="0" w:type="dxa"/>
          </w:tblCellMar>
        </w:tblPrEx>
        <w:trPr>
          <w:cantSplit/>
          <w:trHeight w:val="155"/>
          <w:jc w:val="center"/>
        </w:trPr>
        <w:tc>
          <w:tcPr>
            <w:tcW w:w="1701" w:type="dxa"/>
            <w:vMerge/>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3 290</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71</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2 904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772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2 132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63</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3 147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2 684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1 124</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1 560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170</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116</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Мату-Гросу</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3 484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2 919</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988</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1 931</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171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137</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3 278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2 734</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809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1 925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161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128</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5 566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277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4 867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2 142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2 725</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337</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85</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Гояс</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5 894</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5 067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2 237</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2 830</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396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144</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5 927</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255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5 142</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2 150</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2 992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402</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128</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2 388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1 960</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452</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1 508</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281</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42</w:t>
            </w:r>
          </w:p>
        </w:tc>
      </w:tr>
      <w:tr w:rsidR="00000000">
        <w:tblPrEx>
          <w:tblCellMar>
            <w:top w:w="0" w:type="dxa"/>
            <w:bottom w:w="0" w:type="dxa"/>
          </w:tblCellMar>
        </w:tblPrEx>
        <w:trPr>
          <w:cantSplit/>
          <w:trHeight w:val="155"/>
          <w:jc w:val="center"/>
        </w:trPr>
        <w:tc>
          <w:tcPr>
            <w:tcW w:w="1701" w:type="dxa"/>
            <w:tcBorders>
              <w:left w:val="single" w:sz="4" w:space="0" w:color="auto"/>
            </w:tcBorders>
          </w:tcPr>
          <w:p w:rsidR="00000000" w:rsidRDefault="00000000">
            <w:pPr>
              <w:pStyle w:val="BodyText3"/>
              <w:jc w:val="center"/>
              <w:rPr>
                <w:snapToGrid w:val="0"/>
                <w:sz w:val="18"/>
                <w:lang w:val="ru-RU"/>
              </w:rPr>
            </w:pPr>
            <w:r>
              <w:rPr>
                <w:snapToGrid w:val="0"/>
                <w:sz w:val="18"/>
                <w:lang w:val="ru-RU"/>
              </w:rPr>
              <w:t>Федеральный округ</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2 179</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92</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1 771</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439</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1 332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249</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67</w:t>
            </w:r>
          </w:p>
        </w:tc>
      </w:tr>
      <w:tr w:rsidR="00000000">
        <w:tblPrEx>
          <w:tblCellMar>
            <w:top w:w="0" w:type="dxa"/>
            <w:bottom w:w="0" w:type="dxa"/>
          </w:tblCellMar>
        </w:tblPrEx>
        <w:trPr>
          <w:cantSplit/>
          <w:trHeight w:val="155"/>
          <w:jc w:val="center"/>
        </w:trPr>
        <w:tc>
          <w:tcPr>
            <w:tcW w:w="1701" w:type="dxa"/>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2 006</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105</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1 697</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385</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1 312</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126</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78</w:t>
            </w:r>
          </w:p>
        </w:tc>
      </w:tr>
      <w:tr w:rsidR="00000000">
        <w:tblPrEx>
          <w:tblCellMar>
            <w:top w:w="0" w:type="dxa"/>
            <w:bottom w:w="0" w:type="dxa"/>
          </w:tblCellMar>
        </w:tblPrEx>
        <w:trPr>
          <w:cantSplit/>
          <w:trHeight w:val="155"/>
          <w:jc w:val="center"/>
        </w:trPr>
        <w:tc>
          <w:tcPr>
            <w:tcW w:w="1701" w:type="dxa"/>
            <w:vMerge w:val="restart"/>
            <w:tcBorders>
              <w:left w:val="single" w:sz="4" w:space="0" w:color="auto"/>
            </w:tcBorders>
            <w:vAlign w:val="center"/>
          </w:tcPr>
          <w:p w:rsidR="00000000" w:rsidRDefault="00000000">
            <w:pPr>
              <w:pStyle w:val="BodyText3"/>
              <w:jc w:val="center"/>
              <w:rPr>
                <w:snapToGrid w:val="0"/>
                <w:sz w:val="18"/>
                <w:lang w:val="ru-RU"/>
              </w:rPr>
            </w:pPr>
            <w:r>
              <w:rPr>
                <w:snapToGrid w:val="0"/>
                <w:sz w:val="18"/>
                <w:lang w:val="ru-RU"/>
              </w:rPr>
              <w:t>Данные</w:t>
            </w:r>
          </w:p>
          <w:p w:rsidR="00000000" w:rsidRDefault="00000000">
            <w:pPr>
              <w:pStyle w:val="BodyText3"/>
              <w:jc w:val="center"/>
              <w:rPr>
                <w:snapToGrid w:val="0"/>
                <w:sz w:val="18"/>
                <w:lang w:val="ru-RU"/>
              </w:rPr>
            </w:pPr>
            <w:r>
              <w:rPr>
                <w:snapToGrid w:val="0"/>
                <w:sz w:val="18"/>
                <w:lang w:val="ru-RU"/>
              </w:rPr>
              <w:t>отсутствуют</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1997</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r>
      <w:tr w:rsidR="00000000">
        <w:tblPrEx>
          <w:tblCellMar>
            <w:top w:w="0" w:type="dxa"/>
            <w:bottom w:w="0" w:type="dxa"/>
          </w:tblCellMar>
        </w:tblPrEx>
        <w:trPr>
          <w:cantSplit/>
          <w:trHeight w:val="155"/>
          <w:jc w:val="center"/>
        </w:trPr>
        <w:tc>
          <w:tcPr>
            <w:tcW w:w="1701" w:type="dxa"/>
            <w:vMerge/>
            <w:tcBorders>
              <w:left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1998</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w:t>
            </w:r>
          </w:p>
        </w:tc>
      </w:tr>
      <w:tr w:rsidR="00000000">
        <w:tblPrEx>
          <w:tblCellMar>
            <w:top w:w="0" w:type="dxa"/>
            <w:bottom w:w="0" w:type="dxa"/>
          </w:tblCellMar>
        </w:tblPrEx>
        <w:trPr>
          <w:cantSplit/>
          <w:trHeight w:val="155"/>
          <w:jc w:val="center"/>
        </w:trPr>
        <w:tc>
          <w:tcPr>
            <w:tcW w:w="1701" w:type="dxa"/>
            <w:vMerge/>
            <w:tcBorders>
              <w:left w:val="single" w:sz="4" w:space="0" w:color="auto"/>
              <w:bottom w:val="single" w:sz="4" w:space="0" w:color="auto"/>
            </w:tcBorders>
          </w:tcPr>
          <w:p w:rsidR="00000000" w:rsidRDefault="00000000">
            <w:pPr>
              <w:pStyle w:val="BodyText3"/>
              <w:jc w:val="center"/>
              <w:rPr>
                <w:snapToGrid w:val="0"/>
                <w:sz w:val="18"/>
                <w:lang w:val="ru-RU"/>
              </w:rPr>
            </w:pP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1999</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709"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1267"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c>
          <w:tcPr>
            <w:tcW w:w="748" w:type="dxa"/>
            <w:tcBorders>
              <w:top w:val="single" w:sz="4" w:space="0" w:color="auto"/>
              <w:left w:val="single" w:sz="4" w:space="0" w:color="auto"/>
              <w:bottom w:val="single" w:sz="4" w:space="0" w:color="auto"/>
              <w:right w:val="single" w:sz="4" w:space="0" w:color="auto"/>
            </w:tcBorders>
          </w:tcPr>
          <w:p w:rsidR="00000000" w:rsidRDefault="00000000">
            <w:pPr>
              <w:pStyle w:val="BodyText3"/>
              <w:jc w:val="center"/>
              <w:rPr>
                <w:snapToGrid w:val="0"/>
                <w:sz w:val="18"/>
                <w:lang w:val="ru-RU"/>
              </w:rPr>
            </w:pPr>
            <w:r>
              <w:rPr>
                <w:snapToGrid w:val="0"/>
                <w:sz w:val="18"/>
                <w:lang w:val="ru-RU"/>
              </w:rPr>
              <w:t>–</w:t>
            </w:r>
          </w:p>
        </w:tc>
      </w:tr>
    </w:tbl>
    <w:p w:rsidR="00000000" w:rsidRDefault="00000000">
      <w:pPr>
        <w:pStyle w:val="BodyText3"/>
        <w:spacing w:before="80" w:line="240" w:lineRule="atLeast"/>
        <w:jc w:val="left"/>
        <w:rPr>
          <w:bCs/>
          <w:snapToGrid w:val="0"/>
          <w:sz w:val="24"/>
          <w:u w:val="single"/>
          <w:lang w:val="ru-RU"/>
        </w:rPr>
      </w:pPr>
    </w:p>
    <w:p w:rsidR="00000000" w:rsidRDefault="00000000">
      <w:pPr>
        <w:pStyle w:val="BodyText3"/>
        <w:spacing w:before="80" w:line="240" w:lineRule="atLeast"/>
        <w:jc w:val="left"/>
        <w:rPr>
          <w:bCs/>
          <w:snapToGrid w:val="0"/>
          <w:sz w:val="24"/>
          <w:lang w:val="ru-RU"/>
        </w:rPr>
      </w:pPr>
      <w:r>
        <w:rPr>
          <w:bCs/>
          <w:snapToGrid w:val="0"/>
          <w:sz w:val="24"/>
          <w:u w:val="single"/>
          <w:lang w:val="ru-RU"/>
        </w:rPr>
        <w:t>Источник</w:t>
      </w:r>
      <w:r>
        <w:rPr>
          <w:bCs/>
          <w:snapToGrid w:val="0"/>
          <w:sz w:val="24"/>
          <w:lang w:val="ru-RU"/>
        </w:rPr>
        <w:t>:  ДАТАПРЕВ, СУБ, СУПТ.</w:t>
      </w:r>
    </w:p>
    <w:p w:rsidR="00000000" w:rsidRDefault="00000000">
      <w:pPr>
        <w:pStyle w:val="BodyText3"/>
        <w:spacing w:before="80" w:line="240" w:lineRule="atLeast"/>
        <w:jc w:val="left"/>
        <w:rPr>
          <w:bCs/>
          <w:snapToGrid w:val="0"/>
          <w:sz w:val="24"/>
          <w:u w:val="words"/>
          <w:lang w:val="ru-RU"/>
        </w:rPr>
      </w:pPr>
    </w:p>
    <w:p w:rsidR="00000000" w:rsidRDefault="00000000">
      <w:pPr>
        <w:pStyle w:val="BodyText3"/>
        <w:spacing w:before="80" w:line="240" w:lineRule="atLeast"/>
        <w:jc w:val="left"/>
        <w:rPr>
          <w:bCs/>
          <w:snapToGrid w:val="0"/>
          <w:sz w:val="24"/>
          <w:lang w:val="ru-RU"/>
        </w:rPr>
      </w:pPr>
      <w:r>
        <w:rPr>
          <w:bCs/>
          <w:snapToGrid w:val="0"/>
          <w:sz w:val="24"/>
          <w:u w:val="single"/>
          <w:lang w:val="ru-RU"/>
        </w:rPr>
        <w:t>Примечание</w:t>
      </w:r>
      <w:r>
        <w:rPr>
          <w:bCs/>
          <w:snapToGrid w:val="0"/>
          <w:sz w:val="24"/>
          <w:lang w:val="ru-RU"/>
        </w:rPr>
        <w:t>:  Вышеприведенные данные являются неполными и могут подлежать корректировке.</w:t>
      </w:r>
    </w:p>
    <w:p w:rsidR="00000000" w:rsidRDefault="00000000">
      <w:r>
        <w:rPr>
          <w:b/>
          <w:snapToGrid w:val="0"/>
          <w:sz w:val="16"/>
        </w:rPr>
        <w:br w:type="page"/>
      </w:r>
    </w:p>
    <w:p w:rsidR="00000000" w:rsidRDefault="00000000">
      <w:r>
        <w:t>158.</w:t>
      </w:r>
      <w:r>
        <w:tab/>
        <w:t>В Федеральной конституции, Законе 605/49 и Основах трудового законодательства содержатся нормы, регулирующие режим оплаты выходных дней.  Все эти нормы гарантируют трудящимся право на оплачиваемый еженедельный отдых в течение 24 часов без перерыва, предпочтительно по воскресеньям, независимо от характера трудовой деятельности.  В вышеупомянутых нормативных актах оговаривается трудовая деятельность, которая не может быть приостановлена предприятиями в выходные дни с учетом характера технологического процесса.  В таких случаях предусматривается выдача постоянных разрешений на трудовую деятельность по выходным дням.  В качестве примера можно привести деятельность молочных комбинатов или портовых служб.  Применение такого механизма предполагает предоставление работнику выходных дней в другое время в рамках ротационной системы посменной работы всех наемных работников в соответствии с нормами, утвержденными на основе Указа 27048 от 12 августа 1949 года.</w:t>
      </w:r>
    </w:p>
    <w:p w:rsidR="00000000" w:rsidRDefault="00000000"/>
    <w:p w:rsidR="00000000" w:rsidRDefault="00000000">
      <w:r>
        <w:t>159.</w:t>
      </w:r>
      <w:r>
        <w:tab/>
        <w:t>С течением времени перечень разрешенной трудовой деятельности по выходным дням перестал удовлетворять реальным потребностям общества, в частности, в том, что касается функционирования супермаркетов или гипермаркетов, режим работы которых не был конкретно оговорен в вышеупомянутом Указе.  Кроме того, стало ясно, что население крупных городских центров, где система коммерческих отношений особенно усложнилась, нуждается в том, чтобы ряд торговых учреждений работал по воскресеньям.  В этой связи был принят Указ 99467/90, предусматривающий возможность функционирования розничных торговых точек по воскресеньям при условии заключения соответствующего коллективного трудового соглашения или договора.</w:t>
      </w:r>
    </w:p>
    <w:p w:rsidR="00000000" w:rsidRDefault="00000000"/>
    <w:p w:rsidR="00000000" w:rsidRDefault="00000000">
      <w:r>
        <w:t>160.</w:t>
      </w:r>
      <w:r>
        <w:tab/>
        <w:t>В целях дальнейшего стимулирования коммерческой деятельности и создания новых рабочих мест в системе розничной торговли правительство приняло временное постановление 1539-34 от 7 августа 1997 года.  В статье 6 этого документа предусматривается возможность трудовой деятельности граждан по воскресеньям в сфере розничной торговли при условии соблюдения стандартов в области охраны труда и муниципального законодательства, оговаривающего режим работы коммерческих предприятий.  При осуществлении предусмотренных в вышеуказанном постановлении мер гарантируется соблюдение прав трудящихся (выходной день в другое время, ограниченные часы работы и отдых в течение рабочего дня).  Согласно вышеуказанному постановлению, другие вопросы, касающиеся, в частности, точного расписания работы торговых предприятий, оставляются на усмотрение самих муниципий, что обеспечивает соблюдение закрепленных в Конституции прав муниципальных органов власти.</w:t>
      </w:r>
    </w:p>
    <w:p w:rsidR="00000000" w:rsidRDefault="00000000"/>
    <w:p w:rsidR="00000000" w:rsidRDefault="00000000">
      <w:r>
        <w:t>161.</w:t>
      </w:r>
      <w:r>
        <w:tab/>
        <w:t>После того как правительство приняло временное постановление 1539-45</w:t>
      </w:r>
      <w:r>
        <w:rPr>
          <w:b/>
          <w:bCs/>
          <w:vertAlign w:val="superscript"/>
        </w:rPr>
        <w:t xml:space="preserve">5 </w:t>
      </w:r>
      <w:r>
        <w:t>от 4 сентября 1997 года, Национальная конфедерация работников розничной торговли (НКРРТ) обратилась в Федеральный верховный суд (ФВС) с иском о неконституционности статьи 6 этого постановления.  25 сентября 1997 года ФВС вынес в предварительном порядке решение 121 (ADIN 1675) о приостановке действия вышеупомянутого постановления.  Затем ходатайство о применении незамедлительных мер в связи с неконституционностью данного постановления было квалифицировано как недействительное, и временно введенный судебный запрет был отменен.  Федеральное правительство, следившее за ходом вышеупомянутого процесса, решило внести изменения в формулировку статьи 6.  Такие изменения были внесены на основании временного постановления 1539-36 от 2 октября 1997 года.  Новый текст статьи 6 гласит:  "Начиная с 9 ноября 1997 года разрешается, в качестве общего принципа, работа по воскресным дням розничных коммерческих предприятий в соответствии с пунктом I статьи 30 Конституции.  Отдельный параграф.  Еженедельные оплачиваемые выходные дни должны приходиться на воскресенье по крайней мере один раз в четыре недели.  Все остальные нормы, направленные на защиту прав трудящихся, и/или другие решения, оговоренные в заключенных коллективных соглашениях или договорах, должны по</w:t>
      </w:r>
      <w:r>
        <w:noBreakHyphen/>
        <w:t>прежнему соблюдаться".</w:t>
      </w:r>
    </w:p>
    <w:p w:rsidR="00000000" w:rsidRDefault="00000000"/>
    <w:p w:rsidR="00000000" w:rsidRDefault="00000000">
      <w:r>
        <w:t>162.</w:t>
      </w:r>
      <w:r>
        <w:tab/>
        <w:t>Пункт I статьи 30 Федеральной конституции касается полномочий муниципальных органов власти издавать нормативные акты местного значения.  В вышеупомянутое временное постановление было включено новое примечание в целях обеспечения полного соответствия текста Конституции, согласно которой еженедельные выходные дни должны приходиться, по возможности, на воскресенья.  С учетом этих изменений по меньшей мере один раз в четыре недели работник, которому было предписано работать по воскресеньям, должен подменяться другим на основе ротации, с тем чтобы один его выходной день приходился на воскресенье.</w:t>
      </w:r>
    </w:p>
    <w:p w:rsidR="00000000" w:rsidRDefault="00000000"/>
    <w:p w:rsidR="00000000" w:rsidRDefault="00000000">
      <w:r>
        <w:t>163.</w:t>
      </w:r>
      <w:r>
        <w:tab/>
        <w:t xml:space="preserve">Поскольку это временное постановление пока еще не было преобразовано Конгрессом страны в закон, Федеральное правительство ежемесячно издает распоряжения, в точности повторяющие формулировку вышеупомянутого постановления. </w:t>
      </w:r>
    </w:p>
    <w:p w:rsidR="00000000" w:rsidRDefault="00000000"/>
    <w:p w:rsidR="00000000" w:rsidRDefault="00000000">
      <w:r>
        <w:t>164.</w:t>
      </w:r>
      <w:r>
        <w:tab/>
        <w:t>Всем трудящимся гарантируется право на еженедельный отдых;  если выходные дни приходятся на воскресенье, предусматривается применение механизма ротации.  Если применение механизма ротации представляется невозможным, например, в случае театральных постановок или в других аналогичных ситуациях, то в соответствии с пунктом IХ статьи 10 Закона 6533 от 24 мая 1978 года предусматривается предоставление в обязательном порядке выходного дня в один из других дней недели.</w:t>
      </w:r>
    </w:p>
    <w:p w:rsidR="00000000" w:rsidRDefault="00000000"/>
    <w:p w:rsidR="00000000" w:rsidRDefault="00000000">
      <w:r>
        <w:t>165.</w:t>
      </w:r>
      <w:r>
        <w:tab/>
        <w:t>В Федеральной конституции 1998 года отмечается, что все городские и сельские труженики, а также работники особых категорий или домашняя прислуга имеют право на ежегодный оплачиваемый отпуск;  при этом сумма отпускного пособия должна не менее, чем на треть превышать размер обычной заработной платы работника (пункт ХХVII статьи 7).  Дополнительная прибавка размером в одну треть ежемесячной заработной платы имеет целью обеспечение работников дополнительными средствами, позволяющими им и членам их семей с бóльшим комфортом проводить свой ежегодный отпуск.</w:t>
      </w:r>
    </w:p>
    <w:p w:rsidR="00000000" w:rsidRDefault="00000000"/>
    <w:p w:rsidR="00000000" w:rsidRDefault="00000000">
      <w:r>
        <w:t>166.</w:t>
      </w:r>
      <w:r>
        <w:tab/>
        <w:t>В статьях 129 и 130 ОТЗ также оговаривается, что все трудящиеся имеют право на отпуск, продолжительность которого зависит от добросовестности работника, по истечении 12 месяцев с момента заключения трудового контракта.</w:t>
      </w:r>
    </w:p>
    <w:p w:rsidR="00000000" w:rsidRDefault="00000000"/>
    <w:p w:rsidR="00000000" w:rsidRDefault="00000000">
      <w:r>
        <w:t>167.</w:t>
      </w:r>
      <w:r>
        <w:tab/>
        <w:t>Работник, отсутствовавший в течение указанного периода не более пяти дней, имеет право на непрерывный отпуск продолжительностью в 30 дней.  Если работник отсутствовал на работе от шести до 14 дней, то период непрерывного отпуска сокращается до 24 дней, а в том случае, если он отсутствовал на работе от 15 до 23 дней, он имеет право на непрерывный отпуск продолжительностью в 18 дней.  И наконец, если работник отсутствовал на рабочем месте от 24 до 32 дней, то он имеет право на 12-дневный отпуск.  Любой работник, который отсутствовал на рабочем месте более 32 дней без уважительной причины, теряет право на отпуск по истечении соответствующего периода трудовой деятельности.  Отпускное время засчитывается в трудовой стаж, если в этом возникает юридическая необходимость.  В рамках усилий по обеспечению соответствия трудового законодательства Бразилии требованиям рынка труда правительство 6 августа 1998 года приняло временное постановление 1709 о создании системы неполной занятости.  Работа по системе неполной занятости не должна превышать 25 часов в неделю.  В настоящее время этот механизм регулируется временным постановлением 1952-26 от 26 июля 2000 года.</w:t>
      </w:r>
    </w:p>
    <w:p w:rsidR="00000000" w:rsidRDefault="00000000"/>
    <w:p w:rsidR="00000000" w:rsidRDefault="00000000">
      <w:r>
        <w:t>168.</w:t>
      </w:r>
      <w:r>
        <w:tab/>
        <w:t>Трудовая деятельность по схеме сокращенного трудового дня потребовала введения в действие новых критериев для целей определения продолжительности ежегодного отпуска:  18 дней - если продолжительность рабочей недели составляет 22-25 часов;  16 </w:t>
      </w:r>
      <w:r>
        <w:noBreakHyphen/>
        <w:t> если продолжительность рабочей недели составляет 20-22 часа;  14 дней - если продолжительность рабочей недели составляет 15-20 часов;  12 дней - если продолжительность рабочей недели составляет 10-15 часов;  10 дней - если продолжительность рабочей недели составляет 5-10 часов и 8 дней - если продолжительность рабочей недели составляет менее пяти часов.  В соответствии с этой системой не допускаются сверхурочные работы, отпуск не может быть поделен на части, а наемные работники не вправе получать денежную компенсацию за неизрасходованные отпускные дни.  Если в течение 12 месяцев, предшествующих отпуску, наемный работник отсутствовал на работе без уважительной причины более семи дней, причитающийся ему отпуск сокращается вдвое.</w:t>
      </w:r>
    </w:p>
    <w:p w:rsidR="00000000" w:rsidRDefault="00000000"/>
    <w:p w:rsidR="00000000" w:rsidRDefault="00000000">
      <w:r>
        <w:t>169.</w:t>
      </w:r>
      <w:r>
        <w:tab/>
        <w:t>Обычная трудовая неделя в Бразилии составляет 44 часа.  Вместе с тем самые мощные профсоюзы, в частности в автомобилестроении, добились сокращения рабочей недели до 40 часов, что способствует сохранению рабочих мест (соответствующие оговорки были включены в целый ряд коллективных трудовых соглашений).</w:t>
      </w:r>
    </w:p>
    <w:p w:rsidR="00000000" w:rsidRDefault="00000000"/>
    <w:p w:rsidR="00000000" w:rsidRDefault="00000000">
      <w:r>
        <w:t>170.</w:t>
      </w:r>
      <w:r>
        <w:tab/>
        <w:t>Продолжительность рабочего дня составляет, как правило, восемь часов.  Действующим законодательством предусматриваются исключения для некоторых видов трудовой деятельности, включая, в частности, банковских служащих, работников телефонных станций, профессиональных музыкантов, кинооператоров, работников сектора морских перевозок, горняков, железнодорожных служащих, журналистов, врачей и трудящихся ряда других категорий.  В этих ситуациях рабочий день может продляться еще на два часа на основе письменного соглашения между работодателем и наемным работником или на основе трудового коллективного договора.</w:t>
      </w:r>
    </w:p>
    <w:p w:rsidR="00000000" w:rsidRDefault="00000000"/>
    <w:p w:rsidR="00000000" w:rsidRDefault="00000000">
      <w:r>
        <w:t>171.</w:t>
      </w:r>
      <w:r>
        <w:tab/>
        <w:t>Предусмотренная федеральным законодательством норма, согласно которой минимальная почасовая ставка за сверхурочный труд должна быть на 50% выше аналогичной ставки за труд в обычном режиме, имеет целью дестимулировать чрезмерное применение механизма сверхурочного труда.  Механизм дополнительной оплаты за сверхурочный труд может не применяться в том случае, если переработка компенсируется соответствующим сокращением рабочего времени на следующий день.  Вместе с тем общая продолжительность рабочего дня не может превышать десяти часов.  На производстве с непрерывным 24-часовым технологическим циклом применяется принцип посменной работы;  продолжительность каждой смены составляет шесть часов.  В зависимости от условий, оговоренных в коллективных трудовых соглашениях, продолжительность одной смены может достигать восьми часов, при том что режим посменной работы базируется на ротационной схеме.</w:t>
      </w:r>
    </w:p>
    <w:p w:rsidR="00000000" w:rsidRDefault="00000000"/>
    <w:p w:rsidR="00000000" w:rsidRDefault="00000000">
      <w:r>
        <w:t>172.</w:t>
      </w:r>
      <w:r>
        <w:tab/>
        <w:t>С учетом характерных особенностей некоторых видов трудовой деятельности в таких структурах, как, например, больницы, коллективные трудовые договоры предусматривают введение системы 12-часового рабочего дня с последующим отдыхом в течение 36 часов.  В тех случаях, когда речь идет о работниках охранных предприятий, продолжительность непрерывной работы может доходить до 24 часов с последующим отдыхом в течение 72 часов при условии наличия в трудовом соглашении соответствующей оговорки.</w:t>
      </w:r>
    </w:p>
    <w:p w:rsidR="00000000" w:rsidRDefault="00000000"/>
    <w:p w:rsidR="00000000" w:rsidRDefault="00000000">
      <w:r>
        <w:t>173.</w:t>
      </w:r>
      <w:r>
        <w:tab/>
        <w:t>В ходе проверки любой производственной документации работники Управления трудовых инспекций и ревизий обязаны систематически проверять соблюдение в трудовых контрактах норм в области режима отдыха и отпусков.</w:t>
      </w:r>
    </w:p>
    <w:p w:rsidR="00000000" w:rsidRDefault="00000000"/>
    <w:p w:rsidR="00000000" w:rsidRDefault="00000000">
      <w:r>
        <w:t>174.</w:t>
      </w:r>
      <w:r>
        <w:tab/>
        <w:t>За период с января по июль 2000 года было выявлено 6 237 случаев нарушения режима отдыха или отпусков, что составляет 11,47% от общего объема нарушений, выявленных в этот период работниками инспекции труда.  Вышеупомянутые случаи нарушения законодательства были выявлены в результате проверки 4 779 предприятий.  Самые серьезные нарушения приходятся на сельские районы и в основном касаются подневольного труда или труда в унижающих человеческое достоинство условиях.  В составе правительства работает специальная группа по борьбе с подневольным или унижающим человеческое достоинство трудом.</w:t>
      </w:r>
    </w:p>
    <w:p w:rsidR="00000000" w:rsidRDefault="00000000"/>
    <w:p w:rsidR="00000000" w:rsidRDefault="00000000">
      <w:r>
        <w:t>175.</w:t>
      </w:r>
      <w:r>
        <w:tab/>
        <w:t>Вышеуказанные нарушения затрагивают в первую очередь работников, не имеющих надлежащим образом оформленных трудовых документов.  Отсутствие в их трудовых документах положений, оговаривающих использование ими тех или иных прав, затрудняет работу инспекторов по выявлению нарушений трудового законодательства.  В рамках мер по обеспечению более эффективной защиты прав сельских тружеников правительство изучает в настоящее время альтернативные варианты решения этой проблемы и уже приступило к осуществлению программы, поощряющей применение механизмов, способствующих легализации трудовых отношений.  В этой связи в городе Роландия, штат Парана, с 1997 года применяется коллективная система найма сезонных сельскохозяйственных работников.</w:t>
      </w:r>
    </w:p>
    <w:p w:rsidR="00000000" w:rsidRDefault="00000000"/>
    <w:p w:rsidR="00000000" w:rsidRDefault="00000000">
      <w:r>
        <w:t>176.</w:t>
      </w:r>
      <w:r>
        <w:tab/>
        <w:t>В июле 1999 года секретарь по трудовым инспекциям направил в Роландию группу ревизоров и инспекторов для целей получения информации о результатах проводящегося там эксперимента.  Результаты проверки показали, что такая система контрактных отношений отвечает интересам работодателей и наемных работников сельских районов, в связи с чем правительство немедленно приступило к разработке проекта по широкой пропаганде этого механизма найма.</w:t>
      </w:r>
    </w:p>
    <w:p w:rsidR="00000000" w:rsidRDefault="00000000"/>
    <w:p w:rsidR="00000000" w:rsidRDefault="00000000">
      <w:r>
        <w:t>177.</w:t>
      </w:r>
      <w:r>
        <w:tab/>
        <w:t>Еще одной важной системой найма является "Консорциум сельских работодателей" (первоначальное название этого механизма - "Консорциум работодателей" или "Реестр совместного найма рабочей силы от имени работодателей").  Эта система предусматривает сотрудничество фермеров и физических лиц в рамках единой цели - непосредственного и совместного найма сельскохозяйственных работников.  Кому-то из фермеров, входящих в состав консорциума, предоставляется право нанимать и руководить наемными работниками, услугами которых пользуются все остальные фермеры из числа участников Консорциума.  Ключевым элементом, стимулирующим принятие бразильскими сельскими производителями совместной ответственности в качестве работодателей, является гарантия юридической безопасности, обусловленная характером трудовых отношений и рентабельностью производства.  Попытки перенаправить потоки рабочей силы в сельские районы неизменно наталкивались на юридические ограничения, особенно в тех случаях, когда соответствующие инициативы осуществлялись в рамках основной деятельности работодателей.  Такие ситуации приводили к возбуждению множества исков и к возникновению огромных денежных обязательств в рамках трудового законодательства.  В дополнение к деятельности инспекционных служб министерства труда и занятости по усилению государственного контроля в этой области министерство государственного надзора и суды по трудовым делам разработали надлежащую базу, обеспечивающую создание и введение в действие этой новой системы найма.</w:t>
      </w:r>
    </w:p>
    <w:p w:rsidR="00000000" w:rsidRDefault="00000000"/>
    <w:p w:rsidR="00000000" w:rsidRDefault="00000000">
      <w:r>
        <w:t>178.</w:t>
      </w:r>
      <w:r>
        <w:tab/>
        <w:t>В соответствии с законодательством в сфере социального обеспечения работодатели, имеющие статус юридических лиц, и самозанятые производители выплачивают в систему социального обеспечения налоги по различным ставкам.  Взносы в систему социального обеспечения (или налоги с заработной платы для целей социального страхования) рассчитываются для юридических лиц на базе выплачиваемого ими денежного вознаграждения наемным работникам, а аналогичные взносы самозанятых производителей - на базе объема продаж производимой ими сельскохозяйственной продукции.  Отчисления юридических лиц в систему социального обеспечения значительно превышают аналогичные выплаты, осуществляемые самозанятыми производителями.  Самозанятый сельский предприниматель выплачивает в систему социального обеспечения только 2% с объема продаж производимой им продукции, тогда как предприниматели, имеющие статус юридических лиц, выплачивают взносы в размере 20% от общего фонда заработной платы наемных работников.  В рамках другого вида отчислений в систему социального страхования, которые именуются налогом для третьих сторон, также предусматриваются различные ставки.  Самозанятые сельские производители должны отчислять 2,5% доходов на цели профессионально-технической подготовки и 0,2% - на нужды действующего в рамках министерства сельского хозяйства Национального института освоения земель и аграрной реформы (ИНКРА).  Действующие в сельских районах юридические лица должны отчислять в дополнение к двум вышеупомянутым налогам 2,5% своих доходов на нужды Национальной службы профессиональной подготовки в сельском хозяйстве (СЕНАР).</w:t>
      </w:r>
    </w:p>
    <w:p w:rsidR="00000000" w:rsidRDefault="00000000"/>
    <w:p w:rsidR="00000000" w:rsidRDefault="00000000">
      <w:r>
        <w:t>179.</w:t>
      </w:r>
      <w:r>
        <w:tab/>
        <w:t>Осуществляемый в Роландии, Парана, экспериментальный проект охватывает примерно 170 фермеров/производителей и 860 наемных работников.  Министерство труда и занятости распространило эту модель на штаты Минас-Жерайс и Сан-Паулу.  В штате Минас-Жерайс было создано десять консорциумов сельских предпринимателей, объединяющих в общей сложности 320 сельскохозяйственных производителей;  еще три аналогичных консорциума находятся в стадии формирования.  В штате Сан-Паулу было создано восемь таких консорциумов, объединяющих 364 фермера/производителя.  В штате Минас-Жерайс официально зарегистрировано 3 128 сельских наемных работников, а в штате Сан-Паулу - 5 640.</w:t>
      </w:r>
    </w:p>
    <w:p w:rsidR="00000000" w:rsidRDefault="00000000"/>
    <w:p w:rsidR="00000000" w:rsidRDefault="00000000">
      <w:r>
        <w:t>180.</w:t>
      </w:r>
      <w:r>
        <w:tab/>
        <w:t>Гарантированное наличие между сельским работодателем и сельским наемным работником прямых производственных отношений открывает путь к дальнейшему прогрессу в сфере сельского хозяйства путем введения в действие в самом ближайшем будущем законодательства о режиме отдыха и отпусков.</w:t>
      </w:r>
    </w:p>
    <w:p w:rsidR="00000000" w:rsidRDefault="00000000"/>
    <w:p w:rsidR="00000000" w:rsidRDefault="00000000">
      <w:pPr>
        <w:pStyle w:val="11"/>
        <w:rPr>
          <w:b/>
          <w:bCs/>
          <w:u w:val="none"/>
        </w:rPr>
      </w:pPr>
      <w:r>
        <w:rPr>
          <w:b/>
          <w:bCs/>
          <w:u w:val="none"/>
        </w:rPr>
        <w:t>Статья 8</w:t>
      </w:r>
    </w:p>
    <w:p w:rsidR="00000000" w:rsidRDefault="00000000">
      <w:pPr>
        <w:pStyle w:val="11"/>
        <w:rPr>
          <w:u w:val="none"/>
        </w:rPr>
      </w:pPr>
    </w:p>
    <w:p w:rsidR="00000000" w:rsidRDefault="00000000">
      <w:pPr>
        <w:pStyle w:val="11"/>
        <w:jc w:val="left"/>
        <w:rPr>
          <w:u w:val="none"/>
        </w:rPr>
      </w:pPr>
      <w:r>
        <w:rPr>
          <w:u w:val="none"/>
        </w:rPr>
        <w:t>181.</w:t>
      </w:r>
      <w:r>
        <w:rPr>
          <w:u w:val="none"/>
        </w:rPr>
        <w:tab/>
        <w:t>Ниже приводится перечень международных договоров, по которым Комиссия по экономическим, социальным и культурным правам запрашивает информацию в соответствии со своими руководящими принципами:</w:t>
      </w:r>
    </w:p>
    <w:p w:rsidR="00000000" w:rsidRDefault="00000000">
      <w:pPr>
        <w:pStyle w:val="11"/>
        <w:jc w:val="left"/>
        <w:rPr>
          <w:u w:val="none"/>
        </w:rPr>
      </w:pPr>
    </w:p>
    <w:p w:rsidR="00000000" w:rsidRDefault="00000000">
      <w:pPr>
        <w:pStyle w:val="11"/>
        <w:jc w:val="left"/>
        <w:rPr>
          <w:u w:val="none"/>
        </w:rPr>
      </w:pPr>
      <w:r>
        <w:rPr>
          <w:u w:val="none"/>
        </w:rPr>
        <w:tab/>
        <w:t>а)</w:t>
      </w:r>
      <w:r>
        <w:rPr>
          <w:u w:val="none"/>
        </w:rPr>
        <w:tab/>
        <w:t>Международный пакт о гражданских и политических правах.  Бразилия подписала Международный пакт о гражданских и политических правах и ратифицировала его 24 января 1992 года.  Пакт вступил в силу для Бразилии 24 апреля 1992 года.  Он был промульгирован на основании Указа 592 от 6 июля 1992 года.  В 1994 году Бразилия представила в Комитет по правам человека свой первоначальный доклад (CCPR/C/81/Add.6 от 2 марта 1995 года).  В настоящее время правительство готовит периодический доклад, как это предписывается Пактом;</w:t>
      </w:r>
    </w:p>
    <w:p w:rsidR="00000000" w:rsidRDefault="00000000">
      <w:pPr>
        <w:pStyle w:val="11"/>
        <w:jc w:val="left"/>
        <w:rPr>
          <w:u w:val="none"/>
        </w:rPr>
      </w:pPr>
    </w:p>
    <w:p w:rsidR="00000000" w:rsidRDefault="00000000">
      <w:pPr>
        <w:pStyle w:val="11"/>
        <w:jc w:val="left"/>
        <w:rPr>
          <w:u w:val="none"/>
        </w:rPr>
      </w:pPr>
      <w:r>
        <w:rPr>
          <w:u w:val="none"/>
        </w:rPr>
        <w:tab/>
        <w:t>b)</w:t>
      </w:r>
      <w:r>
        <w:rPr>
          <w:u w:val="none"/>
        </w:rPr>
        <w:tab/>
        <w:t>Конвенция МОТ 1949 года о праве на организацию и на ведение коллективных переговоров (№ 98).  Конвенция была ратифицирована Бразилией 18 ноября 1952 года.  Последний доклад об осуществлении Конвенции был представлен в МОТ в 1999 году.  В апреле того же года МОТ направила в Бразилию техническую консультативную делегацию с целью оценки прогресса в сфере коллективных переговоров.  Правительству было предложено представить в своем следующем докладе информацию обо всех мерах, принятых им в целях активизации процесса коллективных переговоров в сфере частных структур и общественных фондов, поскольку они не относятся к сфере первостепенных интересов государства.  Кроме того, правительству было предложено представить информацию по вопросу о скорейшей отмене статьи 623 ОТЗ (Основы трудового законодательства) относительно недействительности тех положений договора или соглашения, которые противоречат принципам финансовой экономической политики государства или его стратегической политики в сфере заработной платы;</w:t>
      </w:r>
    </w:p>
    <w:p w:rsidR="00000000" w:rsidRDefault="00000000">
      <w:pPr>
        <w:pStyle w:val="11"/>
        <w:jc w:val="left"/>
        <w:rPr>
          <w:u w:val="none"/>
        </w:rPr>
      </w:pPr>
    </w:p>
    <w:p w:rsidR="00000000" w:rsidRDefault="00000000">
      <w:pPr>
        <w:pStyle w:val="11"/>
        <w:jc w:val="left"/>
        <w:rPr>
          <w:u w:val="none"/>
        </w:rPr>
      </w:pPr>
      <w:r>
        <w:rPr>
          <w:u w:val="none"/>
        </w:rPr>
        <w:tab/>
        <w:t>с)</w:t>
      </w:r>
      <w:r>
        <w:rPr>
          <w:u w:val="none"/>
        </w:rPr>
        <w:tab/>
        <w:t>Конвенция МОТ 1948 года о свободе ассоциации и защите права на организацию (№ 87) и Конвенция МОТ 1978 года о трудовых отношениях на государственной службе (№ 151).  Эти конвенции не были ратифицированы Бразилией.</w:t>
      </w:r>
    </w:p>
    <w:p w:rsidR="00000000" w:rsidRDefault="00000000">
      <w:pPr>
        <w:pStyle w:val="11"/>
        <w:jc w:val="left"/>
        <w:rPr>
          <w:u w:val="none"/>
        </w:rPr>
      </w:pPr>
    </w:p>
    <w:p w:rsidR="00000000" w:rsidRDefault="00000000">
      <w:pPr>
        <w:pStyle w:val="11"/>
        <w:jc w:val="left"/>
        <w:rPr>
          <w:u w:val="none"/>
        </w:rPr>
      </w:pPr>
      <w:r>
        <w:rPr>
          <w:u w:val="none"/>
        </w:rPr>
        <w:t>182.</w:t>
      </w:r>
      <w:r>
        <w:rPr>
          <w:u w:val="none"/>
        </w:rPr>
        <w:tab/>
        <w:t>В Бразилии отсутствуют какие-либо правовые ограничения в отношения создания профсоюзов.  Свобода ассоциаций и профсоюзов относится к числу прав, предусмотренных Федеральной конституцией 1988 года.  Вопрос о свободе ассоциации рассматривается в пунктах XVII-XX статьи 5 Конституции</w:t>
      </w:r>
      <w:r>
        <w:rPr>
          <w:b/>
          <w:bCs/>
          <w:u w:val="none"/>
          <w:vertAlign w:val="superscript"/>
        </w:rPr>
        <w:t>6</w:t>
      </w:r>
      <w:r>
        <w:rPr>
          <w:u w:val="none"/>
        </w:rPr>
        <w:t>.  Кроме того, в соответствии с пунктом I статьи 8 Федеральной конституции эти нормы применяются также к свободе ассоциаций в рамках профсоюзов</w:t>
      </w:r>
      <w:r>
        <w:rPr>
          <w:b/>
          <w:bCs/>
          <w:u w:val="none"/>
          <w:vertAlign w:val="superscript"/>
        </w:rPr>
        <w:t>7</w:t>
      </w:r>
      <w:r>
        <w:rPr>
          <w:u w:val="none"/>
        </w:rPr>
        <w:t>.</w:t>
      </w:r>
    </w:p>
    <w:p w:rsidR="00000000" w:rsidRDefault="00000000">
      <w:pPr>
        <w:pStyle w:val="11"/>
        <w:jc w:val="left"/>
        <w:rPr>
          <w:u w:val="none"/>
        </w:rPr>
      </w:pPr>
    </w:p>
    <w:p w:rsidR="00000000" w:rsidRDefault="00000000">
      <w:pPr>
        <w:pStyle w:val="11"/>
        <w:jc w:val="left"/>
        <w:rPr>
          <w:u w:val="none"/>
        </w:rPr>
      </w:pPr>
      <w:r>
        <w:rPr>
          <w:u w:val="none"/>
        </w:rPr>
        <w:t>183.</w:t>
      </w:r>
      <w:r>
        <w:rPr>
          <w:u w:val="none"/>
        </w:rPr>
        <w:tab/>
        <w:t>Федеральная конституция 1937 года базировалась на итальянской корпоративной модели организации профсоюзных структур, предусматривающей ограничение уникальной роли профсоюзов путем применения требований, касающихся их создания по принципу экономической и профессиональной деятельности, их признания государством, их официального учреждения на основе устава и их финансирования через систему обязательных взносов.</w:t>
      </w:r>
    </w:p>
    <w:p w:rsidR="00000000" w:rsidRDefault="00000000">
      <w:pPr>
        <w:pStyle w:val="11"/>
        <w:jc w:val="left"/>
        <w:rPr>
          <w:u w:val="none"/>
        </w:rPr>
      </w:pPr>
    </w:p>
    <w:p w:rsidR="00000000" w:rsidRDefault="00000000">
      <w:pPr>
        <w:pStyle w:val="11"/>
        <w:jc w:val="left"/>
        <w:rPr>
          <w:u w:val="none"/>
        </w:rPr>
      </w:pPr>
      <w:r>
        <w:rPr>
          <w:u w:val="none"/>
        </w:rPr>
        <w:t>184.</w:t>
      </w:r>
      <w:r>
        <w:rPr>
          <w:u w:val="none"/>
        </w:rPr>
        <w:tab/>
        <w:t>Конституция 1988 года отменила правило о признании профессиональных союзов на основе устава и ввела в действие конфедеративную систему взносов.  Теперь единственное требование, которое должны выполнять вновь создаваемые профсоюзы, заключается в их регистрации в министерстве труда и занятости в качестве государственной структуры, которая производит проверку на предмет соответствия профсоюза положениям статьи 8 Конституции.  Кроме того, Федеральная конституция 1988 года предусматривала также отмену государственного контроля над профсоюзами в форме процедуры их признания и наблюдения за их функционированием.  В этой связи можно со всей уверенностью заявить, что новый конституционный текст позволил создать невиданные до сих пор в Бразилии условия для свободной деятельности профсоюзов.  Вместе с тем следует отметить, что в улучшении нуждается и сама Конституция в части раздела о профсоюзных свободах.  Так, например, в упомянутой выше статье 8 по</w:t>
      </w:r>
      <w:r>
        <w:rPr>
          <w:u w:val="none"/>
        </w:rPr>
        <w:noBreakHyphen/>
        <w:t>прежнему сохраняются некоторые ограничения, унаследованные от профсоюзной модели, базировавшейся на государственной системе трудовых отношений.  Речь идет, в частности, о положении, согласно которому профсоюзы могут создаваться только на принципах экономической и профессиональной деятельности, и о требовании, касающемся обязательной уплаты профсоюзных взносов (пункты II и IV статьи 8 Конституции)</w:t>
      </w:r>
      <w:r>
        <w:rPr>
          <w:b/>
          <w:bCs/>
          <w:u w:val="none"/>
          <w:vertAlign w:val="superscript"/>
        </w:rPr>
        <w:t>8</w:t>
      </w:r>
      <w:r>
        <w:rPr>
          <w:u w:val="none"/>
        </w:rPr>
        <w:t>.</w:t>
      </w:r>
    </w:p>
    <w:p w:rsidR="00000000" w:rsidRDefault="00000000">
      <w:pPr>
        <w:pStyle w:val="11"/>
        <w:jc w:val="left"/>
        <w:rPr>
          <w:u w:val="none"/>
        </w:rPr>
      </w:pPr>
    </w:p>
    <w:p w:rsidR="00000000" w:rsidRDefault="00000000">
      <w:r>
        <w:t>185.</w:t>
      </w:r>
      <w:r>
        <w:tab/>
        <w:t>В этой связи бразильское правительство хотело бы вновь сослаться на Конвенцию МОТ № 87.  В целях дальнейшего расширения профсоюзных свобод правительство представило на рассмотрение Национального конгресса проект упоминавшейся выше конституционной поправки 623/98.  Настоящая конституционная поправка призвана:  обеспечить свободу создания профсоюзов без обязательного ограничения в форме их учреждения по принципу профессиональной или экономической деятельности, включая свободу присоединяться к профсоюзу;  покончить с монополией на представительство, обусловленной обязательным членством в профсоюзе, с последующим принятием основополагающего закона о режиме перехода от профсоюзной системы к профсоюзной свободе;  отменить так называемый конфедеративный взнос, заменив его взносами, размеры которых утверждаются на общем собрании членов профсоюза;  обеспечить пересмотр системы правового регулирования через совершенствование механизмов суда по трудовым спорам в качестве факультативного арбитражного органа по урегулированию коллективных споров экономического характера по совместному ходатайству сторон, а в тех случаях, когда речь идет о вопросах государственной значимости, предусмотреть возможность обязательного участия арбитражного органа в урегулировании трудовых конфликтов;  обеспечить создание внесудебного механизма разбирательства на этапе, предшествующем введению в действие процедуры посредничества и полюбовного урегулирования споров между отдельными лицами.  Утверждение этого предложения Национальным конгрессом обеспечит полное соответствие бразильского законодательства положениям Конвенции МОТ № 87 и позволит создать надлежащие институциональные условия для полномасштабного введения в действие практики коллективных переговоров.</w:t>
      </w:r>
    </w:p>
    <w:p w:rsidR="00000000" w:rsidRDefault="00000000"/>
    <w:p w:rsidR="00000000" w:rsidRDefault="00000000">
      <w:r>
        <w:t>186.</w:t>
      </w:r>
      <w:r>
        <w:tab/>
        <w:t xml:space="preserve">Согласно действующему законодательству, профсоюзную федерацию могут создавать не менее пяти профсоюзов одинакового экономического или профессионального профиля в одном и том же районе.  Для создания профсоюзной конфедерации необходимо наличие не менее трех профсоюзных федераций и соблюдение тех же требований.  В бразильском законодательстве не существует никаких ограничений, препятствующих присоединению профсоюзных структур к международным профсоюзным организациям. </w:t>
      </w:r>
    </w:p>
    <w:p w:rsidR="00000000" w:rsidRDefault="00000000"/>
    <w:p w:rsidR="00000000" w:rsidRDefault="00000000">
      <w:r>
        <w:t>187.</w:t>
      </w:r>
      <w:r>
        <w:tab/>
        <w:t xml:space="preserve">В связи с вопросом о характере функционирования профсоюзов представляется целесообразным вновь сослаться на базовый текст статьи 8 Федеральной конституции, которой гарантируется свобода ассоциаций и осуществления профсоюзной деятельности, включая, в частности, право являться членом профсоюза (пункт </w:t>
      </w:r>
      <w:r>
        <w:rPr>
          <w:lang w:val="en-US"/>
        </w:rPr>
        <w:t>V</w:t>
      </w:r>
      <w:r>
        <w:t xml:space="preserve">), право на обязательное участие профсоюзов в коллективных трудовых переговорах (пункт </w:t>
      </w:r>
      <w:r>
        <w:rPr>
          <w:lang w:val="en-US"/>
        </w:rPr>
        <w:t>VI</w:t>
      </w:r>
      <w:r>
        <w:t>) и право на сохранение рабочего места за членом профсоюза, который баллотируется или избирается на какую-либо профсоюзную должность в течение последующего года после завершения им полномочий на соответствующем посту (пункт </w:t>
      </w:r>
      <w:r>
        <w:rPr>
          <w:lang w:val="en-US"/>
        </w:rPr>
        <w:t>VIII</w:t>
      </w:r>
      <w:r>
        <w:t>).  Кроме того, в профсоюзы имеют право вступать соответствующие международные организации.</w:t>
      </w:r>
    </w:p>
    <w:p w:rsidR="00000000" w:rsidRDefault="00000000"/>
    <w:p w:rsidR="00000000" w:rsidRDefault="00000000">
      <w:r>
        <w:t>188.</w:t>
      </w:r>
      <w:r>
        <w:tab/>
        <w:t>Ограничения в отношении права на организацию профсоюзов вытекают из конституционного принципа единства профсоюзов, в соответствии с которым запрещается, в частности, создание профсоюзов на отдельных предприятиях.  За исключением военнослужащих, все другие категории трудящихся, включая государственных служащих, имеют право быть членами профсоюзов.  В пункте 5 статьи 42 Конституции предусматривается запрет на создание профсоюзных ассоциаций военнослужащими на федеральном уровне и уровне штатов, сотрудниками военной полиции и военной пожарной службы.</w:t>
      </w:r>
    </w:p>
    <w:p w:rsidR="00000000" w:rsidRDefault="00000000"/>
    <w:p w:rsidR="00000000" w:rsidRDefault="00000000">
      <w:r>
        <w:t>189.</w:t>
      </w:r>
      <w:r>
        <w:tab/>
        <w:t>На сегодняшний день в Бразилии отсутствуют точные статистические данные о профсоюзных структурах.  Согласно данным министерства труда и занятости, за период с 1931 года по октябрь 1988 года (период, в течение которого государство контролировало процесс создания и функционирования профсоюзов) в Бразилии было зарегистрировано приблизительно 10 600 профсоюзных структур.  По предварительным оценкам, после принятия действующей Конституции 1988 года до конца 1999 года было создано примерно 6 000 профсоюзов.  Таким образом, в настоящее время в стране действуют в общей сложности примерно 16 500 профсоюзных ассоциаций профессионального и экономического профиля.</w:t>
      </w:r>
    </w:p>
    <w:p w:rsidR="00000000" w:rsidRDefault="00000000"/>
    <w:p w:rsidR="00000000" w:rsidRDefault="00000000">
      <w:r>
        <w:t>190.</w:t>
      </w:r>
      <w:r>
        <w:tab/>
        <w:t>Во вводном пункте к статье 9 Федеральной конституции гарантируется право трудящихся на забастовку</w:t>
      </w:r>
      <w:r>
        <w:rPr>
          <w:b/>
          <w:bCs/>
          <w:vertAlign w:val="superscript"/>
        </w:rPr>
        <w:t>9</w:t>
      </w:r>
      <w:r>
        <w:t>.  Вместе с тем, в пункте 1 статьи 9 оговаривается необходимость определения в специальном законе жизненно важных для общества служб и видов деятельности и способов удовлетворения насущных потребностей населения.  В развитие этой конституционной нормы был принят Закон 7783 от 28 июня 1989 года, в статье 10 которого перечисляются жизненно важные виды деятельности и сектора, на которые распространяются ограничения, предусмотренные также в статье 8 Международного пакта об экономических, социальных и культурных правах</w:t>
      </w:r>
      <w:r>
        <w:rPr>
          <w:b/>
          <w:bCs/>
          <w:vertAlign w:val="superscript"/>
        </w:rPr>
        <w:t>10</w:t>
      </w:r>
      <w:r>
        <w:t>.</w:t>
      </w:r>
    </w:p>
    <w:p w:rsidR="00000000" w:rsidRDefault="00000000"/>
    <w:p w:rsidR="00000000" w:rsidRDefault="00000000">
      <w:r>
        <w:t>191.</w:t>
      </w:r>
      <w:r>
        <w:tab/>
        <w:t>В статье 11 вышеупомянутого закона говорится, что профсоюзы, работодатели и работники жизненно важных для общества служб или секторов обязаны обеспечивать на период проведения забастовки предоставление жизненно важных услуг в целях удовлетворения насущных потребностей населения.  Кроме того, в этой статье понятие "насущные потребности" трактуется в качестве потребностей, неудовлетворение которых создает непосредственную угрозу для выживания, здоровья и безопасности населения.  Если вышеуказанные положения нарушаются, то государственные власти обязаны обеспечить предоставление населению таких жизненно важных услуг.  Кроме того, в том же законе отмечается, что в случае проведения забастовок в жизненно важных для общества службах или секторах профсоюзы или трудящиеся должны извещать об этом работодателей и пользователей по меньшей мере за 72 часа до начала забастовки.</w:t>
      </w:r>
    </w:p>
    <w:p w:rsidR="00000000" w:rsidRDefault="00000000"/>
    <w:p w:rsidR="00000000" w:rsidRDefault="00000000">
      <w:r>
        <w:t>192.</w:t>
      </w:r>
      <w:r>
        <w:tab/>
        <w:t>Кроме того, этот нормативный акт предусматривает создание в рамках соглашений между трудящимися и работодателями группы наемных работников, призванных не допускать того, чтобы проведение забастовки наносило непоправимый ущерб имуществу, механизмам и оборудованию, и обеспечивать незамедлительное возобновление трудовой деятельности по завершении забастовки.</w:t>
      </w:r>
    </w:p>
    <w:p w:rsidR="00000000" w:rsidRDefault="00000000"/>
    <w:p w:rsidR="00000000" w:rsidRDefault="00000000">
      <w:r>
        <w:t>193.</w:t>
      </w:r>
      <w:r>
        <w:tab/>
        <w:t>В пункте 2 статьи 9 Конституции говорится, что злоупотребление правом на забастовку влечет за собой уголовную ответственность.  В законе 7783 злоупотребление правом на забастовку разъясняется как несоблюдение предусмотренных в законе норм и невозобновление трудовой деятельности после подписания соответствующего соглашения или договора или принятия судом по трудовым делам на основе соответствующей юриспруденции решения относительно законности или незаконности забастовки.</w:t>
      </w:r>
    </w:p>
    <w:p w:rsidR="00000000" w:rsidRDefault="00000000"/>
    <w:p w:rsidR="00000000" w:rsidRDefault="00000000">
      <w:r>
        <w:t>194.</w:t>
      </w:r>
      <w:r>
        <w:tab/>
        <w:t xml:space="preserve">Из вышеизложенного следует, что право на забастовку гарантируется всем категориям трудящихся за исключением вышеупомянутого военного персонала с учетом особого режима службы или деятельности.  Кроме того, Федеральная конституция закрепляет это право за гражданскими государственными служащими на условиях и с ограничениями, которые оговариваются в дополнительном законе (статья 37, пункт </w:t>
      </w:r>
      <w:r>
        <w:rPr>
          <w:lang w:val="en-US"/>
        </w:rPr>
        <w:t>VII</w:t>
      </w:r>
      <w:r>
        <w:t>).  При отсутствии каких-либо других норм, определяющих порядок применения данного конституционного положения, по принципу аналогии применяются нормы закона 7783.</w:t>
      </w:r>
    </w:p>
    <w:p w:rsidR="00000000" w:rsidRDefault="00000000"/>
    <w:p w:rsidR="00000000" w:rsidRDefault="00000000">
      <w:r>
        <w:t>195.</w:t>
      </w:r>
      <w:r>
        <w:tab/>
        <w:t>Право на забастовку максимально широко гарантируется внутренней правовой системой и свободно осуществляется с момента восстановления в стране демократической системы управления и принятия Конституции 1998 года.</w:t>
      </w:r>
    </w:p>
    <w:p w:rsidR="00000000" w:rsidRDefault="00000000"/>
    <w:p w:rsidR="00000000" w:rsidRDefault="00000000">
      <w:pPr>
        <w:pStyle w:val="16"/>
        <w:rPr>
          <w:b/>
          <w:bCs/>
        </w:rPr>
      </w:pPr>
      <w:r>
        <w:rPr>
          <w:b/>
          <w:bCs/>
        </w:rPr>
        <w:t>Статья 9</w:t>
      </w:r>
    </w:p>
    <w:p w:rsidR="00000000" w:rsidRDefault="00000000">
      <w:pPr>
        <w:pStyle w:val="16"/>
      </w:pPr>
    </w:p>
    <w:p w:rsidR="00000000" w:rsidRDefault="00000000">
      <w:r>
        <w:t>196.</w:t>
      </w:r>
      <w:r>
        <w:tab/>
        <w:t xml:space="preserve">Что касается международных договоров по вопросам социального обеспечения, которые должны рассматриваться в докладе в соответствии с рекомендацией Комитета, то правительство Бразилии особо хотело бы упомянуть:  </w:t>
      </w:r>
    </w:p>
    <w:p w:rsidR="00000000" w:rsidRDefault="00000000"/>
    <w:p w:rsidR="00000000" w:rsidRDefault="00000000">
      <w:r>
        <w:tab/>
        <w:t>а)</w:t>
      </w:r>
      <w:r>
        <w:tab/>
        <w:t xml:space="preserve">Конвенцию МОТ 1952 года о минимальных нормах социального обеспечения (№ 102);  Конвенцию 1964 года о пособиях в случаях производственного травматизма (№ 121);  Конвенцию 1967 года о пособиях по инвалидности, по старости и по случаю потери кормильца (№ 128);  Конвенцию 1969 года о медицинской помощи и пособиях по болезни (№ 130).  В настоящее время ведется работа по пересмотру бразильского законодательства в сфере социального обеспечения таким образом, чтобы предоставить населению бóльшую защиту, чем та, которая предусмотрена положениями вышеупомянутых Конвенций, разработанных много десятилетий назад.  Это – одна из причин, почему указанные Конвенции не были ратифицированы Бразилией;  </w:t>
      </w:r>
    </w:p>
    <w:p w:rsidR="00000000" w:rsidRDefault="00000000"/>
    <w:p w:rsidR="00000000" w:rsidRDefault="00000000">
      <w:r>
        <w:tab/>
        <w:t>b)</w:t>
      </w:r>
      <w:r>
        <w:tab/>
        <w:t>Конвенцию МОТ 1988 года о содействии занятости и защите от безработицы (№ 168).  Бразилия ратифицировала эту Конвенцию 23 сентября 1993 года.  Последний доклад был представлен в МОТ в 1998 году и был принят Комитетом экспертов без каких</w:t>
      </w:r>
      <w:r>
        <w:noBreakHyphen/>
        <w:t>либо замечаний.</w:t>
      </w:r>
    </w:p>
    <w:p w:rsidR="00000000" w:rsidRDefault="00000000"/>
    <w:p w:rsidR="00000000" w:rsidRDefault="00000000">
      <w:r>
        <w:t>197.</w:t>
      </w:r>
      <w:r>
        <w:tab/>
        <w:t>Прежде чем приступить к подробному описанию системы социального обеспечения Бразилии, правительство считает необходимым довести до сведения Комитета по экономическим, социальным и культурным правам некоторые свои взгляды, которые характеризуют его подход к данному вопросу, а также те обязательства, которые оно намерено твердо выполнять в отношении все трудящихся без каких бы то ни было исключений.</w:t>
      </w:r>
    </w:p>
    <w:p w:rsidR="00000000" w:rsidRDefault="00000000"/>
    <w:p w:rsidR="00000000" w:rsidRDefault="00000000">
      <w:r>
        <w:t>198.</w:t>
      </w:r>
      <w:r>
        <w:tab/>
        <w:t>Создание системы защиты прав рабочих, в которой социальное обеспечение занимает видное место, в течение многих лет оставалось одной из самых главных задач государства.</w:t>
      </w:r>
    </w:p>
    <w:p w:rsidR="00000000" w:rsidRDefault="00000000"/>
    <w:p w:rsidR="00000000" w:rsidRDefault="00000000">
      <w:r>
        <w:t>199.</w:t>
      </w:r>
      <w:r>
        <w:tab/>
        <w:t>Любая система защиты, в частности система социального обеспечения, созданная на долговременной основе, связана с громадными ресурсами и с большими обязательствами.  Для нормального функционирования такой системы на протяжении многих лет необходимо, чтобы каждый ее участник в период своей активной трудовой деятельности вносил в нее часть своего дохода.  Финансирование системы, таким образом, основывается на взносах бенефициаров, отчисляемых из трудовых доходов.  Если бы тот или иной гражданин получал пенсию, не внося своего вклада в систему в период своей работы, то недостающие средства покрывались бы за счет всей системы и оплачивались бы взносами других вкладчиков.</w:t>
      </w:r>
    </w:p>
    <w:p w:rsidR="00000000" w:rsidRDefault="00000000"/>
    <w:p w:rsidR="00000000" w:rsidRDefault="00000000">
      <w:r>
        <w:t>200.</w:t>
      </w:r>
      <w:r>
        <w:tab/>
        <w:t>При этом размер страхового взноса должен устанавливаться в зависимости от возможностей каждого индивидуума, а размер выплат должен быть пропорционален страховым платежам.  Таков принцип социальной справедливости.  Если бы дело обстояло иначе, то отдельные лица или группы лиц получали бы льготы, не соответствующие размеру их взноса.</w:t>
      </w:r>
    </w:p>
    <w:p w:rsidR="00000000" w:rsidRDefault="00000000"/>
    <w:p w:rsidR="00000000" w:rsidRDefault="00000000">
      <w:r>
        <w:t>201.</w:t>
      </w:r>
      <w:r>
        <w:tab/>
        <w:t>В конечном итоге в системе все-таки происходит некое перераспределение дохода.  Но это перераспределение должно осуществляться в правильном направлении, в том смысле, что система должна отдавать преимущество тем, кто обладает более низкой покупательной способностью.  Подобная солидарность с малоимущими слоями населения – это норма, которая способствует укреплению социального единства.  Вместе с тем было бы ошибкой рассматривать систему социального обеспечения, в первую очередь, как механизм сокращения социального неравенства.</w:t>
      </w:r>
    </w:p>
    <w:p w:rsidR="00000000" w:rsidRDefault="00000000"/>
    <w:p w:rsidR="00000000" w:rsidRDefault="00000000">
      <w:r>
        <w:t>202.</w:t>
      </w:r>
      <w:r>
        <w:tab/>
        <w:t>Каждый член общества должен пользоваться защитой системы социального обеспечения согласно принципу универсальности, поскольку социальные риски затрагивают всех и по этой причине нет смысла предоставлять защиту одним группам и не предоставлять ее другим.  Этот принцип позволяет государству обеспечивать обязательное участие в системе, так что защита распространяется на все население страны.</w:t>
      </w:r>
    </w:p>
    <w:p w:rsidR="00000000" w:rsidRDefault="00000000"/>
    <w:p w:rsidR="00000000" w:rsidRDefault="00000000">
      <w:r>
        <w:t>203.</w:t>
      </w:r>
      <w:r>
        <w:tab/>
        <w:t>Понятие справедливости предполагает стандартизацию, при которой льготами одинаково пользуются все участники системы.  Ни при каких обстоятельствах нельзя согласиться с тем, чтобы в действующих нормах проводилось различие между профессиональными категориями или отдавалось предпочтение одним гражданам в ущерб другим без объяснения причин этого населению и без его на это согласия.</w:t>
      </w:r>
    </w:p>
    <w:p w:rsidR="00000000" w:rsidRDefault="00000000"/>
    <w:p w:rsidR="00000000" w:rsidRDefault="00000000">
      <w:r>
        <w:t>204.</w:t>
      </w:r>
      <w:r>
        <w:tab/>
        <w:t>По своему определению, система социального обеспечения зависит от трудно прогнозируемых переменных величин.  Эти переменные могут иметь демографический характер или быть связанными с определенным уровнем экономической деятельности или с произошедшими за несколько лет изменениями на рынке труда.  Трудно с достаточной степенью точности определить сроки, в течение которых будут выплачиваться пособия, или, исходя из изменений в демографическом составе населения и на рынке труда, предсказать, что та или иная форма финансирования окажется достаточной, чтобы покрыть всю сумму текущих пособий.</w:t>
      </w:r>
    </w:p>
    <w:p w:rsidR="00000000" w:rsidRDefault="00000000"/>
    <w:p w:rsidR="00000000" w:rsidRDefault="00000000">
      <w:r>
        <w:t>205.</w:t>
      </w:r>
      <w:r>
        <w:tab/>
        <w:t>Специалисты, актуарии и демографы имеют дело с усредненными показателями, они изучают состав пенсионеров, чтобы выявлять новые тенденции.  Они анализируют финансовые последствия каждого правила, используемого в системе, и разрабатывают надлежащую финансовую схему для оплаты текущих пособий.  Любое увеличение числа пособий, не сопровождающееся надлежащим увеличением объема ресурсов, может вызвать остановку всей системы.</w:t>
      </w:r>
    </w:p>
    <w:p w:rsidR="00000000" w:rsidRDefault="00000000"/>
    <w:p w:rsidR="00000000" w:rsidRDefault="00000000">
      <w:r>
        <w:t>206.</w:t>
      </w:r>
      <w:r>
        <w:tab/>
        <w:t>Финансовое и актуарное равновесие</w:t>
      </w:r>
      <w:r>
        <w:rPr>
          <w:b/>
          <w:bCs/>
          <w:vertAlign w:val="superscript"/>
        </w:rPr>
        <w:t>11</w:t>
      </w:r>
      <w:r>
        <w:t xml:space="preserve"> необходимо не только для того, чтобы обеспечить защиту всех тех, кто ежемесячно вносит свой страховой взнос в систему и кто в будущем рассчитывает воспользоваться ее выгодами, но и чтобы гарантировать выплату пособий тем, кто вносили в нее свои взносы в прошлом.  Таким образом, актуарные расчеты составляются на несколько поколений. </w:t>
      </w:r>
    </w:p>
    <w:p w:rsidR="00000000" w:rsidRDefault="00000000"/>
    <w:p w:rsidR="00000000" w:rsidRDefault="00000000">
      <w:r>
        <w:t>207.</w:t>
      </w:r>
      <w:r>
        <w:tab/>
        <w:t>В современном мире во всех странах действуют законы в области социального обеспечения.  Первые такие законы появились в Германии в конце ХIХ века и с тех пор приобрели универсальную основу.  Во многих странах базовая универсальная система социального обеспечения существует параллельно с дополняющими ее системами общественного или частного пенсионного обеспечения.  В обеих системах основу пособия составляет индивидуальный страховой взнос, а возрастной лимит является одним из главных стандартов.  Почти во всех странах существуют также специальные системы, распространяющиеся на государственных, гражданских и военных служащих, где используются стандарты, отличающиеся от тех, что применяются ко всем другим категориям работников.</w:t>
      </w:r>
    </w:p>
    <w:p w:rsidR="00000000" w:rsidRDefault="00000000"/>
    <w:p w:rsidR="00000000" w:rsidRDefault="00000000">
      <w:r>
        <w:t>208.</w:t>
      </w:r>
      <w:r>
        <w:tab/>
        <w:t>Установление пенсионного возраста </w:t>
      </w:r>
      <w:r>
        <w:noBreakHyphen/>
        <w:t xml:space="preserve"> это принцип, используемый в системах социального обеспечения почти всех стран.  Всего лишь семь стран в качестве основания для выхода на пенсию применяют трудовой стаж, среди которых только Бразилия не обусловливает выплату пенсии необходимостью ухода с рынка труда.</w:t>
      </w:r>
    </w:p>
    <w:p w:rsidR="00000000" w:rsidRDefault="00000000"/>
    <w:p w:rsidR="00000000" w:rsidRDefault="00000000">
      <w:r>
        <w:t>209.</w:t>
      </w:r>
      <w:r>
        <w:tab/>
        <w:t xml:space="preserve">В большинстве стран установлен минимальный страховой период, необходимый для начисления пенсии, который известен в Бразилии под именем </w:t>
      </w:r>
      <w:r>
        <w:rPr>
          <w:i/>
          <w:iCs/>
        </w:rPr>
        <w:t>каренсия</w:t>
      </w:r>
      <w:r>
        <w:t>, или льготный период.  Кроме того, в большинстве стран максимальный размер пенсии, выплачиваемой государственной системой социального обеспечения, всегда ниже, чем размер последней зарплаты.</w:t>
      </w:r>
    </w:p>
    <w:p w:rsidR="00000000" w:rsidRDefault="00000000"/>
    <w:p w:rsidR="00000000" w:rsidRDefault="00000000">
      <w:r>
        <w:t>210.</w:t>
      </w:r>
      <w:r>
        <w:tab/>
        <w:t>Другим элементом, входящим в состав законов большинства стран, являются специальные пенсионные планы, которыми охвачены государственные, гражданские и военные служащие и в основе которых лежит принцип полной занятости работника на государственной службе.</w:t>
      </w:r>
    </w:p>
    <w:p w:rsidR="00000000" w:rsidRDefault="00000000"/>
    <w:p w:rsidR="00000000" w:rsidRDefault="00000000">
      <w:r>
        <w:t>211.</w:t>
      </w:r>
      <w:r>
        <w:tab/>
        <w:t>В ходе дискуссий вокруг системы социального обеспечения постоянно высказывается критика в адрес глобализации экономики.  Правительство Бразилии осознает, что глобализация - это явление современности, и стремится расширить присутствие страны на международных рынках и сделать более эффективной систему производства.  Вместе с тем оно не может не испытывать тревоги по поводу возможных отрицательных последствий широкомасштабной глобализации для ряда секторов и сегментов общества, для прав человека и в том числе для всесторонней реализации экономических, социальных и культурных прав.  Исходя из этого, правительство Бразилии полагает, что глобализация должна быть симметричной и что в процессе ее развития должны шире учитываться этические и гуманитарные аспекты.</w:t>
      </w:r>
    </w:p>
    <w:p w:rsidR="00000000" w:rsidRDefault="00000000"/>
    <w:p w:rsidR="00000000" w:rsidRDefault="00000000">
      <w:r>
        <w:t>212.</w:t>
      </w:r>
      <w:r>
        <w:tab/>
        <w:t>В основе системы социального обеспечения Бразилии лежит проект, разработанный в 1923 году конгрессменом Элоем Чавесом, который привел к принятию Декрета № 4682 и созданию Пенсионного фонда для работников железнодорожного транспорта.  Железнодорожники и члены их семей получили право на медицинское обслуживание, на доступ к дорогостоящим лекарствам, на выход на пенсию и получение пенсионного пособия.  Эта система, однако, не была всеобъемлющей и обладала весьма неустойчивой структурой.  "Пенсионные фонды", создававшиеся компаниями, нередко не имели требуемого числа участников для создания компенсационной базы, иными словами, достаточного числа вкладчиков, страховые взносы которых обеспечивали бы непрерывный поток средств для пенсионных выплат в течение длительного периода времени.  В проекте 1923 года использовались два универсальных принципа систем социального обеспечения:  принцип страховых взносов и возраст выхода на пенсию.</w:t>
      </w:r>
    </w:p>
    <w:p w:rsidR="00000000" w:rsidRDefault="00000000"/>
    <w:p w:rsidR="00000000" w:rsidRDefault="00000000">
      <w:r>
        <w:t>213.</w:t>
      </w:r>
      <w:r>
        <w:tab/>
        <w:t>Интересно отметить, что возраст выхода на пенсию в 50 лет, предусмотренный в вышеупомянутом декрете, превышал продолжительность жизни бразильца, рожденного в 20-х годах.  Хотя по десятилетию 20-х годов демографические данные отсутствуют, к этому выводу можно прийти, воспользовавшись расчетами Бразильского института географии и статистики (БИГС)</w:t>
      </w:r>
      <w:r>
        <w:rPr>
          <w:b/>
          <w:bCs/>
          <w:vertAlign w:val="superscript"/>
        </w:rPr>
        <w:t>1</w:t>
      </w:r>
      <w:r>
        <w:t xml:space="preserve"> за 1950-1955 годы, когда продолжительность жизни при рождении в Бразилии составляла около 49 лет.</w:t>
      </w:r>
    </w:p>
    <w:p w:rsidR="00000000" w:rsidRDefault="00000000"/>
    <w:p w:rsidR="00000000" w:rsidRDefault="00000000">
      <w:r>
        <w:t>214.</w:t>
      </w:r>
      <w:r>
        <w:tab/>
        <w:t>В нижеприведенной таблице даны расчетные и предполагаемые данные продолжительности жизни в Бразилии за период 1950-2015 годов.  Комитет может использовать эти данные для того, чтобы также отметить последовательное увеличение продолжительности жизни бразильского народа как аспекта, касающегося экономических, социальных и культурных прав, закрепленных в Международном пакте.</w:t>
      </w:r>
    </w:p>
    <w:p w:rsidR="00000000" w:rsidRDefault="00000000"/>
    <w:p w:rsidR="00000000" w:rsidRDefault="00000000">
      <w:pPr>
        <w:jc w:val="center"/>
        <w:rPr>
          <w:b/>
          <w:bCs/>
        </w:rPr>
      </w:pPr>
      <w:r>
        <w:rPr>
          <w:b/>
          <w:bCs/>
        </w:rPr>
        <w:t>Таблица 33.</w:t>
      </w:r>
      <w:r>
        <w:rPr>
          <w:b/>
          <w:bCs/>
        </w:rPr>
        <w:tab/>
        <w:t xml:space="preserve">Продолжительность жизни при рождении, </w:t>
      </w:r>
    </w:p>
    <w:p w:rsidR="00000000" w:rsidRDefault="00000000">
      <w:pPr>
        <w:jc w:val="center"/>
        <w:rPr>
          <w:b/>
          <w:bCs/>
        </w:rPr>
      </w:pPr>
      <w:r>
        <w:rPr>
          <w:b/>
          <w:bCs/>
        </w:rPr>
        <w:tab/>
      </w:r>
      <w:r>
        <w:rPr>
          <w:b/>
          <w:bCs/>
        </w:rPr>
        <w:tab/>
        <w:t>расчеты и прогнозы, 1950-2015 годы</w:t>
      </w:r>
    </w:p>
    <w:p w:rsidR="00000000" w:rsidRDefault="00000000">
      <w:pPr>
        <w:jc w:val="center"/>
      </w:pPr>
    </w:p>
    <w:tbl>
      <w:tblPr>
        <w:tblW w:w="0" w:type="auto"/>
        <w:tblInd w:w="6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000" w:firstRow="0" w:lastRow="0" w:firstColumn="0" w:lastColumn="0" w:noHBand="0" w:noVBand="0"/>
      </w:tblPr>
      <w:tblGrid>
        <w:gridCol w:w="2742"/>
        <w:gridCol w:w="2743"/>
        <w:gridCol w:w="2743"/>
      </w:tblGrid>
      <w:tr w:rsidR="00000000">
        <w:tc>
          <w:tcPr>
            <w:tcW w:w="2742" w:type="dxa"/>
          </w:tcPr>
          <w:p w:rsidR="00000000" w:rsidRDefault="00000000">
            <w:pPr>
              <w:pStyle w:val="FootnoteText"/>
              <w:jc w:val="center"/>
            </w:pPr>
            <w:r>
              <w:t>Период</w:t>
            </w:r>
          </w:p>
        </w:tc>
        <w:tc>
          <w:tcPr>
            <w:tcW w:w="2743" w:type="dxa"/>
          </w:tcPr>
          <w:p w:rsidR="00000000" w:rsidRDefault="00000000">
            <w:pPr>
              <w:spacing w:line="240" w:lineRule="auto"/>
              <w:jc w:val="center"/>
            </w:pPr>
            <w:r>
              <w:t>Мужчины</w:t>
            </w:r>
          </w:p>
        </w:tc>
        <w:tc>
          <w:tcPr>
            <w:tcW w:w="2743" w:type="dxa"/>
          </w:tcPr>
          <w:p w:rsidR="00000000" w:rsidRDefault="00000000">
            <w:pPr>
              <w:spacing w:line="240" w:lineRule="auto"/>
              <w:jc w:val="center"/>
            </w:pPr>
            <w:r>
              <w:t>Женщины</w:t>
            </w:r>
          </w:p>
        </w:tc>
      </w:tr>
      <w:tr w:rsidR="00000000">
        <w:tc>
          <w:tcPr>
            <w:tcW w:w="2742" w:type="dxa"/>
          </w:tcPr>
          <w:p w:rsidR="00000000" w:rsidRDefault="00000000">
            <w:pPr>
              <w:spacing w:line="240" w:lineRule="auto"/>
              <w:jc w:val="center"/>
            </w:pPr>
            <w:r>
              <w:t>1950-1955</w:t>
            </w:r>
          </w:p>
        </w:tc>
        <w:tc>
          <w:tcPr>
            <w:tcW w:w="2743" w:type="dxa"/>
          </w:tcPr>
          <w:p w:rsidR="00000000" w:rsidRDefault="00000000">
            <w:pPr>
              <w:spacing w:line="240" w:lineRule="auto"/>
              <w:jc w:val="center"/>
            </w:pPr>
            <w:r>
              <w:t>49,32</w:t>
            </w:r>
          </w:p>
        </w:tc>
        <w:tc>
          <w:tcPr>
            <w:tcW w:w="2743" w:type="dxa"/>
          </w:tcPr>
          <w:p w:rsidR="00000000" w:rsidRDefault="00000000">
            <w:pPr>
              <w:spacing w:line="240" w:lineRule="auto"/>
              <w:jc w:val="center"/>
            </w:pPr>
            <w:r>
              <w:t>52,75</w:t>
            </w:r>
          </w:p>
        </w:tc>
      </w:tr>
      <w:tr w:rsidR="00000000">
        <w:tc>
          <w:tcPr>
            <w:tcW w:w="2742" w:type="dxa"/>
          </w:tcPr>
          <w:p w:rsidR="00000000" w:rsidRDefault="00000000">
            <w:pPr>
              <w:spacing w:line="240" w:lineRule="auto"/>
              <w:jc w:val="center"/>
            </w:pPr>
            <w:r>
              <w:t>1955-1960</w:t>
            </w:r>
          </w:p>
        </w:tc>
        <w:tc>
          <w:tcPr>
            <w:tcW w:w="2743" w:type="dxa"/>
          </w:tcPr>
          <w:p w:rsidR="00000000" w:rsidRDefault="00000000">
            <w:pPr>
              <w:spacing w:line="240" w:lineRule="auto"/>
              <w:jc w:val="center"/>
            </w:pPr>
            <w:r>
              <w:t>51,60</w:t>
            </w:r>
          </w:p>
        </w:tc>
        <w:tc>
          <w:tcPr>
            <w:tcW w:w="2743" w:type="dxa"/>
          </w:tcPr>
          <w:p w:rsidR="00000000" w:rsidRDefault="00000000">
            <w:pPr>
              <w:spacing w:line="240" w:lineRule="auto"/>
              <w:jc w:val="center"/>
            </w:pPr>
            <w:r>
              <w:t>55,38</w:t>
            </w:r>
          </w:p>
        </w:tc>
      </w:tr>
      <w:tr w:rsidR="00000000">
        <w:tc>
          <w:tcPr>
            <w:tcW w:w="2742" w:type="dxa"/>
          </w:tcPr>
          <w:p w:rsidR="00000000" w:rsidRDefault="00000000">
            <w:pPr>
              <w:spacing w:line="240" w:lineRule="auto"/>
              <w:jc w:val="center"/>
            </w:pPr>
            <w:r>
              <w:t>1960-1965</w:t>
            </w:r>
          </w:p>
        </w:tc>
        <w:tc>
          <w:tcPr>
            <w:tcW w:w="2743" w:type="dxa"/>
          </w:tcPr>
          <w:p w:rsidR="00000000" w:rsidRDefault="00000000">
            <w:pPr>
              <w:spacing w:line="240" w:lineRule="auto"/>
              <w:jc w:val="center"/>
            </w:pPr>
            <w:r>
              <w:t>54,02</w:t>
            </w:r>
          </w:p>
        </w:tc>
        <w:tc>
          <w:tcPr>
            <w:tcW w:w="2743" w:type="dxa"/>
          </w:tcPr>
          <w:p w:rsidR="00000000" w:rsidRDefault="00000000">
            <w:pPr>
              <w:spacing w:line="240" w:lineRule="auto"/>
              <w:jc w:val="center"/>
            </w:pPr>
            <w:r>
              <w:t>57,82</w:t>
            </w:r>
          </w:p>
        </w:tc>
      </w:tr>
      <w:tr w:rsidR="00000000">
        <w:tc>
          <w:tcPr>
            <w:tcW w:w="2742" w:type="dxa"/>
          </w:tcPr>
          <w:p w:rsidR="00000000" w:rsidRDefault="00000000">
            <w:pPr>
              <w:spacing w:line="240" w:lineRule="auto"/>
              <w:jc w:val="center"/>
            </w:pPr>
            <w:r>
              <w:t>1965-1970</w:t>
            </w:r>
          </w:p>
        </w:tc>
        <w:tc>
          <w:tcPr>
            <w:tcW w:w="2743" w:type="dxa"/>
          </w:tcPr>
          <w:p w:rsidR="00000000" w:rsidRDefault="00000000">
            <w:pPr>
              <w:spacing w:line="240" w:lineRule="auto"/>
              <w:jc w:val="center"/>
            </w:pPr>
            <w:r>
              <w:t>55,94</w:t>
            </w:r>
          </w:p>
        </w:tc>
        <w:tc>
          <w:tcPr>
            <w:tcW w:w="2743" w:type="dxa"/>
          </w:tcPr>
          <w:p w:rsidR="00000000" w:rsidRDefault="00000000">
            <w:pPr>
              <w:spacing w:line="240" w:lineRule="auto"/>
              <w:jc w:val="center"/>
            </w:pPr>
            <w:r>
              <w:t>59,95</w:t>
            </w:r>
          </w:p>
        </w:tc>
      </w:tr>
      <w:tr w:rsidR="00000000">
        <w:tc>
          <w:tcPr>
            <w:tcW w:w="2742" w:type="dxa"/>
          </w:tcPr>
          <w:p w:rsidR="00000000" w:rsidRDefault="00000000">
            <w:pPr>
              <w:spacing w:line="240" w:lineRule="auto"/>
              <w:jc w:val="center"/>
            </w:pPr>
            <w:r>
              <w:t>1970-1975</w:t>
            </w:r>
          </w:p>
        </w:tc>
        <w:tc>
          <w:tcPr>
            <w:tcW w:w="2743" w:type="dxa"/>
          </w:tcPr>
          <w:p w:rsidR="00000000" w:rsidRDefault="00000000">
            <w:pPr>
              <w:spacing w:line="240" w:lineRule="auto"/>
              <w:jc w:val="center"/>
            </w:pPr>
            <w:r>
              <w:t>57,57</w:t>
            </w:r>
          </w:p>
        </w:tc>
        <w:tc>
          <w:tcPr>
            <w:tcW w:w="2743" w:type="dxa"/>
          </w:tcPr>
          <w:p w:rsidR="00000000" w:rsidRDefault="00000000">
            <w:pPr>
              <w:spacing w:line="240" w:lineRule="auto"/>
              <w:jc w:val="center"/>
            </w:pPr>
            <w:r>
              <w:t>62,17</w:t>
            </w:r>
          </w:p>
        </w:tc>
      </w:tr>
      <w:tr w:rsidR="00000000">
        <w:tc>
          <w:tcPr>
            <w:tcW w:w="2742" w:type="dxa"/>
          </w:tcPr>
          <w:p w:rsidR="00000000" w:rsidRDefault="00000000">
            <w:pPr>
              <w:spacing w:line="240" w:lineRule="auto"/>
              <w:jc w:val="center"/>
            </w:pPr>
            <w:r>
              <w:t>1975-1980</w:t>
            </w:r>
          </w:p>
        </w:tc>
        <w:tc>
          <w:tcPr>
            <w:tcW w:w="2743" w:type="dxa"/>
          </w:tcPr>
          <w:p w:rsidR="00000000" w:rsidRDefault="00000000">
            <w:pPr>
              <w:spacing w:line="240" w:lineRule="auto"/>
              <w:jc w:val="center"/>
            </w:pPr>
            <w:r>
              <w:t>59,54</w:t>
            </w:r>
          </w:p>
        </w:tc>
        <w:tc>
          <w:tcPr>
            <w:tcW w:w="2743" w:type="dxa"/>
          </w:tcPr>
          <w:p w:rsidR="00000000" w:rsidRDefault="00000000">
            <w:pPr>
              <w:spacing w:line="240" w:lineRule="auto"/>
              <w:jc w:val="center"/>
            </w:pPr>
            <w:r>
              <w:t>64,25</w:t>
            </w:r>
          </w:p>
        </w:tc>
      </w:tr>
      <w:tr w:rsidR="00000000">
        <w:tc>
          <w:tcPr>
            <w:tcW w:w="2742" w:type="dxa"/>
          </w:tcPr>
          <w:p w:rsidR="00000000" w:rsidRDefault="00000000">
            <w:pPr>
              <w:spacing w:line="240" w:lineRule="auto"/>
              <w:jc w:val="center"/>
            </w:pPr>
            <w:r>
              <w:t>1980-1985</w:t>
            </w:r>
          </w:p>
        </w:tc>
        <w:tc>
          <w:tcPr>
            <w:tcW w:w="2743" w:type="dxa"/>
          </w:tcPr>
          <w:p w:rsidR="00000000" w:rsidRDefault="00000000">
            <w:pPr>
              <w:spacing w:line="240" w:lineRule="auto"/>
              <w:jc w:val="center"/>
            </w:pPr>
            <w:r>
              <w:t>60,95</w:t>
            </w:r>
          </w:p>
        </w:tc>
        <w:tc>
          <w:tcPr>
            <w:tcW w:w="2743" w:type="dxa"/>
          </w:tcPr>
          <w:p w:rsidR="00000000" w:rsidRDefault="00000000">
            <w:pPr>
              <w:spacing w:line="240" w:lineRule="auto"/>
              <w:jc w:val="center"/>
            </w:pPr>
            <w:r>
              <w:t>66,00</w:t>
            </w:r>
          </w:p>
        </w:tc>
      </w:tr>
      <w:tr w:rsidR="00000000">
        <w:tc>
          <w:tcPr>
            <w:tcW w:w="2742" w:type="dxa"/>
          </w:tcPr>
          <w:p w:rsidR="00000000" w:rsidRDefault="00000000">
            <w:pPr>
              <w:spacing w:line="240" w:lineRule="auto"/>
              <w:jc w:val="center"/>
            </w:pPr>
            <w:r>
              <w:t>1985-1990</w:t>
            </w:r>
          </w:p>
        </w:tc>
        <w:tc>
          <w:tcPr>
            <w:tcW w:w="2743" w:type="dxa"/>
          </w:tcPr>
          <w:p w:rsidR="00000000" w:rsidRDefault="00000000">
            <w:pPr>
              <w:spacing w:line="240" w:lineRule="auto"/>
              <w:jc w:val="center"/>
            </w:pPr>
            <w:r>
              <w:t>62,30</w:t>
            </w:r>
          </w:p>
        </w:tc>
        <w:tc>
          <w:tcPr>
            <w:tcW w:w="2743" w:type="dxa"/>
          </w:tcPr>
          <w:p w:rsidR="00000000" w:rsidRDefault="00000000">
            <w:pPr>
              <w:spacing w:line="240" w:lineRule="auto"/>
              <w:jc w:val="center"/>
            </w:pPr>
            <w:r>
              <w:t>67,60</w:t>
            </w:r>
          </w:p>
        </w:tc>
      </w:tr>
      <w:tr w:rsidR="00000000">
        <w:tc>
          <w:tcPr>
            <w:tcW w:w="2742" w:type="dxa"/>
          </w:tcPr>
          <w:p w:rsidR="00000000" w:rsidRDefault="00000000">
            <w:pPr>
              <w:spacing w:line="240" w:lineRule="auto"/>
              <w:jc w:val="center"/>
            </w:pPr>
            <w:r>
              <w:t>1990-1995</w:t>
            </w:r>
          </w:p>
        </w:tc>
        <w:tc>
          <w:tcPr>
            <w:tcW w:w="2743" w:type="dxa"/>
          </w:tcPr>
          <w:p w:rsidR="00000000" w:rsidRDefault="00000000">
            <w:pPr>
              <w:spacing w:line="240" w:lineRule="auto"/>
              <w:jc w:val="center"/>
            </w:pPr>
            <w:r>
              <w:t>63,54</w:t>
            </w:r>
          </w:p>
        </w:tc>
        <w:tc>
          <w:tcPr>
            <w:tcW w:w="2743" w:type="dxa"/>
          </w:tcPr>
          <w:p w:rsidR="00000000" w:rsidRDefault="00000000">
            <w:pPr>
              <w:spacing w:line="240" w:lineRule="auto"/>
              <w:jc w:val="center"/>
            </w:pPr>
            <w:r>
              <w:t>69,10</w:t>
            </w:r>
          </w:p>
        </w:tc>
      </w:tr>
      <w:tr w:rsidR="00000000">
        <w:tc>
          <w:tcPr>
            <w:tcW w:w="2742" w:type="dxa"/>
          </w:tcPr>
          <w:p w:rsidR="00000000" w:rsidRDefault="00000000">
            <w:pPr>
              <w:spacing w:line="240" w:lineRule="auto"/>
              <w:jc w:val="center"/>
            </w:pPr>
            <w:r>
              <w:t>1995-2000</w:t>
            </w:r>
          </w:p>
        </w:tc>
        <w:tc>
          <w:tcPr>
            <w:tcW w:w="2743" w:type="dxa"/>
          </w:tcPr>
          <w:p w:rsidR="00000000" w:rsidRDefault="00000000">
            <w:pPr>
              <w:spacing w:line="240" w:lineRule="auto"/>
              <w:jc w:val="center"/>
            </w:pPr>
            <w:r>
              <w:t>64,70</w:t>
            </w:r>
          </w:p>
        </w:tc>
        <w:tc>
          <w:tcPr>
            <w:tcW w:w="2743" w:type="dxa"/>
          </w:tcPr>
          <w:p w:rsidR="00000000" w:rsidRDefault="00000000">
            <w:pPr>
              <w:spacing w:line="240" w:lineRule="auto"/>
              <w:jc w:val="center"/>
            </w:pPr>
            <w:r>
              <w:t>70,40</w:t>
            </w:r>
          </w:p>
        </w:tc>
      </w:tr>
      <w:tr w:rsidR="00000000">
        <w:tc>
          <w:tcPr>
            <w:tcW w:w="2742" w:type="dxa"/>
          </w:tcPr>
          <w:p w:rsidR="00000000" w:rsidRDefault="00000000">
            <w:pPr>
              <w:spacing w:line="240" w:lineRule="auto"/>
              <w:jc w:val="center"/>
            </w:pPr>
            <w:r>
              <w:t>2000-2005</w:t>
            </w:r>
          </w:p>
        </w:tc>
        <w:tc>
          <w:tcPr>
            <w:tcW w:w="2743" w:type="dxa"/>
          </w:tcPr>
          <w:p w:rsidR="00000000" w:rsidRDefault="00000000">
            <w:pPr>
              <w:spacing w:line="240" w:lineRule="auto"/>
              <w:jc w:val="center"/>
            </w:pPr>
            <w:r>
              <w:t>65,74</w:t>
            </w:r>
          </w:p>
        </w:tc>
        <w:tc>
          <w:tcPr>
            <w:tcW w:w="2743" w:type="dxa"/>
          </w:tcPr>
          <w:p w:rsidR="00000000" w:rsidRDefault="00000000">
            <w:pPr>
              <w:spacing w:line="240" w:lineRule="auto"/>
              <w:jc w:val="center"/>
            </w:pPr>
            <w:r>
              <w:t>73,60</w:t>
            </w:r>
          </w:p>
        </w:tc>
      </w:tr>
      <w:tr w:rsidR="00000000">
        <w:tc>
          <w:tcPr>
            <w:tcW w:w="2742" w:type="dxa"/>
          </w:tcPr>
          <w:p w:rsidR="00000000" w:rsidRDefault="00000000">
            <w:pPr>
              <w:spacing w:line="240" w:lineRule="auto"/>
              <w:jc w:val="center"/>
            </w:pPr>
            <w:r>
              <w:t>2005-2010</w:t>
            </w:r>
          </w:p>
        </w:tc>
        <w:tc>
          <w:tcPr>
            <w:tcW w:w="2743" w:type="dxa"/>
          </w:tcPr>
          <w:p w:rsidR="00000000" w:rsidRDefault="00000000">
            <w:pPr>
              <w:spacing w:line="240" w:lineRule="auto"/>
              <w:jc w:val="center"/>
            </w:pPr>
            <w:r>
              <w:t>66,47</w:t>
            </w:r>
          </w:p>
        </w:tc>
        <w:tc>
          <w:tcPr>
            <w:tcW w:w="2743" w:type="dxa"/>
          </w:tcPr>
          <w:p w:rsidR="00000000" w:rsidRDefault="00000000">
            <w:pPr>
              <w:spacing w:line="240" w:lineRule="auto"/>
              <w:jc w:val="center"/>
            </w:pPr>
            <w:r>
              <w:t>72,60</w:t>
            </w:r>
          </w:p>
        </w:tc>
      </w:tr>
      <w:tr w:rsidR="00000000">
        <w:tc>
          <w:tcPr>
            <w:tcW w:w="2742" w:type="dxa"/>
          </w:tcPr>
          <w:p w:rsidR="00000000" w:rsidRDefault="00000000">
            <w:pPr>
              <w:spacing w:line="240" w:lineRule="auto"/>
              <w:jc w:val="center"/>
            </w:pPr>
            <w:r>
              <w:t>2010-2015</w:t>
            </w:r>
          </w:p>
        </w:tc>
        <w:tc>
          <w:tcPr>
            <w:tcW w:w="2743" w:type="dxa"/>
          </w:tcPr>
          <w:p w:rsidR="00000000" w:rsidRDefault="00000000">
            <w:pPr>
              <w:spacing w:line="240" w:lineRule="auto"/>
              <w:jc w:val="center"/>
            </w:pPr>
            <w:r>
              <w:t>66,84</w:t>
            </w:r>
          </w:p>
        </w:tc>
        <w:tc>
          <w:tcPr>
            <w:tcW w:w="2743" w:type="dxa"/>
          </w:tcPr>
          <w:p w:rsidR="00000000" w:rsidRDefault="00000000">
            <w:pPr>
              <w:spacing w:line="240" w:lineRule="auto"/>
              <w:jc w:val="center"/>
            </w:pPr>
            <w:r>
              <w:t>73,40</w:t>
            </w:r>
          </w:p>
        </w:tc>
      </w:tr>
    </w:tbl>
    <w:p w:rsidR="00000000" w:rsidRDefault="00000000"/>
    <w:p w:rsidR="00000000" w:rsidRDefault="00000000">
      <w:pPr>
        <w:pStyle w:val="FootnoteText"/>
        <w:spacing w:line="288" w:lineRule="auto"/>
        <w:rPr>
          <w:lang w:val="en-US"/>
        </w:rPr>
      </w:pPr>
      <w:r>
        <w:tab/>
      </w:r>
      <w:r>
        <w:rPr>
          <w:u w:val="single"/>
        </w:rPr>
        <w:t>Источник</w:t>
      </w:r>
      <w:r>
        <w:rPr>
          <w:lang w:val="en-US"/>
        </w:rPr>
        <w:t xml:space="preserve">:  CELADE/IBGE, Brazil, </w:t>
      </w:r>
      <w:r>
        <w:rPr>
          <w:i/>
          <w:iCs/>
          <w:lang w:val="en-US"/>
        </w:rPr>
        <w:t>Estimaciones y Proyecciones de Población, 1950</w:t>
      </w:r>
      <w:r>
        <w:rPr>
          <w:i/>
          <w:iCs/>
          <w:lang w:val="en-US"/>
        </w:rPr>
        <w:noBreakHyphen/>
        <w:t>2025, Fascículo F/BRA</w:t>
      </w:r>
      <w:r>
        <w:rPr>
          <w:lang w:val="en-US"/>
        </w:rPr>
        <w:t>, 1 July 1994, pp. 65-76</w:t>
      </w:r>
    </w:p>
    <w:p w:rsidR="00000000" w:rsidRDefault="00000000">
      <w:pPr>
        <w:pStyle w:val="FootnoteText"/>
        <w:spacing w:line="288" w:lineRule="auto"/>
        <w:rPr>
          <w:b/>
          <w:bCs/>
          <w:lang w:val="en-US"/>
        </w:rPr>
      </w:pPr>
    </w:p>
    <w:p w:rsidR="00000000" w:rsidRDefault="00000000">
      <w:pPr>
        <w:pStyle w:val="FootnoteText"/>
        <w:spacing w:line="288" w:lineRule="auto"/>
      </w:pPr>
      <w:r>
        <w:t>215.</w:t>
      </w:r>
      <w:r>
        <w:tab/>
        <w:t>Основу системы социального обеспечения составляют пенсионные фонды, принадлежащие компаниям.  Система была основана в 20-х годах и вскоре стала моделью для создания аналогичных формирований в других секторах экономики.</w:t>
      </w:r>
    </w:p>
    <w:p w:rsidR="00000000" w:rsidRDefault="00000000">
      <w:pPr>
        <w:pStyle w:val="FootnoteText"/>
        <w:spacing w:line="288" w:lineRule="auto"/>
      </w:pPr>
    </w:p>
    <w:p w:rsidR="00000000" w:rsidRDefault="00000000">
      <w:pPr>
        <w:pStyle w:val="FootnoteText"/>
        <w:spacing w:line="288" w:lineRule="auto"/>
      </w:pPr>
      <w:r>
        <w:t>216.</w:t>
      </w:r>
      <w:r>
        <w:tab/>
        <w:t>Ошибки, допускаемые в актуарных таблицах пенсионных фондов, сказывались и на процессах формирования акционерного капитала.  Органы управления нередко лишались технического оснащения, что мешало им уделять должное внимание вопросам финансового состояния фондов по мере их роста и по мере увеличения числа выплачиваемых пособий.</w:t>
      </w:r>
    </w:p>
    <w:p w:rsidR="00000000" w:rsidRDefault="00000000">
      <w:pPr>
        <w:pStyle w:val="FootnoteText"/>
        <w:spacing w:line="288" w:lineRule="auto"/>
      </w:pPr>
    </w:p>
    <w:p w:rsidR="00000000" w:rsidRDefault="00000000">
      <w:pPr>
        <w:pStyle w:val="FootnoteText"/>
        <w:spacing w:line="288" w:lineRule="auto"/>
      </w:pPr>
      <w:r>
        <w:t>217.</w:t>
      </w:r>
      <w:r>
        <w:tab/>
        <w:t>Первый финансовый и административный кризис бразильской системы социального обеспечения разразился в 1930 году вслед за проведенной реструктуризацией системы, которой были охвачены практически все категории городских рабочих.  В последующие годы были созданы шесть основных национальных институтов взамен пенсионных фондов.  Институты строились не на базе одной компании, а в рамках той или иной профессиональной категории или путем объединения смежных профессий.  Начиная с 30</w:t>
      </w:r>
      <w:r>
        <w:noBreakHyphen/>
        <w:t>х годов в соответствии с принятыми законами система стала основываться на взносах, а возраст выхода на пенсию был установлен на уровне 50 лет (в 1960 году пенсионный возраст был повышен до 55 лет).</w:t>
      </w:r>
    </w:p>
    <w:p w:rsidR="00000000" w:rsidRDefault="00000000">
      <w:pPr>
        <w:pStyle w:val="FootnoteText"/>
        <w:spacing w:line="288" w:lineRule="auto"/>
      </w:pPr>
    </w:p>
    <w:p w:rsidR="00000000" w:rsidRDefault="00000000">
      <w:pPr>
        <w:pStyle w:val="FootnoteText"/>
        <w:spacing w:line="288" w:lineRule="auto"/>
      </w:pPr>
      <w:r>
        <w:t>218.</w:t>
      </w:r>
      <w:r>
        <w:tab/>
        <w:t>Реформа 30-х годов регулировала порядок отставки гражданских служащих и предусматривала выход на пенсию в связи с достижением пенсионного возраста или в связи с потерей трудоспособности;  при этом выплачиваемые пособия пропорционально соответствовали трудовому стажу.  Это было шагом вперед, поскольку существовавшие до той поры системы предусматривали лишь частичную защиту для некоторых категорий гражданских и военных служащих.  В 1941 году Военный закон, принятый на основании Декрета-закона № 3094, сделал единой пенсионную систему для всех военнослужащих.</w:t>
      </w:r>
    </w:p>
    <w:p w:rsidR="00000000" w:rsidRDefault="00000000">
      <w:pPr>
        <w:pStyle w:val="FootnoteText"/>
        <w:spacing w:line="288" w:lineRule="auto"/>
      </w:pPr>
    </w:p>
    <w:p w:rsidR="00000000" w:rsidRDefault="00000000">
      <w:pPr>
        <w:pStyle w:val="FootnoteText"/>
        <w:spacing w:line="288" w:lineRule="auto"/>
      </w:pPr>
      <w:r>
        <w:t>219.</w:t>
      </w:r>
      <w:r>
        <w:tab/>
        <w:t>Система социального обеспечения для работников частного сектора впоследствии претерпела прогрессивную правовую и институциональную консолидацию.  Корпоративные пенсионные "фонды" и институты в соответствии с Основным законом о социальном обеспечении (ОЗСО) были вынуждены согласовать свои планы расходов и выплат, в результате чего возникла нынешняя Общая система социального обеспечения (ОССО), которая функционирует под контролем Национального института социального обеспечения (НИСО).</w:t>
      </w:r>
    </w:p>
    <w:p w:rsidR="00000000" w:rsidRDefault="00000000">
      <w:pPr>
        <w:pStyle w:val="FootnoteText"/>
        <w:spacing w:line="288" w:lineRule="auto"/>
      </w:pPr>
    </w:p>
    <w:p w:rsidR="00000000" w:rsidRDefault="00000000">
      <w:pPr>
        <w:pStyle w:val="FootnoteText"/>
        <w:spacing w:line="288" w:lineRule="auto"/>
      </w:pPr>
      <w:r>
        <w:t>220.</w:t>
      </w:r>
      <w:r>
        <w:tab/>
        <w:t>С появлением новой системы образовалось положительное денежное сальдо благодаря тому, что число работников, вносящих взносы, стало значительно превышать число лиц, получающих пособия.  В период с 1986 по 1998 год система социального обеспечения произвела крупные отчисления средств в сектор здравоохранения в результате создания Единой децентрализованной системы здравоохранения (ЕДСЗ).  С 1988 года по середину 1993 года объем средств, перечисленных в Единую систему здравоохранения (ЕСЗ), составил 15% от общего объема сборов подоходного налога.</w:t>
      </w:r>
    </w:p>
    <w:p w:rsidR="00000000" w:rsidRDefault="00000000">
      <w:pPr>
        <w:pStyle w:val="FootnoteText"/>
        <w:spacing w:line="288" w:lineRule="auto"/>
      </w:pPr>
    </w:p>
    <w:p w:rsidR="00000000" w:rsidRDefault="00000000">
      <w:r>
        <w:t>221.</w:t>
      </w:r>
      <w:r>
        <w:tab/>
        <w:t>Универсализация системы социального обеспечения, т.е. предоставление социальной защиты каждому человеку вне зависимости от того, является ли он активным участником экономической деятельности или нет, </w:t>
      </w:r>
      <w:r>
        <w:noBreakHyphen/>
        <w:t xml:space="preserve"> это процесс, начало которому было положено совсем недавно.  В первые 40 лет своего существования законы Бразилии в области социального обеспечения охватывали лишь городских рабочих.  Только в 1963 году был принят Устав сельскохозяйственного работника, который предоставлял преимущества, основанные на тех же принципах, которые действуют и по сей день:  выход на пенсию по инвалидности или старости, выплата пенсий бенефициарам в случае смерти, медицинское и дополнительное обслуживание, предоставление ссуды на организацию похорон и выплата пособий по болезни.  У сельскохозяйственного рабочего не было права выхода на пенсию в связи с трудовым стажем, а пенсионный возраст был установлен лишь на уровне 65 лет.  Размер выплачиваемого пособия составлял до 50% величины наивысшего минимального оклада, который существовал в то время в стране.  В законодательстве предусматривались также выплаты в связи с производственным травматизмом, вводилась новая форма выплат по болезни и в рамках социального вспомоществования, в том числе и для категории сельских работодателей.  В период 1971</w:t>
      </w:r>
      <w:r>
        <w:noBreakHyphen/>
        <w:t>1975 годов на основе серии законодательных актов, включающих основные законы, подзаконные акты и нормативные декреты, была разработана новая система.</w:t>
      </w:r>
    </w:p>
    <w:p w:rsidR="00000000" w:rsidRDefault="00000000"/>
    <w:p w:rsidR="00000000" w:rsidRDefault="00000000">
      <w:r>
        <w:t>222.</w:t>
      </w:r>
      <w:r>
        <w:tab/>
        <w:t>Меры, принятые тогда в отношении сельскохозяйственных рабочих, были довольно ограниченными по своему характеру по сравнению с преимуществами, которыми обладали городские жители.  Универсальная система социального обеспечения в Бразилии с самого начала своего существования страдала серьезными недостатками.  Основной ее недостаток состоял в том, что она не обеспечивала соблюдение главного принципа системы социального обеспечения </w:t>
      </w:r>
      <w:r>
        <w:noBreakHyphen/>
        <w:t xml:space="preserve"> принципа индивидуального страхового взноса.  Сельскохозяйственный сектор не обладал организационными и финансовыми возможностями для покрытия расходов по линии социального обеспечения, которые приходилось возмещать путем перевода средств из городских секторов.</w:t>
      </w:r>
    </w:p>
    <w:p w:rsidR="00000000" w:rsidRDefault="00000000"/>
    <w:p w:rsidR="00000000" w:rsidRDefault="00000000">
      <w:r>
        <w:t>223.</w:t>
      </w:r>
      <w:r>
        <w:tab/>
        <w:t>Многочисленные перекосы имели место в результате использования механизма "взаимного зачета" трудового стажа, что привело к экспоненциальному увеличению объема предоставляемых льгот на основе зачета времени, когда работник работал, но страховых взносов не делал.  Скажем, молодой человек начинает свою трудовую деятельность в 14 лет, а взносы в фонд социального обеспечения начинает вносить лишь в 40-41 год, когда размер страхового взноса является минимальным.  Впоследствии он переезжает в город, устраивается на работу и в течение 36 месяцев платит максимальный взнос.  С использованием метода "взаимного зачета" он может выйти на пенсию еще до достижения 50 лет.</w:t>
      </w:r>
    </w:p>
    <w:p w:rsidR="00000000" w:rsidRDefault="00000000"/>
    <w:p w:rsidR="00000000" w:rsidRDefault="00000000">
      <w:r>
        <w:t>224.</w:t>
      </w:r>
      <w:r>
        <w:tab/>
        <w:t>Временные работники фирм были включены в систему социального обеспечения в 1974 году.  Тем, кому исполнилось 70 лет, и инвалиды, не имеющие социального обеспечения, получили право, независимо от того, вносили они страховые взносы или нет, на получение ежемесячного дохода на протяжении всей своей жизни в качестве своего рода пособия.  Стали предоставляться субсидии по беременности и на оплату труда домашней обслуги, а пособия в случаях получения производственной травмы были распространены и на сельскохозяйственных работников.  Система социального обеспечения отныне стала охватывать "самозанятых" лиц и частных предпринимателей, а в ее основу был положен принцип обязательного участия путем регулярной уплаты индивидуальных страховых взносов.</w:t>
      </w:r>
    </w:p>
    <w:p w:rsidR="00000000" w:rsidRDefault="00000000"/>
    <w:p w:rsidR="00000000" w:rsidRDefault="00000000">
      <w:r>
        <w:t>235.</w:t>
      </w:r>
      <w:r>
        <w:tab/>
        <w:t>Значительная часть нововведений была сделана в угоду принципу универсальности без должного учета необходимости сохранения экономического и финансового равновесия системы.  Многие выплачиваемые пособия не компенсировались соответствующими взносами.  Не поддерживалось также равное соотношение между премиальными тарифами и факторами риска, учитывая, что большинство новых пособий требовали немедленных расходов без какого-либо минимального льготного периода.  Некоторые пособия выплачивались сразу же после принятия соответствующего закона, т.е. без промежуточного периода между принятием закона и началом выплат.</w:t>
      </w:r>
    </w:p>
    <w:p w:rsidR="00000000" w:rsidRDefault="00000000"/>
    <w:p w:rsidR="00000000" w:rsidRDefault="00000000">
      <w:r>
        <w:t>226.</w:t>
      </w:r>
      <w:r>
        <w:tab/>
        <w:t>Увеличение числа пособий стало возможным только благодаря существованию значительных финансовых резервов в системе.  Это было большой стратегической ошибкой системы социального обеспечения в Бразилии.</w:t>
      </w:r>
    </w:p>
    <w:p w:rsidR="00000000" w:rsidRDefault="00000000"/>
    <w:p w:rsidR="00000000" w:rsidRDefault="00000000">
      <w:r>
        <w:t>227.</w:t>
      </w:r>
      <w:r>
        <w:tab/>
        <w:t>В последнее время расходы по счетам социального обеспечения в сельскохозяйственном секторе увеличились в три раза.  Около 4,5 млн. сельских пенсионеров и бенефициаров одновременно получили по одному полному минимальному окладу вместо его половины, что не было подкреплено соответствующими финансовыми вложениями.  Предоставление льгот сельскохозяйственным работникам и установление размера пенсии на уровне одного минимального оклада, каким бы это ни было важным социальным достижением, все же не имеет твердой финансовой основы для того, чтобы в будущем стабильно производить эти выплаты.  Что же касается возможных альтернатив, до сих пор по этому вопросу не было проведено никаких исследований.</w:t>
      </w:r>
    </w:p>
    <w:p w:rsidR="00000000" w:rsidRDefault="00000000"/>
    <w:p w:rsidR="00000000" w:rsidRDefault="00000000">
      <w:r>
        <w:t>228.</w:t>
      </w:r>
      <w:r>
        <w:tab/>
        <w:t>Финансовый план оплаты пенсий сельских работников, в основе которого лежат страховые взносы, равные 2,5% от чистого дохода, даваемого мелким сельскохозяйственным производством, и взносы из фонда заработной платы сельских работников, по очевидным причинам является далеко недостаточным.  В реальности взнос сельского сектора является ничтожно малым.  В 1996 году, например, он составил примерно 8,2% всех издержек на выплаты пособий сельским работникам.</w:t>
      </w:r>
    </w:p>
    <w:p w:rsidR="00000000" w:rsidRDefault="00000000"/>
    <w:p w:rsidR="00000000" w:rsidRDefault="00000000">
      <w:r>
        <w:t>229.</w:t>
      </w:r>
      <w:r>
        <w:tab/>
        <w:t>Возраст выхода на пенсию в сельском секторе сократился с 65 до 60 лет для мужчин и с 60 до 55 лет для женщин.  Сбор страховых взносов из сельских районов был временно прекращен, а для жителей были введены специальные формы представления доказательств о принадлежности к числу сельскохозяйственных работников.  Чтобы иметь право быть включенным в сельскохозяйственный сектор, раньше было достаточным быть ребенком сельского рабочего;  это приводило к росту числа рано выходящих на пенсию жителей городских районов и государственных служащих и нередко увеличивало расходы системы, при том, что бенефициары не вносили своих взносов.</w:t>
      </w:r>
    </w:p>
    <w:p w:rsidR="00000000" w:rsidRDefault="00000000"/>
    <w:p w:rsidR="00000000" w:rsidRDefault="00000000">
      <w:r>
        <w:br w:type="page"/>
        <w:t>230.</w:t>
      </w:r>
      <w:r>
        <w:tab/>
        <w:t xml:space="preserve">Минимальный размер заработной платы был принят в качестве основы для исчисления пособий.  Месячный доход в течение всей жизни был гарантирован людям пожилого возраста, был также гарантирован месячный доход инвалидам при условии представления ими доказательств получения низкого дохода.  Все пособия были пересчитаны исходя из количества минимальных окладов, которому они соответствовали на день принятия решения об их выплате. </w:t>
      </w:r>
    </w:p>
    <w:p w:rsidR="00000000" w:rsidRDefault="00000000">
      <w:pPr>
        <w:pStyle w:val="FootnoteText"/>
        <w:spacing w:line="288" w:lineRule="auto"/>
      </w:pPr>
    </w:p>
    <w:p w:rsidR="00000000" w:rsidRDefault="00000000">
      <w:r>
        <w:t>231.</w:t>
      </w:r>
      <w:r>
        <w:tab/>
        <w:t>Другим важным элементом реформы, который должен быть принят во внимание при проведении анализа процесса развития системы социального обеспечения, и вопросов, которые в настоящее время обсуждаются в обществе, является созданная Единая правовая система (ЕПС), впоследствии распространенная на всех служащих, работающих по найму в независимых организациях или фондах, в соответствии с постановлением о Консолидации законов о труде (КЗТ).  Эта категория работников также получила право на полную пенсию, стабильность и другие льготы, которые ранее предлагались только государственным гражданским служащим.</w:t>
      </w:r>
    </w:p>
    <w:p w:rsidR="00000000" w:rsidRDefault="00000000"/>
    <w:p w:rsidR="00000000" w:rsidRDefault="00000000">
      <w:r>
        <w:t>232.</w:t>
      </w:r>
      <w:r>
        <w:tab/>
        <w:t>Таким образом, в бразильском обществе существует большое многообразие систем социального обеспечения государственных служащих:  на федеральном уровне, на уровне штатов и на местных уровнях;  частные открытые и закрытые вспомогательные системы;  специальные системы для членов конгресса, работников судебных органов и сотрудников министерства юстиции.  Все эти системы действуют параллельно с общей системой социального обеспечения, которая функционирует под эгидой Национального института социального обеспечения (НИСО).  Многочисленные системы и разные стандарты, регулирующие доступ к пособиям, повышают оперативные расходы системы социального обеспечения и отнюдь не способствуют делу борьбы с мошенничеством, а наоборот, сами открывают путь к распространению привилегий и к дискриминации.</w:t>
      </w:r>
    </w:p>
    <w:p w:rsidR="00000000" w:rsidRDefault="00000000"/>
    <w:p w:rsidR="00000000" w:rsidRDefault="00000000">
      <w:r>
        <w:t>233.</w:t>
      </w:r>
      <w:r>
        <w:tab/>
        <w:t>Система социального обеспечения в настоящее время функционирует на простой основе участия, что означает, что экономически активные работники должны платить за тех, кто сегодня выбыл из экономической деятельности.  Таким образом, все поступления в систему социального обеспечения за один год полностью используются для выплаты пособий.  Не существует никаких накоплений и никаких "резервов", которые могли бы быть задействованы в будущем.  Система участия означает, что пенсии, которые будут выплачиваться сегодняшним вкладчикам тогда, когда они завершат трудовую деятельность, будут покрываться за счет страховых взносов, поступающих от будущих поколений трудящихся.</w:t>
      </w:r>
    </w:p>
    <w:p w:rsidR="00000000" w:rsidRDefault="00000000"/>
    <w:p w:rsidR="00000000" w:rsidRDefault="00000000">
      <w:r>
        <w:t>234.</w:t>
      </w:r>
      <w:r>
        <w:tab/>
        <w:t>В 50-х годах восемь эффективных плательщиков взносов содержали одного пенсионера.  В 1970 году их было 4,2.  В 90-х годах 2,3 работающих содержали одного пенсионера.  К 2020 году, при сохранении нынешних норм, соотношение работающих к пенсионерам составит 1 к 1.  Эта тенденция обостряется в связи с демографическими изменениями, происходящими в Бразилии, при которых наблюдается возрастающая тенденция в среднем возрасте населения.  При сокращающихся темпах рождаемости и увеличении продолжительности жизни процент людей старшего поколения (65 лет и выше) по отношению к общему числу населения может достигнуть к 2020 году 7,7%.  Цифра поразительная, если учесть, что 1970 году она составляла в 3,1%.</w:t>
      </w:r>
    </w:p>
    <w:p w:rsidR="00000000" w:rsidRDefault="00000000"/>
    <w:p w:rsidR="00000000" w:rsidRDefault="00000000">
      <w:r>
        <w:t>235.</w:t>
      </w:r>
      <w:r>
        <w:tab/>
        <w:t>Бразильская система социального обеспечения в ее нынешнем виде содействует возникновению порочной системы перераспределения доходов, что является одной из основных причин, почему правительство настаивает на ее изменении.  Одним из примеров, свидетельствующих о недостатках системы, является назначение пенсий за выслугу лет.  Статистические данные показывают, что люди, выходящие в отставку на этой основе, долго проработали на одном и том же месте или довольно редко переходили с одного места на другое.  Выход на пенсию на основании трудового стажа нередко становится поводом для досрочного прекращения трудовой деятельности людей с высоким уровнем доходов.  Для малоимущих сегментов населения, которые испытывают трудности в получении доступа к рынку труда, получение такой льготы является весьма проблематичным, поскольку большинство из них довольно часто кочуют из формального в неформальный рынок и обратно.  Многие даже не в состоянии представить доказательства того, что в тот или иной период они вносили страховые взносы в систему.  Таким образом, какими бы ни были первоначальные благие намерения, механизм, построенный на принципе трудового стажа, приводит к досрочному выходу на пенсию (78,3% мужчин и 83,9% женщин получают пособия, еще не достигнув 55-летнего возраста).  Получение пособия превратилось в источник дополнительного дохода, поскольку только Бразилия, в отличие от других шести стран, применяющих этот стандарт, не требует от бенефициара, чтобы он покинул рынок труда.</w:t>
      </w:r>
    </w:p>
    <w:p w:rsidR="00000000" w:rsidRDefault="00000000"/>
    <w:p w:rsidR="00000000" w:rsidRDefault="00000000">
      <w:r>
        <w:t>236.</w:t>
      </w:r>
      <w:r>
        <w:tab/>
        <w:t>При низком среднем возрасте, установленном для получения пособия в Бразилии, возрастает прогнозируемая продолжительность периода выплат по социальному обеспечению для мужчин и женщин, которая длиннее, чем в странах - членах Организации экономического сотрудничества и развития (ОЭСР), которые принадлежат к числу одних из самых богатых стран мира.  В 1993 году Латино-американо-карибский демократический центр (ЛАКДЦ) сообщил, что в то время, как один житель в странах ОЭСР получает пенсионное пособие на протяжении 15,2 лет, бразильский пенсионер в среднем получает свое пособие в течение 17,5 лет.  Точно так же, если женщина в странах ОЭСР получает пенсию в течение 18,6 лет, бразильская женщина пользуется своей пенсией 20 лет.</w:t>
      </w:r>
    </w:p>
    <w:p w:rsidR="00000000" w:rsidRDefault="00000000"/>
    <w:p w:rsidR="00000000" w:rsidRDefault="00000000">
      <w:r>
        <w:t>237.</w:t>
      </w:r>
      <w:r>
        <w:tab/>
        <w:t>Непосредственно с этим связан и вопрос о дефиците средств в системе социального обеспечения.  В 1992 году сбор страховых взносов по линии социального обеспечения из фонда заработной платы был вполне достаточен для того, чтобы покрыть пенсионные выплаты, расходы на персонал, другие издержки системы социального обеспечения, а также чтобы перевести часть средств в размере 15% в сектор здравоохранения.  Сегодня же собранных средств по линии социального обеспечения еле-еле хватает на то, чтобы покрыть пенсионные выплаты.  Эта нехватка средств, а также расходы на персонал и прочие издержки систематически покрываются за счет средств министерства финансов (из сборов по подоходному налогу и налогу КОФИНС для финансирования социального обеспечения), за счет дохода от финансовых капиталовложений и из средств кассовой наличности.  В 1996 году согласно данным в заниженных ценах по состоянию на декабрь 1996 года, полученных с помощью общего индекса цен (</w:t>
      </w:r>
      <w:r>
        <w:rPr>
          <w:lang w:val="en-US"/>
        </w:rPr>
        <w:t>IGP</w:t>
      </w:r>
      <w:r>
        <w:t>-</w:t>
      </w:r>
      <w:r>
        <w:rPr>
          <w:lang w:val="en-US"/>
        </w:rPr>
        <w:t>DI</w:t>
      </w:r>
      <w:r>
        <w:t>), чистые поступления в систему социального обеспечения (сборы-трансферты третьим сторонам) составили 41,5 млрд. реалов против 50 млрд. реалов всех расходов.  Только пенсионные выплаты составили 42,6 млрд. реалов.  Средства, поступившие из других источников социального обеспечения, составили 3,1 млрд. реалов, из которых 2 млрд. пришлись на налог КОФИНС, а 900,5 млн. реалов поступили из Фонда финансовой стабилизации.</w:t>
      </w:r>
    </w:p>
    <w:p w:rsidR="00000000" w:rsidRDefault="00000000"/>
    <w:p w:rsidR="00000000" w:rsidRDefault="00000000">
      <w:r>
        <w:t>238.</w:t>
      </w:r>
      <w:r>
        <w:tab/>
        <w:t>Высокие уровни расходов по линии социального обеспечения по сравнению с поступлениями связаны главным образом с ростом числа непрерывных пенсионных выплат и со средним размером пенсий, начисляемых в последние годы.  В 1991 году число постоянных пенсионных выплат по линии социального обеспечения составляло 12 473 738;  в  996 году эта цифра поднялась до 16 586 267, т.е. за четыре года она увеличилась на 33%.  Еще стремительней происходил рост пенсионных выплат в сельских районах:  в 1991 году общее число выплачиваемых пенсий составляло 4 103 089;  в 1996 году эта цифра достигла уже 6 390 401, т.е. всего лишь за четыре года она увеличилась на 55,8%.</w:t>
      </w:r>
    </w:p>
    <w:p w:rsidR="00000000" w:rsidRDefault="00000000"/>
    <w:p w:rsidR="00000000" w:rsidRDefault="00000000">
      <w:r>
        <w:t>239.</w:t>
      </w:r>
      <w:r>
        <w:tab/>
        <w:t>Значительно увеличился и средний размер пенсий, выплачиваемых из фондов социального обеспечения.  В 1988 году средняя сумма городских пособий составляла 1,37 минимальных окладов.  В 1995 году она уже была равна двум минимальным окладам, а в 1996 году она достигла 246,8 реалов, т.е. 2,2 минимальных окладов.  В сельских районах средняя величина социальных пособий в период 1988-1995 годов удвоилась с 0,52 минимальных окладов до 1,01.  В 1996 году она составила 114 реалов, или 1,02 минимальных окладов.</w:t>
      </w:r>
    </w:p>
    <w:p w:rsidR="00000000" w:rsidRDefault="00000000"/>
    <w:p w:rsidR="00000000" w:rsidRDefault="00000000">
      <w:r>
        <w:t>240.</w:t>
      </w:r>
      <w:r>
        <w:tab/>
        <w:t>Когда правительство постановило в 1995 году провести корректировку в размере 42,8% в пособиях по линии социального обеспечения, а в мае 1996 года - в размере 15%, то тенденция к росту в страховой базе не изменилась, оставаясь в период с июня 1994 года по декабрь 1996 года на уровне 22,5%.</w:t>
      </w:r>
    </w:p>
    <w:p w:rsidR="00000000" w:rsidRDefault="00000000"/>
    <w:p w:rsidR="00000000" w:rsidRDefault="00000000">
      <w:r>
        <w:t>241.</w:t>
      </w:r>
      <w:r>
        <w:tab/>
        <w:t>Аналогичным образом в период с июля 1994 года по декабрь 1996 года средняя реальная стоимость пособий повысилась на 19,3% с 166 реалов в начале осуществления плана развития до 198 реалов.</w:t>
      </w:r>
    </w:p>
    <w:p w:rsidR="00000000" w:rsidRDefault="00000000"/>
    <w:p w:rsidR="00000000" w:rsidRDefault="00000000">
      <w:r>
        <w:t>242.</w:t>
      </w:r>
      <w:r>
        <w:tab/>
        <w:t>Дефицит ВВП в 4,2% сейчас равен более 30 млрд. реалов и в семь раз превосходит сумму ожидаемых поступлений от сбора налога на финансовые операции (</w:t>
      </w:r>
      <w:r>
        <w:rPr>
          <w:lang w:val="en-US"/>
        </w:rPr>
        <w:t>CPMF</w:t>
      </w:r>
      <w:r>
        <w:t>).  Это также величина дефицита системы социального обеспечения, прогнозируемого на 2030 год.  Если система продолжит свое существование в ее нынешнем виде, то прогнозируемый дефицит неизбежен даже при самом оптимистическом прогнозе развития экономики страны.</w:t>
      </w:r>
    </w:p>
    <w:p w:rsidR="00000000" w:rsidRDefault="00000000"/>
    <w:p w:rsidR="00000000" w:rsidRDefault="00000000">
      <w:r>
        <w:t>243.</w:t>
      </w:r>
      <w:r>
        <w:tab/>
        <w:t>Таким образом, реформа бразильской системы социального обеспечения необходима.  Любая реформа должна включать аспекты социального характера, вопросы равенства и справедливости и предусматривать более активную роль государства в основных областях социального развития и поощрения и защиты прав человека.</w:t>
      </w:r>
    </w:p>
    <w:p w:rsidR="00000000" w:rsidRDefault="00000000"/>
    <w:p w:rsidR="00000000" w:rsidRDefault="00000000">
      <w:r>
        <w:t>244.</w:t>
      </w:r>
      <w:r>
        <w:tab/>
        <w:t>Правительство Бразилии подходит к реформе системы социального обеспечения с тех позиций, которые изложены в предшествующих пунктах.  Основная цель внесенной правительством в Национальный конгресс поправки к Конституции состоит в том, чтобы укреплять социальную справедливость путем ликвидации привилегий и перекосов, которые в настоящее время присутствуют в системе социального обеспечения Бразилии.  Предлагаемые правительством меры должны гарантировать права пенсионеров и права тех, кто находится на пороге пенсионного возраста.  Эти меры позволят системе социального обеспечения выйти из состояния неустойчивости и обрести стабильность и равновесие.</w:t>
      </w:r>
    </w:p>
    <w:p w:rsidR="00000000" w:rsidRDefault="00000000"/>
    <w:p w:rsidR="00000000" w:rsidRDefault="00000000">
      <w:r>
        <w:t>245.</w:t>
      </w:r>
      <w:r>
        <w:tab/>
        <w:t>Вместе с тем эти меры могут быть эффективными лишь в среднесрочном плане и в отдаленной перспективе, поскольку правительство пока предпочитает использовать альтернативы, которые сохраняют приобретенные права и не представляют собой радикальный отход от ныне действующей государственной распределительной системы, в рамках которой выплачиваются четко определенные пособия.  Правительство намерено заменить эту систему частной моделью обязательного страхования, построенной на принципе капитализации взносов, размещенных на сберегательных счетах конкретных лиц, как это делается в других странах.  Правительство избрало стратегию постепенного и последовательного конструирования новой модели на принципах универсальности, которыми руководствуются системы социального обеспечения развитых стран.</w:t>
      </w:r>
    </w:p>
    <w:p w:rsidR="00000000" w:rsidRDefault="00000000"/>
    <w:p w:rsidR="00000000" w:rsidRDefault="00000000">
      <w:r>
        <w:t>246.</w:t>
      </w:r>
      <w:r>
        <w:tab/>
        <w:t>В ходе реформы на какое-то время сохранится государственная общая Система обязательного социального страхования (СОСС) для всех работников частного сектора.  Одновременно правительство будет поощрять создание корпоративных вспомогательных пенсионных программ, предусматривающих внесение страховых взносов как работодателями, так и работниками.  Будут также введены стимулы для тех, кто желает открыть сберегательный страховой счет, чтобы увеличить свой доход к моменту выхода на пенсию.  В ходе реформы предполагается разработать одинаковые нормы для взносов и выплат пособий, что должно привести к сокращению различий, существующих ныне между различными системами.  На практике системы будут продолжать функционировать раздельно, но примут финансовые и социальные стандарты, аналогичные тем, что используются в Общей системе обязательного социального страхования (СОСС).</w:t>
      </w:r>
    </w:p>
    <w:p w:rsidR="00000000" w:rsidRDefault="00000000"/>
    <w:p w:rsidR="00000000" w:rsidRDefault="00000000">
      <w:r>
        <w:t>247.</w:t>
      </w:r>
      <w:r>
        <w:tab/>
        <w:t>Государственные служащие, как и прежде, будут пользоваться специальной системой и не будут входить в СОСС.  Правительство намерено создать отдельный пенсионный фонд для государственных служащих, состоящий из взносов самих служащих и центрального правительства.  Военные и гражданские служащие будут иметь свой пенсионный фонд, который в силу особенностей их профессии будет предусматривать минимальный возраст выхода на пенсию и использовать дифференцированные шкалы пенсионных выплат.  Будут соблюдаться приобретенные права пенсионеров и бенефициаров.  Останутся в силе нормы социального страхования, действующие на уровне штата и на местных уровнях, но они будут регулироваться федеральным законодательством.</w:t>
      </w:r>
    </w:p>
    <w:p w:rsidR="00000000" w:rsidRDefault="00000000"/>
    <w:p w:rsidR="00000000" w:rsidRDefault="00000000">
      <w:r>
        <w:t>248.</w:t>
      </w:r>
      <w:r>
        <w:tab/>
        <w:t>В основе СОСС будет по</w:t>
      </w:r>
      <w:r>
        <w:noBreakHyphen/>
        <w:t>прежнему лежать принцип простого участия.  Предлагая новые стандарты, правительство надеется, что в перспективе система социального обеспечения не только сумеет преодолеть нынешние финансовые трудности, но и сможет аккумулировать резервы для любых неблагоприятных экономических обстоятельств.  В реальном выражении желаемый минимум соответствует такому объему резервов, который достаточен для выплат пособий в течение шести месяцев.</w:t>
      </w:r>
    </w:p>
    <w:p w:rsidR="00000000" w:rsidRDefault="00000000"/>
    <w:p w:rsidR="00000000" w:rsidRDefault="00000000">
      <w:r>
        <w:t>249.</w:t>
      </w:r>
      <w:r>
        <w:tab/>
        <w:t>В ходе реформы будет установлен минимальный возраст для получения пенсии, как это делается во всем мире.  Актуарные и демографические исследования показывают, что этот минимальный возраст соответствует примерно 60 годам и, вероятно, поднимется до 65 лет.</w:t>
      </w:r>
    </w:p>
    <w:p w:rsidR="00000000" w:rsidRDefault="00000000"/>
    <w:p w:rsidR="00000000" w:rsidRDefault="00000000">
      <w:r>
        <w:t>250.</w:t>
      </w:r>
      <w:r>
        <w:tab/>
        <w:t>Демографические исследования также подтверждают, что продолжительность жизни городских и сельских рабочих в возрасте 50-60 лет примерно одинакова, и поэтому та дифференциация, которая существует сегодня, неоправданна.  В 1995 году было выплачено 280 540 пособий пенсионерам старше 90 лет, из которых 69 152 были выплачены городским жителям и 211 388 жителям сельских районов.</w:t>
      </w:r>
    </w:p>
    <w:p w:rsidR="00000000" w:rsidRDefault="00000000"/>
    <w:p w:rsidR="00000000" w:rsidRDefault="00000000">
      <w:r>
        <w:t>251.</w:t>
      </w:r>
      <w:r>
        <w:tab/>
        <w:t>Прекратится практика назначения пенсий за выслугу лет.  Засчитываемый трудовой стаж, согласно проекту реформы, будет заменен страховым стажем.  Правительство намерено предложить Национальному конгрессу на основе финансовых и актуарных обоснований системы увеличить размеры страховых взносов.  Будут также ликвидированы пропорциональные пенсии;  пенсии будут начисляться лишь за период, в ходе которого вносились страховые взносы.</w:t>
      </w:r>
    </w:p>
    <w:p w:rsidR="00000000" w:rsidRDefault="00000000"/>
    <w:p w:rsidR="00000000" w:rsidRDefault="00000000">
      <w:r>
        <w:t>252.</w:t>
      </w:r>
      <w:r>
        <w:tab/>
        <w:t>Меняется положение и в отношении специальных пенсий, в особенности в связи с принятием в 1995 году Закона № 9,032 и в 1996 году Временной меры № 1,523.  Главная идея состоит в том, что специальные пенсии должны выплачиваться только тем работникам, которые работают в опасных для здоровья условиях.  До недавнего времени специальные пенсии назначались всем работникам, относящимся к той или иной профессиональной категории.  Таким образом, канцелярский служащий имел те же права на получение специальной пенсии, что и его коллега, который работал в опасных для здоровья условиях.</w:t>
      </w:r>
    </w:p>
    <w:p w:rsidR="00000000" w:rsidRDefault="00000000"/>
    <w:p w:rsidR="00000000" w:rsidRDefault="00000000">
      <w:r>
        <w:t>253.</w:t>
      </w:r>
      <w:r>
        <w:tab/>
        <w:t>Преподаватели, за исключением учителей начальной школы, больше не будут получать специальную пенсию (25 лет трудового стажа для женщин и 30 лет - для мужчин), а для того чтобы иметь право на пенсию, они должны будут выплатить определенный минимум страхового взноса.</w:t>
      </w:r>
    </w:p>
    <w:p w:rsidR="00000000" w:rsidRDefault="00000000"/>
    <w:p w:rsidR="00000000" w:rsidRDefault="00000000">
      <w:r>
        <w:t>254.</w:t>
      </w:r>
      <w:r>
        <w:tab/>
        <w:t>Хотя сохраняющаяся практика назначения специальных пенсий для учителей начальной школы оправдывается необходимостью компенсировать их низкую зарплату и трудные условия работы, это не что иное, как заколдованный круг.  Низкие ставки зарплаты оправдывают досрочный уход на пенсию, что в свою очередь повышает давление на фонды заработной платы, которыми располагают местные власти, не позволяя им увеличить оклад учителей начальных школ.  Эта тенденция ведет к тому, что местные бюджеты вынуждены выделять все больше средств на выплату пенсий тем, кто прекратил свою трудовую деятельность, что отрицательно сказывается на качестве начального образования.</w:t>
      </w:r>
    </w:p>
    <w:p w:rsidR="00000000" w:rsidRDefault="00000000"/>
    <w:p w:rsidR="00000000" w:rsidRDefault="00000000">
      <w:r>
        <w:t>255.</w:t>
      </w:r>
      <w:r>
        <w:tab/>
        <w:t>И наконец, в предлагаемой правительством Бразилии реформе предусматривается сохранить минимальный размер зарплаты, требуемый для получения пособий по социальному обеспечению, на самом низком уровне (база).  В рамках реформы предусматривается также создание частных закрытых пенсионных фондов, используемых принцип капитализации, которые в отсутствие достаточных наличных средств имели бы возможности адаптировать свои пенсионные планы к имеющемуся капиталу и к объему средств, поступающих в виде страховых взносов не только от компаний спонсоров, но и от бенефициаров, таким образом, чтобы пенсионные выплаты соответствовали потребностям.  Правительство никоим образом не намерено мешать государственным структурам выступать в роли спонсоров закрытых частных пенсионных фондов, рассчитывая, что с их помощью удастся ликвидировать привилегии и различного рода льготы, представляющие для общества дополнительное бремя, вынести которое общество по вполне очевидным причинам не имеет ни желания, ни финансовых возможностей.</w:t>
      </w:r>
    </w:p>
    <w:p w:rsidR="00000000" w:rsidRDefault="00000000"/>
    <w:p w:rsidR="00000000" w:rsidRDefault="00000000">
      <w:r>
        <w:t>256.</w:t>
      </w:r>
      <w:r>
        <w:tab/>
        <w:t>Другим важным аспектом реформы системы социального обеспечения являются меры, направленные против мошенничества и уклонения от уплаты налогов, которые предназначены изменить порядок управления.  В период 1992-1996 годов были прекращены выплаты примерно 1 млн. незаконно получаемых пенсий.  Около 400 мошенников или лиц, уклоняющихся от уплаты налогов, понесли наказание в виде лишения свободы.  Службы федеральной полиции и министерства юстиции возбудили более 4 000 дел.  Федеральные суды и министерство юстиции получили 57 945 сообщений о случаях незаконного ареста имущества за уклонение от уплаты налогов.</w:t>
      </w:r>
    </w:p>
    <w:p w:rsidR="00000000" w:rsidRDefault="00000000"/>
    <w:p w:rsidR="00000000" w:rsidRDefault="00000000">
      <w:r>
        <w:t>257.</w:t>
      </w:r>
      <w:r>
        <w:tab/>
        <w:t>Одновременно произошли значительные улучшения в административных процедурах сбора налогов, в особенности среди крупных неплательщиков, и существенно сократились сроки судебных разбирательств.  В 1996 году после принятия мер, предназначенных упростить инспекцию и административно-правовую систему сбора налогов и привести их в соответствие с современными требованиями, поступления от взыскания активных долгов по сравнению с прошлым годом удвоились и составили 600 млн. реалов.</w:t>
      </w:r>
    </w:p>
    <w:p w:rsidR="00000000" w:rsidRDefault="00000000"/>
    <w:p w:rsidR="00000000" w:rsidRDefault="00000000">
      <w:r>
        <w:t>258.</w:t>
      </w:r>
      <w:r>
        <w:tab/>
        <w:t>В целях укрепления финансовой дисциплины министерство социального обеспечения в настоящее время выявляет потенциальных неплательщиков налогов, сравнивая данные, находящиеся в базе данных Национального совета по статистической информации (НССИ), с данными отчислений корпораций на социальное обеспечение.  Правительством разрабатывается система, позволяющая на месячной основе оценивать работу секторов, отвечающих за вопросы налогообложения, инспекции и сбора взносов в сферу социального обеспечения.  В 1996 году в результате принятых мер поступления в сферу социального обеспечения в реальном выражении увеличились на 11% по сравнению с 1995 годом.</w:t>
      </w:r>
    </w:p>
    <w:p w:rsidR="00000000" w:rsidRDefault="00000000"/>
    <w:p w:rsidR="00000000" w:rsidRDefault="00000000">
      <w:r>
        <w:t>259.</w:t>
      </w:r>
      <w:r>
        <w:tab/>
        <w:t xml:space="preserve">В процессе осуществления находится и программа реструктуризации и компьютеризации региональных отделений по сбору налогов и инспекции (РОНИ).  На ее первой стадии планируется обучить гражданских служащих новым методам управления. </w:t>
      </w:r>
    </w:p>
    <w:p w:rsidR="00000000" w:rsidRDefault="00000000"/>
    <w:p w:rsidR="00000000" w:rsidRDefault="00000000">
      <w:r>
        <w:t>260.</w:t>
      </w:r>
      <w:r>
        <w:tab/>
        <w:t>Постепенно завершается работа над созданием базы данных Национального совета по статистической информации (НССИ), с помощью которой можно будет собирать, классифицировать и обрабатывать сведения, касающиеся всех граждан Бразилии, занимающихся трудовой деятельностью и зарегистрированных в различных списках федерального правительства.  Со временем планируется открыть интерактивный доступ к этой базе данных, что даст возможность в режиме он-лайна запрашивать и получать информацию о более 250 млн. бразильских трудящихся, которую Совет будет использовать для назначения пособий, выявления случаев мошенничества и для проведения инспекций.  Предполагается, что примерно через пять лет Национальный совет предоставит возможность выходящим на пенсию работникам подавать заявления о начислении пенсии при наличии одного лишь удостоверения личности, избегая сложной процедуры представления различных документов, как это требуется сегодня, в качестве доказательства того, что они регулярно вносили страховые взносы и что они имеют требуемый трудовой стаж.</w:t>
      </w:r>
    </w:p>
    <w:p w:rsidR="00000000" w:rsidRDefault="00000000"/>
    <w:p w:rsidR="00000000" w:rsidRDefault="00000000">
      <w:r>
        <w:t>261.</w:t>
      </w:r>
      <w:r>
        <w:tab/>
        <w:t>Правительство Бразилии с помощью министерства социального обеспечения активно стремится к тому, чтобы улучшить качество и эффективность услуг, предоставляемых бенефициарам.  В 1996 году было подписано 122 договора с поставщиками социальных услуг, которыми воспользовались 645 000 бенефициаров и которые помогли разрядить переполненные кабинеты отделов социального обеспечения.  Одновременно расширились услуги, оказываемые бенефициарам по телефону:  в 1996 году было зарегистрировано 3,2 млн. звонков и 20 000 просьб о получении информации.  В прошлом году диалоговая аппаратура была установлена в более чем 100 пунктах социального обеспечения и завершена компьютеризация других 952 пунктов.  Таким образом, общее число компьютеризированных отделений составило 1 105.</w:t>
      </w:r>
    </w:p>
    <w:p w:rsidR="00000000" w:rsidRDefault="00000000"/>
    <w:p w:rsidR="00000000" w:rsidRDefault="00000000">
      <w:r>
        <w:t>262.</w:t>
      </w:r>
      <w:r>
        <w:tab/>
        <w:t>Наибольших успехов удалось достичь в использовании показателей производительности труда в области социального обеспечения.  Один из показателей - время, уходящее на процедуры назначения пенсии, - неуклонно сокращается с тех пор, как его начали учитывать.  Сроки назначения пенсии во всех региональных отделениях социального обеспечения по всей Бразилии сократилось с 66 дней в 1994 году до 29 дней в декабре 1996 года.  В декабре 1994 года требовалось более чем 45 дней на утверждение 41% пенсий.  В декабре 1996 года эта цифра снизилась до всего лишь 17%.  В декабре 1994 года были компьютеризированы 69% пенсионных пунктов, сегодня эта цифра составляет 90%.</w:t>
      </w:r>
    </w:p>
    <w:p w:rsidR="00000000" w:rsidRDefault="00000000"/>
    <w:p w:rsidR="00000000" w:rsidRDefault="00000000">
      <w:r>
        <w:t>263.</w:t>
      </w:r>
      <w:r>
        <w:tab/>
        <w:t>Что касается проблемы производственного травматизма, то бразильская система предоставляет льготы следующих трех категорий:</w:t>
      </w:r>
    </w:p>
    <w:p w:rsidR="00000000" w:rsidRDefault="00000000"/>
    <w:p w:rsidR="00000000" w:rsidRDefault="00000000">
      <w:r>
        <w:tab/>
        <w:t>а)</w:t>
      </w:r>
      <w:r>
        <w:tab/>
        <w:t>отпуск по болезни в связи с получением травмы на производстве.  Эта льгота распространяется на сельских или городских бенефициаров, которые активно участвуют в трудовой деятельности (за исключением домашней обслуги), и на специальные группы бенефициаров, которые вынуждены оставить работу в связи с получением производственной травмы.  Пособие предоставляется независимо от числа страховых взносов начиная с 16-го дня и заканчивается в день, когда должным образом аккредитованный медицинский работник выписывает бенефициара на работу.  Что касается работников на временных заработках</w:t>
      </w:r>
      <w:r>
        <w:rPr>
          <w:b/>
          <w:bCs/>
          <w:vertAlign w:val="superscript"/>
        </w:rPr>
        <w:t>13</w:t>
      </w:r>
      <w:r>
        <w:t xml:space="preserve"> и работников специальной категории, то выплата пособия начинается на следующий день после получения травмы (если работник немедленно покинул место работы) или с момента начала лечения.  Другим служащим, получившим производственную травму, бюллетень по нетрудоспособности оплачивается компанией в первые 15 дней после ухода с работы.  Месячные выплаты составляют 91% засчитываемого в счет пенсии оклада или 91% от общей суммы его взноса, если бенефициар вносил взнос добровольно, или от минимального оклада, если речь идет о бенефициаре особой категории;</w:t>
      </w:r>
    </w:p>
    <w:p w:rsidR="00000000" w:rsidRDefault="00000000">
      <w:pPr>
        <w:pStyle w:val="FootnoteText"/>
        <w:spacing w:line="288" w:lineRule="auto"/>
      </w:pPr>
    </w:p>
    <w:p w:rsidR="00000000" w:rsidRDefault="00000000">
      <w:r>
        <w:tab/>
      </w:r>
      <w:r>
        <w:rPr>
          <w:lang w:val="en-US"/>
        </w:rPr>
        <w:t>b</w:t>
      </w:r>
      <w:r>
        <w:t>)</w:t>
      </w:r>
      <w:r>
        <w:tab/>
        <w:t>пенсия по инвалидности, наступившей в результате получения производственной травмы.  Пенсия выплачивается сельским или городским бенефициарам (за исключением домашней обслуги), которые активно участвовали в трудовой деятельности, и бенефициарам особой категории, признанным нетрудоспособными и не поддающимися профессиональной реабилитации.  Пенсия выплачивается на следующий день, наступающий после истечения отпуска в связи с получением производственной травмы, или же сразу после получения производственной травмы, если имеются доказательства полной и окончательной потери трудоспособности.  Льгота действует в течение всего периода выздоровления.  Если бенефициар признается трудоспособным, Национальный институт социального обеспечения (НИСО) проводит новую экспертизу и по возвращении бенефициара на работу выплата пособия автоматически прекращается.  Полученная сумма соответствует 100% засчитываемого в счет пенсии оклада бенефициара или 100% суммы, выплаченной в виде страхового взноса условным бенефициаром, и одному минимальному окладу, если речь идет о бенефициаре особой категории.  Если должным образом аккредитованный медицинский работник свидетельствует, что лицу, получившему травму, требуется постоянный уход, размер пенсии по инвалидности увеличивается на 25%;</w:t>
      </w:r>
    </w:p>
    <w:p w:rsidR="00000000" w:rsidRDefault="00000000">
      <w:pPr>
        <w:pStyle w:val="FootnoteText"/>
        <w:spacing w:line="288" w:lineRule="auto"/>
      </w:pPr>
    </w:p>
    <w:p w:rsidR="00000000" w:rsidRDefault="00000000">
      <w:r>
        <w:tab/>
        <w:t>с)</w:t>
      </w:r>
      <w:r>
        <w:tab/>
        <w:t>компенсация в связи с потерей трудоспособности в результате получения производственной травмы.  Это пособие выплачивается сельским и городским работникам (за исключением домашней обслуги) и особым категориям бенефициаров, которые, вылечившись от производственной травмы, страдают от ее последствий, что ограничивает их возможности трудиться.  Компенсация выплачивается вне зависимости от любого другого вознаграждения, получаемого лицом, ставшим жертвой травматизма, даже тогда, когда речь идет о другом пособии.  Пособие в связи с потерей трудоспособности имеет компенсационный характер и составляет до 50% оклада бенефициара.</w:t>
      </w:r>
    </w:p>
    <w:p w:rsidR="00000000" w:rsidRDefault="00000000"/>
    <w:p w:rsidR="00000000" w:rsidRDefault="00000000">
      <w:r>
        <w:t>264.</w:t>
      </w:r>
      <w:r>
        <w:tab/>
        <w:t>Помимо вышеупомянутых трех категорий льгот, существует еще одна льгота, предоставляемая в связи с травматизмом, которая распространяется на бенефициаров, частично потерявших трудоспособность в результате получения травмы, не относящейся к категории производственных травм.  Размер этого пособия равен пособию, упомянутому в пункте </w:t>
      </w:r>
      <w:r>
        <w:rPr>
          <w:lang w:val="en-US"/>
        </w:rPr>
        <w:t>b</w:t>
      </w:r>
      <w:r>
        <w:t>) выше.</w:t>
      </w:r>
    </w:p>
    <w:p w:rsidR="00000000" w:rsidRDefault="00000000"/>
    <w:p w:rsidR="00000000" w:rsidRDefault="00000000">
      <w:r>
        <w:t>265.</w:t>
      </w:r>
      <w:r>
        <w:tab/>
        <w:t>В таблице 34 ниже представлены данные о числе и сумме социальных пособий в связи с потерей трудоспособности, выплаченных системой социального обеспечения.</w:t>
      </w:r>
    </w:p>
    <w:p w:rsidR="00000000" w:rsidRDefault="00000000"/>
    <w:p w:rsidR="00000000" w:rsidRDefault="00000000">
      <w:pPr>
        <w:jc w:val="center"/>
        <w:rPr>
          <w:b/>
          <w:bCs/>
        </w:rPr>
      </w:pPr>
      <w:r>
        <w:rPr>
          <w:b/>
          <w:bCs/>
        </w:rPr>
        <w:t>Таблица 34.   Социальные пособия, выплаченные в связи с получением производственной травмы, 1995</w:t>
      </w:r>
      <w:r>
        <w:rPr>
          <w:b/>
          <w:bCs/>
        </w:rPr>
        <w:noBreakHyphen/>
        <w:t>1999 годы</w:t>
      </w:r>
    </w:p>
    <w:p w:rsidR="00000000" w:rsidRDefault="00000000">
      <w:pPr>
        <w:jc w:val="center"/>
        <w:rPr>
          <w:b/>
          <w:bCs/>
        </w:rPr>
      </w:pP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3076"/>
        <w:gridCol w:w="4437"/>
      </w:tblGrid>
      <w:tr w:rsidR="00000000">
        <w:tblPrEx>
          <w:tblCellMar>
            <w:top w:w="0" w:type="dxa"/>
            <w:bottom w:w="0" w:type="dxa"/>
          </w:tblCellMar>
        </w:tblPrEx>
        <w:trPr>
          <w:cantSplit/>
        </w:trPr>
        <w:tc>
          <w:tcPr>
            <w:tcW w:w="709" w:type="dxa"/>
          </w:tcPr>
          <w:p w:rsidR="00000000" w:rsidRDefault="00000000">
            <w:pPr>
              <w:jc w:val="center"/>
              <w:rPr>
                <w:kern w:val="20"/>
              </w:rPr>
            </w:pPr>
            <w:r>
              <w:rPr>
                <w:kern w:val="20"/>
              </w:rPr>
              <w:t>Год</w:t>
            </w:r>
          </w:p>
        </w:tc>
        <w:tc>
          <w:tcPr>
            <w:tcW w:w="3076" w:type="dxa"/>
          </w:tcPr>
          <w:p w:rsidR="00000000" w:rsidRDefault="00000000">
            <w:pPr>
              <w:jc w:val="center"/>
              <w:rPr>
                <w:kern w:val="20"/>
              </w:rPr>
            </w:pPr>
            <w:r>
              <w:rPr>
                <w:kern w:val="20"/>
              </w:rPr>
              <w:t>Количество по состоянию на декабрь</w:t>
            </w:r>
          </w:p>
        </w:tc>
        <w:tc>
          <w:tcPr>
            <w:tcW w:w="4437" w:type="dxa"/>
          </w:tcPr>
          <w:p w:rsidR="00000000" w:rsidRDefault="00000000">
            <w:pPr>
              <w:jc w:val="center"/>
              <w:rPr>
                <w:kern w:val="20"/>
              </w:rPr>
            </w:pPr>
            <w:r>
              <w:rPr>
                <w:kern w:val="20"/>
              </w:rPr>
              <w:t>Общая сумма, аккумулированная за год (млн. реалов </w:t>
            </w:r>
            <w:r>
              <w:rPr>
                <w:kern w:val="20"/>
              </w:rPr>
              <w:noBreakHyphen/>
              <w:t xml:space="preserve"> июнь 1999 год)</w:t>
            </w:r>
          </w:p>
        </w:tc>
      </w:tr>
      <w:tr w:rsidR="00000000">
        <w:tblPrEx>
          <w:tblCellMar>
            <w:top w:w="0" w:type="dxa"/>
            <w:bottom w:w="0" w:type="dxa"/>
          </w:tblCellMar>
        </w:tblPrEx>
        <w:tc>
          <w:tcPr>
            <w:tcW w:w="709" w:type="dxa"/>
          </w:tcPr>
          <w:p w:rsidR="00000000" w:rsidRDefault="00000000">
            <w:pPr>
              <w:rPr>
                <w:kern w:val="20"/>
              </w:rPr>
            </w:pPr>
            <w:r>
              <w:rPr>
                <w:kern w:val="20"/>
              </w:rPr>
              <w:t>1995</w:t>
            </w:r>
          </w:p>
        </w:tc>
        <w:tc>
          <w:tcPr>
            <w:tcW w:w="3076" w:type="dxa"/>
          </w:tcPr>
          <w:p w:rsidR="00000000" w:rsidRDefault="00000000">
            <w:pPr>
              <w:jc w:val="center"/>
              <w:rPr>
                <w:kern w:val="20"/>
              </w:rPr>
            </w:pPr>
            <w:r>
              <w:rPr>
                <w:kern w:val="20"/>
              </w:rPr>
              <w:t>520 018</w:t>
            </w:r>
          </w:p>
        </w:tc>
        <w:tc>
          <w:tcPr>
            <w:tcW w:w="4437" w:type="dxa"/>
          </w:tcPr>
          <w:p w:rsidR="00000000" w:rsidRDefault="00000000">
            <w:pPr>
              <w:tabs>
                <w:tab w:val="left" w:pos="2548"/>
              </w:tabs>
              <w:jc w:val="center"/>
              <w:rPr>
                <w:kern w:val="20"/>
              </w:rPr>
            </w:pPr>
            <w:r>
              <w:rPr>
                <w:kern w:val="20"/>
              </w:rPr>
              <w:t>1 285,26</w:t>
            </w:r>
          </w:p>
        </w:tc>
      </w:tr>
      <w:tr w:rsidR="00000000">
        <w:tblPrEx>
          <w:tblCellMar>
            <w:top w:w="0" w:type="dxa"/>
            <w:bottom w:w="0" w:type="dxa"/>
          </w:tblCellMar>
        </w:tblPrEx>
        <w:tc>
          <w:tcPr>
            <w:tcW w:w="709" w:type="dxa"/>
          </w:tcPr>
          <w:p w:rsidR="00000000" w:rsidRDefault="00000000">
            <w:pPr>
              <w:rPr>
                <w:kern w:val="20"/>
              </w:rPr>
            </w:pPr>
            <w:r>
              <w:rPr>
                <w:kern w:val="20"/>
              </w:rPr>
              <w:t>1996</w:t>
            </w:r>
          </w:p>
        </w:tc>
        <w:tc>
          <w:tcPr>
            <w:tcW w:w="3076" w:type="dxa"/>
          </w:tcPr>
          <w:p w:rsidR="00000000" w:rsidRDefault="00000000">
            <w:pPr>
              <w:jc w:val="center"/>
              <w:rPr>
                <w:kern w:val="20"/>
              </w:rPr>
            </w:pPr>
            <w:r>
              <w:rPr>
                <w:kern w:val="20"/>
              </w:rPr>
              <w:t>532 516</w:t>
            </w:r>
          </w:p>
        </w:tc>
        <w:tc>
          <w:tcPr>
            <w:tcW w:w="4437" w:type="dxa"/>
          </w:tcPr>
          <w:p w:rsidR="00000000" w:rsidRDefault="00000000">
            <w:pPr>
              <w:tabs>
                <w:tab w:val="left" w:pos="2548"/>
              </w:tabs>
              <w:jc w:val="center"/>
              <w:rPr>
                <w:kern w:val="20"/>
              </w:rPr>
            </w:pPr>
            <w:r>
              <w:rPr>
                <w:kern w:val="20"/>
              </w:rPr>
              <w:t>1 444,81</w:t>
            </w:r>
          </w:p>
        </w:tc>
      </w:tr>
      <w:tr w:rsidR="00000000">
        <w:tblPrEx>
          <w:tblCellMar>
            <w:top w:w="0" w:type="dxa"/>
            <w:bottom w:w="0" w:type="dxa"/>
          </w:tblCellMar>
        </w:tblPrEx>
        <w:tc>
          <w:tcPr>
            <w:tcW w:w="709" w:type="dxa"/>
          </w:tcPr>
          <w:p w:rsidR="00000000" w:rsidRDefault="00000000">
            <w:pPr>
              <w:rPr>
                <w:kern w:val="20"/>
              </w:rPr>
            </w:pPr>
            <w:r>
              <w:rPr>
                <w:kern w:val="20"/>
              </w:rPr>
              <w:t>1997</w:t>
            </w:r>
          </w:p>
        </w:tc>
        <w:tc>
          <w:tcPr>
            <w:tcW w:w="3076" w:type="dxa"/>
          </w:tcPr>
          <w:p w:rsidR="00000000" w:rsidRDefault="00000000">
            <w:pPr>
              <w:jc w:val="center"/>
              <w:rPr>
                <w:kern w:val="20"/>
              </w:rPr>
            </w:pPr>
            <w:r>
              <w:rPr>
                <w:kern w:val="20"/>
              </w:rPr>
              <w:t>516 092</w:t>
            </w:r>
          </w:p>
        </w:tc>
        <w:tc>
          <w:tcPr>
            <w:tcW w:w="4437" w:type="dxa"/>
          </w:tcPr>
          <w:p w:rsidR="00000000" w:rsidRDefault="00000000">
            <w:pPr>
              <w:tabs>
                <w:tab w:val="left" w:pos="2548"/>
              </w:tabs>
              <w:jc w:val="center"/>
              <w:rPr>
                <w:kern w:val="20"/>
              </w:rPr>
            </w:pPr>
            <w:r>
              <w:rPr>
                <w:kern w:val="20"/>
              </w:rPr>
              <w:t>1 581,44</w:t>
            </w:r>
          </w:p>
        </w:tc>
      </w:tr>
      <w:tr w:rsidR="00000000">
        <w:tblPrEx>
          <w:tblCellMar>
            <w:top w:w="0" w:type="dxa"/>
            <w:bottom w:w="0" w:type="dxa"/>
          </w:tblCellMar>
        </w:tblPrEx>
        <w:tc>
          <w:tcPr>
            <w:tcW w:w="709" w:type="dxa"/>
          </w:tcPr>
          <w:p w:rsidR="00000000" w:rsidRDefault="00000000">
            <w:pPr>
              <w:rPr>
                <w:kern w:val="20"/>
              </w:rPr>
            </w:pPr>
            <w:r>
              <w:rPr>
                <w:kern w:val="20"/>
              </w:rPr>
              <w:t>1998</w:t>
            </w:r>
          </w:p>
        </w:tc>
        <w:tc>
          <w:tcPr>
            <w:tcW w:w="3076" w:type="dxa"/>
          </w:tcPr>
          <w:p w:rsidR="00000000" w:rsidRDefault="00000000">
            <w:pPr>
              <w:jc w:val="center"/>
              <w:rPr>
                <w:kern w:val="20"/>
              </w:rPr>
            </w:pPr>
            <w:r>
              <w:rPr>
                <w:kern w:val="20"/>
              </w:rPr>
              <w:t>506 254</w:t>
            </w:r>
          </w:p>
        </w:tc>
        <w:tc>
          <w:tcPr>
            <w:tcW w:w="4437" w:type="dxa"/>
          </w:tcPr>
          <w:p w:rsidR="00000000" w:rsidRDefault="00000000">
            <w:pPr>
              <w:tabs>
                <w:tab w:val="left" w:pos="2548"/>
              </w:tabs>
              <w:jc w:val="center"/>
              <w:rPr>
                <w:kern w:val="20"/>
              </w:rPr>
            </w:pPr>
            <w:r>
              <w:rPr>
                <w:kern w:val="20"/>
              </w:rPr>
              <w:t>1 704,15</w:t>
            </w:r>
          </w:p>
        </w:tc>
      </w:tr>
      <w:tr w:rsidR="00000000">
        <w:tblPrEx>
          <w:tblCellMar>
            <w:top w:w="0" w:type="dxa"/>
            <w:bottom w:w="0" w:type="dxa"/>
          </w:tblCellMar>
        </w:tblPrEx>
        <w:tc>
          <w:tcPr>
            <w:tcW w:w="709" w:type="dxa"/>
          </w:tcPr>
          <w:p w:rsidR="00000000" w:rsidRDefault="00000000">
            <w:pPr>
              <w:rPr>
                <w:kern w:val="20"/>
              </w:rPr>
            </w:pPr>
            <w:r>
              <w:rPr>
                <w:kern w:val="20"/>
              </w:rPr>
              <w:t>1999</w:t>
            </w:r>
          </w:p>
        </w:tc>
        <w:tc>
          <w:tcPr>
            <w:tcW w:w="3076" w:type="dxa"/>
          </w:tcPr>
          <w:p w:rsidR="00000000" w:rsidRDefault="00000000">
            <w:pPr>
              <w:jc w:val="center"/>
              <w:rPr>
                <w:kern w:val="20"/>
              </w:rPr>
            </w:pPr>
            <w:r>
              <w:rPr>
                <w:kern w:val="20"/>
              </w:rPr>
              <w:t>460 388</w:t>
            </w:r>
          </w:p>
        </w:tc>
        <w:tc>
          <w:tcPr>
            <w:tcW w:w="4437" w:type="dxa"/>
          </w:tcPr>
          <w:p w:rsidR="00000000" w:rsidRDefault="00000000">
            <w:pPr>
              <w:tabs>
                <w:tab w:val="left" w:pos="2548"/>
              </w:tabs>
              <w:jc w:val="center"/>
              <w:rPr>
                <w:kern w:val="20"/>
              </w:rPr>
            </w:pPr>
            <w:r>
              <w:rPr>
                <w:kern w:val="20"/>
              </w:rPr>
              <w:t>1 760,88</w:t>
            </w:r>
          </w:p>
        </w:tc>
      </w:tr>
    </w:tbl>
    <w:p w:rsidR="00000000" w:rsidRDefault="00000000"/>
    <w:p w:rsidR="00000000" w:rsidRDefault="00000000">
      <w:pPr>
        <w:rPr>
          <w:lang w:val="en-US"/>
        </w:rPr>
      </w:pPr>
      <w:r>
        <w:tab/>
      </w:r>
      <w:r>
        <w:rPr>
          <w:u w:val="single"/>
        </w:rPr>
        <w:t>Источник</w:t>
      </w:r>
      <w:r>
        <w:rPr>
          <w:lang w:val="en-US"/>
        </w:rPr>
        <w:t>:  Anuário Estatístico da Previdência Social &amp; Boletim Estatístico da Previdência Social.</w:t>
      </w:r>
    </w:p>
    <w:p w:rsidR="00000000" w:rsidRDefault="00000000">
      <w:pPr>
        <w:rPr>
          <w:lang w:val="en-US"/>
        </w:rPr>
      </w:pPr>
    </w:p>
    <w:p w:rsidR="00000000" w:rsidRDefault="00000000">
      <w:r>
        <w:t>266.</w:t>
      </w:r>
      <w:r>
        <w:tab/>
      </w:r>
      <w:r>
        <w:rPr>
          <w:lang w:val="en-US"/>
        </w:rPr>
        <w:t>C</w:t>
      </w:r>
      <w:r>
        <w:t>истема социального обеспечения Бразилии также предоставляет пенсию по старости, оказывает помощь малоимущим гражданам пожилого возраста и выплачивает пособие по беременности.  Вопрос о пособии по беременности подробно обсуждается в замечаниях по статье 20 Пакта.  Что же касается двух других льгот, то следует отметить, что они представляют собой форму финансовой помощи, оказываемой лицам старшего поколения, т.е. той группе населения, которая в силу своей повышенной уязвимости нуждается в особом внимании.</w:t>
      </w:r>
    </w:p>
    <w:p w:rsidR="00000000" w:rsidRDefault="00000000"/>
    <w:p w:rsidR="00000000" w:rsidRDefault="00000000">
      <w:r>
        <w:t>267.</w:t>
      </w:r>
      <w:r>
        <w:tab/>
        <w:t>Для того чтобы иметь право на получение пенсии по старости, бенефициар системы социального обеспечения должен быть в возрасте 65 лет и старше, если это мужчина, и 60 лет, если это женщина.  Для сельских работников этот возраст снижен на пять лет.  Льготный период действия пенсий по старости сегодня составляет 9,5 лет и должен постепенно увеличиться до 15 лет к 2011 году.</w:t>
      </w:r>
    </w:p>
    <w:p w:rsidR="00000000" w:rsidRDefault="00000000"/>
    <w:p w:rsidR="00000000" w:rsidRDefault="00000000">
      <w:r>
        <w:t>268.</w:t>
      </w:r>
      <w:r>
        <w:tab/>
        <w:t>Гражданин в возрасте 67 лет или старше, способный доказать, что он не в состоянии обеспечивать за собой уход собственными средствами или с помощью членов семьи, имеет право на получение ежемесячного минимального оклада в рамках системы социального обеспечения.  Это пособие назначается в тех случаях, когда доход семьи составляет менее четверти минимального оклада на члена семьи;  оно покрывается за счет средств национального бюджета, а не за счет страховых взносов в систему социального обеспечения.  Аналогичное пособие в виде ежемесячных выплат на протяжении всей жизни, выплачиваемое из взносов в систему социального обеспечения, было отменено 4 января 1996 года.  Вместе с тем получавшим его бенефициарам это пособие продолжает выплачиваться.</w:t>
      </w:r>
    </w:p>
    <w:p w:rsidR="00000000" w:rsidRDefault="00000000"/>
    <w:p w:rsidR="00000000" w:rsidRDefault="00000000">
      <w:r>
        <w:t>269.</w:t>
      </w:r>
      <w:r>
        <w:tab/>
        <w:t xml:space="preserve">Средства на оказание помощи лицам пожилого возраста поступают из Национального фонда социального обеспечения (НФСО), а пособия предоставляются через систему социального вспомоществования, которая уже располагает необходимой структурой для охвата большого числа людей и значительным объемом ресурсов.  </w:t>
      </w:r>
    </w:p>
    <w:p w:rsidR="00000000" w:rsidRDefault="00000000"/>
    <w:p w:rsidR="00000000" w:rsidRDefault="00000000">
      <w:r>
        <w:t>270.</w:t>
      </w:r>
      <w:r>
        <w:tab/>
        <w:t>В таблице 35 указывается число пособий, выплаченных лицам пожилого возраста, и аккумулированные ежегодные отчисления на эти пособия.</w:t>
      </w:r>
    </w:p>
    <w:p w:rsidR="00000000" w:rsidRDefault="00000000"/>
    <w:p w:rsidR="00000000" w:rsidRDefault="00000000">
      <w:pPr>
        <w:pStyle w:val="10"/>
        <w:rPr>
          <w:bCs/>
        </w:rPr>
      </w:pPr>
      <w:r>
        <w:rPr>
          <w:bCs/>
        </w:rPr>
        <w:t>Таблица 35.   Пособия, выплачиваемые лицам пожилого возраста, 1995-1999 годы</w:t>
      </w:r>
    </w:p>
    <w:p w:rsidR="00000000" w:rsidRDefault="00000000">
      <w:pPr>
        <w:pStyle w:val="10"/>
        <w:rPr>
          <w:bCs/>
        </w:rPr>
      </w:pPr>
    </w:p>
    <w:tbl>
      <w:tblPr>
        <w:tblW w:w="93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051"/>
        <w:gridCol w:w="1748"/>
        <w:gridCol w:w="1122"/>
        <w:gridCol w:w="1962"/>
        <w:gridCol w:w="980"/>
        <w:gridCol w:w="1962"/>
      </w:tblGrid>
      <w:tr w:rsidR="00000000">
        <w:tblPrEx>
          <w:tblCellMar>
            <w:top w:w="0" w:type="dxa"/>
            <w:bottom w:w="0" w:type="dxa"/>
          </w:tblCellMar>
        </w:tblPrEx>
        <w:tc>
          <w:tcPr>
            <w:tcW w:w="567" w:type="dxa"/>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Год</w:t>
            </w:r>
          </w:p>
        </w:tc>
        <w:tc>
          <w:tcPr>
            <w:tcW w:w="2799" w:type="dxa"/>
            <w:gridSpan w:val="2"/>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Пенсия по старости</w:t>
            </w:r>
          </w:p>
        </w:tc>
        <w:tc>
          <w:tcPr>
            <w:tcW w:w="3084" w:type="dxa"/>
            <w:gridSpan w:val="2"/>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Социальное обеспечение для лиц пожилого возраста</w:t>
            </w:r>
          </w:p>
        </w:tc>
        <w:tc>
          <w:tcPr>
            <w:tcW w:w="2942" w:type="dxa"/>
            <w:gridSpan w:val="2"/>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Ежемесячная пожизненная пенсия</w:t>
            </w:r>
          </w:p>
        </w:tc>
      </w:tr>
      <w:tr w:rsidR="00000000">
        <w:tblPrEx>
          <w:tblCellMar>
            <w:top w:w="0" w:type="dxa"/>
            <w:bottom w:w="0" w:type="dxa"/>
          </w:tblCellMar>
        </w:tblPrEx>
        <w:trPr>
          <w:trHeight w:val="707"/>
        </w:trPr>
        <w:tc>
          <w:tcPr>
            <w:tcW w:w="567" w:type="dxa"/>
            <w:tcMar>
              <w:left w:w="0" w:type="dxa"/>
              <w:right w:w="0" w:type="dxa"/>
            </w:tcMar>
            <w:vAlign w:val="center"/>
          </w:tcPr>
          <w:p w:rsidR="00000000" w:rsidRDefault="00000000">
            <w:pPr>
              <w:pStyle w:val="BodyText3"/>
              <w:spacing w:line="216" w:lineRule="auto"/>
              <w:jc w:val="center"/>
              <w:rPr>
                <w:spacing w:val="-10"/>
                <w:kern w:val="2"/>
                <w:sz w:val="18"/>
                <w:lang w:val="ru-RU"/>
              </w:rPr>
            </w:pPr>
          </w:p>
        </w:tc>
        <w:tc>
          <w:tcPr>
            <w:tcW w:w="1051"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Количество по состоянию на декабрь</w:t>
            </w:r>
          </w:p>
        </w:tc>
        <w:tc>
          <w:tcPr>
            <w:tcW w:w="1748"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Сумма (млн. реалов – по состоянию на июнь 1999 года), аккумулированная за год</w:t>
            </w:r>
          </w:p>
        </w:tc>
        <w:tc>
          <w:tcPr>
            <w:tcW w:w="1122"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Количество по состоянию на декабрь</w:t>
            </w:r>
          </w:p>
        </w:tc>
        <w:tc>
          <w:tcPr>
            <w:tcW w:w="1962"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Сумма (млн. реалов – по состоянию на июнь 1999 года), аккумулированная  за  год</w:t>
            </w:r>
          </w:p>
        </w:tc>
        <w:tc>
          <w:tcPr>
            <w:tcW w:w="980"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Количество по состоянию на декабрь</w:t>
            </w:r>
          </w:p>
        </w:tc>
        <w:tc>
          <w:tcPr>
            <w:tcW w:w="1962"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Сумма (млн. реалов – по состоянию на июнь 1999 года), аккумулированная  за  год</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1995</w:t>
            </w:r>
          </w:p>
        </w:tc>
        <w:tc>
          <w:tcPr>
            <w:tcW w:w="1051"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4 786 846</w:t>
            </w:r>
          </w:p>
        </w:tc>
        <w:tc>
          <w:tcPr>
            <w:tcW w:w="1748"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kern w:val="2"/>
                <w:sz w:val="18"/>
                <w:lang w:val="ru-RU"/>
              </w:rPr>
              <w:t>9 511,90</w:t>
            </w:r>
          </w:p>
        </w:tc>
        <w:tc>
          <w:tcPr>
            <w:tcW w:w="112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w:t>
            </w:r>
          </w:p>
        </w:tc>
        <w:tc>
          <w:tcPr>
            <w:tcW w:w="196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w:t>
            </w:r>
          </w:p>
        </w:tc>
        <w:tc>
          <w:tcPr>
            <w:tcW w:w="980"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501 944</w:t>
            </w:r>
          </w:p>
        </w:tc>
        <w:tc>
          <w:tcPr>
            <w:tcW w:w="196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979,58</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1996</w:t>
            </w:r>
          </w:p>
        </w:tc>
        <w:tc>
          <w:tcPr>
            <w:tcW w:w="1051"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4 843 234</w:t>
            </w:r>
          </w:p>
        </w:tc>
        <w:tc>
          <w:tcPr>
            <w:tcW w:w="1748"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kern w:val="2"/>
                <w:sz w:val="18"/>
                <w:lang w:val="ru-RU"/>
              </w:rPr>
              <w:t>9 629,76</w:t>
            </w:r>
          </w:p>
        </w:tc>
        <w:tc>
          <w:tcPr>
            <w:tcW w:w="112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41 992</w:t>
            </w:r>
          </w:p>
        </w:tc>
        <w:tc>
          <w:tcPr>
            <w:tcW w:w="1962"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snapToGrid w:val="0"/>
                <w:color w:val="000000"/>
                <w:kern w:val="2"/>
                <w:sz w:val="18"/>
                <w:lang w:val="ru-RU" w:eastAsia="pt-BR"/>
              </w:rPr>
              <w:t>27,03</w:t>
            </w:r>
          </w:p>
        </w:tc>
        <w:tc>
          <w:tcPr>
            <w:tcW w:w="980"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459 446</w:t>
            </w:r>
          </w:p>
        </w:tc>
        <w:tc>
          <w:tcPr>
            <w:tcW w:w="196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837,92</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1997</w:t>
            </w:r>
          </w:p>
        </w:tc>
        <w:tc>
          <w:tcPr>
            <w:tcW w:w="1051"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4 952 758</w:t>
            </w:r>
          </w:p>
        </w:tc>
        <w:tc>
          <w:tcPr>
            <w:tcW w:w="1748"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kern w:val="2"/>
                <w:sz w:val="18"/>
                <w:lang w:val="ru-RU"/>
              </w:rPr>
              <w:t>9 680,80</w:t>
            </w:r>
          </w:p>
        </w:tc>
        <w:tc>
          <w:tcPr>
            <w:tcW w:w="112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88 806</w:t>
            </w:r>
          </w:p>
        </w:tc>
        <w:tc>
          <w:tcPr>
            <w:tcW w:w="1962"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snapToGrid w:val="0"/>
                <w:color w:val="000000"/>
                <w:kern w:val="2"/>
                <w:sz w:val="18"/>
                <w:lang w:val="ru-RU" w:eastAsia="pt-BR"/>
              </w:rPr>
              <w:t>102,17</w:t>
            </w:r>
          </w:p>
        </w:tc>
        <w:tc>
          <w:tcPr>
            <w:tcW w:w="980"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416 120</w:t>
            </w:r>
          </w:p>
        </w:tc>
        <w:tc>
          <w:tcPr>
            <w:tcW w:w="196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666,42</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1998</w:t>
            </w:r>
          </w:p>
        </w:tc>
        <w:tc>
          <w:tcPr>
            <w:tcW w:w="1051"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5 147 524</w:t>
            </w:r>
          </w:p>
        </w:tc>
        <w:tc>
          <w:tcPr>
            <w:tcW w:w="1748"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kern w:val="2"/>
                <w:sz w:val="18"/>
                <w:lang w:val="ru-RU"/>
              </w:rPr>
              <w:t>10 369,15</w:t>
            </w:r>
          </w:p>
        </w:tc>
        <w:tc>
          <w:tcPr>
            <w:tcW w:w="112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207 031</w:t>
            </w:r>
          </w:p>
        </w:tc>
        <w:tc>
          <w:tcPr>
            <w:tcW w:w="1962"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snapToGrid w:val="0"/>
                <w:color w:val="000000"/>
                <w:kern w:val="2"/>
                <w:sz w:val="18"/>
                <w:lang w:val="ru-RU" w:eastAsia="pt-BR"/>
              </w:rPr>
              <w:t>230,33</w:t>
            </w:r>
          </w:p>
        </w:tc>
        <w:tc>
          <w:tcPr>
            <w:tcW w:w="980"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374 301</w:t>
            </w:r>
          </w:p>
        </w:tc>
        <w:tc>
          <w:tcPr>
            <w:tcW w:w="196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624,32</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1999</w:t>
            </w:r>
          </w:p>
        </w:tc>
        <w:tc>
          <w:tcPr>
            <w:tcW w:w="1051" w:type="dxa"/>
            <w:tcMar>
              <w:left w:w="0" w:type="dxa"/>
              <w:right w:w="0" w:type="dxa"/>
            </w:tcMar>
          </w:tcPr>
          <w:p w:rsidR="00000000" w:rsidRDefault="00000000">
            <w:pPr>
              <w:pStyle w:val="BodyText3"/>
              <w:spacing w:line="288" w:lineRule="auto"/>
              <w:jc w:val="center"/>
              <w:rPr>
                <w:kern w:val="2"/>
                <w:sz w:val="18"/>
                <w:lang w:val="ru-RU"/>
              </w:rPr>
            </w:pPr>
            <w:r>
              <w:rPr>
                <w:kern w:val="2"/>
                <w:sz w:val="18"/>
                <w:lang w:val="ru-RU"/>
              </w:rPr>
              <w:t>5 373 000</w:t>
            </w:r>
          </w:p>
        </w:tc>
        <w:tc>
          <w:tcPr>
            <w:tcW w:w="1748"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kern w:val="2"/>
                <w:sz w:val="18"/>
                <w:lang w:val="ru-RU"/>
              </w:rPr>
              <w:t>10 874,45</w:t>
            </w:r>
          </w:p>
        </w:tc>
        <w:tc>
          <w:tcPr>
            <w:tcW w:w="112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312 299</w:t>
            </w:r>
          </w:p>
        </w:tc>
        <w:tc>
          <w:tcPr>
            <w:tcW w:w="1962" w:type="dxa"/>
            <w:tcMar>
              <w:left w:w="0" w:type="dxa"/>
              <w:right w:w="0" w:type="dxa"/>
            </w:tcMar>
          </w:tcPr>
          <w:p w:rsidR="00000000" w:rsidRDefault="00000000">
            <w:pPr>
              <w:pStyle w:val="BodyText3"/>
              <w:tabs>
                <w:tab w:val="decimal" w:pos="1134"/>
              </w:tabs>
              <w:spacing w:line="288" w:lineRule="auto"/>
              <w:jc w:val="left"/>
              <w:rPr>
                <w:kern w:val="2"/>
                <w:sz w:val="18"/>
                <w:lang w:val="ru-RU"/>
              </w:rPr>
            </w:pPr>
            <w:r>
              <w:rPr>
                <w:snapToGrid w:val="0"/>
                <w:color w:val="000000"/>
                <w:kern w:val="2"/>
                <w:sz w:val="18"/>
                <w:lang w:val="ru-RU" w:eastAsia="pt-BR"/>
              </w:rPr>
              <w:t>421,79</w:t>
            </w:r>
          </w:p>
        </w:tc>
        <w:tc>
          <w:tcPr>
            <w:tcW w:w="980"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338 031</w:t>
            </w:r>
          </w:p>
        </w:tc>
        <w:tc>
          <w:tcPr>
            <w:tcW w:w="1962" w:type="dxa"/>
            <w:tcMar>
              <w:left w:w="0" w:type="dxa"/>
              <w:right w:w="0" w:type="dxa"/>
            </w:tcMar>
          </w:tcPr>
          <w:p w:rsidR="00000000" w:rsidRDefault="00000000">
            <w:pPr>
              <w:pStyle w:val="BodyText3"/>
              <w:spacing w:line="288" w:lineRule="auto"/>
              <w:jc w:val="center"/>
              <w:rPr>
                <w:kern w:val="2"/>
                <w:sz w:val="18"/>
                <w:lang w:val="ru-RU"/>
              </w:rPr>
            </w:pPr>
            <w:r>
              <w:rPr>
                <w:snapToGrid w:val="0"/>
                <w:color w:val="000000"/>
                <w:kern w:val="2"/>
                <w:sz w:val="18"/>
                <w:lang w:val="ru-RU" w:eastAsia="pt-BR"/>
              </w:rPr>
              <w:t>567,17</w:t>
            </w:r>
          </w:p>
        </w:tc>
      </w:tr>
    </w:tbl>
    <w:p w:rsidR="00000000" w:rsidRDefault="00000000">
      <w:pPr>
        <w:pStyle w:val="FootnoteText"/>
      </w:pPr>
    </w:p>
    <w:p w:rsidR="00000000" w:rsidRDefault="00000000">
      <w:pPr>
        <w:pStyle w:val="FootnoteText"/>
        <w:rPr>
          <w:lang w:val="es-ES"/>
        </w:rPr>
      </w:pPr>
      <w:r>
        <w:rPr>
          <w:lang w:val="es-ES"/>
        </w:rPr>
        <w:tab/>
      </w:r>
      <w:r>
        <w:rPr>
          <w:u w:val="single"/>
          <w:lang w:val="es-ES"/>
        </w:rPr>
        <w:t>Источник</w:t>
      </w:r>
      <w:r>
        <w:rPr>
          <w:lang w:val="es-ES"/>
        </w:rPr>
        <w:t>:  Anuário Estatístico da Previd</w:t>
      </w:r>
      <w:r>
        <w:rPr>
          <w:lang w:val="en-US"/>
        </w:rPr>
        <w:t>ê</w:t>
      </w:r>
      <w:r>
        <w:rPr>
          <w:lang w:val="es-ES"/>
        </w:rPr>
        <w:t>ncia Social &amp; Boletim Estatístico da Previdència Social.</w:t>
      </w:r>
    </w:p>
    <w:p w:rsidR="00000000" w:rsidRDefault="00000000">
      <w:pPr>
        <w:pStyle w:val="FootnoteText"/>
        <w:rPr>
          <w:lang w:val="es-ES"/>
        </w:rPr>
      </w:pPr>
    </w:p>
    <w:p w:rsidR="00000000" w:rsidRDefault="00000000">
      <w:pPr>
        <w:pStyle w:val="FootnoteText"/>
      </w:pPr>
      <w:r>
        <w:rPr>
          <w:b/>
          <w:bCs/>
        </w:rPr>
        <w:tab/>
      </w:r>
      <w:r>
        <w:rPr>
          <w:u w:val="single"/>
        </w:rPr>
        <w:t>Примечания</w:t>
      </w:r>
      <w:r>
        <w:t>:  1)  Ежемесячные пожизненные выплаты пенсии по старости были прекращены в январе 1996 года.  С 1996 года статистические данные касаются общего числа предоставляемых пособий.  2)  Правовая база:  Закон № 8,213/91, Основной закон о социальном обеспечении [</w:t>
      </w:r>
      <w:r>
        <w:rPr>
          <w:lang w:val="en-US"/>
        </w:rPr>
        <w:t>Lei</w:t>
      </w:r>
      <w:r>
        <w:t> </w:t>
      </w:r>
      <w:r>
        <w:rPr>
          <w:lang w:val="en-US"/>
        </w:rPr>
        <w:t>Orgậnica</w:t>
      </w:r>
      <w:r>
        <w:t xml:space="preserve"> </w:t>
      </w:r>
      <w:r>
        <w:rPr>
          <w:lang w:val="en-US"/>
        </w:rPr>
        <w:t>da</w:t>
      </w:r>
      <w:r>
        <w:t xml:space="preserve"> </w:t>
      </w:r>
      <w:r>
        <w:rPr>
          <w:lang w:val="en-US"/>
        </w:rPr>
        <w:t>Assist</w:t>
      </w:r>
      <w:r>
        <w:t>ê</w:t>
      </w:r>
      <w:r>
        <w:rPr>
          <w:lang w:val="en-US"/>
        </w:rPr>
        <w:t>ncia</w:t>
      </w:r>
      <w:r>
        <w:t xml:space="preserve"> </w:t>
      </w:r>
      <w:r>
        <w:rPr>
          <w:lang w:val="en-US"/>
        </w:rPr>
        <w:t>Social</w:t>
      </w:r>
      <w:r>
        <w:t>], статья 2, Закон № 8,742 от 7 декабря 1993 года и Декрет № 1,744 от 19 декабря 1995 года.</w:t>
      </w:r>
    </w:p>
    <w:p w:rsidR="00000000" w:rsidRDefault="00000000"/>
    <w:p w:rsidR="00000000" w:rsidRDefault="00000000">
      <w:r>
        <w:t>271.</w:t>
      </w:r>
      <w:r>
        <w:tab/>
        <w:t>Лица, полностью утратившие трудоспособность, пользуются особым вниманием в рамках бразильской системы социального обеспечения.  Лица, ранее вносившие свой страховой взнос, получают пенсию по инвалидности;  тем же, кто взносов не вносил, социальное пособие выплачивается в связи с потерей трудоспособности (один минимальный оклад) при условии представления доказательств своего низкого дохода.  Для получения пенсии по инвалидности требуется 12-месячный льготный период, за исключением случаев, когда инвалидность наступила в результате производственной травмы или профессионального заболевания.  Стандарт определения низкого уровня дохода, используемый, например, для назначения пособия престарелым, основывается на размере дохода семьи на одного человека, если он составляет менее одной четверти минимального оклада.</w:t>
      </w:r>
    </w:p>
    <w:p w:rsidR="00000000" w:rsidRDefault="00000000"/>
    <w:p w:rsidR="00000000" w:rsidRDefault="00000000">
      <w:pPr>
        <w:pStyle w:val="10"/>
      </w:pPr>
      <w:r>
        <w:t>Таблица 36.   Пособия в связи с потерей трудоспособности, 1995-1999 годы</w:t>
      </w:r>
    </w:p>
    <w:p w:rsidR="00000000" w:rsidRDefault="00000000">
      <w:pPr>
        <w:pStyle w:val="10"/>
      </w:pPr>
    </w:p>
    <w:tbl>
      <w:tblPr>
        <w:tblW w:w="937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051"/>
        <w:gridCol w:w="1742"/>
        <w:gridCol w:w="1128"/>
        <w:gridCol w:w="1951"/>
        <w:gridCol w:w="980"/>
        <w:gridCol w:w="1960"/>
      </w:tblGrid>
      <w:tr w:rsidR="00000000">
        <w:tblPrEx>
          <w:tblCellMar>
            <w:top w:w="0" w:type="dxa"/>
            <w:bottom w:w="0" w:type="dxa"/>
          </w:tblCellMar>
        </w:tblPrEx>
        <w:tc>
          <w:tcPr>
            <w:tcW w:w="567" w:type="dxa"/>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Год</w:t>
            </w:r>
          </w:p>
        </w:tc>
        <w:tc>
          <w:tcPr>
            <w:tcW w:w="2793" w:type="dxa"/>
            <w:gridSpan w:val="2"/>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Пенсия по старости</w:t>
            </w:r>
          </w:p>
        </w:tc>
        <w:tc>
          <w:tcPr>
            <w:tcW w:w="3079" w:type="dxa"/>
            <w:gridSpan w:val="2"/>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Социальное обеспечение для лиц пожилого возраста</w:t>
            </w:r>
          </w:p>
        </w:tc>
        <w:tc>
          <w:tcPr>
            <w:tcW w:w="2940" w:type="dxa"/>
            <w:gridSpan w:val="2"/>
            <w:tcMar>
              <w:left w:w="0" w:type="dxa"/>
              <w:right w:w="0" w:type="dxa"/>
            </w:tcMar>
            <w:vAlign w:val="center"/>
          </w:tcPr>
          <w:p w:rsidR="00000000" w:rsidRDefault="00000000">
            <w:pPr>
              <w:pStyle w:val="BodyText3"/>
              <w:spacing w:line="216" w:lineRule="auto"/>
              <w:jc w:val="center"/>
              <w:rPr>
                <w:kern w:val="2"/>
                <w:sz w:val="18"/>
                <w:lang w:val="ru-RU"/>
              </w:rPr>
            </w:pPr>
            <w:r>
              <w:rPr>
                <w:kern w:val="2"/>
                <w:sz w:val="18"/>
                <w:lang w:val="ru-RU"/>
              </w:rPr>
              <w:t>Ежемесячная пожизненная пенсия</w:t>
            </w:r>
          </w:p>
        </w:tc>
      </w:tr>
      <w:tr w:rsidR="00000000">
        <w:tblPrEx>
          <w:tblCellMar>
            <w:top w:w="0" w:type="dxa"/>
            <w:bottom w:w="0" w:type="dxa"/>
          </w:tblCellMar>
        </w:tblPrEx>
        <w:tc>
          <w:tcPr>
            <w:tcW w:w="567" w:type="dxa"/>
            <w:tcMar>
              <w:left w:w="0" w:type="dxa"/>
              <w:right w:w="0" w:type="dxa"/>
            </w:tcMar>
            <w:vAlign w:val="center"/>
          </w:tcPr>
          <w:p w:rsidR="00000000" w:rsidRDefault="00000000">
            <w:pPr>
              <w:pStyle w:val="BodyText3"/>
              <w:spacing w:line="216" w:lineRule="auto"/>
              <w:jc w:val="center"/>
              <w:rPr>
                <w:spacing w:val="-10"/>
                <w:kern w:val="2"/>
                <w:sz w:val="18"/>
                <w:lang w:val="ru-RU"/>
              </w:rPr>
            </w:pPr>
          </w:p>
        </w:tc>
        <w:tc>
          <w:tcPr>
            <w:tcW w:w="1051"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Количество по состоянию на декабрь</w:t>
            </w:r>
          </w:p>
        </w:tc>
        <w:tc>
          <w:tcPr>
            <w:tcW w:w="1742"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Сумма (млн. реалов – по состоянию на июнь 1999 года), аккумулированная за год</w:t>
            </w:r>
          </w:p>
        </w:tc>
        <w:tc>
          <w:tcPr>
            <w:tcW w:w="1128"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Количество по состоянию на декабрь</w:t>
            </w:r>
          </w:p>
        </w:tc>
        <w:tc>
          <w:tcPr>
            <w:tcW w:w="1951"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Сумма (млн. реалов – по состоянию на июнь 1999 года), аккумулированная  за  год</w:t>
            </w:r>
          </w:p>
        </w:tc>
        <w:tc>
          <w:tcPr>
            <w:tcW w:w="980"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Количество по состоянию на декабрь</w:t>
            </w:r>
          </w:p>
        </w:tc>
        <w:tc>
          <w:tcPr>
            <w:tcW w:w="1960" w:type="dxa"/>
            <w:tcMar>
              <w:left w:w="0" w:type="dxa"/>
              <w:right w:w="0" w:type="dxa"/>
            </w:tcMar>
            <w:vAlign w:val="center"/>
          </w:tcPr>
          <w:p w:rsidR="00000000" w:rsidRDefault="00000000">
            <w:pPr>
              <w:pStyle w:val="BodyText3"/>
              <w:spacing w:line="216" w:lineRule="auto"/>
              <w:jc w:val="center"/>
              <w:rPr>
                <w:spacing w:val="-10"/>
                <w:kern w:val="2"/>
                <w:sz w:val="18"/>
                <w:lang w:val="ru-RU"/>
              </w:rPr>
            </w:pPr>
            <w:r>
              <w:rPr>
                <w:spacing w:val="-10"/>
                <w:kern w:val="2"/>
                <w:sz w:val="18"/>
                <w:lang w:val="ru-RU"/>
              </w:rPr>
              <w:t>Сумма (млн. реалов – по состоянию на июнь 1999 года), аккумулированная  за  год</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lang w:val="ru-RU"/>
              </w:rPr>
            </w:pPr>
            <w:r>
              <w:rPr>
                <w:kern w:val="2"/>
                <w:lang w:val="ru-RU"/>
              </w:rPr>
              <w:t>1995</w:t>
            </w:r>
          </w:p>
        </w:tc>
        <w:tc>
          <w:tcPr>
            <w:tcW w:w="1051"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2 029 989</w:t>
            </w:r>
          </w:p>
        </w:tc>
        <w:tc>
          <w:tcPr>
            <w:tcW w:w="1742"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4 198,18</w:t>
            </w:r>
          </w:p>
        </w:tc>
        <w:tc>
          <w:tcPr>
            <w:tcW w:w="1128"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w:t>
            </w:r>
          </w:p>
        </w:tc>
        <w:tc>
          <w:tcPr>
            <w:tcW w:w="1951"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w:t>
            </w:r>
          </w:p>
        </w:tc>
        <w:tc>
          <w:tcPr>
            <w:tcW w:w="980"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701 341</w:t>
            </w:r>
          </w:p>
        </w:tc>
        <w:tc>
          <w:tcPr>
            <w:tcW w:w="1960"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1 358,19</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lang w:val="ru-RU"/>
              </w:rPr>
            </w:pPr>
            <w:r>
              <w:rPr>
                <w:kern w:val="2"/>
                <w:lang w:val="ru-RU"/>
              </w:rPr>
              <w:t>1996</w:t>
            </w:r>
          </w:p>
        </w:tc>
        <w:tc>
          <w:tcPr>
            <w:tcW w:w="1051"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2 033 998</w:t>
            </w:r>
          </w:p>
        </w:tc>
        <w:tc>
          <w:tcPr>
            <w:tcW w:w="1742"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4 346,19</w:t>
            </w:r>
          </w:p>
        </w:tc>
        <w:tc>
          <w:tcPr>
            <w:tcW w:w="1128"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304 227</w:t>
            </w:r>
          </w:p>
        </w:tc>
        <w:tc>
          <w:tcPr>
            <w:tcW w:w="1951"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166,12</w:t>
            </w:r>
          </w:p>
        </w:tc>
        <w:tc>
          <w:tcPr>
            <w:tcW w:w="980"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667 281</w:t>
            </w:r>
          </w:p>
        </w:tc>
        <w:tc>
          <w:tcPr>
            <w:tcW w:w="1960"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1 204,22</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lang w:val="ru-RU"/>
              </w:rPr>
            </w:pPr>
            <w:r>
              <w:rPr>
                <w:kern w:val="2"/>
                <w:lang w:val="ru-RU"/>
              </w:rPr>
              <w:t>1997</w:t>
            </w:r>
          </w:p>
        </w:tc>
        <w:tc>
          <w:tcPr>
            <w:tcW w:w="1051"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2 070 256</w:t>
            </w:r>
          </w:p>
        </w:tc>
        <w:tc>
          <w:tcPr>
            <w:tcW w:w="1742"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4 473,81</w:t>
            </w:r>
          </w:p>
        </w:tc>
        <w:tc>
          <w:tcPr>
            <w:tcW w:w="1128"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557 088</w:t>
            </w:r>
          </w:p>
        </w:tc>
        <w:tc>
          <w:tcPr>
            <w:tcW w:w="1951"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728,04</w:t>
            </w:r>
          </w:p>
        </w:tc>
        <w:tc>
          <w:tcPr>
            <w:tcW w:w="980"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626 497</w:t>
            </w:r>
          </w:p>
        </w:tc>
        <w:tc>
          <w:tcPr>
            <w:tcW w:w="1960"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983,66</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lang w:val="ru-RU"/>
              </w:rPr>
            </w:pPr>
            <w:r>
              <w:rPr>
                <w:kern w:val="2"/>
                <w:lang w:val="ru-RU"/>
              </w:rPr>
              <w:t>1998</w:t>
            </w:r>
          </w:p>
        </w:tc>
        <w:tc>
          <w:tcPr>
            <w:tcW w:w="1051"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2 114 690</w:t>
            </w:r>
          </w:p>
        </w:tc>
        <w:tc>
          <w:tcPr>
            <w:tcW w:w="1742"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4 782,24</w:t>
            </w:r>
          </w:p>
        </w:tc>
        <w:tc>
          <w:tcPr>
            <w:tcW w:w="1128"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641 268</w:t>
            </w:r>
          </w:p>
        </w:tc>
        <w:tc>
          <w:tcPr>
            <w:tcW w:w="1951"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949,93</w:t>
            </w:r>
          </w:p>
        </w:tc>
        <w:tc>
          <w:tcPr>
            <w:tcW w:w="980"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585 197</w:t>
            </w:r>
          </w:p>
        </w:tc>
        <w:tc>
          <w:tcPr>
            <w:tcW w:w="1960"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956,71</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kern w:val="2"/>
                <w:lang w:val="ru-RU"/>
              </w:rPr>
            </w:pPr>
            <w:r>
              <w:rPr>
                <w:kern w:val="2"/>
                <w:lang w:val="ru-RU"/>
              </w:rPr>
              <w:t>1999</w:t>
            </w:r>
          </w:p>
        </w:tc>
        <w:tc>
          <w:tcPr>
            <w:tcW w:w="1051"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2 203 741</w:t>
            </w:r>
          </w:p>
        </w:tc>
        <w:tc>
          <w:tcPr>
            <w:tcW w:w="1742"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5 101,08</w:t>
            </w:r>
          </w:p>
        </w:tc>
        <w:tc>
          <w:tcPr>
            <w:tcW w:w="1128"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720 274</w:t>
            </w:r>
          </w:p>
        </w:tc>
        <w:tc>
          <w:tcPr>
            <w:tcW w:w="1951"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1 098,66</w:t>
            </w:r>
          </w:p>
        </w:tc>
        <w:tc>
          <w:tcPr>
            <w:tcW w:w="980" w:type="dxa"/>
            <w:tcMar>
              <w:left w:w="0" w:type="dxa"/>
              <w:right w:w="0" w:type="dxa"/>
            </w:tcMar>
          </w:tcPr>
          <w:p w:rsidR="00000000" w:rsidRDefault="00000000">
            <w:pPr>
              <w:pStyle w:val="BodyText3"/>
              <w:spacing w:line="288" w:lineRule="auto"/>
              <w:jc w:val="center"/>
              <w:rPr>
                <w:kern w:val="2"/>
                <w:lang w:val="ru-RU"/>
              </w:rPr>
            </w:pPr>
            <w:r>
              <w:rPr>
                <w:snapToGrid w:val="0"/>
                <w:color w:val="000000"/>
                <w:kern w:val="2"/>
                <w:lang w:val="ru-RU" w:eastAsia="pt-BR"/>
              </w:rPr>
              <w:t>547 693</w:t>
            </w:r>
          </w:p>
        </w:tc>
        <w:tc>
          <w:tcPr>
            <w:tcW w:w="1960" w:type="dxa"/>
            <w:tcMar>
              <w:left w:w="0" w:type="dxa"/>
              <w:right w:w="0" w:type="dxa"/>
            </w:tcMar>
          </w:tcPr>
          <w:p w:rsidR="00000000" w:rsidRDefault="00000000">
            <w:pPr>
              <w:pStyle w:val="BodyText3"/>
              <w:tabs>
                <w:tab w:val="decimal" w:pos="1134"/>
              </w:tabs>
              <w:spacing w:line="288" w:lineRule="auto"/>
              <w:jc w:val="left"/>
              <w:rPr>
                <w:kern w:val="2"/>
                <w:lang w:val="ru-RU"/>
              </w:rPr>
            </w:pPr>
            <w:r>
              <w:rPr>
                <w:snapToGrid w:val="0"/>
                <w:color w:val="000000"/>
                <w:kern w:val="2"/>
                <w:lang w:val="ru-RU" w:eastAsia="pt-BR"/>
              </w:rPr>
              <w:t>902,64</w:t>
            </w:r>
          </w:p>
        </w:tc>
      </w:tr>
    </w:tbl>
    <w:p w:rsidR="00000000" w:rsidRDefault="00000000">
      <w:pPr>
        <w:pStyle w:val="FootnoteText"/>
        <w:spacing w:line="288" w:lineRule="auto"/>
      </w:pPr>
    </w:p>
    <w:p w:rsidR="00000000" w:rsidRDefault="00000000">
      <w:pPr>
        <w:pStyle w:val="FootnoteText"/>
        <w:spacing w:line="288" w:lineRule="auto"/>
        <w:rPr>
          <w:lang w:val="en-US"/>
        </w:rPr>
      </w:pPr>
      <w:r>
        <w:tab/>
      </w:r>
      <w:r>
        <w:rPr>
          <w:u w:val="single"/>
        </w:rPr>
        <w:t>Источник</w:t>
      </w:r>
      <w:r>
        <w:rPr>
          <w:lang w:val="en-US"/>
        </w:rPr>
        <w:t xml:space="preserve">:  </w:t>
      </w:r>
      <w:r>
        <w:rPr>
          <w:lang w:val="es-ES"/>
        </w:rPr>
        <w:t xml:space="preserve">Anuário Estatístico da Previdência Social </w:t>
      </w:r>
      <w:r>
        <w:rPr>
          <w:lang w:val="en-US"/>
        </w:rPr>
        <w:t>and</w:t>
      </w:r>
      <w:r>
        <w:rPr>
          <w:lang w:val="es-ES"/>
        </w:rPr>
        <w:t xml:space="preserve"> Boletim Estatístico da Previdência Social.</w:t>
      </w:r>
    </w:p>
    <w:p w:rsidR="00000000" w:rsidRDefault="00000000">
      <w:pPr>
        <w:pStyle w:val="FootnoteText"/>
        <w:spacing w:line="288" w:lineRule="auto"/>
        <w:rPr>
          <w:lang w:val="en-US"/>
        </w:rPr>
      </w:pPr>
    </w:p>
    <w:p w:rsidR="00000000" w:rsidRDefault="00000000">
      <w:pPr>
        <w:pStyle w:val="FootnoteText"/>
        <w:spacing w:line="288" w:lineRule="auto"/>
      </w:pPr>
      <w:r>
        <w:rPr>
          <w:b/>
          <w:bCs/>
          <w:lang w:val="en-US"/>
        </w:rPr>
        <w:tab/>
      </w:r>
      <w:r>
        <w:rPr>
          <w:u w:val="single"/>
        </w:rPr>
        <w:t>Примечания</w:t>
      </w:r>
      <w:r>
        <w:t>:  1)  Ежемесячные пожизненные выплаты пенсии по старости были отменены в январе 1996 года.  2)  С 1996 года статистические данные касаются общего числа предоставляемых пособий.  3)  Правовая база:  Закон № 8213/91, Основной закон о социальном обеспечении [</w:t>
      </w:r>
      <w:r>
        <w:rPr>
          <w:lang w:val="en-US"/>
        </w:rPr>
        <w:t>Lei</w:t>
      </w:r>
      <w:r>
        <w:t> </w:t>
      </w:r>
      <w:r>
        <w:rPr>
          <w:lang w:val="en-US"/>
        </w:rPr>
        <w:t>Org</w:t>
      </w:r>
      <w:r>
        <w:t>â</w:t>
      </w:r>
      <w:r>
        <w:rPr>
          <w:lang w:val="en-US"/>
        </w:rPr>
        <w:t>nica</w:t>
      </w:r>
      <w:r>
        <w:t xml:space="preserve"> </w:t>
      </w:r>
      <w:r>
        <w:rPr>
          <w:lang w:val="en-US"/>
        </w:rPr>
        <w:t>da</w:t>
      </w:r>
      <w:r>
        <w:t xml:space="preserve"> </w:t>
      </w:r>
      <w:r>
        <w:rPr>
          <w:lang w:val="en-US"/>
        </w:rPr>
        <w:t>Assist</w:t>
      </w:r>
      <w:r>
        <w:t>ê</w:t>
      </w:r>
      <w:r>
        <w:rPr>
          <w:lang w:val="en-US"/>
        </w:rPr>
        <w:t>ncia</w:t>
      </w:r>
      <w:r>
        <w:t xml:space="preserve"> </w:t>
      </w:r>
      <w:r>
        <w:rPr>
          <w:lang w:val="en-US"/>
        </w:rPr>
        <w:t>Social</w:t>
      </w:r>
      <w:r>
        <w:t>], статья 2, Закон № 8,742 от 7 декабря 1993 года и Декрет № 1,744 от 19 декабря 1995 года.</w:t>
      </w:r>
    </w:p>
    <w:p w:rsidR="00000000" w:rsidRDefault="00000000">
      <w:pPr>
        <w:pStyle w:val="FootnoteText"/>
        <w:spacing w:line="288" w:lineRule="auto"/>
      </w:pPr>
    </w:p>
    <w:p w:rsidR="00000000" w:rsidRDefault="00000000">
      <w:pPr>
        <w:pStyle w:val="FootnoteText"/>
        <w:spacing w:line="288" w:lineRule="auto"/>
      </w:pPr>
      <w:r>
        <w:t>272.</w:t>
      </w:r>
      <w:r>
        <w:tab/>
        <w:t>В случае смерти пособие выплачивается в виде пенсии супругу/компаньону, детям или родителям пенсионеров или бенефициаров.  Дети имеют право на получение пособия до достижения 21 года и при условии отсутствия супруга, имеющего право на эту пенсию.  Родители покойного в свою очередь имеют право на получение пособия в случае отсутствия супруга или детей и проживания в семье в качестве иждивенцев.</w:t>
      </w:r>
    </w:p>
    <w:p w:rsidR="00000000" w:rsidRDefault="00000000">
      <w:pPr>
        <w:pStyle w:val="FootnoteText"/>
        <w:spacing w:line="288" w:lineRule="auto"/>
      </w:pPr>
    </w:p>
    <w:p w:rsidR="00000000" w:rsidRDefault="00000000">
      <w:pPr>
        <w:pStyle w:val="FootnoteText"/>
        <w:spacing w:line="288" w:lineRule="auto"/>
      </w:pPr>
      <w:r>
        <w:t>273.</w:t>
      </w:r>
      <w:r>
        <w:tab/>
        <w:t>В таблицах 37 и 38 представлены данные, касающиеся пенсий в связи со смертью супруга, выплаченных в Бразилии в период 1995</w:t>
      </w:r>
      <w:r>
        <w:noBreakHyphen/>
        <w:t>1999 годов, и пособий в связи с получением производственной травмы, выплаченных за этот же период.</w:t>
      </w:r>
    </w:p>
    <w:p w:rsidR="00000000" w:rsidRDefault="00000000">
      <w:pPr>
        <w:pStyle w:val="FootnoteText"/>
        <w:spacing w:line="288" w:lineRule="auto"/>
      </w:pPr>
    </w:p>
    <w:p w:rsidR="00000000" w:rsidRDefault="00000000">
      <w:pPr>
        <w:pStyle w:val="FootnoteText"/>
        <w:keepNext/>
        <w:spacing w:line="288" w:lineRule="auto"/>
        <w:jc w:val="center"/>
        <w:rPr>
          <w:b/>
          <w:bCs/>
        </w:rPr>
      </w:pPr>
      <w:r>
        <w:rPr>
          <w:b/>
          <w:bCs/>
        </w:rPr>
        <w:t>Таблица 37.   Пенсии по случаю смерти, 1995-1999 годы</w:t>
      </w:r>
    </w:p>
    <w:p w:rsidR="00000000" w:rsidRDefault="00000000">
      <w:pPr>
        <w:pStyle w:val="FootnoteText"/>
        <w:keepNext/>
        <w:spacing w:line="288" w:lineRule="auto"/>
        <w:jc w:val="center"/>
      </w:pPr>
    </w:p>
    <w:tbl>
      <w:tblPr>
        <w:tblW w:w="0" w:type="auto"/>
        <w:tblInd w:w="1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
        <w:gridCol w:w="2765"/>
        <w:gridCol w:w="3971"/>
      </w:tblGrid>
      <w:tr w:rsidR="00000000">
        <w:tblPrEx>
          <w:tblCellMar>
            <w:top w:w="0" w:type="dxa"/>
            <w:bottom w:w="0" w:type="dxa"/>
          </w:tblCellMar>
        </w:tblPrEx>
        <w:trPr>
          <w:cantSplit/>
        </w:trPr>
        <w:tc>
          <w:tcPr>
            <w:tcW w:w="779" w:type="dxa"/>
          </w:tcPr>
          <w:p w:rsidR="00000000" w:rsidRDefault="00000000">
            <w:pPr>
              <w:pStyle w:val="BodyText3"/>
              <w:spacing w:line="288" w:lineRule="auto"/>
              <w:jc w:val="center"/>
              <w:rPr>
                <w:lang w:val="ru-RU"/>
              </w:rPr>
            </w:pPr>
            <w:r>
              <w:rPr>
                <w:lang w:val="ru-RU"/>
              </w:rPr>
              <w:t>Год</w:t>
            </w:r>
          </w:p>
        </w:tc>
        <w:tc>
          <w:tcPr>
            <w:tcW w:w="2765" w:type="dxa"/>
          </w:tcPr>
          <w:p w:rsidR="00000000" w:rsidRDefault="00000000">
            <w:pPr>
              <w:pStyle w:val="BodyText3"/>
              <w:spacing w:line="288" w:lineRule="auto"/>
              <w:jc w:val="center"/>
              <w:rPr>
                <w:lang w:val="ru-RU"/>
              </w:rPr>
            </w:pPr>
            <w:r>
              <w:rPr>
                <w:lang w:val="ru-RU"/>
              </w:rPr>
              <w:t>Количество по состоянию на декабрь</w:t>
            </w:r>
          </w:p>
        </w:tc>
        <w:tc>
          <w:tcPr>
            <w:tcW w:w="3971" w:type="dxa"/>
          </w:tcPr>
          <w:p w:rsidR="00000000" w:rsidRDefault="00000000">
            <w:pPr>
              <w:pStyle w:val="BodyText3"/>
              <w:spacing w:line="288" w:lineRule="auto"/>
              <w:jc w:val="center"/>
              <w:rPr>
                <w:lang w:val="ru-RU"/>
              </w:rPr>
            </w:pPr>
            <w:r>
              <w:rPr>
                <w:lang w:val="ru-RU"/>
              </w:rPr>
              <w:t>Сумма (млн. реалов – июнь 1999 год),</w:t>
            </w:r>
          </w:p>
          <w:p w:rsidR="00000000" w:rsidRDefault="00000000">
            <w:pPr>
              <w:pStyle w:val="BodyText3"/>
              <w:spacing w:line="288" w:lineRule="auto"/>
              <w:jc w:val="center"/>
              <w:rPr>
                <w:lang w:val="ru-RU"/>
              </w:rPr>
            </w:pPr>
            <w:r>
              <w:rPr>
                <w:lang w:val="ru-RU"/>
              </w:rPr>
              <w:t>аккумулированная за год</w:t>
            </w:r>
          </w:p>
        </w:tc>
      </w:tr>
      <w:tr w:rsidR="00000000">
        <w:tblPrEx>
          <w:tblCellMar>
            <w:top w:w="0" w:type="dxa"/>
            <w:bottom w:w="0" w:type="dxa"/>
          </w:tblCellMar>
        </w:tblPrEx>
        <w:tc>
          <w:tcPr>
            <w:tcW w:w="779" w:type="dxa"/>
          </w:tcPr>
          <w:p w:rsidR="00000000" w:rsidRDefault="00000000">
            <w:pPr>
              <w:pStyle w:val="BodyText3"/>
              <w:spacing w:line="288" w:lineRule="auto"/>
              <w:jc w:val="center"/>
              <w:rPr>
                <w:lang w:val="ru-RU"/>
              </w:rPr>
            </w:pPr>
            <w:r>
              <w:rPr>
                <w:lang w:val="ru-RU"/>
              </w:rPr>
              <w:t>1995</w:t>
            </w:r>
          </w:p>
        </w:tc>
        <w:tc>
          <w:tcPr>
            <w:tcW w:w="2765" w:type="dxa"/>
          </w:tcPr>
          <w:p w:rsidR="00000000" w:rsidRDefault="00000000">
            <w:pPr>
              <w:pStyle w:val="BodyText3"/>
              <w:spacing w:line="288" w:lineRule="auto"/>
              <w:jc w:val="center"/>
              <w:rPr>
                <w:lang w:val="ru-RU"/>
              </w:rPr>
            </w:pPr>
            <w:r>
              <w:rPr>
                <w:snapToGrid w:val="0"/>
                <w:color w:val="000000"/>
                <w:lang w:val="ru-RU" w:eastAsia="pt-BR"/>
              </w:rPr>
              <w:t>4 235 420</w:t>
            </w:r>
          </w:p>
        </w:tc>
        <w:tc>
          <w:tcPr>
            <w:tcW w:w="3971" w:type="dxa"/>
          </w:tcPr>
          <w:p w:rsidR="00000000" w:rsidRDefault="00000000">
            <w:pPr>
              <w:pStyle w:val="BodyText3"/>
              <w:tabs>
                <w:tab w:val="decimal" w:pos="1701"/>
              </w:tabs>
              <w:spacing w:line="288" w:lineRule="auto"/>
              <w:jc w:val="left"/>
              <w:rPr>
                <w:lang w:val="ru-RU"/>
              </w:rPr>
            </w:pPr>
            <w:r>
              <w:rPr>
                <w:snapToGrid w:val="0"/>
                <w:color w:val="000000"/>
                <w:lang w:val="ru-RU" w:eastAsia="pt-BR"/>
              </w:rPr>
              <w:t>9 678,22</w:t>
            </w:r>
          </w:p>
        </w:tc>
      </w:tr>
      <w:tr w:rsidR="00000000">
        <w:tblPrEx>
          <w:tblCellMar>
            <w:top w:w="0" w:type="dxa"/>
            <w:bottom w:w="0" w:type="dxa"/>
          </w:tblCellMar>
        </w:tblPrEx>
        <w:tc>
          <w:tcPr>
            <w:tcW w:w="779" w:type="dxa"/>
          </w:tcPr>
          <w:p w:rsidR="00000000" w:rsidRDefault="00000000">
            <w:pPr>
              <w:pStyle w:val="BodyText3"/>
              <w:spacing w:line="288" w:lineRule="auto"/>
              <w:jc w:val="center"/>
              <w:rPr>
                <w:lang w:val="ru-RU"/>
              </w:rPr>
            </w:pPr>
            <w:r>
              <w:rPr>
                <w:lang w:val="ru-RU"/>
              </w:rPr>
              <w:t>1996</w:t>
            </w:r>
          </w:p>
        </w:tc>
        <w:tc>
          <w:tcPr>
            <w:tcW w:w="2765" w:type="dxa"/>
          </w:tcPr>
          <w:p w:rsidR="00000000" w:rsidRDefault="00000000">
            <w:pPr>
              <w:pStyle w:val="BodyText3"/>
              <w:spacing w:line="288" w:lineRule="auto"/>
              <w:jc w:val="center"/>
              <w:rPr>
                <w:lang w:val="ru-RU"/>
              </w:rPr>
            </w:pPr>
            <w:r>
              <w:rPr>
                <w:snapToGrid w:val="0"/>
                <w:color w:val="000000"/>
                <w:lang w:val="ru-RU" w:eastAsia="pt-BR"/>
              </w:rPr>
              <w:t>4 394 420</w:t>
            </w:r>
          </w:p>
        </w:tc>
        <w:tc>
          <w:tcPr>
            <w:tcW w:w="3971" w:type="dxa"/>
          </w:tcPr>
          <w:p w:rsidR="00000000" w:rsidRDefault="00000000">
            <w:pPr>
              <w:pStyle w:val="BodyText3"/>
              <w:tabs>
                <w:tab w:val="decimal" w:pos="1701"/>
              </w:tabs>
              <w:spacing w:line="288" w:lineRule="auto"/>
              <w:jc w:val="left"/>
              <w:rPr>
                <w:lang w:val="ru-RU"/>
              </w:rPr>
            </w:pPr>
            <w:r>
              <w:rPr>
                <w:snapToGrid w:val="0"/>
                <w:color w:val="000000"/>
                <w:lang w:val="ru-RU" w:eastAsia="pt-BR"/>
              </w:rPr>
              <w:t>10 401,00</w:t>
            </w:r>
          </w:p>
        </w:tc>
      </w:tr>
      <w:tr w:rsidR="00000000">
        <w:tblPrEx>
          <w:tblCellMar>
            <w:top w:w="0" w:type="dxa"/>
            <w:bottom w:w="0" w:type="dxa"/>
          </w:tblCellMar>
        </w:tblPrEx>
        <w:tc>
          <w:tcPr>
            <w:tcW w:w="779" w:type="dxa"/>
          </w:tcPr>
          <w:p w:rsidR="00000000" w:rsidRDefault="00000000">
            <w:pPr>
              <w:pStyle w:val="BodyText3"/>
              <w:spacing w:line="288" w:lineRule="auto"/>
              <w:jc w:val="center"/>
              <w:rPr>
                <w:lang w:val="ru-RU"/>
              </w:rPr>
            </w:pPr>
            <w:r>
              <w:rPr>
                <w:lang w:val="ru-RU"/>
              </w:rPr>
              <w:t>1997</w:t>
            </w:r>
          </w:p>
        </w:tc>
        <w:tc>
          <w:tcPr>
            <w:tcW w:w="2765" w:type="dxa"/>
          </w:tcPr>
          <w:p w:rsidR="00000000" w:rsidRDefault="00000000">
            <w:pPr>
              <w:pStyle w:val="BodyText3"/>
              <w:spacing w:line="288" w:lineRule="auto"/>
              <w:jc w:val="center"/>
              <w:rPr>
                <w:lang w:val="ru-RU"/>
              </w:rPr>
            </w:pPr>
            <w:r>
              <w:rPr>
                <w:snapToGrid w:val="0"/>
                <w:color w:val="000000"/>
                <w:lang w:val="ru-RU" w:eastAsia="pt-BR"/>
              </w:rPr>
              <w:t>4 585 501</w:t>
            </w:r>
          </w:p>
        </w:tc>
        <w:tc>
          <w:tcPr>
            <w:tcW w:w="3971" w:type="dxa"/>
          </w:tcPr>
          <w:p w:rsidR="00000000" w:rsidRDefault="00000000">
            <w:pPr>
              <w:pStyle w:val="BodyText3"/>
              <w:tabs>
                <w:tab w:val="decimal" w:pos="1701"/>
              </w:tabs>
              <w:spacing w:line="288" w:lineRule="auto"/>
              <w:jc w:val="left"/>
              <w:rPr>
                <w:lang w:val="ru-RU"/>
              </w:rPr>
            </w:pPr>
            <w:r>
              <w:rPr>
                <w:snapToGrid w:val="0"/>
                <w:color w:val="000000"/>
                <w:lang w:val="ru-RU" w:eastAsia="pt-BR"/>
              </w:rPr>
              <w:t>11 066,07</w:t>
            </w:r>
          </w:p>
        </w:tc>
      </w:tr>
      <w:tr w:rsidR="00000000">
        <w:tblPrEx>
          <w:tblCellMar>
            <w:top w:w="0" w:type="dxa"/>
            <w:bottom w:w="0" w:type="dxa"/>
          </w:tblCellMar>
        </w:tblPrEx>
        <w:tc>
          <w:tcPr>
            <w:tcW w:w="779" w:type="dxa"/>
          </w:tcPr>
          <w:p w:rsidR="00000000" w:rsidRDefault="00000000">
            <w:pPr>
              <w:pStyle w:val="BodyText3"/>
              <w:spacing w:line="288" w:lineRule="auto"/>
              <w:jc w:val="center"/>
              <w:rPr>
                <w:lang w:val="ru-RU"/>
              </w:rPr>
            </w:pPr>
            <w:r>
              <w:rPr>
                <w:lang w:val="ru-RU"/>
              </w:rPr>
              <w:t>1998</w:t>
            </w:r>
          </w:p>
        </w:tc>
        <w:tc>
          <w:tcPr>
            <w:tcW w:w="2765" w:type="dxa"/>
          </w:tcPr>
          <w:p w:rsidR="00000000" w:rsidRDefault="00000000">
            <w:pPr>
              <w:pStyle w:val="BodyText3"/>
              <w:spacing w:line="288" w:lineRule="auto"/>
              <w:jc w:val="center"/>
              <w:rPr>
                <w:lang w:val="ru-RU"/>
              </w:rPr>
            </w:pPr>
            <w:r>
              <w:rPr>
                <w:snapToGrid w:val="0"/>
                <w:color w:val="000000"/>
                <w:lang w:val="ru-RU" w:eastAsia="pt-BR"/>
              </w:rPr>
              <w:t>4 714 454</w:t>
            </w:r>
          </w:p>
        </w:tc>
        <w:tc>
          <w:tcPr>
            <w:tcW w:w="3971" w:type="dxa"/>
          </w:tcPr>
          <w:p w:rsidR="00000000" w:rsidRDefault="00000000">
            <w:pPr>
              <w:pStyle w:val="BodyText3"/>
              <w:tabs>
                <w:tab w:val="decimal" w:pos="1701"/>
              </w:tabs>
              <w:spacing w:line="288" w:lineRule="auto"/>
              <w:jc w:val="left"/>
              <w:rPr>
                <w:lang w:val="ru-RU"/>
              </w:rPr>
            </w:pPr>
            <w:r>
              <w:rPr>
                <w:snapToGrid w:val="0"/>
                <w:color w:val="000000"/>
                <w:lang w:val="ru-RU" w:eastAsia="pt-BR"/>
              </w:rPr>
              <w:t>12 090,27</w:t>
            </w:r>
          </w:p>
        </w:tc>
      </w:tr>
      <w:tr w:rsidR="00000000">
        <w:tblPrEx>
          <w:tblCellMar>
            <w:top w:w="0" w:type="dxa"/>
            <w:bottom w:w="0" w:type="dxa"/>
          </w:tblCellMar>
        </w:tblPrEx>
        <w:tc>
          <w:tcPr>
            <w:tcW w:w="779" w:type="dxa"/>
          </w:tcPr>
          <w:p w:rsidR="00000000" w:rsidRDefault="00000000">
            <w:pPr>
              <w:pStyle w:val="BodyText3"/>
              <w:spacing w:line="288" w:lineRule="auto"/>
              <w:jc w:val="center"/>
              <w:rPr>
                <w:lang w:val="ru-RU"/>
              </w:rPr>
            </w:pPr>
            <w:r>
              <w:rPr>
                <w:lang w:val="ru-RU"/>
              </w:rPr>
              <w:t>1999</w:t>
            </w:r>
          </w:p>
        </w:tc>
        <w:tc>
          <w:tcPr>
            <w:tcW w:w="2765" w:type="dxa"/>
          </w:tcPr>
          <w:p w:rsidR="00000000" w:rsidRDefault="00000000">
            <w:pPr>
              <w:pStyle w:val="BodyText3"/>
              <w:spacing w:line="288" w:lineRule="auto"/>
              <w:jc w:val="center"/>
              <w:rPr>
                <w:lang w:val="ru-RU"/>
              </w:rPr>
            </w:pPr>
            <w:r>
              <w:rPr>
                <w:snapToGrid w:val="0"/>
                <w:color w:val="000000"/>
                <w:lang w:val="ru-RU" w:eastAsia="pt-BR"/>
              </w:rPr>
              <w:t>4 872 300</w:t>
            </w:r>
          </w:p>
        </w:tc>
        <w:tc>
          <w:tcPr>
            <w:tcW w:w="3971" w:type="dxa"/>
          </w:tcPr>
          <w:p w:rsidR="00000000" w:rsidRDefault="00000000">
            <w:pPr>
              <w:pStyle w:val="BodyText3"/>
              <w:tabs>
                <w:tab w:val="decimal" w:pos="1701"/>
              </w:tabs>
              <w:spacing w:line="288" w:lineRule="auto"/>
              <w:jc w:val="left"/>
              <w:rPr>
                <w:lang w:val="ru-RU"/>
              </w:rPr>
            </w:pPr>
            <w:r>
              <w:rPr>
                <w:snapToGrid w:val="0"/>
                <w:color w:val="000000"/>
                <w:lang w:val="ru-RU" w:eastAsia="pt-BR"/>
              </w:rPr>
              <w:t>12 760,00</w:t>
            </w:r>
          </w:p>
        </w:tc>
      </w:tr>
    </w:tbl>
    <w:p w:rsidR="00000000" w:rsidRDefault="00000000">
      <w:pPr>
        <w:pStyle w:val="FootnoteText"/>
        <w:spacing w:line="288" w:lineRule="auto"/>
        <w:jc w:val="center"/>
      </w:pPr>
    </w:p>
    <w:p w:rsidR="00000000" w:rsidRDefault="00000000">
      <w:pPr>
        <w:pStyle w:val="FootnoteText"/>
        <w:spacing w:line="288" w:lineRule="auto"/>
        <w:rPr>
          <w:lang w:val="en-US"/>
        </w:rPr>
      </w:pPr>
      <w:r>
        <w:rPr>
          <w:b/>
          <w:bCs/>
        </w:rPr>
        <w:tab/>
      </w:r>
      <w:r>
        <w:rPr>
          <w:u w:val="single"/>
        </w:rPr>
        <w:t>Источник</w:t>
      </w:r>
      <w:r>
        <w:rPr>
          <w:lang w:val="en-US"/>
        </w:rPr>
        <w:t>:  Anuário Estatístico da Previdência Social and Boletim Estatístico da Previdência Social.</w:t>
      </w:r>
    </w:p>
    <w:p w:rsidR="00000000" w:rsidRDefault="00000000">
      <w:pPr>
        <w:pStyle w:val="FootnoteText"/>
        <w:spacing w:line="288" w:lineRule="auto"/>
        <w:jc w:val="center"/>
        <w:rPr>
          <w:lang w:val="en-US"/>
        </w:rPr>
      </w:pPr>
    </w:p>
    <w:p w:rsidR="00000000" w:rsidRDefault="00000000">
      <w:pPr>
        <w:pStyle w:val="FootnoteText"/>
        <w:spacing w:line="288" w:lineRule="auto"/>
        <w:jc w:val="center"/>
        <w:rPr>
          <w:b/>
          <w:bCs/>
        </w:rPr>
      </w:pPr>
      <w:r>
        <w:rPr>
          <w:b/>
          <w:bCs/>
        </w:rPr>
        <w:t>Таблица 38.   Пособия по случаю получения производственной травмы,</w:t>
      </w:r>
    </w:p>
    <w:p w:rsidR="00000000" w:rsidRDefault="00000000">
      <w:pPr>
        <w:pStyle w:val="FootnoteText"/>
        <w:spacing w:line="288" w:lineRule="auto"/>
        <w:jc w:val="center"/>
        <w:rPr>
          <w:b/>
          <w:bCs/>
        </w:rPr>
      </w:pPr>
      <w:r>
        <w:rPr>
          <w:b/>
          <w:bCs/>
        </w:rPr>
        <w:t>1995-1999 годы</w:t>
      </w:r>
    </w:p>
    <w:p w:rsidR="00000000" w:rsidRDefault="00000000">
      <w:pPr>
        <w:pStyle w:val="FootnoteText"/>
        <w:spacing w:line="288" w:lineRule="auto"/>
        <w:jc w:val="center"/>
        <w:rPr>
          <w:b/>
          <w:bCs/>
        </w:rPr>
      </w:pPr>
    </w:p>
    <w:tbl>
      <w:tblPr>
        <w:tblW w:w="9208"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1096"/>
        <w:gridCol w:w="1748"/>
        <w:gridCol w:w="1057"/>
        <w:gridCol w:w="1748"/>
        <w:gridCol w:w="1122"/>
        <w:gridCol w:w="1870"/>
      </w:tblGrid>
      <w:tr w:rsidR="00000000">
        <w:tblPrEx>
          <w:tblCellMar>
            <w:top w:w="0" w:type="dxa"/>
            <w:bottom w:w="0" w:type="dxa"/>
          </w:tblCellMar>
        </w:tblPrEx>
        <w:tc>
          <w:tcPr>
            <w:tcW w:w="567" w:type="dxa"/>
            <w:tcMar>
              <w:left w:w="0" w:type="dxa"/>
              <w:right w:w="0" w:type="dxa"/>
            </w:tcMar>
            <w:vAlign w:val="center"/>
          </w:tcPr>
          <w:p w:rsidR="00000000" w:rsidRDefault="00000000">
            <w:pPr>
              <w:pStyle w:val="BodyText3"/>
              <w:spacing w:line="288" w:lineRule="auto"/>
              <w:jc w:val="center"/>
              <w:rPr>
                <w:sz w:val="16"/>
                <w:lang w:val="ru-RU"/>
              </w:rPr>
            </w:pPr>
            <w:r>
              <w:rPr>
                <w:sz w:val="16"/>
                <w:lang w:val="ru-RU"/>
              </w:rPr>
              <w:t>Год</w:t>
            </w:r>
          </w:p>
        </w:tc>
        <w:tc>
          <w:tcPr>
            <w:tcW w:w="2844" w:type="dxa"/>
            <w:gridSpan w:val="2"/>
            <w:tcMar>
              <w:left w:w="0" w:type="dxa"/>
              <w:right w:w="0" w:type="dxa"/>
            </w:tcMar>
          </w:tcPr>
          <w:p w:rsidR="00000000" w:rsidRDefault="00000000">
            <w:pPr>
              <w:pStyle w:val="BodyText3"/>
              <w:spacing w:line="288" w:lineRule="auto"/>
              <w:jc w:val="center"/>
              <w:rPr>
                <w:sz w:val="16"/>
                <w:lang w:val="ru-RU"/>
              </w:rPr>
            </w:pPr>
            <w:r>
              <w:rPr>
                <w:sz w:val="16"/>
                <w:lang w:val="ru-RU"/>
              </w:rPr>
              <w:t>Компенсация в связи с потерей трудоспособности</w:t>
            </w:r>
          </w:p>
        </w:tc>
        <w:tc>
          <w:tcPr>
            <w:tcW w:w="2805" w:type="dxa"/>
            <w:gridSpan w:val="2"/>
            <w:tcMar>
              <w:left w:w="0" w:type="dxa"/>
              <w:right w:w="0" w:type="dxa"/>
            </w:tcMar>
          </w:tcPr>
          <w:p w:rsidR="00000000" w:rsidRDefault="00000000">
            <w:pPr>
              <w:pStyle w:val="BodyText3"/>
              <w:spacing w:line="288" w:lineRule="auto"/>
              <w:jc w:val="center"/>
              <w:rPr>
                <w:sz w:val="16"/>
                <w:lang w:val="ru-RU"/>
              </w:rPr>
            </w:pPr>
            <w:r>
              <w:rPr>
                <w:sz w:val="16"/>
                <w:lang w:val="ru-RU"/>
              </w:rPr>
              <w:t>Пенсия по инвалидности</w:t>
            </w:r>
          </w:p>
        </w:tc>
        <w:tc>
          <w:tcPr>
            <w:tcW w:w="2992" w:type="dxa"/>
            <w:gridSpan w:val="2"/>
            <w:tcMar>
              <w:left w:w="0" w:type="dxa"/>
              <w:right w:w="0" w:type="dxa"/>
            </w:tcMar>
          </w:tcPr>
          <w:p w:rsidR="00000000" w:rsidRDefault="00000000">
            <w:pPr>
              <w:pStyle w:val="BodyText3"/>
              <w:spacing w:line="288" w:lineRule="auto"/>
              <w:jc w:val="center"/>
              <w:rPr>
                <w:sz w:val="16"/>
                <w:lang w:val="ru-RU"/>
              </w:rPr>
            </w:pPr>
            <w:r>
              <w:rPr>
                <w:sz w:val="16"/>
                <w:lang w:val="ru-RU"/>
              </w:rPr>
              <w:t>Социальное обеспечение в связи с потерей трудоспособности</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sz w:val="16"/>
                <w:lang w:val="ru-RU"/>
              </w:rPr>
            </w:pPr>
          </w:p>
        </w:tc>
        <w:tc>
          <w:tcPr>
            <w:tcW w:w="1096" w:type="dxa"/>
            <w:tcMar>
              <w:left w:w="0" w:type="dxa"/>
              <w:right w:w="0" w:type="dxa"/>
            </w:tcMar>
          </w:tcPr>
          <w:p w:rsidR="00000000" w:rsidRDefault="00000000">
            <w:pPr>
              <w:pStyle w:val="BodyText3"/>
              <w:spacing w:line="288" w:lineRule="auto"/>
              <w:jc w:val="center"/>
              <w:rPr>
                <w:sz w:val="16"/>
                <w:lang w:val="ru-RU"/>
              </w:rPr>
            </w:pPr>
            <w:r>
              <w:rPr>
                <w:sz w:val="16"/>
                <w:lang w:val="ru-RU"/>
              </w:rPr>
              <w:t>Количество по состоянию на декабрь</w:t>
            </w:r>
          </w:p>
        </w:tc>
        <w:tc>
          <w:tcPr>
            <w:tcW w:w="1748" w:type="dxa"/>
            <w:tcMar>
              <w:left w:w="0" w:type="dxa"/>
              <w:right w:w="0" w:type="dxa"/>
            </w:tcMar>
          </w:tcPr>
          <w:p w:rsidR="00000000" w:rsidRDefault="00000000">
            <w:pPr>
              <w:pStyle w:val="BodyText3"/>
              <w:spacing w:line="288" w:lineRule="auto"/>
              <w:jc w:val="center"/>
              <w:rPr>
                <w:sz w:val="16"/>
                <w:lang w:val="ru-RU"/>
              </w:rPr>
            </w:pPr>
            <w:r>
              <w:rPr>
                <w:sz w:val="16"/>
                <w:lang w:val="ru-RU"/>
              </w:rPr>
              <w:t>Величина (млн. реалов – июнь 1999),</w:t>
            </w:r>
          </w:p>
          <w:p w:rsidR="00000000" w:rsidRDefault="00000000">
            <w:pPr>
              <w:pStyle w:val="BodyText3"/>
              <w:spacing w:line="288" w:lineRule="auto"/>
              <w:jc w:val="center"/>
              <w:rPr>
                <w:sz w:val="16"/>
                <w:lang w:val="ru-RU"/>
              </w:rPr>
            </w:pPr>
            <w:r>
              <w:rPr>
                <w:sz w:val="16"/>
                <w:lang w:val="ru-RU"/>
              </w:rPr>
              <w:t>аккумулированная за год</w:t>
            </w:r>
          </w:p>
        </w:tc>
        <w:tc>
          <w:tcPr>
            <w:tcW w:w="1057" w:type="dxa"/>
            <w:tcMar>
              <w:left w:w="0" w:type="dxa"/>
              <w:right w:w="0" w:type="dxa"/>
            </w:tcMar>
          </w:tcPr>
          <w:p w:rsidR="00000000" w:rsidRDefault="00000000">
            <w:pPr>
              <w:pStyle w:val="BodyText3"/>
              <w:spacing w:line="288" w:lineRule="auto"/>
              <w:jc w:val="center"/>
              <w:rPr>
                <w:sz w:val="16"/>
                <w:lang w:val="ru-RU"/>
              </w:rPr>
            </w:pPr>
            <w:r>
              <w:rPr>
                <w:sz w:val="16"/>
                <w:lang w:val="ru-RU"/>
              </w:rPr>
              <w:t>Количество по состоянию на декабрь</w:t>
            </w:r>
          </w:p>
        </w:tc>
        <w:tc>
          <w:tcPr>
            <w:tcW w:w="1748" w:type="dxa"/>
            <w:tcMar>
              <w:left w:w="0" w:type="dxa"/>
              <w:right w:w="0" w:type="dxa"/>
            </w:tcMar>
          </w:tcPr>
          <w:p w:rsidR="00000000" w:rsidRDefault="00000000">
            <w:pPr>
              <w:pStyle w:val="BodyText3"/>
              <w:spacing w:line="288" w:lineRule="auto"/>
              <w:jc w:val="center"/>
              <w:rPr>
                <w:sz w:val="16"/>
                <w:lang w:val="ru-RU"/>
              </w:rPr>
            </w:pPr>
            <w:r>
              <w:rPr>
                <w:sz w:val="16"/>
                <w:lang w:val="ru-RU"/>
              </w:rPr>
              <w:t>Величина (млн. реалов – июнь 1999),</w:t>
            </w:r>
          </w:p>
          <w:p w:rsidR="00000000" w:rsidRDefault="00000000">
            <w:pPr>
              <w:pStyle w:val="BodyText3"/>
              <w:spacing w:line="288" w:lineRule="auto"/>
              <w:jc w:val="center"/>
              <w:rPr>
                <w:sz w:val="16"/>
                <w:lang w:val="ru-RU"/>
              </w:rPr>
            </w:pPr>
            <w:r>
              <w:rPr>
                <w:sz w:val="16"/>
                <w:lang w:val="ru-RU"/>
              </w:rPr>
              <w:t>аккумулированная за год</w:t>
            </w:r>
          </w:p>
        </w:tc>
        <w:tc>
          <w:tcPr>
            <w:tcW w:w="1122" w:type="dxa"/>
            <w:tcMar>
              <w:left w:w="0" w:type="dxa"/>
              <w:right w:w="0" w:type="dxa"/>
            </w:tcMar>
          </w:tcPr>
          <w:p w:rsidR="00000000" w:rsidRDefault="00000000">
            <w:pPr>
              <w:pStyle w:val="BodyText3"/>
              <w:spacing w:line="288" w:lineRule="auto"/>
              <w:jc w:val="center"/>
              <w:rPr>
                <w:sz w:val="16"/>
                <w:lang w:val="ru-RU"/>
              </w:rPr>
            </w:pPr>
            <w:r>
              <w:rPr>
                <w:sz w:val="16"/>
                <w:lang w:val="ru-RU"/>
              </w:rPr>
              <w:t>Количество по состоянию на декабрь</w:t>
            </w:r>
          </w:p>
        </w:tc>
        <w:tc>
          <w:tcPr>
            <w:tcW w:w="1870" w:type="dxa"/>
            <w:tcMar>
              <w:left w:w="0" w:type="dxa"/>
              <w:right w:w="0" w:type="dxa"/>
            </w:tcMar>
          </w:tcPr>
          <w:p w:rsidR="00000000" w:rsidRDefault="00000000">
            <w:pPr>
              <w:pStyle w:val="BodyText3"/>
              <w:spacing w:line="288" w:lineRule="auto"/>
              <w:jc w:val="center"/>
              <w:rPr>
                <w:sz w:val="16"/>
                <w:lang w:val="ru-RU"/>
              </w:rPr>
            </w:pPr>
            <w:r>
              <w:rPr>
                <w:sz w:val="16"/>
                <w:lang w:val="ru-RU"/>
              </w:rPr>
              <w:t>Величина (млн. реалов – июнь 1999),</w:t>
            </w:r>
          </w:p>
          <w:p w:rsidR="00000000" w:rsidRDefault="00000000">
            <w:pPr>
              <w:pStyle w:val="BodyText3"/>
              <w:spacing w:line="288" w:lineRule="auto"/>
              <w:jc w:val="center"/>
              <w:rPr>
                <w:sz w:val="16"/>
                <w:lang w:val="ru-RU"/>
              </w:rPr>
            </w:pPr>
            <w:r>
              <w:rPr>
                <w:sz w:val="16"/>
                <w:lang w:val="ru-RU"/>
              </w:rPr>
              <w:t>аккумулированная за год</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sz w:val="16"/>
              </w:rPr>
            </w:pPr>
            <w:r>
              <w:rPr>
                <w:sz w:val="16"/>
              </w:rPr>
              <w:t>1995</w:t>
            </w:r>
          </w:p>
        </w:tc>
        <w:tc>
          <w:tcPr>
            <w:tcW w:w="1096"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65 101</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242,93</w:t>
            </w:r>
          </w:p>
        </w:tc>
        <w:tc>
          <w:tcPr>
            <w:tcW w:w="1057"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85 168</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245,52</w:t>
            </w:r>
          </w:p>
        </w:tc>
        <w:tc>
          <w:tcPr>
            <w:tcW w:w="1122"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197 503</w:t>
            </w:r>
          </w:p>
        </w:tc>
        <w:tc>
          <w:tcPr>
            <w:tcW w:w="1870"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252,32</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sz w:val="16"/>
              </w:rPr>
            </w:pPr>
            <w:r>
              <w:rPr>
                <w:sz w:val="16"/>
              </w:rPr>
              <w:t>1996</w:t>
            </w:r>
          </w:p>
        </w:tc>
        <w:tc>
          <w:tcPr>
            <w:tcW w:w="1096"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72 605</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307,21</w:t>
            </w:r>
          </w:p>
        </w:tc>
        <w:tc>
          <w:tcPr>
            <w:tcW w:w="1057"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88 748</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273,13</w:t>
            </w:r>
          </w:p>
        </w:tc>
        <w:tc>
          <w:tcPr>
            <w:tcW w:w="1122"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210 110</w:t>
            </w:r>
          </w:p>
        </w:tc>
        <w:tc>
          <w:tcPr>
            <w:tcW w:w="1870"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294,17</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sz w:val="16"/>
              </w:rPr>
            </w:pPr>
            <w:r>
              <w:rPr>
                <w:sz w:val="16"/>
              </w:rPr>
              <w:t>1997</w:t>
            </w:r>
          </w:p>
        </w:tc>
        <w:tc>
          <w:tcPr>
            <w:tcW w:w="1096"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79 495</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374,01</w:t>
            </w:r>
          </w:p>
        </w:tc>
        <w:tc>
          <w:tcPr>
            <w:tcW w:w="1057"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94 415</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307,45</w:t>
            </w:r>
          </w:p>
        </w:tc>
        <w:tc>
          <w:tcPr>
            <w:tcW w:w="1122"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225 489</w:t>
            </w:r>
          </w:p>
        </w:tc>
        <w:tc>
          <w:tcPr>
            <w:tcW w:w="1870"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353,16</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sz w:val="16"/>
              </w:rPr>
            </w:pPr>
            <w:r>
              <w:rPr>
                <w:sz w:val="16"/>
              </w:rPr>
              <w:t>1998</w:t>
            </w:r>
          </w:p>
        </w:tc>
        <w:tc>
          <w:tcPr>
            <w:tcW w:w="1096"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82 688</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419,61</w:t>
            </w:r>
          </w:p>
        </w:tc>
        <w:tc>
          <w:tcPr>
            <w:tcW w:w="1057"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98 789</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346,14</w:t>
            </w:r>
          </w:p>
        </w:tc>
        <w:tc>
          <w:tcPr>
            <w:tcW w:w="1122"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235 570</w:t>
            </w:r>
          </w:p>
        </w:tc>
        <w:tc>
          <w:tcPr>
            <w:tcW w:w="1870"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407,26</w:t>
            </w:r>
          </w:p>
        </w:tc>
      </w:tr>
      <w:tr w:rsidR="00000000">
        <w:tblPrEx>
          <w:tblCellMar>
            <w:top w:w="0" w:type="dxa"/>
            <w:bottom w:w="0" w:type="dxa"/>
          </w:tblCellMar>
        </w:tblPrEx>
        <w:tc>
          <w:tcPr>
            <w:tcW w:w="567" w:type="dxa"/>
            <w:tcMar>
              <w:left w:w="0" w:type="dxa"/>
              <w:right w:w="0" w:type="dxa"/>
            </w:tcMar>
          </w:tcPr>
          <w:p w:rsidR="00000000" w:rsidRDefault="00000000">
            <w:pPr>
              <w:pStyle w:val="BodyText3"/>
              <w:spacing w:line="288" w:lineRule="auto"/>
              <w:jc w:val="center"/>
              <w:rPr>
                <w:sz w:val="16"/>
              </w:rPr>
            </w:pPr>
            <w:r>
              <w:rPr>
                <w:sz w:val="16"/>
              </w:rPr>
              <w:t>1999</w:t>
            </w:r>
          </w:p>
        </w:tc>
        <w:tc>
          <w:tcPr>
            <w:tcW w:w="1096"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77 347</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422,29</w:t>
            </w:r>
          </w:p>
        </w:tc>
        <w:tc>
          <w:tcPr>
            <w:tcW w:w="1057"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104 432</w:t>
            </w:r>
          </w:p>
        </w:tc>
        <w:tc>
          <w:tcPr>
            <w:tcW w:w="1748"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377,06</w:t>
            </w:r>
          </w:p>
        </w:tc>
        <w:tc>
          <w:tcPr>
            <w:tcW w:w="1122"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244 974</w:t>
            </w:r>
          </w:p>
        </w:tc>
        <w:tc>
          <w:tcPr>
            <w:tcW w:w="1870" w:type="dxa"/>
            <w:tcMar>
              <w:left w:w="0" w:type="dxa"/>
              <w:right w:w="0" w:type="dxa"/>
            </w:tcMar>
          </w:tcPr>
          <w:p w:rsidR="00000000" w:rsidRDefault="00000000">
            <w:pPr>
              <w:pStyle w:val="BodyText3"/>
              <w:spacing w:line="288" w:lineRule="auto"/>
              <w:jc w:val="center"/>
              <w:rPr>
                <w:sz w:val="16"/>
              </w:rPr>
            </w:pPr>
            <w:r>
              <w:rPr>
                <w:snapToGrid w:val="0"/>
                <w:color w:val="000000"/>
                <w:sz w:val="16"/>
                <w:lang w:eastAsia="pt-BR"/>
              </w:rPr>
              <w:t>442,90</w:t>
            </w:r>
          </w:p>
        </w:tc>
      </w:tr>
    </w:tbl>
    <w:p w:rsidR="00000000" w:rsidRDefault="00000000">
      <w:pPr>
        <w:pStyle w:val="FootnoteText"/>
        <w:spacing w:line="288" w:lineRule="auto"/>
      </w:pPr>
    </w:p>
    <w:p w:rsidR="00000000" w:rsidRDefault="00000000">
      <w:pPr>
        <w:pStyle w:val="FootnoteText"/>
        <w:spacing w:line="288" w:lineRule="auto"/>
        <w:rPr>
          <w:lang w:val="en-US"/>
        </w:rPr>
      </w:pPr>
      <w:r>
        <w:rPr>
          <w:b/>
          <w:bCs/>
        </w:rPr>
        <w:tab/>
      </w:r>
      <w:r>
        <w:rPr>
          <w:u w:val="single"/>
        </w:rPr>
        <w:t>Источник</w:t>
      </w:r>
      <w:r>
        <w:rPr>
          <w:lang w:val="en-US"/>
        </w:rPr>
        <w:t>:  Anuário Estatístico da Previdência Social and Boletim Estatístico da Previdência Social.</w:t>
      </w:r>
    </w:p>
    <w:p w:rsidR="00000000" w:rsidRDefault="00000000">
      <w:pPr>
        <w:pStyle w:val="FootnoteText"/>
        <w:spacing w:line="288" w:lineRule="auto"/>
        <w:rPr>
          <w:lang w:val="en-US"/>
        </w:rPr>
      </w:pPr>
    </w:p>
    <w:p w:rsidR="00000000" w:rsidRDefault="00000000">
      <w:pPr>
        <w:pStyle w:val="FootnoteText"/>
        <w:spacing w:line="288" w:lineRule="auto"/>
      </w:pPr>
      <w:r>
        <w:t>274.</w:t>
      </w:r>
      <w:r>
        <w:tab/>
        <w:t>Пособие по безработице выплачивается из средств системы социального обеспечения, которые составляют часть фонда помощи рабочим (ФПР).  Созданный в 1986 году, Фонд управляется министерством труда.  Заявление на получение пособия должно подаваться рабочим, потерявшим работу, в срок от семи до 120 дней после потери работы, в региональные отделения труда, национальные бюро по трудоустройству в штатах (НБТШ) или в отделения федерального сберегательного банка (Сaixa Econô</w:t>
      </w:r>
      <w:r>
        <w:rPr>
          <w:lang w:val="en-US"/>
        </w:rPr>
        <w:t>mica</w:t>
      </w:r>
      <w:r>
        <w:t xml:space="preserve"> </w:t>
      </w:r>
      <w:r>
        <w:rPr>
          <w:lang w:val="en-US"/>
        </w:rPr>
        <w:t>Federal</w:t>
      </w:r>
      <w:r>
        <w:t>).</w:t>
      </w:r>
    </w:p>
    <w:p w:rsidR="00000000" w:rsidRDefault="00000000">
      <w:pPr>
        <w:pStyle w:val="FootnoteText"/>
        <w:spacing w:line="288" w:lineRule="auto"/>
      </w:pPr>
    </w:p>
    <w:p w:rsidR="00000000" w:rsidRDefault="00000000">
      <w:pPr>
        <w:pStyle w:val="FootnoteText"/>
        <w:spacing w:line="288" w:lineRule="auto"/>
      </w:pPr>
      <w:r>
        <w:t>275.</w:t>
      </w:r>
      <w:r>
        <w:tab/>
        <w:t xml:space="preserve">Право на получение пособия по безработице имеют все служащие формального рынка, которые были уволены без достаточных на то оснований и которые регулярно вносили страховой взнос в официальную систему социального обеспечения.  Это пособие распространяется на все категории работников, за исключением домашней обслуги.  Оно предоставляется всем потерявшим работу лицам, которые активно занимались трудовой деятельностью в течение не менее 15 месяцев в последние два года или шесть месяцев, непосредственно предшествующих дате увольнения.  Количество выплат колеблется от трех до пяти, производимых либо подряд, либо каждые 16 месяцев;  это количество зависит также от официального трудового стажа в предыдущие 36 месяцев.  </w:t>
      </w:r>
    </w:p>
    <w:p w:rsidR="00000000" w:rsidRDefault="00000000">
      <w:pPr>
        <w:pStyle w:val="FootnoteText"/>
        <w:spacing w:line="288" w:lineRule="auto"/>
      </w:pPr>
    </w:p>
    <w:p w:rsidR="00000000" w:rsidRDefault="00000000">
      <w:pPr>
        <w:pStyle w:val="FootnoteText"/>
        <w:spacing w:line="288" w:lineRule="auto"/>
      </w:pPr>
      <w:r>
        <w:t>276.</w:t>
      </w:r>
      <w:r>
        <w:tab/>
        <w:t>Размер пособия составляет один-три минимальных оклада в зависимости от суммы дохода, получаемого служащим в предыдущие три месяца.  В 1997 году федеральные отчисления на выплату пособий по безработице составляли 0,40% ВВП, позволяя охватить около 65% служащих, уволенных без достаточных оснований.  В период 1986</w:t>
      </w:r>
      <w:r>
        <w:noBreakHyphen/>
        <w:t>1998 годов было выплачено примерно 39 млн. пособий.</w:t>
      </w:r>
    </w:p>
    <w:p w:rsidR="00000000" w:rsidRDefault="00000000">
      <w:pPr>
        <w:pStyle w:val="FootnoteText"/>
        <w:spacing w:line="288" w:lineRule="auto"/>
      </w:pPr>
    </w:p>
    <w:p w:rsidR="00000000" w:rsidRDefault="00000000"/>
    <w:p w:rsidR="00000000" w:rsidRDefault="00000000">
      <w:pPr>
        <w:pStyle w:val="16"/>
        <w:rPr>
          <w:b/>
          <w:bCs/>
        </w:rPr>
      </w:pPr>
      <w:r>
        <w:rPr>
          <w:b/>
          <w:bCs/>
        </w:rPr>
        <w:t>Таблица 39.   Пособия по безработице:  трудовой стаж и количество</w:t>
      </w:r>
    </w:p>
    <w:p w:rsidR="00000000" w:rsidRDefault="00000000">
      <w:pPr>
        <w:pStyle w:val="16"/>
        <w:rPr>
          <w:b/>
          <w:bCs/>
        </w:rPr>
      </w:pPr>
      <w:r>
        <w:rPr>
          <w:b/>
          <w:bCs/>
        </w:rPr>
        <w:t>выплат в 1997 году</w:t>
      </w:r>
    </w:p>
    <w:p w:rsidR="00000000" w:rsidRDefault="00000000">
      <w:pPr>
        <w:pStyle w:val="16"/>
      </w:pPr>
    </w:p>
    <w:tbl>
      <w:tblPr>
        <w:tblW w:w="0" w:type="auto"/>
        <w:tblInd w:w="1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40"/>
        <w:gridCol w:w="3740"/>
      </w:tblGrid>
      <w:tr w:rsidR="00000000">
        <w:tblPrEx>
          <w:tblCellMar>
            <w:top w:w="0" w:type="dxa"/>
            <w:bottom w:w="0" w:type="dxa"/>
          </w:tblCellMar>
        </w:tblPrEx>
        <w:tc>
          <w:tcPr>
            <w:tcW w:w="3740" w:type="dxa"/>
          </w:tcPr>
          <w:p w:rsidR="00000000" w:rsidRDefault="00000000">
            <w:pPr>
              <w:jc w:val="center"/>
            </w:pPr>
            <w:r>
              <w:t>Трудовой стаж</w:t>
            </w:r>
          </w:p>
        </w:tc>
        <w:tc>
          <w:tcPr>
            <w:tcW w:w="3740" w:type="dxa"/>
          </w:tcPr>
          <w:p w:rsidR="00000000" w:rsidRDefault="00000000">
            <w:pPr>
              <w:jc w:val="center"/>
            </w:pPr>
            <w:r>
              <w:t>Количество выплат</w:t>
            </w:r>
          </w:p>
        </w:tc>
      </w:tr>
      <w:tr w:rsidR="00000000">
        <w:tblPrEx>
          <w:tblCellMar>
            <w:top w:w="0" w:type="dxa"/>
            <w:bottom w:w="0" w:type="dxa"/>
          </w:tblCellMar>
        </w:tblPrEx>
        <w:tc>
          <w:tcPr>
            <w:tcW w:w="3740" w:type="dxa"/>
          </w:tcPr>
          <w:p w:rsidR="00000000" w:rsidRDefault="00000000">
            <w:pPr>
              <w:jc w:val="center"/>
            </w:pPr>
            <w:r>
              <w:t>24 месяца</w:t>
            </w:r>
          </w:p>
        </w:tc>
        <w:tc>
          <w:tcPr>
            <w:tcW w:w="3740" w:type="dxa"/>
          </w:tcPr>
          <w:p w:rsidR="00000000" w:rsidRDefault="00000000">
            <w:pPr>
              <w:jc w:val="center"/>
            </w:pPr>
            <w:r>
              <w:t>5</w:t>
            </w:r>
          </w:p>
        </w:tc>
      </w:tr>
      <w:tr w:rsidR="00000000">
        <w:tblPrEx>
          <w:tblCellMar>
            <w:top w:w="0" w:type="dxa"/>
            <w:bottom w:w="0" w:type="dxa"/>
          </w:tblCellMar>
        </w:tblPrEx>
        <w:tc>
          <w:tcPr>
            <w:tcW w:w="3740" w:type="dxa"/>
          </w:tcPr>
          <w:p w:rsidR="00000000" w:rsidRDefault="00000000">
            <w:pPr>
              <w:jc w:val="center"/>
            </w:pPr>
            <w:r>
              <w:t>12-24 месяца</w:t>
            </w:r>
          </w:p>
        </w:tc>
        <w:tc>
          <w:tcPr>
            <w:tcW w:w="3740" w:type="dxa"/>
          </w:tcPr>
          <w:p w:rsidR="00000000" w:rsidRDefault="00000000">
            <w:pPr>
              <w:jc w:val="center"/>
            </w:pPr>
            <w:r>
              <w:t>4</w:t>
            </w:r>
          </w:p>
        </w:tc>
      </w:tr>
      <w:tr w:rsidR="00000000">
        <w:tblPrEx>
          <w:tblCellMar>
            <w:top w:w="0" w:type="dxa"/>
            <w:bottom w:w="0" w:type="dxa"/>
          </w:tblCellMar>
        </w:tblPrEx>
        <w:tc>
          <w:tcPr>
            <w:tcW w:w="3740" w:type="dxa"/>
          </w:tcPr>
          <w:p w:rsidR="00000000" w:rsidRDefault="00000000">
            <w:pPr>
              <w:jc w:val="center"/>
            </w:pPr>
            <w:r>
              <w:t>6-11 месяцев</w:t>
            </w:r>
          </w:p>
        </w:tc>
        <w:tc>
          <w:tcPr>
            <w:tcW w:w="3740" w:type="dxa"/>
          </w:tcPr>
          <w:p w:rsidR="00000000" w:rsidRDefault="00000000">
            <w:pPr>
              <w:jc w:val="center"/>
            </w:pPr>
            <w:r>
              <w:t>3</w:t>
            </w:r>
          </w:p>
        </w:tc>
      </w:tr>
    </w:tbl>
    <w:p w:rsidR="00000000" w:rsidRDefault="00000000"/>
    <w:p w:rsidR="00000000" w:rsidRDefault="00000000">
      <w:pPr>
        <w:pStyle w:val="16"/>
        <w:rPr>
          <w:b/>
          <w:bCs/>
        </w:rPr>
      </w:pPr>
      <w:r>
        <w:t>Т</w:t>
      </w:r>
      <w:r>
        <w:rPr>
          <w:b/>
          <w:bCs/>
        </w:rPr>
        <w:t>аблица 40.   Пособия по безработице:  федеральные отчисления</w:t>
      </w:r>
    </w:p>
    <w:p w:rsidR="00000000" w:rsidRDefault="00000000">
      <w:pPr>
        <w:pStyle w:val="16"/>
        <w:rPr>
          <w:b/>
          <w:bCs/>
        </w:rPr>
      </w:pPr>
      <w:r>
        <w:rPr>
          <w:b/>
          <w:bCs/>
        </w:rPr>
        <w:t>и число бенефициаров в 1997 году</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2" w:type="dxa"/>
          </w:tcPr>
          <w:p w:rsidR="00000000" w:rsidRDefault="00000000">
            <w:pPr>
              <w:pStyle w:val="16"/>
            </w:pPr>
            <w:r>
              <w:t>Год</w:t>
            </w:r>
          </w:p>
        </w:tc>
        <w:tc>
          <w:tcPr>
            <w:tcW w:w="2393" w:type="dxa"/>
          </w:tcPr>
          <w:p w:rsidR="00000000" w:rsidRDefault="00000000">
            <w:pPr>
              <w:pStyle w:val="16"/>
              <w:rPr>
                <w:lang w:val="en-US"/>
              </w:rPr>
            </w:pPr>
            <w:r>
              <w:t>Отчисления</w:t>
            </w:r>
          </w:p>
          <w:p w:rsidR="00000000" w:rsidRDefault="00000000">
            <w:pPr>
              <w:pStyle w:val="16"/>
            </w:pPr>
            <w:r>
              <w:t>(в 1 000 реалов)</w:t>
            </w:r>
          </w:p>
        </w:tc>
        <w:tc>
          <w:tcPr>
            <w:tcW w:w="2393" w:type="dxa"/>
          </w:tcPr>
          <w:p w:rsidR="00000000" w:rsidRDefault="00000000">
            <w:pPr>
              <w:pStyle w:val="16"/>
            </w:pPr>
            <w:r>
              <w:t>Процент ВВП</w:t>
            </w:r>
          </w:p>
        </w:tc>
        <w:tc>
          <w:tcPr>
            <w:tcW w:w="2393" w:type="dxa"/>
          </w:tcPr>
          <w:p w:rsidR="00000000" w:rsidRDefault="00000000">
            <w:pPr>
              <w:pStyle w:val="16"/>
            </w:pPr>
            <w:r>
              <w:t>Бенефициары</w:t>
            </w:r>
          </w:p>
        </w:tc>
      </w:tr>
      <w:tr w:rsidR="00000000">
        <w:tblPrEx>
          <w:tblCellMar>
            <w:top w:w="0" w:type="dxa"/>
            <w:bottom w:w="0" w:type="dxa"/>
          </w:tblCellMar>
        </w:tblPrEx>
        <w:tc>
          <w:tcPr>
            <w:tcW w:w="2392" w:type="dxa"/>
          </w:tcPr>
          <w:p w:rsidR="00000000" w:rsidRDefault="00000000">
            <w:pPr>
              <w:pStyle w:val="16"/>
            </w:pPr>
            <w:r>
              <w:t>1994</w:t>
            </w:r>
          </w:p>
        </w:tc>
        <w:tc>
          <w:tcPr>
            <w:tcW w:w="2393" w:type="dxa"/>
          </w:tcPr>
          <w:p w:rsidR="00000000" w:rsidRDefault="00000000">
            <w:pPr>
              <w:pStyle w:val="16"/>
              <w:rPr>
                <w:lang w:val="en-US"/>
              </w:rPr>
            </w:pPr>
            <w:r>
              <w:rPr>
                <w:lang w:val="en-US"/>
              </w:rPr>
              <w:t>1 547 498</w:t>
            </w:r>
          </w:p>
        </w:tc>
        <w:tc>
          <w:tcPr>
            <w:tcW w:w="2393" w:type="dxa"/>
          </w:tcPr>
          <w:p w:rsidR="00000000" w:rsidRDefault="00000000">
            <w:pPr>
              <w:pStyle w:val="16"/>
              <w:rPr>
                <w:lang w:val="en-US"/>
              </w:rPr>
            </w:pPr>
            <w:r>
              <w:rPr>
                <w:lang w:val="en-US"/>
              </w:rPr>
              <w:t>0,44</w:t>
            </w:r>
          </w:p>
        </w:tc>
        <w:tc>
          <w:tcPr>
            <w:tcW w:w="2393" w:type="dxa"/>
          </w:tcPr>
          <w:p w:rsidR="00000000" w:rsidRDefault="00000000">
            <w:pPr>
              <w:pStyle w:val="16"/>
              <w:rPr>
                <w:lang w:val="en-US"/>
              </w:rPr>
            </w:pPr>
            <w:r>
              <w:rPr>
                <w:lang w:val="en-US"/>
              </w:rPr>
              <w:t>4 030 799</w:t>
            </w:r>
          </w:p>
        </w:tc>
      </w:tr>
      <w:tr w:rsidR="00000000">
        <w:tblPrEx>
          <w:tblCellMar>
            <w:top w:w="0" w:type="dxa"/>
            <w:bottom w:w="0" w:type="dxa"/>
          </w:tblCellMar>
        </w:tblPrEx>
        <w:tc>
          <w:tcPr>
            <w:tcW w:w="2392" w:type="dxa"/>
          </w:tcPr>
          <w:p w:rsidR="00000000" w:rsidRDefault="00000000">
            <w:pPr>
              <w:pStyle w:val="16"/>
            </w:pPr>
            <w:r>
              <w:t>1995</w:t>
            </w:r>
          </w:p>
        </w:tc>
        <w:tc>
          <w:tcPr>
            <w:tcW w:w="2393" w:type="dxa"/>
          </w:tcPr>
          <w:p w:rsidR="00000000" w:rsidRDefault="00000000">
            <w:pPr>
              <w:pStyle w:val="16"/>
              <w:rPr>
                <w:lang w:val="en-US"/>
              </w:rPr>
            </w:pPr>
            <w:r>
              <w:rPr>
                <w:lang w:val="en-US"/>
              </w:rPr>
              <w:t>2 898 878</w:t>
            </w:r>
          </w:p>
        </w:tc>
        <w:tc>
          <w:tcPr>
            <w:tcW w:w="2393" w:type="dxa"/>
          </w:tcPr>
          <w:p w:rsidR="00000000" w:rsidRDefault="00000000">
            <w:pPr>
              <w:pStyle w:val="16"/>
              <w:rPr>
                <w:lang w:val="en-US"/>
              </w:rPr>
            </w:pPr>
            <w:r>
              <w:rPr>
                <w:lang w:val="en-US"/>
              </w:rPr>
              <w:t>0,45</w:t>
            </w:r>
          </w:p>
        </w:tc>
        <w:tc>
          <w:tcPr>
            <w:tcW w:w="2393" w:type="dxa"/>
          </w:tcPr>
          <w:p w:rsidR="00000000" w:rsidRDefault="00000000">
            <w:pPr>
              <w:pStyle w:val="16"/>
              <w:rPr>
                <w:lang w:val="en-US"/>
              </w:rPr>
            </w:pPr>
            <w:r>
              <w:rPr>
                <w:lang w:val="en-US"/>
              </w:rPr>
              <w:t>4 738 528</w:t>
            </w:r>
          </w:p>
        </w:tc>
      </w:tr>
      <w:tr w:rsidR="00000000">
        <w:tblPrEx>
          <w:tblCellMar>
            <w:top w:w="0" w:type="dxa"/>
            <w:bottom w:w="0" w:type="dxa"/>
          </w:tblCellMar>
        </w:tblPrEx>
        <w:tc>
          <w:tcPr>
            <w:tcW w:w="2392" w:type="dxa"/>
          </w:tcPr>
          <w:p w:rsidR="00000000" w:rsidRDefault="00000000">
            <w:pPr>
              <w:pStyle w:val="16"/>
            </w:pPr>
            <w:r>
              <w:t>1996</w:t>
            </w:r>
          </w:p>
        </w:tc>
        <w:tc>
          <w:tcPr>
            <w:tcW w:w="2393" w:type="dxa"/>
          </w:tcPr>
          <w:p w:rsidR="00000000" w:rsidRDefault="00000000">
            <w:pPr>
              <w:pStyle w:val="16"/>
              <w:rPr>
                <w:lang w:val="en-US"/>
              </w:rPr>
            </w:pPr>
            <w:r>
              <w:rPr>
                <w:lang w:val="en-US"/>
              </w:rPr>
              <w:t>3 309 167</w:t>
            </w:r>
          </w:p>
        </w:tc>
        <w:tc>
          <w:tcPr>
            <w:tcW w:w="2393" w:type="dxa"/>
          </w:tcPr>
          <w:p w:rsidR="00000000" w:rsidRDefault="00000000">
            <w:pPr>
              <w:pStyle w:val="16"/>
              <w:rPr>
                <w:lang w:val="en-US"/>
              </w:rPr>
            </w:pPr>
            <w:r>
              <w:rPr>
                <w:lang w:val="en-US"/>
              </w:rPr>
              <w:t>0,42</w:t>
            </w:r>
          </w:p>
        </w:tc>
        <w:tc>
          <w:tcPr>
            <w:tcW w:w="2393" w:type="dxa"/>
          </w:tcPr>
          <w:p w:rsidR="00000000" w:rsidRDefault="00000000">
            <w:pPr>
              <w:pStyle w:val="16"/>
              <w:rPr>
                <w:lang w:val="en-US"/>
              </w:rPr>
            </w:pPr>
            <w:r>
              <w:rPr>
                <w:lang w:val="en-US"/>
              </w:rPr>
              <w:t>4 359 092</w:t>
            </w:r>
          </w:p>
        </w:tc>
      </w:tr>
      <w:tr w:rsidR="00000000">
        <w:tblPrEx>
          <w:tblCellMar>
            <w:top w:w="0" w:type="dxa"/>
            <w:bottom w:w="0" w:type="dxa"/>
          </w:tblCellMar>
        </w:tblPrEx>
        <w:tc>
          <w:tcPr>
            <w:tcW w:w="2392" w:type="dxa"/>
          </w:tcPr>
          <w:p w:rsidR="00000000" w:rsidRDefault="00000000">
            <w:pPr>
              <w:pStyle w:val="16"/>
            </w:pPr>
            <w:r>
              <w:t>1997</w:t>
            </w:r>
          </w:p>
        </w:tc>
        <w:tc>
          <w:tcPr>
            <w:tcW w:w="2393" w:type="dxa"/>
          </w:tcPr>
          <w:p w:rsidR="00000000" w:rsidRDefault="00000000">
            <w:pPr>
              <w:pStyle w:val="16"/>
              <w:rPr>
                <w:lang w:val="en-US"/>
              </w:rPr>
            </w:pPr>
            <w:r>
              <w:rPr>
                <w:lang w:val="en-US"/>
              </w:rPr>
              <w:t>3 451 042</w:t>
            </w:r>
          </w:p>
        </w:tc>
        <w:tc>
          <w:tcPr>
            <w:tcW w:w="2393" w:type="dxa"/>
          </w:tcPr>
          <w:p w:rsidR="00000000" w:rsidRDefault="00000000">
            <w:pPr>
              <w:pStyle w:val="16"/>
              <w:rPr>
                <w:lang w:val="en-US"/>
              </w:rPr>
            </w:pPr>
            <w:r>
              <w:rPr>
                <w:lang w:val="en-US"/>
              </w:rPr>
              <w:t>0,40</w:t>
            </w:r>
          </w:p>
        </w:tc>
        <w:tc>
          <w:tcPr>
            <w:tcW w:w="2393" w:type="dxa"/>
          </w:tcPr>
          <w:p w:rsidR="00000000" w:rsidRDefault="00000000">
            <w:pPr>
              <w:pStyle w:val="16"/>
              <w:rPr>
                <w:lang w:val="en-US"/>
              </w:rPr>
            </w:pPr>
            <w:r>
              <w:rPr>
                <w:lang w:val="en-US"/>
              </w:rPr>
              <w:t>4 380 903</w:t>
            </w:r>
          </w:p>
        </w:tc>
      </w:tr>
    </w:tbl>
    <w:p w:rsidR="00000000" w:rsidRDefault="00000000">
      <w:pPr>
        <w:pStyle w:val="16"/>
        <w:jc w:val="left"/>
      </w:pPr>
    </w:p>
    <w:p w:rsidR="00000000" w:rsidRDefault="00000000">
      <w:pPr>
        <w:pStyle w:val="16"/>
        <w:jc w:val="left"/>
      </w:pPr>
    </w:p>
    <w:p w:rsidR="00000000" w:rsidRDefault="00000000">
      <w:pPr>
        <w:pStyle w:val="16"/>
        <w:jc w:val="left"/>
      </w:pPr>
      <w:r>
        <w:rPr>
          <w:lang w:val="en-US"/>
        </w:rPr>
        <w:tab/>
      </w:r>
      <w:r>
        <w:rPr>
          <w:u w:val="single"/>
        </w:rPr>
        <w:t>Источник</w:t>
      </w:r>
      <w:r>
        <w:rPr>
          <w:lang w:val="en-US"/>
        </w:rPr>
        <w:t xml:space="preserve">:  IBGE - Contas Nacionais.  Reproduced by Balbinotto and Zylberstajn (1999).  </w:t>
      </w:r>
      <w:r>
        <w:t>Правовые стандарты:  Конституция 1998 года;  Декрет-закон 1986 года №</w:t>
      </w:r>
      <w:r>
        <w:rPr>
          <w:lang w:val="en-US"/>
        </w:rPr>
        <w:t> </w:t>
      </w:r>
      <w:r>
        <w:t>2284;  Декрет №</w:t>
      </w:r>
      <w:r>
        <w:rPr>
          <w:lang w:val="en-US"/>
        </w:rPr>
        <w:t> </w:t>
      </w:r>
      <w:r>
        <w:t xml:space="preserve">92608;  Закон 1990 года № 7998;  Закон 1994 года № 8900;  резолюция </w:t>
      </w:r>
      <w:r>
        <w:rPr>
          <w:lang w:val="en-US"/>
        </w:rPr>
        <w:t>CODEFAT</w:t>
      </w:r>
      <w:r>
        <w:t xml:space="preserve"> № 64.</w:t>
      </w:r>
    </w:p>
    <w:p w:rsidR="00000000" w:rsidRDefault="00000000">
      <w:pPr>
        <w:pStyle w:val="16"/>
        <w:jc w:val="left"/>
      </w:pPr>
    </w:p>
    <w:p w:rsidR="00000000" w:rsidRDefault="00000000">
      <w:pPr>
        <w:pStyle w:val="16"/>
        <w:jc w:val="left"/>
      </w:pPr>
      <w:r>
        <w:t>277.</w:t>
      </w:r>
      <w:r>
        <w:tab/>
        <w:t>Помимо вышеупомянутых пособий, следует также отметить факт существования пособий на семью, которые консолидированы в виде семейного пособия и в Программе минимального гарантированного дохода.</w:t>
      </w:r>
    </w:p>
    <w:p w:rsidR="00000000" w:rsidRDefault="00000000">
      <w:pPr>
        <w:pStyle w:val="16"/>
        <w:jc w:val="left"/>
      </w:pPr>
    </w:p>
    <w:p w:rsidR="00000000" w:rsidRDefault="00000000">
      <w:pPr>
        <w:pStyle w:val="16"/>
        <w:jc w:val="left"/>
      </w:pPr>
      <w:r>
        <w:t>278.</w:t>
      </w:r>
      <w:r>
        <w:tab/>
        <w:t>Семейные пособия выплачиваются системой социального обеспечения служащим, чей ежемесячный доход составляет менее 376,60 реалов на каждого посещающего школу ребенка моложе 14 лет и на каждого ребенка-инвалида.  Ежемесячно выплачиваемое пособие составляет 9,05 реала на ребенка (цифры 1999 года).  Родители-пенсионеры с детьми в аналогичных обстоятельствах также имеют право на получение пособия на семью.  Необходимость представления доказательств о прохождении обучения в школе для получения пособия было утверждено лишь в декабре 1999 года, когда был опубликован Закон 9.876/99.  Расходы на семейные пособия покрываются из средств системы социального обеспечения, а сами выплаты производятся работодателем.  На практике работодатель удерживает из сумм, перечисляемых в фонд социального обеспечения, ту сумму, которую он выплачивает служащим в виде пособия на семью.  До 1999 года данные об этом отсутствуют, поскольку налоговая форма, содержащая информацию по Фонду выходных пособий (ФВП) и по системе информации о социальном обеспечении (СИСО), была утверждена лишь в 1999 году;  данные, внесенные в форму, использовались для расчета размера пособия.  В 1999 году в бюллетене СИСО были опубликованы данные, свидетельствующие о том, что 1 810 000 реалов (по ценам на июнь 1999 года, заниженные благодаря использованию национального индекса потребительских цен) были израсходованы на выплату этого пособия.</w:t>
      </w:r>
    </w:p>
    <w:p w:rsidR="00000000" w:rsidRDefault="00000000">
      <w:pPr>
        <w:pStyle w:val="16"/>
        <w:jc w:val="left"/>
      </w:pPr>
    </w:p>
    <w:p w:rsidR="00000000" w:rsidRDefault="00000000">
      <w:pPr>
        <w:pStyle w:val="16"/>
        <w:jc w:val="left"/>
      </w:pPr>
      <w:r>
        <w:t>279.</w:t>
      </w:r>
      <w:r>
        <w:tab/>
        <w:t>Программа минимального гарантированного дохода осуществляется под эгидой министерства труда и реализуется либо по инициативе местных органов управления, либо с участием федерального правительства и местных органов власти под руководством министерства образования.  Данная программа предназначена главным образом для семей с детьми в возрасте от 7 до 14 лет, обучающихся в школе (в отдельных местах в эту группу входят дети от 0 до 14 лет).  Для получения права на это пособие семья должна иметь доход, составляющий менее половины минимального оклада.  Ожидается, что сотрудничество федеральных и местных властей будет возрастать и что в каждом бразильском штате к осуществлению этой Программы будут ежегодно подключаться 20% местных органов управления, что к 2002 году приведет к увеличению общего числа участников программы до 3 300, включая местные власти.  Расходы на эту Программу на местах достигают 50% всех издержек;  ее практическая реализация может принимать форму социально-образовательных услуг, услуг в области здравоохранения или социального обеспечения или внешкольных культурных мероприятий непосредственно для бенефициаров в возрастной группе 7-14 лет.</w:t>
      </w:r>
    </w:p>
    <w:p w:rsidR="00000000" w:rsidRDefault="00000000">
      <w:pPr>
        <w:pStyle w:val="16"/>
        <w:jc w:val="left"/>
      </w:pPr>
    </w:p>
    <w:p w:rsidR="00000000" w:rsidRDefault="00000000">
      <w:pPr>
        <w:pStyle w:val="16"/>
        <w:jc w:val="left"/>
      </w:pPr>
      <w:r>
        <w:t>280.</w:t>
      </w:r>
      <w:r>
        <w:tab/>
        <w:t>К сентябрю 1999 года 786 местных органов управления присоединились к осуществлению этой Программы, а общее число бенефициаров в возрасте от 7 до 14 лет составило 784 823 человека, представляющих 393 347 семей;  при этом средняя сумма пособия на одного школьника составила 34,87 реала.</w:t>
      </w:r>
    </w:p>
    <w:p w:rsidR="00000000" w:rsidRDefault="00000000">
      <w:pPr>
        <w:pStyle w:val="16"/>
        <w:jc w:val="left"/>
      </w:pPr>
    </w:p>
    <w:p w:rsidR="00000000" w:rsidRDefault="00000000">
      <w:pPr>
        <w:pStyle w:val="16"/>
        <w:jc w:val="left"/>
      </w:pPr>
      <w:r>
        <w:t>281.</w:t>
      </w:r>
      <w:r>
        <w:tab/>
        <w:t xml:space="preserve">Правительство Бразилии считает необходимым довести до сведения Комитета по экономическим, социальным и культурным правам информацию о расходах на социальное обеспечение в виде процентной доли ВВП, которая приведена в нижеследующей таблице:  </w:t>
      </w:r>
    </w:p>
    <w:p w:rsidR="00000000" w:rsidRDefault="00000000">
      <w:pPr>
        <w:pStyle w:val="16"/>
        <w:jc w:val="left"/>
      </w:pPr>
    </w:p>
    <w:p w:rsidR="00000000" w:rsidRDefault="00000000">
      <w:pPr>
        <w:pStyle w:val="16"/>
        <w:rPr>
          <w:b/>
          <w:bCs/>
        </w:rPr>
      </w:pPr>
      <w:r>
        <w:rPr>
          <w:b/>
          <w:bCs/>
        </w:rPr>
        <w:t>Таблица 41.   Доля социального обеспечения в ВВП (%)</w:t>
      </w:r>
    </w:p>
    <w:p w:rsidR="00000000" w:rsidRDefault="00000000">
      <w:pPr>
        <w:pStyle w:val="16"/>
        <w:rPr>
          <w:b/>
          <w:bCs/>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5"/>
        <w:gridCol w:w="1356"/>
        <w:gridCol w:w="1357"/>
        <w:gridCol w:w="1356"/>
        <w:gridCol w:w="1244"/>
      </w:tblGrid>
      <w:tr w:rsidR="00000000">
        <w:tblPrEx>
          <w:tblCellMar>
            <w:top w:w="0" w:type="dxa"/>
            <w:bottom w:w="0" w:type="dxa"/>
          </w:tblCellMar>
        </w:tblPrEx>
        <w:trPr>
          <w:cantSplit/>
        </w:trPr>
        <w:tc>
          <w:tcPr>
            <w:tcW w:w="4145" w:type="dxa"/>
            <w:vMerge w:val="restart"/>
          </w:tcPr>
          <w:p w:rsidR="00000000" w:rsidRDefault="00000000">
            <w:pPr>
              <w:pStyle w:val="16"/>
            </w:pPr>
            <w:r>
              <w:t>Области</w:t>
            </w:r>
          </w:p>
        </w:tc>
        <w:tc>
          <w:tcPr>
            <w:tcW w:w="5313" w:type="dxa"/>
            <w:gridSpan w:val="4"/>
          </w:tcPr>
          <w:p w:rsidR="00000000" w:rsidRDefault="00000000">
            <w:pPr>
              <w:pStyle w:val="16"/>
            </w:pPr>
            <w:r>
              <w:t>Годы</w:t>
            </w:r>
          </w:p>
        </w:tc>
      </w:tr>
      <w:tr w:rsidR="00000000">
        <w:tblPrEx>
          <w:tblCellMar>
            <w:top w:w="0" w:type="dxa"/>
            <w:bottom w:w="0" w:type="dxa"/>
          </w:tblCellMar>
        </w:tblPrEx>
        <w:trPr>
          <w:cantSplit/>
        </w:trPr>
        <w:tc>
          <w:tcPr>
            <w:tcW w:w="4145" w:type="dxa"/>
            <w:vMerge/>
          </w:tcPr>
          <w:p w:rsidR="00000000" w:rsidRDefault="00000000">
            <w:pPr>
              <w:pStyle w:val="16"/>
              <w:jc w:val="left"/>
            </w:pPr>
          </w:p>
        </w:tc>
        <w:tc>
          <w:tcPr>
            <w:tcW w:w="1356" w:type="dxa"/>
          </w:tcPr>
          <w:p w:rsidR="00000000" w:rsidRDefault="00000000">
            <w:pPr>
              <w:pStyle w:val="16"/>
            </w:pPr>
            <w:r>
              <w:t>1994</w:t>
            </w:r>
          </w:p>
        </w:tc>
        <w:tc>
          <w:tcPr>
            <w:tcW w:w="1357" w:type="dxa"/>
          </w:tcPr>
          <w:p w:rsidR="00000000" w:rsidRDefault="00000000">
            <w:pPr>
              <w:pStyle w:val="16"/>
            </w:pPr>
            <w:r>
              <w:t>1995</w:t>
            </w:r>
          </w:p>
        </w:tc>
        <w:tc>
          <w:tcPr>
            <w:tcW w:w="1356" w:type="dxa"/>
          </w:tcPr>
          <w:p w:rsidR="00000000" w:rsidRDefault="00000000">
            <w:pPr>
              <w:pStyle w:val="16"/>
            </w:pPr>
            <w:r>
              <w:t>1996</w:t>
            </w:r>
          </w:p>
        </w:tc>
        <w:tc>
          <w:tcPr>
            <w:tcW w:w="1244" w:type="dxa"/>
          </w:tcPr>
          <w:p w:rsidR="00000000" w:rsidRDefault="00000000">
            <w:pPr>
              <w:pStyle w:val="16"/>
            </w:pPr>
            <w:r>
              <w:t>1997</w:t>
            </w:r>
          </w:p>
        </w:tc>
      </w:tr>
      <w:tr w:rsidR="00000000">
        <w:tblPrEx>
          <w:tblCellMar>
            <w:top w:w="0" w:type="dxa"/>
            <w:bottom w:w="0" w:type="dxa"/>
          </w:tblCellMar>
        </w:tblPrEx>
        <w:tc>
          <w:tcPr>
            <w:tcW w:w="4145" w:type="dxa"/>
          </w:tcPr>
          <w:p w:rsidR="00000000" w:rsidRDefault="00000000">
            <w:pPr>
              <w:pStyle w:val="16"/>
              <w:jc w:val="left"/>
            </w:pPr>
            <w:r>
              <w:t>Здравоохранение</w:t>
            </w:r>
          </w:p>
        </w:tc>
        <w:tc>
          <w:tcPr>
            <w:tcW w:w="1356" w:type="dxa"/>
          </w:tcPr>
          <w:p w:rsidR="00000000" w:rsidRDefault="00000000">
            <w:pPr>
              <w:pStyle w:val="16"/>
              <w:tabs>
                <w:tab w:val="clear" w:pos="1134"/>
              </w:tabs>
              <w:ind w:right="236"/>
              <w:jc w:val="right"/>
              <w:rPr>
                <w:lang w:val="en-US"/>
              </w:rPr>
            </w:pPr>
            <w:r>
              <w:rPr>
                <w:lang w:val="en-US"/>
              </w:rPr>
              <w:t>2,02</w:t>
            </w:r>
          </w:p>
        </w:tc>
        <w:tc>
          <w:tcPr>
            <w:tcW w:w="1357" w:type="dxa"/>
          </w:tcPr>
          <w:p w:rsidR="00000000" w:rsidRDefault="00000000">
            <w:pPr>
              <w:pStyle w:val="16"/>
              <w:tabs>
                <w:tab w:val="clear" w:pos="1134"/>
              </w:tabs>
              <w:ind w:right="284"/>
              <w:jc w:val="right"/>
              <w:rPr>
                <w:lang w:val="en-US"/>
              </w:rPr>
            </w:pPr>
            <w:r>
              <w:rPr>
                <w:lang w:val="en-US"/>
              </w:rPr>
              <w:t>2,16</w:t>
            </w:r>
          </w:p>
        </w:tc>
        <w:tc>
          <w:tcPr>
            <w:tcW w:w="1356" w:type="dxa"/>
          </w:tcPr>
          <w:p w:rsidR="00000000" w:rsidRDefault="00000000">
            <w:pPr>
              <w:pStyle w:val="16"/>
              <w:tabs>
                <w:tab w:val="clear" w:pos="1134"/>
              </w:tabs>
              <w:ind w:right="320"/>
              <w:jc w:val="right"/>
              <w:rPr>
                <w:lang w:val="en-US"/>
              </w:rPr>
            </w:pPr>
            <w:r>
              <w:rPr>
                <w:lang w:val="en-US"/>
              </w:rPr>
              <w:t>1,71</w:t>
            </w:r>
          </w:p>
        </w:tc>
        <w:tc>
          <w:tcPr>
            <w:tcW w:w="1244" w:type="dxa"/>
          </w:tcPr>
          <w:p w:rsidR="00000000" w:rsidRDefault="00000000">
            <w:pPr>
              <w:pStyle w:val="16"/>
              <w:tabs>
                <w:tab w:val="clear" w:pos="1134"/>
              </w:tabs>
              <w:ind w:left="14" w:right="194" w:hanging="14"/>
              <w:jc w:val="right"/>
              <w:rPr>
                <w:lang w:val="en-US"/>
              </w:rPr>
            </w:pPr>
            <w:r>
              <w:rPr>
                <w:lang w:val="en-US"/>
              </w:rPr>
              <w:t>1,97</w:t>
            </w:r>
          </w:p>
        </w:tc>
      </w:tr>
      <w:tr w:rsidR="00000000">
        <w:tblPrEx>
          <w:tblCellMar>
            <w:top w:w="0" w:type="dxa"/>
            <w:bottom w:w="0" w:type="dxa"/>
          </w:tblCellMar>
        </w:tblPrEx>
        <w:tc>
          <w:tcPr>
            <w:tcW w:w="4145" w:type="dxa"/>
          </w:tcPr>
          <w:p w:rsidR="00000000" w:rsidRDefault="00000000">
            <w:pPr>
              <w:pStyle w:val="16"/>
              <w:jc w:val="left"/>
            </w:pPr>
            <w:r>
              <w:t>Социальное обеспечение</w:t>
            </w:r>
          </w:p>
        </w:tc>
        <w:tc>
          <w:tcPr>
            <w:tcW w:w="1356" w:type="dxa"/>
          </w:tcPr>
          <w:p w:rsidR="00000000" w:rsidRDefault="00000000">
            <w:pPr>
              <w:pStyle w:val="16"/>
              <w:tabs>
                <w:tab w:val="clear" w:pos="1134"/>
              </w:tabs>
              <w:ind w:right="236"/>
              <w:jc w:val="right"/>
              <w:rPr>
                <w:lang w:val="en-US"/>
              </w:rPr>
            </w:pPr>
            <w:r>
              <w:rPr>
                <w:lang w:val="en-US"/>
              </w:rPr>
              <w:t>5,27</w:t>
            </w:r>
          </w:p>
        </w:tc>
        <w:tc>
          <w:tcPr>
            <w:tcW w:w="1357" w:type="dxa"/>
          </w:tcPr>
          <w:p w:rsidR="00000000" w:rsidRDefault="00000000">
            <w:pPr>
              <w:pStyle w:val="16"/>
              <w:tabs>
                <w:tab w:val="clear" w:pos="1134"/>
              </w:tabs>
              <w:ind w:right="284"/>
              <w:jc w:val="right"/>
              <w:rPr>
                <w:lang w:val="en-US"/>
              </w:rPr>
            </w:pPr>
            <w:r>
              <w:rPr>
                <w:lang w:val="en-US"/>
              </w:rPr>
              <w:t>5,43</w:t>
            </w:r>
          </w:p>
        </w:tc>
        <w:tc>
          <w:tcPr>
            <w:tcW w:w="1356" w:type="dxa"/>
          </w:tcPr>
          <w:p w:rsidR="00000000" w:rsidRDefault="00000000">
            <w:pPr>
              <w:pStyle w:val="16"/>
              <w:tabs>
                <w:tab w:val="clear" w:pos="1134"/>
              </w:tabs>
              <w:ind w:right="320"/>
              <w:jc w:val="right"/>
              <w:rPr>
                <w:lang w:val="en-US"/>
              </w:rPr>
            </w:pPr>
            <w:r>
              <w:rPr>
                <w:lang w:val="en-US"/>
              </w:rPr>
              <w:t>5,68</w:t>
            </w:r>
          </w:p>
        </w:tc>
        <w:tc>
          <w:tcPr>
            <w:tcW w:w="1244" w:type="dxa"/>
          </w:tcPr>
          <w:p w:rsidR="00000000" w:rsidRDefault="00000000">
            <w:pPr>
              <w:pStyle w:val="16"/>
              <w:tabs>
                <w:tab w:val="clear" w:pos="1134"/>
              </w:tabs>
              <w:ind w:left="14" w:right="194" w:hanging="14"/>
              <w:jc w:val="right"/>
              <w:rPr>
                <w:lang w:val="en-US"/>
              </w:rPr>
            </w:pPr>
            <w:r>
              <w:rPr>
                <w:lang w:val="en-US"/>
              </w:rPr>
              <w:t>5,57</w:t>
            </w:r>
          </w:p>
        </w:tc>
      </w:tr>
      <w:tr w:rsidR="00000000">
        <w:tblPrEx>
          <w:tblCellMar>
            <w:top w:w="0" w:type="dxa"/>
            <w:bottom w:w="0" w:type="dxa"/>
          </w:tblCellMar>
        </w:tblPrEx>
        <w:tc>
          <w:tcPr>
            <w:tcW w:w="4145" w:type="dxa"/>
          </w:tcPr>
          <w:p w:rsidR="00000000" w:rsidRDefault="00000000">
            <w:pPr>
              <w:pStyle w:val="16"/>
              <w:jc w:val="left"/>
            </w:pPr>
            <w:r>
              <w:t>Помощь</w:t>
            </w:r>
          </w:p>
        </w:tc>
        <w:tc>
          <w:tcPr>
            <w:tcW w:w="1356" w:type="dxa"/>
          </w:tcPr>
          <w:p w:rsidR="00000000" w:rsidRDefault="00000000">
            <w:pPr>
              <w:pStyle w:val="16"/>
              <w:tabs>
                <w:tab w:val="clear" w:pos="1134"/>
              </w:tabs>
              <w:ind w:right="236"/>
              <w:jc w:val="right"/>
              <w:rPr>
                <w:lang w:val="en-US"/>
              </w:rPr>
            </w:pPr>
            <w:r>
              <w:rPr>
                <w:lang w:val="en-US"/>
              </w:rPr>
              <w:t>0,18</w:t>
            </w:r>
          </w:p>
        </w:tc>
        <w:tc>
          <w:tcPr>
            <w:tcW w:w="1357" w:type="dxa"/>
          </w:tcPr>
          <w:p w:rsidR="00000000" w:rsidRDefault="00000000">
            <w:pPr>
              <w:pStyle w:val="16"/>
              <w:tabs>
                <w:tab w:val="clear" w:pos="1134"/>
              </w:tabs>
              <w:ind w:right="284"/>
              <w:jc w:val="right"/>
              <w:rPr>
                <w:lang w:val="en-US"/>
              </w:rPr>
            </w:pPr>
            <w:r>
              <w:rPr>
                <w:lang w:val="en-US"/>
              </w:rPr>
              <w:t>0,6</w:t>
            </w:r>
          </w:p>
        </w:tc>
        <w:tc>
          <w:tcPr>
            <w:tcW w:w="1356" w:type="dxa"/>
          </w:tcPr>
          <w:p w:rsidR="00000000" w:rsidRDefault="00000000">
            <w:pPr>
              <w:pStyle w:val="16"/>
              <w:tabs>
                <w:tab w:val="clear" w:pos="1134"/>
              </w:tabs>
              <w:ind w:right="320"/>
              <w:jc w:val="right"/>
              <w:rPr>
                <w:lang w:val="en-US"/>
              </w:rPr>
            </w:pPr>
            <w:r>
              <w:rPr>
                <w:lang w:val="en-US"/>
              </w:rPr>
              <w:t>0,17</w:t>
            </w:r>
          </w:p>
        </w:tc>
        <w:tc>
          <w:tcPr>
            <w:tcW w:w="1244" w:type="dxa"/>
          </w:tcPr>
          <w:p w:rsidR="00000000" w:rsidRDefault="00000000">
            <w:pPr>
              <w:pStyle w:val="16"/>
              <w:tabs>
                <w:tab w:val="clear" w:pos="1134"/>
              </w:tabs>
              <w:ind w:left="14" w:right="194" w:hanging="14"/>
              <w:jc w:val="right"/>
              <w:rPr>
                <w:lang w:val="en-US"/>
              </w:rPr>
            </w:pPr>
            <w:r>
              <w:rPr>
                <w:lang w:val="en-US"/>
              </w:rPr>
              <w:t>0,25</w:t>
            </w:r>
          </w:p>
        </w:tc>
      </w:tr>
      <w:tr w:rsidR="00000000">
        <w:tblPrEx>
          <w:tblCellMar>
            <w:top w:w="0" w:type="dxa"/>
            <w:bottom w:w="0" w:type="dxa"/>
          </w:tblCellMar>
        </w:tblPrEx>
        <w:tc>
          <w:tcPr>
            <w:tcW w:w="4145" w:type="dxa"/>
          </w:tcPr>
          <w:p w:rsidR="00000000" w:rsidRDefault="00000000">
            <w:pPr>
              <w:pStyle w:val="16"/>
              <w:jc w:val="left"/>
            </w:pPr>
            <w:r>
              <w:t>Пособия по безработице</w:t>
            </w:r>
          </w:p>
        </w:tc>
        <w:tc>
          <w:tcPr>
            <w:tcW w:w="1356" w:type="dxa"/>
          </w:tcPr>
          <w:p w:rsidR="00000000" w:rsidRDefault="00000000">
            <w:pPr>
              <w:pStyle w:val="16"/>
              <w:tabs>
                <w:tab w:val="clear" w:pos="1134"/>
              </w:tabs>
              <w:ind w:right="236"/>
              <w:jc w:val="right"/>
            </w:pPr>
            <w:r>
              <w:t>0,36</w:t>
            </w:r>
          </w:p>
        </w:tc>
        <w:tc>
          <w:tcPr>
            <w:tcW w:w="1357" w:type="dxa"/>
          </w:tcPr>
          <w:p w:rsidR="00000000" w:rsidRDefault="00000000">
            <w:pPr>
              <w:pStyle w:val="16"/>
              <w:tabs>
                <w:tab w:val="clear" w:pos="1134"/>
              </w:tabs>
              <w:ind w:right="284"/>
              <w:jc w:val="right"/>
            </w:pPr>
            <w:r>
              <w:t>0,44</w:t>
            </w:r>
          </w:p>
        </w:tc>
        <w:tc>
          <w:tcPr>
            <w:tcW w:w="1356" w:type="dxa"/>
          </w:tcPr>
          <w:p w:rsidR="00000000" w:rsidRDefault="00000000">
            <w:pPr>
              <w:pStyle w:val="16"/>
              <w:tabs>
                <w:tab w:val="clear" w:pos="1134"/>
              </w:tabs>
              <w:ind w:right="320"/>
              <w:jc w:val="right"/>
            </w:pPr>
            <w:r>
              <w:t>0,44</w:t>
            </w:r>
          </w:p>
        </w:tc>
        <w:tc>
          <w:tcPr>
            <w:tcW w:w="1244" w:type="dxa"/>
          </w:tcPr>
          <w:p w:rsidR="00000000" w:rsidRDefault="00000000">
            <w:pPr>
              <w:pStyle w:val="16"/>
              <w:tabs>
                <w:tab w:val="clear" w:pos="1134"/>
              </w:tabs>
              <w:ind w:left="14" w:right="194" w:hanging="14"/>
              <w:jc w:val="right"/>
            </w:pPr>
            <w:r>
              <w:t>0,41</w:t>
            </w:r>
          </w:p>
        </w:tc>
      </w:tr>
      <w:tr w:rsidR="00000000">
        <w:tblPrEx>
          <w:tblCellMar>
            <w:top w:w="0" w:type="dxa"/>
            <w:bottom w:w="0" w:type="dxa"/>
          </w:tblCellMar>
        </w:tblPrEx>
        <w:tc>
          <w:tcPr>
            <w:tcW w:w="4145" w:type="dxa"/>
          </w:tcPr>
          <w:p w:rsidR="00000000" w:rsidRDefault="00000000">
            <w:pPr>
              <w:pStyle w:val="16"/>
              <w:jc w:val="left"/>
            </w:pPr>
            <w:r>
              <w:t>Затраты центрального правительства на социальное обеспечение</w:t>
            </w:r>
          </w:p>
        </w:tc>
        <w:tc>
          <w:tcPr>
            <w:tcW w:w="1356" w:type="dxa"/>
          </w:tcPr>
          <w:p w:rsidR="00000000" w:rsidRDefault="00000000">
            <w:pPr>
              <w:pStyle w:val="16"/>
              <w:tabs>
                <w:tab w:val="clear" w:pos="1134"/>
              </w:tabs>
              <w:ind w:right="236"/>
              <w:jc w:val="right"/>
            </w:pPr>
            <w:r>
              <w:t>2,27</w:t>
            </w:r>
          </w:p>
        </w:tc>
        <w:tc>
          <w:tcPr>
            <w:tcW w:w="1357" w:type="dxa"/>
          </w:tcPr>
          <w:p w:rsidR="00000000" w:rsidRDefault="00000000">
            <w:pPr>
              <w:pStyle w:val="16"/>
              <w:tabs>
                <w:tab w:val="clear" w:pos="1134"/>
              </w:tabs>
              <w:ind w:right="284"/>
              <w:jc w:val="right"/>
            </w:pPr>
            <w:r>
              <w:t>2,44</w:t>
            </w:r>
          </w:p>
        </w:tc>
        <w:tc>
          <w:tcPr>
            <w:tcW w:w="1356" w:type="dxa"/>
          </w:tcPr>
          <w:p w:rsidR="00000000" w:rsidRDefault="00000000">
            <w:pPr>
              <w:pStyle w:val="16"/>
              <w:tabs>
                <w:tab w:val="clear" w:pos="1134"/>
              </w:tabs>
              <w:ind w:right="320"/>
              <w:jc w:val="right"/>
            </w:pPr>
            <w:r>
              <w:t>2,22</w:t>
            </w:r>
          </w:p>
        </w:tc>
        <w:tc>
          <w:tcPr>
            <w:tcW w:w="1244" w:type="dxa"/>
          </w:tcPr>
          <w:p w:rsidR="00000000" w:rsidRDefault="00000000">
            <w:pPr>
              <w:pStyle w:val="16"/>
              <w:tabs>
                <w:tab w:val="clear" w:pos="1134"/>
              </w:tabs>
              <w:ind w:left="14" w:right="194" w:hanging="14"/>
              <w:jc w:val="right"/>
            </w:pPr>
            <w:r>
              <w:t>2,27</w:t>
            </w:r>
          </w:p>
        </w:tc>
      </w:tr>
      <w:tr w:rsidR="00000000">
        <w:tblPrEx>
          <w:tblCellMar>
            <w:top w:w="0" w:type="dxa"/>
            <w:bottom w:w="0" w:type="dxa"/>
          </w:tblCellMar>
        </w:tblPrEx>
        <w:tc>
          <w:tcPr>
            <w:tcW w:w="4145" w:type="dxa"/>
          </w:tcPr>
          <w:p w:rsidR="00000000" w:rsidRDefault="00000000">
            <w:pPr>
              <w:pStyle w:val="16"/>
              <w:jc w:val="left"/>
            </w:pPr>
            <w:r>
              <w:t>Итого а)</w:t>
            </w:r>
          </w:p>
        </w:tc>
        <w:tc>
          <w:tcPr>
            <w:tcW w:w="1356" w:type="dxa"/>
          </w:tcPr>
          <w:p w:rsidR="00000000" w:rsidRDefault="00000000">
            <w:pPr>
              <w:pStyle w:val="16"/>
              <w:tabs>
                <w:tab w:val="clear" w:pos="1134"/>
              </w:tabs>
              <w:ind w:right="236"/>
              <w:jc w:val="right"/>
            </w:pPr>
            <w:r>
              <w:t>10,10</w:t>
            </w:r>
          </w:p>
        </w:tc>
        <w:tc>
          <w:tcPr>
            <w:tcW w:w="1357" w:type="dxa"/>
          </w:tcPr>
          <w:p w:rsidR="00000000" w:rsidRDefault="00000000">
            <w:pPr>
              <w:pStyle w:val="16"/>
              <w:tabs>
                <w:tab w:val="clear" w:pos="1134"/>
              </w:tabs>
              <w:ind w:right="284"/>
              <w:jc w:val="right"/>
            </w:pPr>
            <w:r>
              <w:t>10,63</w:t>
            </w:r>
          </w:p>
        </w:tc>
        <w:tc>
          <w:tcPr>
            <w:tcW w:w="1356" w:type="dxa"/>
          </w:tcPr>
          <w:p w:rsidR="00000000" w:rsidRDefault="00000000">
            <w:pPr>
              <w:pStyle w:val="16"/>
              <w:tabs>
                <w:tab w:val="clear" w:pos="1134"/>
              </w:tabs>
              <w:ind w:right="320"/>
              <w:jc w:val="right"/>
            </w:pPr>
            <w:r>
              <w:t>10,22</w:t>
            </w:r>
          </w:p>
        </w:tc>
        <w:tc>
          <w:tcPr>
            <w:tcW w:w="1244" w:type="dxa"/>
          </w:tcPr>
          <w:p w:rsidR="00000000" w:rsidRDefault="00000000">
            <w:pPr>
              <w:pStyle w:val="16"/>
              <w:tabs>
                <w:tab w:val="clear" w:pos="1134"/>
              </w:tabs>
              <w:ind w:left="14" w:right="194" w:hanging="14"/>
              <w:jc w:val="right"/>
            </w:pPr>
            <w:r>
              <w:t>10,47</w:t>
            </w:r>
          </w:p>
        </w:tc>
      </w:tr>
      <w:tr w:rsidR="00000000">
        <w:tblPrEx>
          <w:tblCellMar>
            <w:top w:w="0" w:type="dxa"/>
            <w:bottom w:w="0" w:type="dxa"/>
          </w:tblCellMar>
        </w:tblPrEx>
        <w:tc>
          <w:tcPr>
            <w:tcW w:w="4145" w:type="dxa"/>
          </w:tcPr>
          <w:p w:rsidR="00000000" w:rsidRDefault="00000000">
            <w:pPr>
              <w:pStyle w:val="16"/>
              <w:jc w:val="left"/>
            </w:pPr>
            <w:r>
              <w:t>Всего социальные федеральные расходы b)</w:t>
            </w:r>
          </w:p>
        </w:tc>
        <w:tc>
          <w:tcPr>
            <w:tcW w:w="1356" w:type="dxa"/>
          </w:tcPr>
          <w:p w:rsidR="00000000" w:rsidRDefault="00000000">
            <w:pPr>
              <w:pStyle w:val="16"/>
              <w:tabs>
                <w:tab w:val="clear" w:pos="1134"/>
              </w:tabs>
              <w:ind w:right="236"/>
              <w:jc w:val="right"/>
            </w:pPr>
            <w:r>
              <w:t>12,18</w:t>
            </w:r>
          </w:p>
        </w:tc>
        <w:tc>
          <w:tcPr>
            <w:tcW w:w="1357" w:type="dxa"/>
          </w:tcPr>
          <w:p w:rsidR="00000000" w:rsidRDefault="00000000">
            <w:pPr>
              <w:pStyle w:val="16"/>
              <w:tabs>
                <w:tab w:val="clear" w:pos="1134"/>
              </w:tabs>
              <w:ind w:right="284"/>
              <w:jc w:val="right"/>
            </w:pPr>
            <w:r>
              <w:t>12,42</w:t>
            </w:r>
          </w:p>
        </w:tc>
        <w:tc>
          <w:tcPr>
            <w:tcW w:w="1356" w:type="dxa"/>
          </w:tcPr>
          <w:p w:rsidR="00000000" w:rsidRDefault="00000000">
            <w:pPr>
              <w:pStyle w:val="16"/>
              <w:tabs>
                <w:tab w:val="clear" w:pos="1134"/>
              </w:tabs>
              <w:ind w:right="320"/>
              <w:jc w:val="right"/>
            </w:pPr>
            <w:r>
              <w:t>11,85</w:t>
            </w:r>
          </w:p>
        </w:tc>
        <w:tc>
          <w:tcPr>
            <w:tcW w:w="1244" w:type="dxa"/>
          </w:tcPr>
          <w:p w:rsidR="00000000" w:rsidRDefault="00000000">
            <w:pPr>
              <w:pStyle w:val="16"/>
              <w:tabs>
                <w:tab w:val="clear" w:pos="1134"/>
              </w:tabs>
              <w:ind w:left="14" w:right="194" w:hanging="14"/>
              <w:jc w:val="right"/>
            </w:pPr>
            <w:r>
              <w:t>12,17</w:t>
            </w:r>
          </w:p>
        </w:tc>
      </w:tr>
      <w:tr w:rsidR="00000000">
        <w:tblPrEx>
          <w:tblCellMar>
            <w:top w:w="0" w:type="dxa"/>
            <w:bottom w:w="0" w:type="dxa"/>
          </w:tblCellMar>
        </w:tblPrEx>
        <w:tc>
          <w:tcPr>
            <w:tcW w:w="4145" w:type="dxa"/>
          </w:tcPr>
          <w:p w:rsidR="00000000" w:rsidRDefault="00000000">
            <w:pPr>
              <w:pStyle w:val="16"/>
              <w:jc w:val="left"/>
              <w:rPr>
                <w:lang w:val="en-US"/>
              </w:rPr>
            </w:pPr>
            <w:r>
              <w:t>а</w:t>
            </w:r>
            <w:r>
              <w:rPr>
                <w:lang w:val="en-US"/>
              </w:rPr>
              <w:t>)</w:t>
            </w:r>
            <w:r>
              <w:t>/b</w:t>
            </w:r>
            <w:r>
              <w:rPr>
                <w:lang w:val="en-US"/>
              </w:rPr>
              <w:t>)</w:t>
            </w:r>
          </w:p>
        </w:tc>
        <w:tc>
          <w:tcPr>
            <w:tcW w:w="1356" w:type="dxa"/>
          </w:tcPr>
          <w:p w:rsidR="00000000" w:rsidRDefault="00000000">
            <w:pPr>
              <w:pStyle w:val="16"/>
              <w:tabs>
                <w:tab w:val="clear" w:pos="1134"/>
              </w:tabs>
              <w:ind w:right="236"/>
              <w:jc w:val="right"/>
            </w:pPr>
            <w:r>
              <w:t>0,83</w:t>
            </w:r>
          </w:p>
        </w:tc>
        <w:tc>
          <w:tcPr>
            <w:tcW w:w="1357" w:type="dxa"/>
          </w:tcPr>
          <w:p w:rsidR="00000000" w:rsidRDefault="00000000">
            <w:pPr>
              <w:pStyle w:val="16"/>
              <w:tabs>
                <w:tab w:val="clear" w:pos="1134"/>
              </w:tabs>
              <w:ind w:right="284"/>
              <w:jc w:val="right"/>
            </w:pPr>
            <w:r>
              <w:t>0,86</w:t>
            </w:r>
          </w:p>
        </w:tc>
        <w:tc>
          <w:tcPr>
            <w:tcW w:w="1356" w:type="dxa"/>
          </w:tcPr>
          <w:p w:rsidR="00000000" w:rsidRDefault="00000000">
            <w:pPr>
              <w:pStyle w:val="16"/>
              <w:tabs>
                <w:tab w:val="clear" w:pos="1134"/>
              </w:tabs>
              <w:ind w:right="320"/>
              <w:jc w:val="right"/>
            </w:pPr>
            <w:r>
              <w:t>0,86</w:t>
            </w:r>
          </w:p>
        </w:tc>
        <w:tc>
          <w:tcPr>
            <w:tcW w:w="1244" w:type="dxa"/>
          </w:tcPr>
          <w:p w:rsidR="00000000" w:rsidRDefault="00000000">
            <w:pPr>
              <w:pStyle w:val="16"/>
              <w:tabs>
                <w:tab w:val="clear" w:pos="1134"/>
              </w:tabs>
              <w:ind w:left="14" w:right="194" w:hanging="14"/>
              <w:jc w:val="right"/>
            </w:pPr>
            <w:r>
              <w:t>0,86</w:t>
            </w:r>
          </w:p>
        </w:tc>
      </w:tr>
    </w:tbl>
    <w:p w:rsidR="00000000" w:rsidRDefault="00000000">
      <w:pPr>
        <w:pStyle w:val="16"/>
        <w:jc w:val="left"/>
        <w:rPr>
          <w:lang w:val="en-US"/>
        </w:rPr>
      </w:pPr>
    </w:p>
    <w:p w:rsidR="00000000" w:rsidRDefault="00000000">
      <w:pPr>
        <w:pStyle w:val="16"/>
        <w:jc w:val="left"/>
      </w:pPr>
      <w:r>
        <w:rPr>
          <w:lang w:val="en-US"/>
        </w:rPr>
        <w:tab/>
      </w:r>
      <w:r>
        <w:rPr>
          <w:u w:val="single"/>
        </w:rPr>
        <w:t>Источник</w:t>
      </w:r>
      <w:r>
        <w:t xml:space="preserve">:  </w:t>
      </w:r>
      <w:r>
        <w:rPr>
          <w:lang w:val="en-US"/>
        </w:rPr>
        <w:t>SIAFI</w:t>
      </w:r>
      <w:r>
        <w:t>/</w:t>
      </w:r>
      <w:r>
        <w:rPr>
          <w:lang w:val="en-US"/>
        </w:rPr>
        <w:t>SIDOR</w:t>
      </w:r>
      <w:r>
        <w:t xml:space="preserve">.  Подготовлено:  </w:t>
      </w:r>
      <w:r>
        <w:rPr>
          <w:lang w:val="en-US"/>
        </w:rPr>
        <w:t>DIPOS</w:t>
      </w:r>
      <w:r>
        <w:t>/</w:t>
      </w:r>
      <w:r>
        <w:rPr>
          <w:lang w:val="en-US"/>
        </w:rPr>
        <w:t>IPEA</w:t>
      </w:r>
      <w:r>
        <w:t>.</w:t>
      </w:r>
    </w:p>
    <w:p w:rsidR="00000000" w:rsidRDefault="00000000">
      <w:pPr>
        <w:pStyle w:val="16"/>
        <w:jc w:val="left"/>
      </w:pPr>
    </w:p>
    <w:p w:rsidR="00000000" w:rsidRDefault="00000000">
      <w:pPr>
        <w:pStyle w:val="16"/>
        <w:jc w:val="left"/>
      </w:pPr>
      <w:r>
        <w:t>282.</w:t>
      </w:r>
      <w:r>
        <w:tab/>
        <w:t xml:space="preserve">В рамках дополнительных сведений, которые помогут Комитету </w:t>
      </w:r>
      <w:r>
        <w:rPr>
          <w:lang w:val="en-US"/>
        </w:rPr>
        <w:t>c</w:t>
      </w:r>
      <w:r>
        <w:t>оставить общую картину федеральных отчислений на социальную сферу, правительство Бразилии ниже приводит данные о социальных выплатах в качестве доли ВВП</w:t>
      </w:r>
      <w:r>
        <w:rPr>
          <w:b/>
          <w:bCs/>
          <w:vertAlign w:val="superscript"/>
        </w:rPr>
        <w:t>14</w:t>
      </w:r>
      <w:r>
        <w:t>.  В период 1995</w:t>
      </w:r>
      <w:r>
        <w:noBreakHyphen/>
        <w:t>1998 годов это процентное соотношение неуклонно увеличивалось, составляя:  в 1995 году - 4,98%;  в 1996 году -5,19%;  в 1997 году - 5,42% и в 1998 году - 5,98%.</w:t>
      </w:r>
    </w:p>
    <w:p w:rsidR="00000000" w:rsidRDefault="00000000">
      <w:pPr>
        <w:pStyle w:val="16"/>
        <w:jc w:val="left"/>
      </w:pPr>
    </w:p>
    <w:p w:rsidR="00000000" w:rsidRDefault="00000000">
      <w:pPr>
        <w:pStyle w:val="16"/>
        <w:jc w:val="left"/>
      </w:pPr>
      <w:r>
        <w:t>283.</w:t>
      </w:r>
      <w:r>
        <w:tab/>
        <w:t xml:space="preserve">Касаясь связей, которые существуют между государственным социальным обеспечением и частными пенсионными планами, следует отметить, что бразильская система социального обеспечения гарантирует выплату пособий по максимальной ставке, ежегодно корректируемой в зависимости от колебаний стоимости жизни.  В 1999 году эта ставка составляла 1 255,32 реала.  Пособия по этой ставке были выплачены примерно 88% бенефициарам.  </w:t>
      </w:r>
    </w:p>
    <w:p w:rsidR="00000000" w:rsidRDefault="00000000">
      <w:pPr>
        <w:pStyle w:val="16"/>
        <w:jc w:val="left"/>
      </w:pPr>
    </w:p>
    <w:p w:rsidR="00000000" w:rsidRDefault="00000000">
      <w:pPr>
        <w:pStyle w:val="16"/>
        <w:jc w:val="left"/>
      </w:pPr>
      <w:r>
        <w:t>284.</w:t>
      </w:r>
      <w:r>
        <w:tab/>
        <w:t xml:space="preserve">Что касается пенсий, то в Бразилии существуют дополнительные "открытые" и "закрытые" пенсионные фонды.  Первыми могут пользоваться любые лица путем простого заключения контракта с финансовым учреждением;  многие из существующих схем предлагают комплекс других услуг, включая страхование жизни или страхование по безработице.  Доступ к "закрытым" пенсионным планам ограничивается определенной группой служащих, в основном работающих на одну и ту же компанию.  </w:t>
      </w:r>
    </w:p>
    <w:p w:rsidR="00000000" w:rsidRDefault="00000000">
      <w:pPr>
        <w:pStyle w:val="16"/>
        <w:jc w:val="left"/>
      </w:pPr>
    </w:p>
    <w:p w:rsidR="00000000" w:rsidRDefault="00000000">
      <w:r>
        <w:t>285.</w:t>
      </w:r>
      <w:r>
        <w:tab/>
        <w:t>В порядке стимулирования развития дополнительных пенсионных схем правительство Бразилии в законопроектах, направленных в Национальный конгресс и в настоящее время находящихся там на рассмотрении, предлагает сделать регулирование пенсионных фондов более гибким для повышения их транспарентности и конкурентоспособности и увеличения числа бенефициаров.  Правительство Бразилии считает, что развитие дополнительной системы социального обеспечения не только позволит бенефициарам выбирать учреждение, которое лучше всего отвечает их интересам, но и свободно решать, следует ли им продолжать участвовать в той или иной пенсионной схеме или выбрать иную схему и перевести всю сумму уже накопленных ими средств на ее счета.</w:t>
      </w:r>
    </w:p>
    <w:p w:rsidR="00000000" w:rsidRDefault="00000000"/>
    <w:p w:rsidR="00000000" w:rsidRDefault="00000000">
      <w:r>
        <w:t>286.</w:t>
      </w:r>
      <w:r>
        <w:tab/>
        <w:t>Правительство также стремится поощрять создание в частном секторе добровольных дополнительных пенсионных фондов для экономически активного населения путем принятия мер, способствующих укреплению контроля и содействующих конкурентоспособности на открытом рынке дополнительных пенсионных фондов для широких слоев населения, не связанных с определенным местом работы.  В настоящее время растет число лиц, вносящих взносы в такие фонды, в особенности среди людей среднего класса.  Основными причинами этого являются новые возможности планировать на далекую перспективу, укрепление стабильности и растущая в широких слоях населения убежденность в том, что государственная система социального обеспечения должна прежде всего гарантировать базовые пенсии.</w:t>
      </w:r>
    </w:p>
    <w:p w:rsidR="00000000" w:rsidRDefault="00000000"/>
    <w:p w:rsidR="00000000" w:rsidRDefault="00000000">
      <w:r>
        <w:t>287.</w:t>
      </w:r>
      <w:r>
        <w:tab/>
        <w:t>Что касается гражданских служащих, у которых размер пенсионного пособия равен последней заработной плате перед уходом в отставку, то для них не существует дополнительных пенсионных схем.  Вместе с тем благодаря изменениям в законодательстве, которые более гибко рассматривают возможность участия в договорных схемах, такие фонды могут быть созданы.  В перспективе гражданский служащий может быть принят на работу, будучи участником системы занятости частного сектора и имея определенный потолок на выплату пенсионных пособий.  В настоящее время в Национальном конгрессе рассматривается законопроект, предусматривающий регулирование порядка создания пенсионных фондов, например для государственных служащих.</w:t>
      </w:r>
    </w:p>
    <w:p w:rsidR="00000000" w:rsidRDefault="00000000"/>
    <w:p w:rsidR="00000000" w:rsidRDefault="00000000">
      <w:r>
        <w:t>288.</w:t>
      </w:r>
      <w:r>
        <w:tab/>
        <w:t>Система социального обеспечения в Бразилии носит всеобъемлющий характер в силу того, что в ней объединены элементы вспомоществования и долевого участия, охватывающие все группы населения.</w:t>
      </w:r>
    </w:p>
    <w:p w:rsidR="00000000" w:rsidRDefault="00000000"/>
    <w:p w:rsidR="00000000" w:rsidRDefault="00000000">
      <w:r>
        <w:t>289.</w:t>
      </w:r>
      <w:r>
        <w:tab/>
        <w:t>Что касается уязвимых или незащищенных групп населения и вопросов их защиты со стороны системы социального обеспечения, то следует сказать, что основной костяк таких групп формируется на базе неформального.  В 1998 году данные общенационального выборочного обследования домашних хозяйств, проведенного Бразильским институтом географии и статистики (ОВОДХ/БИГС), показали, что всего лишь 16,1% самодеятельных работников вносили страховые взносы по линии социального обеспечения.  В Законе № 9876 от ноября 1999 года была сделана попытка найти соответствующий выход из сложившейся ситуации, с тем чтобы побудить самозанятых рабочих делать взносы в фонды социального обеспечения.  В этом законе, в частности, предусматривается право на получение пособия при рождении ребенка, сокращение размера взноса при приеме на работу в компанию и уменьшение категорий индивидуальных вкладчиков.  В целях защиты уязвимых групп населения министерство социального обеспечения разработало "Программу социальной стабильности", которая предоставляет защиту в рамках действующей системы.  Эта Программа осуществляется на децентрализованной основе с помощью региональных комитетов и нацелена на то, чтобы расширить информированность рабочих о важности той защиты, которая предоставляется системой социального обеспечения.</w:t>
      </w:r>
    </w:p>
    <w:p w:rsidR="00000000" w:rsidRDefault="00000000"/>
    <w:p w:rsidR="00000000" w:rsidRDefault="00000000">
      <w:r>
        <w:t>290.</w:t>
      </w:r>
      <w:r>
        <w:tab/>
        <w:t>Что касается международной помощи в вопросах полного осуществления права, предусмотренного статьей 9 Международного пакта об  экономических, социальных и культурных правах, то правительство хотело бы отметить, что Бразилия имеет соглашения в области социального обеспечения с десятью странами, а именно Аргентиной, Кабо-Верде, Чили, Испанией, Грецией, Люксембургом, Италией, Парагваем, Португалией и Уругваем.  Общая задача всех этих соглашений состоит в том, чтобы гарантировать права в области социального обеспечения экономически активным лицам и их законным иждивенцам, проживающим в подписавших соглашения странах или находящихся в них транзитом.  В соответствии с этими соглашениями резидент той или иной страны имеет возможность подать заявление на получение пособия, предусмотренного в законодательстве в области социального обеспечения страны происхождения, без необходимости покидать страну пребывания, или назначить для этого своего юридического представителя.  Для получения пособия по инвалидности проводится медицинское обследование в стране пребывания, результаты которого направляются в страну происхождения бенефициара.</w:t>
      </w:r>
    </w:p>
    <w:p w:rsidR="00000000" w:rsidRDefault="00000000"/>
    <w:p w:rsidR="00000000" w:rsidRDefault="00000000">
      <w:r>
        <w:t>291.</w:t>
      </w:r>
      <w:r>
        <w:tab/>
        <w:t>Двусторонние соглашения, подписанные Бразилией, конкретно предусматривают:</w:t>
      </w:r>
    </w:p>
    <w:p w:rsidR="00000000" w:rsidRDefault="00000000"/>
    <w:p w:rsidR="00000000" w:rsidRDefault="00000000">
      <w:pPr>
        <w:pStyle w:val="BodyTextIndent"/>
      </w:pPr>
      <w:r>
        <w:t>а)</w:t>
      </w:r>
      <w:r>
        <w:tab/>
        <w:t>равное обращение в государствах - участниках соглашений с бразильскими бенефициарами и их иждивенцами, а в Бразилии - с гражданином другой страны и его иждивенцами;</w:t>
      </w:r>
    </w:p>
    <w:p w:rsidR="00000000" w:rsidRDefault="00000000">
      <w:pPr>
        <w:pStyle w:val="BodyTextIndent"/>
      </w:pPr>
    </w:p>
    <w:p w:rsidR="00000000" w:rsidRDefault="00000000">
      <w:pPr>
        <w:ind w:firstLine="567"/>
      </w:pPr>
      <w:r>
        <w:t>b)</w:t>
      </w:r>
      <w:r>
        <w:tab/>
        <w:t>суммирование страховых и других сроков для целей приобретения, сохранения и восстановления прав и для расчетов размеров пособий;  для осуществления прав на получение пособий в законодательстве обеих стран предусматриваются периоды активности или страхового покрытия;</w:t>
      </w:r>
    </w:p>
    <w:p w:rsidR="00000000" w:rsidRDefault="00000000">
      <w:pPr>
        <w:ind w:firstLine="567"/>
      </w:pPr>
    </w:p>
    <w:p w:rsidR="00000000" w:rsidRDefault="00000000">
      <w:pPr>
        <w:ind w:firstLine="567"/>
      </w:pPr>
      <w:r>
        <w:t>с)</w:t>
      </w:r>
      <w:r>
        <w:tab/>
        <w:t>медицинское обслуживание пенсионеров/бенефициаров и их иждивенцев, временно или проездом находящихся в стране, обеспечивается официальными учреждениями страны - участницы соглашения, а счет за оказанные услуги направляется стране пребывания бенефициара;</w:t>
      </w:r>
    </w:p>
    <w:p w:rsidR="00000000" w:rsidRDefault="00000000">
      <w:pPr>
        <w:ind w:firstLine="567"/>
      </w:pPr>
    </w:p>
    <w:p w:rsidR="00000000" w:rsidRDefault="00000000">
      <w:pPr>
        <w:ind w:firstLine="567"/>
      </w:pPr>
      <w:r>
        <w:t>d)</w:t>
      </w:r>
      <w:r>
        <w:tab/>
        <w:t>выплаты пособий одним государством-участником бенефициара, проживающим в другом государстве:  в настоящее время Бразилия совместно с Испанией и Грецией использует механизм прямого кредитования, с помощью которого платежи переводятся бразильским бенефициарам, проживающим в обеих странах, на их текущие счета.  Что касается бразильских бенефициаров в Португалии, то выплаты производятся через так называемую "посредническую" организацию, назначаемую правительством Португалии.  В настоящее время Центральный банк Бразилии ведет переговоры относительно возможности распространения системы прямого кредитования на Италию, а затем и на другие страны, с которыми Бразилия имеет соглашения по вопросам социального обеспечения;</w:t>
      </w:r>
    </w:p>
    <w:p w:rsidR="00000000" w:rsidRDefault="00000000">
      <w:pPr>
        <w:ind w:firstLine="567"/>
      </w:pPr>
    </w:p>
    <w:p w:rsidR="00000000" w:rsidRDefault="00000000">
      <w:pPr>
        <w:ind w:firstLine="567"/>
      </w:pPr>
      <w:r>
        <w:t>e)</w:t>
      </w:r>
      <w:r>
        <w:tab/>
        <w:t>сохранение силы законов в области социального обеспечения страны происхождения служащего компании, работающего в одном государстве - участнике соглашения, в случае переезда этого работника на новое место работы, расположенное на территории другого государства.</w:t>
      </w:r>
    </w:p>
    <w:p w:rsidR="00000000" w:rsidRDefault="00000000">
      <w:pPr>
        <w:ind w:firstLine="567"/>
      </w:pPr>
    </w:p>
    <w:p w:rsidR="00000000" w:rsidRDefault="00000000">
      <w:r>
        <w:t>292.</w:t>
      </w:r>
      <w:r>
        <w:tab/>
        <w:t>По результатам проведенных исследований были названы 10 других стран, чьи тесные культурные, экономические, социальные и политические связи с Бразилией или чьи миграционные потоки делают целесообразным заключение двусторонних соглашений в области социального обеспечения.  Эти страны включают Соединенные Штаты Америки, Японию, Германию, Францию, Нидерланды, Швейцарию, Канаду, Корею и Суринам.  В настоящее время ведутся переговоры по заключению подобного соглашения с Нидерландами.</w:t>
      </w:r>
    </w:p>
    <w:p w:rsidR="00000000" w:rsidRDefault="00000000"/>
    <w:p w:rsidR="00000000" w:rsidRDefault="00000000">
      <w:r>
        <w:t>293.</w:t>
      </w:r>
      <w:r>
        <w:tab/>
        <w:t>Открываются новые возможности для проведения переговоров и заключения новых двусторонних соглашений, обеспечивающих предоставление социальных услуг, с соседними с Бразилией странами в связи с завершением обследования положения в приграничных районах, в результате которого были выявлены потребности в области социального обеспечения и намечены перспективы подобных соглашений.</w:t>
      </w:r>
    </w:p>
    <w:p w:rsidR="00000000" w:rsidRDefault="00000000"/>
    <w:p w:rsidR="00000000" w:rsidRDefault="00000000">
      <w:r>
        <w:t>294.</w:t>
      </w:r>
      <w:r>
        <w:tab/>
        <w:t>Правительство Бразилии хотело бы также отметить в своем докладе Комитету, что Многостороннее соглашение о социальном обеспечении, подписанное Бразилией и другими странами - членами МЕРКОСУР, направлено в Национальный конгресс на ратификацию.</w:t>
      </w:r>
    </w:p>
    <w:p w:rsidR="00000000" w:rsidRDefault="00000000"/>
    <w:p w:rsidR="00000000" w:rsidRDefault="00000000">
      <w:r>
        <w:t>295.</w:t>
      </w:r>
      <w:r>
        <w:tab/>
        <w:t>Международная помощь, таким образом, - это та область, которой бразильское правительство придает огромное значение в своих усилиях по улучшению стандартов содействия и защиты прав, закрепленных в статье 9 Международного пакта об экономических, социальных и культурных правах.</w:t>
      </w:r>
    </w:p>
    <w:p w:rsidR="00000000" w:rsidRDefault="00000000"/>
    <w:p w:rsidR="00000000" w:rsidRDefault="00000000">
      <w:pPr>
        <w:pStyle w:val="10"/>
        <w:rPr>
          <w:bCs/>
        </w:rPr>
      </w:pPr>
      <w:r>
        <w:rPr>
          <w:bCs/>
        </w:rPr>
        <w:t>Статья 10</w:t>
      </w:r>
    </w:p>
    <w:p w:rsidR="00000000" w:rsidRDefault="00000000"/>
    <w:p w:rsidR="00000000" w:rsidRDefault="00000000">
      <w:r>
        <w:t>296.</w:t>
      </w:r>
      <w:r>
        <w:tab/>
        <w:t>Что касается международных договоров по правам, перечисленным в статье 10 Международного пакта, которые в соответствии с рекомендацией Комитета подлежат рассмотрению, то правительство Бразилии хотело бы отметить следующее:</w:t>
      </w:r>
    </w:p>
    <w:p w:rsidR="00000000" w:rsidRDefault="00000000"/>
    <w:p w:rsidR="00000000" w:rsidRDefault="00000000">
      <w:r>
        <w:tab/>
        <w:t>а)</w:t>
      </w:r>
      <w:r>
        <w:tab/>
        <w:t>Конвенция о правах ребенка.  Бразилия подписала эту Конвенцию и ратифицировала ее 24 сентября 1990 года.  Она вступила в силу в Бразилии 23 октября 1990 года и была обнародована Декретом № 99710 от 21 ноября 1990 года.  В отношении прав ребенка и инструментов, обеспечивающих их поощрение и защиту в рамках Организации Объединенных Наций, следует сказать, что в ходе недавнего Саммита тысячелетия в Нью</w:t>
      </w:r>
      <w:r>
        <w:noBreakHyphen/>
        <w:t>Йорке вице-президент Бразилии подписал все Факультативные протоколы к Конвенции.  В одном из них рассматривается вопрос об участии детей в вооруженных конфликтах, а в другом поднимается проблема торговли детьми, детской проституции и детской порнографии.  Завершается работа по подготовке этих двух документов для представления в Национальный конгресс;</w:t>
      </w:r>
    </w:p>
    <w:p w:rsidR="00000000" w:rsidRDefault="00000000"/>
    <w:p w:rsidR="00000000" w:rsidRDefault="00000000">
      <w:r>
        <w:tab/>
      </w:r>
      <w:r>
        <w:rPr>
          <w:lang w:val="en-US"/>
        </w:rPr>
        <w:t>b</w:t>
      </w:r>
      <w:r>
        <w:t>)</w:t>
      </w:r>
      <w:r>
        <w:tab/>
        <w:t>Конвенция о ликвидации всех форм дискриминации против женщин.  Бразилия подписала Конвенцию и ратифицировала ее 1 февраля 1984 года</w:t>
      </w:r>
      <w:r>
        <w:rPr>
          <w:b/>
          <w:bCs/>
          <w:vertAlign w:val="superscript"/>
        </w:rPr>
        <w:t>15</w:t>
      </w:r>
      <w:r>
        <w:t>.  Она была обнародована Декретом № 89406 от 20 марта 1984 года.  В настоящее время ведется работа по изучению возможности подписания Факультативного протокола к этой Конвенции, принятого Генеральной Ассамблеей Организации Объединенных Наций 6 октября 1999 года.</w:t>
      </w:r>
    </w:p>
    <w:p w:rsidR="00000000" w:rsidRDefault="00000000"/>
    <w:p w:rsidR="00000000" w:rsidRDefault="00000000">
      <w:r>
        <w:tab/>
        <w:t>с)</w:t>
      </w:r>
      <w:r>
        <w:tab/>
        <w:t>Конвенция МОТ о защите материнства (пересмотренная) 1952 года (№ 103).  Бразилия ратифицировала эту Конвенцию 18 мая 1965 года.  На последней Конференции Международной организации труда был принят пересмотренный текст данной Конвенции.  Следует отметить, что бразильское законодательство выходит далеко за рамки рекомендаций Конвенции № 103 и ее пересмотренного текста;</w:t>
      </w:r>
    </w:p>
    <w:p w:rsidR="00000000" w:rsidRDefault="00000000"/>
    <w:p w:rsidR="00000000" w:rsidRDefault="00000000">
      <w:r>
        <w:tab/>
      </w:r>
      <w:r>
        <w:rPr>
          <w:lang w:val="en-US"/>
        </w:rPr>
        <w:t>d</w:t>
      </w:r>
      <w:r>
        <w:t>)</w:t>
      </w:r>
      <w:r>
        <w:tab/>
        <w:t>Конвенция МОТ о минимальном возрасте 1973 года (№ 138).  Бразилия приняла эту Конвенцию в Законодательном декрете № 179/1999.  Соответствующая ратификационная грамота была депонирована в МОТ в ходе последней Конференции Международной организации труда.</w:t>
      </w:r>
    </w:p>
    <w:p w:rsidR="00000000" w:rsidRDefault="00000000"/>
    <w:p w:rsidR="00000000" w:rsidRDefault="00000000">
      <w:r>
        <w:t>297.</w:t>
      </w:r>
      <w:r>
        <w:tab/>
        <w:t>В своих Руководящих принципах, касающихся представления докладов, Комитет по экономическим, социальным и культурным правам просил представлять комментарии о смысле понятия "Семья во имя общества".  В Бразилии широко распространены семьи с детьми (более двух третей семей);  за ними следуют супружеские пары без детей и семьи с одним родителем, в которых основная нагрузка ложится на женщин.  Семья играет важную роль в системе социальной солидарности и в определенной степени обеспечивает уход за уязвимыми лицами.  Право на формирование семьи полностью гарантируется законом, в соответствии с которым родители, даже не живущие вместе, несут ответственность за своих детей.</w:t>
      </w:r>
    </w:p>
    <w:p w:rsidR="00000000" w:rsidRDefault="00000000"/>
    <w:p w:rsidR="00000000" w:rsidRDefault="00000000">
      <w:r>
        <w:t>298.</w:t>
      </w:r>
      <w:r>
        <w:tab/>
        <w:t>Что касается вопросов совершеннолетия, то в Гражданском кодексе говорится, что лица, не достигшие 16 лет, не могут самостоятельно совершать действия, влекущие гражданскую ответственность.  В возрасте от 16 до 21 года неправоспособность носит относительный характер.  В соответствии с Гражданским кодексом обязательства, взятые на себя лицами старше 16 лет, но моложе 21 года без разрешения их законных представителей или опекуна, в зависимости от обстоятельств, могут быть признаны неправомерными.</w:t>
      </w:r>
    </w:p>
    <w:p w:rsidR="00000000" w:rsidRDefault="00000000"/>
    <w:p w:rsidR="00000000" w:rsidRDefault="00000000">
      <w:r>
        <w:t>299.</w:t>
      </w:r>
      <w:r>
        <w:tab/>
        <w:t>Правовая недееспособность несовершеннолетних кончается при достижении ими 18</w:t>
      </w:r>
      <w:r>
        <w:noBreakHyphen/>
        <w:t>летнего возраста, по согласию одного из родителей, по решению судьи, в результате вступления в брак, в связи с получением государственной должности, по окончании средней школы, по завершению учебы в высшем учебном заведении или в связи с созданием гражданского или коммерческого предприятия на собственные средства.</w:t>
      </w:r>
    </w:p>
    <w:p w:rsidR="00000000" w:rsidRDefault="00000000">
      <w:r>
        <w:t>300.</w:t>
      </w:r>
      <w:r>
        <w:tab/>
        <w:t>Для целей службы в армии гражданская правоспособность подростка наступает в тот день, когда ему исполняется 17 лет.  С точки зрения гражданского права совершеннолетие подростка наступает по достижении 21 года, когда он получает право совершать какие-либо законные действия.</w:t>
      </w:r>
    </w:p>
    <w:p w:rsidR="00000000" w:rsidRDefault="00000000"/>
    <w:p w:rsidR="00000000" w:rsidRDefault="00000000">
      <w:r>
        <w:t>301.</w:t>
      </w:r>
      <w:r>
        <w:tab/>
        <w:t>С точки зрения Уголовного кодекса в принятом в 1990 году Статуте ребенка и подростка были утверждены новые концепции поощрения прав детей и подростков и их защиты.  Этот статут пользуется международным признанием и признается специализированными органами Организации Объединенных Наций в качестве законодательного акта, являющегося новаторским даже по сравнению с законодательством стран, обладающих бóльшим опытом в этой области.  В Статут введены новые положения, которые существенно изменяют концепцию защиты несовершеннолетних.  Подростки, не достигшие 12 лет, не подлежат уголовной ответственности, а подростки в возрасте от 2 до 18 лет подпадают под действие специальных законов, и их дела рассматриваются специальными судами.  Несмотря на весь новаторский характер этих законов, правительство Бразилии признает тот факт, что их практическое исполнение пока не достигло желаемого уровня, обеспечивающего поощрение и защиту прав детей и подростков.  Правительство вновь подтверждает здесь свою решимость продолжать усилия, направленные на то, чтобы превратить Статут в конкретную реальность.</w:t>
      </w:r>
    </w:p>
    <w:p w:rsidR="00000000" w:rsidRDefault="00000000"/>
    <w:p w:rsidR="00000000" w:rsidRDefault="00000000">
      <w:r>
        <w:t>302.</w:t>
      </w:r>
      <w:r>
        <w:tab/>
        <w:t>Правовые нормы, непосредственно касающиеся детей и подростков, закреплены в следующих нормативных документах:  статьи 6, 9 и 154</w:t>
      </w:r>
      <w:r>
        <w:noBreakHyphen/>
        <w:t>156 Гражданского кодекса;  статья 73 Закона о воинской службе (Закон 4375 от 17 августа 1974 года) и Статут ребенка и подростка (Закон 8069 от 13 июля 1990 года).</w:t>
      </w:r>
    </w:p>
    <w:p w:rsidR="00000000" w:rsidRDefault="00000000"/>
    <w:p w:rsidR="00000000" w:rsidRDefault="00000000">
      <w:r>
        <w:t>303.</w:t>
      </w:r>
      <w:r>
        <w:tab/>
        <w:t>Что касается официальной и полуофициальной форм помощи семье и защиты семьи, то Конституция в интересах защиты государства рассматривает семью в качестве стабильного союза мужчины и женщины.  Церковные браки признаются для целей регистрации гражданского состояния;  церемония гражданской регистрации брака является бесплатной.</w:t>
      </w:r>
    </w:p>
    <w:p w:rsidR="00000000" w:rsidRDefault="00000000"/>
    <w:p w:rsidR="00000000" w:rsidRDefault="00000000">
      <w:r>
        <w:t>304.</w:t>
      </w:r>
      <w:r>
        <w:tab/>
        <w:t>Право на вступление в брак гарантировано как Конституцией, так и Гражданским кодексом.  Однако в части 1 Гражданского кодекса, посвященной положениям, касающимся прав семьи, устанавливаются следующие ограничения на вступление в брак до 21 года:  для заключения брак девушки моложе 16 лет и юноши моложе 18 лет должны заручиться согласием родителей (в отсутствие родителей требуется решение судебной инстанции).  Другими препятствиями к браку, предусмотренными в законе, являются прямое родство;  родство между братом и сестрой и между приемным ребенком и его братом или сестрой;  состояние в другом браке;  опекунство;  и отсутствие разрешения родителей (ограничение по возрасту).</w:t>
      </w:r>
    </w:p>
    <w:p w:rsidR="00000000" w:rsidRDefault="00000000"/>
    <w:p w:rsidR="00000000" w:rsidRDefault="00000000">
      <w:r>
        <w:t>305.</w:t>
      </w:r>
      <w:r>
        <w:tab/>
        <w:t>Родители отвечают за воспитание, уход и образование своих детей.  Соответствующие нормы содержатся в Федеральной конституции (статья 226) и Гражданском кодексе (книга 1, статья 183 ff и статья 0231).</w:t>
      </w:r>
    </w:p>
    <w:p w:rsidR="00000000" w:rsidRDefault="00000000"/>
    <w:p w:rsidR="00000000" w:rsidRDefault="00000000">
      <w:r>
        <w:t>306.</w:t>
      </w:r>
      <w:r>
        <w:tab/>
        <w:t>Защита материнства, помощь дошкольникам и школьное обучение </w:t>
      </w:r>
      <w:r>
        <w:sym w:font="Symbol" w:char="F02D"/>
      </w:r>
      <w:r>
        <w:t xml:space="preserve"> эти и другие меры, принимаемые государством, направлены на обеспечение защиты как каждого человека в отдельности, так и в составе семьи.  Аналогичные услуги предоставляются и в сфере социального обеспечения в виде выплат пособий по уходу за детьми и пособий на семью.</w:t>
      </w:r>
    </w:p>
    <w:p w:rsidR="00000000" w:rsidRDefault="00000000"/>
    <w:p w:rsidR="00000000" w:rsidRDefault="00000000">
      <w:r>
        <w:t>307.</w:t>
      </w:r>
      <w:r>
        <w:tab/>
        <w:t>С декабря 1999 года пособие по уходу за ребенком гарантировано всем женщинам, зарегистрированным в системе социального обеспечения независимо от того, работают они или нет.  Бразильская система охраны материнства основывается на следующих правовых и конституциональных положениях:  на статье 7, xviii;  статье 203,I и статье 208 iv) Федеральной конституции 1988 года;  на Конвенции № 103 МОТ;  на разделе V главы III части III Сводного трудового законодательства.</w:t>
      </w:r>
    </w:p>
    <w:p w:rsidR="00000000" w:rsidRDefault="00000000"/>
    <w:p w:rsidR="00000000" w:rsidRDefault="00000000">
      <w:r>
        <w:t>308.</w:t>
      </w:r>
      <w:r>
        <w:tab/>
        <w:t>До 1999 года пособие по охране материнства не распространялось на самодеятельных женщин, предпринимательниц и женщин, которые добровольно зарегистрировались в системе социального обеспечения, несмотря на то, что пособие разрешалось вычитать из налогов.  Цель недавно принятых поправок состоит в том, чтобы распространить эту льготу на всех женщин, работающих как по найму, так и самостоятельно.  Даже если женщина работает в неформальном секторе, она все равно имеет право на получение этого пособия.  В соответствии с законом пособие по охране материнства и другие меры защиты распространяются и на государственных служащих с начала периода беременности.</w:t>
      </w:r>
    </w:p>
    <w:p w:rsidR="00000000" w:rsidRDefault="00000000"/>
    <w:p w:rsidR="00000000" w:rsidRDefault="00000000">
      <w:r>
        <w:t>309.</w:t>
      </w:r>
      <w:r>
        <w:tab/>
        <w:t>Для того чтобы составить более четкое представление о масштабах охраны материнства, следует рассмотреть два аспекта:  защиту работающих матерей и защиту их детей.</w:t>
      </w:r>
    </w:p>
    <w:p w:rsidR="00000000" w:rsidRDefault="00000000"/>
    <w:p w:rsidR="00000000" w:rsidRDefault="00000000">
      <w:r>
        <w:t>310.</w:t>
      </w:r>
      <w:r>
        <w:tab/>
        <w:t>Что касается защиты работающей матери, то здесь применяется принцип недискриминации на основании беременности (Сводное трудовое законодательство (СТЗ), статья 391, заголовок к статье и ее единственный пункт).  В соответствии с этим положением гарантируются следующие права:  право на отпуск по беременности (Федеральная конституция 1988 года, статья 7, xviii, и СТЗ, статья 392);  сохранение заработной платы, прав и льгот в период отпуска по беременности;  возвращение на ту же должность, которую женщина занимала до ухода в отпуск по беременности (СТЗ, статья 393);  прекращение действия трудового соглашения в случае, если работа может нанести ущерб беременности (СТЗ, статья 394);  и право на оплачиваемый период реабилитации, если имел место выкидыш, и возращение на ту же должность, которую женщина занимала до ухода в отпуск по беременности (СТЗ, статья 395).</w:t>
      </w:r>
    </w:p>
    <w:p w:rsidR="00000000" w:rsidRDefault="00000000"/>
    <w:p w:rsidR="00000000" w:rsidRDefault="00000000">
      <w:r>
        <w:t>311.</w:t>
      </w:r>
      <w:r>
        <w:tab/>
        <w:t>Другим правом, гарантированным беременной работающей женщине, является запрет на произвольное или необоснованное увольнение в связи с беременностью в период, начинающийся с официального подтверждения беременности и заканчивающегося на пятом месяце жизни новорожденного.  Это положение о так называемом временном пребывании в должности беременной работницы содержится в Законе о промежуточных конституционных положениях (статья 10, II, b)).  Расторжение трудового соглашения в отношении такой работницы в период временного пребывания в должности не гарантирует право на возвращение на ту же должность, а дает лишь право на получение заработной платы и пособий, соответствующих этому периоду и его различным последствиям.  В этой связи уже был создан неоспоренный прецедент в Высшем трудовом суде </w:t>
      </w:r>
      <w:r>
        <w:sym w:font="Symbol" w:char="F02D"/>
      </w:r>
      <w:r>
        <w:t xml:space="preserve"> ВТС (Заключение ВТС № 244).</w:t>
      </w:r>
    </w:p>
    <w:p w:rsidR="00000000" w:rsidRDefault="00000000"/>
    <w:p w:rsidR="00000000" w:rsidRDefault="00000000">
      <w:r>
        <w:t>312.</w:t>
      </w:r>
      <w:r>
        <w:tab/>
        <w:t>Что касается защиты прав ребенка, то в Сводном трудовом законодательстве предусматривается два специальных 30-минутных перерыва в течение рабочего дня матери для кормления ребенка.  Это положение действует до тех пор, пока ребенку не исполнится шесть месяцев (СТЗ, статья 396).  В СТЗ также рекомендуется, чтобы полуправительственные ведомства (СЕСИ, СЕСК, ЛБА) и другие общественные организации, занимающиеся вопросами положения детей, в зависимости от имеющихся у них возможностей, организовывали ясли и детские сады в районах с большой концентрацией рабочих, с тем чтобы обеспечить особый уход детям работающих матерей (СТЗ, статья 397).</w:t>
      </w:r>
    </w:p>
    <w:p w:rsidR="00000000" w:rsidRDefault="00000000"/>
    <w:p w:rsidR="00000000" w:rsidRDefault="00000000">
      <w:r>
        <w:t>313.</w:t>
      </w:r>
      <w:r>
        <w:tab/>
        <w:t>Отпуск по беременности предоставляется сроком на 120 дней двумя частями:  28 дней до рождения ребенка и 92 дня после.  Мать, по ее просьбе, имеет право на отпуск по беременности без перерыва сразу же после рождения ребенка.</w:t>
      </w:r>
    </w:p>
    <w:p w:rsidR="00000000" w:rsidRDefault="00000000"/>
    <w:p w:rsidR="00000000" w:rsidRDefault="00000000">
      <w:r>
        <w:t>314.</w:t>
      </w:r>
      <w:r>
        <w:tab/>
        <w:t xml:space="preserve">Основная льгота, предоставляемая работающей женщине во время отпуска по беременности, - это пособие по уходу за ребенком (Федеральная конституция 1988 года, статья 7 </w:t>
      </w:r>
      <w:r>
        <w:rPr>
          <w:lang w:val="en-US"/>
        </w:rPr>
        <w:t>xviii</w:t>
      </w:r>
      <w:r>
        <w:t xml:space="preserve">)), которое выплачивается непосредственно из средств системы социального обеспечения.  Государство обязано содействовать принятию мер и оказанию услуг в области общественного здравоохранения и социального обеспечения, чтобы оказывать помощь всем нуждающимся в ней лицам, включая работающих женщин в период беременности и во время отпуска по уходу за ребенком (Федеральная конституция 1988 года, статья 198 </w:t>
      </w:r>
      <w:r>
        <w:rPr>
          <w:lang w:val="en-US"/>
        </w:rPr>
        <w:t>ii</w:t>
      </w:r>
      <w:r>
        <w:t xml:space="preserve">) и статья 203 </w:t>
      </w:r>
      <w:r>
        <w:rPr>
          <w:lang w:val="en-US"/>
        </w:rPr>
        <w:t>i</w:t>
      </w:r>
      <w:r>
        <w:t>)).</w:t>
      </w:r>
    </w:p>
    <w:p w:rsidR="00000000" w:rsidRDefault="00000000"/>
    <w:p w:rsidR="00000000" w:rsidRDefault="00000000">
      <w:r>
        <w:t>315.</w:t>
      </w:r>
      <w:r>
        <w:tab/>
        <w:t>С декабря 1999 года пособие в сумме, равной полному окладу работницы, выплачивается непосредственно из средств системы социального обеспечения.  До этого пособие по беременности и родам женщинам, работающим на дому и самостоятельно, выплачивалось из средств системы социального обеспечения, а пособие всем другим работающим женщинам выплачивалось предприятиями по месту работы, даже если пособие поступало из системы социального обеспечения.</w:t>
      </w:r>
    </w:p>
    <w:p w:rsidR="00000000" w:rsidRDefault="00000000"/>
    <w:p w:rsidR="00000000" w:rsidRDefault="00000000">
      <w:r>
        <w:t>316.</w:t>
      </w:r>
      <w:r>
        <w:tab/>
        <w:t>Расходы на медицинское обслуживание - другая льгота, предоставляемая бразильским государством, - покрываются за счет бесплатной государственной системы здравоохранения в рамках имеющихся возможностей.  В таблице 42 ниже приведены данные о выплатах по беременности и родам в период 1995-1999 годов:</w:t>
      </w:r>
    </w:p>
    <w:p w:rsidR="00000000" w:rsidRDefault="00000000"/>
    <w:p w:rsidR="00000000" w:rsidRDefault="00000000">
      <w:pPr>
        <w:pStyle w:val="10"/>
        <w:rPr>
          <w:bCs/>
        </w:rPr>
      </w:pPr>
      <w:r>
        <w:rPr>
          <w:bCs/>
        </w:rPr>
        <w:t>Таблица 42.   Выплаты по беременности и родам, 1995-1999 годы</w:t>
      </w:r>
    </w:p>
    <w:p w:rsidR="00000000" w:rsidRDefault="00000000">
      <w:pPr>
        <w:pStyle w:val="10"/>
        <w:rPr>
          <w:bCs/>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
        <w:gridCol w:w="3179"/>
        <w:gridCol w:w="4301"/>
      </w:tblGrid>
      <w:tr w:rsidR="00000000">
        <w:tblPrEx>
          <w:tblCellMar>
            <w:top w:w="0" w:type="dxa"/>
            <w:bottom w:w="0" w:type="dxa"/>
          </w:tblCellMar>
        </w:tblPrEx>
        <w:tc>
          <w:tcPr>
            <w:tcW w:w="935" w:type="dxa"/>
          </w:tcPr>
          <w:p w:rsidR="00000000" w:rsidRDefault="00000000">
            <w:pPr>
              <w:pStyle w:val="FootnoteText"/>
              <w:spacing w:line="288" w:lineRule="auto"/>
              <w:jc w:val="center"/>
            </w:pPr>
            <w:r>
              <w:t>Год</w:t>
            </w:r>
          </w:p>
        </w:tc>
        <w:tc>
          <w:tcPr>
            <w:tcW w:w="3179" w:type="dxa"/>
          </w:tcPr>
          <w:p w:rsidR="00000000" w:rsidRDefault="00000000">
            <w:pPr>
              <w:pStyle w:val="16"/>
            </w:pPr>
            <w:r>
              <w:t>Количество по состоянию</w:t>
            </w:r>
          </w:p>
          <w:p w:rsidR="00000000" w:rsidRDefault="00000000">
            <w:pPr>
              <w:pStyle w:val="16"/>
            </w:pPr>
            <w:r>
              <w:t>на декабрь</w:t>
            </w:r>
          </w:p>
        </w:tc>
        <w:tc>
          <w:tcPr>
            <w:tcW w:w="4301" w:type="dxa"/>
          </w:tcPr>
          <w:p w:rsidR="00000000" w:rsidRDefault="00000000">
            <w:pPr>
              <w:jc w:val="center"/>
            </w:pPr>
            <w:r>
              <w:t>Сумма (в млн. реалов, июнь 1999 года,</w:t>
            </w:r>
          </w:p>
          <w:p w:rsidR="00000000" w:rsidRDefault="00000000">
            <w:pPr>
              <w:jc w:val="center"/>
            </w:pPr>
            <w:r>
              <w:t>кумулятивно за год)</w:t>
            </w:r>
          </w:p>
        </w:tc>
      </w:tr>
      <w:tr w:rsidR="00000000">
        <w:tblPrEx>
          <w:tblCellMar>
            <w:top w:w="0" w:type="dxa"/>
            <w:bottom w:w="0" w:type="dxa"/>
          </w:tblCellMar>
        </w:tblPrEx>
        <w:tc>
          <w:tcPr>
            <w:tcW w:w="935" w:type="dxa"/>
          </w:tcPr>
          <w:p w:rsidR="00000000" w:rsidRDefault="00000000">
            <w:r>
              <w:t>1995</w:t>
            </w:r>
          </w:p>
        </w:tc>
        <w:tc>
          <w:tcPr>
            <w:tcW w:w="3179" w:type="dxa"/>
          </w:tcPr>
          <w:p w:rsidR="00000000" w:rsidRDefault="00000000">
            <w:pPr>
              <w:jc w:val="center"/>
            </w:pPr>
            <w:r>
              <w:t>14 895</w:t>
            </w:r>
          </w:p>
        </w:tc>
        <w:tc>
          <w:tcPr>
            <w:tcW w:w="4301" w:type="dxa"/>
          </w:tcPr>
          <w:p w:rsidR="00000000" w:rsidRDefault="00000000">
            <w:pPr>
              <w:jc w:val="center"/>
            </w:pPr>
            <w:r>
              <w:t>14,77</w:t>
            </w:r>
          </w:p>
        </w:tc>
      </w:tr>
      <w:tr w:rsidR="00000000">
        <w:tblPrEx>
          <w:tblCellMar>
            <w:top w:w="0" w:type="dxa"/>
            <w:bottom w:w="0" w:type="dxa"/>
          </w:tblCellMar>
        </w:tblPrEx>
        <w:tc>
          <w:tcPr>
            <w:tcW w:w="935" w:type="dxa"/>
          </w:tcPr>
          <w:p w:rsidR="00000000" w:rsidRDefault="00000000">
            <w:r>
              <w:t>1996</w:t>
            </w:r>
          </w:p>
        </w:tc>
        <w:tc>
          <w:tcPr>
            <w:tcW w:w="3179" w:type="dxa"/>
          </w:tcPr>
          <w:p w:rsidR="00000000" w:rsidRDefault="00000000">
            <w:pPr>
              <w:jc w:val="center"/>
            </w:pPr>
            <w:r>
              <w:t>20 214</w:t>
            </w:r>
          </w:p>
        </w:tc>
        <w:tc>
          <w:tcPr>
            <w:tcW w:w="4301" w:type="dxa"/>
          </w:tcPr>
          <w:p w:rsidR="00000000" w:rsidRDefault="00000000">
            <w:pPr>
              <w:pStyle w:val="16"/>
            </w:pPr>
            <w:r>
              <w:t>22,98</w:t>
            </w:r>
          </w:p>
        </w:tc>
      </w:tr>
      <w:tr w:rsidR="00000000">
        <w:tblPrEx>
          <w:tblCellMar>
            <w:top w:w="0" w:type="dxa"/>
            <w:bottom w:w="0" w:type="dxa"/>
          </w:tblCellMar>
        </w:tblPrEx>
        <w:tc>
          <w:tcPr>
            <w:tcW w:w="935" w:type="dxa"/>
          </w:tcPr>
          <w:p w:rsidR="00000000" w:rsidRDefault="00000000">
            <w:r>
              <w:t>1997</w:t>
            </w:r>
          </w:p>
        </w:tc>
        <w:tc>
          <w:tcPr>
            <w:tcW w:w="3179" w:type="dxa"/>
          </w:tcPr>
          <w:p w:rsidR="00000000" w:rsidRDefault="00000000">
            <w:pPr>
              <w:jc w:val="center"/>
            </w:pPr>
            <w:r>
              <w:t>27 094</w:t>
            </w:r>
          </w:p>
        </w:tc>
        <w:tc>
          <w:tcPr>
            <w:tcW w:w="4301" w:type="dxa"/>
          </w:tcPr>
          <w:p w:rsidR="00000000" w:rsidRDefault="00000000">
            <w:pPr>
              <w:jc w:val="center"/>
            </w:pPr>
            <w:r>
              <w:t>34,50</w:t>
            </w:r>
          </w:p>
        </w:tc>
      </w:tr>
      <w:tr w:rsidR="00000000">
        <w:tblPrEx>
          <w:tblCellMar>
            <w:top w:w="0" w:type="dxa"/>
            <w:bottom w:w="0" w:type="dxa"/>
          </w:tblCellMar>
        </w:tblPrEx>
        <w:tc>
          <w:tcPr>
            <w:tcW w:w="935" w:type="dxa"/>
          </w:tcPr>
          <w:p w:rsidR="00000000" w:rsidRDefault="00000000">
            <w:r>
              <w:t>1998</w:t>
            </w:r>
          </w:p>
        </w:tc>
        <w:tc>
          <w:tcPr>
            <w:tcW w:w="3179" w:type="dxa"/>
          </w:tcPr>
          <w:p w:rsidR="00000000" w:rsidRDefault="00000000">
            <w:pPr>
              <w:jc w:val="center"/>
            </w:pPr>
            <w:r>
              <w:t>34 175</w:t>
            </w:r>
          </w:p>
        </w:tc>
        <w:tc>
          <w:tcPr>
            <w:tcW w:w="4301" w:type="dxa"/>
          </w:tcPr>
          <w:p w:rsidR="00000000" w:rsidRDefault="00000000">
            <w:pPr>
              <w:jc w:val="center"/>
            </w:pPr>
            <w:r>
              <w:t>48,97</w:t>
            </w:r>
          </w:p>
        </w:tc>
      </w:tr>
      <w:tr w:rsidR="00000000">
        <w:tblPrEx>
          <w:tblCellMar>
            <w:top w:w="0" w:type="dxa"/>
            <w:bottom w:w="0" w:type="dxa"/>
          </w:tblCellMar>
        </w:tblPrEx>
        <w:tc>
          <w:tcPr>
            <w:tcW w:w="935" w:type="dxa"/>
          </w:tcPr>
          <w:p w:rsidR="00000000" w:rsidRDefault="00000000">
            <w:r>
              <w:t>1999</w:t>
            </w:r>
          </w:p>
        </w:tc>
        <w:tc>
          <w:tcPr>
            <w:tcW w:w="3179" w:type="dxa"/>
          </w:tcPr>
          <w:p w:rsidR="00000000" w:rsidRDefault="00000000">
            <w:pPr>
              <w:jc w:val="center"/>
            </w:pPr>
            <w:r>
              <w:t>38 176</w:t>
            </w:r>
          </w:p>
        </w:tc>
        <w:tc>
          <w:tcPr>
            <w:tcW w:w="4301" w:type="dxa"/>
          </w:tcPr>
          <w:p w:rsidR="00000000" w:rsidRDefault="00000000">
            <w:pPr>
              <w:jc w:val="center"/>
            </w:pPr>
            <w:r>
              <w:t>63,86</w:t>
            </w:r>
          </w:p>
        </w:tc>
      </w:tr>
    </w:tbl>
    <w:p w:rsidR="00000000" w:rsidRDefault="00000000"/>
    <w:p w:rsidR="00000000" w:rsidRDefault="00000000">
      <w:r>
        <w:tab/>
      </w:r>
      <w:r>
        <w:rPr>
          <w:u w:val="single"/>
        </w:rPr>
        <w:t>Источник</w:t>
      </w:r>
      <w:r>
        <w:t>:  Ежегодный статистический справочник по социальному обеспечению и статистический бюллетень по социальному обеспечению.</w:t>
      </w:r>
    </w:p>
    <w:p w:rsidR="00000000" w:rsidRDefault="00000000"/>
    <w:p w:rsidR="00000000" w:rsidRDefault="00000000">
      <w:r>
        <w:t>317.</w:t>
      </w:r>
      <w:r>
        <w:tab/>
        <w:t>В рамках бразильской правовой системы все работающие женщины имеют право на охрану материнства в соответствии с теми положениями, которые описаны выше.  В действительности, однако, это право нередко нарушается в отношении тех женщин, у которых нет регистрационной карточки служащего (неформальный рынок).  Это происходит потому, что нигде не зафиксирован факт их регистрации в качестве работающих женщин, которые вносят свой страховой взнос в систему социального обеспечения, что позволяет не соблюдать действующие законы.  Правительство в настоящее время разрабатывает контрольные механизмы для устранения такого положения.  Один из способов предотвращения нарушений - это принятие мер по упорядочению положения работающей женщины с тем, чтобы узаконить работу на формальном рынке труда (произвести соответствующую запись в ее трудовой книжке).  Если ей в этом будет отказано, она может подать в суд на своего работодателя и заставить его заплатить штраф (административный штраф).</w:t>
      </w:r>
    </w:p>
    <w:p w:rsidR="00000000" w:rsidRDefault="00000000"/>
    <w:p w:rsidR="00000000" w:rsidRDefault="00000000">
      <w:r>
        <w:t>318.</w:t>
      </w:r>
      <w:r>
        <w:tab/>
        <w:t>Здравоохранением в Бразилии охвачены все женщины.  Трудовое страхование, однако, распространяется только на тех работающих женщин, которые вносят свой вклад в социальное обеспечение.</w:t>
      </w:r>
    </w:p>
    <w:p w:rsidR="00000000" w:rsidRDefault="00000000"/>
    <w:p w:rsidR="00000000" w:rsidRDefault="00000000">
      <w:r>
        <w:t>319.</w:t>
      </w:r>
      <w:r>
        <w:tab/>
        <w:t>В руководящих принципах Комитета государствам предлагается решить проблему детского труда.  В этой связи правительство Бразилии хотело бы отметить, что борьба с практикой использования труда детей и случаями использования труда подростков является одной из его главных задач, в особенности в том, что касается так называемых нетерпимых форм труда, которые сказываются на здоровье, безопасности и моральном состоянии детей и молодых людей.</w:t>
      </w:r>
    </w:p>
    <w:p w:rsidR="00000000" w:rsidRDefault="00000000"/>
    <w:p w:rsidR="00000000" w:rsidRDefault="00000000">
      <w:r>
        <w:t>320.</w:t>
      </w:r>
      <w:r>
        <w:tab/>
        <w:t>Этот вопрос стоит в повестке дня социальной политики Бразилии, волнуя не только правительство, но и все общество.  Правительство, однако, понимает, что на нем лежит основная ответственность за разработку политики и законодательства, стратегий и действий, направленных на ликвидацию детского труда во всех его нетерпимых формах и проявлениях, поскольку эксплуатация детского труда не соответствует этике демократического общества, преисполненного решимости гарантировать справедливость и равные возможности для всех его граждан.</w:t>
      </w:r>
    </w:p>
    <w:p w:rsidR="00000000" w:rsidRDefault="00000000"/>
    <w:p w:rsidR="00000000" w:rsidRDefault="00000000">
      <w:r>
        <w:t>321.</w:t>
      </w:r>
      <w:r>
        <w:tab/>
        <w:t>Вместе с тем детский труд являет собой весьма сложную проблему.  В стране, подобной Бразилии, любой анализ этой проблемы должен учитывать несколько факторов.  Практика применения детского труда в первую очередь ассоциируется с бедностью, неравенством и социальной маргинализацией;  с факторами культурного или экономического порядка и с вопросами социальной организации производства;  с региональными культурными особенностями, сказывающимися на восприятии труда, особенно когда детей приобщают к занятиям с тем, чтобы избавить их от безделья или даже от возможного вступления на путь совершения преступлений;  с факторами, связанными с традиционными и распространенными формами экономической организации, в особенности в том, что касается мелкомасштабного фермерства</w:t>
      </w:r>
      <w:r>
        <w:rPr>
          <w:b/>
          <w:bCs/>
          <w:vertAlign w:val="superscript"/>
        </w:rPr>
        <w:t>16</w:t>
      </w:r>
      <w:r>
        <w:t>.</w:t>
      </w:r>
    </w:p>
    <w:p w:rsidR="00000000" w:rsidRDefault="00000000"/>
    <w:p w:rsidR="00000000" w:rsidRDefault="00000000">
      <w:r>
        <w:t>322.</w:t>
      </w:r>
      <w:r>
        <w:tab/>
        <w:t>Признавая наличие этой проблемы в Бразилии и ее сложность, правительство в тесном сотрудничестве со всем обществом предпринимает усилия по разработке законов, формированию институтов и созданию программ в целях борьбы со всеми формами детского труда.  В этом отношении важными представляются не только цифры, свидетельствующие о раннем начале трудовой деятельности ребенка, но и сведения о характере работы, и в особенности об условиях труда, а также об опасностях и угрозах, которые подстерегают детей.</w:t>
      </w:r>
    </w:p>
    <w:p w:rsidR="00000000" w:rsidRDefault="00000000"/>
    <w:p w:rsidR="00000000" w:rsidRDefault="00000000">
      <w:r>
        <w:t>323.</w:t>
      </w:r>
      <w:r>
        <w:tab/>
        <w:t>В Бразилии опасные для ребенка условия труда существуют в сельских районах, в угольных шахтах, каменоломнях, в местах переработки сезаля, на плантациях сахарного тростника и в местах добычи соли.  В городских районах опасности подстерегают детей, работающих в неформальном секторе, и в некоторых сферах формального сектора, например в мастерских по пошиву обуви.  Дети также занимаются противозаконной, антиобщественной и особо опасной деятельностью, например проституцией и торговлей наркотиками.</w:t>
      </w:r>
    </w:p>
    <w:p w:rsidR="00000000" w:rsidRDefault="00000000"/>
    <w:p w:rsidR="00000000" w:rsidRDefault="00000000">
      <w:r>
        <w:t>324.</w:t>
      </w:r>
      <w:r>
        <w:tab/>
        <w:t xml:space="preserve">Детский фонд Организации Объединенных Наций (ЮНИСЕФ) приводит следующие факторы, которые в совокупности или по отдельности делают работу на ранних стадиях жизни ребенка опасной для образовательного, психологического и социального развития детей:  </w:t>
      </w:r>
      <w:r>
        <w:rPr>
          <w:lang w:val="en-US"/>
        </w:rPr>
        <w:t>i</w:t>
      </w:r>
      <w:r>
        <w:t xml:space="preserve">)  работа на условиях полной занятости в раннем возрасте;  </w:t>
      </w:r>
      <w:r>
        <w:rPr>
          <w:lang w:val="en-US"/>
        </w:rPr>
        <w:t>ii</w:t>
      </w:r>
      <w:r>
        <w:t xml:space="preserve">)  продолжительный рабочий день;  </w:t>
      </w:r>
      <w:r>
        <w:rPr>
          <w:lang w:val="en-US"/>
        </w:rPr>
        <w:t>iii</w:t>
      </w:r>
      <w:r>
        <w:t xml:space="preserve">)  работа, приводящая к физическим, социальным или психологическим стрессовым ситуациям или вредная для всестороннего психологического и общественного развития ребенка;  </w:t>
      </w:r>
      <w:r>
        <w:rPr>
          <w:lang w:val="en-US"/>
        </w:rPr>
        <w:t>iv</w:t>
      </w:r>
      <w:r>
        <w:t xml:space="preserve">)  работа на улице в опасных условиях, наносящая физический и моральный ущерб здоровью ребенка;  </w:t>
      </w:r>
      <w:r>
        <w:rPr>
          <w:lang w:val="en-US"/>
        </w:rPr>
        <w:t>v</w:t>
      </w:r>
      <w:r>
        <w:t xml:space="preserve">)  работа, мешающая ребенку посещать школу;  </w:t>
      </w:r>
      <w:r>
        <w:rPr>
          <w:lang w:val="en-US"/>
        </w:rPr>
        <w:t>vi</w:t>
      </w:r>
      <w:r>
        <w:t xml:space="preserve">)  работа, связанная с чрезмерной по отношению к возрасту ребенка ответственностью;  </w:t>
      </w:r>
      <w:r>
        <w:rPr>
          <w:lang w:val="en-US"/>
        </w:rPr>
        <w:t>vii</w:t>
      </w:r>
      <w:r>
        <w:t xml:space="preserve">)  работа, которая компрометирует или ставит под угрозу достоинство и самоуважение ребенка, в особенности работа, предусматривающая насильственный труд или сексуальную эксплуатацию;  и  </w:t>
      </w:r>
      <w:r>
        <w:rPr>
          <w:lang w:val="en-US"/>
        </w:rPr>
        <w:t>viii</w:t>
      </w:r>
      <w:r>
        <w:t>)  низкооплачиваемая работа.</w:t>
      </w:r>
    </w:p>
    <w:p w:rsidR="00000000" w:rsidRDefault="00000000"/>
    <w:p w:rsidR="00000000" w:rsidRDefault="00000000">
      <w:r>
        <w:t>325.</w:t>
      </w:r>
      <w:r>
        <w:tab/>
        <w:t>Проблему детского труда в Бразилии следует рассматривать также под углом зрения трудовой деятельности семьи.  Даже в самых последних данных, полученных в рамках Общенационального выборочного обследования домашних хозяйств, отсутствует информация о труде детей в семье.  Однако, учитывая значение этого явления, Бразильский институт географии и статистики в настоящее время проводит изучение этой области.</w:t>
      </w:r>
    </w:p>
    <w:p w:rsidR="00000000" w:rsidRDefault="00000000"/>
    <w:p w:rsidR="00000000" w:rsidRDefault="00000000">
      <w:r>
        <w:t>326.</w:t>
      </w:r>
      <w:r>
        <w:tab/>
        <w:t>Во многих случаях представляется трудным установить факт привлечения ребенка к труду, поскольку работодатели, как правило, не нанимают детей напрямую.  Например, родители могут поступить на работу, связанную с шитьем одежды или со сборкой или производством запасных частей.  Поскольку они обязаны выполнить свой производственный план, они заставляют всю свою семью работать на дому, где контроль практически невозможен.</w:t>
      </w:r>
    </w:p>
    <w:p w:rsidR="00000000" w:rsidRDefault="00000000"/>
    <w:p w:rsidR="00000000" w:rsidRDefault="00000000">
      <w:r>
        <w:t>327.</w:t>
      </w:r>
      <w:r>
        <w:tab/>
        <w:t>В Конституции 1988 года устанавливается минимальный возраст для начала занятия трудом на уровне 14 лет.  В возрасте 12</w:t>
      </w:r>
      <w:r>
        <w:noBreakHyphen/>
        <w:t>14 лет дети могут работать лишь в качестве учеников.  Правительство Бразилии направило в Национальный конгресс предложение, содержащее конституционную поправку, согласно которой труд детей в возрасте до 14 лет является противозаконным, даже если они работают в качестве учеников.  В Статут ребенка и подростка 1999 года СЗП были включены некоторые из принципов Конвенции № 138 МОТ, в которой устанавливается минимальный возраст для начала трудовой деятельности и определяются некоторые ограничения на труд детей моложе 14 лет.</w:t>
      </w:r>
    </w:p>
    <w:p w:rsidR="00000000" w:rsidRDefault="00000000"/>
    <w:p w:rsidR="00000000" w:rsidRDefault="00000000">
      <w:r>
        <w:t>328.</w:t>
      </w:r>
      <w:r>
        <w:tab/>
        <w:t xml:space="preserve">Что касается принимаемых правительством мер по ликвидации детского труда, то следует отметить, что в последние годы в этой области была создана определенная правовая структура.  В каждом штате под эгидой министерства труда была сформирована государственная комиссия по борьбе с детским трудом.  В министерстве юстиции был создан национальный совет по правам ребенка и подростка (КОНАНДА).  Также под эгидой министерства юстиции на уровне штата и городов были созданы советы по правам ребенка и подростков и советы попечителей.  </w:t>
      </w:r>
    </w:p>
    <w:p w:rsidR="00000000" w:rsidRDefault="00000000"/>
    <w:p w:rsidR="00000000" w:rsidRDefault="00000000">
      <w:r>
        <w:t>329.</w:t>
      </w:r>
      <w:r>
        <w:tab/>
        <w:t>Для того чтобы объединить инициативы в этой области, федеральное правительство учредило Группу по вопросам борьбы с насильственным детским трудом ГЕРТРАФ, в состав которой вошли семь министерств и координация деятельности которой была поручена министерству труда.  Главные усилия, направленные на интеграцию инициатив правительства и общества, осуществляются Национальным форумом по предотвращению и ликвидации детского труда, который пользуется поддержкой ЮНИСЕФ и МОТ.  Под эгидой Форума был разработан комплексный план действий (КПД), в рамках которого выплачиваются пособия семьям, запрещающим своим детям работать и обеспечивающим их школьное обучение.</w:t>
      </w:r>
    </w:p>
    <w:p w:rsidR="00000000" w:rsidRDefault="00000000"/>
    <w:p w:rsidR="00000000" w:rsidRDefault="00000000">
      <w:r>
        <w:t>330.</w:t>
      </w:r>
      <w:r>
        <w:tab/>
        <w:t>Информация о работе над этой проблемой и формах, с помощью которых правительство и общество решают ее на практике, неоднократно доводилась до сведения национальных и международных форумов и фигурировала в документах, посвященных вопросу детского труда.  Несмотря на прогресс, достигнутый в понимании данной проблемы, и несмотря на осуществленные инициативы, предстоит еще многое сделать не только в плане разработки новых стратегий, но и в отношении обеспечения институциональной координации внутри различных правительственных секторов и вне их, с тем чтобы расширить деятельность, направленную на борьбу с детским трудом.</w:t>
      </w:r>
    </w:p>
    <w:p w:rsidR="00000000" w:rsidRDefault="00000000"/>
    <w:p w:rsidR="00000000" w:rsidRDefault="00000000">
      <w:r>
        <w:t>331.</w:t>
      </w:r>
      <w:r>
        <w:tab/>
        <w:t>Ниже приводится информация о некоторых характерных особенностях детского труда в Бразилии.  Анализ, проведенный во второй половине 90-х годов, содержит данные, собранные Бразильским институтом географии и статистики</w:t>
      </w:r>
      <w:r>
        <w:rPr>
          <w:b/>
          <w:bCs/>
          <w:vertAlign w:val="superscript"/>
        </w:rPr>
        <w:t>17</w:t>
      </w:r>
      <w:r>
        <w:t>.  Необходимо добавить, что проведенные с тех пор на более высоком уровне обзоры и более глубокие исследования указывают на тенденцию к снижению остроты существующей проблемы.  Это видно из Общенационального выборочного обследования домашних хозяйств 1999 года, которое показало, что число работающих детей в возрасте от 5 до 14 лет сократилось в процентном отношении с 11% в 1995 году до 9%.  Из 2 908 341 работающих детей и подростков 87,1% (2 532 965) - это дети в возрасте от 10 до 14 лет, а 12,9% - это дети в возрасте от 5 до 9 лет.  Число работающих детей и подростков обоих полов в возрасте от 5 до 14 лет в целом по сравнению с 1995 годом сократилось.  Данные в разбивке по полам свидетельствуют о том, что число работающих девочек уменьшилось с 14,5% до 11,8%, а число работающих мальчиков - с 7,8% до 6%.</w:t>
      </w:r>
    </w:p>
    <w:p w:rsidR="00000000" w:rsidRDefault="00000000"/>
    <w:p w:rsidR="00000000" w:rsidRDefault="00000000">
      <w:r>
        <w:t>332.</w:t>
      </w:r>
      <w:r>
        <w:tab/>
      </w:r>
      <w:r>
        <w:rPr>
          <w:i/>
          <w:iCs/>
        </w:rPr>
        <w:t>Дети в возрасте от пяти до девяти лет</w:t>
      </w:r>
      <w:r>
        <w:rPr>
          <w:i/>
          <w:iCs/>
          <w:lang w:val="en-US"/>
        </w:rPr>
        <w:t>.</w:t>
      </w:r>
      <w:r>
        <w:t xml:space="preserve">  Как показало общенациональное выборочное обследование домашних хозяйств 1995 года, 3,6% детей (581 300 детей) в возрасте от пяти до девяти лет в среднем работали 16,2 часа в неделю.  Большая часть трудовой деятельности (79,2%) - это обычная подсобная работа на семейной ферме, в особенности когда речь идет о небольшом хозяйстве.  Таким образом, 63,2% детей работали без принуждения.  Как правило, 75% работающих детей этой возрастной категории живут в семьях, глава которых занимается фермерством.  Следует отметить, что 61% глав семей, в которых используется детский труд, работают на себя в сельских хозяйствах.  Из работающих детей этой возрастной категории 51,7% проживают в северо-восточных штатах и выполняют работу, связанную с семейным фермерством.  Демографические и экономические данные глав семей свидетельствуют о том, что в семьях, где пяти-девятилетние дети работают, 92% глав семей являются мужчинами;  57,8% - мулатами;  37% </w:t>
      </w:r>
      <w:r>
        <w:noBreakHyphen/>
        <w:t xml:space="preserve"> белыми;  35,4% имеют месячный доход в размере 100 реалов;  56% умеют читать и писать.  91% работающих детей живут в семьях с обоими родителями.  Таким образом, данные о категории детей в возрасте от пяти до девяти лет показывают, что детский труд не является распространенным явлением, если судить по количеству часов, затраченных на выполнение работ.  Труд в основном носит сельскохозяйственный характер, сконцентрирован главным образом в северо-восточных районах и осуществляется в рамках самодеятельных и, как правило, бедных семей с низким уровнем образования.  </w:t>
      </w:r>
    </w:p>
    <w:p w:rsidR="00000000" w:rsidRDefault="00000000"/>
    <w:p w:rsidR="00000000" w:rsidRDefault="00000000">
      <w:r>
        <w:t>333.</w:t>
      </w:r>
      <w:r>
        <w:tab/>
        <w:t>В период 1995-1999 годов наблюдалась тенденция к уменьшению числа работающих детей в возрасте от пяти до девяти лет - с 519 000 до 375 000 детей.</w:t>
      </w:r>
    </w:p>
    <w:p w:rsidR="00000000" w:rsidRDefault="00000000"/>
    <w:p w:rsidR="00000000" w:rsidRDefault="00000000">
      <w:r>
        <w:t>334.</w:t>
      </w:r>
      <w:r>
        <w:tab/>
      </w:r>
      <w:r>
        <w:rPr>
          <w:i/>
          <w:iCs/>
        </w:rPr>
        <w:t>Дети в возрасте от 10 до 14 лет.</w:t>
      </w:r>
      <w:r>
        <w:t xml:space="preserve">  В этой возрастной группе число работающих детей значительно выше.  Из 17,6 млн. детей 18,7% (3,3 млн.) работают.  В этой группе работают главным образом мальчики (87,4%), из которых 57,3% составляют чернокожие или мулаты и 41,7% - белые.  Около 54,6% детей проживают в сельских районах.  Анализ данных по регионам показывает, что 47,5% работающих детей приходится на северо-восточные районы, а 23,8% - на юго-восток страны.  Число работающих детей этой возрастной категории в северо-восточных районах выше, чем доля работников региона в общем числе трудящихся страны (28,7%).  Из 1 480 000 детей этой возрастной группы, проживающих в городах, 34,1% приходится на северо-восточные районы, а 33,1% - южные районы, - примерно в одинаковых пропорциях.  Следует отметить, что из 1 780 000 детей, проживающих в сельских районах, процент живущих на северо-востоке страны был выше (58,6%), чем доля детей, проживавших на юге (16%).  Таким образом, имеющиеся данные указывают на значительное число работающих детей в сельских районах северо-восточной части страны и на гораздо меньшее число работающих детей в южном регионе страны.  Эти дети в основном занимаются сельским хозяйством и животноводством (58,3%), торговлей (12,4%) и работают в промышленности и секторе услуг (11,2%).  Цифры показывают, что 53,8% детей работают на фермах и в различного рода небольших хозяйствах, в то время как 23,1% детей трудятся в магазинах, мастерских, фабриках и различных конторах.  На момент проведения обследования дети работали в небольших фермерских хозяйствах, которые составляют основу семейного дохода, например на табачных плантациях.  Родители, работающие за пределами семейных хозяйств, например на плантациях сахарного тростника или в каменноугольных шахтах, использовали труд своих детей для того, чтобы выполнить свои производственные квоты.  Это означает, что решение о привлечении ребенка к труду в раннем возрасте принимается семьей для того, чтобы повысить производительность труда и тем самым увеличить семейный доход.  Хотя в этом видится разумный подход к обеспечению выживания всей семьи, в конечном итоге это оборачивается большими социальными издержками, поскольку такой подход увековечивает бедность и неравенство как внутри поколений, так и между ними.  Детский труд в возрастной категории от 10 до 14 лет используется и вне семьи, за пределами сферы действия родительского надзора, в производственных мастерских, предприятиях малого бизнеса и на поденных работах.  Неформальный сектор также привлекает детей к труду, например к выполнению работ на улице (продажа с лотков, мойка и охрана машин, чистка обуви и т.п.).  Данные 1995 года показывают, что 56,6% работающих детей не получают платы за свой труд;  из тех, кто в той или иной степени получают какое-то вознаграждение, 88,8% зарабатывают меньше, чем размер одного минимального оклада;  около 58% работают от 15 до 39 часов в неделю, в среднем по 26,5 часов в неделю.  Имеющиеся данные о главах семейств работающих детей:  i)  87,4% семей возглавляются мужчиной;  ii)  52,2% - мулаты, 41,7% </w:t>
      </w:r>
      <w:r>
        <w:noBreakHyphen/>
        <w:t> белые;  iii)  39,8% не умеют ни читать, ни писать;  iv)  56,1% работают самостоятельно;  v)  34,5% имеют доход ниже одного минимального месячного оклада.  В возрастной группе детей от 10 до 14 лет были выявлены те же элементы, которые присутствуют в возрастной группе от пяти до девяти лет:  работающие дети принадлежат бедным семьям с низким уровнем образования;  в большинстве случаев их родители занимаются независимым фермерством;  и большинство из них проживают в северо-восточных штатах страны.  Составляя значительную группу, дети в возрасте от 10 до 14 лет занимаются разнообразными видами деятельности, в особенности в городах, где их нередко подстерегают различного рода опасности.</w:t>
      </w:r>
    </w:p>
    <w:p w:rsidR="00000000" w:rsidRDefault="00000000"/>
    <w:p w:rsidR="00000000" w:rsidRDefault="00000000">
      <w:r>
        <w:t>335.</w:t>
      </w:r>
      <w:r>
        <w:tab/>
        <w:t>Та же самая тенденция наблюдалась в период 1995-1999 годов в возрастной группе от 10 до 14 лет:  общее число работающих детей сократилось с 3,3 млн. до 2,5 млн.</w:t>
      </w:r>
    </w:p>
    <w:p w:rsidR="00000000" w:rsidRDefault="00000000"/>
    <w:p w:rsidR="00000000" w:rsidRDefault="00000000">
      <w:r>
        <w:t>336.</w:t>
      </w:r>
      <w:r>
        <w:tab/>
        <w:t>Другим важным статистическим показателем является число детей, не посещающих школу.  Данные ОВОДХ 1999 года указывают на снижение числа детей в возрасте от 7 до 14 лет, не посещающих школу, по сравнению с цифрами 1998 года.  В 1998 году 5,3% детей этой возрастной группы не посещали школу;  в 1999 году эта цифра сократилась до 4,3%.</w:t>
      </w:r>
    </w:p>
    <w:p w:rsidR="00000000" w:rsidRDefault="00000000"/>
    <w:p w:rsidR="00000000" w:rsidRDefault="00000000">
      <w:r>
        <w:t>337.</w:t>
      </w:r>
      <w:r>
        <w:tab/>
        <w:t>Правительство Бразилии хотело бы довести до сведения Комитета по экономическим социальным и культурным правам основные элементы всех правовых документов, используемых в Бразилии для борьбы с практикой использования труда детей.</w:t>
      </w:r>
    </w:p>
    <w:p w:rsidR="00000000" w:rsidRDefault="00000000"/>
    <w:p w:rsidR="00000000" w:rsidRDefault="00000000">
      <w:r>
        <w:t>338.</w:t>
      </w:r>
      <w:r>
        <w:tab/>
        <w:t xml:space="preserve">В историческом плане законодательство Бразилии в области детского труда уходит корнями в 1891 год, когда был принят Декрет № 1313, согласно которому девочки в возрасте от 12 до 15 лет и мальчики в возрасте от 12 до 14 лет должны иметь рабочий день, не превышающий семи часов, а юноши в возрасте 14-15 лет должны работать не более девяти часов в день.  До принятия Сводного трудового законодательства (СТЗ) в 1943 году минимальный трудовой возраст регулировали несколько законов, среди которых следует назвать первый Латиноамериканский кодекс законов о несовершеннолетних 1927 года, запрещавший труд детей в возрасте до 12 лет и работу подростков в возрасте до 18 лет в ночную смену.  В СТЗ этот вопрос имел всесторонний охват;  в нем устанавливался минимальный трудовой возраст на уровне 12 лет и определялись условия труда.  </w:t>
      </w:r>
    </w:p>
    <w:p w:rsidR="00000000" w:rsidRDefault="00000000"/>
    <w:p w:rsidR="00000000" w:rsidRDefault="00000000">
      <w:r>
        <w:t>339.</w:t>
      </w:r>
      <w:r>
        <w:tab/>
        <w:t xml:space="preserve">В различных положениях Федеральной конституции предусматривается защита прав детей и подростков.  Среди этих положений следует особо отметить статью 227, в которой говорится, что долг семьи, общества и государства состоит в том, чтобы в первую очередь обеспечить права ребенка и подростка на жизнь, здоровье, питание, образование, досуг, профессиональную подготовку, культуру, достоинство, уважение, свободу и жизнь в семье и обществе, а также защитить ребенка от безнадзорности, дискриминации, эксплуатации, насилия, жестокого обращения и угнетения.  Обязательства государства в отношении обеспечения защиты прав детей и подростков четко сформулированы в положении Конституции, которое гласит:  "государство содействует осуществлению программ, обеспечивающих оказание всесторонней помощи детям и подросткам в области здравоохранения и в этих целях разрешает неправительственным организациям принимать участие в этой деятельности".  В статье 203 говорится, что такого рода помощь оказывается всем нуждающимся в ней лицам, независимо от их вклада в систему социального обеспечения, при том, что особое внимание уделяется обездоленным детям и подросткам.  </w:t>
      </w:r>
    </w:p>
    <w:p w:rsidR="00000000" w:rsidRDefault="00000000"/>
    <w:p w:rsidR="00000000" w:rsidRDefault="00000000">
      <w:r>
        <w:t>340.</w:t>
      </w:r>
      <w:r>
        <w:tab/>
        <w:t>В этой же статье устанавливается минимальный возраст для начала трудовой деятельности на уровне 14 лет с оговоркой, содержащейся в пункте 18 статьи 7, в которой запрещается труд подростков моложе 18 лет в ночное время в условиях, опасных для жизни и здоровья, и любой труд детей в возрасте до 14 лет за исключением работы в качестве учеников.</w:t>
      </w:r>
    </w:p>
    <w:p w:rsidR="00000000" w:rsidRDefault="00000000"/>
    <w:p w:rsidR="00000000" w:rsidRDefault="00000000">
      <w:r>
        <w:t>341.</w:t>
      </w:r>
      <w:r>
        <w:tab/>
        <w:t>В статье 405 Сводного трудового законодательства (СТЗ) запрещается использование труда подростков не только в опасных и вредных для их здоровья местах (таблицы, определяющие такие условия, подготавливаются министерством труда и занятости), но и в местах и заведениях, работа в которых может нанести ущерб нравственному здоровью подростка (статья 405, ii)).  В пункте 3 статьи 405 перечислены виды труда, которые могут оказаться пагубными для морального развития подростка:  а)  работа в увеселительных заведениях, ночных клубах, казино, танцевальных залах и подобных им заведениях;  b)  работа в цирке в качестве акробатов, клоунов, гимнастов и т.п.;  с)  работа, связанная с производством, набором, доставкой или продажей литературы, печатных изданий, плакатов, рисунков, фотографий, картин, эмблем, различного рода изображений и других подобных материалов, которые, по мнению компетентных органов, могут оказаться вредными для морального развития подростка;  d)  розничная продажа алкогольных напитков.  В пункте 2 говорится о работе на улицах, площадях и других общественных местах и указывается, что этот вид трудовой деятельности требует предварительного разрешения Суда по делам несовершеннолетних, который уполномочен решать вопрос о том, является ли такой труд необходимым для жизни самого подростка или его родителей, дедушки или бабушки, сестры или брата и не нанесет ли такой труд вреда его моральному развитию.</w:t>
      </w:r>
    </w:p>
    <w:p w:rsidR="00000000" w:rsidRDefault="00000000"/>
    <w:p w:rsidR="00000000" w:rsidRDefault="00000000">
      <w:r>
        <w:t>342.</w:t>
      </w:r>
      <w:r>
        <w:tab/>
        <w:t xml:space="preserve">В статье 407 СТЗ далее говорится, что если принимается решение о том, что работа, выполняемая подростком, наносит вред его здоровью, физическому или моральному развитию, то компетентные органы могут потребовать от подростка оставить эту работу, а от предприятия - содействовать переводу подростка на другую работу.  </w:t>
      </w:r>
    </w:p>
    <w:p w:rsidR="00000000" w:rsidRDefault="00000000"/>
    <w:p w:rsidR="00000000" w:rsidRDefault="00000000">
      <w:r>
        <w:t>343.</w:t>
      </w:r>
      <w:r>
        <w:tab/>
        <w:t>Что касается таблицы, содержащейся в статье 405, то следует отметить, что министерство труда и занятости в Директиве 06/2000 обновило перечень профессий и заведений, которые считаются вредными или опасными для здоровья подростка.  Этот новый перечень имеет важное значение еще и потому, что в список были включены отдельные виды деятельности, которые угрожают здоровью или безопасности подростка и которые в прежний перечень включены не были, что лишало многих подростков правовой защиты.</w:t>
      </w:r>
    </w:p>
    <w:p w:rsidR="00000000" w:rsidRDefault="00000000"/>
    <w:p w:rsidR="00000000" w:rsidRDefault="00000000">
      <w:r>
        <w:t>344.</w:t>
      </w:r>
      <w:r>
        <w:tab/>
        <w:t>Согласно определению статьи 404 СТЗ, ночной труд, запрещенный для подростков моложе 18 лет, это - труд, выполняемый в период между 22 час. и 5 час. утра.</w:t>
      </w:r>
    </w:p>
    <w:p w:rsidR="00000000" w:rsidRDefault="00000000"/>
    <w:p w:rsidR="00000000" w:rsidRDefault="00000000">
      <w:r>
        <w:t>345.</w:t>
      </w:r>
      <w:r>
        <w:tab/>
        <w:t>В Статуте ребенка и подростка (Закон 8069/90) специальная защита предусмотрена и для подростков-учеников в возрасте от 14 до 18 лет.  Запрещаются следующие виды труда:  а)  труд в ночное время;  b)  опасный, вредный для здоровья и изнурительный труд;  c)  труд в местах, которые могут быть вредны для воспитания или для физического, психического, морального или общественного развития подростка;  и  d)  работа, выполняемая в сроки и в местах, мешающих подростку посещать школу.</w:t>
      </w:r>
    </w:p>
    <w:p w:rsidR="00000000" w:rsidRDefault="00000000"/>
    <w:p w:rsidR="00000000" w:rsidRDefault="00000000">
      <w:r>
        <w:t>346.</w:t>
      </w:r>
      <w:r>
        <w:tab/>
        <w:t>Что касается вопроса об использовании детского труда, то основные изменения в законодательстве произошли в 1990 году, когда была принята Конституционная поправка № 20, в соответствии с которой возраст для начала трудовой деятельности был поднят с 14 до 16 лет.  Такое же положение было принято в отношении учеников, возраст которых был также повышен с 12 до 14 лет.</w:t>
      </w:r>
    </w:p>
    <w:p w:rsidR="00000000" w:rsidRDefault="00000000"/>
    <w:p w:rsidR="00000000" w:rsidRDefault="00000000">
      <w:r>
        <w:t>347.</w:t>
      </w:r>
      <w:r>
        <w:tab/>
        <w:t>Помимо внесения изменений в Конституцию, Бразилия ратифицировала две Конвенции МОТ:  Конвенцию № 138 (о минимальном возрасте) и Конвенцию № 182 (о наихудших формах детского труда).  Что касается Конвенции № 138, то Бразилия установила минимальный возраст для начала трудовой деятельности на уровне 16 лет, таким образом подтвердив на международном уровне то же самое обязательство, которое она взяла на себя внутри страны в рамках Федеральной конституции.  Что касается Конвенции № 192, то министерство труда и занятости учредило трехстороннюю комиссию, которой поручено изучать и выявлять те формы детского труда в Бразилии, которые могут рассматриваются как наихудшие для детского труда в Бразилии.  В соответствии с вышепринятыми мерами все правительственные структуры в ближайшем будущем смогут уделять первоочередное внимание делу ликвидации наихудших форм детского труда без ущерба для принимаемых на постоянной основе мер по ликвидации всех форм детского труда.</w:t>
      </w:r>
    </w:p>
    <w:p w:rsidR="00000000" w:rsidRDefault="00000000"/>
    <w:p w:rsidR="00000000" w:rsidRDefault="00000000">
      <w:r>
        <w:t>348.</w:t>
      </w:r>
      <w:r>
        <w:tab/>
        <w:t>Трудовые инспекции, проводящиеся под эгидой министерства труда и занятости, являются одним из главных средств борьбы с детским трудом в Бразилии.  В инспекциях принимает участие весь состав аудиторов-инспекторов (около 3 200 специалистов, включая врачей, инженеров, инспекторов по правовым вопросам и т.п.).  Министерство труда и занятости, с учетом своих размеров и политической и административной структуры, имеет свои представительства во всех штатах Бразилии.  В каждом представительстве действует специальное подразделение по борьбе с детским трудом и защите прав работающих подростков (ЖЕКТИПА).  Эти подразделения были созданы исключительно для борьбы со всеми формами незаконного детского труда и труда подростков и для предотвращения использования труда детей.  Специальные подразделения работают в соответствии с оперативными планами, которые они составляют в начале каждого финансового года и в которых указываются места и деятельность, инспектируемые ими в данный год;  при этом предусматривается, что эти подразделения могут рассматривать любые другие дела, которые были доведены до их сведения.  При перспективном планировании, как правило, принимаются во внимание результаты работы за прошлый год, которые периодически публикуются Секретариатом трудовой инспекции в документе, озаглавленном "Карта детских и подростковых показателей".</w:t>
      </w:r>
    </w:p>
    <w:p w:rsidR="00000000" w:rsidRDefault="00000000"/>
    <w:p w:rsidR="00000000" w:rsidRDefault="00000000">
      <w:r>
        <w:t>349.</w:t>
      </w:r>
      <w:r>
        <w:tab/>
        <w:t>В 1999 году трудовые инспекционные группы проверили 455 048 предприятий.  Из них 52 204 предприятия были конкретно инспектированы на предмет ликвидации детского труда и для защиты работающих подростков (цифры представлены Федеральной системой трудовых инспекций (ФСТИ)).</w:t>
      </w:r>
    </w:p>
    <w:p w:rsidR="00000000" w:rsidRDefault="00000000"/>
    <w:p w:rsidR="00000000" w:rsidRDefault="00000000">
      <w:r>
        <w:t>350.</w:t>
      </w:r>
      <w:r>
        <w:tab/>
        <w:t>Помимо этой инспекционной деятельности, министерство труда и занятости также сотрудничает с Секретариатом социального вспомоществования (ССВ) министерства социального обеспечения (МСО) в рамках Программы ликвидации детского труда (ПЛДТ), одной из основных государственных программ, осуществляемых по проекту "Avança Brazil" (проект "Вперед, Бразилия").  Меры, принимаемые в рамках ПЛДТ, включают предоставление пособий семьям, с тем чтобы они забирали детей с производства и отправляли их в школу на продленный день.  Группа трудовой инспекции не только предоставляет данные для отбора мест и видов деятельности, которые должны быть включены в Программу, но и контролирует ход ее осуществления.  Начиная с 1996 года ПЛДТ неуклонно расширяется, охватывая все большее число детей и подростков, на что указывают цифры, приведенные в таблице ниже:</w:t>
      </w:r>
    </w:p>
    <w:p w:rsidR="00000000" w:rsidRDefault="00000000"/>
    <w:p w:rsidR="00000000" w:rsidRDefault="00000000">
      <w:pPr>
        <w:pStyle w:val="10"/>
        <w:rPr>
          <w:bCs/>
        </w:rPr>
      </w:pPr>
      <w:r>
        <w:rPr>
          <w:bCs/>
        </w:rPr>
        <w:br w:type="page"/>
        <w:t>Таблица 43.   Масштабы программы ликвидации детского труда (ПЛДТ),</w:t>
      </w:r>
    </w:p>
    <w:p w:rsidR="00000000" w:rsidRDefault="00000000">
      <w:pPr>
        <w:jc w:val="center"/>
        <w:rPr>
          <w:b/>
          <w:bCs/>
        </w:rPr>
      </w:pPr>
      <w:r>
        <w:rPr>
          <w:b/>
          <w:bCs/>
        </w:rPr>
        <w:t>1996-2000 годы</w:t>
      </w:r>
    </w:p>
    <w:p w:rsidR="00000000" w:rsidRDefault="00000000">
      <w:pPr>
        <w:pStyle w:val="FootnoteText"/>
        <w:spacing w:line="288"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2244"/>
        <w:gridCol w:w="2992"/>
        <w:gridCol w:w="2731"/>
      </w:tblGrid>
      <w:tr w:rsidR="00000000">
        <w:tblPrEx>
          <w:tblCellMar>
            <w:top w:w="0" w:type="dxa"/>
            <w:bottom w:w="0" w:type="dxa"/>
          </w:tblCellMar>
        </w:tblPrEx>
        <w:tc>
          <w:tcPr>
            <w:tcW w:w="1604" w:type="dxa"/>
          </w:tcPr>
          <w:p w:rsidR="00000000" w:rsidRDefault="00000000">
            <w:pPr>
              <w:pStyle w:val="16"/>
              <w:spacing w:line="240" w:lineRule="auto"/>
            </w:pPr>
            <w:r>
              <w:t>Год</w:t>
            </w:r>
          </w:p>
        </w:tc>
        <w:tc>
          <w:tcPr>
            <w:tcW w:w="2244" w:type="dxa"/>
          </w:tcPr>
          <w:p w:rsidR="00000000" w:rsidRDefault="00000000">
            <w:pPr>
              <w:spacing w:line="240" w:lineRule="auto"/>
              <w:jc w:val="center"/>
            </w:pPr>
            <w:r>
              <w:t>Число муниципий</w:t>
            </w:r>
          </w:p>
        </w:tc>
        <w:tc>
          <w:tcPr>
            <w:tcW w:w="2992" w:type="dxa"/>
          </w:tcPr>
          <w:p w:rsidR="00000000" w:rsidRDefault="00000000">
            <w:pPr>
              <w:spacing w:line="240" w:lineRule="auto"/>
              <w:jc w:val="center"/>
            </w:pPr>
            <w:r>
              <w:t>Число детей и подростков</w:t>
            </w:r>
          </w:p>
        </w:tc>
        <w:tc>
          <w:tcPr>
            <w:tcW w:w="2731" w:type="dxa"/>
          </w:tcPr>
          <w:p w:rsidR="00000000" w:rsidRDefault="00000000">
            <w:pPr>
              <w:spacing w:line="240" w:lineRule="auto"/>
              <w:jc w:val="center"/>
            </w:pPr>
            <w:r>
              <w:t>Финансовые средства</w:t>
            </w:r>
          </w:p>
        </w:tc>
      </w:tr>
      <w:tr w:rsidR="00000000">
        <w:tblPrEx>
          <w:tblCellMar>
            <w:top w:w="0" w:type="dxa"/>
            <w:bottom w:w="0" w:type="dxa"/>
          </w:tblCellMar>
        </w:tblPrEx>
        <w:tc>
          <w:tcPr>
            <w:tcW w:w="1604" w:type="dxa"/>
          </w:tcPr>
          <w:p w:rsidR="00000000" w:rsidRDefault="00000000">
            <w:pPr>
              <w:spacing w:line="240" w:lineRule="auto"/>
              <w:jc w:val="center"/>
            </w:pPr>
            <w:r>
              <w:t>1996</w:t>
            </w:r>
          </w:p>
        </w:tc>
        <w:tc>
          <w:tcPr>
            <w:tcW w:w="2244" w:type="dxa"/>
          </w:tcPr>
          <w:p w:rsidR="00000000" w:rsidRDefault="00000000">
            <w:pPr>
              <w:spacing w:line="240" w:lineRule="auto"/>
              <w:jc w:val="center"/>
            </w:pPr>
            <w:r>
              <w:t xml:space="preserve">  17</w:t>
            </w:r>
          </w:p>
        </w:tc>
        <w:tc>
          <w:tcPr>
            <w:tcW w:w="2992" w:type="dxa"/>
          </w:tcPr>
          <w:p w:rsidR="00000000" w:rsidRDefault="00000000">
            <w:pPr>
              <w:tabs>
                <w:tab w:val="clear" w:pos="2268"/>
              </w:tabs>
              <w:spacing w:line="240" w:lineRule="auto"/>
              <w:ind w:right="1014"/>
              <w:jc w:val="right"/>
            </w:pPr>
            <w:r>
              <w:t>3 710</w:t>
            </w:r>
          </w:p>
        </w:tc>
        <w:tc>
          <w:tcPr>
            <w:tcW w:w="2731" w:type="dxa"/>
          </w:tcPr>
          <w:p w:rsidR="00000000" w:rsidRDefault="00000000">
            <w:pPr>
              <w:tabs>
                <w:tab w:val="clear" w:pos="2268"/>
              </w:tabs>
              <w:spacing w:line="240" w:lineRule="auto"/>
              <w:ind w:right="566"/>
              <w:jc w:val="right"/>
            </w:pPr>
            <w:r>
              <w:t>931 500,00</w:t>
            </w:r>
          </w:p>
        </w:tc>
      </w:tr>
      <w:tr w:rsidR="00000000">
        <w:tblPrEx>
          <w:tblCellMar>
            <w:top w:w="0" w:type="dxa"/>
            <w:bottom w:w="0" w:type="dxa"/>
          </w:tblCellMar>
        </w:tblPrEx>
        <w:tc>
          <w:tcPr>
            <w:tcW w:w="1604" w:type="dxa"/>
          </w:tcPr>
          <w:p w:rsidR="00000000" w:rsidRDefault="00000000">
            <w:pPr>
              <w:spacing w:line="240" w:lineRule="auto"/>
              <w:jc w:val="center"/>
            </w:pPr>
            <w:r>
              <w:t>1997</w:t>
            </w:r>
          </w:p>
        </w:tc>
        <w:tc>
          <w:tcPr>
            <w:tcW w:w="2244" w:type="dxa"/>
          </w:tcPr>
          <w:p w:rsidR="00000000" w:rsidRDefault="00000000">
            <w:pPr>
              <w:spacing w:line="240" w:lineRule="auto"/>
              <w:jc w:val="center"/>
            </w:pPr>
            <w:r>
              <w:t xml:space="preserve">  48</w:t>
            </w:r>
          </w:p>
        </w:tc>
        <w:tc>
          <w:tcPr>
            <w:tcW w:w="2992" w:type="dxa"/>
          </w:tcPr>
          <w:p w:rsidR="00000000" w:rsidRDefault="00000000">
            <w:pPr>
              <w:tabs>
                <w:tab w:val="clear" w:pos="2268"/>
              </w:tabs>
              <w:spacing w:line="240" w:lineRule="auto"/>
              <w:ind w:right="1014"/>
              <w:jc w:val="right"/>
            </w:pPr>
            <w:r>
              <w:t>37 025</w:t>
            </w:r>
          </w:p>
        </w:tc>
        <w:tc>
          <w:tcPr>
            <w:tcW w:w="2731" w:type="dxa"/>
          </w:tcPr>
          <w:p w:rsidR="00000000" w:rsidRDefault="00000000">
            <w:pPr>
              <w:tabs>
                <w:tab w:val="clear" w:pos="2268"/>
              </w:tabs>
              <w:spacing w:line="240" w:lineRule="auto"/>
              <w:ind w:right="566"/>
              <w:jc w:val="right"/>
            </w:pPr>
            <w:r>
              <w:t>14 435 888,00</w:t>
            </w:r>
          </w:p>
        </w:tc>
      </w:tr>
      <w:tr w:rsidR="00000000">
        <w:tblPrEx>
          <w:tblCellMar>
            <w:top w:w="0" w:type="dxa"/>
            <w:bottom w:w="0" w:type="dxa"/>
          </w:tblCellMar>
        </w:tblPrEx>
        <w:tc>
          <w:tcPr>
            <w:tcW w:w="1604" w:type="dxa"/>
          </w:tcPr>
          <w:p w:rsidR="00000000" w:rsidRDefault="00000000">
            <w:pPr>
              <w:spacing w:line="240" w:lineRule="auto"/>
              <w:jc w:val="center"/>
            </w:pPr>
            <w:r>
              <w:t>1998</w:t>
            </w:r>
          </w:p>
        </w:tc>
        <w:tc>
          <w:tcPr>
            <w:tcW w:w="2244" w:type="dxa"/>
          </w:tcPr>
          <w:p w:rsidR="00000000" w:rsidRDefault="00000000">
            <w:pPr>
              <w:spacing w:line="240" w:lineRule="auto"/>
              <w:jc w:val="center"/>
            </w:pPr>
            <w:r>
              <w:t>140</w:t>
            </w:r>
          </w:p>
        </w:tc>
        <w:tc>
          <w:tcPr>
            <w:tcW w:w="2992" w:type="dxa"/>
          </w:tcPr>
          <w:p w:rsidR="00000000" w:rsidRDefault="00000000">
            <w:pPr>
              <w:tabs>
                <w:tab w:val="clear" w:pos="2268"/>
              </w:tabs>
              <w:spacing w:line="240" w:lineRule="auto"/>
              <w:ind w:right="1014"/>
              <w:jc w:val="right"/>
            </w:pPr>
            <w:r>
              <w:t>117 200</w:t>
            </w:r>
          </w:p>
        </w:tc>
        <w:tc>
          <w:tcPr>
            <w:tcW w:w="2731" w:type="dxa"/>
          </w:tcPr>
          <w:p w:rsidR="00000000" w:rsidRDefault="00000000">
            <w:pPr>
              <w:tabs>
                <w:tab w:val="clear" w:pos="2268"/>
              </w:tabs>
              <w:spacing w:line="240" w:lineRule="auto"/>
              <w:ind w:right="566"/>
              <w:jc w:val="right"/>
            </w:pPr>
            <w:r>
              <w:t>39 521 432,50</w:t>
            </w:r>
          </w:p>
        </w:tc>
      </w:tr>
      <w:tr w:rsidR="00000000">
        <w:tblPrEx>
          <w:tblCellMar>
            <w:top w:w="0" w:type="dxa"/>
            <w:bottom w:w="0" w:type="dxa"/>
          </w:tblCellMar>
        </w:tblPrEx>
        <w:tc>
          <w:tcPr>
            <w:tcW w:w="1604" w:type="dxa"/>
          </w:tcPr>
          <w:p w:rsidR="00000000" w:rsidRDefault="00000000">
            <w:pPr>
              <w:spacing w:line="240" w:lineRule="auto"/>
              <w:jc w:val="center"/>
            </w:pPr>
            <w:r>
              <w:t>1999</w:t>
            </w:r>
          </w:p>
        </w:tc>
        <w:tc>
          <w:tcPr>
            <w:tcW w:w="2244" w:type="dxa"/>
          </w:tcPr>
          <w:p w:rsidR="00000000" w:rsidRDefault="00000000">
            <w:pPr>
              <w:spacing w:line="240" w:lineRule="auto"/>
              <w:jc w:val="center"/>
            </w:pPr>
            <w:r>
              <w:t>230</w:t>
            </w:r>
          </w:p>
        </w:tc>
        <w:tc>
          <w:tcPr>
            <w:tcW w:w="2992" w:type="dxa"/>
          </w:tcPr>
          <w:p w:rsidR="00000000" w:rsidRDefault="00000000">
            <w:pPr>
              <w:tabs>
                <w:tab w:val="clear" w:pos="2268"/>
              </w:tabs>
              <w:spacing w:line="240" w:lineRule="auto"/>
              <w:ind w:right="1014"/>
              <w:jc w:val="right"/>
            </w:pPr>
            <w:r>
              <w:t>145 564</w:t>
            </w:r>
          </w:p>
        </w:tc>
        <w:tc>
          <w:tcPr>
            <w:tcW w:w="2731" w:type="dxa"/>
          </w:tcPr>
          <w:p w:rsidR="00000000" w:rsidRDefault="00000000">
            <w:pPr>
              <w:tabs>
                <w:tab w:val="clear" w:pos="2268"/>
              </w:tabs>
              <w:spacing w:line="240" w:lineRule="auto"/>
              <w:ind w:right="566"/>
              <w:jc w:val="right"/>
            </w:pPr>
            <w:r>
              <w:t>82 639 388,54</w:t>
            </w:r>
          </w:p>
        </w:tc>
      </w:tr>
      <w:tr w:rsidR="00000000">
        <w:tblPrEx>
          <w:tblCellMar>
            <w:top w:w="0" w:type="dxa"/>
            <w:bottom w:w="0" w:type="dxa"/>
          </w:tblCellMar>
        </w:tblPrEx>
        <w:tc>
          <w:tcPr>
            <w:tcW w:w="1604" w:type="dxa"/>
          </w:tcPr>
          <w:p w:rsidR="00000000" w:rsidRDefault="00000000">
            <w:pPr>
              <w:pStyle w:val="16"/>
              <w:spacing w:line="240" w:lineRule="auto"/>
            </w:pPr>
            <w:r>
              <w:t>2000</w:t>
            </w:r>
          </w:p>
        </w:tc>
        <w:tc>
          <w:tcPr>
            <w:tcW w:w="2244" w:type="dxa"/>
          </w:tcPr>
          <w:p w:rsidR="00000000" w:rsidRDefault="00000000">
            <w:pPr>
              <w:spacing w:line="240" w:lineRule="auto"/>
              <w:jc w:val="center"/>
            </w:pPr>
          </w:p>
        </w:tc>
        <w:tc>
          <w:tcPr>
            <w:tcW w:w="2992" w:type="dxa"/>
          </w:tcPr>
          <w:p w:rsidR="00000000" w:rsidRDefault="00000000">
            <w:pPr>
              <w:tabs>
                <w:tab w:val="clear" w:pos="2268"/>
              </w:tabs>
              <w:spacing w:line="240" w:lineRule="auto"/>
              <w:ind w:right="1014"/>
              <w:jc w:val="right"/>
            </w:pPr>
            <w:r>
              <w:t>*362 000</w:t>
            </w:r>
          </w:p>
        </w:tc>
        <w:tc>
          <w:tcPr>
            <w:tcW w:w="2731" w:type="dxa"/>
          </w:tcPr>
          <w:p w:rsidR="00000000" w:rsidRDefault="00000000">
            <w:pPr>
              <w:tabs>
                <w:tab w:val="clear" w:pos="2268"/>
              </w:tabs>
              <w:spacing w:line="240" w:lineRule="auto"/>
              <w:ind w:right="566"/>
              <w:jc w:val="right"/>
            </w:pPr>
            <w:r>
              <w:t>*182 000 000,00</w:t>
            </w:r>
          </w:p>
        </w:tc>
      </w:tr>
    </w:tbl>
    <w:p w:rsidR="00000000" w:rsidRDefault="00000000"/>
    <w:p w:rsidR="00000000" w:rsidRDefault="00000000">
      <w:pPr>
        <w:rPr>
          <w:b/>
          <w:bCs/>
        </w:rPr>
      </w:pPr>
      <w:r>
        <w:rPr>
          <w:b/>
          <w:bCs/>
        </w:rPr>
        <w:t>*</w:t>
      </w:r>
      <w:r>
        <w:rPr>
          <w:b/>
          <w:bCs/>
        </w:rPr>
        <w:tab/>
      </w:r>
      <w:r>
        <w:t>Прогнозы на конец 2000 года.</w:t>
      </w:r>
    </w:p>
    <w:p w:rsidR="00000000" w:rsidRDefault="00000000">
      <w:pPr>
        <w:rPr>
          <w:b/>
          <w:bCs/>
        </w:rPr>
      </w:pPr>
    </w:p>
    <w:p w:rsidR="00000000" w:rsidRDefault="00000000">
      <w:r>
        <w:t>351.</w:t>
      </w:r>
      <w:r>
        <w:tab/>
        <w:t>Следует отметить, что Конституция, оставив открытым вопрос в отношении установления минимального возраста для профессионально-технического обучения подростков, позволяет регулировать его в рамках обычного законодательства.  По мнению юристов, 14 лет - это минимальный возраст для начала трудовой деятельности, а 12 лет - для профессионально-технического обучения.  Таким образом, труд в возрасте с 12 до 14 лет приемлем лишь в контексте профессионально-технического обучения, исключая все другие виды деятельности, используемые на промышленных предприятиях.  (Конвенция № 5, ратифицированная Бразилией, и статья 1 Декрета № 66280 от 27 февраля 1970 года).</w:t>
      </w:r>
    </w:p>
    <w:p w:rsidR="00000000" w:rsidRDefault="00000000"/>
    <w:p w:rsidR="00000000" w:rsidRDefault="00000000">
      <w:r>
        <w:t>352.</w:t>
      </w:r>
      <w:r>
        <w:tab/>
        <w:t>Как уже говорилось выше, правительство направило в Национальный конгресс законопроект № 413/96 о внесении поправок в Конституцию, в котором опущено выражение "кроме как в качестве учеников".  Принятие этой поправки узаконит труд в Бразилии, начиная с 14-летнего возраста, что сделает возможным ратификацию Конвенции № 138 МОТ.</w:t>
      </w:r>
    </w:p>
    <w:p w:rsidR="00000000" w:rsidRDefault="00000000"/>
    <w:p w:rsidR="00000000" w:rsidRDefault="00000000">
      <w:r>
        <w:t>353.</w:t>
      </w:r>
      <w:r>
        <w:tab/>
        <w:t>Поскольку образование играет критическую роль в любой политике, касающейся ребенка/подростка, в статье 228 Федеральной конституции определены обязанности государства.  Государство должно:</w:t>
      </w:r>
    </w:p>
    <w:p w:rsidR="00000000" w:rsidRDefault="00000000"/>
    <w:p w:rsidR="00000000" w:rsidRDefault="00000000">
      <w:pPr>
        <w:ind w:left="1134" w:hanging="1134"/>
      </w:pPr>
      <w:r>
        <w:tab/>
        <w:t>"I.</w:t>
      </w:r>
      <w:r>
        <w:tab/>
        <w:t>предоставлять обязательное, бесплатное базовое образование всем гражданам, в том числе и тем, кто не имел к нему доступа в раннем возрасте;</w:t>
      </w:r>
    </w:p>
    <w:p w:rsidR="00000000" w:rsidRDefault="00000000"/>
    <w:p w:rsidR="00000000" w:rsidRDefault="00000000">
      <w:pPr>
        <w:ind w:left="1134" w:hanging="1134"/>
      </w:pPr>
      <w:r>
        <w:tab/>
        <w:t>II.</w:t>
      </w:r>
      <w:r>
        <w:tab/>
        <w:t>предоставлять специальное образование лицам с физическими или умственными недостатками предпочтительно в условиях обычной школьной системы;</w:t>
      </w:r>
    </w:p>
    <w:p w:rsidR="00000000" w:rsidRDefault="00000000"/>
    <w:p w:rsidR="00000000" w:rsidRDefault="00000000">
      <w:r>
        <w:tab/>
        <w:t>III.</w:t>
      </w:r>
      <w:r>
        <w:tab/>
        <w:t>уделять особое внимание детям до шести лет в яслях и детских садах;</w:t>
      </w:r>
    </w:p>
    <w:p w:rsidR="00000000" w:rsidRDefault="00000000"/>
    <w:p w:rsidR="00000000" w:rsidRDefault="00000000">
      <w:pPr>
        <w:ind w:left="1134" w:hanging="1134"/>
      </w:pPr>
      <w:r>
        <w:tab/>
        <w:t>IV.</w:t>
      </w:r>
      <w:r>
        <w:tab/>
        <w:t>организовывать обычные вечерние школы, обучение в которых учитывало бы особые обстоятельства тех или иных учащихся;</w:t>
      </w:r>
    </w:p>
    <w:p w:rsidR="00000000" w:rsidRDefault="00000000"/>
    <w:p w:rsidR="00000000" w:rsidRDefault="00000000">
      <w:pPr>
        <w:ind w:left="1134" w:hanging="1134"/>
      </w:pPr>
      <w:r>
        <w:tab/>
        <w:t>V.</w:t>
      </w:r>
      <w:r>
        <w:tab/>
        <w:t>проявлять особую заботу по отношению к учащимся на уровне базового образования посредством оказания им дополнительных услуг в виде предоставления им учебных и школьных материалов, средств транспорта, организации их питания и обеспечения медицинского обслуживания".</w:t>
      </w:r>
    </w:p>
    <w:p w:rsidR="00000000" w:rsidRDefault="00000000"/>
    <w:p w:rsidR="00000000" w:rsidRDefault="00000000">
      <w:r>
        <w:t>354.</w:t>
      </w:r>
      <w:r>
        <w:tab/>
        <w:t>В строгом соответствии с современными международными тенденциями в области поощрения и защиты прав ребенка и подростка Бразилия десять лет тому назад приняла Статут ребенка и подростка (СРП), о котором говорилось выше.  В нем отражены положения Федеральной конституции, касающиеся детей и подростков, и изложены важные новые меры для решения проблемы детей, отражающие изменения в его содержании, методах работы и вопросах контроля.  Одно из наиболее важных изменений касается введения понятия правовой и социальной защиты детей и подростков.  В отношении принятия более эффективных методов в Статуте подход на принципах вспомоществования, превалировавший в программах, ориентированных на детей и подростков, заменен подходом, основанным на образовании и социальном развитии, который ведет к эмансипации детей.  Кроме того, в вопросах оказания помощи детям и подросткам, живущим в условиях, опасных для них самих и делающих их опасными для общества, Статут отвергает субъективную и дискреционную практику применения традиционных положений Закона о попечительстве и вводит принцип юридических гарантий, в соответствии с которым ребенок приобретает статус правосубъекта и наделяется правами по отношению к системе отправления правосудия по делам детей и подростков.</w:t>
      </w:r>
    </w:p>
    <w:p w:rsidR="00000000" w:rsidRDefault="00000000"/>
    <w:p w:rsidR="00000000" w:rsidRDefault="00000000">
      <w:r>
        <w:t>355.</w:t>
      </w:r>
      <w:r>
        <w:tab/>
        <w:t>В институциональном плане, в соответствии со Статутом были сформированы попечительские советы (статья 131), предназначенные обеспечить эффективное выполнение рекомендаций Статута.  Эти советы являются постоянными автономными органами, не ограниченными границами юрисдикций, которым обществом поручило следить за тем, как осуществляются права детей и подростков.  В тех случаях, когда их права нарушаются действием или бездействием со стороны государства или общества, попечительские советы обязаны принимать соответствующие меры защиты и, при необходимости, обращаться в судебные органы.</w:t>
      </w:r>
    </w:p>
    <w:p w:rsidR="00000000" w:rsidRDefault="00000000"/>
    <w:p w:rsidR="00000000" w:rsidRDefault="00000000">
      <w:r>
        <w:t>356.</w:t>
      </w:r>
      <w:r>
        <w:tab/>
        <w:t>В рамках "политики, предусматривающей учет прав детей и подростков посредством принятия согласованных правительственных и неправительственных мер Союзом, штатами, федеральными округами и муниципиями" (статья 86), и в развитие принципа децентрализации на основе Статута создаются советы для защиты прав детей и подростков на федеральном, штатном и муниципальном уровнях.  Эти советы по правам детей, учреждаемые правительством и обществом на равной основе, выполняют функции совещательных органов, отслеживающих деятельность всех уровней правительства в отношении детей и подростков.  Задача советов состоит в том, чтобы вырабатывать нормы и формулировать политику;  они не обладают директивными полномочиями, которые принадлежат правительству.</w:t>
      </w:r>
    </w:p>
    <w:p w:rsidR="00000000" w:rsidRDefault="00000000"/>
    <w:p w:rsidR="00000000" w:rsidRDefault="00000000">
      <w:r>
        <w:t>357.</w:t>
      </w:r>
      <w:r>
        <w:tab/>
        <w:t>Таким образом, в Статуте строго соблюдаются принципы политической и административной децентрализации и участия организаций гражданского общества.  Статут в первую очередь расширяет функции муниципии и общины, тем самым ограничивая ответственность федерального правительства и штатов.  На федеральном правительстве лежит главная ответственность за выработку общих норм и за общую координацию политики.  В этой связи следует отметить важную роль, которую играет Национальный совет по правам ребенка и подростков (КОНАНДА), совещательный коллегиальный орган, в котором на равной основе представлены правительство и общество и которому поручена задача мониторинга действий, осуществляемых в рамках государственной политики.</w:t>
      </w:r>
    </w:p>
    <w:p w:rsidR="00000000" w:rsidRDefault="00000000"/>
    <w:p w:rsidR="00000000" w:rsidRDefault="00000000">
      <w:r>
        <w:t>358.</w:t>
      </w:r>
      <w:r>
        <w:tab/>
        <w:t>Будучи беспрепятственным правовым документом в истории страны, Статут обеспечивает условия для полноценного физического, умственного, морального, духовного и социального развития детей и подростков в атмосфере свободы и уважения достоинства.  Красной нитью через весь Статут проходит мысль о том, что дети и подростки должны иметь приоритет при получении помощи со стороны гражданских служб, при разработке и осуществлении социальной политики и, наконец, быть первыми в перечне категорий защищаемых лиц, для помощи которым выделяются государственные ассигнования.  Такой приоритет закреплен в конституционных положениях, упомянутых в предыдущем разделе.</w:t>
      </w:r>
    </w:p>
    <w:p w:rsidR="00000000" w:rsidRDefault="00000000"/>
    <w:p w:rsidR="00000000" w:rsidRDefault="00000000">
      <w:r>
        <w:t>359.</w:t>
      </w:r>
      <w:r>
        <w:tab/>
        <w:t>В соответствии с основными правами, включая право на семью и жизнь в обществе, образование, культуру, спорт и досуг, в Статуте предусматривается профессионально-техническое обучение и охрана труда.  В главе </w:t>
      </w:r>
      <w:r>
        <w:rPr>
          <w:lang w:val="en-US"/>
        </w:rPr>
        <w:t>V</w:t>
      </w:r>
      <w:r>
        <w:t xml:space="preserve"> в соответствии с положениями конституции запрещается использование труда детей в возрасте до 14 лет "кроме как в качестве учеников".  Поощрение ученичества в рамках профессионально-технического обучения подпадает под действие гарантии доступа подростка к обычной школе и обязательного посещения школьных занятий.  Кроме того, в настоящее время в Национальном конгрессе рассматривается вопрос о трудовом воспитании подростков в возрасте от 14 до 18 лет, с тем чтобы учеба и труд помогали этой категории подростков становиться полноценными членами трудовых коллективов.</w:t>
      </w:r>
    </w:p>
    <w:p w:rsidR="00000000" w:rsidRDefault="00000000"/>
    <w:p w:rsidR="00000000" w:rsidRDefault="00000000">
      <w:r>
        <w:t>360.</w:t>
      </w:r>
      <w:r>
        <w:tab/>
        <w:t>Представляется необходимым внести ясность в вопрос, связанный с ученичеством для получения технической квалификации, которое разрешено начиная с 14 лет.  Ученичеством можно заниматься лишь при условии выполнения других требований, перечисленных в статье</w:t>
      </w:r>
      <w:r>
        <w:rPr>
          <w:lang w:val="en-US"/>
        </w:rPr>
        <w:t> </w:t>
      </w:r>
      <w:r>
        <w:t>63 Статута о ребенке и подростке, а именно:  соблюдение гарантии доступа к обычной школе и обязательному посещению школьных занятий;  соответствие ученичества требованиям развития ребенка;  и отведение специальных часов на занятия трудом.</w:t>
      </w:r>
    </w:p>
    <w:p w:rsidR="00000000" w:rsidRDefault="00000000"/>
    <w:p w:rsidR="00000000" w:rsidRDefault="00000000">
      <w:r>
        <w:t>361.</w:t>
      </w:r>
      <w:r>
        <w:tab/>
        <w:t>Другим важным законом является Закон о вспомоществовании (Закон 8742 от 7 сентября 1993 года), который непосредственно связан со статьями 203 и  204 Конституции и согласно которому создается система социальной защиты, предназначенная для наиболее уязвимых групп населения.  Защита предоставляется с помощью пособий, услуг, программ и проектов.  В статье 2 Закона определяются задачи системы, которые i)  включают защиту семей детей и подростков, и ii)  оказание помощи обездоленным детям и подросткам.</w:t>
      </w:r>
    </w:p>
    <w:p w:rsidR="00000000" w:rsidRDefault="00000000"/>
    <w:p w:rsidR="00000000" w:rsidRDefault="00000000">
      <w:r>
        <w:t>362.</w:t>
      </w:r>
      <w:r>
        <w:tab/>
        <w:t>Следует отметить, что системой вспомоществования планируется охватить не всех детей и подростков, а лишь конкретные группы, которые нуждаются в ней в силу своего нищенского существования, маргинализации и личных или социальных рисков.</w:t>
      </w:r>
    </w:p>
    <w:p w:rsidR="00000000" w:rsidRDefault="00000000"/>
    <w:p w:rsidR="00000000" w:rsidRDefault="00000000">
      <w:r>
        <w:t>363.</w:t>
      </w:r>
      <w:r>
        <w:tab/>
        <w:t>Международные соглашения и конвенции, равно как и другие правовые документы, которые составляют основу для деятельности по поощрению и защите прав ребенка и подростков в контексте положений Организации Объединенных Наций в области прав человека, в значительной степени вдохновляют работу сотрудников правовых и административных органов, которые занимаются правами бразильских детей и подростков.  Базовым документом, о котором следует упомянуть в первую очередь, является Женевская декларация прав ребенка 1924 года, принятая Генеральной Ассамблеей Организации Объединенных Наций в 1959 году.  Убежденность в необходимости обеспечения особой защиты детей была впервые высказана в 1924 году, а затем получила признание во Всеобщей декларации прав человека (1948 год), Международном пакте о гражданских и политических правах и в Международном пакте об экономических, социальных и культурных правах.  Все эти документы были подписаны и ратифицированы правительством Бразилии.</w:t>
      </w:r>
    </w:p>
    <w:p w:rsidR="00000000" w:rsidRDefault="00000000"/>
    <w:p w:rsidR="00000000" w:rsidRDefault="00000000">
      <w:r>
        <w:t>364.</w:t>
      </w:r>
      <w:r>
        <w:tab/>
        <w:t>Прошло еще три десятилетия, прежде чем международное сообщество приняло Конвенцию Организации Объединенных Наций о правах ребенка (ноябрь 1989 года).  В ней нашла свое воплощение доктрина всесторонней защиты ребенка, абсолютного приоритета его прав и соблюдения гражданских, политических, экономических, социальных и культурных прав детей.  Этот договор, подписанный правительством Бразилии после того, как он был открыт для подписания государствами </w:t>
      </w:r>
      <w:r>
        <w:noBreakHyphen/>
        <w:t xml:space="preserve"> членами Организации Объединенных Наций, был ратифицирован Законодательным декретом № 28 от 14 сентября 1990 года.  В сентябре 1990 года Бразилия принимала также участие в работе Всемирной встречи на высшем уровне в интересах детей, созванной Организацией Объединенных Наций.  В ходе этой встречи 71 президент и главы государств и представители 80 стран подписали Всемирную декларацию об обеспечении выживания, защиты и развития детей и приняли План действий на 90-е годы, тем самым взяв на себя обязательства выполнять отныне Конвенцию о правах ребенка.</w:t>
      </w:r>
    </w:p>
    <w:p w:rsidR="00000000" w:rsidRDefault="00000000"/>
    <w:p w:rsidR="00000000" w:rsidRDefault="00000000">
      <w:r>
        <w:t>365.</w:t>
      </w:r>
      <w:r>
        <w:tab/>
        <w:t>Бразильское позитивное право включает в общем плане нормы конвенций МОТ, хотя не все из них были ратифицированы.  Будучи приверженным делу борьбы с детским трудом, правительство Бразилии принимает активное участие в работе международных конференций, которые под разным углом зрения рассматривают эту проблему.</w:t>
      </w:r>
    </w:p>
    <w:p w:rsidR="00000000" w:rsidRDefault="00000000"/>
    <w:p w:rsidR="00000000" w:rsidRDefault="00000000">
      <w:r>
        <w:t>366.</w:t>
      </w:r>
      <w:r>
        <w:tab/>
        <w:t>Помимо действующих в Бразилии правовых документов, которые обеспечивают гарантии прав ребенка и подростков, правительство в 1990 году сформировало федеральный совет, за которым последовало создание многочисленных советов в штатах и городах, цель которых состоит в обеспечении защиты детей и подростков.  Кроме того, правительством ведется работа по созданию правовых и административных структур для принятия совместных действий на различных уровнях правительства и общества, предназначенных образовать Национальный форум по вопросам предупреждения и ликвидации детского труда.</w:t>
      </w:r>
    </w:p>
    <w:p w:rsidR="00000000" w:rsidRDefault="00000000"/>
    <w:p w:rsidR="00000000" w:rsidRDefault="00000000">
      <w:r>
        <w:t>367.</w:t>
      </w:r>
      <w:r>
        <w:tab/>
        <w:t>Что касается действий и программ, которые направлены на защиту и всестороннее развитие детей и подростков в различных областях трудовой деятельности, образования, здравоохранения, культуры, обеспечения прав человека и социальной защиты, то правительство Бразилии хотело бы также подчеркнуть, что оно твердо намерено добиваться координации политики в интересах детей и подростков, разрабатываемой в различных секторах.</w:t>
      </w:r>
    </w:p>
    <w:p w:rsidR="00000000" w:rsidRDefault="00000000"/>
    <w:p w:rsidR="00000000" w:rsidRDefault="00000000">
      <w:r>
        <w:t>368.</w:t>
      </w:r>
      <w:r>
        <w:tab/>
        <w:t>Правительство Бразилии уделяет особое внимание вопросам международного сотрудничества.  На многочисленных многосторонних и региональных форумах его представители неоднократно подчеркивали важность международного сотрудничества как средства осуществления экономических, социальных и культурных прав через финансирование конкретных проектов и программ, представляющих интерес для развивающихся стран.  Так, например, министерство труда является официальным координатором в Бразилии действий, осуществляемых в рамках Международной программы по ликвидации детского труда (ИПЕК) Международной организации труда.  Начатая в 1992 году и продленная до конца 2001 года на основании меморандума о договоренности, подписанного правительством Бразилии и МОТ в октябре 1996 года, ИПЕК предназначена главным образом для удовлетворения потребностей трех уязвимых групп, а именно:  детей, занимающихся принудительным трудом;  детей, работающих в нездоровых и опасных для жизни профессиях;  и работающих детей в возрасте до 12 лет.</w:t>
      </w:r>
    </w:p>
    <w:p w:rsidR="00000000" w:rsidRDefault="00000000"/>
    <w:p w:rsidR="00000000" w:rsidRDefault="00000000">
      <w:r>
        <w:t>369.</w:t>
      </w:r>
      <w:r>
        <w:tab/>
        <w:t>Положительные результаты осуществления ИПЕК в Бразилии не вызывают никаких сомнений.  Бразилия признана Директором Программы как одна из стран, неукоснительно следующая курсом эффективной борьбы с детским трудом, поскольку, как он отметил, президент Республики лично занимается задачей ликвидации этой проблемы.  По оценке МОТ, среди полученных результатов следует прежде всего отметить включение вопроса о детском труде в национальную повестку дня и широкую мобилизацию гражданского общества.  Следует также сказать, что введение новаторской концепции производственной цепи привело к более глубокому пониманию данной проблемы и к участию бразильских предпринимателей в проектах, направленных на ликвидацию детского труда, в особенности в угольной и обувной отраслях промышленности и на апельсиновых плантациях.</w:t>
      </w:r>
    </w:p>
    <w:p w:rsidR="00000000" w:rsidRDefault="00000000"/>
    <w:p w:rsidR="00000000" w:rsidRDefault="00000000">
      <w:r>
        <w:t>370.</w:t>
      </w:r>
      <w:r>
        <w:tab/>
        <w:t>В рамках осуществления ИПЕК были отобраны 19 проектов для осуществления в различных регионах страны.  Перед ними стоят следующие задачи:  разработка политики (правительства);  подготовка рабочих (профессиональные союзы);  гарантирование прав и социальная мобилизация (работодатели);  и оказание прямой помощи несовершеннолетним и образование работающих детей (НПО).  Деятельностью по линии ИПЕК были охвачены более 15 000 детей, и в ней приняли участие 1 315 профсоюзных лидеров и 544 работника сферы образования.</w:t>
      </w:r>
    </w:p>
    <w:p w:rsidR="00000000" w:rsidRDefault="00000000">
      <w:pPr>
        <w:jc w:val="center"/>
        <w:rPr>
          <w:u w:val="single"/>
        </w:rPr>
      </w:pPr>
    </w:p>
    <w:p w:rsidR="00000000" w:rsidRDefault="00000000">
      <w:pPr>
        <w:pStyle w:val="10"/>
        <w:rPr>
          <w:bCs/>
        </w:rPr>
      </w:pPr>
      <w:r>
        <w:rPr>
          <w:bCs/>
        </w:rPr>
        <w:t>Статья 11</w:t>
      </w:r>
    </w:p>
    <w:p w:rsidR="00000000" w:rsidRDefault="00000000"/>
    <w:p w:rsidR="00000000" w:rsidRDefault="00000000">
      <w:pPr>
        <w:rPr>
          <w:lang w:val="en-US"/>
        </w:rPr>
      </w:pPr>
      <w:r>
        <w:t>371.</w:t>
      </w:r>
      <w:r>
        <w:tab/>
        <w:t>Тщательное изучение проблемы бедности в Бразилии являет важные элементы, необходимые для проведения анализа условий жизни населения.  Этот вопрос с точки зрения статистики довольно сложен и требует непрерывного и скрупулезного сбора и обработки данных.  Правительство шаг за шагом постепенно принимает необходимые меры, добиваясь того, чтобы его диагноз носил все более точный характер.  Проводящийся в настоящее время опрос населения страны, несомненно, даст новые сведения, касающиеся условий жизни населения, и позволит пересмотреть государственную политику, которая оказывает на них непосредственное воздействие.</w:t>
      </w:r>
    </w:p>
    <w:p w:rsidR="00000000" w:rsidRDefault="00000000">
      <w:pPr>
        <w:rPr>
          <w:lang w:val="en-US"/>
        </w:rPr>
      </w:pPr>
    </w:p>
    <w:p w:rsidR="00000000" w:rsidRDefault="00000000">
      <w:r>
        <w:t>372.</w:t>
      </w:r>
      <w:r>
        <w:tab/>
        <w:t>В Бразилии нет официальной черты бедности, но на практике широко используются показатели бедности, которые основываются на методе определения параметров нуждаемости.  Этот метод заключается в том, что вначале определяется сумма средств, необходимая для приобретения той или иной продовольственной корзины (стоимостное выражение крайней нищеты), а затем к этой величине применяется мультипликатор, с помощью которого выводится показатель черты бедности.</w:t>
      </w:r>
    </w:p>
    <w:p w:rsidR="00000000" w:rsidRDefault="00000000"/>
    <w:p w:rsidR="00000000" w:rsidRDefault="00000000">
      <w:pPr>
        <w:sectPr w:rsidR="00000000">
          <w:headerReference w:type="even" r:id="rId31"/>
          <w:headerReference w:type="default" r:id="rId32"/>
          <w:footerReference w:type="default" r:id="rId33"/>
          <w:headerReference w:type="first" r:id="rId34"/>
          <w:pgSz w:w="11906" w:h="16838" w:code="9"/>
          <w:pgMar w:top="851" w:right="851" w:bottom="1701" w:left="1701" w:header="851" w:footer="851" w:gutter="0"/>
          <w:cols w:space="720"/>
          <w:formProt w:val="0"/>
          <w:docGrid w:linePitch="107"/>
        </w:sectPr>
      </w:pPr>
      <w:r>
        <w:t>373.</w:t>
      </w:r>
      <w:r>
        <w:tab/>
        <w:t>Продовольственная корзина определяется как совокупность продуктов, необходимых для обеспечения идеального дневного рациона калорий.  Размер корзины определяется на основе данных о потреблении продуктов питания беднейшими слоями населения.  Мультипликатор для определения черты бедности может быть получен эмпирически путем наблюдения за потреблением других продуктов семьями, находящимися за чертой крайней бедности;  в этом случае, однако, применяется коэффициент 2, как это делается в Экономической и социальной комиссии для Латинской Америки и Карибского бассейна (ЭКЛАК).</w:t>
      </w:r>
    </w:p>
    <w:p w:rsidR="00000000" w:rsidRDefault="00000000">
      <w:pPr>
        <w:pStyle w:val="BodyText3"/>
        <w:spacing w:line="288" w:lineRule="auto"/>
        <w:jc w:val="center"/>
        <w:rPr>
          <w:b/>
          <w:spacing w:val="20"/>
          <w:kern w:val="20"/>
          <w:lang w:val="ru-RU"/>
        </w:rPr>
      </w:pPr>
      <w:r>
        <w:rPr>
          <w:b/>
          <w:spacing w:val="20"/>
          <w:kern w:val="20"/>
          <w:lang w:val="ru-RU"/>
        </w:rPr>
        <w:t>Таблица 44.  Бедность в Бразилии - индивидуальные показатели</w:t>
      </w:r>
    </w:p>
    <w:p w:rsidR="00000000" w:rsidRDefault="00000000">
      <w:pPr>
        <w:pStyle w:val="BodyText3"/>
        <w:spacing w:line="216" w:lineRule="auto"/>
        <w:jc w:val="right"/>
        <w:rPr>
          <w:b/>
          <w:color w:val="000000"/>
          <w:spacing w:val="20"/>
          <w:kern w:val="20"/>
          <w:lang w:val="ru-RU"/>
        </w:rPr>
      </w:pPr>
    </w:p>
    <w:tbl>
      <w:tblPr>
        <w:tblW w:w="13274" w:type="dxa"/>
        <w:tblInd w:w="172" w:type="dxa"/>
        <w:tblLayout w:type="fixed"/>
        <w:tblCellMar>
          <w:left w:w="30" w:type="dxa"/>
          <w:right w:w="30" w:type="dxa"/>
        </w:tblCellMar>
        <w:tblLook w:val="0000" w:firstRow="0" w:lastRow="0" w:firstColumn="0" w:lastColumn="0" w:noHBand="0" w:noVBand="0"/>
      </w:tblPr>
      <w:tblGrid>
        <w:gridCol w:w="1691"/>
        <w:gridCol w:w="936"/>
        <w:gridCol w:w="702"/>
        <w:gridCol w:w="741"/>
        <w:gridCol w:w="1053"/>
        <w:gridCol w:w="897"/>
        <w:gridCol w:w="741"/>
        <w:gridCol w:w="1053"/>
        <w:gridCol w:w="858"/>
        <w:gridCol w:w="741"/>
        <w:gridCol w:w="1092"/>
        <w:gridCol w:w="936"/>
        <w:gridCol w:w="780"/>
        <w:gridCol w:w="1053"/>
      </w:tblGrid>
      <w:tr w:rsidR="00000000">
        <w:tblPrEx>
          <w:tblCellMar>
            <w:top w:w="0" w:type="dxa"/>
            <w:bottom w:w="0" w:type="dxa"/>
          </w:tblCellMar>
        </w:tblPrEx>
        <w:trPr>
          <w:cantSplit/>
          <w:trHeight w:val="139"/>
        </w:trPr>
        <w:tc>
          <w:tcPr>
            <w:tcW w:w="1691" w:type="dxa"/>
            <w:vMerge w:val="restart"/>
            <w:tcBorders>
              <w:top w:val="doub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p>
        </w:tc>
        <w:tc>
          <w:tcPr>
            <w:tcW w:w="6123" w:type="dxa"/>
            <w:gridSpan w:val="7"/>
            <w:tcBorders>
              <w:top w:val="double" w:sz="6" w:space="0" w:color="auto"/>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Черта бедности</w:t>
            </w:r>
          </w:p>
        </w:tc>
        <w:tc>
          <w:tcPr>
            <w:tcW w:w="5460" w:type="dxa"/>
            <w:gridSpan w:val="6"/>
            <w:tcBorders>
              <w:top w:val="double" w:sz="6" w:space="0" w:color="auto"/>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Черта нуждаемости</w:t>
            </w:r>
          </w:p>
        </w:tc>
      </w:tr>
      <w:tr w:rsidR="00000000">
        <w:tblPrEx>
          <w:tblCellMar>
            <w:top w:w="0" w:type="dxa"/>
            <w:bottom w:w="0" w:type="dxa"/>
          </w:tblCellMar>
        </w:tblPrEx>
        <w:trPr>
          <w:cantSplit/>
          <w:trHeight w:val="130"/>
        </w:trPr>
        <w:tc>
          <w:tcPr>
            <w:tcW w:w="1691" w:type="dxa"/>
            <w:vMerge/>
            <w:tcBorders>
              <w:top w:val="nil"/>
              <w:left w:val="single" w:sz="2" w:space="0" w:color="000000"/>
              <w:bottom w:val="nil"/>
              <w:right w:val="single" w:sz="2" w:space="0" w:color="000000"/>
            </w:tcBorders>
          </w:tcPr>
          <w:p w:rsidR="00000000" w:rsidRDefault="00000000">
            <w:pPr>
              <w:pStyle w:val="BodyText3"/>
              <w:spacing w:line="216" w:lineRule="auto"/>
              <w:jc w:val="center"/>
              <w:rPr>
                <w:sz w:val="18"/>
                <w:lang w:val="ru-RU"/>
              </w:rPr>
            </w:pPr>
          </w:p>
        </w:tc>
        <w:tc>
          <w:tcPr>
            <w:tcW w:w="3432" w:type="dxa"/>
            <w:gridSpan w:val="4"/>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Масштабы бедности по категориям</w:t>
            </w:r>
          </w:p>
        </w:tc>
        <w:tc>
          <w:tcPr>
            <w:tcW w:w="2691" w:type="dxa"/>
            <w:gridSpan w:val="3"/>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Распределение бедности по категориям</w:t>
            </w:r>
          </w:p>
        </w:tc>
        <w:tc>
          <w:tcPr>
            <w:tcW w:w="2691" w:type="dxa"/>
            <w:gridSpan w:val="3"/>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Масштабы бедности по категориям</w:t>
            </w:r>
          </w:p>
        </w:tc>
        <w:tc>
          <w:tcPr>
            <w:tcW w:w="2769" w:type="dxa"/>
            <w:gridSpan w:val="3"/>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Распределение бедности по категориям</w:t>
            </w:r>
          </w:p>
        </w:tc>
      </w:tr>
      <w:tr w:rsidR="00000000">
        <w:tblPrEx>
          <w:tblCellMar>
            <w:top w:w="0" w:type="dxa"/>
            <w:bottom w:w="0" w:type="dxa"/>
          </w:tblCellMar>
        </w:tblPrEx>
        <w:trPr>
          <w:cantSplit/>
          <w:trHeight w:val="810"/>
        </w:trPr>
        <w:tc>
          <w:tcPr>
            <w:tcW w:w="1691" w:type="dxa"/>
            <w:vMerge/>
            <w:tcBorders>
              <w:top w:val="nil"/>
              <w:left w:val="single" w:sz="2" w:space="0" w:color="000000"/>
              <w:bottom w:val="nil"/>
              <w:right w:val="single" w:sz="2" w:space="0" w:color="000000"/>
            </w:tcBorders>
          </w:tcPr>
          <w:p w:rsidR="00000000" w:rsidRDefault="00000000">
            <w:pPr>
              <w:pStyle w:val="BodyText3"/>
              <w:spacing w:line="216" w:lineRule="auto"/>
              <w:jc w:val="center"/>
              <w:rPr>
                <w:sz w:val="18"/>
                <w:lang w:val="ru-RU"/>
              </w:rPr>
            </w:pPr>
          </w:p>
        </w:tc>
        <w:tc>
          <w:tcPr>
            <w:tcW w:w="936"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Разбивка населения</w:t>
            </w:r>
          </w:p>
        </w:tc>
        <w:tc>
          <w:tcPr>
            <w:tcW w:w="702"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Бедные (в про-центах)</w:t>
            </w:r>
          </w:p>
        </w:tc>
        <w:tc>
          <w:tcPr>
            <w:tcW w:w="741"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Средняя разница в доходах</w:t>
            </w:r>
          </w:p>
        </w:tc>
        <w:tc>
          <w:tcPr>
            <w:tcW w:w="1053" w:type="dxa"/>
            <w:tcBorders>
              <w:top w:val="single" w:sz="2" w:space="0" w:color="000000"/>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Среднеквад-ратичное значение разницы в доходах</w:t>
            </w:r>
          </w:p>
        </w:tc>
        <w:tc>
          <w:tcPr>
            <w:tcW w:w="897"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Бедные (в процен-тах)</w:t>
            </w:r>
          </w:p>
        </w:tc>
        <w:tc>
          <w:tcPr>
            <w:tcW w:w="741"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Средняя разница в доходах</w:t>
            </w:r>
          </w:p>
        </w:tc>
        <w:tc>
          <w:tcPr>
            <w:tcW w:w="1053"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Среднеквад-ратичное значение разницы в доходах</w:t>
            </w:r>
          </w:p>
        </w:tc>
        <w:tc>
          <w:tcPr>
            <w:tcW w:w="858"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Бедные (в про-центах)</w:t>
            </w:r>
          </w:p>
        </w:tc>
        <w:tc>
          <w:tcPr>
            <w:tcW w:w="741"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Средняя разница в доходах</w:t>
            </w:r>
          </w:p>
        </w:tc>
        <w:tc>
          <w:tcPr>
            <w:tcW w:w="1092"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Среднеквад-ратичное значение разницы в доходах</w:t>
            </w:r>
          </w:p>
        </w:tc>
        <w:tc>
          <w:tcPr>
            <w:tcW w:w="936"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Бедные (в процен-тах)</w:t>
            </w:r>
          </w:p>
        </w:tc>
        <w:tc>
          <w:tcPr>
            <w:tcW w:w="780" w:type="dxa"/>
            <w:tcBorders>
              <w:top w:val="single" w:sz="6" w:space="0" w:color="auto"/>
              <w:left w:val="single" w:sz="2" w:space="0" w:color="000000"/>
              <w:bottom w:val="nil"/>
              <w:right w:val="single" w:sz="2" w:space="0" w:color="000000"/>
            </w:tcBorders>
          </w:tcPr>
          <w:p w:rsidR="00000000" w:rsidRDefault="00000000">
            <w:pPr>
              <w:pStyle w:val="BodyText3"/>
              <w:spacing w:line="216" w:lineRule="auto"/>
              <w:jc w:val="center"/>
              <w:rPr>
                <w:sz w:val="18"/>
                <w:lang w:val="ru-RU"/>
              </w:rPr>
            </w:pPr>
            <w:r>
              <w:rPr>
                <w:sz w:val="18"/>
                <w:lang w:val="ru-RU"/>
              </w:rPr>
              <w:t>Средняя разница в доходах</w:t>
            </w:r>
          </w:p>
        </w:tc>
        <w:tc>
          <w:tcPr>
            <w:tcW w:w="1053" w:type="dxa"/>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Среднеквад-ратичное значение разницы в доходах</w:t>
            </w:r>
          </w:p>
        </w:tc>
      </w:tr>
      <w:tr w:rsidR="00000000">
        <w:tblPrEx>
          <w:tblCellMar>
            <w:top w:w="0" w:type="dxa"/>
            <w:bottom w:w="0" w:type="dxa"/>
          </w:tblCellMar>
        </w:tblPrEx>
        <w:trPr>
          <w:cantSplit/>
          <w:trHeight w:val="130"/>
        </w:trPr>
        <w:tc>
          <w:tcPr>
            <w:tcW w:w="1691"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i/>
                <w:sz w:val="18"/>
                <w:lang w:val="ru-RU"/>
              </w:rPr>
              <w:t>Бразилия</w:t>
            </w:r>
          </w:p>
        </w:tc>
        <w:tc>
          <w:tcPr>
            <w:tcW w:w="936"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02"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w:t>
            </w:r>
          </w:p>
        </w:tc>
        <w:tc>
          <w:tcPr>
            <w:tcW w:w="741"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1053"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897"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41"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1053"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858"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41"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1092"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36"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80"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1053"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i/>
                <w:sz w:val="18"/>
                <w:lang w:val="ru-RU"/>
              </w:rPr>
            </w:pPr>
            <w:r>
              <w:rPr>
                <w:i/>
                <w:sz w:val="18"/>
                <w:lang w:val="ru-RU"/>
              </w:rPr>
              <w:t>Характеристики населения</w:t>
            </w:r>
          </w:p>
        </w:tc>
        <w:tc>
          <w:tcPr>
            <w:tcW w:w="11583" w:type="dxa"/>
            <w:gridSpan w:val="13"/>
            <w:vMerge w:val="restart"/>
            <w:tcBorders>
              <w:top w:val="single" w:sz="2" w:space="0" w:color="000000"/>
              <w:left w:val="single" w:sz="2" w:space="0" w:color="000000"/>
              <w:bottom w:val="nil"/>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Пол</w:t>
            </w:r>
          </w:p>
        </w:tc>
        <w:tc>
          <w:tcPr>
            <w:tcW w:w="11583" w:type="dxa"/>
            <w:gridSpan w:val="13"/>
            <w:vMerge/>
            <w:tcBorders>
              <w:top w:val="nil"/>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Муж.</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49,10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49,25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49,47</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49,73</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49,39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49,49</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49,36</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Жен.</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50,90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50,75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50,54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50,27</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50,60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50,51</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50,64</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Образование</w:t>
            </w:r>
          </w:p>
        </w:tc>
        <w:tc>
          <w:tcPr>
            <w:tcW w:w="11583" w:type="dxa"/>
            <w:gridSpan w:val="13"/>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 лет школы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29,20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44,55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48,17</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49,97</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51,11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52,27</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51,65</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 года школы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13,80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11,93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10,85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10,28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9,95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9,58</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9,69</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 года школы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18,90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24,91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25,03</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24,76</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25,31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24,24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23,29</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5-8 лет школы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20,60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14,86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12,84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11,96</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08</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11,11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10,91</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11,55</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9-11 лет школы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12,60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3,58</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2,89</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2,72</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2,56</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3,11</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 + лет школы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5,00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0,01</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0,01</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0,24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0,29</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0,40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0,01</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0,01</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0,53</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0,80</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lang w:val="ru-RU"/>
              </w:rPr>
              <w:t>Возраст</w:t>
            </w:r>
          </w:p>
        </w:tc>
        <w:tc>
          <w:tcPr>
            <w:tcW w:w="11583" w:type="dxa"/>
            <w:gridSpan w:val="13"/>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0-6</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13,70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50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0,25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0,16</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20,19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21,88</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22,74</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0,11</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0,07</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23,13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23,80</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23,81</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7-14</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17,30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46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0,22</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0,14</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23,47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24,79</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25,31</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0,09</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0,06</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25,97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25,95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25,29</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15-22</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19,10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0,14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0,08</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18,68</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17,72</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17,00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0,05</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0,03</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16,82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15,98</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15,53</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25</w:t>
            </w:r>
            <w:r>
              <w:rPr>
                <w:sz w:val="18"/>
                <w:lang w:val="ru-RU"/>
              </w:rPr>
              <w:t>-</w:t>
            </w:r>
            <w:r>
              <w:rPr>
                <w:sz w:val="18"/>
              </w:rPr>
              <w:t>34</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44,00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0,12</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0,07</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35,00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33,74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33,43</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11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0,05</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0,03</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32,80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33,13</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rPr>
            </w:pPr>
            <w:r>
              <w:rPr>
                <w:sz w:val="18"/>
              </w:rPr>
              <w:t>34,16</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rPr>
              <w:t xml:space="preserve">65 + </w:t>
            </w:r>
            <w:r>
              <w:rPr>
                <w:sz w:val="18"/>
                <w:lang w:val="ru-RU"/>
              </w:rPr>
              <w:t>лет</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5,90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2,67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1,87</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1,52</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1,13</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1,20</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i/>
                <w:sz w:val="18"/>
                <w:lang w:val="ru-RU"/>
              </w:rPr>
              <w:t>Структура семьи</w:t>
            </w:r>
          </w:p>
        </w:tc>
        <w:tc>
          <w:tcPr>
            <w:tcW w:w="11583" w:type="dxa"/>
            <w:gridSpan w:val="13"/>
            <w:vMerge w:val="restart"/>
            <w:tcBorders>
              <w:top w:val="single" w:sz="2" w:space="0" w:color="000000"/>
              <w:left w:val="single" w:sz="2" w:space="0" w:color="000000"/>
              <w:bottom w:val="nil"/>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Положение в семье</w:t>
            </w:r>
          </w:p>
        </w:tc>
        <w:tc>
          <w:tcPr>
            <w:tcW w:w="11583" w:type="dxa"/>
            <w:gridSpan w:val="13"/>
            <w:vMerge/>
            <w:tcBorders>
              <w:top w:val="nil"/>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Член семьи</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0,22</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0,18</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0,19</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Супруг/супруга</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18,90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16,14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15,69</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15,56</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15,41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15,43</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15,69</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Прочее родство</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9,20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9,41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8,21</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7,30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6,06</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5,37</w:t>
            </w:r>
          </w:p>
        </w:tc>
      </w:tr>
      <w:tr w:rsidR="00000000">
        <w:tblPrEx>
          <w:tblCellMar>
            <w:top w:w="0" w:type="dxa"/>
            <w:bottom w:w="0" w:type="dxa"/>
          </w:tblCellMar>
        </w:tblPrEx>
        <w:trPr>
          <w:cantSplit/>
          <w:trHeight w:val="130"/>
        </w:trPr>
        <w:tc>
          <w:tcPr>
            <w:tcW w:w="169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Глава</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26,20</w:t>
            </w:r>
          </w:p>
        </w:tc>
        <w:tc>
          <w:tcPr>
            <w:tcW w:w="70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20,91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20,37</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20,50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1092"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19,77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20,74</w:t>
            </w:r>
          </w:p>
        </w:tc>
        <w:tc>
          <w:tcPr>
            <w:tcW w:w="1053"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22,23</w:t>
            </w:r>
          </w:p>
        </w:tc>
      </w:tr>
      <w:tr w:rsidR="00000000">
        <w:tblPrEx>
          <w:tblCellMar>
            <w:top w:w="0" w:type="dxa"/>
            <w:bottom w:w="0" w:type="dxa"/>
          </w:tblCellMar>
        </w:tblPrEx>
        <w:trPr>
          <w:cantSplit/>
          <w:trHeight w:val="139"/>
        </w:trPr>
        <w:tc>
          <w:tcPr>
            <w:tcW w:w="1691"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Ребенок</w:t>
            </w:r>
          </w:p>
        </w:tc>
        <w:tc>
          <w:tcPr>
            <w:tcW w:w="936"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45,20</w:t>
            </w:r>
          </w:p>
        </w:tc>
        <w:tc>
          <w:tcPr>
            <w:tcW w:w="702"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40</w:t>
            </w:r>
          </w:p>
        </w:tc>
        <w:tc>
          <w:tcPr>
            <w:tcW w:w="741"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0,19</w:t>
            </w:r>
          </w:p>
        </w:tc>
        <w:tc>
          <w:tcPr>
            <w:tcW w:w="1053"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897"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53,18</w:t>
            </w:r>
          </w:p>
        </w:tc>
        <w:tc>
          <w:tcPr>
            <w:tcW w:w="741"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55,43</w:t>
            </w:r>
          </w:p>
        </w:tc>
        <w:tc>
          <w:tcPr>
            <w:tcW w:w="1053"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56,35</w:t>
            </w:r>
          </w:p>
        </w:tc>
        <w:tc>
          <w:tcPr>
            <w:tcW w:w="858"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19</w:t>
            </w:r>
          </w:p>
        </w:tc>
        <w:tc>
          <w:tcPr>
            <w:tcW w:w="741"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1092"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36"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57,39</w:t>
            </w:r>
          </w:p>
        </w:tc>
        <w:tc>
          <w:tcPr>
            <w:tcW w:w="780"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57,51</w:t>
            </w:r>
          </w:p>
        </w:tc>
        <w:tc>
          <w:tcPr>
            <w:tcW w:w="1053" w:type="dxa"/>
            <w:tcBorders>
              <w:top w:val="single" w:sz="2" w:space="0" w:color="000000"/>
              <w:left w:val="single" w:sz="2" w:space="0" w:color="000000"/>
              <w:bottom w:val="double" w:sz="6" w:space="0" w:color="auto"/>
              <w:right w:val="single" w:sz="2" w:space="0" w:color="000000"/>
            </w:tcBorders>
          </w:tcPr>
          <w:p w:rsidR="00000000" w:rsidRDefault="00000000">
            <w:pPr>
              <w:pStyle w:val="BodyText3"/>
              <w:spacing w:line="216" w:lineRule="auto"/>
              <w:jc w:val="center"/>
              <w:rPr>
                <w:sz w:val="18"/>
                <w:lang w:val="ru-RU"/>
              </w:rPr>
            </w:pPr>
            <w:r>
              <w:rPr>
                <w:sz w:val="18"/>
                <w:lang w:val="ru-RU"/>
              </w:rPr>
              <w:t>56,43</w:t>
            </w:r>
          </w:p>
        </w:tc>
      </w:tr>
    </w:tbl>
    <w:p w:rsidR="00000000" w:rsidRDefault="00000000">
      <w:pPr>
        <w:pStyle w:val="BodyText3"/>
        <w:spacing w:line="288" w:lineRule="auto"/>
        <w:jc w:val="center"/>
        <w:rPr>
          <w:b/>
          <w:spacing w:val="20"/>
          <w:kern w:val="20"/>
          <w:sz w:val="16"/>
          <w:lang w:val="ru-RU"/>
        </w:rPr>
      </w:pPr>
    </w:p>
    <w:p w:rsidR="00000000" w:rsidRDefault="00000000">
      <w:pPr>
        <w:pStyle w:val="BodyText3"/>
        <w:spacing w:line="288" w:lineRule="auto"/>
        <w:jc w:val="left"/>
        <w:rPr>
          <w:bCs/>
          <w:spacing w:val="20"/>
          <w:kern w:val="20"/>
          <w:sz w:val="16"/>
          <w:lang w:val="ru-RU"/>
        </w:rPr>
      </w:pPr>
      <w:r>
        <w:rPr>
          <w:bCs/>
          <w:spacing w:val="20"/>
          <w:kern w:val="20"/>
          <w:sz w:val="16"/>
          <w:u w:val="single"/>
          <w:lang w:val="ru-RU"/>
        </w:rPr>
        <w:t>Источник</w:t>
      </w:r>
      <w:r>
        <w:rPr>
          <w:bCs/>
          <w:spacing w:val="20"/>
          <w:kern w:val="20"/>
          <w:sz w:val="16"/>
          <w:lang w:val="ru-RU"/>
        </w:rPr>
        <w:t>:  Составлено на основании Обзора домашних хозяйств 1997 года (ОВОДХ).</w:t>
      </w:r>
    </w:p>
    <w:p w:rsidR="00000000" w:rsidRDefault="00000000">
      <w:pPr>
        <w:pStyle w:val="BodyText3"/>
        <w:spacing w:line="288" w:lineRule="auto"/>
        <w:jc w:val="center"/>
        <w:rPr>
          <w:b/>
          <w:spacing w:val="20"/>
          <w:kern w:val="20"/>
          <w:lang w:val="ru-RU"/>
        </w:rPr>
      </w:pPr>
      <w:r>
        <w:rPr>
          <w:b/>
          <w:spacing w:val="20"/>
          <w:kern w:val="20"/>
          <w:sz w:val="16"/>
          <w:lang w:val="ru-RU"/>
        </w:rPr>
        <w:br w:type="page"/>
      </w:r>
      <w:r>
        <w:rPr>
          <w:b/>
          <w:spacing w:val="20"/>
          <w:kern w:val="20"/>
          <w:lang w:val="ru-RU"/>
        </w:rPr>
        <w:t>Таблица 45.  Бедность в разбивке по месту работы и сектору</w:t>
      </w:r>
    </w:p>
    <w:p w:rsidR="00000000" w:rsidRDefault="00000000">
      <w:pPr>
        <w:pStyle w:val="BodyText3"/>
        <w:spacing w:line="216" w:lineRule="auto"/>
        <w:jc w:val="center"/>
        <w:rPr>
          <w:b/>
          <w:lang w:val="ru-RU"/>
        </w:rPr>
      </w:pPr>
    </w:p>
    <w:tbl>
      <w:tblPr>
        <w:tblW w:w="12938" w:type="dxa"/>
        <w:tblLayout w:type="fixed"/>
        <w:tblCellMar>
          <w:left w:w="14" w:type="dxa"/>
          <w:right w:w="14" w:type="dxa"/>
        </w:tblCellMar>
        <w:tblLook w:val="0000" w:firstRow="0" w:lastRow="0" w:firstColumn="0" w:lastColumn="0" w:noHBand="0" w:noVBand="0"/>
      </w:tblPr>
      <w:tblGrid>
        <w:gridCol w:w="2030"/>
        <w:gridCol w:w="780"/>
        <w:gridCol w:w="780"/>
        <w:gridCol w:w="741"/>
        <w:gridCol w:w="975"/>
        <w:gridCol w:w="780"/>
        <w:gridCol w:w="780"/>
        <w:gridCol w:w="975"/>
        <w:gridCol w:w="780"/>
        <w:gridCol w:w="819"/>
        <w:gridCol w:w="975"/>
        <w:gridCol w:w="780"/>
        <w:gridCol w:w="780"/>
        <w:gridCol w:w="950"/>
        <w:gridCol w:w="13"/>
      </w:tblGrid>
      <w:tr w:rsidR="00000000">
        <w:tblPrEx>
          <w:tblCellMar>
            <w:top w:w="0" w:type="dxa"/>
            <w:bottom w:w="0" w:type="dxa"/>
          </w:tblCellMar>
        </w:tblPrEx>
        <w:trPr>
          <w:cantSplit/>
          <w:tblHeader/>
        </w:trPr>
        <w:tc>
          <w:tcPr>
            <w:tcW w:w="203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p>
        </w:tc>
        <w:tc>
          <w:tcPr>
            <w:tcW w:w="5811" w:type="dxa"/>
            <w:gridSpan w:val="7"/>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Черта бедности</w:t>
            </w:r>
          </w:p>
        </w:tc>
        <w:tc>
          <w:tcPr>
            <w:tcW w:w="5097" w:type="dxa"/>
            <w:gridSpan w:val="7"/>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Черта нуждаемости</w:t>
            </w:r>
          </w:p>
        </w:tc>
      </w:tr>
      <w:tr w:rsidR="00000000">
        <w:tblPrEx>
          <w:tblCellMar>
            <w:top w:w="0" w:type="dxa"/>
            <w:bottom w:w="0" w:type="dxa"/>
          </w:tblCellMar>
        </w:tblPrEx>
        <w:trPr>
          <w:cantSplit/>
          <w:tblHeader/>
        </w:trPr>
        <w:tc>
          <w:tcPr>
            <w:tcW w:w="203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p>
        </w:tc>
        <w:tc>
          <w:tcPr>
            <w:tcW w:w="3276" w:type="dxa"/>
            <w:gridSpan w:val="4"/>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Масштабы бедности по категориям</w:t>
            </w:r>
          </w:p>
        </w:tc>
        <w:tc>
          <w:tcPr>
            <w:tcW w:w="2535" w:type="dxa"/>
            <w:gridSpan w:val="3"/>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Распределение бедности по категориям</w:t>
            </w:r>
          </w:p>
        </w:tc>
        <w:tc>
          <w:tcPr>
            <w:tcW w:w="2574" w:type="dxa"/>
            <w:gridSpan w:val="3"/>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Масштабы бедности по категориям</w:t>
            </w:r>
          </w:p>
        </w:tc>
        <w:tc>
          <w:tcPr>
            <w:tcW w:w="2523" w:type="dxa"/>
            <w:gridSpan w:val="4"/>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Распределение бедности по категориям</w:t>
            </w:r>
          </w:p>
        </w:tc>
      </w:tr>
      <w:tr w:rsidR="00000000">
        <w:tblPrEx>
          <w:tblCellMar>
            <w:top w:w="0" w:type="dxa"/>
            <w:bottom w:w="0" w:type="dxa"/>
          </w:tblCellMar>
        </w:tblPrEx>
        <w:trPr>
          <w:cantSplit/>
          <w:trHeight w:val="176"/>
          <w:tblHeader/>
        </w:trPr>
        <w:tc>
          <w:tcPr>
            <w:tcW w:w="203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Разбивка населения</w:t>
            </w: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Бедные (в процен-тах)</w:t>
            </w:r>
          </w:p>
        </w:tc>
        <w:tc>
          <w:tcPr>
            <w:tcW w:w="741"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Средняя разница в доходах</w:t>
            </w:r>
          </w:p>
        </w:tc>
        <w:tc>
          <w:tcPr>
            <w:tcW w:w="975"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Среднеквад-ратичное значение разницы в доходах</w:t>
            </w: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Бедные (в процен-тах)</w:t>
            </w: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Средняя разница в доходах</w:t>
            </w:r>
          </w:p>
        </w:tc>
        <w:tc>
          <w:tcPr>
            <w:tcW w:w="975"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Среднеквад-ратичное значение разницы в доходах</w:t>
            </w: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Бедные (в процен-тах)</w:t>
            </w:r>
          </w:p>
        </w:tc>
        <w:tc>
          <w:tcPr>
            <w:tcW w:w="819"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Средняя разница в доходах</w:t>
            </w:r>
          </w:p>
        </w:tc>
        <w:tc>
          <w:tcPr>
            <w:tcW w:w="975"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Среднеквад-ратичное значение разницы в доходах</w:t>
            </w: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Бедные (в процен-тах)</w:t>
            </w:r>
          </w:p>
        </w:tc>
        <w:tc>
          <w:tcPr>
            <w:tcW w:w="780" w:type="dxa"/>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Средняя разница в доходах</w:t>
            </w:r>
          </w:p>
        </w:tc>
        <w:tc>
          <w:tcPr>
            <w:tcW w:w="963" w:type="dxa"/>
            <w:gridSpan w:val="2"/>
            <w:vMerge w:val="restart"/>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7"/>
                <w:lang w:val="ru-RU"/>
              </w:rPr>
            </w:pPr>
            <w:r>
              <w:rPr>
                <w:sz w:val="17"/>
                <w:lang w:val="ru-RU"/>
              </w:rPr>
              <w:t>Среднеквад-ратичное значение разницы в доходах</w:t>
            </w:r>
          </w:p>
        </w:tc>
      </w:tr>
      <w:tr w:rsidR="00000000">
        <w:tblPrEx>
          <w:tblCellMar>
            <w:top w:w="0" w:type="dxa"/>
            <w:bottom w:w="0" w:type="dxa"/>
          </w:tblCellMar>
        </w:tblPrEx>
        <w:trPr>
          <w:cantSplit/>
          <w:trHeight w:val="186"/>
          <w:tblHeader/>
        </w:trPr>
        <w:tc>
          <w:tcPr>
            <w:tcW w:w="203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41"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75"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75"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819"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75"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63" w:type="dxa"/>
            <w:gridSpan w:val="2"/>
            <w:vMerge/>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i/>
                <w:sz w:val="18"/>
                <w:lang w:val="ru-RU"/>
              </w:rPr>
              <w:t>Бразилия</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b/>
                <w:sz w:val="18"/>
                <w:lang w:val="ru-RU"/>
              </w:rPr>
              <w:t>Участие в рынке труда</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tcBorders>
          </w:tcPr>
          <w:p w:rsidR="00000000" w:rsidRDefault="00000000">
            <w:pPr>
              <w:pStyle w:val="BodyText3"/>
              <w:spacing w:line="216" w:lineRule="auto"/>
              <w:jc w:val="center"/>
              <w:rPr>
                <w:sz w:val="18"/>
                <w:lang w:val="ru-RU"/>
              </w:rPr>
            </w:pPr>
          </w:p>
        </w:tc>
        <w:tc>
          <w:tcPr>
            <w:tcW w:w="741"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819"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50" w:type="dxa"/>
            <w:tcBorders>
              <w:top w:val="single" w:sz="2" w:space="0" w:color="000000"/>
              <w:left w:val="nil"/>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Работающие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44,00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32,84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31,97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28,87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25,62</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Неработающие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4,88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6,53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7,65</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9,79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 принимающие участие в экономической жизни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30,83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29,96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29,73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29,34</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30,56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Дети (0-9 лет)</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29,27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31,58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32,75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33,38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34,19</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34,06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b/>
                <w:sz w:val="18"/>
                <w:lang w:val="ru-RU"/>
              </w:rPr>
              <w:t>Трудовой статус</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tcBorders>
          </w:tcPr>
          <w:p w:rsidR="00000000" w:rsidRDefault="00000000">
            <w:pPr>
              <w:pStyle w:val="BodyText3"/>
              <w:spacing w:line="216" w:lineRule="auto"/>
              <w:jc w:val="center"/>
              <w:rPr>
                <w:sz w:val="18"/>
                <w:lang w:val="ru-RU"/>
              </w:rPr>
            </w:pPr>
          </w:p>
        </w:tc>
        <w:tc>
          <w:tcPr>
            <w:tcW w:w="741"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819"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2" w:space="0" w:color="000000"/>
            </w:tcBorders>
          </w:tcPr>
          <w:p w:rsidR="00000000" w:rsidRDefault="00000000">
            <w:pPr>
              <w:pStyle w:val="BodyText3"/>
              <w:spacing w:line="216" w:lineRule="auto"/>
              <w:jc w:val="center"/>
              <w:rPr>
                <w:sz w:val="18"/>
                <w:lang w:val="ru-RU"/>
              </w:rPr>
            </w:pPr>
          </w:p>
        </w:tc>
        <w:tc>
          <w:tcPr>
            <w:tcW w:w="950" w:type="dxa"/>
            <w:tcBorders>
              <w:top w:val="single" w:sz="2" w:space="0" w:color="000000"/>
              <w:left w:val="nil"/>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Работающие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44,00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32,84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31,97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28,87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25,62</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Имеющие средства к существованию</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3,86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3,74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4,30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4,69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Зарегистрированные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0,64</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Работающие самостоятельно</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8,81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8,71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8,46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8,85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8,22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7,25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Работодатели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Гражданские служащие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0,80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0,54</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Незарегистрированные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9,70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8,30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7,19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7,54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5,72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4,33</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Неоплачиваемые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6,39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7,41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7,88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8,23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8,52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8,05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Безработные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4,88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6,53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7,65</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9,79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 принимающие участие в экономической жизни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30,83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29,96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29,73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29,34</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30,56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Дети (0-9 лет)</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29,27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31,58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32,75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33,38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34,19</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34,06</w:t>
            </w:r>
          </w:p>
        </w:tc>
      </w:tr>
      <w:tr w:rsidR="00000000">
        <w:tblPrEx>
          <w:tblCellMar>
            <w:top w:w="0" w:type="dxa"/>
            <w:bottom w:w="0" w:type="dxa"/>
          </w:tblCellMar>
        </w:tblPrEx>
        <w:trPr>
          <w:gridAfter w:val="1"/>
          <w:wAfter w:w="13" w:type="dxa"/>
          <w:cantSplit/>
        </w:trPr>
        <w:tc>
          <w:tcPr>
            <w:tcW w:w="2030" w:type="dxa"/>
            <w:tcBorders>
              <w:top w:val="nil"/>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r>
              <w:rPr>
                <w:b/>
                <w:sz w:val="18"/>
                <w:lang w:val="ru-RU"/>
              </w:rPr>
              <w:t>Сектор экономической активности</w:t>
            </w:r>
          </w:p>
        </w:tc>
        <w:tc>
          <w:tcPr>
            <w:tcW w:w="780" w:type="dxa"/>
            <w:tcBorders>
              <w:top w:val="single" w:sz="2" w:space="0" w:color="000000"/>
              <w:left w:val="single" w:sz="2" w:space="0" w:color="000000"/>
              <w:bottom w:val="single" w:sz="6" w:space="0" w:color="auto"/>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6" w:space="0" w:color="auto"/>
            </w:tcBorders>
          </w:tcPr>
          <w:p w:rsidR="00000000" w:rsidRDefault="00000000">
            <w:pPr>
              <w:pStyle w:val="BodyText3"/>
              <w:spacing w:line="216" w:lineRule="auto"/>
              <w:jc w:val="center"/>
              <w:rPr>
                <w:sz w:val="18"/>
                <w:lang w:val="ru-RU"/>
              </w:rPr>
            </w:pPr>
          </w:p>
        </w:tc>
        <w:tc>
          <w:tcPr>
            <w:tcW w:w="741"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819"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975"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780" w:type="dxa"/>
            <w:tcBorders>
              <w:top w:val="single" w:sz="2" w:space="0" w:color="000000"/>
              <w:left w:val="nil"/>
              <w:bottom w:val="single" w:sz="6" w:space="0" w:color="auto"/>
            </w:tcBorders>
          </w:tcPr>
          <w:p w:rsidR="00000000" w:rsidRDefault="00000000">
            <w:pPr>
              <w:pStyle w:val="BodyText3"/>
              <w:spacing w:line="216" w:lineRule="auto"/>
              <w:jc w:val="center"/>
              <w:rPr>
                <w:sz w:val="18"/>
                <w:lang w:val="ru-RU"/>
              </w:rPr>
            </w:pPr>
          </w:p>
        </w:tc>
        <w:tc>
          <w:tcPr>
            <w:tcW w:w="950" w:type="dxa"/>
            <w:tcBorders>
              <w:top w:val="nil"/>
              <w:left w:val="nil"/>
              <w:bottom w:val="single" w:sz="6" w:space="0" w:color="auto"/>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Работающие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44,00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32,84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31,97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28,87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25,62</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Гражданское строительство</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1,77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Преобразующие отрасли промышленности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5,30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0,68</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Прочие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19,67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21,23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21,13</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19,71</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Службы по распределению</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7,50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3,63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1,67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1,28</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Персональные службы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4,75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3,91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3,92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2,86</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2,13</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Производственные службы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Социальные службы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6,30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1,66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0,64</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Безработные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4,88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6,53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7,65</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9,79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 принимающие участие в экономической жизни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30,83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29,96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29,73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29,34</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30,56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Дети (0-9 лет)</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29,27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31,58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32,75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33,38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34,19</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34,06</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b/>
                <w:sz w:val="18"/>
                <w:lang w:val="ru-RU"/>
              </w:rPr>
              <w:t>Профессиональные группы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Работающие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44,00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32,84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31,97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28,87</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25,62</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Сельское хозяйство</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16,23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17,89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18,54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19,31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19,42</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18,26</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Уличные продавцы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0,77</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0,64</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Гражданское строительство</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1,81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1,12</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1,02</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Собственные предприятия</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1,70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0,35</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0,25</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 xml:space="preserve">Розничная и оптовая торговля </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2,60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0,33</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Конторская работа</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Спорт</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Добыча ископаемых</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36</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1,35</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1,15</w:t>
            </w:r>
          </w:p>
        </w:tc>
      </w:tr>
      <w:tr w:rsidR="00000000">
        <w:tblPrEx>
          <w:tblCellMar>
            <w:top w:w="0" w:type="dxa"/>
            <w:bottom w:w="0" w:type="dxa"/>
          </w:tblCellMar>
        </w:tblPrEx>
        <w:trPr>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Финансовые, брокерские и страховые услуги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63" w:type="dxa"/>
            <w:gridSpan w:val="2"/>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Гражданская служба</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Предприятия по производству продовольствия и табака</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Предприятия по производству керамических изделий, каучуковой продукции, цемента и изделий из дерева</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28</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8</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0,33</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Предприятия по производству электроприборов и электронной техники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Предприятия по производству печатной и бумажной продукции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Металлургия</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Текстильная промышленность</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Прочие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0,36</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0,27</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Общие производственные профессии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Другие производители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Религия</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Министры, директоры и консультанты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Предприятия по пошиву обуви и кожаных изделий</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Вспомогательные службы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1,54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0,89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0,89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0,55</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Парикмахерские и салоны красоты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Ручной труд</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0,86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Коммуникационные услуги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Прочие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Обслуга на дому</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2,72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2,31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1,72</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1,27</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Службы по обеспечению безопасности в общественных местах</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Гостиницы, бары и рестораны, службы ресторанного обслуживания</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0,75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0,56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Судебные, образовательные и здравоохранительные службы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0,18</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Частные собственники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Досуг, развлечения и производство сувениров</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Службы по ремонту</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0,35</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0,20</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Транспортное обслуживание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1,70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0,61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Технические и профессиональные сотрудники конторских и лабораторных учреждений</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0,00</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Пошив одежды</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0,90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0,37</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0,01</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0,27</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0,22</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Безработные</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3,80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4,88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6,53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5,66</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7,65</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9,79</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Не принимающие участия в экономической жизни</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0,33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0,09</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30,83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29,96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29,73</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13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0,06</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0,04</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29,02</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29,34</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30,56</w:t>
            </w:r>
          </w:p>
        </w:tc>
      </w:tr>
      <w:tr w:rsidR="00000000">
        <w:tblPrEx>
          <w:tblCellMar>
            <w:top w:w="0" w:type="dxa"/>
            <w:bottom w:w="0" w:type="dxa"/>
          </w:tblCellMar>
        </w:tblPrEx>
        <w:trPr>
          <w:gridAfter w:val="1"/>
          <w:wAfter w:w="13" w:type="dxa"/>
          <w:cantSplit/>
        </w:trPr>
        <w:tc>
          <w:tcPr>
            <w:tcW w:w="203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Дети (0-9 лет)</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20,10</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0,49</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0,24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29,27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31,58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32,75</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25</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0,11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0,07</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33,38</w:t>
            </w:r>
          </w:p>
        </w:tc>
        <w:tc>
          <w:tcPr>
            <w:tcW w:w="78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34,19</w:t>
            </w:r>
          </w:p>
        </w:tc>
        <w:tc>
          <w:tcPr>
            <w:tcW w:w="950"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16" w:lineRule="auto"/>
              <w:jc w:val="center"/>
              <w:rPr>
                <w:sz w:val="18"/>
                <w:lang w:val="ru-RU"/>
              </w:rPr>
            </w:pPr>
            <w:r>
              <w:rPr>
                <w:sz w:val="18"/>
                <w:lang w:val="ru-RU"/>
              </w:rPr>
              <w:t>34,06</w:t>
            </w:r>
          </w:p>
        </w:tc>
      </w:tr>
    </w:tbl>
    <w:p w:rsidR="00000000" w:rsidRDefault="00000000">
      <w:pPr>
        <w:pStyle w:val="BodyText3"/>
        <w:spacing w:line="288" w:lineRule="auto"/>
        <w:jc w:val="left"/>
        <w:rPr>
          <w:bCs/>
          <w:spacing w:val="20"/>
          <w:kern w:val="16"/>
          <w:sz w:val="18"/>
          <w:u w:val="single"/>
          <w:lang w:val="ru-RU"/>
        </w:rPr>
      </w:pPr>
    </w:p>
    <w:p w:rsidR="00000000" w:rsidRDefault="00000000">
      <w:pPr>
        <w:pStyle w:val="BodyText3"/>
        <w:spacing w:line="288" w:lineRule="auto"/>
        <w:jc w:val="left"/>
        <w:rPr>
          <w:b/>
          <w:spacing w:val="20"/>
          <w:kern w:val="16"/>
          <w:sz w:val="16"/>
          <w:lang w:val="ru-RU"/>
        </w:rPr>
      </w:pPr>
      <w:r>
        <w:rPr>
          <w:bCs/>
          <w:spacing w:val="20"/>
          <w:kern w:val="16"/>
          <w:sz w:val="18"/>
          <w:u w:val="single"/>
          <w:lang w:val="ru-RU"/>
        </w:rPr>
        <w:t>Источник</w:t>
      </w:r>
      <w:r>
        <w:rPr>
          <w:bCs/>
          <w:spacing w:val="20"/>
          <w:kern w:val="16"/>
          <w:sz w:val="18"/>
          <w:lang w:val="ru-RU"/>
        </w:rPr>
        <w:t>:  Основано на данных Обзора домашних хозяйств 1997 года (ОВОДХ)</w:t>
      </w:r>
    </w:p>
    <w:p w:rsidR="00000000" w:rsidRDefault="00000000">
      <w:pPr>
        <w:pStyle w:val="BodyText3"/>
        <w:spacing w:line="288" w:lineRule="auto"/>
        <w:jc w:val="center"/>
        <w:rPr>
          <w:b/>
          <w:spacing w:val="20"/>
          <w:kern w:val="20"/>
          <w:lang w:val="ru-RU"/>
        </w:rPr>
      </w:pPr>
    </w:p>
    <w:p w:rsidR="00000000" w:rsidRDefault="00000000">
      <w:pPr>
        <w:pStyle w:val="BodyText3"/>
        <w:spacing w:line="288" w:lineRule="auto"/>
        <w:jc w:val="center"/>
        <w:rPr>
          <w:b/>
          <w:spacing w:val="20"/>
          <w:kern w:val="20"/>
          <w:lang w:val="ru-RU"/>
        </w:rPr>
      </w:pPr>
    </w:p>
    <w:p w:rsidR="00000000" w:rsidRDefault="00000000">
      <w:pPr>
        <w:pStyle w:val="BodyText3"/>
        <w:spacing w:line="288" w:lineRule="auto"/>
        <w:jc w:val="center"/>
        <w:rPr>
          <w:b/>
          <w:spacing w:val="20"/>
          <w:kern w:val="20"/>
          <w:lang w:val="ru-RU"/>
        </w:rPr>
      </w:pPr>
      <w:r>
        <w:rPr>
          <w:b/>
          <w:spacing w:val="20"/>
          <w:kern w:val="20"/>
          <w:lang w:val="ru-RU"/>
        </w:rPr>
        <w:br w:type="page"/>
        <w:t>Таблица 46.  Структура бедности в Бразилии по географическому признаку</w:t>
      </w:r>
    </w:p>
    <w:p w:rsidR="00000000" w:rsidRDefault="00000000">
      <w:pPr>
        <w:pStyle w:val="BodyText3"/>
        <w:spacing w:line="216" w:lineRule="auto"/>
        <w:jc w:val="center"/>
        <w:rPr>
          <w:b/>
          <w:lang w:val="ru-RU"/>
        </w:rPr>
      </w:pPr>
    </w:p>
    <w:tbl>
      <w:tblPr>
        <w:tblW w:w="13508" w:type="dxa"/>
        <w:tblLayout w:type="fixed"/>
        <w:tblCellMar>
          <w:left w:w="14" w:type="dxa"/>
          <w:right w:w="14" w:type="dxa"/>
        </w:tblCellMar>
        <w:tblLook w:val="0000" w:firstRow="0" w:lastRow="0" w:firstColumn="0" w:lastColumn="0" w:noHBand="0" w:noVBand="0"/>
      </w:tblPr>
      <w:tblGrid>
        <w:gridCol w:w="1925"/>
        <w:gridCol w:w="936"/>
        <w:gridCol w:w="858"/>
        <w:gridCol w:w="858"/>
        <w:gridCol w:w="975"/>
        <w:gridCol w:w="897"/>
        <w:gridCol w:w="819"/>
        <w:gridCol w:w="1014"/>
        <w:gridCol w:w="858"/>
        <w:gridCol w:w="819"/>
        <w:gridCol w:w="975"/>
        <w:gridCol w:w="858"/>
        <w:gridCol w:w="741"/>
        <w:gridCol w:w="954"/>
        <w:gridCol w:w="21"/>
      </w:tblGrid>
      <w:tr w:rsidR="00000000">
        <w:tblPrEx>
          <w:tblCellMar>
            <w:top w:w="0" w:type="dxa"/>
            <w:bottom w:w="0" w:type="dxa"/>
          </w:tblCellMar>
        </w:tblPrEx>
        <w:trPr>
          <w:cantSplit/>
          <w:trHeight w:val="139"/>
          <w:tblHeader/>
        </w:trPr>
        <w:tc>
          <w:tcPr>
            <w:tcW w:w="1925" w:type="dxa"/>
            <w:vMerge w:val="restart"/>
            <w:tcBorders>
              <w:top w:val="doub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p>
        </w:tc>
        <w:tc>
          <w:tcPr>
            <w:tcW w:w="6357" w:type="dxa"/>
            <w:gridSpan w:val="7"/>
            <w:tcBorders>
              <w:top w:val="double" w:sz="6" w:space="0" w:color="auto"/>
              <w:left w:val="single" w:sz="2" w:space="0" w:color="000000"/>
              <w:bottom w:val="single" w:sz="6" w:space="0" w:color="auto"/>
              <w:right w:val="single" w:sz="2" w:space="0" w:color="000000"/>
            </w:tcBorders>
          </w:tcPr>
          <w:p w:rsidR="00000000" w:rsidRDefault="00000000">
            <w:pPr>
              <w:pStyle w:val="BodyText3"/>
              <w:spacing w:line="288" w:lineRule="auto"/>
              <w:jc w:val="center"/>
              <w:rPr>
                <w:sz w:val="17"/>
                <w:lang w:val="ru-RU"/>
              </w:rPr>
            </w:pPr>
            <w:r>
              <w:rPr>
                <w:sz w:val="17"/>
                <w:lang w:val="ru-RU"/>
              </w:rPr>
              <w:t>Черта бедности</w:t>
            </w:r>
          </w:p>
        </w:tc>
        <w:tc>
          <w:tcPr>
            <w:tcW w:w="5226" w:type="dxa"/>
            <w:gridSpan w:val="7"/>
            <w:tcBorders>
              <w:top w:val="double" w:sz="6" w:space="0" w:color="auto"/>
              <w:left w:val="single" w:sz="2" w:space="0" w:color="000000"/>
              <w:bottom w:val="single" w:sz="6" w:space="0" w:color="auto"/>
              <w:right w:val="single" w:sz="2" w:space="0" w:color="000000"/>
            </w:tcBorders>
          </w:tcPr>
          <w:p w:rsidR="00000000" w:rsidRDefault="00000000">
            <w:pPr>
              <w:pStyle w:val="BodyText3"/>
              <w:spacing w:line="288" w:lineRule="auto"/>
              <w:jc w:val="center"/>
              <w:rPr>
                <w:sz w:val="17"/>
                <w:lang w:val="ru-RU"/>
              </w:rPr>
            </w:pPr>
            <w:r>
              <w:rPr>
                <w:sz w:val="17"/>
                <w:lang w:val="ru-RU"/>
              </w:rPr>
              <w:t>Черта нуждаемости</w:t>
            </w:r>
          </w:p>
        </w:tc>
      </w:tr>
      <w:tr w:rsidR="00000000">
        <w:tblPrEx>
          <w:tblCellMar>
            <w:top w:w="0" w:type="dxa"/>
            <w:bottom w:w="0" w:type="dxa"/>
          </w:tblCellMar>
        </w:tblPrEx>
        <w:trPr>
          <w:cantSplit/>
          <w:trHeight w:val="130"/>
          <w:tblHeader/>
        </w:trPr>
        <w:tc>
          <w:tcPr>
            <w:tcW w:w="1925" w:type="dxa"/>
            <w:vMerge/>
            <w:tcBorders>
              <w:top w:val="nil"/>
              <w:left w:val="single" w:sz="2" w:space="0" w:color="000000"/>
              <w:bottom w:val="nil"/>
              <w:right w:val="single" w:sz="2" w:space="0" w:color="000000"/>
            </w:tcBorders>
          </w:tcPr>
          <w:p w:rsidR="00000000" w:rsidRDefault="00000000">
            <w:pPr>
              <w:pStyle w:val="BodyText3"/>
              <w:spacing w:line="288" w:lineRule="auto"/>
              <w:jc w:val="center"/>
              <w:rPr>
                <w:sz w:val="17"/>
                <w:lang w:val="ru-RU"/>
              </w:rPr>
            </w:pPr>
          </w:p>
        </w:tc>
        <w:tc>
          <w:tcPr>
            <w:tcW w:w="3627" w:type="dxa"/>
            <w:gridSpan w:val="4"/>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88" w:lineRule="auto"/>
              <w:jc w:val="center"/>
              <w:rPr>
                <w:sz w:val="17"/>
                <w:lang w:val="ru-RU"/>
              </w:rPr>
            </w:pPr>
            <w:r>
              <w:rPr>
                <w:sz w:val="17"/>
                <w:lang w:val="ru-RU"/>
              </w:rPr>
              <w:t>Масштабы бедности по категориям</w:t>
            </w:r>
          </w:p>
        </w:tc>
        <w:tc>
          <w:tcPr>
            <w:tcW w:w="2730" w:type="dxa"/>
            <w:gridSpan w:val="3"/>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88" w:lineRule="auto"/>
              <w:jc w:val="center"/>
              <w:rPr>
                <w:sz w:val="17"/>
                <w:lang w:val="ru-RU"/>
              </w:rPr>
            </w:pPr>
            <w:r>
              <w:rPr>
                <w:sz w:val="17"/>
                <w:lang w:val="ru-RU"/>
              </w:rPr>
              <w:t>Процентная доля категории в бедности</w:t>
            </w:r>
          </w:p>
        </w:tc>
        <w:tc>
          <w:tcPr>
            <w:tcW w:w="2652" w:type="dxa"/>
            <w:gridSpan w:val="3"/>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88" w:lineRule="auto"/>
              <w:jc w:val="center"/>
              <w:rPr>
                <w:sz w:val="17"/>
                <w:lang w:val="ru-RU"/>
              </w:rPr>
            </w:pPr>
            <w:r>
              <w:rPr>
                <w:sz w:val="17"/>
                <w:lang w:val="ru-RU"/>
              </w:rPr>
              <w:t>Масштабы бедности по категориям</w:t>
            </w:r>
          </w:p>
        </w:tc>
        <w:tc>
          <w:tcPr>
            <w:tcW w:w="2574" w:type="dxa"/>
            <w:gridSpan w:val="4"/>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7"/>
                <w:lang w:val="ru-RU"/>
              </w:rPr>
            </w:pPr>
            <w:r>
              <w:rPr>
                <w:sz w:val="17"/>
                <w:lang w:val="ru-RU"/>
              </w:rPr>
              <w:t>Процентная доля категории в бедности</w:t>
            </w:r>
          </w:p>
        </w:tc>
      </w:tr>
      <w:tr w:rsidR="00000000">
        <w:tblPrEx>
          <w:tblCellMar>
            <w:top w:w="0" w:type="dxa"/>
            <w:bottom w:w="0" w:type="dxa"/>
          </w:tblCellMar>
        </w:tblPrEx>
        <w:trPr>
          <w:cantSplit/>
          <w:trHeight w:val="1237"/>
          <w:tblHeader/>
        </w:trPr>
        <w:tc>
          <w:tcPr>
            <w:tcW w:w="1925" w:type="dxa"/>
            <w:vMerge/>
            <w:tcBorders>
              <w:top w:val="nil"/>
              <w:left w:val="single" w:sz="2" w:space="0" w:color="000000"/>
              <w:bottom w:val="nil"/>
              <w:right w:val="single" w:sz="2" w:space="0" w:color="000000"/>
            </w:tcBorders>
          </w:tcPr>
          <w:p w:rsidR="00000000" w:rsidRDefault="00000000">
            <w:pPr>
              <w:pStyle w:val="BodyText3"/>
              <w:spacing w:line="288" w:lineRule="auto"/>
              <w:jc w:val="center"/>
              <w:rPr>
                <w:sz w:val="17"/>
                <w:lang w:val="ru-RU"/>
              </w:rPr>
            </w:pPr>
          </w:p>
        </w:tc>
        <w:tc>
          <w:tcPr>
            <w:tcW w:w="936"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Процентная разбивка населения</w:t>
            </w:r>
          </w:p>
        </w:tc>
        <w:tc>
          <w:tcPr>
            <w:tcW w:w="858" w:type="dxa"/>
            <w:tcBorders>
              <w:top w:val="single" w:sz="6" w:space="0" w:color="auto"/>
              <w:left w:val="single" w:sz="2" w:space="0" w:color="000000"/>
              <w:bottom w:val="single" w:sz="6" w:space="0" w:color="auto"/>
              <w:right w:val="single" w:sz="2" w:space="0" w:color="000000"/>
            </w:tcBorders>
          </w:tcPr>
          <w:p w:rsidR="00000000" w:rsidRDefault="00000000">
            <w:pPr>
              <w:pStyle w:val="BodyText3"/>
              <w:spacing w:line="288" w:lineRule="auto"/>
              <w:jc w:val="center"/>
              <w:rPr>
                <w:sz w:val="17"/>
                <w:lang w:val="ru-RU"/>
              </w:rPr>
            </w:pPr>
            <w:r>
              <w:rPr>
                <w:sz w:val="17"/>
                <w:lang w:val="ru-RU"/>
              </w:rPr>
              <w:t>Бедные (в процентах)</w:t>
            </w:r>
          </w:p>
        </w:tc>
        <w:tc>
          <w:tcPr>
            <w:tcW w:w="858"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Средняя разница в доходах</w:t>
            </w:r>
          </w:p>
        </w:tc>
        <w:tc>
          <w:tcPr>
            <w:tcW w:w="975" w:type="dxa"/>
            <w:tcBorders>
              <w:top w:val="single" w:sz="2" w:space="0" w:color="000000"/>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Среднеквад-ратичное значение разницы в доходах</w:t>
            </w:r>
          </w:p>
        </w:tc>
        <w:tc>
          <w:tcPr>
            <w:tcW w:w="897"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Бедные (в процентах)</w:t>
            </w:r>
          </w:p>
        </w:tc>
        <w:tc>
          <w:tcPr>
            <w:tcW w:w="819"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Средняя разница в доходах</w:t>
            </w:r>
          </w:p>
        </w:tc>
        <w:tc>
          <w:tcPr>
            <w:tcW w:w="1014"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Среднеквад-ратичное значение разницы в доходах</w:t>
            </w:r>
          </w:p>
        </w:tc>
        <w:tc>
          <w:tcPr>
            <w:tcW w:w="858"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Бедные (в процентах)</w:t>
            </w:r>
          </w:p>
        </w:tc>
        <w:tc>
          <w:tcPr>
            <w:tcW w:w="819"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Средняя разница в доходах</w:t>
            </w:r>
          </w:p>
        </w:tc>
        <w:tc>
          <w:tcPr>
            <w:tcW w:w="975"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Среднеквад-ратичное значение разницы в доходах</w:t>
            </w:r>
          </w:p>
        </w:tc>
        <w:tc>
          <w:tcPr>
            <w:tcW w:w="858"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Бедные (в процентах)</w:t>
            </w:r>
          </w:p>
        </w:tc>
        <w:tc>
          <w:tcPr>
            <w:tcW w:w="741" w:type="dxa"/>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Средняя разница в доходах</w:t>
            </w:r>
          </w:p>
        </w:tc>
        <w:tc>
          <w:tcPr>
            <w:tcW w:w="975" w:type="dxa"/>
            <w:gridSpan w:val="2"/>
            <w:tcBorders>
              <w:top w:val="single" w:sz="6" w:space="0" w:color="auto"/>
              <w:left w:val="single" w:sz="2" w:space="0" w:color="000000"/>
              <w:bottom w:val="nil"/>
              <w:right w:val="single" w:sz="2" w:space="0" w:color="000000"/>
            </w:tcBorders>
          </w:tcPr>
          <w:p w:rsidR="00000000" w:rsidRDefault="00000000">
            <w:pPr>
              <w:pStyle w:val="BodyText3"/>
              <w:spacing w:line="288" w:lineRule="auto"/>
              <w:jc w:val="center"/>
              <w:rPr>
                <w:sz w:val="17"/>
                <w:lang w:val="ru-RU"/>
              </w:rPr>
            </w:pPr>
            <w:r>
              <w:rPr>
                <w:sz w:val="17"/>
                <w:lang w:val="ru-RU"/>
              </w:rPr>
              <w:t>Среднеквад-ратичное значение разницы в доходах</w:t>
            </w:r>
          </w:p>
        </w:tc>
      </w:tr>
      <w:tr w:rsidR="00000000">
        <w:tblPrEx>
          <w:tblCellMar>
            <w:top w:w="0" w:type="dxa"/>
            <w:bottom w:w="0" w:type="dxa"/>
          </w:tblCellMar>
        </w:tblPrEx>
        <w:trPr>
          <w:gridAfter w:val="1"/>
          <w:wAfter w:w="21" w:type="dxa"/>
          <w:cantSplit/>
          <w:trHeight w:val="130"/>
        </w:trPr>
        <w:tc>
          <w:tcPr>
            <w:tcW w:w="1925"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i/>
                <w:sz w:val="18"/>
                <w:lang w:val="ru-RU"/>
              </w:rPr>
              <w:t>Бразилия</w:t>
            </w:r>
          </w:p>
        </w:tc>
        <w:tc>
          <w:tcPr>
            <w:tcW w:w="936"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c>
          <w:tcPr>
            <w:tcW w:w="858"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34</w:t>
            </w:r>
          </w:p>
        </w:tc>
        <w:tc>
          <w:tcPr>
            <w:tcW w:w="858"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0,15</w:t>
            </w:r>
          </w:p>
        </w:tc>
        <w:tc>
          <w:tcPr>
            <w:tcW w:w="975"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0,09</w:t>
            </w:r>
          </w:p>
        </w:tc>
        <w:tc>
          <w:tcPr>
            <w:tcW w:w="897"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c>
          <w:tcPr>
            <w:tcW w:w="819"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c>
          <w:tcPr>
            <w:tcW w:w="1014"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c>
          <w:tcPr>
            <w:tcW w:w="858"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15</w:t>
            </w:r>
          </w:p>
        </w:tc>
        <w:tc>
          <w:tcPr>
            <w:tcW w:w="819"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0,06</w:t>
            </w:r>
          </w:p>
        </w:tc>
        <w:tc>
          <w:tcPr>
            <w:tcW w:w="975"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0,04</w:t>
            </w:r>
          </w:p>
        </w:tc>
        <w:tc>
          <w:tcPr>
            <w:tcW w:w="858"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c>
          <w:tcPr>
            <w:tcW w:w="741"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c>
          <w:tcPr>
            <w:tcW w:w="954" w:type="dxa"/>
            <w:tcBorders>
              <w:top w:val="single" w:sz="6" w:space="0" w:color="auto"/>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100,00</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b/>
                <w:sz w:val="18"/>
                <w:lang w:val="ru-RU"/>
              </w:rPr>
              <w:t>Географическое место расположения</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single" w:sz="2" w:space="0" w:color="000000"/>
              <w:bottom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97"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19"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1014"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19"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741"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954" w:type="dxa"/>
            <w:tcBorders>
              <w:top w:val="single" w:sz="2" w:space="0" w:color="000000"/>
              <w:left w:val="nil"/>
              <w:bottom w:val="single" w:sz="2" w:space="0" w:color="000000"/>
              <w:right w:val="single" w:sz="2" w:space="0" w:color="000000"/>
            </w:tcBorders>
          </w:tcPr>
          <w:p w:rsidR="00000000" w:rsidRDefault="00000000">
            <w:pPr>
              <w:pStyle w:val="BodyText3"/>
              <w:spacing w:line="288" w:lineRule="auto"/>
              <w:jc w:val="center"/>
              <w:rPr>
                <w:sz w:val="18"/>
                <w:lang w:val="ru-RU"/>
              </w:rPr>
            </w:pP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Городские районы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79,60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0,12</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0,07</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64,81</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60,03</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57,94</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0,03</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55,93</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55,28</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57,31</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Сельские районы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20,40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0,30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0,20</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35,22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40,01</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42,11</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32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44,12</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44,77</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42,73</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b/>
                <w:sz w:val="18"/>
                <w:lang w:val="ru-RU"/>
              </w:rPr>
              <w:t>Основные регионы</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single" w:sz="2" w:space="0" w:color="000000"/>
              <w:bottom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97"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19"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1014"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19"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975"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858"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741" w:type="dxa"/>
            <w:tcBorders>
              <w:top w:val="single" w:sz="2" w:space="0" w:color="000000"/>
              <w:left w:val="nil"/>
              <w:bottom w:val="single" w:sz="2" w:space="0" w:color="000000"/>
            </w:tcBorders>
          </w:tcPr>
          <w:p w:rsidR="00000000" w:rsidRDefault="00000000">
            <w:pPr>
              <w:pStyle w:val="BodyText3"/>
              <w:spacing w:line="288" w:lineRule="auto"/>
              <w:jc w:val="center"/>
              <w:rPr>
                <w:sz w:val="18"/>
                <w:lang w:val="ru-RU"/>
              </w:rPr>
            </w:pPr>
          </w:p>
        </w:tc>
        <w:tc>
          <w:tcPr>
            <w:tcW w:w="954" w:type="dxa"/>
            <w:tcBorders>
              <w:top w:val="single" w:sz="2" w:space="0" w:color="000000"/>
              <w:left w:val="nil"/>
              <w:bottom w:val="single" w:sz="2" w:space="0" w:color="000000"/>
              <w:right w:val="single" w:sz="2" w:space="0" w:color="000000"/>
            </w:tcBorders>
          </w:tcPr>
          <w:p w:rsidR="00000000" w:rsidRDefault="00000000">
            <w:pPr>
              <w:pStyle w:val="BodyText3"/>
              <w:spacing w:line="288" w:lineRule="auto"/>
              <w:jc w:val="center"/>
              <w:rPr>
                <w:sz w:val="18"/>
                <w:lang w:val="ru-RU"/>
              </w:rPr>
            </w:pP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Центр-Запад</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7,00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24</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0,09</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0,06</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4,93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4,29</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4,08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8</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0,02</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3,61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3,86</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4,34</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Северо-Восток</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28,90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0,30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0,19</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51,16</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57,14</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59,34</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32</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0,14</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62,51</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61,79</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58,64</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Север</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4,90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46</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0,21</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0,12</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6,59</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6,56</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6,31</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20</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0,04</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6,45</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5,87</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5,45</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Юго-Восток</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43,80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0,08</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0,04</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25,53</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21,73</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20,78</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6</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0,02</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18,78</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19,97</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22,79</w:t>
            </w:r>
          </w:p>
        </w:tc>
      </w:tr>
      <w:tr w:rsidR="00000000">
        <w:tblPrEx>
          <w:tblCellMar>
            <w:top w:w="0" w:type="dxa"/>
            <w:bottom w:w="0" w:type="dxa"/>
          </w:tblCellMar>
        </w:tblPrEx>
        <w:trPr>
          <w:gridAfter w:val="1"/>
          <w:wAfter w:w="21" w:type="dxa"/>
          <w:cantSplit/>
          <w:trHeight w:val="130"/>
        </w:trPr>
        <w:tc>
          <w:tcPr>
            <w:tcW w:w="192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Юг</w:t>
            </w:r>
          </w:p>
        </w:tc>
        <w:tc>
          <w:tcPr>
            <w:tcW w:w="936"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15,40</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26</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0,10</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0,06</w:t>
            </w:r>
          </w:p>
        </w:tc>
        <w:tc>
          <w:tcPr>
            <w:tcW w:w="897"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11,74</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10,20</w:t>
            </w:r>
          </w:p>
        </w:tc>
        <w:tc>
          <w:tcPr>
            <w:tcW w:w="101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9,42</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8</w:t>
            </w:r>
          </w:p>
        </w:tc>
        <w:tc>
          <w:tcPr>
            <w:tcW w:w="819"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0,03</w:t>
            </w:r>
          </w:p>
        </w:tc>
        <w:tc>
          <w:tcPr>
            <w:tcW w:w="975"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0,02</w:t>
            </w:r>
          </w:p>
        </w:tc>
        <w:tc>
          <w:tcPr>
            <w:tcW w:w="858"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8,57</w:t>
            </w:r>
          </w:p>
        </w:tc>
        <w:tc>
          <w:tcPr>
            <w:tcW w:w="741"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8,43</w:t>
            </w:r>
          </w:p>
        </w:tc>
        <w:tc>
          <w:tcPr>
            <w:tcW w:w="954" w:type="dxa"/>
            <w:tcBorders>
              <w:top w:val="single" w:sz="2" w:space="0" w:color="000000"/>
              <w:left w:val="single" w:sz="2" w:space="0" w:color="000000"/>
              <w:bottom w:val="single" w:sz="2" w:space="0" w:color="000000"/>
              <w:right w:val="single" w:sz="2" w:space="0" w:color="000000"/>
            </w:tcBorders>
          </w:tcPr>
          <w:p w:rsidR="00000000" w:rsidRDefault="00000000">
            <w:pPr>
              <w:pStyle w:val="BodyText3"/>
              <w:spacing w:line="288" w:lineRule="auto"/>
              <w:jc w:val="center"/>
              <w:rPr>
                <w:sz w:val="18"/>
                <w:lang w:val="ru-RU"/>
              </w:rPr>
            </w:pPr>
            <w:r>
              <w:rPr>
                <w:sz w:val="18"/>
                <w:lang w:val="ru-RU"/>
              </w:rPr>
              <w:t>8,72</w:t>
            </w:r>
          </w:p>
        </w:tc>
      </w:tr>
    </w:tbl>
    <w:p w:rsidR="00000000" w:rsidRDefault="00000000">
      <w:pPr>
        <w:pStyle w:val="BodyText3"/>
        <w:spacing w:line="288" w:lineRule="auto"/>
        <w:jc w:val="center"/>
        <w:rPr>
          <w:b/>
          <w:spacing w:val="20"/>
          <w:kern w:val="16"/>
          <w:sz w:val="16"/>
          <w:lang w:val="ru-RU"/>
        </w:rPr>
      </w:pPr>
    </w:p>
    <w:p w:rsidR="00000000" w:rsidRDefault="00000000">
      <w:pPr>
        <w:pStyle w:val="BodyText3"/>
        <w:spacing w:line="288" w:lineRule="auto"/>
        <w:jc w:val="left"/>
        <w:rPr>
          <w:bCs/>
          <w:spacing w:val="20"/>
          <w:kern w:val="16"/>
          <w:sz w:val="18"/>
        </w:rPr>
      </w:pPr>
      <w:r>
        <w:rPr>
          <w:bCs/>
          <w:spacing w:val="20"/>
          <w:kern w:val="16"/>
          <w:sz w:val="18"/>
          <w:u w:val="single"/>
          <w:lang w:val="ru-RU"/>
        </w:rPr>
        <w:t>Источник</w:t>
      </w:r>
      <w:r>
        <w:rPr>
          <w:bCs/>
          <w:spacing w:val="20"/>
          <w:kern w:val="16"/>
          <w:sz w:val="18"/>
          <w:lang w:val="ru-RU"/>
        </w:rPr>
        <w:t>:  Основано на данных Обзора домашних хозяйств 1997 года (ОВОДХ).</w:t>
      </w:r>
    </w:p>
    <w:p w:rsidR="00000000" w:rsidRDefault="00000000">
      <w:pPr>
        <w:pStyle w:val="BodyText3"/>
        <w:spacing w:line="288" w:lineRule="auto"/>
        <w:jc w:val="left"/>
        <w:rPr>
          <w:b/>
          <w:spacing w:val="20"/>
          <w:kern w:val="16"/>
          <w:sz w:val="16"/>
        </w:rPr>
      </w:pPr>
    </w:p>
    <w:p w:rsidR="00000000" w:rsidRDefault="00000000">
      <w:pPr>
        <w:pStyle w:val="BodyText3"/>
        <w:spacing w:line="288" w:lineRule="auto"/>
        <w:jc w:val="center"/>
        <w:rPr>
          <w:b/>
          <w:spacing w:val="20"/>
          <w:kern w:val="16"/>
          <w:sz w:val="16"/>
          <w:lang w:val="ru-RU"/>
        </w:rPr>
      </w:pPr>
    </w:p>
    <w:p w:rsidR="00000000" w:rsidRDefault="00000000">
      <w:pPr>
        <w:pStyle w:val="BodyText3"/>
        <w:spacing w:line="288" w:lineRule="auto"/>
        <w:jc w:val="left"/>
        <w:rPr>
          <w:lang w:val="ru-RU"/>
        </w:rPr>
        <w:sectPr w:rsidR="00000000">
          <w:headerReference w:type="even" r:id="rId35"/>
          <w:headerReference w:type="default" r:id="rId36"/>
          <w:pgSz w:w="16840" w:h="11907" w:orient="landscape" w:code="9"/>
          <w:pgMar w:top="1701" w:right="1701" w:bottom="1701" w:left="851" w:header="1701" w:footer="851" w:gutter="0"/>
          <w:cols w:space="720"/>
          <w:docGrid w:linePitch="254"/>
        </w:sectPr>
      </w:pPr>
    </w:p>
    <w:p w:rsidR="00000000" w:rsidRDefault="00000000">
      <w:r>
        <w:t>374.</w:t>
      </w:r>
      <w:r>
        <w:tab/>
        <w:t>В 1997 году примерно 15% бразильцев проживали в семьях, доход которых был ниже черты крайней бедности, т.е. такой доход, который недостаточен для приобретения оптимальной продовольственной корзины;  34% проживали в семьях, доход которых был ниже черты бедности.  Таким образом, в 1997 году около 24 млн. человек подпадали под категорию людей, живущих в условиях крайней нищеты, а 54 млн. человек подпадали под категорию людей, живущих в условиях бедности.</w:t>
      </w:r>
    </w:p>
    <w:p w:rsidR="00000000" w:rsidRDefault="00000000">
      <w:pPr>
        <w:pStyle w:val="FootnoteText"/>
        <w:spacing w:line="288" w:lineRule="auto"/>
      </w:pPr>
    </w:p>
    <w:p w:rsidR="00000000" w:rsidRDefault="00000000">
      <w:r>
        <w:t>375.</w:t>
      </w:r>
      <w:r>
        <w:tab/>
        <w:t>При детальном рассмотрении данных становится очевидно, что число людей, живущих за чертой крайней бедности, существенно сократилось в период 1990</w:t>
      </w:r>
      <w:r>
        <w:noBreakHyphen/>
        <w:t>1996 годов.  Так, в 1990 году число крайне бедных людей составляло 33 002 648;  в 1993 году - 29 737 091;  в 1995 году - 23 515 136;  и в 1996 году - 21 352 479.  Тенденция к снижению была более заметна в городских районах, чем в сельских.  Так, в 1996 году 45,8% крайне бедных людей проживали в сельских районах, а 20,48% </w:t>
      </w:r>
      <w:r>
        <w:noBreakHyphen/>
        <w:t xml:space="preserve"> в городских.  В период с 1990 по 1996 год наблюдалось также постепенное снижение числа людей, живущих за чертой бедности:  в 1990 году - 67 533 576 человек;  а в 1996 году - 55 032 912 человек.</w:t>
      </w:r>
    </w:p>
    <w:p w:rsidR="00000000" w:rsidRDefault="00000000"/>
    <w:p w:rsidR="00000000" w:rsidRDefault="00000000">
      <w:r>
        <w:t>376.</w:t>
      </w:r>
      <w:r>
        <w:tab/>
        <w:t>Данные показывают, что отдельные группы населения являются особенно уязвимы.  Согласно данным 1997 года, около 66% сельского населения принадлежат к категории малоимущих, а в городских районах эта цифра снижается до 28%.  В самом тяжелом положении оказываются дети в возрасте до 15 лет:  49% подростков в этой возрастной категории относятся к числу малоимущего населения.  Среди цветного населения</w:t>
      </w:r>
      <w:r>
        <w:rPr>
          <w:b/>
          <w:bCs/>
          <w:vertAlign w:val="superscript"/>
        </w:rPr>
        <w:t>18</w:t>
      </w:r>
      <w:r>
        <w:t xml:space="preserve"> доля бедных гораздо выше (50% из них живут за чертой бедности), чем среди белого населения (24%).  Наибольшее число малоимущих проживают на северо-востоке страны, где 65% населения относятся к категории бедных.  Имеющиеся статистические данные не указывают на какие-либо существенные различия между полами.  </w:t>
      </w:r>
    </w:p>
    <w:p w:rsidR="00000000" w:rsidRDefault="00000000"/>
    <w:p w:rsidR="00000000" w:rsidRDefault="00000000">
      <w:r>
        <w:t>377.</w:t>
      </w:r>
      <w:r>
        <w:tab/>
        <w:t>В последние два десятилетия происходило небольшое снижение числа лиц, живущих за чертой бедности, </w:t>
      </w:r>
      <w:r>
        <w:noBreakHyphen/>
        <w:t xml:space="preserve"> примерно с 40% в 1993 году до 34% в 1997 году.  Наиболее резкое снижение произошло в период 1993</w:t>
      </w:r>
      <w:r>
        <w:noBreakHyphen/>
        <w:t>1995 годов, а затем данная тенденция стабилизировалась на уровне 34%.  Вместе с тем тенденция к снижению не является постоянной, поскольку степень бедности колеблется в соответствии с изменениями, происходящими в макроэкономике.  В начале 80-х годов макроэкономические колебания оказывали сильное воздействие на бедность, масштабы которой достигли наивысших показателей в период спада 1983</w:t>
      </w:r>
      <w:r>
        <w:noBreakHyphen/>
        <w:t>1984 годов, когда число малоимущих превысило 50% населения.  Самые низкие показатели были отмечены после принятия стабилизационных планов в рамках борьбы с инфляцией (планы Крусадо и Реал), когда масштабы бедности снизились ниже 35%.  Наиболее низкий уровень бедности был достигнут после осуществления Плана Реал, когда в стране насчитывалось менее 42 млн. бедных.  В период 1993</w:t>
      </w:r>
      <w:r>
        <w:noBreakHyphen/>
        <w:t>1997 годов примерно 10 млн. бразильцев вышли из категории малоимущих.</w:t>
      </w:r>
    </w:p>
    <w:p w:rsidR="00000000" w:rsidRDefault="00000000"/>
    <w:p w:rsidR="00000000" w:rsidRDefault="00000000">
      <w:r>
        <w:t>378.</w:t>
      </w:r>
      <w:r>
        <w:tab/>
        <w:t>Рост населения - это еще одна причина увеличения числа малоимущих.  Из-за роста населения на фоне устойчивых показателей бедности число малоимущих в период 1995</w:t>
      </w:r>
      <w:r>
        <w:noBreakHyphen/>
        <w:t>1997 годов увеличилось на 1,5 млн. человек.  Средний доход семьи на душу населения у 40% беднейших граждан Бразилии составляет 45,74 реала (данные по состоянию на сентябрь 1998 года).  В эту сумму входят заработная плата и все другие виды дохода.  На диаграмме II показана кривая бедности в Бразилии в течение длительного периода времени:  верхняя кривая - это черта бедности, нижняя кривая - это черта крайней нищеты.</w:t>
      </w:r>
    </w:p>
    <w:p w:rsidR="00000000" w:rsidRDefault="00000000"/>
    <w:p w:rsidR="00000000" w:rsidRDefault="00000000">
      <w:pPr>
        <w:pStyle w:val="16"/>
        <w:rPr>
          <w:b/>
          <w:bCs/>
        </w:rPr>
      </w:pPr>
      <w:r>
        <w:rPr>
          <w:b/>
          <w:bCs/>
        </w:rPr>
        <w:t>Диаграмма II.  Показатели нищеты по годам</w:t>
      </w:r>
    </w:p>
    <w:bookmarkStart w:id="2" w:name="_MON_1035793180"/>
    <w:bookmarkStart w:id="3" w:name="_MON_1048322445"/>
    <w:bookmarkStart w:id="4" w:name="_MON_1048322532"/>
    <w:bookmarkStart w:id="5" w:name="_MON_1048322657"/>
    <w:bookmarkStart w:id="6" w:name="_MON_1048323352"/>
    <w:bookmarkStart w:id="7" w:name="_MON_1048325545"/>
    <w:bookmarkStart w:id="8" w:name="_MON_1049373417"/>
    <w:bookmarkStart w:id="9" w:name="_MON_1049373609"/>
    <w:bookmarkStart w:id="10" w:name="_MON_1049374586"/>
    <w:bookmarkStart w:id="11" w:name="_MON_1049374594"/>
    <w:bookmarkStart w:id="12" w:name="_MON_1049374865"/>
    <w:bookmarkStart w:id="13" w:name="_MON_1049374915"/>
    <w:bookmarkStart w:id="14" w:name="_MON_1049374973"/>
    <w:bookmarkStart w:id="15" w:name="_MON_1049375661"/>
    <w:bookmarkStart w:id="16" w:name="_MON_1068295913"/>
    <w:bookmarkStart w:id="17" w:name="_MON_1068295980"/>
    <w:bookmarkStart w:id="18" w:name="_MON_1068296044"/>
    <w:bookmarkStart w:id="19" w:name="_MON_1068296114"/>
    <w:bookmarkStart w:id="20" w:name="_MON_1068296149"/>
    <w:bookmarkStart w:id="21" w:name="_MON_1068296284"/>
    <w:bookmarkStart w:id="22" w:name="_MON_1068296351"/>
    <w:bookmarkStart w:id="23" w:name="_MON_1075707350"/>
    <w:bookmarkStart w:id="24" w:name="_MON_1075707390"/>
    <w:bookmarkStart w:id="25" w:name="_MON_1075791548"/>
    <w:bookmarkStart w:id="26" w:name="_MON_1075792459"/>
    <w:bookmarkStart w:id="27" w:name="_MON_1075796988"/>
    <w:bookmarkStart w:id="28" w:name="_MON_1075797084"/>
    <w:bookmarkStart w:id="29" w:name="_MON_1075797194"/>
    <w:bookmarkStart w:id="30" w:name="_MON_1075797237"/>
    <w:bookmarkStart w:id="31" w:name="_MON_1076333526"/>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rsidR="00000000" w:rsidRDefault="00000000">
      <w:pPr>
        <w:jc w:val="center"/>
      </w:pPr>
      <w:r>
        <w:object w:dxaOrig="13291" w:dyaOrig="9403">
          <v:shape id="_x0000_i1033" type="#_x0000_t75" style="width:332.25pt;height:234.75pt" o:ole="" fillcolor="window">
            <v:imagedata r:id="rId37" o:title=""/>
          </v:shape>
          <o:OLEObject Type="Embed" ProgID="Excel.Sheet.8" ShapeID="_x0000_i1033" DrawAspect="Content" ObjectID="_1394878301" r:id="rId38"/>
        </w:object>
      </w:r>
    </w:p>
    <w:p w:rsidR="00000000" w:rsidRDefault="00000000">
      <w:r>
        <w:t>379.</w:t>
      </w:r>
      <w:r>
        <w:tab/>
        <w:t>В Бразилии отсутствуют официальные показатели физического качества жизни.  Используются различные показатели качества жизни, как, например, индекс качества жизни, используемый для внутренних сопоставлений;  в настоящее время он составляет 0,72 для всей страны.  Различие в методологиях осложняет проведение сравнений с показателями, применяемыми в других странах.  Однако правительство Бразилии отмечает, что индекс человеческого развития (ИЧР) хорошо известен, что позволяет проводить сопоставления в международном масштабе.  Согласно этому индексу, который применяется в "Докладе о развитии человеческого потенциала 2000 года", Бразилия находится на 74 месте в мире.  ИЧР используется в настоящее время во всех бразильских муниципалитетах применительно к конкретным группам населения.  Следует отметить, что значительное число бразильских муниципий находится на уровнях, аналогичных уровню в странах с категорией низкого человеческого развития.  Применительно к конкретным группам этот показатель свидетельствует о том, что для чернокожего населения Бразилии характерен низкий уровень дохода и образования.</w:t>
      </w:r>
    </w:p>
    <w:p w:rsidR="00000000" w:rsidRDefault="00000000"/>
    <w:p w:rsidR="00000000" w:rsidRDefault="00000000">
      <w:r>
        <w:t>380.</w:t>
      </w:r>
      <w:r>
        <w:tab/>
        <w:t>Что касается питания и права на питание, закрепленного в Международном пакте об экономических, социальных и культурных правах, то бразильское правительство отмечает, что за последние десять лет произошли позитивные сдвиги в плане улучшения качества продовольствия и питания в целом.  По состоянию на 1993 год, когда началась кампания "Граждане против голода и бедности и в борьбе за жизнь" и когда был учрежден Национальный совет по продовольственной безопасности (НСПБ), гражданское общество и правительство поставили на первый план задачу борьбы с голодом, что нашло свое отражение в политической повестке дня страны.</w:t>
      </w:r>
    </w:p>
    <w:p w:rsidR="00000000" w:rsidRDefault="00000000"/>
    <w:p w:rsidR="00000000" w:rsidRDefault="00000000">
      <w:r>
        <w:t>381.</w:t>
      </w:r>
      <w:r>
        <w:tab/>
        <w:t>Процесс подготовки к Всемирной встрече на высшем уровне по проблемам продовольствия 1996 года вызвал оживленные дискуссии на всех уровнях бразильского гражданского общества и правительства по вопросу о воздействии государственной политики на осуществление права людей на питание и привел к выработке национального доклада на Всемирной встрече.  После завершения этого мероприятия были приняты меры по укреплению Рабочей группы по продовольственной безопасности и обеспечению питанием, которая, действуя в тесном сотрудничестве с федеральными учреждениями, в том числе с Исполнительным секретариатом организации "Общинная солидарность" и министерством здравоохранения, добилась больших успехов в деле включения вопросов прав человека в государственную политику.</w:t>
      </w:r>
    </w:p>
    <w:p w:rsidR="00000000" w:rsidRDefault="00000000"/>
    <w:p w:rsidR="00000000" w:rsidRDefault="00000000">
      <w:r>
        <w:t>382.</w:t>
      </w:r>
      <w:r>
        <w:tab/>
        <w:t>Одним из результатов всех принимаемых в настоящее время усилий явилась разработка министерством здравоохранения национальной политики по обеспечению продовольствием и питанием, которая была утверждена в 1999 году Национальным советом по вопросам здравоохранения.  Подробное описание работы в этом направлении содержится в тематическом исследовании, представленном в 1999 году правительством Бразилии в Женеве на симпозиуме, организованном Подкомитетом по вопросам питания Административного комитета по координации Организации Объединенных Наций при поддержке Верховного комиссара Организации Объединенных Наций по правам человека.</w:t>
      </w:r>
    </w:p>
    <w:p w:rsidR="00000000" w:rsidRDefault="00000000"/>
    <w:p w:rsidR="00000000" w:rsidRDefault="00000000">
      <w:r>
        <w:t>383.</w:t>
      </w:r>
      <w:r>
        <w:tab/>
        <w:t>Начиная с ноября 1998 года бразильский Форум по вопросам устойчивой  и продовольственной безопасности и обеспечения питанием в тесном взаимодействии с гражданским обществом и по меньшей мере с десятью правительствами штатов осуществлял координацию работы по созданию форумов и советов по вопросам продовольственной безопасности и обеспечения питанием в различных штатах при участии правительственных и гражданских институтов.  Основная задача создаваемых советов заключается в том, чтобы выработать стратегическую линию государственной экономической и социальной политики на уровне штатов для борьбы с голодом и социальной маргинализацией путем поощрения права человека на питание для всех.</w:t>
      </w:r>
    </w:p>
    <w:p w:rsidR="00000000" w:rsidRDefault="00000000"/>
    <w:p w:rsidR="00000000" w:rsidRDefault="00000000">
      <w:r>
        <w:t>384.</w:t>
      </w:r>
      <w:r>
        <w:tab/>
        <w:t>Правительство Бразилии испытывает озабоченность по поводу проблемы недоедания.  Как отмечалось выше, с 1990 года сокращается число людей, живущих за чертой крайней нищеты и бедности.</w:t>
      </w:r>
    </w:p>
    <w:p w:rsidR="00000000" w:rsidRDefault="00000000"/>
    <w:p w:rsidR="00000000" w:rsidRDefault="00000000">
      <w:r>
        <w:t>385.</w:t>
      </w:r>
      <w:r>
        <w:tab/>
        <w:t>Ряд исследований, проведенных в нескольких городах Бразилии с использованием структуры потребления, показал, что малоимущие и беднейшие группы населения особо уязвимы в плане продовольственной безопасности, не получая в достаточных объемах энергопротеиновых и макро- и микропитательных веществ, включая железо, витамины В</w:t>
      </w:r>
      <w:r>
        <w:rPr>
          <w:vertAlign w:val="subscript"/>
        </w:rPr>
        <w:t>12</w:t>
      </w:r>
      <w:r>
        <w:t xml:space="preserve"> и А и кальций, отсутствие которых приводит к болезням и смерти детей и взрослых.</w:t>
      </w:r>
    </w:p>
    <w:p w:rsidR="00000000" w:rsidRDefault="00000000"/>
    <w:p w:rsidR="00000000" w:rsidRDefault="00000000">
      <w:r>
        <w:t>386.</w:t>
      </w:r>
      <w:r>
        <w:tab/>
        <w:t>Согласно данным министерства здравоохранения 1999 года, младенческая смертность в Бразилии, по подсчетам, составляет 37 на 1 000 живорождений.  Основная или сопутствующая причина смертности - это недоедание (55%, или 57 000 детей умерли в возрасте до одного года).  В эту цифру не входят все родившиеся в 1999 году дети, поскольку по тем или иным причинам около 1 млн. родившихся детей не регистрируются.  С этой поправкой масштабы недоедания, вероятно, окажутся еще более значительными.</w:t>
      </w:r>
    </w:p>
    <w:p w:rsidR="00000000" w:rsidRDefault="00000000"/>
    <w:p w:rsidR="00000000" w:rsidRDefault="00000000">
      <w:r>
        <w:t>387.</w:t>
      </w:r>
      <w:r>
        <w:tab/>
        <w:t>В последние десять лет Система наблюдения за положением в области продовольствия и питания (СИСВАН), которая функционирует под эгидой министерства здравоохранения, была распространена на всю страну.  Ее задача - изучать и сравнивать данные роста и развития детей в возрасте до 59 месяцев, которые охватываются системой государственного здравоохранения.  СИСВАН также используется и в сфере эпидемиологии для целей выявления районов, где недоедание носит особенно острый характер, а также для целей оказания медицинской помощи детям, не получающим, по данным служб государственного здравоохранения, достаточного питания.  СИСВАН пока еще не охватила всю страну, но уже стала источником ценной информации в ряде штатов.  Допуская возможные искажения в данных в силу дублирования оценок одного и того же ребенка, информация по штату Мина-Жерай свидетельствует о том, что проблема недоедания (согласно критерию вес/возраст) затрагивает от 13% до 48% детей в различных районах штата;  по оценкам, 20% детей (100 000) в 1999 году не получали достаточного питания.</w:t>
      </w:r>
    </w:p>
    <w:p w:rsidR="00000000" w:rsidRDefault="00000000"/>
    <w:p w:rsidR="00000000" w:rsidRDefault="00000000">
      <w:r>
        <w:t>388.</w:t>
      </w:r>
      <w:r>
        <w:tab/>
        <w:t>Данные последних исследований указывают, что проблема питания особенно остро стоит в местах проживания индейцев и бездомных сельскохозяйственных рабочих (как в лагерях, так и в специальных поселениях) и на окраинах крупных и средних городов.  Данные Национального обследования населения и состояния здоровья населения, проведенного в 1996 году, свидетельствуют о том, что 10,5% бразильских детей не достигают нормального роста и что рост детей зависит от региона, составляя от 5,1% - на юге и до 17,9%  - на северо-востоке страны.  Проблема недостаточного веса по отношению к возрасту затрагивает также 5,7% детей в возрасте до 5 лет, причем самые большие значения отмечены на севере страны (7,7%) и на северо-востоке (8,3%).  Несмотря на успехи, достигнутые в прошедшем десятилетии, значительная часть детей по</w:t>
      </w:r>
      <w:r>
        <w:noBreakHyphen/>
        <w:t>прежнему отстает в весе по отношению к возрасту в критический период развития между 6 и 23 месяцами.</w:t>
      </w:r>
    </w:p>
    <w:p w:rsidR="00000000" w:rsidRDefault="00000000"/>
    <w:p w:rsidR="00000000" w:rsidRDefault="00000000">
      <w:r>
        <w:t>389.</w:t>
      </w:r>
      <w:r>
        <w:tab/>
        <w:t>Другим, не терпящим отлагательства вопросом в области продовольствия и питания является, согласно недавним исследованиям, вопрос о дефиците микропитательных веществ, в особенности витамина А, железа и йода.  Согласно публикации в рамках проекта "Надежда", проблема дефицита витамина А носит эндемический характер в крупных районах севера, северо-востока и юго-востока страны.  Несмотря на трудности в получении достоверной информации, необходимой для того, чтобы сделать правильный диагноз и провести точную оценку, можно с уверенностью утверждать, что наиболее уязвимым в этой ситуации оказалось детское население северо-востока страны.  В северо-восточных районах серьезный дефицит витамина А был обнаружен у 16-55% детей.</w:t>
      </w:r>
    </w:p>
    <w:p w:rsidR="00000000" w:rsidRDefault="00000000"/>
    <w:p w:rsidR="00000000" w:rsidRDefault="00000000">
      <w:r>
        <w:t>390.</w:t>
      </w:r>
      <w:r>
        <w:tab/>
        <w:t>Поступают сообщения о дефиците витамина А в районах проживания бедноты в штатах Минас-Жерайс и Сан-Паулу, а также на севере страны.  Анализы крови в этих местах показывают содержание витамина А у 15% тестированных ниже 20 мкг/дл, т.е. налицо наличие эндемического дефицита.  Что касается проблемы нехватки железа в организме, то надо сказать, что анемия представляет собой самую большую проблему в сфере питания в Бразилии, которая затрагивает в основном женщин в фертильном возрасте и детей до двух лет.  По имеющимся подсчетам, у трех из десяти беременных женщин, которые проходят дородовые обследования, обнаружена анемия, а у детей эти цифры еще выше (анемией страдают свыше 50% детей).</w:t>
      </w:r>
    </w:p>
    <w:p w:rsidR="00000000" w:rsidRDefault="00000000"/>
    <w:p w:rsidR="00000000" w:rsidRDefault="00000000">
      <w:r>
        <w:t>391.</w:t>
      </w:r>
      <w:r>
        <w:tab/>
        <w:t>Иллюстрацией этой проблемы может послужить штат Сан-Паулу, где, несмотря на громадный прогресс, достигнутый за прошедшие 22 года в области сокращения младенческой смертности и смертности в дошкольном возрасте, и где, несмотря на установление контроля за питанием детей, анемия среди детей увеличилась более чем на 100%:  на 22% в 1974 году, на 35% - в 1985 году и на 46% - в 1996 году.  В ходе национального обзора, проведенного в 1994</w:t>
      </w:r>
      <w:r>
        <w:noBreakHyphen/>
        <w:t>1995 годах бывшим Национальным институтом по вопросам продовольствия и питания, рассматривалась проблема опухолей щитовидной железы у школьников в возрасте от 6 до 14 лет.  В двух бразильских штатах средняя цифра распространения этого заболевания составила 20%, что указывает на относительно умеренную эндемию.  В шести других штатах (Акри, Амазонас, Пара, Мату-Гросу, Парана и Эспириту-Санту) средние цифры в обследованных муниципалитетах колебались от 5 до 19,9%, что указывает на слабую эндемию.</w:t>
      </w:r>
    </w:p>
    <w:p w:rsidR="00000000" w:rsidRDefault="00000000"/>
    <w:p w:rsidR="00000000" w:rsidRDefault="00000000">
      <w:r>
        <w:t>392.</w:t>
      </w:r>
      <w:r>
        <w:tab/>
        <w:t xml:space="preserve">Другой исключительно важной проблемой в сфере продовольствия и питания в Бразилии является неудовлетворительное положение с грудным кормлением детей, несмотря на значительный прогресс, достигнутый за последнее десятилетие.  В исследовании Фонда Освальдо Круз, в котором грудное вскармливание ассоциируется с благосостоянием семьи, доказывается, что, если бы все дети, родившиеся в 1995 году, вскармливались грудью по крайней мере до шестимесячного возраста, можно было бы сэкономить 423,8 млн. литров коровьего молока (порядка 200 млн. долл.).  Выполнение рекомендаций в отношении грудного вскармливания дало бы не только неоспоримые выгоды для здоровья, питания и благосостояния детей, но и значительно снизило бы семейные расходы.  </w:t>
      </w:r>
    </w:p>
    <w:p w:rsidR="00000000" w:rsidRDefault="00000000"/>
    <w:p w:rsidR="00000000" w:rsidRDefault="00000000">
      <w:r>
        <w:t>393.</w:t>
      </w:r>
      <w:r>
        <w:tab/>
        <w:t>Параллельно с проблемой дефицита питания в Бразилии существует и приобретающая размеры эпидемии проблема ожирения и других видов липемии и связанных с ними сердечно-сосудистых заболеваний.  В стране возникла беспрецедентная эпидемиологическая ситуация.  Согласно докладу 1996 года, опубликованному Межамериканским банком развития совместно с Всемирной организацией здравоохранения, в Бразилии наблюдается рост тенденций к ожирению и распространению хронических заболеваний, связанных с питанием, в особенности на низких социально-экономических уровнях, на которые приходится 50% такого прироста.  Ожирение населения Бразилии становится гораздо более распространенным явлением, чем недоедание среди детей, что указывает на зарождение процесса эпидемиологического характера, на который органы общественного здравоохранения обращают все больше внимания.  Основной причиной смерти и инвалидности взрослых и лиц пожилого возраста являются сердечно-сосудистые заболевания, на долю которых приходится 34% смертей.  В значительной степени эти заболевания связаны с ожирением, неправильным питанием и с нездоровым образом жизни.  Антропометрическое исследование состояния здоровья взрослого населения Бразилии, проведенное в рамках общенационального обследования состояния здоровья и питания (ООЗП) в 1989 году и опубликованное в 1990 году, показало, что около 24,6% людей имеют избыточный вес, а 8,3% страдают от ожирения.  Эта проблема начинает возникать и среди детей и подростков.  Результаты исследования "Мультицентр" 1990 года относительно распространения диабета, проведенного под эгидой министерства здравоохранения, показывают также, что в возрастной группе 30</w:t>
      </w:r>
      <w:r>
        <w:noBreakHyphen/>
        <w:t>69 лет количество заболевших составляет 7,6%.  Эти данные соответствуют результатам, полученным в штате Пернамбуку в 1998 году.  По подсчетам, в Бразилии проживает 5 млн. диабетиков, 50% которых не знают о своей болезни.</w:t>
      </w:r>
    </w:p>
    <w:p w:rsidR="00000000" w:rsidRDefault="00000000"/>
    <w:p w:rsidR="00000000" w:rsidRDefault="00000000">
      <w:r>
        <w:t>394.</w:t>
      </w:r>
      <w:r>
        <w:tab/>
        <w:t>К этим проблемам добавляется еще и серьезная проблема неправильного питания.  В различных регионах страны выбор продуктов питания и традиции потребления пищи определяются культурными традициями народа.  Отдельные продукты питания, их свойства или их различные сочетания в совокупности с традиционными требованиями и с различного рода запретами нередко имеют весьма сомнительную ценность.</w:t>
      </w:r>
    </w:p>
    <w:p w:rsidR="00000000" w:rsidRDefault="00000000"/>
    <w:p w:rsidR="00000000" w:rsidRDefault="00000000">
      <w:r>
        <w:t>395.</w:t>
      </w:r>
      <w:r>
        <w:tab/>
        <w:t>Эта проблема усугубляется стремительным ростом заведений питания быстрого обслуживания, которые способствуют распространению далеко не здоровых привычек, и все более широким использованием полуфабрикатов, питательные качества которых могут оказаться довольно низкими в случае несоблюдения современной технологии их приготовления.  Другим фактором, влияющим на привычки питания, является огромное количество ежедневных обедов, приготовляемых для различных слоев населения страны.  Так, например, в школах ежедневно подают 36 млн. обедов, в вооруженных силах - 300 000 и на предприятиях, работники которых охвачены Продовольственной программой для рабочих (ППТ), - 10 млн.</w:t>
      </w:r>
    </w:p>
    <w:p w:rsidR="00000000" w:rsidRDefault="00000000"/>
    <w:p w:rsidR="00000000" w:rsidRDefault="00000000">
      <w:r>
        <w:t>396.</w:t>
      </w:r>
      <w:r>
        <w:tab/>
        <w:t>С помощью активной рекламы предприятия пищевой промышленности и торговли побуждают потребителей к приобретению новых привычек, нередко выдвигая вводящие в заблуждение и ничем не обоснованные утверждения о качестве своих продуктов.  Наглядным доказательством этого служит тот факт, что в связи с изменением поведенческих стереотипов, а также в результате широкой рекламы готовых молочных смесей в последние 40 лет наблюдается процесс преждевременного отказа женщин от грудного вскармливания младенцев.  Что касается пищевой промышленности, которая находится под строгим санитарным контролем, то следует учитывать количество выпускаемых продуктов питания и число существующих в стране предприятий.  В настоящее время в Бразилии 20 000 зарегистрированных компаний выпускают примерно 100 000 лицензированных продуктов питания.  Другим фактором является растущий приток импортных продуктов, требующих повышенного внимания со стороны санитарных инспекторов.  Бразилия считает, что роль санитарной инспекции состоит в том, чтобы обеспечить защиту здоровья населения от опасностей, которым оно подвергается при потреблении некачественных пищевых продуктов.  Национальное агентство санитарного контроля обеспечивает соблюдение технических норм и законодательных положений, касающихся продовольственных продуктов.  Оно проводит инспекции на местах, проверяя гигиенические и санитарные условия на предприятиях, производящих или реализующих продукты питания.  Оно также имеет право принимать соответствующие меры в случае обнаружения им фактов нарушений для обеспечения того, чтобы продукты питания, предлагаемые потребителю, удовлетворяли существующим требованиям.  В целом действующие нормы касаются "надежных методов производства продуктов питания", их идентификации и определения стандартов качества, соблюдение которых необходимо для выпуска качественных пищевых продуктов.</w:t>
      </w:r>
    </w:p>
    <w:p w:rsidR="00000000" w:rsidRDefault="00000000"/>
    <w:p w:rsidR="00000000" w:rsidRDefault="00000000">
      <w:r>
        <w:t>397.</w:t>
      </w:r>
      <w:r>
        <w:tab/>
        <w:t>Система питания в Бразилии обладает ярко выраженными региональными характеристиками.  В Докладе о развитии человеческого потенциала за 1997 год говорилось о неуклонном сокращении масштабов бедности в стране.  Степень и характер бедности меняется в зависимости от географического расположения, как и Индекс бедности населения (ИБН), имеющий существенные региональные колебания.  В северных городах, как показывают прошлые и недавние тенденции, сокращение масштабов бедности имеет менее выраженный характер, чем в остальных районах страны.  В 1996 году самые высокие темпы негативного роста городского населения наблюдались на севере и полностью отсутствовали на северо-востоке страны.  Это говорит о том, что картина с продовольствием и питанием весьма сложна и многообразна в Бразилии, стране, обладающей неоднородными эпидемиологическими и региональными характеристиками, где проблемы, типичные для малоразвитых обществ, соседствуют с проблемами, характерными для развитых стран.</w:t>
      </w:r>
    </w:p>
    <w:p w:rsidR="00000000" w:rsidRDefault="00000000"/>
    <w:p w:rsidR="00000000" w:rsidRDefault="00000000">
      <w:r>
        <w:t>398.</w:t>
      </w:r>
      <w:r>
        <w:tab/>
        <w:t>Что касается возможного существования больших различий в положении мужчин и женщин, на что указывал Комитет, то правительство Бразилии хотело бы отметить, что различия по половому признаку действительно имеют место, но вместе с тем все говорит о том, что они не играют большой роли и малозначимы для того, чтобы сформировать четко выраженную тенденцию.  Масштабы проблемы недоедания среди взрослого населения в Бразилии незначительны и в основном ограничены лишь районами крайней нищеты.  Проблема недоедания в ее наиболее острой форме (т.е. недоедание, не носящее хронического характера) распространена в основном среди детей.  В этом случае статистические данные не дают разбивки по признаку пола.</w:t>
      </w:r>
    </w:p>
    <w:p w:rsidR="00000000" w:rsidRDefault="00000000"/>
    <w:p w:rsidR="00000000" w:rsidRDefault="00000000">
      <w:r>
        <w:t>399.</w:t>
      </w:r>
      <w:r>
        <w:tab/>
        <w:t>Правительство Бразилии стремится осуществлять политику, направленную на постепенное обеспечение населения достаточным количеством продуктов питания.  Такова цель национальной политики в области продовольствия и питания, основными направлениями которой являются гарантии безопасности и качества пищевых продуктов;  контроль за положением в области продовольствия и питания;  поощрение здоровых привычек питания и здорового образа жизни;  предотвращение пищевых отравлений и контроль за ними;  проведение расследований;  и обучение и подготовка кадров.</w:t>
      </w:r>
    </w:p>
    <w:p w:rsidR="00000000" w:rsidRDefault="00000000"/>
    <w:p w:rsidR="00000000" w:rsidRDefault="00000000">
      <w:r>
        <w:t>400.</w:t>
      </w:r>
      <w:r>
        <w:tab/>
        <w:t>Для того чтобы гарантировать безопасность и качество пищевых продуктов, принимаются меры по укреплению санитарных инспекций и по проведению совместных мероприятий органами по защите прав потребителей и организациями гражданского общества, занимающимися этими вопросами.  Цель этой деятельности состоит в том, чтобы широко распространять соответствующую информацию о качестве и безопасности пищевых продуктов, тем самым облегчая доступ к механизмам, призванным гарантировать эти права.</w:t>
      </w:r>
    </w:p>
    <w:p w:rsidR="00000000" w:rsidRDefault="00000000"/>
    <w:p w:rsidR="00000000" w:rsidRDefault="00000000">
      <w:r>
        <w:t>401.</w:t>
      </w:r>
      <w:r>
        <w:tab/>
        <w:t>Вносятся также поправки в национальное законодательство, касающееся качества пищевых продуктов, которые учитывают последние достижения в области биотехнологии - трансгенные и другие процессы, - а критерии и процедуры санитарных инспекций приводятся в соответствии с положениями правовых документов и международных соглашений.  Так, например, в МЕРКОСУР поправки вносятся в соответствии с требованиями, предъявляемыми торговыми организациями, занимающимися реализацией переработанных или натуральных продуктов питания.</w:t>
      </w:r>
    </w:p>
    <w:p w:rsidR="00000000" w:rsidRDefault="00000000"/>
    <w:p w:rsidR="00000000" w:rsidRDefault="00000000">
      <w:r>
        <w:t>402.</w:t>
      </w:r>
      <w:r>
        <w:tab/>
        <w:t>Система контроля за пищевыми продуктами и питанием (СИСВАН) играет важную роль в вопросах мониторинга за положением в области продовольствия и питания.  Эту систему планируется расширить и улучшить за счет более оперативных процедур работы и увеличения охвата.  Ее консолидация будет осуществляться при поддержке отделений, которые существуют почти во всех штатах и в сотнях муниципалитетов.  Одной из первоочередных мер, которые предполагается принять в этой связи, будет создание контрольных пунктов для наблюдения за эпидемиологическими процессами и их связями с факторами риска.  Эти контрольные пункты будут создаваться в основном в районах повышенного риска и в местах проживания групп риска.  Они будут заниматься прежде всего проблемами вспышек заболеваний, трудно поддающихся измерению, например, связанных с дефицитом витамина А и с йодистой недостаточностью.</w:t>
      </w:r>
    </w:p>
    <w:p w:rsidR="00000000" w:rsidRDefault="00000000"/>
    <w:p w:rsidR="00000000" w:rsidRDefault="00000000">
      <w:r>
        <w:t>403.</w:t>
      </w:r>
      <w:r>
        <w:tab/>
        <w:t>В ходе наблюдения за развитием ситуации в области продовольствия и питания СИСВАН сосредоточит свое внимание на проблемах беременных женщин и проблемах роста и развития детей.  СИСВАН будет выполнять роль координационного центра для всей деятельности в сети обслуживания, в особенности в области базового медицинского обслуживания, универсальный охват которым она призвана обеспечить.  Задачи оказания текущей медицинской помощи и осуществление контроля за положением в области питания каждого бенефициара должны быть включены в сферу услуг для целей выявления рисковых ситуаций, разработки превентивных стратегий и создания условий для нормализации ситуации.</w:t>
      </w:r>
    </w:p>
    <w:p w:rsidR="00000000" w:rsidRDefault="00000000"/>
    <w:p w:rsidR="00000000" w:rsidRDefault="00000000">
      <w:r>
        <w:t>404.</w:t>
      </w:r>
      <w:r>
        <w:tab/>
        <w:t xml:space="preserve">Другой первоочередной задачей правительства в настоящее время является составление карт очагов эндемической недостаточности в целях выявления их географического распространения и определения степени энергопротеинового недоедания, анемии и дефицита витамина А и йода.  Что касается контроля за незаразными хроническими заболеваниями, связанными с характером питания и неадекватным образом жизни, то работа в этой области будет продолжаться в рамках действующих систем сбора, выявления, систематизации, обработки и анализа данных.  </w:t>
      </w:r>
    </w:p>
    <w:p w:rsidR="00000000" w:rsidRDefault="00000000"/>
    <w:p w:rsidR="00000000" w:rsidRDefault="00000000">
      <w:r>
        <w:t>405.</w:t>
      </w:r>
      <w:r>
        <w:tab/>
        <w:t xml:space="preserve">В более конкретном плане информационные системы сконцентрируют свое внимание на аспектах, связанных с грудным вскармливанием, на негативных и позитивных факторах, а также будут заниматься периодической оценкой положения в области питания детей, посещающих государственные школы.  Другим основным элементом этого направления работы будет наблюдение за производством продуктов питания и проведение критической оценки качественного и количественного спроса и потребления пищевых продуктов.  </w:t>
      </w:r>
    </w:p>
    <w:p w:rsidR="00000000" w:rsidRDefault="00000000"/>
    <w:p w:rsidR="00000000" w:rsidRDefault="00000000">
      <w:r>
        <w:t>406.</w:t>
      </w:r>
      <w:r>
        <w:tab/>
        <w:t>Поощрение здорового питания начиная с грудного вскармливания будет основываться на пропаганде здорового образа жизни как одного из главных факторов, способствующих укреплению здоровья человека.  В этой связи особое внимание будет уделяться широкому распространению знаний о продуктах питания и потреблении пищи, а также о путях предотвращения проблем с питанием, которые начинаются с недоедания - включая различные виды дефицитов - и кончаются ожирением.</w:t>
      </w:r>
    </w:p>
    <w:p w:rsidR="00000000" w:rsidRDefault="00000000"/>
    <w:p w:rsidR="00000000" w:rsidRDefault="00000000">
      <w:r>
        <w:t>407.</w:t>
      </w:r>
      <w:r>
        <w:tab/>
        <w:t>Обзор методов и стратегий, особенно в секторе здравоохранения, является основной исходной мерой, направленной на то, чтобы поощрение грудного вскармливания в действительности стало первоочередной задачей.  В этой связи продолжится работа по координации усилий различных сегментов общества, в особенности тех, кто обладает наибольшим потенциалом в деле содействия распространению практики грудного вскармливания.  Они будут включать представительные организации различных категорий работников системы здравоохранения, предприятия пищевой промышленности и общественного питания, социальных работников и работников сферы просвещения, руководителей общин, организации по защите прав потребителей и организации гражданского общества в целом.</w:t>
      </w:r>
    </w:p>
    <w:p w:rsidR="00000000" w:rsidRDefault="00000000"/>
    <w:p w:rsidR="00000000" w:rsidRDefault="00000000">
      <w:r>
        <w:t>408.</w:t>
      </w:r>
      <w:r>
        <w:tab/>
        <w:t>Не менее важным является принятие мер по упорядочению рекламы продуктов питания для детей, которые следует осуществлять совместно с представительными организациями рекламного бизнеса и средствами массовой информации.  Кроме того, будут поддерживаться институциональные программы в соответствии с ранее определенными критериями, например программы строительства детских больниц и программы организации пунктов детского питания грудным молоком.  Будет также оказываться помощь движениям, поддерживаемым неправительственными организациями, которые будут заниматься пропагандой практики грудного вскармливания.</w:t>
      </w:r>
    </w:p>
    <w:p w:rsidR="00000000" w:rsidRDefault="00000000"/>
    <w:p w:rsidR="00000000" w:rsidRDefault="00000000">
      <w:r>
        <w:t>409.</w:t>
      </w:r>
      <w:r>
        <w:tab/>
        <w:t>Что касается законодательства, то действующие положения будут усилены, расширены и доведены до сведения общественности, с тем чтобы обеспечить создание матерям необходимых базовых условий для грудного вскармливания своих младенцев.  Например, будут установлены соответствующие графики работы матерей и выделены специальные места для кормления грудных детей.  Исходными критериями, которые будут положены в основу всех этих мер, явятся различные национальные и международные кодексы, подзаконные акты и нормы, касающиеся промышленного производства, сбыта и рекламы продуктов детского питания.  Помимо этого, будут предприняты инициативы по установлению контроля за маркетингом продуктов, вредных, опасных или сомнительных с точки зрения критериев и интересов подлинно здорового образа жизни.  В этой связи особое внимание будет обращаться на проблемы, связанные с ожирением и его последствиями.</w:t>
      </w:r>
    </w:p>
    <w:p w:rsidR="00000000" w:rsidRDefault="00000000"/>
    <w:p w:rsidR="00000000" w:rsidRDefault="00000000">
      <w:r>
        <w:t>410.</w:t>
      </w:r>
      <w:r>
        <w:tab/>
        <w:t>Обучение и подготовка кадров - это те факторы, которые обеспечат необходимые перемены в политике здравоохранения, изложенной в предыдущих пунктах.  Главная задача здесь состоит в том, чтобы обеспечить сектор здравоохранения необходимыми специалистами как с точки зрения их количества, так и качества, что должно быть сделано в требуемые сроки на всех трех уровнях управления.</w:t>
      </w:r>
    </w:p>
    <w:p w:rsidR="00000000" w:rsidRDefault="00000000"/>
    <w:p w:rsidR="00000000" w:rsidRDefault="00000000">
      <w:r>
        <w:t>411.</w:t>
      </w:r>
      <w:r>
        <w:tab/>
        <w:t>На 2000 год правительством были установлены шесть первоочередных целей в области продовольствия и питания и определена степень их актуальности в плане действий правительства и общества.  Среди них:  сокращение по меньшей мере на 10% случаев рождения детей с пониженным весом;  сокращение на 50% случаев среднего и крайнего недоедания среди детей;  сокращение на одну треть числа случаев анемии у беременных женщин;  борьба с болезнями, вызываемыми йодистой недостаточностью;  ликвидация дефицита витамина А как проблемы государственного здравоохранения;  и создание условий для вскармливания младенцев исключительно грудным молоком до шестимесячного возраста и для продолжения ухода за детьми в двухлетний переходный период.</w:t>
      </w:r>
    </w:p>
    <w:p w:rsidR="00000000" w:rsidRDefault="00000000"/>
    <w:p w:rsidR="00000000" w:rsidRDefault="00000000">
      <w:r>
        <w:t>412.</w:t>
      </w:r>
      <w:r>
        <w:tab/>
        <w:t>Такова общая картина в Бразилии, на фоне которой принимаются меры по распространению основных знаний о продуктах питания.  Среди этих мер следует особо подчеркнуть те, которые связаны с образованием, компаниями, проводимыми в государственных центрах здравоохранения и по каналам радио и телевидения.  Питание, основанное на неверных принципах, ассоциируется с низким уровнем образования населения, и также с культурными факторами и давлением, оказываемым рекламными кампаниями крупных производителей продуктов питания.</w:t>
      </w:r>
    </w:p>
    <w:p w:rsidR="00000000" w:rsidRDefault="00000000"/>
    <w:p w:rsidR="00000000" w:rsidRDefault="00000000">
      <w:r>
        <w:t>413.</w:t>
      </w:r>
      <w:r>
        <w:tab/>
        <w:t>Что касается этой части доклада, то Комитет обращается к государствам-участникам с просьбой остановиться на вопросе аграрной реформы, обращая особое внимание на следующие аспекты:  обнародование законодательных актов, проведение в жизнь принятых законов и контроль за их исполнением.  Прежде чем перейти к подробному изложению аграрной реформы, которая в настоящее время осуществляется в Бразилии, правительство Бразилии хотело бы сообщить Комитету о том, что аграрная реформа в стране имеет исторические и социальные аспекты, в которых нашли свое отражение имевшие место в прошлом серьезные перекосы, которые правительство своими действиями пытается исправить.  В стране ведутся оживленные дискуссии вокруг реформы, поскольку широкие круги населения, которые стремятся улучшить свои условия жизни, возлагают на нее большие надежды.  В ходе этих дискуссий, однако, необходимо постоянно держать в центре внимания историю формирования структуры землепользования в Бразилии, с тем чтобы гарантировать равенство и большую социальную справедливость в решении этого вопроса.</w:t>
      </w:r>
    </w:p>
    <w:p w:rsidR="00000000" w:rsidRDefault="00000000"/>
    <w:p w:rsidR="00000000" w:rsidRDefault="00000000">
      <w:r>
        <w:t>414.</w:t>
      </w:r>
      <w:r>
        <w:tab/>
        <w:t>Сельскохозяйственный сектор в Бразилии вступил в новую эру благодаря разработке государственной политики, конкретно нацеленной на удовлетворение интересов фермерских хозяйств, которые определяют курс развития бразильского сельского хозяйства, имеющего в настоящее время более демократическую направленность в плане создания рабочих мест и предоставления больших возможностей для получения доходов, и характеризующегося большей эффективностью в отношении использования и сохранения природных ресурсов.</w:t>
      </w:r>
    </w:p>
    <w:p w:rsidR="00000000" w:rsidRDefault="00000000"/>
    <w:p w:rsidR="00000000" w:rsidRDefault="00000000">
      <w:r>
        <w:t>415.</w:t>
      </w:r>
      <w:r>
        <w:tab/>
        <w:t>Более тесная координация аграрной реформы и действий по развитию семейного фермерства составляет основу новой политики в области сельского хозяйства, ориентированной на увеличение производства, повышение производительности и расширение объема капиталовложений в новые технологии, но прежде всего сконцентрированная на интересах человека и его развитии как гражданина страны.  Создание министерства по вопросам аграрной реформы явилось ответом федерального правительства на требование улучшить работу государственного сектора по осуществлению этой новой политики в области сельского хозяйства, которая должна существенно ускорить процесс формирования новой сельской среды.</w:t>
      </w:r>
    </w:p>
    <w:p w:rsidR="00000000" w:rsidRDefault="00000000"/>
    <w:p w:rsidR="00000000" w:rsidRDefault="00000000">
      <w:r>
        <w:t>416.</w:t>
      </w:r>
      <w:r>
        <w:tab/>
        <w:t>Все эти инициативы, обусловленные необходимостью четкой ориентации проектов развития сельских районов на планирование и осуществление, должны иметь своей целью расширение участия в них штатов, муниципалитетов и гражданского общества.  Кроме того, все эти участники должны действовать децентрализованно через посредство своих полномочных представителей.  Таким образом, окажется возможным расширить масштабы и улучшить качество аграрной реформы и политики развития семейного фермерства.</w:t>
      </w:r>
    </w:p>
    <w:p w:rsidR="00000000" w:rsidRDefault="00000000"/>
    <w:p w:rsidR="00000000" w:rsidRDefault="00000000">
      <w:r>
        <w:t>417.</w:t>
      </w:r>
      <w:r>
        <w:tab/>
        <w:t>Приведенные ниже цифры четко указывают на прогресс в деле достижения финансовых целей в вопросах расселения и развития фермерских хозяйств.  По этой причине, а также для обеспечения того, чтобы статистические данные в будущем носили более конкретный характер, необходимо, чтобы усилия по достижению общенациональных целей осуществлялись в координации со штатами, муниципалитетами и другими заинтересованными группами, в особенности с теми, кто представляет интересы прямых бенефициаров программ.</w:t>
      </w:r>
    </w:p>
    <w:p w:rsidR="00000000" w:rsidRDefault="00000000"/>
    <w:p w:rsidR="00000000" w:rsidRDefault="00000000">
      <w:r>
        <w:t>418.</w:t>
      </w:r>
      <w:r>
        <w:tab/>
        <w:t>С 1 января по 20 декабря 1999 года было расселено 85 327 семей фермеров, что довело численность семей, которые воспользовались преимуществами аграрной реформы, проводимой администрацией президента Фернанду Энрики Кардозу, до 372 866.  Эти цифры являются своего рода рекордом, поскольку за 30 лет, последовавших за утверждением Закона о земле в 1964 году, расселены были всего лишь 218 000 семей.  Приведенная ниже сравнительная таблица отражает произошедшие перемены:</w:t>
      </w:r>
    </w:p>
    <w:p w:rsidR="00000000" w:rsidRDefault="00000000"/>
    <w:p w:rsidR="00000000" w:rsidRDefault="00000000">
      <w:pPr>
        <w:pStyle w:val="16"/>
        <w:rPr>
          <w:b/>
          <w:bCs/>
        </w:rPr>
      </w:pPr>
      <w:r>
        <w:rPr>
          <w:b/>
          <w:bCs/>
        </w:rPr>
        <w:t>Таблица 47.   Семьи, расселенные на землях, 1995-1999 годы</w:t>
      </w:r>
    </w:p>
    <w:p w:rsidR="00000000" w:rsidRDefault="00000000">
      <w:pPr>
        <w:pStyle w:val="16"/>
      </w:pPr>
    </w:p>
    <w:tbl>
      <w:tblPr>
        <w:tblW w:w="0" w:type="auto"/>
        <w:tblInd w:w="1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4"/>
        <w:gridCol w:w="3738"/>
      </w:tblGrid>
      <w:tr w:rsidR="00000000">
        <w:tblPrEx>
          <w:tblCellMar>
            <w:top w:w="0" w:type="dxa"/>
            <w:bottom w:w="0" w:type="dxa"/>
          </w:tblCellMar>
        </w:tblPrEx>
        <w:tc>
          <w:tcPr>
            <w:tcW w:w="2994" w:type="dxa"/>
          </w:tcPr>
          <w:p w:rsidR="00000000" w:rsidRDefault="00000000">
            <w:pPr>
              <w:pStyle w:val="FootnoteText"/>
              <w:spacing w:line="288" w:lineRule="auto"/>
              <w:jc w:val="center"/>
            </w:pPr>
            <w:r>
              <w:t>Год</w:t>
            </w:r>
          </w:p>
        </w:tc>
        <w:tc>
          <w:tcPr>
            <w:tcW w:w="3738" w:type="dxa"/>
          </w:tcPr>
          <w:p w:rsidR="00000000" w:rsidRDefault="00000000">
            <w:pPr>
              <w:jc w:val="center"/>
            </w:pPr>
            <w:r>
              <w:t>Расселенные семьи</w:t>
            </w:r>
          </w:p>
        </w:tc>
      </w:tr>
      <w:tr w:rsidR="00000000">
        <w:tblPrEx>
          <w:tblCellMar>
            <w:top w:w="0" w:type="dxa"/>
            <w:bottom w:w="0" w:type="dxa"/>
          </w:tblCellMar>
        </w:tblPrEx>
        <w:tc>
          <w:tcPr>
            <w:tcW w:w="2994" w:type="dxa"/>
          </w:tcPr>
          <w:p w:rsidR="00000000" w:rsidRDefault="00000000">
            <w:pPr>
              <w:jc w:val="center"/>
            </w:pPr>
            <w:r>
              <w:t>1995</w:t>
            </w:r>
          </w:p>
        </w:tc>
        <w:tc>
          <w:tcPr>
            <w:tcW w:w="3738" w:type="dxa"/>
          </w:tcPr>
          <w:p w:rsidR="00000000" w:rsidRDefault="00000000">
            <w:pPr>
              <w:tabs>
                <w:tab w:val="clear" w:pos="1134"/>
                <w:tab w:val="clear" w:pos="1701"/>
                <w:tab w:val="clear" w:pos="2268"/>
              </w:tabs>
              <w:ind w:right="1575"/>
              <w:jc w:val="right"/>
            </w:pPr>
            <w:r>
              <w:t>42 827</w:t>
            </w:r>
          </w:p>
        </w:tc>
      </w:tr>
      <w:tr w:rsidR="00000000">
        <w:tblPrEx>
          <w:tblCellMar>
            <w:top w:w="0" w:type="dxa"/>
            <w:bottom w:w="0" w:type="dxa"/>
          </w:tblCellMar>
        </w:tblPrEx>
        <w:tc>
          <w:tcPr>
            <w:tcW w:w="2994" w:type="dxa"/>
          </w:tcPr>
          <w:p w:rsidR="00000000" w:rsidRDefault="00000000">
            <w:pPr>
              <w:jc w:val="center"/>
            </w:pPr>
            <w:r>
              <w:t>1996</w:t>
            </w:r>
          </w:p>
        </w:tc>
        <w:tc>
          <w:tcPr>
            <w:tcW w:w="3738" w:type="dxa"/>
          </w:tcPr>
          <w:p w:rsidR="00000000" w:rsidRDefault="00000000">
            <w:pPr>
              <w:tabs>
                <w:tab w:val="clear" w:pos="1134"/>
                <w:tab w:val="clear" w:pos="1701"/>
                <w:tab w:val="clear" w:pos="2268"/>
              </w:tabs>
              <w:ind w:right="1575"/>
              <w:jc w:val="right"/>
            </w:pPr>
            <w:r>
              <w:t>61 674</w:t>
            </w:r>
          </w:p>
        </w:tc>
      </w:tr>
      <w:tr w:rsidR="00000000">
        <w:tblPrEx>
          <w:tblCellMar>
            <w:top w:w="0" w:type="dxa"/>
            <w:bottom w:w="0" w:type="dxa"/>
          </w:tblCellMar>
        </w:tblPrEx>
        <w:tc>
          <w:tcPr>
            <w:tcW w:w="2994" w:type="dxa"/>
          </w:tcPr>
          <w:p w:rsidR="00000000" w:rsidRDefault="00000000">
            <w:pPr>
              <w:jc w:val="center"/>
            </w:pPr>
            <w:r>
              <w:t>1997</w:t>
            </w:r>
          </w:p>
        </w:tc>
        <w:tc>
          <w:tcPr>
            <w:tcW w:w="3738" w:type="dxa"/>
          </w:tcPr>
          <w:p w:rsidR="00000000" w:rsidRDefault="00000000">
            <w:pPr>
              <w:tabs>
                <w:tab w:val="clear" w:pos="1134"/>
                <w:tab w:val="clear" w:pos="1701"/>
                <w:tab w:val="clear" w:pos="2268"/>
              </w:tabs>
              <w:ind w:right="1575"/>
              <w:jc w:val="right"/>
            </w:pPr>
            <w:r>
              <w:t>81 944</w:t>
            </w:r>
          </w:p>
        </w:tc>
      </w:tr>
      <w:tr w:rsidR="00000000">
        <w:tblPrEx>
          <w:tblCellMar>
            <w:top w:w="0" w:type="dxa"/>
            <w:bottom w:w="0" w:type="dxa"/>
          </w:tblCellMar>
        </w:tblPrEx>
        <w:tc>
          <w:tcPr>
            <w:tcW w:w="2994" w:type="dxa"/>
          </w:tcPr>
          <w:p w:rsidR="00000000" w:rsidRDefault="00000000">
            <w:pPr>
              <w:jc w:val="center"/>
            </w:pPr>
            <w:r>
              <w:t>1998</w:t>
            </w:r>
          </w:p>
        </w:tc>
        <w:tc>
          <w:tcPr>
            <w:tcW w:w="3738" w:type="dxa"/>
          </w:tcPr>
          <w:p w:rsidR="00000000" w:rsidRDefault="00000000">
            <w:pPr>
              <w:tabs>
                <w:tab w:val="clear" w:pos="1134"/>
                <w:tab w:val="clear" w:pos="1701"/>
                <w:tab w:val="clear" w:pos="2268"/>
              </w:tabs>
              <w:ind w:right="1575"/>
              <w:jc w:val="right"/>
            </w:pPr>
            <w:r>
              <w:t>101 094</w:t>
            </w:r>
          </w:p>
        </w:tc>
      </w:tr>
      <w:tr w:rsidR="00000000">
        <w:tblPrEx>
          <w:tblCellMar>
            <w:top w:w="0" w:type="dxa"/>
            <w:bottom w:w="0" w:type="dxa"/>
          </w:tblCellMar>
        </w:tblPrEx>
        <w:tc>
          <w:tcPr>
            <w:tcW w:w="2994" w:type="dxa"/>
          </w:tcPr>
          <w:p w:rsidR="00000000" w:rsidRDefault="00000000">
            <w:pPr>
              <w:jc w:val="center"/>
            </w:pPr>
            <w:r>
              <w:t>1999</w:t>
            </w:r>
          </w:p>
        </w:tc>
        <w:tc>
          <w:tcPr>
            <w:tcW w:w="3738" w:type="dxa"/>
          </w:tcPr>
          <w:p w:rsidR="00000000" w:rsidRDefault="00000000">
            <w:pPr>
              <w:tabs>
                <w:tab w:val="clear" w:pos="1134"/>
                <w:tab w:val="clear" w:pos="1701"/>
                <w:tab w:val="clear" w:pos="2268"/>
              </w:tabs>
              <w:ind w:right="1575"/>
              <w:jc w:val="right"/>
            </w:pPr>
            <w:r>
              <w:t>85 327</w:t>
            </w:r>
          </w:p>
        </w:tc>
      </w:tr>
      <w:tr w:rsidR="00000000">
        <w:tblPrEx>
          <w:tblCellMar>
            <w:top w:w="0" w:type="dxa"/>
            <w:bottom w:w="0" w:type="dxa"/>
          </w:tblCellMar>
        </w:tblPrEx>
        <w:tc>
          <w:tcPr>
            <w:tcW w:w="2994" w:type="dxa"/>
          </w:tcPr>
          <w:p w:rsidR="00000000" w:rsidRDefault="00000000">
            <w:pPr>
              <w:jc w:val="center"/>
            </w:pPr>
            <w:r>
              <w:t>Всего</w:t>
            </w:r>
          </w:p>
        </w:tc>
        <w:tc>
          <w:tcPr>
            <w:tcW w:w="3738" w:type="dxa"/>
          </w:tcPr>
          <w:p w:rsidR="00000000" w:rsidRDefault="00000000">
            <w:pPr>
              <w:tabs>
                <w:tab w:val="clear" w:pos="1134"/>
                <w:tab w:val="clear" w:pos="1701"/>
                <w:tab w:val="clear" w:pos="2268"/>
              </w:tabs>
              <w:ind w:right="1575"/>
              <w:jc w:val="right"/>
            </w:pPr>
            <w:r>
              <w:t>372 866*</w:t>
            </w:r>
          </w:p>
        </w:tc>
      </w:tr>
    </w:tbl>
    <w:p w:rsidR="00000000" w:rsidRDefault="00000000"/>
    <w:p w:rsidR="00000000" w:rsidRDefault="00000000">
      <w:r>
        <w:tab/>
        <w:t>*</w:t>
      </w:r>
      <w:r>
        <w:tab/>
        <w:t>Примерно 1 864 000 расселенных лиц.</w:t>
      </w:r>
    </w:p>
    <w:p w:rsidR="00000000" w:rsidRDefault="00000000"/>
    <w:p w:rsidR="00000000" w:rsidRDefault="00000000">
      <w:r>
        <w:t>419.</w:t>
      </w:r>
      <w:r>
        <w:tab/>
        <w:t>С 1 января по 20 декабря 1999 года правительство осуществило 2 723 проекта по расселению, которые показаны в таблице ниже:</w:t>
      </w:r>
    </w:p>
    <w:p w:rsidR="00000000" w:rsidRDefault="00000000"/>
    <w:p w:rsidR="00000000" w:rsidRDefault="00000000">
      <w:pPr>
        <w:pStyle w:val="16"/>
        <w:rPr>
          <w:b/>
          <w:bCs/>
        </w:rPr>
      </w:pPr>
      <w:r>
        <w:br w:type="page"/>
      </w:r>
      <w:r>
        <w:rPr>
          <w:b/>
          <w:bCs/>
        </w:rPr>
        <w:t>Таблица 48.   Проекты по расселению, 1995-1999 годы</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0"/>
        <w:gridCol w:w="1365"/>
        <w:gridCol w:w="1053"/>
        <w:gridCol w:w="1131"/>
        <w:gridCol w:w="936"/>
        <w:gridCol w:w="927"/>
        <w:gridCol w:w="1048"/>
      </w:tblGrid>
      <w:tr w:rsidR="00000000">
        <w:tblPrEx>
          <w:tblCellMar>
            <w:top w:w="0" w:type="dxa"/>
            <w:bottom w:w="0" w:type="dxa"/>
          </w:tblCellMar>
        </w:tblPrEx>
        <w:tc>
          <w:tcPr>
            <w:tcW w:w="3111" w:type="dxa"/>
          </w:tcPr>
          <w:p w:rsidR="00000000" w:rsidRDefault="00000000">
            <w:pPr>
              <w:jc w:val="center"/>
            </w:pPr>
            <w:r>
              <w:t>Год</w:t>
            </w:r>
          </w:p>
        </w:tc>
        <w:tc>
          <w:tcPr>
            <w:tcW w:w="1365" w:type="dxa"/>
          </w:tcPr>
          <w:p w:rsidR="00000000" w:rsidRDefault="00000000">
            <w:pPr>
              <w:pStyle w:val="16"/>
            </w:pPr>
            <w:r>
              <w:t>1995</w:t>
            </w:r>
          </w:p>
        </w:tc>
        <w:tc>
          <w:tcPr>
            <w:tcW w:w="1053" w:type="dxa"/>
          </w:tcPr>
          <w:p w:rsidR="00000000" w:rsidRDefault="00000000">
            <w:pPr>
              <w:jc w:val="center"/>
            </w:pPr>
            <w:r>
              <w:t>1996</w:t>
            </w:r>
          </w:p>
        </w:tc>
        <w:tc>
          <w:tcPr>
            <w:tcW w:w="1131" w:type="dxa"/>
          </w:tcPr>
          <w:p w:rsidR="00000000" w:rsidRDefault="00000000">
            <w:pPr>
              <w:jc w:val="center"/>
            </w:pPr>
            <w:r>
              <w:t>1997</w:t>
            </w:r>
          </w:p>
        </w:tc>
        <w:tc>
          <w:tcPr>
            <w:tcW w:w="936" w:type="dxa"/>
          </w:tcPr>
          <w:p w:rsidR="00000000" w:rsidRDefault="00000000">
            <w:pPr>
              <w:jc w:val="center"/>
            </w:pPr>
            <w:r>
              <w:t>1998</w:t>
            </w:r>
          </w:p>
        </w:tc>
        <w:tc>
          <w:tcPr>
            <w:tcW w:w="927" w:type="dxa"/>
          </w:tcPr>
          <w:p w:rsidR="00000000" w:rsidRDefault="00000000">
            <w:pPr>
              <w:jc w:val="center"/>
            </w:pPr>
            <w:r>
              <w:t>1999</w:t>
            </w:r>
          </w:p>
        </w:tc>
        <w:tc>
          <w:tcPr>
            <w:tcW w:w="1048" w:type="dxa"/>
          </w:tcPr>
          <w:p w:rsidR="00000000" w:rsidRDefault="00000000">
            <w:pPr>
              <w:jc w:val="center"/>
            </w:pPr>
            <w:r>
              <w:t>Всего</w:t>
            </w:r>
          </w:p>
        </w:tc>
      </w:tr>
      <w:tr w:rsidR="00000000">
        <w:tblPrEx>
          <w:tblCellMar>
            <w:top w:w="0" w:type="dxa"/>
            <w:bottom w:w="0" w:type="dxa"/>
          </w:tblCellMar>
        </w:tblPrEx>
        <w:tc>
          <w:tcPr>
            <w:tcW w:w="3111" w:type="dxa"/>
          </w:tcPr>
          <w:p w:rsidR="00000000" w:rsidRDefault="00000000">
            <w:r>
              <w:t>Осуществленные проекты</w:t>
            </w:r>
          </w:p>
        </w:tc>
        <w:tc>
          <w:tcPr>
            <w:tcW w:w="1365" w:type="dxa"/>
          </w:tcPr>
          <w:p w:rsidR="00000000" w:rsidRDefault="00000000">
            <w:pPr>
              <w:pStyle w:val="16"/>
            </w:pPr>
            <w:r>
              <w:t>314</w:t>
            </w:r>
          </w:p>
        </w:tc>
        <w:tc>
          <w:tcPr>
            <w:tcW w:w="1053" w:type="dxa"/>
          </w:tcPr>
          <w:p w:rsidR="00000000" w:rsidRDefault="00000000">
            <w:pPr>
              <w:pStyle w:val="FootnoteText"/>
              <w:spacing w:line="288" w:lineRule="auto"/>
              <w:jc w:val="center"/>
            </w:pPr>
            <w:r>
              <w:t>433</w:t>
            </w:r>
          </w:p>
        </w:tc>
        <w:tc>
          <w:tcPr>
            <w:tcW w:w="1131" w:type="dxa"/>
          </w:tcPr>
          <w:p w:rsidR="00000000" w:rsidRDefault="00000000">
            <w:pPr>
              <w:jc w:val="center"/>
            </w:pPr>
            <w:r>
              <w:t>637</w:t>
            </w:r>
          </w:p>
        </w:tc>
        <w:tc>
          <w:tcPr>
            <w:tcW w:w="936" w:type="dxa"/>
          </w:tcPr>
          <w:p w:rsidR="00000000" w:rsidRDefault="00000000">
            <w:pPr>
              <w:jc w:val="center"/>
            </w:pPr>
            <w:r>
              <w:t>850</w:t>
            </w:r>
          </w:p>
        </w:tc>
        <w:tc>
          <w:tcPr>
            <w:tcW w:w="927" w:type="dxa"/>
          </w:tcPr>
          <w:p w:rsidR="00000000" w:rsidRDefault="00000000">
            <w:pPr>
              <w:jc w:val="center"/>
            </w:pPr>
            <w:r>
              <w:t>489</w:t>
            </w:r>
          </w:p>
        </w:tc>
        <w:tc>
          <w:tcPr>
            <w:tcW w:w="1048" w:type="dxa"/>
          </w:tcPr>
          <w:p w:rsidR="00000000" w:rsidRDefault="00000000">
            <w:pPr>
              <w:jc w:val="center"/>
            </w:pPr>
            <w:r>
              <w:t>2 723</w:t>
            </w:r>
          </w:p>
        </w:tc>
      </w:tr>
    </w:tbl>
    <w:p w:rsidR="00000000" w:rsidRDefault="00000000"/>
    <w:p w:rsidR="00000000" w:rsidRDefault="00000000">
      <w:r>
        <w:t>420.</w:t>
      </w:r>
      <w:r>
        <w:tab/>
        <w:t>С момента вступления в силу Закона о земле в 1964 году до инаугурации президента Кардозу 1 января 1995 года было осуществлено не более 800 проектов по расселению, которые предшествовали нынешним проектам.</w:t>
      </w:r>
    </w:p>
    <w:p w:rsidR="00000000" w:rsidRDefault="00000000"/>
    <w:p w:rsidR="00000000" w:rsidRDefault="00000000">
      <w:r>
        <w:t>421.</w:t>
      </w:r>
      <w:r>
        <w:tab/>
        <w:t>С 1 января 1995 года по 20 декабря 1999 года для проведения аграрной реформы было выделено 13 204 789 гектаров земли.  Экспроприация земли является главным средством правительства для выделения земель под расселение сельских производителей.  С 1 января 1995 года по 17 декабря 1999 года было экспроприировано 8 785 114 гектаров, из которых 1 463 844 гектара были экспроприированы в период с 1 января по 17 декабря 1999 года.</w:t>
      </w:r>
    </w:p>
    <w:p w:rsidR="00000000" w:rsidRDefault="00000000"/>
    <w:p w:rsidR="00000000" w:rsidRDefault="00000000">
      <w:r>
        <w:t>422.</w:t>
      </w:r>
      <w:r>
        <w:tab/>
        <w:t>В период с 1 января по 20 декабря 1999 года Федерацией в качестве пожертвований было выделено 355 432 гектара.</w:t>
      </w:r>
    </w:p>
    <w:p w:rsidR="00000000" w:rsidRDefault="00000000"/>
    <w:p w:rsidR="00000000" w:rsidRDefault="00000000">
      <w:pPr>
        <w:pStyle w:val="16"/>
        <w:rPr>
          <w:b/>
          <w:bCs/>
        </w:rPr>
      </w:pPr>
      <w:r>
        <w:rPr>
          <w:b/>
          <w:bCs/>
        </w:rPr>
        <w:t>Таблица 49.   Экспроприированные земельные площади, 1985-1999 годы</w:t>
      </w:r>
    </w:p>
    <w:p w:rsidR="00000000" w:rsidRDefault="00000000">
      <w:pPr>
        <w:pStyle w:val="16"/>
      </w:pPr>
    </w:p>
    <w:tbl>
      <w:tblPr>
        <w:tblW w:w="0" w:type="auto"/>
        <w:tblInd w:w="1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4"/>
        <w:gridCol w:w="3551"/>
      </w:tblGrid>
      <w:tr w:rsidR="00000000">
        <w:tblPrEx>
          <w:tblCellMar>
            <w:top w:w="0" w:type="dxa"/>
            <w:bottom w:w="0" w:type="dxa"/>
          </w:tblCellMar>
        </w:tblPrEx>
        <w:tc>
          <w:tcPr>
            <w:tcW w:w="2994" w:type="dxa"/>
          </w:tcPr>
          <w:p w:rsidR="00000000" w:rsidRDefault="00000000">
            <w:pPr>
              <w:pStyle w:val="16"/>
            </w:pPr>
            <w:r>
              <w:t>Год</w:t>
            </w:r>
          </w:p>
        </w:tc>
        <w:tc>
          <w:tcPr>
            <w:tcW w:w="3551" w:type="dxa"/>
          </w:tcPr>
          <w:p w:rsidR="00000000" w:rsidRDefault="00000000">
            <w:pPr>
              <w:pStyle w:val="16"/>
            </w:pPr>
            <w:r>
              <w:t>Экспроприированные площади (в га)</w:t>
            </w:r>
          </w:p>
        </w:tc>
      </w:tr>
      <w:tr w:rsidR="00000000">
        <w:tblPrEx>
          <w:tblCellMar>
            <w:top w:w="0" w:type="dxa"/>
            <w:bottom w:w="0" w:type="dxa"/>
          </w:tblCellMar>
        </w:tblPrEx>
        <w:tc>
          <w:tcPr>
            <w:tcW w:w="2994" w:type="dxa"/>
          </w:tcPr>
          <w:p w:rsidR="00000000" w:rsidRDefault="00000000">
            <w:pPr>
              <w:pStyle w:val="16"/>
            </w:pPr>
            <w:r>
              <w:t>1985-1989</w:t>
            </w:r>
          </w:p>
        </w:tc>
        <w:tc>
          <w:tcPr>
            <w:tcW w:w="3551" w:type="dxa"/>
          </w:tcPr>
          <w:p w:rsidR="00000000" w:rsidRDefault="00000000">
            <w:pPr>
              <w:pStyle w:val="16"/>
            </w:pPr>
            <w:r>
              <w:t>4 191 147</w:t>
            </w:r>
          </w:p>
        </w:tc>
      </w:tr>
      <w:tr w:rsidR="00000000">
        <w:tblPrEx>
          <w:tblCellMar>
            <w:top w:w="0" w:type="dxa"/>
            <w:bottom w:w="0" w:type="dxa"/>
          </w:tblCellMar>
        </w:tblPrEx>
        <w:tc>
          <w:tcPr>
            <w:tcW w:w="2994" w:type="dxa"/>
          </w:tcPr>
          <w:p w:rsidR="00000000" w:rsidRDefault="00000000">
            <w:pPr>
              <w:pStyle w:val="16"/>
            </w:pPr>
            <w:r>
              <w:t>1990-1993</w:t>
            </w:r>
          </w:p>
        </w:tc>
        <w:tc>
          <w:tcPr>
            <w:tcW w:w="3551" w:type="dxa"/>
          </w:tcPr>
          <w:p w:rsidR="00000000" w:rsidRDefault="00000000">
            <w:pPr>
              <w:pStyle w:val="16"/>
            </w:pPr>
            <w:r>
              <w:t>2 775 282</w:t>
            </w:r>
          </w:p>
        </w:tc>
      </w:tr>
      <w:tr w:rsidR="00000000">
        <w:tblPrEx>
          <w:tblCellMar>
            <w:top w:w="0" w:type="dxa"/>
            <w:bottom w:w="0" w:type="dxa"/>
          </w:tblCellMar>
        </w:tblPrEx>
        <w:tc>
          <w:tcPr>
            <w:tcW w:w="2994" w:type="dxa"/>
          </w:tcPr>
          <w:p w:rsidR="00000000" w:rsidRDefault="00000000">
            <w:pPr>
              <w:pStyle w:val="16"/>
            </w:pPr>
            <w:r>
              <w:t>1993-1994</w:t>
            </w:r>
          </w:p>
        </w:tc>
        <w:tc>
          <w:tcPr>
            <w:tcW w:w="3551" w:type="dxa"/>
          </w:tcPr>
          <w:p w:rsidR="00000000" w:rsidRDefault="00000000">
            <w:pPr>
              <w:pStyle w:val="16"/>
            </w:pPr>
            <w:r>
              <w:t>1 086 546</w:t>
            </w:r>
          </w:p>
        </w:tc>
      </w:tr>
      <w:tr w:rsidR="00000000">
        <w:tblPrEx>
          <w:tblCellMar>
            <w:top w:w="0" w:type="dxa"/>
            <w:bottom w:w="0" w:type="dxa"/>
          </w:tblCellMar>
        </w:tblPrEx>
        <w:tc>
          <w:tcPr>
            <w:tcW w:w="2994" w:type="dxa"/>
          </w:tcPr>
          <w:p w:rsidR="00000000" w:rsidRDefault="00000000">
            <w:pPr>
              <w:pStyle w:val="16"/>
            </w:pPr>
            <w:r>
              <w:t>1995-1998</w:t>
            </w:r>
          </w:p>
        </w:tc>
        <w:tc>
          <w:tcPr>
            <w:tcW w:w="3551" w:type="dxa"/>
          </w:tcPr>
          <w:p w:rsidR="00000000" w:rsidRDefault="00000000">
            <w:pPr>
              <w:pStyle w:val="16"/>
            </w:pPr>
            <w:r>
              <w:t>7 321 270</w:t>
            </w:r>
          </w:p>
        </w:tc>
      </w:tr>
      <w:tr w:rsidR="00000000">
        <w:tblPrEx>
          <w:tblCellMar>
            <w:top w:w="0" w:type="dxa"/>
            <w:bottom w:w="0" w:type="dxa"/>
          </w:tblCellMar>
        </w:tblPrEx>
        <w:tc>
          <w:tcPr>
            <w:tcW w:w="2994" w:type="dxa"/>
          </w:tcPr>
          <w:p w:rsidR="00000000" w:rsidRDefault="00000000">
            <w:pPr>
              <w:pStyle w:val="16"/>
            </w:pPr>
            <w:r>
              <w:t>1999</w:t>
            </w:r>
          </w:p>
        </w:tc>
        <w:tc>
          <w:tcPr>
            <w:tcW w:w="3551" w:type="dxa"/>
          </w:tcPr>
          <w:p w:rsidR="00000000" w:rsidRDefault="00000000">
            <w:pPr>
              <w:pStyle w:val="16"/>
            </w:pPr>
            <w:r>
              <w:t>1 463 844</w:t>
            </w:r>
          </w:p>
        </w:tc>
      </w:tr>
      <w:tr w:rsidR="00000000">
        <w:tblPrEx>
          <w:tblCellMar>
            <w:top w:w="0" w:type="dxa"/>
            <w:bottom w:w="0" w:type="dxa"/>
          </w:tblCellMar>
        </w:tblPrEx>
        <w:tc>
          <w:tcPr>
            <w:tcW w:w="2994" w:type="dxa"/>
          </w:tcPr>
          <w:p w:rsidR="00000000" w:rsidRDefault="00000000">
            <w:pPr>
              <w:pStyle w:val="16"/>
            </w:pPr>
            <w:r>
              <w:t>1995-1999</w:t>
            </w:r>
          </w:p>
        </w:tc>
        <w:tc>
          <w:tcPr>
            <w:tcW w:w="3551" w:type="dxa"/>
          </w:tcPr>
          <w:p w:rsidR="00000000" w:rsidRDefault="00000000">
            <w:pPr>
              <w:pStyle w:val="16"/>
            </w:pPr>
            <w:r>
              <w:t>8 785 114</w:t>
            </w:r>
          </w:p>
        </w:tc>
      </w:tr>
    </w:tbl>
    <w:p w:rsidR="00000000" w:rsidRDefault="00000000">
      <w:pPr>
        <w:pStyle w:val="16"/>
        <w:jc w:val="left"/>
      </w:pPr>
    </w:p>
    <w:p w:rsidR="00000000" w:rsidRDefault="00000000">
      <w:pPr>
        <w:pStyle w:val="16"/>
        <w:jc w:val="left"/>
      </w:pPr>
      <w:r>
        <w:t>423.</w:t>
      </w:r>
      <w:r>
        <w:tab/>
        <w:t>Результаты исследований по проблемам землевладения, проведенные Национальным институтом по вопросам расселения и аграрной реформы (НИРАР) показывают, что общая стоимость сельского семейного владения в текущих ценах составляла в 1995 году 19 412,74 реала.  В настоящее время она снизилась до 8 294,83 реала, т.е. сократилась на 50%.  В 1995 году средняя стоимость одного гектара земли составляла 382,67 реала по сравнению с 264,75 реала сегодня.</w:t>
      </w:r>
    </w:p>
    <w:p w:rsidR="00000000" w:rsidRDefault="00000000">
      <w:pPr>
        <w:pStyle w:val="16"/>
        <w:jc w:val="left"/>
      </w:pPr>
    </w:p>
    <w:p w:rsidR="00000000" w:rsidRDefault="00000000">
      <w:pPr>
        <w:pStyle w:val="16"/>
        <w:jc w:val="left"/>
      </w:pPr>
      <w:r>
        <w:t>424.</w:t>
      </w:r>
      <w:r>
        <w:tab/>
        <w:t>В двух сравнительных таблицах ниже показана общая стоимость сельского владения в расчете на семью и общая стоимость сельского владения в расчете на гектар в период 1995-1999 годов.</w:t>
      </w:r>
    </w:p>
    <w:p w:rsidR="00000000" w:rsidRDefault="00000000">
      <w:pPr>
        <w:pStyle w:val="16"/>
        <w:jc w:val="left"/>
      </w:pPr>
    </w:p>
    <w:p w:rsidR="00000000" w:rsidRDefault="00000000">
      <w:pPr>
        <w:pStyle w:val="16"/>
        <w:rPr>
          <w:b/>
          <w:bCs/>
        </w:rPr>
      </w:pPr>
      <w:r>
        <w:rPr>
          <w:b/>
          <w:bCs/>
        </w:rPr>
        <w:t>Таблица 50.   Общая стоимость сельского владения</w:t>
      </w:r>
    </w:p>
    <w:p w:rsidR="00000000" w:rsidRDefault="00000000">
      <w:pPr>
        <w:pStyle w:val="16"/>
      </w:pPr>
    </w:p>
    <w:p w:rsidR="00000000" w:rsidRDefault="00000000">
      <w:pPr>
        <w:pStyle w:val="16"/>
      </w:pPr>
      <w:r>
        <w:t>А.</w:t>
      </w:r>
      <w:r>
        <w:tab/>
        <w:t>В расчете на семью</w:t>
      </w:r>
    </w:p>
    <w:p w:rsidR="00000000" w:rsidRDefault="00000000">
      <w:pPr>
        <w:pStyle w:val="16"/>
      </w:pPr>
    </w:p>
    <w:tbl>
      <w:tblPr>
        <w:tblW w:w="0" w:type="auto"/>
        <w:tblInd w:w="1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4"/>
        <w:gridCol w:w="3551"/>
      </w:tblGrid>
      <w:tr w:rsidR="00000000">
        <w:tblPrEx>
          <w:tblCellMar>
            <w:top w:w="0" w:type="dxa"/>
            <w:bottom w:w="0" w:type="dxa"/>
          </w:tblCellMar>
        </w:tblPrEx>
        <w:tc>
          <w:tcPr>
            <w:tcW w:w="2994" w:type="dxa"/>
          </w:tcPr>
          <w:p w:rsidR="00000000" w:rsidRDefault="00000000">
            <w:pPr>
              <w:pStyle w:val="16"/>
            </w:pPr>
            <w:r>
              <w:t>Год</w:t>
            </w:r>
          </w:p>
        </w:tc>
        <w:tc>
          <w:tcPr>
            <w:tcW w:w="3551" w:type="dxa"/>
          </w:tcPr>
          <w:p w:rsidR="00000000" w:rsidRDefault="00000000">
            <w:pPr>
              <w:pStyle w:val="16"/>
            </w:pPr>
            <w:r>
              <w:t>Реалов на семью</w:t>
            </w:r>
          </w:p>
        </w:tc>
      </w:tr>
      <w:tr w:rsidR="00000000">
        <w:tblPrEx>
          <w:tblCellMar>
            <w:top w:w="0" w:type="dxa"/>
            <w:bottom w:w="0" w:type="dxa"/>
          </w:tblCellMar>
        </w:tblPrEx>
        <w:tc>
          <w:tcPr>
            <w:tcW w:w="2994" w:type="dxa"/>
          </w:tcPr>
          <w:p w:rsidR="00000000" w:rsidRDefault="00000000">
            <w:pPr>
              <w:pStyle w:val="16"/>
            </w:pPr>
            <w:r>
              <w:t>1995</w:t>
            </w:r>
          </w:p>
        </w:tc>
        <w:tc>
          <w:tcPr>
            <w:tcW w:w="3551" w:type="dxa"/>
          </w:tcPr>
          <w:p w:rsidR="00000000" w:rsidRDefault="00000000">
            <w:pPr>
              <w:pStyle w:val="16"/>
            </w:pPr>
            <w:r>
              <w:t>19 412,74</w:t>
            </w:r>
          </w:p>
        </w:tc>
      </w:tr>
      <w:tr w:rsidR="00000000">
        <w:tblPrEx>
          <w:tblCellMar>
            <w:top w:w="0" w:type="dxa"/>
            <w:bottom w:w="0" w:type="dxa"/>
          </w:tblCellMar>
        </w:tblPrEx>
        <w:tc>
          <w:tcPr>
            <w:tcW w:w="2994" w:type="dxa"/>
          </w:tcPr>
          <w:p w:rsidR="00000000" w:rsidRDefault="00000000">
            <w:pPr>
              <w:pStyle w:val="16"/>
            </w:pPr>
            <w:r>
              <w:t>1996</w:t>
            </w:r>
          </w:p>
        </w:tc>
        <w:tc>
          <w:tcPr>
            <w:tcW w:w="3551" w:type="dxa"/>
          </w:tcPr>
          <w:p w:rsidR="00000000" w:rsidRDefault="00000000">
            <w:pPr>
              <w:pStyle w:val="16"/>
            </w:pPr>
            <w:r>
              <w:t>16 385,04</w:t>
            </w:r>
          </w:p>
        </w:tc>
      </w:tr>
      <w:tr w:rsidR="00000000">
        <w:tblPrEx>
          <w:tblCellMar>
            <w:top w:w="0" w:type="dxa"/>
            <w:bottom w:w="0" w:type="dxa"/>
          </w:tblCellMar>
        </w:tblPrEx>
        <w:tc>
          <w:tcPr>
            <w:tcW w:w="2994" w:type="dxa"/>
          </w:tcPr>
          <w:p w:rsidR="00000000" w:rsidRDefault="00000000">
            <w:pPr>
              <w:pStyle w:val="16"/>
            </w:pPr>
            <w:r>
              <w:t>1997</w:t>
            </w:r>
          </w:p>
        </w:tc>
        <w:tc>
          <w:tcPr>
            <w:tcW w:w="3551" w:type="dxa"/>
          </w:tcPr>
          <w:p w:rsidR="00000000" w:rsidRDefault="00000000">
            <w:pPr>
              <w:pStyle w:val="16"/>
            </w:pPr>
            <w:r>
              <w:t>14 614,59</w:t>
            </w:r>
          </w:p>
        </w:tc>
      </w:tr>
      <w:tr w:rsidR="00000000">
        <w:tblPrEx>
          <w:tblCellMar>
            <w:top w:w="0" w:type="dxa"/>
            <w:bottom w:w="0" w:type="dxa"/>
          </w:tblCellMar>
        </w:tblPrEx>
        <w:tc>
          <w:tcPr>
            <w:tcW w:w="2994" w:type="dxa"/>
          </w:tcPr>
          <w:p w:rsidR="00000000" w:rsidRDefault="00000000">
            <w:pPr>
              <w:pStyle w:val="16"/>
            </w:pPr>
            <w:r>
              <w:t>1998</w:t>
            </w:r>
          </w:p>
        </w:tc>
        <w:tc>
          <w:tcPr>
            <w:tcW w:w="3551" w:type="dxa"/>
          </w:tcPr>
          <w:p w:rsidR="00000000" w:rsidRDefault="00000000">
            <w:pPr>
              <w:pStyle w:val="16"/>
            </w:pPr>
            <w:r>
              <w:t>10 116,34</w:t>
            </w:r>
          </w:p>
        </w:tc>
      </w:tr>
      <w:tr w:rsidR="00000000">
        <w:tblPrEx>
          <w:tblCellMar>
            <w:top w:w="0" w:type="dxa"/>
            <w:bottom w:w="0" w:type="dxa"/>
          </w:tblCellMar>
        </w:tblPrEx>
        <w:tc>
          <w:tcPr>
            <w:tcW w:w="2994" w:type="dxa"/>
          </w:tcPr>
          <w:p w:rsidR="00000000" w:rsidRDefault="00000000">
            <w:pPr>
              <w:pStyle w:val="16"/>
            </w:pPr>
            <w:r>
              <w:t>1999</w:t>
            </w:r>
          </w:p>
        </w:tc>
        <w:tc>
          <w:tcPr>
            <w:tcW w:w="3551" w:type="dxa"/>
          </w:tcPr>
          <w:p w:rsidR="00000000" w:rsidRDefault="00000000">
            <w:pPr>
              <w:pStyle w:val="16"/>
            </w:pPr>
            <w:r>
              <w:t>8 294,83</w:t>
            </w:r>
          </w:p>
        </w:tc>
      </w:tr>
    </w:tbl>
    <w:p w:rsidR="00000000" w:rsidRDefault="00000000">
      <w:pPr>
        <w:pStyle w:val="16"/>
        <w:jc w:val="left"/>
      </w:pPr>
    </w:p>
    <w:p w:rsidR="00000000" w:rsidRDefault="00000000">
      <w:pPr>
        <w:pStyle w:val="16"/>
      </w:pPr>
      <w:r>
        <w:t>В.</w:t>
      </w:r>
      <w:r>
        <w:tab/>
        <w:t>В расчете на гектар</w:t>
      </w:r>
    </w:p>
    <w:p w:rsidR="00000000" w:rsidRDefault="00000000">
      <w:pPr>
        <w:pStyle w:val="16"/>
      </w:pPr>
    </w:p>
    <w:tbl>
      <w:tblPr>
        <w:tblW w:w="0" w:type="auto"/>
        <w:tblInd w:w="1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94"/>
        <w:gridCol w:w="3551"/>
      </w:tblGrid>
      <w:tr w:rsidR="00000000">
        <w:tblPrEx>
          <w:tblCellMar>
            <w:top w:w="0" w:type="dxa"/>
            <w:bottom w:w="0" w:type="dxa"/>
          </w:tblCellMar>
        </w:tblPrEx>
        <w:tc>
          <w:tcPr>
            <w:tcW w:w="2994" w:type="dxa"/>
          </w:tcPr>
          <w:p w:rsidR="00000000" w:rsidRDefault="00000000">
            <w:pPr>
              <w:pStyle w:val="16"/>
            </w:pPr>
            <w:r>
              <w:t>Год</w:t>
            </w:r>
          </w:p>
        </w:tc>
        <w:tc>
          <w:tcPr>
            <w:tcW w:w="3551" w:type="dxa"/>
          </w:tcPr>
          <w:p w:rsidR="00000000" w:rsidRDefault="00000000">
            <w:pPr>
              <w:pStyle w:val="16"/>
            </w:pPr>
            <w:r>
              <w:t>Реалов на гектар</w:t>
            </w:r>
          </w:p>
        </w:tc>
      </w:tr>
      <w:tr w:rsidR="00000000">
        <w:tblPrEx>
          <w:tblCellMar>
            <w:top w:w="0" w:type="dxa"/>
            <w:bottom w:w="0" w:type="dxa"/>
          </w:tblCellMar>
        </w:tblPrEx>
        <w:tc>
          <w:tcPr>
            <w:tcW w:w="2994" w:type="dxa"/>
          </w:tcPr>
          <w:p w:rsidR="00000000" w:rsidRDefault="00000000">
            <w:pPr>
              <w:pStyle w:val="16"/>
            </w:pPr>
            <w:r>
              <w:t>1995</w:t>
            </w:r>
          </w:p>
        </w:tc>
        <w:tc>
          <w:tcPr>
            <w:tcW w:w="3551" w:type="dxa"/>
          </w:tcPr>
          <w:p w:rsidR="00000000" w:rsidRDefault="00000000">
            <w:pPr>
              <w:pStyle w:val="16"/>
            </w:pPr>
            <w:r>
              <w:t>382,67</w:t>
            </w:r>
          </w:p>
        </w:tc>
      </w:tr>
      <w:tr w:rsidR="00000000">
        <w:tblPrEx>
          <w:tblCellMar>
            <w:top w:w="0" w:type="dxa"/>
            <w:bottom w:w="0" w:type="dxa"/>
          </w:tblCellMar>
        </w:tblPrEx>
        <w:tc>
          <w:tcPr>
            <w:tcW w:w="2994" w:type="dxa"/>
          </w:tcPr>
          <w:p w:rsidR="00000000" w:rsidRDefault="00000000">
            <w:pPr>
              <w:pStyle w:val="16"/>
            </w:pPr>
            <w:r>
              <w:t>1996</w:t>
            </w:r>
          </w:p>
        </w:tc>
        <w:tc>
          <w:tcPr>
            <w:tcW w:w="3551" w:type="dxa"/>
          </w:tcPr>
          <w:p w:rsidR="00000000" w:rsidRDefault="00000000">
            <w:pPr>
              <w:pStyle w:val="16"/>
            </w:pPr>
            <w:r>
              <w:t>343,21</w:t>
            </w:r>
          </w:p>
        </w:tc>
      </w:tr>
      <w:tr w:rsidR="00000000">
        <w:tblPrEx>
          <w:tblCellMar>
            <w:top w:w="0" w:type="dxa"/>
            <w:bottom w:w="0" w:type="dxa"/>
          </w:tblCellMar>
        </w:tblPrEx>
        <w:tc>
          <w:tcPr>
            <w:tcW w:w="2994" w:type="dxa"/>
          </w:tcPr>
          <w:p w:rsidR="00000000" w:rsidRDefault="00000000">
            <w:pPr>
              <w:pStyle w:val="16"/>
            </w:pPr>
            <w:r>
              <w:t>1997</w:t>
            </w:r>
          </w:p>
        </w:tc>
        <w:tc>
          <w:tcPr>
            <w:tcW w:w="3551" w:type="dxa"/>
          </w:tcPr>
          <w:p w:rsidR="00000000" w:rsidRDefault="00000000">
            <w:pPr>
              <w:pStyle w:val="16"/>
            </w:pPr>
            <w:r>
              <w:t>292,23</w:t>
            </w:r>
          </w:p>
        </w:tc>
      </w:tr>
      <w:tr w:rsidR="00000000">
        <w:tblPrEx>
          <w:tblCellMar>
            <w:top w:w="0" w:type="dxa"/>
            <w:bottom w:w="0" w:type="dxa"/>
          </w:tblCellMar>
        </w:tblPrEx>
        <w:tc>
          <w:tcPr>
            <w:tcW w:w="2994" w:type="dxa"/>
          </w:tcPr>
          <w:p w:rsidR="00000000" w:rsidRDefault="00000000">
            <w:pPr>
              <w:pStyle w:val="16"/>
            </w:pPr>
            <w:r>
              <w:t>1998</w:t>
            </w:r>
          </w:p>
        </w:tc>
        <w:tc>
          <w:tcPr>
            <w:tcW w:w="3551" w:type="dxa"/>
          </w:tcPr>
          <w:p w:rsidR="00000000" w:rsidRDefault="00000000">
            <w:pPr>
              <w:pStyle w:val="16"/>
            </w:pPr>
            <w:r>
              <w:t>287,49</w:t>
            </w:r>
          </w:p>
        </w:tc>
      </w:tr>
      <w:tr w:rsidR="00000000">
        <w:tblPrEx>
          <w:tblCellMar>
            <w:top w:w="0" w:type="dxa"/>
            <w:bottom w:w="0" w:type="dxa"/>
          </w:tblCellMar>
        </w:tblPrEx>
        <w:tc>
          <w:tcPr>
            <w:tcW w:w="2994" w:type="dxa"/>
          </w:tcPr>
          <w:p w:rsidR="00000000" w:rsidRDefault="00000000">
            <w:pPr>
              <w:pStyle w:val="16"/>
            </w:pPr>
            <w:r>
              <w:t>1999</w:t>
            </w:r>
          </w:p>
        </w:tc>
        <w:tc>
          <w:tcPr>
            <w:tcW w:w="3551" w:type="dxa"/>
          </w:tcPr>
          <w:p w:rsidR="00000000" w:rsidRDefault="00000000">
            <w:pPr>
              <w:pStyle w:val="16"/>
            </w:pPr>
            <w:r>
              <w:t>264,75</w:t>
            </w:r>
          </w:p>
        </w:tc>
      </w:tr>
    </w:tbl>
    <w:p w:rsidR="00000000" w:rsidRDefault="00000000">
      <w:pPr>
        <w:pStyle w:val="16"/>
        <w:jc w:val="left"/>
      </w:pPr>
    </w:p>
    <w:p w:rsidR="00000000" w:rsidRDefault="00000000">
      <w:pPr>
        <w:pStyle w:val="16"/>
        <w:jc w:val="left"/>
      </w:pPr>
      <w:r>
        <w:t>425.</w:t>
      </w:r>
      <w:r>
        <w:tab/>
        <w:t>Показатель агрономического качества почв (находящийся в диапазоне от 0 до 1) земель, экспроприированных для аграрной реформы, увеличился с 0,4% в 1998 году до 0,5% в 1999 году.</w:t>
      </w:r>
    </w:p>
    <w:p w:rsidR="00000000" w:rsidRDefault="00000000">
      <w:pPr>
        <w:pStyle w:val="16"/>
        <w:jc w:val="left"/>
      </w:pPr>
    </w:p>
    <w:p w:rsidR="00000000" w:rsidRDefault="00000000">
      <w:pPr>
        <w:pStyle w:val="16"/>
        <w:jc w:val="left"/>
      </w:pPr>
      <w:r>
        <w:t>426.</w:t>
      </w:r>
      <w:r>
        <w:tab/>
        <w:t>В период 1995-1998 годов на цели создания основной инфраструктуры поселений в рамках аграрной реформы было израсходовано 301 767 447 реалов.  К декабрю 1999 года на инфраструктуру было в целом затрачено 150,6 млрд. реалов.  С января по 20 декабря 1999 года в рамках различных проектов было построено 3 382 км дорог на сумму 25,5 млн. реалов;  в сельской местности было проложено 1 073 км линий электропередач на сумму 1,7 млн. реалов;  было выкопано 204 колодца на сумму 4,2 млн. реалов;  смонтировано 19 водонапорных установок на сумму 216 500 реалов и построено 79 водохранилищ.</w:t>
      </w:r>
    </w:p>
    <w:p w:rsidR="00000000" w:rsidRDefault="00000000">
      <w:pPr>
        <w:pStyle w:val="16"/>
        <w:jc w:val="left"/>
      </w:pPr>
    </w:p>
    <w:p w:rsidR="00000000" w:rsidRDefault="00000000">
      <w:pPr>
        <w:pStyle w:val="16"/>
        <w:jc w:val="left"/>
      </w:pPr>
      <w:r>
        <w:t>427.</w:t>
      </w:r>
      <w:r>
        <w:tab/>
        <w:t>Ниже приводится перечень других капиталовложений в инфраструктуру в период 1995-1999 годов: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1" w:type="dxa"/>
            <w:tcBorders>
              <w:bottom w:val="single" w:sz="4" w:space="0" w:color="auto"/>
            </w:tcBorders>
          </w:tcPr>
          <w:p w:rsidR="00000000" w:rsidRDefault="00000000">
            <w:pPr>
              <w:pStyle w:val="16"/>
              <w:jc w:val="left"/>
            </w:pPr>
            <w:r>
              <w:tab/>
              <w:t>Объекты</w:t>
            </w:r>
            <w:r>
              <w:tab/>
            </w:r>
            <w:r>
              <w:tab/>
            </w:r>
            <w:r>
              <w:tab/>
              <w:t>Затраты (в реалах)</w:t>
            </w:r>
          </w:p>
        </w:tc>
      </w:tr>
      <w:tr w:rsidR="00000000">
        <w:tblPrEx>
          <w:tblCellMar>
            <w:top w:w="0" w:type="dxa"/>
            <w:bottom w:w="0" w:type="dxa"/>
          </w:tblCellMar>
        </w:tblPrEx>
        <w:tc>
          <w:tcPr>
            <w:tcW w:w="9571" w:type="dxa"/>
            <w:tcBorders>
              <w:top w:val="single" w:sz="4" w:space="0" w:color="auto"/>
              <w:left w:val="single" w:sz="4" w:space="0" w:color="auto"/>
              <w:bottom w:val="nil"/>
              <w:right w:val="single" w:sz="4" w:space="0" w:color="auto"/>
            </w:tcBorders>
          </w:tcPr>
          <w:p w:rsidR="00000000" w:rsidRDefault="00000000">
            <w:pPr>
              <w:pStyle w:val="16"/>
              <w:jc w:val="left"/>
            </w:pPr>
            <w:r>
              <w:t>736 водохранилищ</w:t>
            </w:r>
            <w:r>
              <w:tab/>
            </w:r>
            <w:r>
              <w:tab/>
            </w:r>
            <w:r>
              <w:tab/>
              <w:t>14 762 309</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1 283 колодцев</w:t>
            </w:r>
            <w:r>
              <w:tab/>
            </w:r>
            <w:r>
              <w:tab/>
            </w:r>
            <w:r>
              <w:tab/>
              <w:t>28 025 962</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Увеличение в два раза размера</w:t>
            </w:r>
          </w:p>
          <w:p w:rsidR="00000000" w:rsidRDefault="00000000">
            <w:pPr>
              <w:pStyle w:val="16"/>
              <w:jc w:val="left"/>
            </w:pPr>
            <w:r>
              <w:t xml:space="preserve">     75 633 земельных участков</w:t>
            </w:r>
            <w:r>
              <w:tab/>
              <w:t>45 751 600</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458 коммунальных центров</w:t>
            </w:r>
            <w:r>
              <w:tab/>
            </w:r>
            <w:r>
              <w:tab/>
              <w:t>11 988 324</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9 475 км линий электропередач</w:t>
            </w:r>
            <w:r>
              <w:tab/>
            </w:r>
            <w:r>
              <w:tab/>
              <w:t>70 911 326</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323 школ</w:t>
            </w:r>
            <w:r>
              <w:tab/>
            </w:r>
            <w:r>
              <w:tab/>
            </w:r>
            <w:r>
              <w:tab/>
            </w:r>
            <w:r>
              <w:tab/>
            </w:r>
            <w:r>
              <w:tab/>
              <w:t>12 626 332</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366 центров здравоохранения</w:t>
            </w:r>
            <w:r>
              <w:tab/>
            </w:r>
            <w:r>
              <w:tab/>
              <w:t xml:space="preserve"> 7 337 827</w:t>
            </w:r>
          </w:p>
        </w:tc>
      </w:tr>
      <w:tr w:rsidR="00000000">
        <w:tblPrEx>
          <w:tblCellMar>
            <w:top w:w="0" w:type="dxa"/>
            <w:bottom w:w="0" w:type="dxa"/>
          </w:tblCellMar>
        </w:tblPrEx>
        <w:tc>
          <w:tcPr>
            <w:tcW w:w="9571" w:type="dxa"/>
            <w:tcBorders>
              <w:top w:val="nil"/>
              <w:left w:val="single" w:sz="4" w:space="0" w:color="auto"/>
              <w:bottom w:val="nil"/>
              <w:right w:val="single" w:sz="4" w:space="0" w:color="auto"/>
            </w:tcBorders>
          </w:tcPr>
          <w:p w:rsidR="00000000" w:rsidRDefault="00000000">
            <w:pPr>
              <w:pStyle w:val="16"/>
              <w:jc w:val="left"/>
            </w:pPr>
            <w:r>
              <w:t>108 хранилищ</w:t>
            </w:r>
            <w:r>
              <w:tab/>
            </w:r>
            <w:r>
              <w:tab/>
            </w:r>
            <w:r>
              <w:tab/>
              <w:t xml:space="preserve"> 4 148 745</w:t>
            </w:r>
          </w:p>
        </w:tc>
      </w:tr>
      <w:tr w:rsidR="00000000">
        <w:tblPrEx>
          <w:tblCellMar>
            <w:top w:w="0" w:type="dxa"/>
            <w:bottom w:w="0" w:type="dxa"/>
          </w:tblCellMar>
        </w:tblPrEx>
        <w:tc>
          <w:tcPr>
            <w:tcW w:w="9571" w:type="dxa"/>
            <w:tcBorders>
              <w:top w:val="nil"/>
              <w:left w:val="single" w:sz="4" w:space="0" w:color="auto"/>
              <w:bottom w:val="single" w:sz="4" w:space="0" w:color="auto"/>
              <w:right w:val="single" w:sz="4" w:space="0" w:color="auto"/>
            </w:tcBorders>
          </w:tcPr>
          <w:p w:rsidR="00000000" w:rsidRDefault="00000000">
            <w:pPr>
              <w:pStyle w:val="16"/>
              <w:jc w:val="left"/>
            </w:pPr>
            <w:r>
              <w:t>13 824 км дорог</w:t>
            </w:r>
            <w:r>
              <w:tab/>
            </w:r>
            <w:r>
              <w:tab/>
            </w:r>
            <w:r>
              <w:tab/>
              <w:t>106 251 022</w:t>
            </w:r>
          </w:p>
        </w:tc>
      </w:tr>
    </w:tbl>
    <w:p w:rsidR="00000000" w:rsidRDefault="00000000">
      <w:pPr>
        <w:pStyle w:val="16"/>
        <w:jc w:val="left"/>
      </w:pPr>
    </w:p>
    <w:p w:rsidR="00000000" w:rsidRDefault="00000000">
      <w:pPr>
        <w:pStyle w:val="16"/>
        <w:jc w:val="left"/>
      </w:pPr>
      <w:r>
        <w:t>428.</w:t>
      </w:r>
      <w:r>
        <w:tab/>
        <w:t>В 1999 году в инфраструктуру было инвестировано 150,6 млн. реалов.</w:t>
      </w:r>
    </w:p>
    <w:p w:rsidR="00000000" w:rsidRDefault="00000000">
      <w:pPr>
        <w:pStyle w:val="16"/>
        <w:jc w:val="left"/>
      </w:pPr>
    </w:p>
    <w:p w:rsidR="00000000" w:rsidRDefault="00000000">
      <w:pPr>
        <w:pStyle w:val="16"/>
        <w:jc w:val="left"/>
      </w:pPr>
      <w:r>
        <w:t>429.</w:t>
      </w:r>
      <w:r>
        <w:tab/>
        <w:t>С 1995 по 1999 год Бразилией было выделено 1 520 000 реалов на цели предоставления кредитов для создания предприятий и на специальную программу выделения кредитов в рамках аграрной реформы (ПРОСЕРА).  К 30 декабря 1999 года общий объем займов по линии А программы "Pronaf Planta Brаsil", которая обслуживает сельских производителей в рамках аграрной реформы, составил 460 млн. реалов.</w:t>
      </w:r>
    </w:p>
    <w:p w:rsidR="00000000" w:rsidRDefault="00000000">
      <w:pPr>
        <w:pStyle w:val="16"/>
        <w:jc w:val="left"/>
      </w:pPr>
    </w:p>
    <w:p w:rsidR="00000000" w:rsidRDefault="00000000">
      <w:pPr>
        <w:pStyle w:val="16"/>
        <w:rPr>
          <w:b/>
          <w:bCs/>
        </w:rPr>
      </w:pPr>
      <w:r>
        <w:rPr>
          <w:b/>
          <w:bCs/>
        </w:rPr>
        <w:t>Таблица 51.   Займы, предоставленные в рамках аграрной реформы (в реалах),</w:t>
      </w:r>
    </w:p>
    <w:p w:rsidR="00000000" w:rsidRDefault="00000000">
      <w:pPr>
        <w:pStyle w:val="16"/>
        <w:rPr>
          <w:b/>
          <w:bCs/>
        </w:rPr>
      </w:pPr>
      <w:r>
        <w:rPr>
          <w:b/>
          <w:bCs/>
        </w:rPr>
        <w:t>1995-1999 годы</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77"/>
        <w:gridCol w:w="2057"/>
        <w:gridCol w:w="1707"/>
        <w:gridCol w:w="2033"/>
        <w:gridCol w:w="1796"/>
      </w:tblGrid>
      <w:tr w:rsidR="00000000">
        <w:tblPrEx>
          <w:tblCellMar>
            <w:top w:w="0" w:type="dxa"/>
            <w:bottom w:w="0" w:type="dxa"/>
          </w:tblCellMar>
        </w:tblPrEx>
        <w:tc>
          <w:tcPr>
            <w:tcW w:w="1978" w:type="dxa"/>
          </w:tcPr>
          <w:p w:rsidR="00000000" w:rsidRDefault="00000000">
            <w:pPr>
              <w:pStyle w:val="16"/>
            </w:pPr>
            <w:r>
              <w:t>Год</w:t>
            </w:r>
          </w:p>
        </w:tc>
        <w:tc>
          <w:tcPr>
            <w:tcW w:w="2057" w:type="dxa"/>
          </w:tcPr>
          <w:p w:rsidR="00000000" w:rsidRDefault="00000000">
            <w:pPr>
              <w:pStyle w:val="16"/>
            </w:pPr>
            <w:r>
              <w:t>Предоставлено</w:t>
            </w:r>
          </w:p>
        </w:tc>
        <w:tc>
          <w:tcPr>
            <w:tcW w:w="1707" w:type="dxa"/>
          </w:tcPr>
          <w:p w:rsidR="00000000" w:rsidRDefault="00000000">
            <w:pPr>
              <w:pStyle w:val="16"/>
            </w:pPr>
            <w:r>
              <w:t>ПРОСЕРА</w:t>
            </w:r>
          </w:p>
        </w:tc>
        <w:tc>
          <w:tcPr>
            <w:tcW w:w="2033" w:type="dxa"/>
          </w:tcPr>
          <w:p w:rsidR="00000000" w:rsidRDefault="00000000">
            <w:pPr>
              <w:pStyle w:val="16"/>
            </w:pPr>
            <w:r>
              <w:t>Линия А "Pronaf"</w:t>
            </w:r>
          </w:p>
        </w:tc>
        <w:tc>
          <w:tcPr>
            <w:tcW w:w="1796" w:type="dxa"/>
          </w:tcPr>
          <w:p w:rsidR="00000000" w:rsidRDefault="00000000">
            <w:pPr>
              <w:pStyle w:val="16"/>
            </w:pPr>
            <w:r>
              <w:t>Всего</w:t>
            </w:r>
          </w:p>
        </w:tc>
      </w:tr>
      <w:tr w:rsidR="00000000">
        <w:tblPrEx>
          <w:tblCellMar>
            <w:top w:w="0" w:type="dxa"/>
            <w:bottom w:w="0" w:type="dxa"/>
          </w:tblCellMar>
        </w:tblPrEx>
        <w:tc>
          <w:tcPr>
            <w:tcW w:w="1978" w:type="dxa"/>
          </w:tcPr>
          <w:p w:rsidR="00000000" w:rsidRDefault="00000000">
            <w:pPr>
              <w:pStyle w:val="16"/>
            </w:pPr>
            <w:r>
              <w:t>1995</w:t>
            </w:r>
          </w:p>
        </w:tc>
        <w:tc>
          <w:tcPr>
            <w:tcW w:w="2057" w:type="dxa"/>
          </w:tcPr>
          <w:p w:rsidR="00000000" w:rsidRDefault="00000000">
            <w:pPr>
              <w:pStyle w:val="16"/>
              <w:tabs>
                <w:tab w:val="clear" w:pos="1134"/>
                <w:tab w:val="clear" w:pos="1701"/>
              </w:tabs>
              <w:jc w:val="right"/>
            </w:pPr>
            <w:r>
              <w:t>47 794 707</w:t>
            </w:r>
          </w:p>
        </w:tc>
        <w:tc>
          <w:tcPr>
            <w:tcW w:w="1707" w:type="dxa"/>
          </w:tcPr>
          <w:p w:rsidR="00000000" w:rsidRDefault="00000000">
            <w:pPr>
              <w:pStyle w:val="16"/>
              <w:jc w:val="right"/>
            </w:pPr>
            <w:r>
              <w:t>108 973 651</w:t>
            </w:r>
          </w:p>
        </w:tc>
        <w:tc>
          <w:tcPr>
            <w:tcW w:w="2033" w:type="dxa"/>
          </w:tcPr>
          <w:p w:rsidR="00000000" w:rsidRDefault="00000000">
            <w:pPr>
              <w:pStyle w:val="16"/>
              <w:tabs>
                <w:tab w:val="clear" w:pos="1701"/>
              </w:tabs>
            </w:pPr>
            <w:r>
              <w:t>-</w:t>
            </w:r>
          </w:p>
        </w:tc>
        <w:tc>
          <w:tcPr>
            <w:tcW w:w="1796" w:type="dxa"/>
          </w:tcPr>
          <w:p w:rsidR="00000000" w:rsidRDefault="00000000">
            <w:pPr>
              <w:pStyle w:val="16"/>
              <w:jc w:val="right"/>
            </w:pPr>
            <w:r>
              <w:t>156 768 358</w:t>
            </w:r>
          </w:p>
        </w:tc>
      </w:tr>
      <w:tr w:rsidR="00000000">
        <w:tblPrEx>
          <w:tblCellMar>
            <w:top w:w="0" w:type="dxa"/>
            <w:bottom w:w="0" w:type="dxa"/>
          </w:tblCellMar>
        </w:tblPrEx>
        <w:tc>
          <w:tcPr>
            <w:tcW w:w="1978" w:type="dxa"/>
          </w:tcPr>
          <w:p w:rsidR="00000000" w:rsidRDefault="00000000">
            <w:pPr>
              <w:pStyle w:val="16"/>
            </w:pPr>
            <w:r>
              <w:t>1996</w:t>
            </w:r>
          </w:p>
        </w:tc>
        <w:tc>
          <w:tcPr>
            <w:tcW w:w="2057" w:type="dxa"/>
          </w:tcPr>
          <w:p w:rsidR="00000000" w:rsidRDefault="00000000">
            <w:pPr>
              <w:pStyle w:val="16"/>
              <w:tabs>
                <w:tab w:val="clear" w:pos="1134"/>
                <w:tab w:val="clear" w:pos="1701"/>
              </w:tabs>
              <w:jc w:val="right"/>
            </w:pPr>
            <w:r>
              <w:t>71 337 968</w:t>
            </w:r>
          </w:p>
        </w:tc>
        <w:tc>
          <w:tcPr>
            <w:tcW w:w="1707" w:type="dxa"/>
          </w:tcPr>
          <w:p w:rsidR="00000000" w:rsidRDefault="00000000">
            <w:pPr>
              <w:pStyle w:val="16"/>
              <w:jc w:val="right"/>
            </w:pPr>
            <w:r>
              <w:t>202 563 910</w:t>
            </w:r>
          </w:p>
        </w:tc>
        <w:tc>
          <w:tcPr>
            <w:tcW w:w="2033" w:type="dxa"/>
          </w:tcPr>
          <w:p w:rsidR="00000000" w:rsidRDefault="00000000">
            <w:pPr>
              <w:pStyle w:val="16"/>
              <w:tabs>
                <w:tab w:val="clear" w:pos="1701"/>
              </w:tabs>
            </w:pPr>
            <w:r>
              <w:t>-</w:t>
            </w:r>
          </w:p>
        </w:tc>
        <w:tc>
          <w:tcPr>
            <w:tcW w:w="1796" w:type="dxa"/>
          </w:tcPr>
          <w:p w:rsidR="00000000" w:rsidRDefault="00000000">
            <w:pPr>
              <w:pStyle w:val="16"/>
              <w:jc w:val="right"/>
            </w:pPr>
            <w:r>
              <w:t>273 901 878</w:t>
            </w:r>
          </w:p>
        </w:tc>
      </w:tr>
      <w:tr w:rsidR="00000000">
        <w:tblPrEx>
          <w:tblCellMar>
            <w:top w:w="0" w:type="dxa"/>
            <w:bottom w:w="0" w:type="dxa"/>
          </w:tblCellMar>
        </w:tblPrEx>
        <w:tc>
          <w:tcPr>
            <w:tcW w:w="1978" w:type="dxa"/>
          </w:tcPr>
          <w:p w:rsidR="00000000" w:rsidRDefault="00000000">
            <w:pPr>
              <w:pStyle w:val="16"/>
            </w:pPr>
            <w:r>
              <w:t>1997</w:t>
            </w:r>
          </w:p>
        </w:tc>
        <w:tc>
          <w:tcPr>
            <w:tcW w:w="2057" w:type="dxa"/>
          </w:tcPr>
          <w:p w:rsidR="00000000" w:rsidRDefault="00000000">
            <w:pPr>
              <w:pStyle w:val="16"/>
              <w:tabs>
                <w:tab w:val="clear" w:pos="1134"/>
                <w:tab w:val="clear" w:pos="1701"/>
              </w:tabs>
              <w:jc w:val="right"/>
            </w:pPr>
            <w:r>
              <w:t>151 242 100</w:t>
            </w:r>
          </w:p>
        </w:tc>
        <w:tc>
          <w:tcPr>
            <w:tcW w:w="1707" w:type="dxa"/>
          </w:tcPr>
          <w:p w:rsidR="00000000" w:rsidRDefault="00000000">
            <w:pPr>
              <w:pStyle w:val="16"/>
              <w:jc w:val="right"/>
            </w:pPr>
            <w:r>
              <w:t>204 214 542</w:t>
            </w:r>
          </w:p>
        </w:tc>
        <w:tc>
          <w:tcPr>
            <w:tcW w:w="2033" w:type="dxa"/>
          </w:tcPr>
          <w:p w:rsidR="00000000" w:rsidRDefault="00000000">
            <w:pPr>
              <w:pStyle w:val="16"/>
              <w:tabs>
                <w:tab w:val="clear" w:pos="1701"/>
              </w:tabs>
            </w:pPr>
            <w:r>
              <w:t>-</w:t>
            </w:r>
          </w:p>
        </w:tc>
        <w:tc>
          <w:tcPr>
            <w:tcW w:w="1796" w:type="dxa"/>
          </w:tcPr>
          <w:p w:rsidR="00000000" w:rsidRDefault="00000000">
            <w:pPr>
              <w:pStyle w:val="16"/>
              <w:jc w:val="right"/>
            </w:pPr>
            <w:r>
              <w:t>355 456 642</w:t>
            </w:r>
          </w:p>
        </w:tc>
      </w:tr>
      <w:tr w:rsidR="00000000">
        <w:tblPrEx>
          <w:tblCellMar>
            <w:top w:w="0" w:type="dxa"/>
            <w:bottom w:w="0" w:type="dxa"/>
          </w:tblCellMar>
        </w:tblPrEx>
        <w:tc>
          <w:tcPr>
            <w:tcW w:w="1978" w:type="dxa"/>
          </w:tcPr>
          <w:p w:rsidR="00000000" w:rsidRDefault="00000000">
            <w:pPr>
              <w:pStyle w:val="16"/>
            </w:pPr>
            <w:r>
              <w:t>1998</w:t>
            </w:r>
          </w:p>
        </w:tc>
        <w:tc>
          <w:tcPr>
            <w:tcW w:w="2057" w:type="dxa"/>
          </w:tcPr>
          <w:p w:rsidR="00000000" w:rsidRDefault="00000000">
            <w:pPr>
              <w:pStyle w:val="16"/>
              <w:tabs>
                <w:tab w:val="clear" w:pos="1134"/>
                <w:tab w:val="clear" w:pos="1701"/>
              </w:tabs>
              <w:jc w:val="right"/>
            </w:pPr>
            <w:r>
              <w:t>231 600 040</w:t>
            </w:r>
          </w:p>
        </w:tc>
        <w:tc>
          <w:tcPr>
            <w:tcW w:w="1707" w:type="dxa"/>
          </w:tcPr>
          <w:p w:rsidR="00000000" w:rsidRDefault="00000000">
            <w:pPr>
              <w:pStyle w:val="16"/>
              <w:jc w:val="right"/>
            </w:pPr>
            <w:r>
              <w:t>307 617 293</w:t>
            </w:r>
          </w:p>
        </w:tc>
        <w:tc>
          <w:tcPr>
            <w:tcW w:w="2033" w:type="dxa"/>
          </w:tcPr>
          <w:p w:rsidR="00000000" w:rsidRDefault="00000000">
            <w:pPr>
              <w:pStyle w:val="16"/>
              <w:tabs>
                <w:tab w:val="clear" w:pos="1701"/>
              </w:tabs>
            </w:pPr>
            <w:r>
              <w:t>-</w:t>
            </w:r>
          </w:p>
        </w:tc>
        <w:tc>
          <w:tcPr>
            <w:tcW w:w="1796" w:type="dxa"/>
          </w:tcPr>
          <w:p w:rsidR="00000000" w:rsidRDefault="00000000">
            <w:pPr>
              <w:pStyle w:val="16"/>
              <w:jc w:val="right"/>
            </w:pPr>
            <w:r>
              <w:t>539 217 333</w:t>
            </w:r>
          </w:p>
        </w:tc>
      </w:tr>
      <w:tr w:rsidR="00000000">
        <w:tblPrEx>
          <w:tblCellMar>
            <w:top w:w="0" w:type="dxa"/>
            <w:bottom w:w="0" w:type="dxa"/>
          </w:tblCellMar>
        </w:tblPrEx>
        <w:tc>
          <w:tcPr>
            <w:tcW w:w="1978" w:type="dxa"/>
          </w:tcPr>
          <w:p w:rsidR="00000000" w:rsidRDefault="00000000">
            <w:pPr>
              <w:pStyle w:val="16"/>
            </w:pPr>
            <w:r>
              <w:t>1999</w:t>
            </w:r>
          </w:p>
        </w:tc>
        <w:tc>
          <w:tcPr>
            <w:tcW w:w="2057" w:type="dxa"/>
          </w:tcPr>
          <w:p w:rsidR="00000000" w:rsidRDefault="00000000">
            <w:pPr>
              <w:pStyle w:val="16"/>
              <w:tabs>
                <w:tab w:val="clear" w:pos="1134"/>
                <w:tab w:val="clear" w:pos="1701"/>
              </w:tabs>
              <w:jc w:val="right"/>
            </w:pPr>
            <w:r>
              <w:t>195 000 000</w:t>
            </w:r>
          </w:p>
        </w:tc>
        <w:tc>
          <w:tcPr>
            <w:tcW w:w="1707" w:type="dxa"/>
          </w:tcPr>
          <w:p w:rsidR="00000000" w:rsidRDefault="00000000">
            <w:pPr>
              <w:pStyle w:val="16"/>
            </w:pPr>
            <w:r>
              <w:t>-.</w:t>
            </w:r>
          </w:p>
        </w:tc>
        <w:tc>
          <w:tcPr>
            <w:tcW w:w="2033" w:type="dxa"/>
          </w:tcPr>
          <w:p w:rsidR="00000000" w:rsidRDefault="00000000">
            <w:pPr>
              <w:pStyle w:val="16"/>
              <w:tabs>
                <w:tab w:val="clear" w:pos="1701"/>
              </w:tabs>
              <w:jc w:val="right"/>
            </w:pPr>
            <w:r>
              <w:t>460 000 000</w:t>
            </w:r>
          </w:p>
        </w:tc>
        <w:tc>
          <w:tcPr>
            <w:tcW w:w="1796" w:type="dxa"/>
          </w:tcPr>
          <w:p w:rsidR="00000000" w:rsidRDefault="00000000">
            <w:pPr>
              <w:pStyle w:val="16"/>
              <w:jc w:val="right"/>
            </w:pPr>
            <w:r>
              <w:t>665 000 000</w:t>
            </w:r>
          </w:p>
        </w:tc>
      </w:tr>
      <w:tr w:rsidR="00000000">
        <w:tblPrEx>
          <w:tblCellMar>
            <w:top w:w="0" w:type="dxa"/>
            <w:bottom w:w="0" w:type="dxa"/>
          </w:tblCellMar>
        </w:tblPrEx>
        <w:tc>
          <w:tcPr>
            <w:tcW w:w="1978" w:type="dxa"/>
          </w:tcPr>
          <w:p w:rsidR="00000000" w:rsidRDefault="00000000">
            <w:pPr>
              <w:pStyle w:val="16"/>
            </w:pPr>
            <w:r>
              <w:t>Всего</w:t>
            </w:r>
          </w:p>
        </w:tc>
        <w:tc>
          <w:tcPr>
            <w:tcW w:w="2057" w:type="dxa"/>
          </w:tcPr>
          <w:p w:rsidR="00000000" w:rsidRDefault="00000000">
            <w:pPr>
              <w:pStyle w:val="16"/>
              <w:tabs>
                <w:tab w:val="clear" w:pos="1134"/>
                <w:tab w:val="clear" w:pos="1701"/>
              </w:tabs>
              <w:jc w:val="right"/>
            </w:pPr>
            <w:r>
              <w:t>696 974 815</w:t>
            </w:r>
          </w:p>
        </w:tc>
        <w:tc>
          <w:tcPr>
            <w:tcW w:w="1707" w:type="dxa"/>
          </w:tcPr>
          <w:p w:rsidR="00000000" w:rsidRDefault="00000000">
            <w:pPr>
              <w:pStyle w:val="16"/>
              <w:jc w:val="right"/>
            </w:pPr>
            <w:r>
              <w:t>823 369 396</w:t>
            </w:r>
          </w:p>
        </w:tc>
        <w:tc>
          <w:tcPr>
            <w:tcW w:w="2033" w:type="dxa"/>
          </w:tcPr>
          <w:p w:rsidR="00000000" w:rsidRDefault="00000000">
            <w:pPr>
              <w:pStyle w:val="16"/>
              <w:tabs>
                <w:tab w:val="clear" w:pos="1701"/>
              </w:tabs>
              <w:jc w:val="right"/>
            </w:pPr>
            <w:r>
              <w:t>460 000 000</w:t>
            </w:r>
          </w:p>
        </w:tc>
        <w:tc>
          <w:tcPr>
            <w:tcW w:w="1796" w:type="dxa"/>
          </w:tcPr>
          <w:p w:rsidR="00000000" w:rsidRDefault="00000000">
            <w:pPr>
              <w:pStyle w:val="16"/>
              <w:jc w:val="right"/>
            </w:pPr>
            <w:r>
              <w:t>1 325 344 221</w:t>
            </w:r>
          </w:p>
        </w:tc>
      </w:tr>
    </w:tbl>
    <w:p w:rsidR="00000000" w:rsidRDefault="00000000">
      <w:pPr>
        <w:pStyle w:val="16"/>
        <w:jc w:val="left"/>
      </w:pPr>
    </w:p>
    <w:p w:rsidR="00000000" w:rsidRDefault="00000000">
      <w:pPr>
        <w:pStyle w:val="16"/>
        <w:jc w:val="left"/>
      </w:pPr>
      <w:r>
        <w:t>430.</w:t>
      </w:r>
      <w:r>
        <w:tab/>
        <w:t>Цель Национальной образовательной программы аграрной реформы, осуществление которой началось в апреле прошлого года, состоит в том, чтобы укрепить систему образования в местах поселений, созданных в рамках аграрной реформы, путем использования специальных методов, рассчитанных на сельских жителей.  Эта Программа явилась результатом совместных усилий правительства, университетов и общественных сельских движений по формированию широкого процесса развития системы образования для молодых людей и взрослого населения в поселениях, созданных в рамках аграрной реформы.  НИРАР, министерство образования и министерство труда привлекают к осуществлению этой Программы других активных членов общества, в частности церковь, неправительственные организации и ассоциации и кооперативы производителей.</w:t>
      </w:r>
    </w:p>
    <w:p w:rsidR="00000000" w:rsidRDefault="00000000"/>
    <w:p w:rsidR="00000000" w:rsidRDefault="00000000">
      <w:r>
        <w:t>431.</w:t>
      </w:r>
      <w:r>
        <w:tab/>
        <w:t xml:space="preserve">В рамках этой системы в университетах и других высших учебных заведениях готовятся инструкторы для работы в поселениях, в задачу которых входит обучение навыкам чтения и преподавание школьных предметов молодым людям и взрослым, на которых распространяется аграрная реформа.  С начала осуществления данной Программы было подготовлено 3 137 инструкторов, которые сейчас работают в поселениях по всей стране.  </w:t>
      </w:r>
    </w:p>
    <w:p w:rsidR="00000000" w:rsidRDefault="00000000"/>
    <w:p w:rsidR="00000000" w:rsidRDefault="00000000">
      <w:r>
        <w:t>432.</w:t>
      </w:r>
      <w:r>
        <w:tab/>
        <w:t>Несмотря на короткий период действия Программы, ее результаты являются впечатляющими:  в настоящее время в 616 муниципалитетах 21 бразильского штата 62 742 молодых человека и взрослых, проживающих в 1 421 поселении, проходят обучение навыкам чтения и занимаются по школьной программе.  К настоящему времени затрачено 11 408 536 реалов на обучение лиц, на которых распространяется аграрная реформа, и на создание для них новых возможностей.</w:t>
      </w:r>
    </w:p>
    <w:p w:rsidR="00000000" w:rsidRDefault="00000000"/>
    <w:p w:rsidR="00000000" w:rsidRDefault="00000000">
      <w:r>
        <w:t>433.</w:t>
      </w:r>
      <w:r>
        <w:tab/>
        <w:t>Национальная программа грамотности в рамках аграрной реформы также является источником финансирования профессионально-технической подготовки новых поселенцев, в ходе которой особое внимание уделяется вопросам сельскохозяйственного производства и управления и разработке учебных материалов по всем первоочередным областям, которые определены по итогам проведенных в рамках данной Программы дискуссий.</w:t>
      </w:r>
    </w:p>
    <w:p w:rsidR="00000000" w:rsidRDefault="00000000"/>
    <w:p w:rsidR="00000000" w:rsidRDefault="00000000">
      <w:r>
        <w:t>434.</w:t>
      </w:r>
      <w:r>
        <w:tab/>
        <w:t>Министерство аграрного развития и НИРАР сосредоточили свои усилия на урегулировании правовых проблем, связанных с чрезмерными выплатами в порядке компенсации за земли, экспроприированные в рамках проведения аграрной реформы.  Все случаи, в которых оценка стоимости превышает цену, определенную НИРАР, оспариваются на основе "</w:t>
      </w:r>
      <w:r>
        <w:rPr>
          <w:lang w:val="en-US"/>
        </w:rPr>
        <w:t>Medida</w:t>
      </w:r>
      <w:r>
        <w:t xml:space="preserve"> </w:t>
      </w:r>
      <w:r>
        <w:rPr>
          <w:lang w:val="en-US"/>
        </w:rPr>
        <w:t>Provisoria</w:t>
      </w:r>
      <w:r>
        <w:t>" ("Постановления о временных мерах") М</w:t>
      </w:r>
      <w:r>
        <w:rPr>
          <w:lang w:val="en-US"/>
        </w:rPr>
        <w:t>P</w:t>
      </w:r>
      <w:r>
        <w:t> 1901, в которое после 1997 года были включены законодательные положения, призванные предупредить подобные искажения.</w:t>
      </w:r>
    </w:p>
    <w:p w:rsidR="00000000" w:rsidRDefault="00000000"/>
    <w:p w:rsidR="00000000" w:rsidRDefault="00000000">
      <w:r>
        <w:t>435.</w:t>
      </w:r>
      <w:r>
        <w:tab/>
        <w:t>Благодаря деятельности адвокатов НИРАР, выразившейся в подаче исков или апелляций по делам об экспроприации, удалось, в частности, сократить правительственный долг в размере 415,9 млн. реалов в "precatorios" (выплаты правительства по проигранным им судебным процессам, рассматривавшим трудовые споры) до 260,4 млн. реалов в 1997 году.  В 1996 году эта цифра снизилась до 55,7 млн. реалов.</w:t>
      </w:r>
    </w:p>
    <w:p w:rsidR="00000000" w:rsidRDefault="00000000"/>
    <w:p w:rsidR="00000000" w:rsidRDefault="00000000">
      <w:r>
        <w:t>436.</w:t>
      </w:r>
      <w:r>
        <w:tab/>
        <w:t xml:space="preserve">Недавно федеральный суд третьего округа Сан-Паулу, рассматривавший дело о выплате чрезмерной компенсации, в конечном итоге согласился с аргументами адвокатов НИРАР в рамках иска об аннулировании в адрес бывших владельцев собственности "Фазендас реунидас", расположенной на территории муниципалитета Промиссао, которая ранее была экспроприирована для целей аграрной реформы.  Бывшие владельцы земли обратились в суд с требованием к НИРАР увеличить размер компенсации за экспроприацию земли с 25 811 260 реалов, как это было определено в первоначальной оценке, до 385 502 876 реалов, что составляет по нынешним ценам примерно 1 млрд. реалов.  В связи с ходатайством НИРАР суд Сан-Паулу постановил провести новую оценку собственности.   Аналогичные дела в настоящее время рассматриваются десятками.  Если не добиваться внесения в них соответствующих корректив, то допускаемые в них искажения могут нанести непоправимый ущерб программе аграрной реформы.  </w:t>
      </w:r>
    </w:p>
    <w:p w:rsidR="00000000" w:rsidRDefault="00000000"/>
    <w:p w:rsidR="00000000" w:rsidRDefault="00000000">
      <w:r>
        <w:t>437.</w:t>
      </w:r>
      <w:r>
        <w:tab/>
        <w:t>Другой программой, заслуживающей особого упоминания, является программа "</w:t>
      </w:r>
      <w:r>
        <w:rPr>
          <w:lang w:val="en-US"/>
        </w:rPr>
        <w:t>Nossa</w:t>
      </w:r>
      <w:r>
        <w:t xml:space="preserve"> </w:t>
      </w:r>
      <w:r>
        <w:rPr>
          <w:lang w:val="en-US"/>
        </w:rPr>
        <w:t>Terra</w:t>
      </w:r>
      <w:r>
        <w:t xml:space="preserve">, </w:t>
      </w:r>
      <w:r>
        <w:rPr>
          <w:lang w:val="en-US"/>
        </w:rPr>
        <w:t>Nossa</w:t>
      </w:r>
      <w:r>
        <w:t xml:space="preserve"> </w:t>
      </w:r>
      <w:r>
        <w:rPr>
          <w:lang w:val="en-US"/>
        </w:rPr>
        <w:t>Escola</w:t>
      </w:r>
      <w:r>
        <w:t>" ("Наша земля, наша школа").  Действие Закона МР 1901 распространялось также и на эту программу, в рамках которой для семей сельскохозяйственных работников создаются условия, позволяющие им оставлять своих детей в школах.  Семьям предоставляется 50-процентная скидка на невыплаченный остаток долга, причитающийся за собственность, при условии, что их дети будут продолжать посещать школу.  Эта льгота предназначается для семей с детьми в возрасте от 7 до 14 лет, которые обучаются в начальной школе.  50-процентная скидка распространяется на все выплаты, которые производятся в течение всего периода пребывания в школе одного или нескольких детей.  По завершении обучения детей в начальной школе 50-процентная скидка распространяется на непогашенный остаток долга.  Если расселенная семья не имеет детей, но имеет неграмотных взрослых, та же скидка предоставляется в том случае, если эти взрослые регулярно посещают курсы ликвидации неграмотности.</w:t>
      </w:r>
    </w:p>
    <w:p w:rsidR="00000000" w:rsidRDefault="00000000"/>
    <w:p w:rsidR="00000000" w:rsidRDefault="00000000">
      <w:r>
        <w:t>438.</w:t>
      </w:r>
      <w:r>
        <w:tab/>
        <w:t>Одним из наиболее важных направлений деятельности правительства по изменению аграрной структуры Бразилии является предоставление права на владение землей.  Выданные в 1999 году 10 тыс. поземельных титулов семьям, расселенным по Программе НИРАР, позволили им почувствовать уверенность в будущем.  Выдача поземельных титулов составляет часть новой программы аграрной реформы, цель которой состоит в восстановлении прав поселенцев и предоставлении им более свободного доступа к банковским кредитам.</w:t>
      </w:r>
    </w:p>
    <w:p w:rsidR="00000000" w:rsidRDefault="00000000"/>
    <w:p w:rsidR="00000000" w:rsidRDefault="00000000">
      <w:r>
        <w:t>439.</w:t>
      </w:r>
      <w:r>
        <w:tab/>
        <w:t>Почтово-телеграфное предприятие Бразилии (</w:t>
      </w:r>
      <w:r>
        <w:rPr>
          <w:lang w:val="en-US"/>
        </w:rPr>
        <w:t>EC</w:t>
      </w:r>
      <w:r>
        <w:t>Т) отвечает за доставку титулов поселенцам.  Поселенцы могут также заплатить годовую пошлину в любом почтовом отделении страны.</w:t>
      </w:r>
    </w:p>
    <w:p w:rsidR="00000000" w:rsidRDefault="00000000"/>
    <w:p w:rsidR="00000000" w:rsidRDefault="00000000">
      <w:r>
        <w:t>440.</w:t>
      </w:r>
      <w:r>
        <w:tab/>
      </w:r>
      <w:r>
        <w:rPr>
          <w:lang w:val="en-US"/>
        </w:rPr>
        <w:t>ECT</w:t>
      </w:r>
      <w:r>
        <w:t xml:space="preserve"> было выбрано для оказания этих услуг потому, что оно располагает большим числом отделений, которые находятся вблизи новых поселений, и потому, что его работа всегда отличается высокой производительностью.  За четыре года деятельности нынешней администрации эта льгота была предоставлена примерно 400 семьям, расселенным на почти 20 млн. гектаров, что по площади в три раза превышает площадь штата Рио-де-Жанейро. </w:t>
      </w:r>
    </w:p>
    <w:p w:rsidR="00000000" w:rsidRDefault="00000000"/>
    <w:p w:rsidR="00000000" w:rsidRDefault="00000000">
      <w:r>
        <w:t>441.</w:t>
      </w:r>
      <w:r>
        <w:tab/>
        <w:t>Приграничные районы подпадают под действие Закона 9871 от 23 ноября 1999 года.  В этом Законе устанавливаются сроки предоставления земельных субсидий штатами в приграничных районах и нормы для их выделения или аннулирования.  В одном из его положений разрешено выделение субсидий, которые ранее предоставлялись только в отношении небольшой по размеру собственности, для средних по размеру участков в центрально-западном, северном и южном районах страны.  В законе далее предусматривается, что даже в отсутствие окончательного утверждения производители могут предложить свое имущество в обеспечение займов, необходимых им для производственной деятельности, пока суд не вынесет окончательного решения.</w:t>
      </w:r>
    </w:p>
    <w:p w:rsidR="00000000" w:rsidRDefault="00000000"/>
    <w:p w:rsidR="00000000" w:rsidRDefault="00000000">
      <w:r>
        <w:t>442.</w:t>
      </w:r>
      <w:r>
        <w:tab/>
        <w:t>Проект "</w:t>
      </w:r>
      <w:r>
        <w:rPr>
          <w:lang w:val="en-US"/>
        </w:rPr>
        <w:t>Casulo</w:t>
      </w:r>
      <w:r>
        <w:t>" ("Кокон") представляет собой децентрализованную модель расселения по линии НИРАР.  Он осуществляется совместно с муниципалитетами и предназначен для развития животноводства.  Реализация данного проекта должна привести к созданию рабочих мест и увеличению доходов, а также к расширению поставок продовольствия на региональный рынок.  Инициативу по осуществлению проекта "</w:t>
      </w:r>
      <w:r>
        <w:rPr>
          <w:lang w:val="en-US"/>
        </w:rPr>
        <w:t>Casulo</w:t>
      </w:r>
      <w:r>
        <w:t>" берет на себя муниципия.  Она определяет спрос и указывает потенциальных бенефициаров проекта и области его применения, а также привлекает к нему других партнеров для обеспечения технической помощи и создания условий для обучения членов переселенных семей.  Муниципия выступает также в роли гаранта тех займов, которые представляются в рамках проекта "</w:t>
      </w:r>
      <w:r>
        <w:rPr>
          <w:lang w:val="en-US"/>
        </w:rPr>
        <w:t>Casulo</w:t>
      </w:r>
      <w:r>
        <w:t>".  Займы покрывают расходы на продукты питания, проектирование, техническое оснащение, приобретение строительных материалов и оплату коммунальных услуг, обеспечивая тем самым единство и устойчивость поселений.  В настоящее время осуществляются 32 проекта по этой линии, в основном на севере и северо-востоке страны, которые охватывают 1 304 семей.</w:t>
      </w:r>
    </w:p>
    <w:p w:rsidR="00000000" w:rsidRDefault="00000000"/>
    <w:p w:rsidR="00000000" w:rsidRDefault="00000000">
      <w:r>
        <w:t>443.</w:t>
      </w:r>
      <w:r>
        <w:tab/>
        <w:t>В соответствии с данным проектом каждой семье предоставляется ссуда в размере 1 400 реалов для начала работ и ссуда на строительство жилья в размере 2 500 реалов.  Каждая семья имеет также право на получение кредита в размере до 9 500 реалов по программе "</w:t>
      </w:r>
      <w:r>
        <w:rPr>
          <w:lang w:val="en-US"/>
        </w:rPr>
        <w:t>Pronaf</w:t>
      </w:r>
      <w:r>
        <w:t xml:space="preserve"> </w:t>
      </w:r>
      <w:r>
        <w:rPr>
          <w:lang w:val="en-US"/>
        </w:rPr>
        <w:t>Planta</w:t>
      </w:r>
      <w:r>
        <w:t xml:space="preserve"> </w:t>
      </w:r>
      <w:r>
        <w:rPr>
          <w:lang w:val="en-US"/>
        </w:rPr>
        <w:t>Brasil</w:t>
      </w:r>
      <w:r>
        <w:t xml:space="preserve"> ".</w:t>
      </w:r>
    </w:p>
    <w:p w:rsidR="00000000" w:rsidRDefault="00000000"/>
    <w:p w:rsidR="00000000" w:rsidRDefault="00000000">
      <w:r>
        <w:t>444.</w:t>
      </w:r>
      <w:r>
        <w:tab/>
        <w:t>Оказание технической помощи переселенным семьям и создание для них условий для обучения крайне важно для обеспечения консолидации и стабильности проектов расселения по линии НИРАР.  Для этих целей разработан проект "</w:t>
      </w:r>
      <w:r>
        <w:rPr>
          <w:lang w:val="en-US"/>
        </w:rPr>
        <w:t>Lumiar</w:t>
      </w:r>
      <w:r>
        <w:t>".  В рамках этого проекта переселенным семьям фермеров оказывается консультативная помощь по вопросам посева культур и сохранения урожая, выпаса скота, складирования и сбыта продукции, скотоводства и использования новых технологий.  Поселенцам помогают также объединяться в собственные организации.  В настоящее время по проекту "</w:t>
      </w:r>
      <w:r>
        <w:rPr>
          <w:lang w:val="en-US"/>
        </w:rPr>
        <w:t>Lumiar</w:t>
      </w:r>
      <w:r>
        <w:t>" на местах в различных районах страны работают 1 400  специалистов по оказанию технической помощи 117 семьям.  Ежемесячный объем капиталовложений составляет 2 млн. реалов.  В состав участников проекта "</w:t>
      </w:r>
      <w:r>
        <w:rPr>
          <w:lang w:val="en-US"/>
        </w:rPr>
        <w:t>Lumiar</w:t>
      </w:r>
      <w:r>
        <w:t>" входят:  НИРАР, организации поселенцев-фермеров, государственные и частные предприятия, кооперативы, оказывающие техническую помощь, университеты, научно-исследовательские институты, официальные банки, органы управления штатов, муниципии и неправительственные организации.</w:t>
      </w:r>
    </w:p>
    <w:p w:rsidR="00000000" w:rsidRDefault="00000000"/>
    <w:p w:rsidR="00000000" w:rsidRDefault="00000000">
      <w:r>
        <w:t>445.</w:t>
      </w:r>
      <w:r>
        <w:tab/>
        <w:t>К осуществлению проекта на местах привлекаются также группы специалистов в различных областях (агрономы, ветеринары, экономисты, социологи, эксперты по сельскому хозяйству, инженеры лесных хозяйств, психологи, администраторы и т.п.).  Они нанимаются организациями поселенцев, а их работа по оказанию технической помощи и обучению оплачивается из средств проекта.  Число специалистов в каждой группе зависит от числа семей, которым оказывается помощь, от расстояния между поселениями и т.д.</w:t>
      </w:r>
    </w:p>
    <w:p w:rsidR="00000000" w:rsidRDefault="00000000"/>
    <w:p w:rsidR="00000000" w:rsidRDefault="00000000">
      <w:r>
        <w:t>446.</w:t>
      </w:r>
      <w:r>
        <w:tab/>
        <w:t>Основная цель проекта - оказание содействия переселенцам, консолидация проектов по расселению и их включение в планы муниципий или регионов в качестве конкурентоспособного производительного блока, который способствует созданию рабочих мест и росту доходов.  В рамках проекта "</w:t>
      </w:r>
      <w:r>
        <w:rPr>
          <w:lang w:val="en-US"/>
        </w:rPr>
        <w:t>Lumiar</w:t>
      </w:r>
      <w:r>
        <w:t>" семьи, по мере осознания ими своих прав и обязанностей, получают информацию относительно деятельности ассоциаций, кооперативов и других организаций.</w:t>
      </w:r>
    </w:p>
    <w:p w:rsidR="00000000" w:rsidRDefault="00000000"/>
    <w:p w:rsidR="00000000" w:rsidRDefault="00000000">
      <w:r>
        <w:t>447.</w:t>
      </w:r>
      <w:r>
        <w:tab/>
        <w:t>В марте 1999 года правительство учредило Национальную аграрную магистратуру, главная задача которой состоит в том, чтобы предотвращать и урегулировать аграрные конфликты.  Этот орган работает совместно с правительственными и неправительственными учреждениями, включая, в частности, суды, прокуратуру, службы государственной безопасности и Бразильскую коллегию адвокатов (БКА).  Вслед за этим были открыты отделения Национальной аграрной магистратуры в штатах Акри, Рондония, Рорайма, Минас-Жерайс и Мату-Гросу-ду-Сул.</w:t>
      </w:r>
    </w:p>
    <w:p w:rsidR="00000000" w:rsidRDefault="00000000"/>
    <w:p w:rsidR="00000000" w:rsidRDefault="00000000">
      <w:r>
        <w:t>448.</w:t>
      </w:r>
      <w:r>
        <w:tab/>
        <w:t>В том же году существенно сократилось число набегов на принадлежащие поселенцам участки со стороны безземельных крестьян.  В январе их было совершено порядка 50;  в феврале - 41, в марте их число достигло 101, в апреле сократилось до 66, в мае их было 34, в июне - 26, в июле - 32, в августе - 30, в сентябре - 26, в октябре - 28 и в ноябре - 30.</w:t>
      </w:r>
    </w:p>
    <w:p w:rsidR="00000000" w:rsidRDefault="00000000"/>
    <w:p w:rsidR="00000000" w:rsidRDefault="00000000">
      <w:r>
        <w:t>449.</w:t>
      </w:r>
      <w:r>
        <w:tab/>
        <w:t>Вопросы окружающей среды вызывают особую озабоченность правительства в контексте аграрной реформы.  Министерство по вопросам аграрной реформы осуществляет меры по охране окружающей среды и распространяет информацию о природоохранной деятельности среди бенефициаров аграрной реформы, поскольку именно они являются ключевыми элементами, обеспечивающими успех всех проектов.  Министерством был издал приказ, запрещающий экспроприацию, приобретение и любое использование земель, занятых девственными лесами, которые расположены в экосистемах реки Амазонка и атлантических лесопарках, болотах Мату-Гросу и других охраняемых государством заповедных местах.</w:t>
      </w:r>
    </w:p>
    <w:p w:rsidR="00000000" w:rsidRDefault="00000000"/>
    <w:p w:rsidR="00000000" w:rsidRDefault="00000000">
      <w:r>
        <w:t>450.</w:t>
      </w:r>
      <w:r>
        <w:tab/>
        <w:t>В 1999 году НИРАР организовал 40 учебных курсов по вопросам экологии, в которых приняло участие 1 600 потенциальных пропагандистов из всех районов страны.  Среди них были специалисты и руководители общин, которым предстоит распространять полученные знания среди расселенных семей.</w:t>
      </w:r>
    </w:p>
    <w:p w:rsidR="00000000" w:rsidRDefault="00000000"/>
    <w:p w:rsidR="00000000" w:rsidRDefault="00000000">
      <w:r>
        <w:t>451.</w:t>
      </w:r>
      <w:r>
        <w:tab/>
        <w:t>Для того чтобы ускорить процедуры выдачи экологических лицензий, все 28 региональных отделений НИРАР имеют в своем штате управляющего по вопросам окружающей среды.  К их числу следует добавить 13  администраторов в области окружающей среды, которые в настоящее время выступают в роли пропагандистов, работая в городах Ресифе, Форталеза, Манаус, Виториа, в Федеральном округе и в штате Алагоас.</w:t>
      </w:r>
    </w:p>
    <w:p w:rsidR="00000000" w:rsidRDefault="00000000"/>
    <w:p w:rsidR="00000000" w:rsidRDefault="00000000">
      <w:r>
        <w:t>452.</w:t>
      </w:r>
      <w:r>
        <w:tab/>
        <w:t>В соответствии с экологическими планами министерства по вопросам аграрной реформы в настоящее время ведется подготовка младших экологических инспекторов, которым будет поручена задача составления докладов о нарушениях, представляемых инспекторам Бразильского института по вопросам окружающей среды и возобновляемых природных ресурсов (БИОСПР).</w:t>
      </w:r>
    </w:p>
    <w:p w:rsidR="00000000" w:rsidRDefault="00000000"/>
    <w:p w:rsidR="00000000" w:rsidRDefault="00000000">
      <w:r>
        <w:t>453.</w:t>
      </w:r>
      <w:r>
        <w:tab/>
        <w:t>Земельный банк является еще одним важным инструментом, созданным для содействия семейному фермерству.  Этот банк предоставляет средства главным образом для приобретения земельных наделов в рамках аграрной реформы.  Земельный банк также создает возможности для образования новых поселений путем инкорпорирования новых районов, включая те, что не могут быть приобретены посредством экспроприации.  В настоящее время деятельность Земельного банка помогает процессу экспроприации земель в общественных интересах, которая служит главным средством приобретения земли для целей аграрной реформы.  В 1999 году Земельный банк помог 10 000 семей в штатах Баия, Сеара, Гояс, Мараньян, Минас-Жерайс, Парана, Пернамбуку, Риу-Гранди-ду-Сул и Санта-Катарина, предоставив им ссуды на сумму в 115 млн. реалов.</w:t>
      </w:r>
    </w:p>
    <w:p w:rsidR="00000000" w:rsidRDefault="00000000"/>
    <w:p w:rsidR="00000000" w:rsidRDefault="00000000">
      <w:r>
        <w:t>454.</w:t>
      </w:r>
      <w:r>
        <w:tab/>
        <w:t>Земельный банк был создан в соответствии с дополнительным законодательством в целях оказания непосредственной помощи бенефициарам для приобретения специально отведенных земельных наделов и создания инфраструктуры, необходимой для нормальной хозяйственной деятельности.  В настоящее время Земельный банк признан новым и мощным инструментом распределения земли, который вносит свой вклад в устойчивое экономическое развитие сельских районов.</w:t>
      </w:r>
    </w:p>
    <w:p w:rsidR="00000000" w:rsidRDefault="00000000"/>
    <w:p w:rsidR="00000000" w:rsidRDefault="00000000">
      <w:r>
        <w:t>455.</w:t>
      </w:r>
      <w:r>
        <w:tab/>
        <w:t>Программы Банка предназначены для сельскохозяйственных рабочих, испольщиков, фермеров из числа поселенцев и арендаторов, которые могут доказать, что они имеют по меньшей мере пятилетний опыт ведения фермерских хозяйств или что они являются владельцами небольшого сельского участка, который в силу своего малого размера не в состоянии производить в достаточном количестве продукты, необходимые для удовлетворения потребностей семьи.</w:t>
      </w:r>
    </w:p>
    <w:p w:rsidR="00000000" w:rsidRDefault="00000000"/>
    <w:p w:rsidR="00000000" w:rsidRDefault="00000000">
      <w:r>
        <w:t>456.</w:t>
      </w:r>
      <w:r>
        <w:tab/>
        <w:t>Земельный банк управляется исполнительным секретариатом Совета попечителей, в состав которого входят восемь членов:  министры сельского хозяйства, финансов, по охране окружающей среды, по делам бюджета, управления и развития, Председатель НИРАР и Управляющий Национальным банком экономического и социального развития (НБЭСР).  Председателем Совета является министр земельной политики и аграрного развития.</w:t>
      </w:r>
    </w:p>
    <w:p w:rsidR="00000000" w:rsidRDefault="00000000"/>
    <w:p w:rsidR="00000000" w:rsidRDefault="00000000">
      <w:r>
        <w:t>457.</w:t>
      </w:r>
      <w:r>
        <w:tab/>
        <w:t>Деятельность Земельного банка, строящаяся на принципах партнерства, носит децентрализованный характер.  Банк заключает соглашения с правительствами штатов, которые назначают агентства для координации порядка расходования средств.</w:t>
      </w:r>
    </w:p>
    <w:p w:rsidR="00000000" w:rsidRDefault="00000000"/>
    <w:p w:rsidR="00000000" w:rsidRDefault="00000000">
      <w:r>
        <w:t>458.</w:t>
      </w:r>
      <w:r>
        <w:tab/>
        <w:t>Согласно правилам, ссуды Земельного банка подлежат выплате в течение 20 лет, а льготный период составляет три года.  Проценты колеблются от 4% до 6% в год.</w:t>
      </w:r>
    </w:p>
    <w:p w:rsidR="00000000" w:rsidRDefault="00000000"/>
    <w:p w:rsidR="00000000" w:rsidRDefault="00000000">
      <w:r>
        <w:t>459.</w:t>
      </w:r>
      <w:r>
        <w:tab/>
        <w:t>Сельскохозяйственные рабочие сами выбирают наделы, которые будут финансироваться Земельным банком, и получают средства на строительство базовой инфраструктуры, требуемой общинами.  Помимо земельных наделов и инфраструктуры, ссуда распространяется на административные земельные сборы, регистрационные расходы и топографические услуги.</w:t>
      </w:r>
    </w:p>
    <w:p w:rsidR="00000000" w:rsidRDefault="00000000"/>
    <w:p w:rsidR="00000000" w:rsidRDefault="00000000">
      <w:r>
        <w:t>460.</w:t>
      </w:r>
      <w:r>
        <w:tab/>
        <w:t>Не имеют права на получение ссуды те, кому уже оказывалась помощь Земельным банком или кто уже ранее принимал участие в других проектах по расселению.  Не могут воспользоваться этим правом и те, кто находится на государственной службе, имеет доход, превышающий 15 000 реалов или является владельцем собственного участка земли, площадь которого равна или превышает предусмотренную для семьи площадь надела.</w:t>
      </w:r>
    </w:p>
    <w:p w:rsidR="00000000" w:rsidRDefault="00000000"/>
    <w:p w:rsidR="00000000" w:rsidRDefault="00000000">
      <w:r>
        <w:t>461.</w:t>
      </w:r>
      <w:r>
        <w:tab/>
        <w:t>Годовой процент составляет 4% для ссуд, не превышающих 15 000 реалов, 5% для ссуд от 15 000 до 30 000 реалов и 6% для ссуд от 30 000 до 40 000 реалов, которые составляют потолок для займов Земельного банка.  В более бедных районах сельскохозяйственные рабочие получают 50-процентную скидку на процент, в относительно бедных районах 30-процентную скидку, а в других районах 10-процентную скидку.</w:t>
      </w:r>
    </w:p>
    <w:p w:rsidR="00000000" w:rsidRDefault="00000000"/>
    <w:p w:rsidR="00000000" w:rsidRDefault="00000000">
      <w:r>
        <w:t>462.</w:t>
      </w:r>
      <w:r>
        <w:tab/>
        <w:t>Концептуальной основой Земельного банка является Проект земельного титула, спонсором которого выступает Всемирный банк и который осуществляется в штатах Баия, Сеара, Минас-Жерайс и Пернамбуко, охватывая 15 000 семей.  По расчетам академических исследований, реализация этого Проекта может привести к снижению средней цены за гектар на 6,2% в Мараньяне, на 66% в Сеара, на 14% в Пернамбуко, на 43% в Бахия и на 49% в Минас-Жерайс.  По мнению аналитиков, объясняется это тем, что данный Проект предоставляет возможности для ведения прямых переговоров и предусматривает выплаты по требованию.</w:t>
      </w:r>
    </w:p>
    <w:p w:rsidR="00000000" w:rsidRDefault="00000000"/>
    <w:p w:rsidR="00000000" w:rsidRDefault="00000000">
      <w:r>
        <w:t>463.</w:t>
      </w:r>
      <w:r>
        <w:tab/>
        <w:t>Национальный совет по вопросам сельского развития является важным компонентом процесса аграрной реформы.  Сформированный 6 октября 1999 года президентом Республики Совет действует под председательством министра по вопросам аграрной реформы и состоит из представителей федерального правительства, правительств штатов и муниципальных властей и гражданского общества.  В его задачи входит утверждение Национального плана сельского развития, содержащего руководящие принципы, цели и плановые задания для Национальной программы аграрной реформы и Национальной программы укрепления семейного фермерства (ПРОНАФ).</w:t>
      </w:r>
    </w:p>
    <w:p w:rsidR="00000000" w:rsidRDefault="00000000"/>
    <w:p w:rsidR="00000000" w:rsidRDefault="00000000">
      <w:r>
        <w:t>464.</w:t>
      </w:r>
      <w:r>
        <w:tab/>
        <w:t>Совет также формулирует и координирует общественную политику в сельских районах и действует в сотрудничестве с Советами сельского развития штатов, которые постепенно формируются по всей стране.  Советы штатов, в свою очередь, работают в тесном взаимодействии с советами муниципий.  Сейчас главная задача, которая осуществляется совместными усилиями, состоит в обеспечении экономической жизнеспособности фермерских хозяйств, располагающихся на небольших наделах.  Дискуссии по актуальным проблемам становятся все более оживленными благодаря участию представителей штатов и муниципий, сельских тружеников, всех тех, кто был расселен в рамках программы аграрной реформы, и представителей кооперативов малых сельских производителей.</w:t>
      </w:r>
    </w:p>
    <w:p w:rsidR="00000000" w:rsidRDefault="00000000"/>
    <w:p w:rsidR="00000000" w:rsidRDefault="00000000">
      <w:r>
        <w:t>465.</w:t>
      </w:r>
      <w:r>
        <w:tab/>
        <w:t>В 1999 году была достигнута поставленная в аграрной реформе цель расселения 85 000 семей.  Если к этой цифре добавить число лиц, расселенных в период 1995</w:t>
      </w:r>
      <w:r>
        <w:noBreakHyphen/>
        <w:t>1998 годов, то можно будет признать, что федеральное правительство добилось значительных успехов, расселив 372 000 семей.  С 1999 года задача достижения более высоких показателей в планах отведения земель для целей аграрной реформы стала включать и задачу повышения качества поселений, что привело к тому, что затраты на создание поселений стали превышать затраты на приобретение земли.  Бенефициары сейчас уже могут рассчитывать на более быструю маркировку границ своих участков, им не приходится долго ждать выдачи ссуд на строительство жилья и организацию производства, и они смогут ускорить работу по созданию инфраструктуры на своей земле и  раньше начать получать доходы от фермерства.</w:t>
      </w:r>
    </w:p>
    <w:p w:rsidR="00000000" w:rsidRDefault="00000000"/>
    <w:p w:rsidR="00000000" w:rsidRDefault="00000000">
      <w:r>
        <w:t>466.</w:t>
      </w:r>
      <w:r>
        <w:tab/>
        <w:t>В 1999 году ПРОНАФ был переведен в состав министерства по вопросам аграрной реформы.  Эта мера способствовала дальнейшему укреплению реализуемой в рамках ПРОНАФ программы "</w:t>
      </w:r>
      <w:r>
        <w:rPr>
          <w:lang w:val="en-US"/>
        </w:rPr>
        <w:t>Planta</w:t>
      </w:r>
      <w:r>
        <w:t xml:space="preserve"> </w:t>
      </w:r>
      <w:r>
        <w:rPr>
          <w:lang w:val="en-US"/>
        </w:rPr>
        <w:t>Brasil</w:t>
      </w:r>
      <w:r>
        <w:t>" и сделала более доступными льготы, которые положены семьям фермеров в соответствии с Национальной программой аграрной реформы, а также расширила число льгот и способствовала большей координации государственной политики, ориентированной на сельскохозяйственный сектор.</w:t>
      </w:r>
    </w:p>
    <w:p w:rsidR="00000000" w:rsidRDefault="00000000"/>
    <w:p w:rsidR="00000000" w:rsidRDefault="00000000">
      <w:r>
        <w:t>467.</w:t>
      </w:r>
      <w:r>
        <w:tab/>
        <w:t>ПРОНАФ планирует к началу сева будущего года оказать помощь 1,2 млн. участникам программы, выделив для них 3,4 млрд. реалов по линии финансирования развития сельских районов из средств Фонда помощи рабочим (ФПР), за счет бюджетных ассигнований и средств банков.  Число ссудных контрактов, заключенных к началу сева 1998/99 года увеличилось на 70%.  Эти цифры демонстрируют потенциал Программы.  Результаты Программы, осуществление которой началось в 1995 году, показывают, что она вполне удовлетворяет потребности семей фермеров.  Кредитная линия ПРОНАФ, как самая востребованная часть деятельности Программы "</w:t>
      </w:r>
      <w:r>
        <w:rPr>
          <w:lang w:val="en-US"/>
        </w:rPr>
        <w:t>Planta</w:t>
      </w:r>
      <w:r>
        <w:t xml:space="preserve"> </w:t>
      </w:r>
      <w:r>
        <w:rPr>
          <w:lang w:val="en-US"/>
        </w:rPr>
        <w:t>Brasil</w:t>
      </w:r>
      <w:r>
        <w:t>", придала ей широкую известность.  За год своего существования она значительно превысила плановые задания.</w:t>
      </w:r>
    </w:p>
    <w:p w:rsidR="00000000" w:rsidRDefault="00000000"/>
    <w:p w:rsidR="00000000" w:rsidRDefault="00000000">
      <w:r>
        <w:t>468.</w:t>
      </w:r>
      <w:r>
        <w:tab/>
        <w:t>До того момента, когда объем средств для финансирования урожая 1999/2000 года был установлен в размере 3,4 млрд. реалов, затраты ежегодно увеличивались по мере роста потребностей производителей.</w:t>
      </w:r>
    </w:p>
    <w:p w:rsidR="00000000" w:rsidRDefault="00000000"/>
    <w:p w:rsidR="00000000" w:rsidRDefault="00000000">
      <w:r>
        <w:t>469.</w:t>
      </w:r>
      <w:r>
        <w:tab/>
        <w:t>В 1996 году по Программе ПРОНАФ "</w:t>
      </w:r>
      <w:r>
        <w:rPr>
          <w:lang w:val="en-US"/>
        </w:rPr>
        <w:t>Planta</w:t>
      </w:r>
      <w:r>
        <w:t xml:space="preserve"> </w:t>
      </w:r>
      <w:r>
        <w:rPr>
          <w:lang w:val="en-US"/>
        </w:rPr>
        <w:t>Brasi</w:t>
      </w:r>
      <w:r>
        <w:t xml:space="preserve"> " предлагалось два вида ссуд для покрытия издержек и капиталовложений.  Для урожая текущего года предлагается девять видов ссуд:  ссуда для новых фермеров, интегрированная ссуда, коллективная ссуда, микрокредит, ссуда на ведение агробизнеса, дополнительная ссуда, ссуда на покрытие специальных инвестиций, ссуда на покрытие обычных инвестиций и ссуда на покрытие издержек.  Данная Программа действует в 3 792 муниципиях.  За первые шесть месяцев ее действия, т.е. с июля по декабрь, в стране было подписано 499 338 контрактов на выдачу ссуд на сумму в 1,1 млрд. реалов.</w:t>
      </w:r>
    </w:p>
    <w:p w:rsidR="00000000" w:rsidRDefault="00000000"/>
    <w:p w:rsidR="00000000" w:rsidRDefault="00000000">
      <w:pPr>
        <w:pStyle w:val="16"/>
        <w:rPr>
          <w:b/>
          <w:bCs/>
        </w:rPr>
      </w:pPr>
      <w:r>
        <w:rPr>
          <w:b/>
          <w:bCs/>
        </w:rPr>
        <w:t>Таблица 52.   Ссуды, выдаваемые по Программе "</w:t>
      </w:r>
      <w:r>
        <w:rPr>
          <w:b/>
          <w:bCs/>
          <w:lang w:val="en-US"/>
        </w:rPr>
        <w:t>Planta</w:t>
      </w:r>
      <w:r>
        <w:rPr>
          <w:b/>
          <w:bCs/>
        </w:rPr>
        <w:t xml:space="preserve"> </w:t>
      </w:r>
      <w:r>
        <w:rPr>
          <w:b/>
          <w:bCs/>
          <w:lang w:val="en-US"/>
        </w:rPr>
        <w:t>Brasil</w:t>
      </w:r>
      <w:r>
        <w:rPr>
          <w:b/>
          <w:bCs/>
        </w:rPr>
        <w:t>"</w:t>
      </w:r>
    </w:p>
    <w:p w:rsidR="00000000" w:rsidRDefault="00000000">
      <w:pPr>
        <w:pStyle w:val="16"/>
      </w:pPr>
    </w:p>
    <w:p w:rsidR="00000000" w:rsidRDefault="00000000">
      <w:pPr>
        <w:pStyle w:val="16"/>
      </w:pPr>
      <w:r>
        <w:t>А.</w:t>
      </w:r>
      <w:r>
        <w:tab/>
        <w:t>Выделенные средства, 1999/2000 год (в млн. реалов)</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785"/>
        <w:gridCol w:w="4785"/>
      </w:tblGrid>
      <w:tr w:rsidR="00000000">
        <w:tblPrEx>
          <w:tblCellMar>
            <w:top w:w="0" w:type="dxa"/>
            <w:bottom w:w="0" w:type="dxa"/>
          </w:tblCellMar>
        </w:tblPrEx>
        <w:tc>
          <w:tcPr>
            <w:tcW w:w="4785" w:type="dxa"/>
          </w:tcPr>
          <w:p w:rsidR="00000000" w:rsidRDefault="00000000">
            <w:r>
              <w:t>Новые фермеры</w:t>
            </w:r>
          </w:p>
        </w:tc>
        <w:tc>
          <w:tcPr>
            <w:tcW w:w="4786" w:type="dxa"/>
          </w:tcPr>
          <w:p w:rsidR="00000000" w:rsidRDefault="00000000">
            <w:pPr>
              <w:pStyle w:val="16"/>
            </w:pPr>
            <w:r>
              <w:t>460</w:t>
            </w:r>
          </w:p>
        </w:tc>
      </w:tr>
      <w:tr w:rsidR="00000000">
        <w:tblPrEx>
          <w:tblCellMar>
            <w:top w:w="0" w:type="dxa"/>
            <w:bottom w:w="0" w:type="dxa"/>
          </w:tblCellMar>
        </w:tblPrEx>
        <w:tc>
          <w:tcPr>
            <w:tcW w:w="4785" w:type="dxa"/>
          </w:tcPr>
          <w:p w:rsidR="00000000" w:rsidRDefault="00000000">
            <w:r>
              <w:t>Микрокредиты/</w:t>
            </w:r>
            <w:r>
              <w:rPr>
                <w:lang w:val="en-US"/>
              </w:rPr>
              <w:t>N</w:t>
            </w:r>
            <w:r>
              <w:t>Е</w:t>
            </w:r>
          </w:p>
        </w:tc>
        <w:tc>
          <w:tcPr>
            <w:tcW w:w="4786" w:type="dxa"/>
          </w:tcPr>
          <w:p w:rsidR="00000000" w:rsidRDefault="00000000">
            <w:pPr>
              <w:jc w:val="center"/>
            </w:pPr>
            <w:r>
              <w:t>100</w:t>
            </w:r>
          </w:p>
        </w:tc>
      </w:tr>
      <w:tr w:rsidR="00000000">
        <w:tblPrEx>
          <w:tblCellMar>
            <w:top w:w="0" w:type="dxa"/>
            <w:bottom w:w="0" w:type="dxa"/>
          </w:tblCellMar>
        </w:tblPrEx>
        <w:tc>
          <w:tcPr>
            <w:tcW w:w="4785" w:type="dxa"/>
          </w:tcPr>
          <w:p w:rsidR="00000000" w:rsidRDefault="00000000">
            <w:r>
              <w:t>Агробизнес</w:t>
            </w:r>
          </w:p>
        </w:tc>
        <w:tc>
          <w:tcPr>
            <w:tcW w:w="4786" w:type="dxa"/>
          </w:tcPr>
          <w:p w:rsidR="00000000" w:rsidRDefault="00000000">
            <w:pPr>
              <w:jc w:val="center"/>
            </w:pPr>
            <w:r>
              <w:t>150</w:t>
            </w:r>
          </w:p>
        </w:tc>
      </w:tr>
      <w:tr w:rsidR="00000000">
        <w:tblPrEx>
          <w:tblCellMar>
            <w:top w:w="0" w:type="dxa"/>
            <w:bottom w:w="0" w:type="dxa"/>
          </w:tblCellMar>
        </w:tblPrEx>
        <w:tc>
          <w:tcPr>
            <w:tcW w:w="4785" w:type="dxa"/>
          </w:tcPr>
          <w:p w:rsidR="00000000" w:rsidRDefault="00000000">
            <w:r>
              <w:t>Дополнительные кредиты</w:t>
            </w:r>
          </w:p>
        </w:tc>
        <w:tc>
          <w:tcPr>
            <w:tcW w:w="4786" w:type="dxa"/>
          </w:tcPr>
          <w:p w:rsidR="00000000" w:rsidRDefault="00000000">
            <w:pPr>
              <w:jc w:val="center"/>
            </w:pPr>
            <w:r>
              <w:t>100</w:t>
            </w:r>
          </w:p>
        </w:tc>
      </w:tr>
      <w:tr w:rsidR="00000000">
        <w:tblPrEx>
          <w:tblCellMar>
            <w:top w:w="0" w:type="dxa"/>
            <w:bottom w:w="0" w:type="dxa"/>
          </w:tblCellMar>
        </w:tblPrEx>
        <w:tc>
          <w:tcPr>
            <w:tcW w:w="4785" w:type="dxa"/>
          </w:tcPr>
          <w:p w:rsidR="00000000" w:rsidRDefault="00000000">
            <w:r>
              <w:t>Специальные капиталовложения</w:t>
            </w:r>
          </w:p>
        </w:tc>
        <w:tc>
          <w:tcPr>
            <w:tcW w:w="4786" w:type="dxa"/>
          </w:tcPr>
          <w:p w:rsidR="00000000" w:rsidRDefault="00000000">
            <w:pPr>
              <w:jc w:val="center"/>
            </w:pPr>
            <w:r>
              <w:t>400</w:t>
            </w:r>
          </w:p>
        </w:tc>
      </w:tr>
      <w:tr w:rsidR="00000000">
        <w:tblPrEx>
          <w:tblCellMar>
            <w:top w:w="0" w:type="dxa"/>
            <w:bottom w:w="0" w:type="dxa"/>
          </w:tblCellMar>
        </w:tblPrEx>
        <w:tc>
          <w:tcPr>
            <w:tcW w:w="4785" w:type="dxa"/>
          </w:tcPr>
          <w:p w:rsidR="00000000" w:rsidRDefault="00000000">
            <w:r>
              <w:t>Специальные издержки</w:t>
            </w:r>
          </w:p>
        </w:tc>
        <w:tc>
          <w:tcPr>
            <w:tcW w:w="4786" w:type="dxa"/>
          </w:tcPr>
          <w:p w:rsidR="00000000" w:rsidRDefault="00000000">
            <w:pPr>
              <w:jc w:val="center"/>
            </w:pPr>
            <w:r>
              <w:t>500</w:t>
            </w:r>
          </w:p>
        </w:tc>
      </w:tr>
      <w:tr w:rsidR="00000000">
        <w:tblPrEx>
          <w:tblCellMar>
            <w:top w:w="0" w:type="dxa"/>
            <w:bottom w:w="0" w:type="dxa"/>
          </w:tblCellMar>
        </w:tblPrEx>
        <w:tc>
          <w:tcPr>
            <w:tcW w:w="4785" w:type="dxa"/>
          </w:tcPr>
          <w:p w:rsidR="00000000" w:rsidRDefault="00000000">
            <w:r>
              <w:t>Инвестиции</w:t>
            </w:r>
          </w:p>
        </w:tc>
        <w:tc>
          <w:tcPr>
            <w:tcW w:w="4786" w:type="dxa"/>
          </w:tcPr>
          <w:p w:rsidR="00000000" w:rsidRDefault="00000000">
            <w:pPr>
              <w:jc w:val="center"/>
            </w:pPr>
            <w:r>
              <w:t>700</w:t>
            </w:r>
          </w:p>
        </w:tc>
      </w:tr>
      <w:tr w:rsidR="00000000">
        <w:tblPrEx>
          <w:tblCellMar>
            <w:top w:w="0" w:type="dxa"/>
            <w:bottom w:w="0" w:type="dxa"/>
          </w:tblCellMar>
        </w:tblPrEx>
        <w:tc>
          <w:tcPr>
            <w:tcW w:w="4785" w:type="dxa"/>
          </w:tcPr>
          <w:p w:rsidR="00000000" w:rsidRDefault="00000000">
            <w:r>
              <w:t>Издержки</w:t>
            </w:r>
          </w:p>
        </w:tc>
        <w:tc>
          <w:tcPr>
            <w:tcW w:w="4786" w:type="dxa"/>
          </w:tcPr>
          <w:p w:rsidR="00000000" w:rsidRDefault="00000000">
            <w:pPr>
              <w:jc w:val="center"/>
            </w:pPr>
            <w:r>
              <w:t>1 050</w:t>
            </w:r>
          </w:p>
        </w:tc>
      </w:tr>
      <w:tr w:rsidR="00000000">
        <w:tblPrEx>
          <w:tblCellMar>
            <w:top w:w="0" w:type="dxa"/>
            <w:bottom w:w="0" w:type="dxa"/>
          </w:tblCellMar>
        </w:tblPrEx>
        <w:tc>
          <w:tcPr>
            <w:tcW w:w="4785" w:type="dxa"/>
          </w:tcPr>
          <w:p w:rsidR="00000000" w:rsidRDefault="00000000">
            <w:r>
              <w:t>Всего</w:t>
            </w:r>
          </w:p>
        </w:tc>
        <w:tc>
          <w:tcPr>
            <w:tcW w:w="4786" w:type="dxa"/>
          </w:tcPr>
          <w:p w:rsidR="00000000" w:rsidRDefault="00000000">
            <w:pPr>
              <w:jc w:val="center"/>
            </w:pPr>
            <w:r>
              <w:t>3 460</w:t>
            </w:r>
          </w:p>
        </w:tc>
      </w:tr>
    </w:tbl>
    <w:p w:rsidR="00000000" w:rsidRDefault="00000000">
      <w:pPr>
        <w:pStyle w:val="16"/>
      </w:pPr>
    </w:p>
    <w:p w:rsidR="00000000" w:rsidRDefault="00000000">
      <w:pPr>
        <w:pStyle w:val="16"/>
      </w:pPr>
    </w:p>
    <w:p w:rsidR="00000000" w:rsidRDefault="00000000">
      <w:pPr>
        <w:pStyle w:val="16"/>
      </w:pPr>
      <w:r>
        <w:t>В.</w:t>
      </w:r>
      <w:r>
        <w:tab/>
        <w:t>Источники финансирования (в млн. реалов)</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000000">
        <w:tblPrEx>
          <w:tblCellMar>
            <w:top w:w="0" w:type="dxa"/>
            <w:bottom w:w="0" w:type="dxa"/>
          </w:tblCellMar>
        </w:tblPrEx>
        <w:tc>
          <w:tcPr>
            <w:tcW w:w="4785" w:type="dxa"/>
            <w:tcBorders>
              <w:bottom w:val="single" w:sz="4" w:space="0" w:color="auto"/>
              <w:right w:val="nil"/>
            </w:tcBorders>
          </w:tcPr>
          <w:p w:rsidR="00000000" w:rsidRDefault="00000000">
            <w:r>
              <w:t>ФПР</w:t>
            </w:r>
          </w:p>
        </w:tc>
        <w:tc>
          <w:tcPr>
            <w:tcW w:w="4786" w:type="dxa"/>
            <w:tcBorders>
              <w:left w:val="nil"/>
            </w:tcBorders>
          </w:tcPr>
          <w:p w:rsidR="00000000" w:rsidRDefault="00000000">
            <w:pPr>
              <w:jc w:val="right"/>
            </w:pPr>
            <w:r>
              <w:t>2 950</w:t>
            </w:r>
          </w:p>
        </w:tc>
      </w:tr>
      <w:tr w:rsidR="00000000">
        <w:tblPrEx>
          <w:tblCellMar>
            <w:top w:w="0" w:type="dxa"/>
            <w:bottom w:w="0" w:type="dxa"/>
          </w:tblCellMar>
        </w:tblPrEx>
        <w:tc>
          <w:tcPr>
            <w:tcW w:w="4785" w:type="dxa"/>
            <w:tcBorders>
              <w:right w:val="nil"/>
            </w:tcBorders>
          </w:tcPr>
          <w:p w:rsidR="00000000" w:rsidRDefault="00000000">
            <w:r>
              <w:t>Ассигнования</w:t>
            </w:r>
          </w:p>
        </w:tc>
        <w:tc>
          <w:tcPr>
            <w:tcW w:w="4786" w:type="dxa"/>
            <w:tcBorders>
              <w:left w:val="nil"/>
            </w:tcBorders>
          </w:tcPr>
          <w:p w:rsidR="00000000" w:rsidRDefault="00000000">
            <w:pPr>
              <w:jc w:val="right"/>
            </w:pPr>
            <w:r>
              <w:t>360</w:t>
            </w:r>
          </w:p>
        </w:tc>
      </w:tr>
      <w:tr w:rsidR="00000000">
        <w:tblPrEx>
          <w:tblCellMar>
            <w:top w:w="0" w:type="dxa"/>
            <w:bottom w:w="0" w:type="dxa"/>
          </w:tblCellMar>
        </w:tblPrEx>
        <w:tc>
          <w:tcPr>
            <w:tcW w:w="4785" w:type="dxa"/>
            <w:tcBorders>
              <w:right w:val="nil"/>
            </w:tcBorders>
          </w:tcPr>
          <w:p w:rsidR="00000000" w:rsidRDefault="00000000">
            <w:r>
              <w:t>Банковские средства</w:t>
            </w:r>
          </w:p>
        </w:tc>
        <w:tc>
          <w:tcPr>
            <w:tcW w:w="4786" w:type="dxa"/>
            <w:tcBorders>
              <w:left w:val="nil"/>
            </w:tcBorders>
          </w:tcPr>
          <w:p w:rsidR="00000000" w:rsidRDefault="00000000">
            <w:pPr>
              <w:jc w:val="right"/>
            </w:pPr>
            <w:r>
              <w:t>150</w:t>
            </w:r>
          </w:p>
        </w:tc>
      </w:tr>
      <w:tr w:rsidR="00000000">
        <w:tblPrEx>
          <w:tblCellMar>
            <w:top w:w="0" w:type="dxa"/>
            <w:bottom w:w="0" w:type="dxa"/>
          </w:tblCellMar>
        </w:tblPrEx>
        <w:tc>
          <w:tcPr>
            <w:tcW w:w="4785" w:type="dxa"/>
            <w:tcBorders>
              <w:right w:val="nil"/>
            </w:tcBorders>
          </w:tcPr>
          <w:p w:rsidR="00000000" w:rsidRDefault="00000000">
            <w:r>
              <w:t>Всего</w:t>
            </w:r>
          </w:p>
        </w:tc>
        <w:tc>
          <w:tcPr>
            <w:tcW w:w="4786" w:type="dxa"/>
            <w:tcBorders>
              <w:left w:val="nil"/>
            </w:tcBorders>
          </w:tcPr>
          <w:p w:rsidR="00000000" w:rsidRDefault="00000000">
            <w:pPr>
              <w:jc w:val="right"/>
            </w:pPr>
            <w:r>
              <w:t>3 460</w:t>
            </w:r>
          </w:p>
        </w:tc>
      </w:tr>
    </w:tbl>
    <w:p w:rsidR="00000000" w:rsidRDefault="00000000"/>
    <w:p w:rsidR="00000000" w:rsidRDefault="00000000"/>
    <w:p w:rsidR="00000000" w:rsidRDefault="00000000">
      <w:pPr>
        <w:pStyle w:val="16"/>
      </w:pPr>
      <w:r>
        <w:br w:type="page"/>
        <w:t>С.</w:t>
      </w:r>
      <w:r>
        <w:tab/>
        <w:t>Финансирование производства (сельский кредит) - виды ссуд</w:t>
      </w:r>
    </w:p>
    <w:p w:rsidR="00000000" w:rsidRDefault="00000000">
      <w:pPr>
        <w:jc w:val="center"/>
      </w:pPr>
      <w:r>
        <w:t>и общий объем средств (в реалах)</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8"/>
        <w:gridCol w:w="1177"/>
        <w:gridCol w:w="1496"/>
        <w:gridCol w:w="1496"/>
        <w:gridCol w:w="1870"/>
        <w:gridCol w:w="1983"/>
      </w:tblGrid>
      <w:tr w:rsidR="00000000">
        <w:tblPrEx>
          <w:tblCellMar>
            <w:top w:w="0" w:type="dxa"/>
            <w:bottom w:w="0" w:type="dxa"/>
          </w:tblCellMar>
        </w:tblPrEx>
        <w:tc>
          <w:tcPr>
            <w:tcW w:w="1549" w:type="dxa"/>
          </w:tcPr>
          <w:p w:rsidR="00000000" w:rsidRDefault="00000000">
            <w:pPr>
              <w:rPr>
                <w:sz w:val="20"/>
              </w:rPr>
            </w:pPr>
          </w:p>
        </w:tc>
        <w:tc>
          <w:tcPr>
            <w:tcW w:w="1177" w:type="dxa"/>
          </w:tcPr>
          <w:p w:rsidR="00000000" w:rsidRDefault="00000000">
            <w:pPr>
              <w:pStyle w:val="16"/>
              <w:rPr>
                <w:sz w:val="20"/>
              </w:rPr>
            </w:pPr>
            <w:r>
              <w:rPr>
                <w:sz w:val="20"/>
              </w:rPr>
              <w:t>1995</w:t>
            </w:r>
          </w:p>
        </w:tc>
        <w:tc>
          <w:tcPr>
            <w:tcW w:w="1496" w:type="dxa"/>
          </w:tcPr>
          <w:p w:rsidR="00000000" w:rsidRDefault="00000000">
            <w:pPr>
              <w:jc w:val="center"/>
              <w:rPr>
                <w:sz w:val="20"/>
              </w:rPr>
            </w:pPr>
            <w:r>
              <w:rPr>
                <w:sz w:val="20"/>
              </w:rPr>
              <w:t>1996</w:t>
            </w:r>
          </w:p>
        </w:tc>
        <w:tc>
          <w:tcPr>
            <w:tcW w:w="1496" w:type="dxa"/>
          </w:tcPr>
          <w:p w:rsidR="00000000" w:rsidRDefault="00000000">
            <w:pPr>
              <w:jc w:val="center"/>
              <w:rPr>
                <w:sz w:val="20"/>
              </w:rPr>
            </w:pPr>
            <w:r>
              <w:rPr>
                <w:sz w:val="20"/>
              </w:rPr>
              <w:t>1997</w:t>
            </w:r>
          </w:p>
        </w:tc>
        <w:tc>
          <w:tcPr>
            <w:tcW w:w="1870" w:type="dxa"/>
          </w:tcPr>
          <w:p w:rsidR="00000000" w:rsidRDefault="00000000">
            <w:pPr>
              <w:jc w:val="center"/>
              <w:rPr>
                <w:sz w:val="20"/>
              </w:rPr>
            </w:pPr>
            <w:r>
              <w:rPr>
                <w:sz w:val="20"/>
              </w:rPr>
              <w:t>1998</w:t>
            </w:r>
          </w:p>
        </w:tc>
        <w:tc>
          <w:tcPr>
            <w:tcW w:w="1983" w:type="dxa"/>
          </w:tcPr>
          <w:p w:rsidR="00000000" w:rsidRDefault="00000000">
            <w:pPr>
              <w:jc w:val="center"/>
              <w:rPr>
                <w:sz w:val="20"/>
              </w:rPr>
            </w:pPr>
            <w:r>
              <w:rPr>
                <w:sz w:val="20"/>
              </w:rPr>
              <w:t>1999/2000</w:t>
            </w:r>
          </w:p>
        </w:tc>
      </w:tr>
      <w:tr w:rsidR="00000000">
        <w:tblPrEx>
          <w:tblCellMar>
            <w:top w:w="0" w:type="dxa"/>
            <w:bottom w:w="0" w:type="dxa"/>
          </w:tblCellMar>
        </w:tblPrEx>
        <w:tc>
          <w:tcPr>
            <w:tcW w:w="1549" w:type="dxa"/>
          </w:tcPr>
          <w:p w:rsidR="00000000" w:rsidRDefault="00000000">
            <w:pPr>
              <w:jc w:val="center"/>
              <w:rPr>
                <w:sz w:val="20"/>
              </w:rPr>
            </w:pPr>
            <w:r>
              <w:rPr>
                <w:sz w:val="20"/>
              </w:rPr>
              <w:t>Вид ссуды</w:t>
            </w:r>
          </w:p>
        </w:tc>
        <w:tc>
          <w:tcPr>
            <w:tcW w:w="1177" w:type="dxa"/>
          </w:tcPr>
          <w:p w:rsidR="00000000" w:rsidRDefault="00000000">
            <w:pPr>
              <w:jc w:val="center"/>
              <w:rPr>
                <w:sz w:val="20"/>
              </w:rPr>
            </w:pPr>
            <w:r>
              <w:rPr>
                <w:sz w:val="20"/>
              </w:rPr>
              <w:t>Издержки</w:t>
            </w:r>
          </w:p>
        </w:tc>
        <w:tc>
          <w:tcPr>
            <w:tcW w:w="1496" w:type="dxa"/>
          </w:tcPr>
          <w:p w:rsidR="00000000" w:rsidRDefault="00000000">
            <w:pPr>
              <w:jc w:val="center"/>
              <w:rPr>
                <w:sz w:val="20"/>
              </w:rPr>
            </w:pPr>
            <w:r>
              <w:rPr>
                <w:sz w:val="20"/>
              </w:rPr>
              <w:t>Инвестиции</w:t>
            </w:r>
          </w:p>
          <w:p w:rsidR="00000000" w:rsidRDefault="00000000">
            <w:pPr>
              <w:jc w:val="center"/>
              <w:rPr>
                <w:sz w:val="20"/>
              </w:rPr>
            </w:pPr>
            <w:r>
              <w:rPr>
                <w:sz w:val="20"/>
              </w:rPr>
              <w:t>Издержки</w:t>
            </w:r>
          </w:p>
        </w:tc>
        <w:tc>
          <w:tcPr>
            <w:tcW w:w="1496" w:type="dxa"/>
          </w:tcPr>
          <w:p w:rsidR="00000000" w:rsidRDefault="00000000">
            <w:pPr>
              <w:jc w:val="center"/>
              <w:rPr>
                <w:sz w:val="20"/>
              </w:rPr>
            </w:pPr>
            <w:r>
              <w:rPr>
                <w:sz w:val="20"/>
              </w:rPr>
              <w:t>Специальные издержки</w:t>
            </w:r>
          </w:p>
          <w:p w:rsidR="00000000" w:rsidRDefault="00000000">
            <w:pPr>
              <w:jc w:val="center"/>
              <w:rPr>
                <w:sz w:val="20"/>
              </w:rPr>
            </w:pPr>
            <w:r>
              <w:rPr>
                <w:sz w:val="20"/>
              </w:rPr>
              <w:t>Инвестиции</w:t>
            </w:r>
          </w:p>
          <w:p w:rsidR="00000000" w:rsidRDefault="00000000">
            <w:pPr>
              <w:jc w:val="center"/>
              <w:rPr>
                <w:sz w:val="20"/>
              </w:rPr>
            </w:pPr>
            <w:r>
              <w:rPr>
                <w:sz w:val="20"/>
              </w:rPr>
              <w:t>Издержки</w:t>
            </w:r>
          </w:p>
        </w:tc>
        <w:tc>
          <w:tcPr>
            <w:tcW w:w="1870" w:type="dxa"/>
          </w:tcPr>
          <w:p w:rsidR="00000000" w:rsidRDefault="00000000">
            <w:pPr>
              <w:jc w:val="center"/>
              <w:rPr>
                <w:sz w:val="20"/>
              </w:rPr>
            </w:pPr>
            <w:r>
              <w:rPr>
                <w:sz w:val="20"/>
              </w:rPr>
              <w:t>Агробизнес</w:t>
            </w:r>
          </w:p>
          <w:p w:rsidR="00000000" w:rsidRDefault="00000000">
            <w:pPr>
              <w:jc w:val="center"/>
              <w:rPr>
                <w:sz w:val="20"/>
              </w:rPr>
            </w:pPr>
            <w:r>
              <w:rPr>
                <w:sz w:val="20"/>
              </w:rPr>
              <w:t>Дополнительные издержки</w:t>
            </w:r>
          </w:p>
          <w:p w:rsidR="00000000" w:rsidRDefault="00000000">
            <w:pPr>
              <w:jc w:val="center"/>
              <w:rPr>
                <w:sz w:val="20"/>
              </w:rPr>
            </w:pPr>
            <w:r>
              <w:rPr>
                <w:sz w:val="20"/>
              </w:rPr>
              <w:t>Специальные капиталовложения</w:t>
            </w:r>
          </w:p>
          <w:p w:rsidR="00000000" w:rsidRDefault="00000000">
            <w:pPr>
              <w:jc w:val="center"/>
              <w:rPr>
                <w:sz w:val="20"/>
              </w:rPr>
            </w:pPr>
            <w:r>
              <w:rPr>
                <w:sz w:val="20"/>
              </w:rPr>
              <w:t>Специальные издержки</w:t>
            </w:r>
          </w:p>
          <w:p w:rsidR="00000000" w:rsidRDefault="00000000">
            <w:pPr>
              <w:jc w:val="center"/>
              <w:rPr>
                <w:sz w:val="20"/>
              </w:rPr>
            </w:pPr>
            <w:r>
              <w:rPr>
                <w:sz w:val="20"/>
              </w:rPr>
              <w:t>Инвестиции</w:t>
            </w:r>
          </w:p>
          <w:p w:rsidR="00000000" w:rsidRDefault="00000000">
            <w:pPr>
              <w:jc w:val="center"/>
              <w:rPr>
                <w:sz w:val="20"/>
              </w:rPr>
            </w:pPr>
            <w:r>
              <w:rPr>
                <w:sz w:val="20"/>
              </w:rPr>
              <w:t>Издержки</w:t>
            </w:r>
          </w:p>
        </w:tc>
        <w:tc>
          <w:tcPr>
            <w:tcW w:w="1983" w:type="dxa"/>
          </w:tcPr>
          <w:p w:rsidR="00000000" w:rsidRDefault="00000000">
            <w:pPr>
              <w:jc w:val="center"/>
              <w:rPr>
                <w:sz w:val="20"/>
              </w:rPr>
            </w:pPr>
            <w:r>
              <w:rPr>
                <w:sz w:val="20"/>
              </w:rPr>
              <w:t>Новые фермеры</w:t>
            </w:r>
          </w:p>
          <w:p w:rsidR="00000000" w:rsidRDefault="00000000">
            <w:pPr>
              <w:jc w:val="center"/>
              <w:rPr>
                <w:sz w:val="20"/>
              </w:rPr>
            </w:pPr>
            <w:r>
              <w:rPr>
                <w:sz w:val="20"/>
              </w:rPr>
              <w:t>Интегрированные коллективные ссуды</w:t>
            </w:r>
          </w:p>
          <w:p w:rsidR="00000000" w:rsidRDefault="00000000">
            <w:pPr>
              <w:jc w:val="center"/>
              <w:rPr>
                <w:sz w:val="20"/>
              </w:rPr>
            </w:pPr>
            <w:r>
              <w:rPr>
                <w:sz w:val="20"/>
              </w:rPr>
              <w:t>Микрокредиты (</w:t>
            </w:r>
            <w:r>
              <w:rPr>
                <w:sz w:val="20"/>
                <w:lang w:val="en-US"/>
              </w:rPr>
              <w:t>N</w:t>
            </w:r>
            <w:r>
              <w:rPr>
                <w:sz w:val="20"/>
              </w:rPr>
              <w:t>Е)</w:t>
            </w:r>
          </w:p>
          <w:p w:rsidR="00000000" w:rsidRDefault="00000000">
            <w:pPr>
              <w:jc w:val="center"/>
              <w:rPr>
                <w:sz w:val="20"/>
              </w:rPr>
            </w:pPr>
            <w:r>
              <w:rPr>
                <w:sz w:val="20"/>
              </w:rPr>
              <w:t>Агробизнес</w:t>
            </w:r>
          </w:p>
          <w:p w:rsidR="00000000" w:rsidRDefault="00000000">
            <w:pPr>
              <w:jc w:val="center"/>
              <w:rPr>
                <w:sz w:val="20"/>
              </w:rPr>
            </w:pPr>
            <w:r>
              <w:rPr>
                <w:sz w:val="20"/>
              </w:rPr>
              <w:t>Дополнительные издержки</w:t>
            </w:r>
          </w:p>
          <w:p w:rsidR="00000000" w:rsidRDefault="00000000">
            <w:pPr>
              <w:jc w:val="center"/>
              <w:rPr>
                <w:sz w:val="20"/>
              </w:rPr>
            </w:pPr>
            <w:r>
              <w:rPr>
                <w:sz w:val="20"/>
              </w:rPr>
              <w:t>Специальные капиталовложения</w:t>
            </w:r>
          </w:p>
          <w:p w:rsidR="00000000" w:rsidRDefault="00000000">
            <w:pPr>
              <w:jc w:val="center"/>
              <w:rPr>
                <w:sz w:val="20"/>
              </w:rPr>
            </w:pPr>
            <w:r>
              <w:rPr>
                <w:sz w:val="20"/>
              </w:rPr>
              <w:t>Специальные издержки</w:t>
            </w:r>
          </w:p>
          <w:p w:rsidR="00000000" w:rsidRDefault="00000000">
            <w:pPr>
              <w:jc w:val="center"/>
              <w:rPr>
                <w:sz w:val="20"/>
              </w:rPr>
            </w:pPr>
            <w:r>
              <w:rPr>
                <w:sz w:val="20"/>
              </w:rPr>
              <w:t>Инвестиции</w:t>
            </w:r>
          </w:p>
          <w:p w:rsidR="00000000" w:rsidRDefault="00000000">
            <w:pPr>
              <w:jc w:val="center"/>
              <w:rPr>
                <w:sz w:val="20"/>
              </w:rPr>
            </w:pPr>
          </w:p>
          <w:p w:rsidR="00000000" w:rsidRDefault="00000000">
            <w:pPr>
              <w:jc w:val="center"/>
              <w:rPr>
                <w:sz w:val="20"/>
              </w:rPr>
            </w:pPr>
            <w:r>
              <w:rPr>
                <w:sz w:val="20"/>
              </w:rPr>
              <w:t>Издержки</w:t>
            </w:r>
          </w:p>
        </w:tc>
      </w:tr>
      <w:tr w:rsidR="00000000">
        <w:tblPrEx>
          <w:tblCellMar>
            <w:top w:w="0" w:type="dxa"/>
            <w:bottom w:w="0" w:type="dxa"/>
          </w:tblCellMar>
        </w:tblPrEx>
        <w:tc>
          <w:tcPr>
            <w:tcW w:w="1549" w:type="dxa"/>
          </w:tcPr>
          <w:p w:rsidR="00000000" w:rsidRDefault="00000000">
            <w:pPr>
              <w:rPr>
                <w:sz w:val="20"/>
              </w:rPr>
            </w:pPr>
            <w:r>
              <w:rPr>
                <w:sz w:val="20"/>
              </w:rPr>
              <w:t>Число контрактов</w:t>
            </w:r>
          </w:p>
        </w:tc>
        <w:tc>
          <w:tcPr>
            <w:tcW w:w="1177" w:type="dxa"/>
          </w:tcPr>
          <w:p w:rsidR="00000000" w:rsidRDefault="00000000">
            <w:pPr>
              <w:jc w:val="right"/>
              <w:rPr>
                <w:sz w:val="20"/>
              </w:rPr>
            </w:pPr>
            <w:r>
              <w:rPr>
                <w:sz w:val="20"/>
              </w:rPr>
              <w:t>32 000</w:t>
            </w:r>
          </w:p>
        </w:tc>
        <w:tc>
          <w:tcPr>
            <w:tcW w:w="1496" w:type="dxa"/>
          </w:tcPr>
          <w:p w:rsidR="00000000" w:rsidRDefault="00000000">
            <w:pPr>
              <w:jc w:val="right"/>
              <w:rPr>
                <w:sz w:val="20"/>
              </w:rPr>
            </w:pPr>
            <w:r>
              <w:rPr>
                <w:sz w:val="20"/>
              </w:rPr>
              <w:t>332 828</w:t>
            </w:r>
          </w:p>
        </w:tc>
        <w:tc>
          <w:tcPr>
            <w:tcW w:w="1496" w:type="dxa"/>
          </w:tcPr>
          <w:p w:rsidR="00000000" w:rsidRDefault="00000000">
            <w:pPr>
              <w:jc w:val="right"/>
              <w:rPr>
                <w:sz w:val="20"/>
              </w:rPr>
            </w:pPr>
            <w:r>
              <w:rPr>
                <w:sz w:val="20"/>
              </w:rPr>
              <w:t>496 550</w:t>
            </w:r>
          </w:p>
        </w:tc>
        <w:tc>
          <w:tcPr>
            <w:tcW w:w="1870" w:type="dxa"/>
          </w:tcPr>
          <w:p w:rsidR="00000000" w:rsidRDefault="00000000">
            <w:pPr>
              <w:jc w:val="right"/>
              <w:rPr>
                <w:sz w:val="20"/>
              </w:rPr>
            </w:pPr>
            <w:r>
              <w:rPr>
                <w:sz w:val="20"/>
              </w:rPr>
              <w:t>709 906</w:t>
            </w:r>
          </w:p>
        </w:tc>
        <w:tc>
          <w:tcPr>
            <w:tcW w:w="1983" w:type="dxa"/>
          </w:tcPr>
          <w:p w:rsidR="00000000" w:rsidRDefault="00000000">
            <w:pPr>
              <w:jc w:val="right"/>
              <w:rPr>
                <w:sz w:val="20"/>
              </w:rPr>
            </w:pPr>
            <w:r>
              <w:rPr>
                <w:sz w:val="20"/>
              </w:rPr>
              <w:t>491 409</w:t>
            </w:r>
          </w:p>
        </w:tc>
      </w:tr>
      <w:tr w:rsidR="00000000">
        <w:tblPrEx>
          <w:tblCellMar>
            <w:top w:w="0" w:type="dxa"/>
            <w:bottom w:w="0" w:type="dxa"/>
          </w:tblCellMar>
        </w:tblPrEx>
        <w:tc>
          <w:tcPr>
            <w:tcW w:w="1549" w:type="dxa"/>
          </w:tcPr>
          <w:p w:rsidR="00000000" w:rsidRDefault="00000000">
            <w:pPr>
              <w:rPr>
                <w:sz w:val="20"/>
              </w:rPr>
            </w:pPr>
            <w:r>
              <w:rPr>
                <w:sz w:val="20"/>
              </w:rPr>
              <w:t>Всего</w:t>
            </w:r>
          </w:p>
        </w:tc>
        <w:tc>
          <w:tcPr>
            <w:tcW w:w="1177" w:type="dxa"/>
          </w:tcPr>
          <w:p w:rsidR="00000000" w:rsidRDefault="00000000">
            <w:pPr>
              <w:jc w:val="right"/>
              <w:rPr>
                <w:sz w:val="20"/>
              </w:rPr>
            </w:pPr>
            <w:r>
              <w:rPr>
                <w:sz w:val="20"/>
              </w:rPr>
              <w:t>93 000 000</w:t>
            </w:r>
          </w:p>
        </w:tc>
        <w:tc>
          <w:tcPr>
            <w:tcW w:w="1496" w:type="dxa"/>
          </w:tcPr>
          <w:p w:rsidR="00000000" w:rsidRDefault="00000000">
            <w:pPr>
              <w:jc w:val="right"/>
              <w:rPr>
                <w:sz w:val="20"/>
              </w:rPr>
            </w:pPr>
            <w:r>
              <w:rPr>
                <w:sz w:val="20"/>
              </w:rPr>
              <w:t>649 795 000</w:t>
            </w:r>
          </w:p>
        </w:tc>
        <w:tc>
          <w:tcPr>
            <w:tcW w:w="1496" w:type="dxa"/>
          </w:tcPr>
          <w:p w:rsidR="00000000" w:rsidRDefault="00000000">
            <w:pPr>
              <w:jc w:val="right"/>
              <w:rPr>
                <w:sz w:val="20"/>
              </w:rPr>
            </w:pPr>
            <w:r>
              <w:rPr>
                <w:sz w:val="20"/>
              </w:rPr>
              <w:t>1 637 440 000</w:t>
            </w:r>
          </w:p>
        </w:tc>
        <w:tc>
          <w:tcPr>
            <w:tcW w:w="1870" w:type="dxa"/>
          </w:tcPr>
          <w:p w:rsidR="00000000" w:rsidRDefault="00000000">
            <w:pPr>
              <w:jc w:val="right"/>
              <w:rPr>
                <w:sz w:val="20"/>
              </w:rPr>
            </w:pPr>
            <w:r>
              <w:rPr>
                <w:sz w:val="20"/>
              </w:rPr>
              <w:t>1 814 922 000</w:t>
            </w:r>
          </w:p>
        </w:tc>
        <w:tc>
          <w:tcPr>
            <w:tcW w:w="1983" w:type="dxa"/>
          </w:tcPr>
          <w:p w:rsidR="00000000" w:rsidRDefault="00000000">
            <w:pPr>
              <w:jc w:val="right"/>
              <w:rPr>
                <w:sz w:val="20"/>
              </w:rPr>
            </w:pPr>
            <w:r>
              <w:rPr>
                <w:sz w:val="20"/>
              </w:rPr>
              <w:t>1 127 230</w:t>
            </w:r>
          </w:p>
        </w:tc>
      </w:tr>
    </w:tbl>
    <w:p w:rsidR="00000000" w:rsidRDefault="00000000"/>
    <w:p w:rsidR="00000000" w:rsidRDefault="00000000"/>
    <w:p w:rsidR="00000000" w:rsidRDefault="00000000">
      <w:r>
        <w:t>470.</w:t>
      </w:r>
      <w:r>
        <w:tab/>
        <w:t>Ниже в кратком схематичном виде приводятся основные характерные особенности бразильской семьи фермера по данным исследования 1999 года:</w:t>
      </w:r>
    </w:p>
    <w:p w:rsidR="00000000" w:rsidRDefault="00000000"/>
    <w:p w:rsidR="00000000" w:rsidRDefault="00000000">
      <w:pPr>
        <w:rPr>
          <w:u w:val="single"/>
        </w:rPr>
      </w:pPr>
      <w:r>
        <w:rPr>
          <w:u w:val="single"/>
        </w:rPr>
        <w:t>Группа А</w:t>
      </w:r>
    </w:p>
    <w:p w:rsidR="00000000" w:rsidRDefault="00000000">
      <w:pPr>
        <w:rPr>
          <w:u w:val="single"/>
        </w:rPr>
      </w:pPr>
    </w:p>
    <w:p w:rsidR="00000000" w:rsidRDefault="00000000">
      <w:pPr>
        <w:ind w:left="1134" w:hanging="1134"/>
      </w:pPr>
      <w:r>
        <w:tab/>
        <w:t>-</w:t>
      </w:r>
      <w:r>
        <w:tab/>
        <w:t>Новые фермеры:  семьи, расселенные в соответствии с аграрной реформой, но не финансируемые по программе Просера, а если и финансируемые из ее средств, то на уровне ниже предела, установленного для одной семьи.</w:t>
      </w:r>
    </w:p>
    <w:p w:rsidR="00000000" w:rsidRDefault="00000000">
      <w:pPr>
        <w:ind w:left="1134" w:hanging="1134"/>
      </w:pPr>
    </w:p>
    <w:p w:rsidR="00000000" w:rsidRDefault="00000000">
      <w:pPr>
        <w:rPr>
          <w:u w:val="single"/>
        </w:rPr>
      </w:pPr>
      <w:r>
        <w:rPr>
          <w:u w:val="single"/>
        </w:rPr>
        <w:t>Группа В</w:t>
      </w:r>
    </w:p>
    <w:p w:rsidR="00000000" w:rsidRDefault="00000000">
      <w:pPr>
        <w:rPr>
          <w:u w:val="single"/>
        </w:rPr>
      </w:pPr>
    </w:p>
    <w:p w:rsidR="00000000" w:rsidRDefault="00000000">
      <w:pPr>
        <w:pStyle w:val="BodyTextIndent"/>
        <w:ind w:left="1134" w:hanging="567"/>
      </w:pPr>
      <w:r>
        <w:t>-</w:t>
      </w:r>
      <w:r>
        <w:tab/>
        <w:t xml:space="preserve">Семьи фермеров, рыбаки, кустари, рабочие добывающей отрасли промышленности и работники, занимающиеся аквакультурой;  </w:t>
      </w:r>
    </w:p>
    <w:p w:rsidR="00000000" w:rsidRDefault="00000000">
      <w:pPr>
        <w:pStyle w:val="BodyTextIndent"/>
      </w:pPr>
    </w:p>
    <w:p w:rsidR="00000000" w:rsidRDefault="00000000">
      <w:pPr>
        <w:ind w:left="1134" w:hanging="1134"/>
      </w:pPr>
      <w:r>
        <w:tab/>
        <w:t>-</w:t>
      </w:r>
      <w:r>
        <w:tab/>
        <w:t>владельцы собственных наделов, поселенцы, получившие участки, арендаторы, испольщики или бенефициары аграрной реформы;</w:t>
      </w:r>
    </w:p>
    <w:p w:rsidR="00000000" w:rsidRDefault="00000000">
      <w:pPr>
        <w:ind w:left="1134" w:hanging="1134"/>
      </w:pPr>
    </w:p>
    <w:p w:rsidR="00000000" w:rsidRDefault="00000000">
      <w:pPr>
        <w:ind w:left="1134" w:hanging="1134"/>
      </w:pPr>
      <w:r>
        <w:tab/>
        <w:t>-</w:t>
      </w:r>
      <w:r>
        <w:tab/>
        <w:t>лица, проживающие на участках или вблизи городских или сельских поселений;</w:t>
      </w:r>
    </w:p>
    <w:p w:rsidR="00000000" w:rsidRDefault="00000000">
      <w:pPr>
        <w:ind w:left="1134" w:hanging="1134"/>
      </w:pPr>
    </w:p>
    <w:p w:rsidR="00000000" w:rsidRDefault="00000000">
      <w:pPr>
        <w:ind w:left="1134" w:hanging="1134"/>
      </w:pPr>
      <w:r>
        <w:tab/>
        <w:t>-</w:t>
      </w:r>
      <w:r>
        <w:tab/>
        <w:t>лица, которые были расселены на территории, в состав которой входят до четырех официальных модулей;</w:t>
      </w:r>
    </w:p>
    <w:p w:rsidR="00000000" w:rsidRDefault="00000000">
      <w:pPr>
        <w:ind w:left="1134" w:hanging="1134"/>
      </w:pPr>
    </w:p>
    <w:p w:rsidR="00000000" w:rsidRDefault="00000000">
      <w:pPr>
        <w:ind w:left="1134" w:hanging="1134"/>
      </w:pPr>
      <w:r>
        <w:tab/>
        <w:t>-</w:t>
      </w:r>
      <w:r>
        <w:tab/>
        <w:t>лица, использующие исключительно труд членов семьи;</w:t>
      </w:r>
    </w:p>
    <w:p w:rsidR="00000000" w:rsidRDefault="00000000">
      <w:pPr>
        <w:ind w:left="1134" w:hanging="1134"/>
      </w:pPr>
    </w:p>
    <w:p w:rsidR="00000000" w:rsidRDefault="00000000">
      <w:pPr>
        <w:ind w:left="1134" w:hanging="1134"/>
      </w:pPr>
      <w:r>
        <w:tab/>
        <w:t>-</w:t>
      </w:r>
      <w:r>
        <w:tab/>
        <w:t>лица, которые получают от занятия фермерством и нефермерской деятельностью на своем наделе доход в размере до 1 500 реалов, в который не входит пенсия.</w:t>
      </w:r>
    </w:p>
    <w:p w:rsidR="00000000" w:rsidRDefault="00000000">
      <w:pPr>
        <w:ind w:left="1134" w:hanging="1134"/>
      </w:pPr>
    </w:p>
    <w:p w:rsidR="00000000" w:rsidRDefault="00000000">
      <w:pPr>
        <w:pStyle w:val="Heading7"/>
        <w:spacing w:line="288" w:lineRule="auto"/>
      </w:pPr>
      <w:r>
        <w:t>Группа С</w:t>
      </w:r>
    </w:p>
    <w:p w:rsidR="00000000" w:rsidRDefault="00000000">
      <w:pPr>
        <w:pStyle w:val="Heading7"/>
        <w:spacing w:line="288" w:lineRule="auto"/>
      </w:pPr>
    </w:p>
    <w:p w:rsidR="00000000" w:rsidRDefault="00000000">
      <w:pPr>
        <w:pStyle w:val="BodyTextIndent"/>
        <w:ind w:left="1134" w:hanging="567"/>
      </w:pPr>
      <w:r>
        <w:t>-</w:t>
      </w:r>
      <w:r>
        <w:tab/>
        <w:t>Семьи фермеров, рыбаки, кустари, рабочие добывающей отрасли промышленности, работники аквакультуры;</w:t>
      </w:r>
    </w:p>
    <w:p w:rsidR="00000000" w:rsidRDefault="00000000">
      <w:pPr>
        <w:pStyle w:val="BodyTextIndent"/>
      </w:pPr>
    </w:p>
    <w:p w:rsidR="00000000" w:rsidRDefault="00000000">
      <w:pPr>
        <w:ind w:left="1134" w:hanging="1134"/>
      </w:pPr>
      <w:r>
        <w:tab/>
        <w:t>-</w:t>
      </w:r>
      <w:r>
        <w:tab/>
        <w:t>владельцы собственных наделов, поселенцы, получившие участки, арендаторы, испольщики или бенефициары аграрной реформы;</w:t>
      </w:r>
    </w:p>
    <w:p w:rsidR="00000000" w:rsidRDefault="00000000">
      <w:pPr>
        <w:ind w:left="1134" w:hanging="1134"/>
      </w:pPr>
    </w:p>
    <w:p w:rsidR="00000000" w:rsidRDefault="00000000">
      <w:pPr>
        <w:ind w:left="1134" w:hanging="1134"/>
      </w:pPr>
      <w:r>
        <w:tab/>
        <w:t>-</w:t>
      </w:r>
      <w:r>
        <w:tab/>
        <w:t>лица, проживающие на участках или вблизи городских или сельских поселений;</w:t>
      </w:r>
    </w:p>
    <w:p w:rsidR="00000000" w:rsidRDefault="00000000">
      <w:pPr>
        <w:ind w:left="1134" w:hanging="1134"/>
      </w:pPr>
    </w:p>
    <w:p w:rsidR="00000000" w:rsidRDefault="00000000">
      <w:pPr>
        <w:ind w:left="1134" w:hanging="1134"/>
      </w:pPr>
      <w:r>
        <w:tab/>
        <w:t>-</w:t>
      </w:r>
      <w:r>
        <w:tab/>
        <w:t>лица, которые были расселены на территории, в состав которой входят до четырех официальных модулей;</w:t>
      </w:r>
    </w:p>
    <w:p w:rsidR="00000000" w:rsidRDefault="00000000">
      <w:pPr>
        <w:ind w:left="1134" w:hanging="1134"/>
      </w:pPr>
    </w:p>
    <w:p w:rsidR="00000000" w:rsidRDefault="00000000">
      <w:pPr>
        <w:ind w:left="1134" w:hanging="1134"/>
      </w:pPr>
      <w:r>
        <w:tab/>
        <w:t>-</w:t>
      </w:r>
      <w:r>
        <w:tab/>
        <w:t>лица, использующие исключительно труд членов семьи;</w:t>
      </w:r>
    </w:p>
    <w:p w:rsidR="00000000" w:rsidRDefault="00000000">
      <w:pPr>
        <w:ind w:left="1134" w:hanging="1134"/>
      </w:pPr>
    </w:p>
    <w:p w:rsidR="00000000" w:rsidRDefault="00000000">
      <w:pPr>
        <w:ind w:left="1134" w:hanging="1134"/>
      </w:pPr>
      <w:r>
        <w:tab/>
        <w:t>-</w:t>
      </w:r>
      <w:r>
        <w:tab/>
        <w:t>лица, доход которых составляет от 1 500 до 8 000 реалов, при условии что по меньшей мере 80% этой суммы поступает от фермерской и нефермерской эксплуатации надела.  Этот предел может быть поднят до 16 000 реалов, если доход поступает от занятия следующими видами деятельности:  разведение домашней птицы, молочное животноводство, овцеводство и свиноводство, занятие шелководством, растениеводством и аквакультурой.</w:t>
      </w:r>
    </w:p>
    <w:p w:rsidR="00000000" w:rsidRDefault="00000000">
      <w:pPr>
        <w:ind w:left="1134" w:hanging="1134"/>
      </w:pPr>
    </w:p>
    <w:p w:rsidR="00000000" w:rsidRDefault="00000000">
      <w:pPr>
        <w:rPr>
          <w:u w:val="single"/>
        </w:rPr>
      </w:pPr>
      <w:r>
        <w:rPr>
          <w:u w:val="single"/>
        </w:rPr>
        <w:t xml:space="preserve">Группа </w:t>
      </w:r>
      <w:r>
        <w:rPr>
          <w:u w:val="single"/>
          <w:lang w:val="en-US"/>
        </w:rPr>
        <w:t>D</w:t>
      </w:r>
    </w:p>
    <w:p w:rsidR="00000000" w:rsidRDefault="00000000">
      <w:pPr>
        <w:rPr>
          <w:u w:val="single"/>
        </w:rPr>
      </w:pPr>
    </w:p>
    <w:p w:rsidR="00000000" w:rsidRDefault="00000000">
      <w:pPr>
        <w:pStyle w:val="BodyTextIndent"/>
        <w:tabs>
          <w:tab w:val="clear" w:pos="1134"/>
          <w:tab w:val="left" w:pos="1122"/>
        </w:tabs>
        <w:ind w:left="1122" w:hanging="555"/>
      </w:pPr>
      <w:r>
        <w:t>-</w:t>
      </w:r>
      <w:r>
        <w:tab/>
        <w:t>Семьи фермеров, рыболовы, кустари, рабочие добывающей отрасли промышленности, работники аквакультуры;</w:t>
      </w:r>
    </w:p>
    <w:p w:rsidR="00000000" w:rsidRDefault="00000000">
      <w:pPr>
        <w:pStyle w:val="BodyTextIndent"/>
        <w:tabs>
          <w:tab w:val="clear" w:pos="1134"/>
          <w:tab w:val="left" w:pos="1122"/>
        </w:tabs>
        <w:ind w:left="1122" w:hanging="555"/>
      </w:pPr>
    </w:p>
    <w:p w:rsidR="00000000" w:rsidRDefault="00000000">
      <w:pPr>
        <w:ind w:left="1134" w:hanging="567"/>
      </w:pPr>
      <w:r>
        <w:t>-</w:t>
      </w:r>
      <w:r>
        <w:tab/>
        <w:t>владельцы собственных наделов, поселенцы, получившие участки, арендаторы и испольщики или бенефициары аграрной реформы;</w:t>
      </w:r>
    </w:p>
    <w:p w:rsidR="00000000" w:rsidRDefault="00000000">
      <w:pPr>
        <w:ind w:left="1134" w:hanging="567"/>
      </w:pPr>
    </w:p>
    <w:p w:rsidR="00000000" w:rsidRDefault="00000000">
      <w:pPr>
        <w:ind w:left="1134" w:hanging="567"/>
      </w:pPr>
      <w:r>
        <w:t>-</w:t>
      </w:r>
      <w:r>
        <w:tab/>
        <w:t>лица, проживающие на участках или вблизи городских или сельских поселений;</w:t>
      </w:r>
    </w:p>
    <w:p w:rsidR="00000000" w:rsidRDefault="00000000">
      <w:pPr>
        <w:ind w:left="1134" w:hanging="567"/>
      </w:pPr>
    </w:p>
    <w:p w:rsidR="00000000" w:rsidRDefault="00000000">
      <w:pPr>
        <w:ind w:left="1134" w:hanging="567"/>
      </w:pPr>
      <w:r>
        <w:t>-</w:t>
      </w:r>
      <w:r>
        <w:tab/>
        <w:t>лица, которые были расселены на территории, в состав которой входят до четырех официальных модулей;</w:t>
      </w:r>
    </w:p>
    <w:p w:rsidR="00000000" w:rsidRDefault="00000000">
      <w:pPr>
        <w:ind w:left="1134" w:hanging="567"/>
      </w:pPr>
    </w:p>
    <w:p w:rsidR="00000000" w:rsidRDefault="00000000">
      <w:pPr>
        <w:ind w:left="1134" w:hanging="567"/>
      </w:pPr>
      <w:r>
        <w:t>-</w:t>
      </w:r>
      <w:r>
        <w:tab/>
        <w:t>лица, использующие труд членов семьи и не более двух постоянных работников;</w:t>
      </w:r>
    </w:p>
    <w:p w:rsidR="00000000" w:rsidRDefault="00000000">
      <w:pPr>
        <w:ind w:left="1134" w:hanging="567"/>
      </w:pPr>
    </w:p>
    <w:p w:rsidR="00000000" w:rsidRDefault="00000000">
      <w:pPr>
        <w:ind w:left="1134" w:hanging="567"/>
      </w:pPr>
      <w:r>
        <w:t>-</w:t>
      </w:r>
      <w:r>
        <w:tab/>
        <w:t>лица, доход которых составляет от 8 000 до 27 500 реалов при условии, что 80% этого дохода поступает от фермерской и нефермерской эксплуатации надела.  Этот предел может быть поднят, если 16 000 реалов поступает от занятия следующими видами деятельности:  разведение домашней птицы, молочное животноводство, овцеводство и свиноводство, занятие шелководством, растениеводством и аквакультурой.</w:t>
      </w:r>
    </w:p>
    <w:p w:rsidR="00000000" w:rsidRDefault="00000000">
      <w:pPr>
        <w:ind w:left="1134" w:hanging="567"/>
      </w:pPr>
    </w:p>
    <w:p w:rsidR="00000000" w:rsidRDefault="00000000">
      <w:r>
        <w:t>471.</w:t>
      </w:r>
      <w:r>
        <w:tab/>
        <w:t xml:space="preserve">Для того чтобы представить масштабы обучения и профессиональной подготовки в рамках аграрной реформы, необходимо иметь в виду, что начиная с 1993 года 173 000 семей фермеров прошли обучение в системе ПРОНАФ.  За последние четыре года общественные организации, занимающиеся технической помощью и содействием, получили средства для проведения курсов обучения фермеров, а также технические ресурсы для оказания помощи производителям. </w:t>
      </w:r>
    </w:p>
    <w:p w:rsidR="00000000" w:rsidRDefault="00000000"/>
    <w:p w:rsidR="00000000" w:rsidRDefault="00000000">
      <w:pPr>
        <w:pStyle w:val="10"/>
        <w:rPr>
          <w:bCs/>
        </w:rPr>
      </w:pPr>
      <w:r>
        <w:rPr>
          <w:bCs/>
        </w:rPr>
        <w:t xml:space="preserve">Таблица 53.   Фермеры, прошедшие подготовку по Программе ПРОНАФ, </w:t>
      </w:r>
    </w:p>
    <w:p w:rsidR="00000000" w:rsidRDefault="00000000">
      <w:pPr>
        <w:pStyle w:val="10"/>
        <w:rPr>
          <w:bCs/>
        </w:rPr>
      </w:pPr>
      <w:r>
        <w:rPr>
          <w:bCs/>
        </w:rPr>
        <w:t>1996-1999 годы</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pStyle w:val="16"/>
              <w:spacing w:line="240" w:lineRule="auto"/>
            </w:pPr>
            <w:r>
              <w:t>Год</w:t>
            </w:r>
          </w:p>
        </w:tc>
        <w:tc>
          <w:tcPr>
            <w:tcW w:w="3190" w:type="dxa"/>
          </w:tcPr>
          <w:p w:rsidR="00000000" w:rsidRDefault="00000000">
            <w:pPr>
              <w:spacing w:line="240" w:lineRule="auto"/>
              <w:jc w:val="center"/>
            </w:pPr>
            <w:r>
              <w:t>Число фермеров, прошедших подготовку</w:t>
            </w:r>
          </w:p>
        </w:tc>
        <w:tc>
          <w:tcPr>
            <w:tcW w:w="3191" w:type="dxa"/>
          </w:tcPr>
          <w:p w:rsidR="00000000" w:rsidRDefault="00000000">
            <w:pPr>
              <w:pStyle w:val="16"/>
              <w:spacing w:line="240" w:lineRule="auto"/>
            </w:pPr>
            <w:r>
              <w:t>В тыс. реалов</w:t>
            </w:r>
          </w:p>
        </w:tc>
      </w:tr>
      <w:tr w:rsidR="00000000">
        <w:tblPrEx>
          <w:tblCellMar>
            <w:top w:w="0" w:type="dxa"/>
            <w:bottom w:w="0" w:type="dxa"/>
          </w:tblCellMar>
        </w:tblPrEx>
        <w:tc>
          <w:tcPr>
            <w:tcW w:w="3190" w:type="dxa"/>
          </w:tcPr>
          <w:p w:rsidR="00000000" w:rsidRDefault="00000000">
            <w:pPr>
              <w:pStyle w:val="16"/>
              <w:spacing w:line="240" w:lineRule="auto"/>
            </w:pPr>
            <w:r>
              <w:t>1996</w:t>
            </w:r>
          </w:p>
        </w:tc>
        <w:tc>
          <w:tcPr>
            <w:tcW w:w="3190" w:type="dxa"/>
          </w:tcPr>
          <w:p w:rsidR="00000000" w:rsidRDefault="00000000">
            <w:pPr>
              <w:pStyle w:val="16"/>
              <w:tabs>
                <w:tab w:val="clear" w:pos="2268"/>
              </w:tabs>
              <w:spacing w:line="240" w:lineRule="auto"/>
            </w:pPr>
            <w:r>
              <w:t>*</w:t>
            </w:r>
          </w:p>
        </w:tc>
        <w:tc>
          <w:tcPr>
            <w:tcW w:w="3191" w:type="dxa"/>
          </w:tcPr>
          <w:p w:rsidR="00000000" w:rsidRDefault="00000000">
            <w:pPr>
              <w:tabs>
                <w:tab w:val="clear" w:pos="1701"/>
                <w:tab w:val="clear" w:pos="2268"/>
              </w:tabs>
              <w:spacing w:line="240" w:lineRule="auto"/>
              <w:ind w:right="1127"/>
              <w:jc w:val="right"/>
            </w:pPr>
            <w:r>
              <w:t>3</w:t>
            </w:r>
            <w:r>
              <w:rPr>
                <w:lang w:val="en-US"/>
              </w:rPr>
              <w:t> </w:t>
            </w:r>
            <w:r>
              <w:t>000</w:t>
            </w:r>
          </w:p>
        </w:tc>
      </w:tr>
      <w:tr w:rsidR="00000000">
        <w:tblPrEx>
          <w:tblCellMar>
            <w:top w:w="0" w:type="dxa"/>
            <w:bottom w:w="0" w:type="dxa"/>
          </w:tblCellMar>
        </w:tblPrEx>
        <w:tc>
          <w:tcPr>
            <w:tcW w:w="3190" w:type="dxa"/>
          </w:tcPr>
          <w:p w:rsidR="00000000" w:rsidRDefault="00000000">
            <w:pPr>
              <w:pStyle w:val="16"/>
              <w:spacing w:line="240" w:lineRule="auto"/>
            </w:pPr>
            <w:r>
              <w:t>1997</w:t>
            </w:r>
          </w:p>
        </w:tc>
        <w:tc>
          <w:tcPr>
            <w:tcW w:w="3190" w:type="dxa"/>
          </w:tcPr>
          <w:p w:rsidR="00000000" w:rsidRDefault="00000000">
            <w:pPr>
              <w:pStyle w:val="FootnoteText"/>
              <w:tabs>
                <w:tab w:val="clear" w:pos="1701"/>
                <w:tab w:val="clear" w:pos="2268"/>
                <w:tab w:val="left" w:pos="1672"/>
              </w:tabs>
              <w:ind w:right="1115"/>
              <w:jc w:val="right"/>
            </w:pPr>
            <w:r>
              <w:t>47</w:t>
            </w:r>
            <w:r>
              <w:rPr>
                <w:lang w:val="en-US"/>
              </w:rPr>
              <w:t> </w:t>
            </w:r>
            <w:r>
              <w:t>916</w:t>
            </w:r>
          </w:p>
        </w:tc>
        <w:tc>
          <w:tcPr>
            <w:tcW w:w="3191" w:type="dxa"/>
          </w:tcPr>
          <w:p w:rsidR="00000000" w:rsidRDefault="00000000">
            <w:pPr>
              <w:tabs>
                <w:tab w:val="clear" w:pos="1701"/>
                <w:tab w:val="clear" w:pos="2268"/>
              </w:tabs>
              <w:spacing w:line="240" w:lineRule="auto"/>
              <w:ind w:right="1127"/>
              <w:jc w:val="right"/>
            </w:pPr>
            <w:r>
              <w:t>34</w:t>
            </w:r>
            <w:r>
              <w:rPr>
                <w:lang w:val="en-US"/>
              </w:rPr>
              <w:t> </w:t>
            </w:r>
            <w:r>
              <w:t>662</w:t>
            </w:r>
          </w:p>
        </w:tc>
      </w:tr>
      <w:tr w:rsidR="00000000">
        <w:tblPrEx>
          <w:tblCellMar>
            <w:top w:w="0" w:type="dxa"/>
            <w:bottom w:w="0" w:type="dxa"/>
          </w:tblCellMar>
        </w:tblPrEx>
        <w:tc>
          <w:tcPr>
            <w:tcW w:w="3190" w:type="dxa"/>
          </w:tcPr>
          <w:p w:rsidR="00000000" w:rsidRDefault="00000000">
            <w:pPr>
              <w:pStyle w:val="16"/>
              <w:spacing w:line="240" w:lineRule="auto"/>
            </w:pPr>
            <w:r>
              <w:t>1998</w:t>
            </w:r>
          </w:p>
        </w:tc>
        <w:tc>
          <w:tcPr>
            <w:tcW w:w="3190" w:type="dxa"/>
          </w:tcPr>
          <w:p w:rsidR="00000000" w:rsidRDefault="00000000">
            <w:pPr>
              <w:pStyle w:val="FootnoteText"/>
              <w:ind w:right="1115"/>
              <w:jc w:val="right"/>
            </w:pPr>
            <w:r>
              <w:t>54</w:t>
            </w:r>
            <w:r>
              <w:rPr>
                <w:lang w:val="en-US"/>
              </w:rPr>
              <w:t> </w:t>
            </w:r>
            <w:r>
              <w:t>299</w:t>
            </w:r>
          </w:p>
        </w:tc>
        <w:tc>
          <w:tcPr>
            <w:tcW w:w="3191" w:type="dxa"/>
          </w:tcPr>
          <w:p w:rsidR="00000000" w:rsidRDefault="00000000">
            <w:pPr>
              <w:tabs>
                <w:tab w:val="clear" w:pos="1701"/>
                <w:tab w:val="clear" w:pos="2268"/>
              </w:tabs>
              <w:spacing w:line="240" w:lineRule="auto"/>
              <w:ind w:right="1127"/>
              <w:jc w:val="right"/>
            </w:pPr>
            <w:r>
              <w:t>41</w:t>
            </w:r>
            <w:r>
              <w:rPr>
                <w:lang w:val="en-US"/>
              </w:rPr>
              <w:t> </w:t>
            </w:r>
            <w:r>
              <w:t>597</w:t>
            </w:r>
          </w:p>
        </w:tc>
      </w:tr>
      <w:tr w:rsidR="00000000">
        <w:tblPrEx>
          <w:tblCellMar>
            <w:top w:w="0" w:type="dxa"/>
            <w:bottom w:w="0" w:type="dxa"/>
          </w:tblCellMar>
        </w:tblPrEx>
        <w:tc>
          <w:tcPr>
            <w:tcW w:w="3190" w:type="dxa"/>
          </w:tcPr>
          <w:p w:rsidR="00000000" w:rsidRDefault="00000000">
            <w:pPr>
              <w:pStyle w:val="16"/>
              <w:spacing w:line="240" w:lineRule="auto"/>
            </w:pPr>
            <w:r>
              <w:t>1999</w:t>
            </w:r>
          </w:p>
        </w:tc>
        <w:tc>
          <w:tcPr>
            <w:tcW w:w="3190" w:type="dxa"/>
          </w:tcPr>
          <w:p w:rsidR="00000000" w:rsidRDefault="00000000">
            <w:pPr>
              <w:pStyle w:val="FootnoteText"/>
              <w:ind w:right="1115"/>
              <w:jc w:val="right"/>
            </w:pPr>
            <w:r>
              <w:t>71</w:t>
            </w:r>
            <w:r>
              <w:rPr>
                <w:lang w:val="en-US"/>
              </w:rPr>
              <w:t> </w:t>
            </w:r>
            <w:r>
              <w:t>600</w:t>
            </w:r>
          </w:p>
        </w:tc>
        <w:tc>
          <w:tcPr>
            <w:tcW w:w="3191" w:type="dxa"/>
          </w:tcPr>
          <w:p w:rsidR="00000000" w:rsidRDefault="00000000">
            <w:pPr>
              <w:tabs>
                <w:tab w:val="clear" w:pos="1701"/>
                <w:tab w:val="clear" w:pos="2268"/>
              </w:tabs>
              <w:spacing w:line="240" w:lineRule="auto"/>
              <w:ind w:right="1127"/>
              <w:jc w:val="right"/>
            </w:pPr>
            <w:r>
              <w:t>31</w:t>
            </w:r>
            <w:r>
              <w:rPr>
                <w:lang w:val="en-US"/>
              </w:rPr>
              <w:t> </w:t>
            </w:r>
            <w:r>
              <w:t>761</w:t>
            </w:r>
          </w:p>
        </w:tc>
      </w:tr>
      <w:tr w:rsidR="00000000">
        <w:tblPrEx>
          <w:tblCellMar>
            <w:top w:w="0" w:type="dxa"/>
            <w:bottom w:w="0" w:type="dxa"/>
          </w:tblCellMar>
        </w:tblPrEx>
        <w:tc>
          <w:tcPr>
            <w:tcW w:w="3190" w:type="dxa"/>
          </w:tcPr>
          <w:p w:rsidR="00000000" w:rsidRDefault="00000000">
            <w:pPr>
              <w:pStyle w:val="16"/>
              <w:spacing w:line="240" w:lineRule="auto"/>
            </w:pPr>
            <w:r>
              <w:t>Всего</w:t>
            </w:r>
          </w:p>
        </w:tc>
        <w:tc>
          <w:tcPr>
            <w:tcW w:w="3190" w:type="dxa"/>
          </w:tcPr>
          <w:p w:rsidR="00000000" w:rsidRDefault="00000000">
            <w:pPr>
              <w:pStyle w:val="FootnoteText"/>
              <w:tabs>
                <w:tab w:val="clear" w:pos="1701"/>
                <w:tab w:val="right" w:pos="1672"/>
              </w:tabs>
              <w:ind w:right="1115"/>
              <w:jc w:val="right"/>
            </w:pPr>
            <w:r>
              <w:t>173</w:t>
            </w:r>
            <w:r>
              <w:rPr>
                <w:lang w:val="en-US"/>
              </w:rPr>
              <w:t> </w:t>
            </w:r>
            <w:r>
              <w:t>815</w:t>
            </w:r>
          </w:p>
        </w:tc>
        <w:tc>
          <w:tcPr>
            <w:tcW w:w="3191" w:type="dxa"/>
          </w:tcPr>
          <w:p w:rsidR="00000000" w:rsidRDefault="00000000">
            <w:pPr>
              <w:tabs>
                <w:tab w:val="clear" w:pos="1701"/>
                <w:tab w:val="clear" w:pos="2268"/>
              </w:tabs>
              <w:spacing w:line="240" w:lineRule="auto"/>
              <w:ind w:right="1127"/>
              <w:jc w:val="right"/>
            </w:pPr>
            <w:r>
              <w:t>111</w:t>
            </w:r>
            <w:r>
              <w:rPr>
                <w:lang w:val="en-US"/>
              </w:rPr>
              <w:t> </w:t>
            </w:r>
            <w:r>
              <w:t>003</w:t>
            </w:r>
          </w:p>
        </w:tc>
      </w:tr>
    </w:tbl>
    <w:p w:rsidR="00000000" w:rsidRDefault="00000000">
      <w:pPr>
        <w:jc w:val="center"/>
        <w:rPr>
          <w:b/>
          <w:bCs/>
        </w:rPr>
      </w:pPr>
    </w:p>
    <w:p w:rsidR="00000000" w:rsidRDefault="00000000">
      <w:r>
        <w:t>*</w:t>
      </w:r>
      <w:r>
        <w:tab/>
        <w:t>В 1996 году, первом году Программы, было осуществлено несколько проектов и прошли подготовку 225 специалистов</w:t>
      </w:r>
    </w:p>
    <w:p w:rsidR="00000000" w:rsidRDefault="00000000">
      <w:pPr>
        <w:pStyle w:val="16"/>
      </w:pPr>
    </w:p>
    <w:p w:rsidR="00000000" w:rsidRDefault="00000000">
      <w:r>
        <w:t>472.</w:t>
      </w:r>
      <w:r>
        <w:tab/>
        <w:t>Осуществление программы обучения является не отдельным мероприятием, а частью системы и инициатив, предусматривающих оказание помощи семьям фермеров и повышение эффективности их работы.  По этой причине часть средств используется для оказания технического содействия и помощи в получении ссуд на осуществление планов работы.</w:t>
      </w:r>
    </w:p>
    <w:p w:rsidR="00000000" w:rsidRDefault="00000000"/>
    <w:p w:rsidR="00000000" w:rsidRDefault="00000000">
      <w:r>
        <w:t>473.</w:t>
      </w:r>
      <w:r>
        <w:tab/>
        <w:t>Система действует следующим образом:  фермер должен представить в банк описание проекта, содержащее убедительные доказательства его жизнеспособности или выкладки, касающиеся сева и сбора урожая.  С этой целью он обращается в учреждение, являющееся его финансовым агентом.  Обычно таковым является агентство по оказанию технической помощи и освоению сельских районов родного штата фермера.  Агентство затем разрабатывает его проект, который будет финансироваться из средств Программы ПРОНАФ "</w:t>
      </w:r>
      <w:r>
        <w:rPr>
          <w:lang w:val="en-US"/>
        </w:rPr>
        <w:t>Planta</w:t>
      </w:r>
      <w:r>
        <w:t xml:space="preserve"> </w:t>
      </w:r>
      <w:r>
        <w:rPr>
          <w:lang w:val="en-US"/>
        </w:rPr>
        <w:t>Brasil</w:t>
      </w:r>
      <w:r>
        <w:t>".</w:t>
      </w:r>
    </w:p>
    <w:p w:rsidR="00000000" w:rsidRDefault="00000000"/>
    <w:p w:rsidR="00000000" w:rsidRDefault="00000000">
      <w:r>
        <w:t>474.</w:t>
      </w:r>
      <w:r>
        <w:tab/>
        <w:t>Государственная поддержка семейного фермерства включает также инвестирование в научно-исследовательские проекты.  Эти средства, объем которых составил 5,9 млн. реалов в 1998 году и 9,2 млн. реалов в 1999 году, используются для финансирования 237 исследовательских проектов, направленных на развитие семейного фермерства.</w:t>
      </w:r>
    </w:p>
    <w:p w:rsidR="00000000" w:rsidRDefault="00000000"/>
    <w:p w:rsidR="00000000" w:rsidRDefault="00000000">
      <w:r>
        <w:t>475.</w:t>
      </w:r>
      <w:r>
        <w:tab/>
        <w:t>В штате Мату Гроссу "Эмпайер/МТ" в настоящее время изучает возможности отказа от применения химических удобрений в выращивании желтой маракуйи.  Этот исследовательский проект осуществляется в интересах жителей поселения Рондонополис.</w:t>
      </w:r>
    </w:p>
    <w:p w:rsidR="00000000" w:rsidRDefault="00000000"/>
    <w:p w:rsidR="00000000" w:rsidRDefault="00000000">
      <w:r>
        <w:t>476.</w:t>
      </w:r>
      <w:r>
        <w:tab/>
        <w:t>Сельские производители трех городов в штате Мату Гросу-ду-Сул (Сан</w:t>
      </w:r>
      <w:r>
        <w:noBreakHyphen/>
        <w:t>Габриэль</w:t>
      </w:r>
      <w:r>
        <w:noBreakHyphen/>
        <w:t>ду-Эсте, Сидроландия и Итапора) получат доступ к результатам крупного исследования, проводимого "Эмпайер/МТ" по вопросу о возможностях использования ирригационных каналов на небольших наделах земли.</w:t>
      </w:r>
    </w:p>
    <w:p w:rsidR="00000000" w:rsidRDefault="00000000"/>
    <w:p w:rsidR="00000000" w:rsidRDefault="00000000">
      <w:r>
        <w:t>477.</w:t>
      </w:r>
      <w:r>
        <w:tab/>
        <w:t>В штате Пернамбуку государственный Институт сельскохозяйственных исследований (ИСИ) занимается вопросами выращивания различных сортов таро в Итапарике и Итамбе.</w:t>
      </w:r>
    </w:p>
    <w:p w:rsidR="00000000" w:rsidRDefault="00000000"/>
    <w:p w:rsidR="00000000" w:rsidRDefault="00000000">
      <w:r>
        <w:t>478.</w:t>
      </w:r>
      <w:r>
        <w:tab/>
        <w:t>Для оказания помощи переселенцам в муниципии Мулатос, университет Токантинс изучает возможность разведения трех видов рыбы в регионе:  тамбаки, паку и трайра, с тем чтобы рыбоводство могло стать источником получения доходов переселенными фермерами.</w:t>
      </w:r>
    </w:p>
    <w:p w:rsidR="00000000" w:rsidRDefault="00000000"/>
    <w:p w:rsidR="00000000" w:rsidRDefault="00000000">
      <w:r>
        <w:t>479.</w:t>
      </w:r>
      <w:r>
        <w:tab/>
        <w:t>Не обойдены вниманием и индейцы.  Двадцать четыре индейских деревни обслуживаются проектом в поддержку производительной деятельности на индейских землях, расположенных в штатах Мараньян, Минас-Жерайс, Мату-Гросу-ду-Сул, Пернамбуку, Рио-де-Жанейро, Рондония, Рорайма, Риу-Гранди-ду-Сол и Санта-Катарина.  В рамках этого проекта 17 565 жителей 11 общин посещают занятия, на которых наглядно демонстрируются методы фермерского хозяйствования, что позволяет создать основу для оказания государственной технической помощи сельским жителям через посредство агентств по развитию сельских районов.  Они получают финансовые средства и отвечают за осуществление проекта.  На этих практических занятиях индейцы обучаются методам производства и через три года, закончив курсы, смогут самостоятельно заниматься хозяйственной деятельностью.</w:t>
      </w:r>
    </w:p>
    <w:p w:rsidR="00000000" w:rsidRDefault="00000000"/>
    <w:p w:rsidR="00000000" w:rsidRDefault="00000000">
      <w:r>
        <w:t>480.</w:t>
      </w:r>
      <w:r>
        <w:tab/>
        <w:t>Другой важный аспект программы касается лиц, которые традиционно оставались за пределами процесса распределения земли.  Для того чтобы включить их в программу, сфера ее охвата была распространена на бассейн реки Амазонки.  Жители Амазонки, которые в основном заняты добычей природных ресурсов, получают помощь от Программы "</w:t>
      </w:r>
      <w:r>
        <w:rPr>
          <w:lang w:val="en-US"/>
        </w:rPr>
        <w:t>Planta</w:t>
      </w:r>
      <w:r>
        <w:t xml:space="preserve"> </w:t>
      </w:r>
      <w:r>
        <w:rPr>
          <w:lang w:val="en-US"/>
        </w:rPr>
        <w:t>Brasil</w:t>
      </w:r>
      <w:r>
        <w:t>", которая осуществляется в партнерстве с Бразильским институтом окружающей среды и возобновляемых природных ресурсов (БИОСПР) в целях увеличения размеров их доходов.  Для оказания помощи этим людям, разбросанным по всей площади лесов бассейна Амазонки, "</w:t>
      </w:r>
      <w:r>
        <w:rPr>
          <w:lang w:val="en-US"/>
        </w:rPr>
        <w:t>Planta</w:t>
      </w:r>
      <w:r>
        <w:t xml:space="preserve"> </w:t>
      </w:r>
      <w:r>
        <w:rPr>
          <w:lang w:val="en-US"/>
        </w:rPr>
        <w:t>Brasi</w:t>
      </w:r>
      <w:r>
        <w:t xml:space="preserve">" и БИОСПР выступили с предложением учредить должность специального технического посредника, который известен местным жителям и пользуется у них авторитетом и который разъезжает по региону, оказывая консультативную помощь производителям.  На сегодняшний день 140 таких посредников действуют в северных штатах, оказывая техническую помощь и предоставляя информацию о способах получения доступа к сельским кредитам. </w:t>
      </w:r>
    </w:p>
    <w:p w:rsidR="00000000" w:rsidRDefault="00000000"/>
    <w:p w:rsidR="00000000" w:rsidRDefault="00000000">
      <w:r>
        <w:t>481.</w:t>
      </w:r>
      <w:r>
        <w:tab/>
        <w:t>В рамках программы производится финансирование проектов создания инфраструктуры, которые должны помочь развитию семейного фермерства.  Проекты отбираются и контролируются общинами, действующими через свои муниципальные советы сельского развития.  Средства на осуществление проектов поступают на безвозмездной основе от министерства финансов.  Соглашения о предоставлении субсидий подписываются муниципальными властями и федеральным сберегательным банком, являющимся управляющей организацией.  Более бедные муниципии, включенные в Программу солидарности общин, освобождаются от обязанности представлять встречные муниципальные средства.</w:t>
      </w:r>
    </w:p>
    <w:p w:rsidR="00000000" w:rsidRDefault="00000000"/>
    <w:p w:rsidR="00000000" w:rsidRDefault="00000000">
      <w:r>
        <w:t>482.</w:t>
      </w:r>
      <w:r>
        <w:tab/>
        <w:t>Программа ПРОНАФ "</w:t>
      </w:r>
      <w:r>
        <w:rPr>
          <w:lang w:val="en-US"/>
        </w:rPr>
        <w:t>Planta</w:t>
      </w:r>
      <w:r>
        <w:t xml:space="preserve"> </w:t>
      </w:r>
      <w:r>
        <w:rPr>
          <w:lang w:val="en-US"/>
        </w:rPr>
        <w:t>Brasil</w:t>
      </w:r>
      <w:r>
        <w:t>" действует в 1 018 муниципиях.  Из ее средств финансируются работы по восстановлению сельских дорог, подаче воды и электричества и строительству рынков для сбыта фермерской продукции.</w:t>
      </w:r>
    </w:p>
    <w:p w:rsidR="00000000" w:rsidRDefault="00000000"/>
    <w:p w:rsidR="00000000" w:rsidRDefault="00000000">
      <w:pPr>
        <w:pStyle w:val="10"/>
        <w:rPr>
          <w:bCs/>
        </w:rPr>
      </w:pPr>
      <w:r>
        <w:rPr>
          <w:bCs/>
        </w:rPr>
        <w:br w:type="page"/>
        <w:t>Таблица 54.   Муниципалитеты, охваченные Программой "</w:t>
      </w:r>
      <w:r>
        <w:rPr>
          <w:lang w:val="en-US"/>
        </w:rPr>
        <w:t>Planta</w:t>
      </w:r>
      <w:r>
        <w:t xml:space="preserve"> </w:t>
      </w:r>
      <w:r>
        <w:rPr>
          <w:lang w:val="en-US"/>
        </w:rPr>
        <w:t>Brasil</w:t>
      </w:r>
      <w:r>
        <w:t>"</w:t>
      </w:r>
      <w:r>
        <w:rPr>
          <w:bCs/>
        </w:rPr>
        <w:t>,</w:t>
      </w:r>
    </w:p>
    <w:p w:rsidR="00000000" w:rsidRDefault="00000000">
      <w:pPr>
        <w:jc w:val="center"/>
        <w:rPr>
          <w:b/>
          <w:bCs/>
        </w:rPr>
      </w:pPr>
      <w:r>
        <w:rPr>
          <w:b/>
          <w:bCs/>
        </w:rPr>
        <w:t>1997-1999 годы</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jc w:val="center"/>
            </w:pPr>
            <w:r>
              <w:t>Год</w:t>
            </w:r>
          </w:p>
        </w:tc>
        <w:tc>
          <w:tcPr>
            <w:tcW w:w="3190" w:type="dxa"/>
          </w:tcPr>
          <w:p w:rsidR="00000000" w:rsidRDefault="00000000">
            <w:pPr>
              <w:jc w:val="center"/>
            </w:pPr>
            <w:r>
              <w:t>Участвующие в Программе муниципии</w:t>
            </w:r>
          </w:p>
        </w:tc>
        <w:tc>
          <w:tcPr>
            <w:tcW w:w="3191" w:type="dxa"/>
          </w:tcPr>
          <w:p w:rsidR="00000000" w:rsidRDefault="00000000">
            <w:pPr>
              <w:jc w:val="center"/>
            </w:pPr>
            <w:r>
              <w:t>В тыс. реалов</w:t>
            </w:r>
          </w:p>
        </w:tc>
      </w:tr>
      <w:tr w:rsidR="00000000">
        <w:tblPrEx>
          <w:tblCellMar>
            <w:top w:w="0" w:type="dxa"/>
            <w:bottom w:w="0" w:type="dxa"/>
          </w:tblCellMar>
        </w:tblPrEx>
        <w:tc>
          <w:tcPr>
            <w:tcW w:w="3190" w:type="dxa"/>
          </w:tcPr>
          <w:p w:rsidR="00000000" w:rsidRDefault="00000000">
            <w:pPr>
              <w:jc w:val="center"/>
            </w:pPr>
            <w:r>
              <w:t>1997</w:t>
            </w:r>
          </w:p>
        </w:tc>
        <w:tc>
          <w:tcPr>
            <w:tcW w:w="3190" w:type="dxa"/>
          </w:tcPr>
          <w:p w:rsidR="00000000" w:rsidRDefault="00000000">
            <w:pPr>
              <w:tabs>
                <w:tab w:val="clear" w:pos="567"/>
                <w:tab w:val="clear" w:pos="1701"/>
                <w:tab w:val="clear" w:pos="2268"/>
                <w:tab w:val="clear" w:pos="6237"/>
              </w:tabs>
              <w:ind w:right="1302"/>
              <w:jc w:val="right"/>
            </w:pPr>
            <w:r>
              <w:t>385</w:t>
            </w:r>
          </w:p>
        </w:tc>
        <w:tc>
          <w:tcPr>
            <w:tcW w:w="3191" w:type="dxa"/>
          </w:tcPr>
          <w:p w:rsidR="00000000" w:rsidRDefault="00000000">
            <w:pPr>
              <w:tabs>
                <w:tab w:val="clear" w:pos="1701"/>
              </w:tabs>
              <w:ind w:right="1127"/>
              <w:jc w:val="right"/>
            </w:pPr>
            <w:r>
              <w:t>36</w:t>
            </w:r>
            <w:r>
              <w:rPr>
                <w:lang w:val="en-US"/>
              </w:rPr>
              <w:t> </w:t>
            </w:r>
            <w:r>
              <w:t>628</w:t>
            </w:r>
          </w:p>
        </w:tc>
      </w:tr>
      <w:tr w:rsidR="00000000">
        <w:tblPrEx>
          <w:tblCellMar>
            <w:top w:w="0" w:type="dxa"/>
            <w:bottom w:w="0" w:type="dxa"/>
          </w:tblCellMar>
        </w:tblPrEx>
        <w:tc>
          <w:tcPr>
            <w:tcW w:w="3190" w:type="dxa"/>
          </w:tcPr>
          <w:p w:rsidR="00000000" w:rsidRDefault="00000000">
            <w:pPr>
              <w:jc w:val="center"/>
            </w:pPr>
            <w:r>
              <w:t>1998</w:t>
            </w:r>
          </w:p>
        </w:tc>
        <w:tc>
          <w:tcPr>
            <w:tcW w:w="3190" w:type="dxa"/>
          </w:tcPr>
          <w:p w:rsidR="00000000" w:rsidRDefault="00000000">
            <w:pPr>
              <w:tabs>
                <w:tab w:val="clear" w:pos="567"/>
                <w:tab w:val="clear" w:pos="1701"/>
                <w:tab w:val="clear" w:pos="2268"/>
                <w:tab w:val="clear" w:pos="6237"/>
              </w:tabs>
              <w:ind w:right="1302"/>
              <w:jc w:val="right"/>
            </w:pPr>
            <w:r>
              <w:t>915</w:t>
            </w:r>
          </w:p>
        </w:tc>
        <w:tc>
          <w:tcPr>
            <w:tcW w:w="3191" w:type="dxa"/>
          </w:tcPr>
          <w:p w:rsidR="00000000" w:rsidRDefault="00000000">
            <w:pPr>
              <w:tabs>
                <w:tab w:val="clear" w:pos="1701"/>
              </w:tabs>
              <w:ind w:right="1127"/>
              <w:jc w:val="right"/>
            </w:pPr>
            <w:r>
              <w:t>136</w:t>
            </w:r>
            <w:r>
              <w:rPr>
                <w:lang w:val="en-US"/>
              </w:rPr>
              <w:t> </w:t>
            </w:r>
            <w:r>
              <w:t>645</w:t>
            </w:r>
          </w:p>
        </w:tc>
      </w:tr>
      <w:tr w:rsidR="00000000">
        <w:tblPrEx>
          <w:tblCellMar>
            <w:top w:w="0" w:type="dxa"/>
            <w:bottom w:w="0" w:type="dxa"/>
          </w:tblCellMar>
        </w:tblPrEx>
        <w:tc>
          <w:tcPr>
            <w:tcW w:w="3190" w:type="dxa"/>
          </w:tcPr>
          <w:p w:rsidR="00000000" w:rsidRDefault="00000000">
            <w:pPr>
              <w:jc w:val="center"/>
            </w:pPr>
            <w:r>
              <w:t>1999</w:t>
            </w:r>
          </w:p>
        </w:tc>
        <w:tc>
          <w:tcPr>
            <w:tcW w:w="3190" w:type="dxa"/>
          </w:tcPr>
          <w:p w:rsidR="00000000" w:rsidRDefault="00000000">
            <w:pPr>
              <w:tabs>
                <w:tab w:val="clear" w:pos="567"/>
                <w:tab w:val="clear" w:pos="1701"/>
                <w:tab w:val="clear" w:pos="2268"/>
                <w:tab w:val="clear" w:pos="6237"/>
              </w:tabs>
              <w:ind w:right="1302"/>
              <w:jc w:val="right"/>
            </w:pPr>
            <w:r>
              <w:t>1</w:t>
            </w:r>
            <w:r>
              <w:rPr>
                <w:lang w:val="en-US"/>
              </w:rPr>
              <w:t> </w:t>
            </w:r>
            <w:r>
              <w:t>018</w:t>
            </w:r>
          </w:p>
        </w:tc>
        <w:tc>
          <w:tcPr>
            <w:tcW w:w="3191" w:type="dxa"/>
          </w:tcPr>
          <w:p w:rsidR="00000000" w:rsidRDefault="00000000">
            <w:pPr>
              <w:tabs>
                <w:tab w:val="clear" w:pos="1701"/>
              </w:tabs>
              <w:ind w:right="1127"/>
              <w:jc w:val="right"/>
            </w:pPr>
            <w:r>
              <w:t>151</w:t>
            </w:r>
            <w:r>
              <w:rPr>
                <w:lang w:val="en-US"/>
              </w:rPr>
              <w:t> </w:t>
            </w:r>
            <w:r>
              <w:t>693</w:t>
            </w:r>
          </w:p>
        </w:tc>
      </w:tr>
    </w:tbl>
    <w:p w:rsidR="00000000" w:rsidRDefault="00000000">
      <w:pPr>
        <w:pStyle w:val="FootnoteText"/>
        <w:spacing w:line="288" w:lineRule="auto"/>
      </w:pPr>
    </w:p>
    <w:p w:rsidR="00000000" w:rsidRDefault="00000000">
      <w:pPr>
        <w:pStyle w:val="FootnoteText"/>
        <w:spacing w:line="288" w:lineRule="auto"/>
      </w:pPr>
      <w:r>
        <w:t>483.</w:t>
      </w:r>
      <w:r>
        <w:tab/>
        <w:t>В 1999 году министерство по вопросам аграрной реформы приступило к осуществлению программы "Партнерство и рынок", направленной на обеспечение устойчивого развития фермерских хозяйств путем их интеграции в местную и международную экономику.  Программа построена на децентрализованной модели участия, в соответствии с которой разрабатывается и планируется политика и действия по включению этих производителей в современные коммерческие структуры с использованием относительных преимуществ семейных хозяйств и с должным учетом местных потенциальных возможностей и исторически сложившихся связей.  Все семьи фермеров имеют право на участие в этой программе, включая и тех, на кого распространялась Национальная программа аграрной реформы.</w:t>
      </w:r>
    </w:p>
    <w:p w:rsidR="00000000" w:rsidRDefault="00000000">
      <w:pPr>
        <w:pStyle w:val="FootnoteText"/>
        <w:spacing w:line="288" w:lineRule="auto"/>
      </w:pPr>
    </w:p>
    <w:p w:rsidR="00000000" w:rsidRDefault="00000000">
      <w:pPr>
        <w:pStyle w:val="FootnoteText"/>
        <w:spacing w:line="288" w:lineRule="auto"/>
      </w:pPr>
      <w:r>
        <w:t>484.</w:t>
      </w:r>
      <w:r>
        <w:tab/>
        <w:t>Программа "Партнерство и рынок", координируемая Секретариатом по вопросам семейного фермерства, осуществляется несколькими этапами:</w:t>
      </w:r>
    </w:p>
    <w:p w:rsidR="00000000" w:rsidRDefault="00000000">
      <w:pPr>
        <w:pStyle w:val="FootnoteText"/>
        <w:spacing w:line="288" w:lineRule="auto"/>
      </w:pPr>
    </w:p>
    <w:p w:rsidR="00000000" w:rsidRDefault="00000000">
      <w:pPr>
        <w:pStyle w:val="FootnoteText"/>
        <w:spacing w:line="288" w:lineRule="auto"/>
      </w:pPr>
      <w:r>
        <w:tab/>
        <w:t>а)</w:t>
      </w:r>
      <w:r>
        <w:tab/>
        <w:t>определение характерных особенностей агробизнеса на местном и региональном уровне и на уровне штатов;</w:t>
      </w:r>
    </w:p>
    <w:p w:rsidR="00000000" w:rsidRDefault="00000000">
      <w:pPr>
        <w:pStyle w:val="FootnoteText"/>
        <w:spacing w:line="288" w:lineRule="auto"/>
      </w:pPr>
    </w:p>
    <w:p w:rsidR="00000000" w:rsidRDefault="00000000">
      <w:pPr>
        <w:pStyle w:val="FootnoteText"/>
        <w:spacing w:line="288" w:lineRule="auto"/>
      </w:pPr>
      <w:r>
        <w:tab/>
      </w:r>
      <w:r>
        <w:rPr>
          <w:lang w:val="en-US"/>
        </w:rPr>
        <w:t>b</w:t>
      </w:r>
      <w:r>
        <w:t>)</w:t>
      </w:r>
      <w:r>
        <w:tab/>
        <w:t>разработка и создание производственной базы семейного фермерского хозяйства;</w:t>
      </w:r>
    </w:p>
    <w:p w:rsidR="00000000" w:rsidRDefault="00000000">
      <w:pPr>
        <w:pStyle w:val="FootnoteText"/>
        <w:spacing w:line="288" w:lineRule="auto"/>
      </w:pPr>
    </w:p>
    <w:p w:rsidR="00000000" w:rsidRDefault="00000000">
      <w:pPr>
        <w:pStyle w:val="FootnoteText"/>
        <w:spacing w:line="288" w:lineRule="auto"/>
      </w:pPr>
      <w:r>
        <w:tab/>
        <w:t>с)</w:t>
      </w:r>
      <w:r>
        <w:tab/>
        <w:t>расширение и улучшение качества услуг по оказанию технической помощи;</w:t>
      </w:r>
    </w:p>
    <w:p w:rsidR="00000000" w:rsidRDefault="00000000">
      <w:pPr>
        <w:pStyle w:val="FootnoteText"/>
        <w:spacing w:line="288" w:lineRule="auto"/>
      </w:pPr>
    </w:p>
    <w:p w:rsidR="00000000" w:rsidRDefault="00000000">
      <w:pPr>
        <w:pStyle w:val="FootnoteText"/>
        <w:spacing w:line="288" w:lineRule="auto"/>
      </w:pPr>
      <w:r>
        <w:tab/>
      </w:r>
      <w:r>
        <w:rPr>
          <w:lang w:val="en-US"/>
        </w:rPr>
        <w:t>d</w:t>
      </w:r>
      <w:r>
        <w:t>)</w:t>
      </w:r>
      <w:r>
        <w:tab/>
        <w:t>выявление рыночных возможностей;</w:t>
      </w:r>
    </w:p>
    <w:p w:rsidR="00000000" w:rsidRDefault="00000000">
      <w:pPr>
        <w:pStyle w:val="FootnoteText"/>
        <w:spacing w:line="288" w:lineRule="auto"/>
      </w:pPr>
    </w:p>
    <w:p w:rsidR="00000000" w:rsidRDefault="00000000">
      <w:pPr>
        <w:pStyle w:val="FootnoteText"/>
        <w:spacing w:line="288" w:lineRule="auto"/>
      </w:pPr>
      <w:r>
        <w:tab/>
        <w:t>е)</w:t>
      </w:r>
      <w:r>
        <w:tab/>
        <w:t>анализ производственной цепи;</w:t>
      </w:r>
    </w:p>
    <w:p w:rsidR="00000000" w:rsidRDefault="00000000">
      <w:pPr>
        <w:pStyle w:val="FootnoteText"/>
        <w:spacing w:line="288" w:lineRule="auto"/>
      </w:pPr>
    </w:p>
    <w:p w:rsidR="00000000" w:rsidRDefault="00000000">
      <w:pPr>
        <w:pStyle w:val="FootnoteText"/>
        <w:spacing w:line="288" w:lineRule="auto"/>
      </w:pPr>
      <w:r>
        <w:tab/>
      </w:r>
      <w:r>
        <w:rPr>
          <w:lang w:val="en-US"/>
        </w:rPr>
        <w:t>f</w:t>
      </w:r>
      <w:r>
        <w:t>)</w:t>
      </w:r>
      <w:r>
        <w:tab/>
        <w:t>мобилизация, организация и подготовка технических кадров и менеджеров;</w:t>
      </w:r>
    </w:p>
    <w:p w:rsidR="00000000" w:rsidRDefault="00000000">
      <w:pPr>
        <w:pStyle w:val="FootnoteText"/>
        <w:spacing w:line="288" w:lineRule="auto"/>
      </w:pPr>
    </w:p>
    <w:p w:rsidR="00000000" w:rsidRDefault="00000000">
      <w:pPr>
        <w:pStyle w:val="FootnoteText"/>
        <w:spacing w:line="288" w:lineRule="auto"/>
      </w:pPr>
      <w:r>
        <w:tab/>
      </w:r>
      <w:r>
        <w:rPr>
          <w:lang w:val="en-US"/>
        </w:rPr>
        <w:t>g</w:t>
      </w:r>
      <w:r>
        <w:t>)</w:t>
      </w:r>
      <w:r>
        <w:tab/>
        <w:t>организация координационной сети производственных структур.</w:t>
      </w:r>
    </w:p>
    <w:p w:rsidR="00000000" w:rsidRDefault="00000000">
      <w:pPr>
        <w:pStyle w:val="FootnoteText"/>
        <w:spacing w:line="288" w:lineRule="auto"/>
      </w:pPr>
    </w:p>
    <w:p w:rsidR="00000000" w:rsidRDefault="00000000">
      <w:pPr>
        <w:pStyle w:val="FootnoteText"/>
        <w:spacing w:line="288" w:lineRule="auto"/>
      </w:pPr>
      <w:r>
        <w:t>485.</w:t>
      </w:r>
      <w:r>
        <w:tab/>
        <w:t xml:space="preserve">Управление программой осуществляется на принципах участия и децентрализации посредством установления партнерских отношений между министерством по аграрной реформе и общественными движениями, различными федеральными и муниципальными агентствами и агентствами на уровне штатов, неправительственными организациями и частными предприятиями.  </w:t>
      </w:r>
    </w:p>
    <w:p w:rsidR="00000000" w:rsidRDefault="00000000">
      <w:pPr>
        <w:pStyle w:val="FootnoteText"/>
        <w:spacing w:line="288" w:lineRule="auto"/>
      </w:pPr>
    </w:p>
    <w:p w:rsidR="00000000" w:rsidRDefault="00000000">
      <w:pPr>
        <w:pStyle w:val="FootnoteText"/>
        <w:spacing w:line="288" w:lineRule="auto"/>
      </w:pPr>
      <w:r>
        <w:t>486.</w:t>
      </w:r>
      <w:r>
        <w:tab/>
        <w:t>В целях активизации деловой деятельности и развития партнерских отношений между семейными фермерами и предприятиями министерством по вопросам аграрной реформы через посредство ассоциаций, кооперативов или коммерческих структур была учреждена премия "семейный фермер - партнер".  Цель этой премии состоит в том, чтобы поощрять рост производительности труда, добиваться повышения качества продукции и способствовать увеличению доходов от семейной деятельности, делая ее более устойчивой.</w:t>
      </w:r>
    </w:p>
    <w:p w:rsidR="00000000" w:rsidRDefault="00000000">
      <w:pPr>
        <w:pStyle w:val="FootnoteText"/>
        <w:spacing w:line="288" w:lineRule="auto"/>
      </w:pPr>
    </w:p>
    <w:p w:rsidR="00000000" w:rsidRDefault="00000000">
      <w:pPr>
        <w:pStyle w:val="FootnoteText"/>
        <w:spacing w:line="288" w:lineRule="auto"/>
      </w:pPr>
      <w:r>
        <w:t>487.</w:t>
      </w:r>
      <w:r>
        <w:tab/>
        <w:t>Повседневно демонстрируя гражданский подход, ее исполнители выдвигают все новые инициативы на основе общинных решений, которые принимаются муниципальными советами сельского развития.  Программа ПРОНАФ "</w:t>
      </w:r>
      <w:r>
        <w:rPr>
          <w:lang w:val="en-US"/>
        </w:rPr>
        <w:t>Planta</w:t>
      </w:r>
      <w:r>
        <w:t xml:space="preserve"> </w:t>
      </w:r>
      <w:r>
        <w:rPr>
          <w:lang w:val="en-US"/>
        </w:rPr>
        <w:t>Brasil</w:t>
      </w:r>
      <w:r>
        <w:t>" поощряет участие, сотрудничество и создание равных возможностей, добиваясь того, чтобы община играла ведущую роль в местном развитии.</w:t>
      </w:r>
    </w:p>
    <w:p w:rsidR="00000000" w:rsidRDefault="00000000">
      <w:pPr>
        <w:pStyle w:val="FootnoteText"/>
        <w:spacing w:line="288" w:lineRule="auto"/>
      </w:pPr>
    </w:p>
    <w:p w:rsidR="00000000" w:rsidRDefault="00000000">
      <w:pPr>
        <w:pStyle w:val="FootnoteText"/>
        <w:spacing w:line="288" w:lineRule="auto"/>
      </w:pPr>
      <w:r>
        <w:t>488.</w:t>
      </w:r>
      <w:r>
        <w:tab/>
        <w:t>На советы возлагается задача отбора и контроля за осуществлением мероприятий по Программе ПРОНАФ "</w:t>
      </w:r>
      <w:r>
        <w:rPr>
          <w:lang w:val="en-US"/>
        </w:rPr>
        <w:t>Planta</w:t>
      </w:r>
      <w:r>
        <w:t xml:space="preserve"> </w:t>
      </w:r>
      <w:r>
        <w:rPr>
          <w:lang w:val="en-US"/>
        </w:rPr>
        <w:t>Brasil</w:t>
      </w:r>
      <w:r>
        <w:t>" в соответствии с положениями соглашений, заключаемых с муниципальными властями.  Результатами этой работы пользуются тысячи семей по всей территории страны, как об этом свидетельствуют данные, собранные участвующими в Программе муниципальными властями.</w:t>
      </w:r>
    </w:p>
    <w:p w:rsidR="00000000" w:rsidRDefault="00000000">
      <w:pPr>
        <w:pStyle w:val="FootnoteText"/>
        <w:spacing w:line="288" w:lineRule="auto"/>
      </w:pPr>
    </w:p>
    <w:p w:rsidR="00000000" w:rsidRDefault="00000000">
      <w:pPr>
        <w:pStyle w:val="FootnoteText"/>
        <w:spacing w:line="288" w:lineRule="auto"/>
        <w:jc w:val="center"/>
        <w:rPr>
          <w:b/>
          <w:bCs/>
        </w:rPr>
      </w:pPr>
      <w:r>
        <w:rPr>
          <w:b/>
          <w:bCs/>
        </w:rPr>
        <w:t>Таблица 55.   Семьи, участвующие в Программе "</w:t>
      </w:r>
      <w:r>
        <w:rPr>
          <w:b/>
          <w:bCs/>
          <w:lang w:val="en-US"/>
        </w:rPr>
        <w:t>Planta</w:t>
      </w:r>
      <w:r>
        <w:rPr>
          <w:b/>
          <w:bCs/>
        </w:rPr>
        <w:t xml:space="preserve"> </w:t>
      </w:r>
      <w:r>
        <w:rPr>
          <w:b/>
          <w:bCs/>
          <w:lang w:val="en-US"/>
        </w:rPr>
        <w:t>Brasil</w:t>
      </w:r>
      <w:r>
        <w:rPr>
          <w:b/>
          <w:bCs/>
        </w:rPr>
        <w:t>",</w:t>
      </w:r>
    </w:p>
    <w:p w:rsidR="00000000" w:rsidRDefault="00000000">
      <w:pPr>
        <w:pStyle w:val="FootnoteText"/>
        <w:spacing w:line="288" w:lineRule="auto"/>
        <w:jc w:val="center"/>
        <w:rPr>
          <w:b/>
          <w:bCs/>
        </w:rPr>
      </w:pPr>
      <w:r>
        <w:rPr>
          <w:b/>
          <w:bCs/>
        </w:rPr>
        <w:t>в разбивке по регионам</w:t>
      </w:r>
    </w:p>
    <w:p w:rsidR="00000000" w:rsidRDefault="00000000">
      <w:pPr>
        <w:pStyle w:val="FootnoteText"/>
        <w:spacing w:line="288" w:lineRule="auto"/>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pStyle w:val="FootnoteText"/>
              <w:spacing w:line="288" w:lineRule="auto"/>
              <w:jc w:val="center"/>
            </w:pPr>
            <w:r>
              <w:t>Регион</w:t>
            </w:r>
          </w:p>
        </w:tc>
        <w:tc>
          <w:tcPr>
            <w:tcW w:w="3190" w:type="dxa"/>
          </w:tcPr>
          <w:p w:rsidR="00000000" w:rsidRDefault="00000000">
            <w:pPr>
              <w:pStyle w:val="FootnoteText"/>
              <w:spacing w:line="288" w:lineRule="auto"/>
              <w:jc w:val="center"/>
            </w:pPr>
            <w:r>
              <w:t>Муниципии</w:t>
            </w:r>
          </w:p>
        </w:tc>
        <w:tc>
          <w:tcPr>
            <w:tcW w:w="3191" w:type="dxa"/>
          </w:tcPr>
          <w:p w:rsidR="00000000" w:rsidRDefault="00000000">
            <w:pPr>
              <w:pStyle w:val="FootnoteText"/>
              <w:spacing w:line="288" w:lineRule="auto"/>
              <w:jc w:val="center"/>
            </w:pPr>
            <w:r>
              <w:t>Непосредственно участвующие семьи</w:t>
            </w:r>
          </w:p>
        </w:tc>
      </w:tr>
      <w:tr w:rsidR="00000000">
        <w:tblPrEx>
          <w:tblCellMar>
            <w:top w:w="0" w:type="dxa"/>
            <w:bottom w:w="0" w:type="dxa"/>
          </w:tblCellMar>
        </w:tblPrEx>
        <w:tc>
          <w:tcPr>
            <w:tcW w:w="3190" w:type="dxa"/>
          </w:tcPr>
          <w:p w:rsidR="00000000" w:rsidRDefault="00000000">
            <w:pPr>
              <w:pStyle w:val="FootnoteText"/>
              <w:spacing w:line="288" w:lineRule="auto"/>
            </w:pPr>
            <w:r>
              <w:t>Север</w:t>
            </w:r>
          </w:p>
        </w:tc>
        <w:tc>
          <w:tcPr>
            <w:tcW w:w="3190" w:type="dxa"/>
          </w:tcPr>
          <w:p w:rsidR="00000000" w:rsidRDefault="00000000">
            <w:pPr>
              <w:pStyle w:val="FootnoteText"/>
              <w:tabs>
                <w:tab w:val="clear" w:pos="1701"/>
                <w:tab w:val="clear" w:pos="2268"/>
              </w:tabs>
              <w:spacing w:line="288" w:lineRule="auto"/>
              <w:ind w:right="1302"/>
              <w:jc w:val="right"/>
              <w:rPr>
                <w:lang w:val="en-US"/>
              </w:rPr>
            </w:pPr>
            <w:r>
              <w:rPr>
                <w:lang w:val="en-US"/>
              </w:rPr>
              <w:t>127</w:t>
            </w:r>
          </w:p>
        </w:tc>
        <w:tc>
          <w:tcPr>
            <w:tcW w:w="3191" w:type="dxa"/>
          </w:tcPr>
          <w:p w:rsidR="00000000" w:rsidRDefault="00000000">
            <w:pPr>
              <w:pStyle w:val="FootnoteText"/>
              <w:tabs>
                <w:tab w:val="clear" w:pos="1701"/>
                <w:tab w:val="clear" w:pos="2268"/>
              </w:tabs>
              <w:spacing w:line="288" w:lineRule="auto"/>
              <w:ind w:right="1127"/>
              <w:jc w:val="right"/>
              <w:rPr>
                <w:lang w:val="en-US"/>
              </w:rPr>
            </w:pPr>
            <w:r>
              <w:rPr>
                <w:lang w:val="en-US"/>
              </w:rPr>
              <w:t>167 610</w:t>
            </w:r>
          </w:p>
        </w:tc>
      </w:tr>
      <w:tr w:rsidR="00000000">
        <w:tblPrEx>
          <w:tblCellMar>
            <w:top w:w="0" w:type="dxa"/>
            <w:bottom w:w="0" w:type="dxa"/>
          </w:tblCellMar>
        </w:tblPrEx>
        <w:tc>
          <w:tcPr>
            <w:tcW w:w="3190" w:type="dxa"/>
          </w:tcPr>
          <w:p w:rsidR="00000000" w:rsidRDefault="00000000">
            <w:pPr>
              <w:pStyle w:val="FootnoteText"/>
              <w:spacing w:line="288" w:lineRule="auto"/>
            </w:pPr>
            <w:r>
              <w:t>Северо-восток</w:t>
            </w:r>
          </w:p>
        </w:tc>
        <w:tc>
          <w:tcPr>
            <w:tcW w:w="3190" w:type="dxa"/>
          </w:tcPr>
          <w:p w:rsidR="00000000" w:rsidRDefault="00000000">
            <w:pPr>
              <w:pStyle w:val="FootnoteText"/>
              <w:tabs>
                <w:tab w:val="clear" w:pos="1701"/>
                <w:tab w:val="clear" w:pos="2268"/>
              </w:tabs>
              <w:spacing w:line="288" w:lineRule="auto"/>
              <w:ind w:right="1302"/>
              <w:jc w:val="right"/>
              <w:rPr>
                <w:lang w:val="en-US"/>
              </w:rPr>
            </w:pPr>
            <w:r>
              <w:rPr>
                <w:lang w:val="en-US"/>
              </w:rPr>
              <w:t>394</w:t>
            </w:r>
          </w:p>
        </w:tc>
        <w:tc>
          <w:tcPr>
            <w:tcW w:w="3191" w:type="dxa"/>
          </w:tcPr>
          <w:p w:rsidR="00000000" w:rsidRDefault="00000000">
            <w:pPr>
              <w:pStyle w:val="FootnoteText"/>
              <w:tabs>
                <w:tab w:val="clear" w:pos="1701"/>
                <w:tab w:val="clear" w:pos="2268"/>
              </w:tabs>
              <w:spacing w:line="288" w:lineRule="auto"/>
              <w:ind w:right="1127"/>
              <w:jc w:val="right"/>
              <w:rPr>
                <w:lang w:val="en-US"/>
              </w:rPr>
            </w:pPr>
            <w:r>
              <w:rPr>
                <w:lang w:val="en-US"/>
              </w:rPr>
              <w:t>853 402</w:t>
            </w:r>
          </w:p>
        </w:tc>
      </w:tr>
      <w:tr w:rsidR="00000000">
        <w:tblPrEx>
          <w:tblCellMar>
            <w:top w:w="0" w:type="dxa"/>
            <w:bottom w:w="0" w:type="dxa"/>
          </w:tblCellMar>
        </w:tblPrEx>
        <w:tc>
          <w:tcPr>
            <w:tcW w:w="3190" w:type="dxa"/>
          </w:tcPr>
          <w:p w:rsidR="00000000" w:rsidRDefault="00000000">
            <w:pPr>
              <w:pStyle w:val="FootnoteText"/>
              <w:spacing w:line="288" w:lineRule="auto"/>
            </w:pPr>
            <w:r>
              <w:t>Центр - Запад</w:t>
            </w:r>
          </w:p>
        </w:tc>
        <w:tc>
          <w:tcPr>
            <w:tcW w:w="3190" w:type="dxa"/>
          </w:tcPr>
          <w:p w:rsidR="00000000" w:rsidRDefault="00000000">
            <w:pPr>
              <w:pStyle w:val="FootnoteText"/>
              <w:tabs>
                <w:tab w:val="clear" w:pos="1701"/>
                <w:tab w:val="clear" w:pos="2268"/>
              </w:tabs>
              <w:spacing w:line="288" w:lineRule="auto"/>
              <w:ind w:right="1302"/>
              <w:jc w:val="right"/>
              <w:rPr>
                <w:lang w:val="en-US"/>
              </w:rPr>
            </w:pPr>
            <w:r>
              <w:rPr>
                <w:lang w:val="en-US"/>
              </w:rPr>
              <w:t>97</w:t>
            </w:r>
          </w:p>
        </w:tc>
        <w:tc>
          <w:tcPr>
            <w:tcW w:w="3191" w:type="dxa"/>
          </w:tcPr>
          <w:p w:rsidR="00000000" w:rsidRDefault="00000000">
            <w:pPr>
              <w:pStyle w:val="FootnoteText"/>
              <w:tabs>
                <w:tab w:val="clear" w:pos="1701"/>
                <w:tab w:val="clear" w:pos="2268"/>
              </w:tabs>
              <w:spacing w:line="288" w:lineRule="auto"/>
              <w:ind w:right="1127"/>
              <w:jc w:val="right"/>
              <w:rPr>
                <w:lang w:val="en-US"/>
              </w:rPr>
            </w:pPr>
            <w:r>
              <w:rPr>
                <w:lang w:val="en-US"/>
              </w:rPr>
              <w:t>186 616</w:t>
            </w:r>
          </w:p>
        </w:tc>
      </w:tr>
      <w:tr w:rsidR="00000000">
        <w:tblPrEx>
          <w:tblCellMar>
            <w:top w:w="0" w:type="dxa"/>
            <w:bottom w:w="0" w:type="dxa"/>
          </w:tblCellMar>
        </w:tblPrEx>
        <w:tc>
          <w:tcPr>
            <w:tcW w:w="3190" w:type="dxa"/>
          </w:tcPr>
          <w:p w:rsidR="00000000" w:rsidRDefault="00000000">
            <w:pPr>
              <w:pStyle w:val="FootnoteText"/>
              <w:spacing w:line="288" w:lineRule="auto"/>
            </w:pPr>
            <w:r>
              <w:t>Юго-восток</w:t>
            </w:r>
          </w:p>
        </w:tc>
        <w:tc>
          <w:tcPr>
            <w:tcW w:w="3190" w:type="dxa"/>
          </w:tcPr>
          <w:p w:rsidR="00000000" w:rsidRDefault="00000000">
            <w:pPr>
              <w:pStyle w:val="FootnoteText"/>
              <w:tabs>
                <w:tab w:val="clear" w:pos="1701"/>
                <w:tab w:val="clear" w:pos="2268"/>
              </w:tabs>
              <w:spacing w:line="288" w:lineRule="auto"/>
              <w:ind w:right="1302"/>
              <w:jc w:val="right"/>
            </w:pPr>
            <w:r>
              <w:t>229</w:t>
            </w:r>
          </w:p>
        </w:tc>
        <w:tc>
          <w:tcPr>
            <w:tcW w:w="3191" w:type="dxa"/>
          </w:tcPr>
          <w:p w:rsidR="00000000" w:rsidRDefault="00000000">
            <w:pPr>
              <w:pStyle w:val="FootnoteText"/>
              <w:tabs>
                <w:tab w:val="clear" w:pos="1701"/>
                <w:tab w:val="clear" w:pos="2268"/>
              </w:tabs>
              <w:spacing w:line="288" w:lineRule="auto"/>
              <w:ind w:right="1127"/>
              <w:jc w:val="right"/>
            </w:pPr>
            <w:r>
              <w:t>269</w:t>
            </w:r>
            <w:r>
              <w:rPr>
                <w:lang w:val="en-US"/>
              </w:rPr>
              <w:t> </w:t>
            </w:r>
            <w:r>
              <w:t>495</w:t>
            </w:r>
          </w:p>
        </w:tc>
      </w:tr>
      <w:tr w:rsidR="00000000">
        <w:tblPrEx>
          <w:tblCellMar>
            <w:top w:w="0" w:type="dxa"/>
            <w:bottom w:w="0" w:type="dxa"/>
          </w:tblCellMar>
        </w:tblPrEx>
        <w:tc>
          <w:tcPr>
            <w:tcW w:w="3190" w:type="dxa"/>
          </w:tcPr>
          <w:p w:rsidR="00000000" w:rsidRDefault="00000000">
            <w:pPr>
              <w:pStyle w:val="FootnoteText"/>
              <w:spacing w:line="288" w:lineRule="auto"/>
            </w:pPr>
            <w:r>
              <w:t>Юг</w:t>
            </w:r>
          </w:p>
        </w:tc>
        <w:tc>
          <w:tcPr>
            <w:tcW w:w="3190" w:type="dxa"/>
          </w:tcPr>
          <w:p w:rsidR="00000000" w:rsidRDefault="00000000">
            <w:pPr>
              <w:pStyle w:val="FootnoteText"/>
              <w:tabs>
                <w:tab w:val="clear" w:pos="1701"/>
                <w:tab w:val="clear" w:pos="2268"/>
              </w:tabs>
              <w:spacing w:line="288" w:lineRule="auto"/>
              <w:ind w:right="1302"/>
              <w:jc w:val="right"/>
            </w:pPr>
            <w:r>
              <w:t>171</w:t>
            </w:r>
          </w:p>
        </w:tc>
        <w:tc>
          <w:tcPr>
            <w:tcW w:w="3191" w:type="dxa"/>
          </w:tcPr>
          <w:p w:rsidR="00000000" w:rsidRDefault="00000000">
            <w:pPr>
              <w:pStyle w:val="FootnoteText"/>
              <w:tabs>
                <w:tab w:val="clear" w:pos="1701"/>
                <w:tab w:val="clear" w:pos="2268"/>
              </w:tabs>
              <w:spacing w:line="288" w:lineRule="auto"/>
              <w:ind w:right="1127"/>
              <w:jc w:val="right"/>
            </w:pPr>
            <w:r>
              <w:t>204</w:t>
            </w:r>
            <w:r>
              <w:rPr>
                <w:lang w:val="en-US"/>
              </w:rPr>
              <w:t> </w:t>
            </w:r>
            <w:r>
              <w:t>097</w:t>
            </w:r>
          </w:p>
        </w:tc>
      </w:tr>
      <w:tr w:rsidR="00000000">
        <w:tblPrEx>
          <w:tblCellMar>
            <w:top w:w="0" w:type="dxa"/>
            <w:bottom w:w="0" w:type="dxa"/>
          </w:tblCellMar>
        </w:tblPrEx>
        <w:tc>
          <w:tcPr>
            <w:tcW w:w="3190" w:type="dxa"/>
          </w:tcPr>
          <w:p w:rsidR="00000000" w:rsidRDefault="00000000">
            <w:pPr>
              <w:pStyle w:val="FootnoteText"/>
              <w:spacing w:line="288" w:lineRule="auto"/>
            </w:pPr>
            <w:r>
              <w:t>Всего</w:t>
            </w:r>
          </w:p>
        </w:tc>
        <w:tc>
          <w:tcPr>
            <w:tcW w:w="3190" w:type="dxa"/>
          </w:tcPr>
          <w:p w:rsidR="00000000" w:rsidRDefault="00000000">
            <w:pPr>
              <w:pStyle w:val="FootnoteText"/>
              <w:tabs>
                <w:tab w:val="clear" w:pos="1701"/>
                <w:tab w:val="clear" w:pos="2268"/>
              </w:tabs>
              <w:spacing w:line="288" w:lineRule="auto"/>
              <w:ind w:right="1302"/>
              <w:jc w:val="right"/>
            </w:pPr>
            <w:r>
              <w:t>1</w:t>
            </w:r>
            <w:r>
              <w:rPr>
                <w:lang w:val="en-US"/>
              </w:rPr>
              <w:t> </w:t>
            </w:r>
            <w:r>
              <w:t>018</w:t>
            </w:r>
          </w:p>
        </w:tc>
        <w:tc>
          <w:tcPr>
            <w:tcW w:w="3191" w:type="dxa"/>
          </w:tcPr>
          <w:p w:rsidR="00000000" w:rsidRDefault="00000000">
            <w:pPr>
              <w:pStyle w:val="FootnoteText"/>
              <w:tabs>
                <w:tab w:val="clear" w:pos="1701"/>
                <w:tab w:val="clear" w:pos="2268"/>
              </w:tabs>
              <w:spacing w:line="288" w:lineRule="auto"/>
              <w:ind w:right="1127"/>
              <w:jc w:val="right"/>
            </w:pPr>
            <w:r>
              <w:t>1</w:t>
            </w:r>
            <w:r>
              <w:rPr>
                <w:lang w:val="en-US"/>
              </w:rPr>
              <w:t> </w:t>
            </w:r>
            <w:r>
              <w:t>681</w:t>
            </w:r>
            <w:r>
              <w:rPr>
                <w:lang w:val="en-US"/>
              </w:rPr>
              <w:t> </w:t>
            </w:r>
            <w:r>
              <w:t>220</w:t>
            </w:r>
          </w:p>
        </w:tc>
      </w:tr>
    </w:tbl>
    <w:p w:rsidR="00000000" w:rsidRDefault="00000000"/>
    <w:p w:rsidR="00000000" w:rsidRDefault="00000000">
      <w:r>
        <w:t>489.</w:t>
      </w:r>
      <w:r>
        <w:tab/>
        <w:t>Что касается бразильского жилищного сектора, то следует отметить, что главным источником официальных данных является Бразильский институт географии и статистики (БИГС).  Проводимые один раз в десять лет общенациональные переписи населения и ежегодные общенациональные выборочные обследования домашних хозяйств (ОВОДХ) дают подробную информацию по различным количественным и качественным аспектам жизни и деятельности бразильских домашних хозяйств и членов их семей.  Не менее важными являются и Обследования бюджетов семьи (ОБС), позволяющие рассчитать расходы на жилье в разбивке по уровням доходов;  Обследования жизненного уровня (ОЖУ), дающие важную информацию о жилищном обслуживании в разбивке по уровням доходов;  и Ежегодные обследования гражданского жилищного строительства (ОГЖС), помогающие оценить состояние этой отрасли экономики.</w:t>
      </w:r>
    </w:p>
    <w:p w:rsidR="00000000" w:rsidRDefault="00000000"/>
    <w:p w:rsidR="00000000" w:rsidRDefault="00000000">
      <w:r>
        <w:t>490.</w:t>
      </w:r>
      <w:r>
        <w:tab/>
        <w:t>Вместе с тем следует отметить, что обследования БИГС имеют иную цель, чем обследования жилищного фонда, дающие важные данные о жилищных условиях населения, например, о размере надела, возрасте жилья, о видах природопользования, об особенностях мест проживания и т.д.</w:t>
      </w:r>
    </w:p>
    <w:p w:rsidR="00000000" w:rsidRDefault="00000000"/>
    <w:p w:rsidR="00000000" w:rsidRDefault="00000000">
      <w:r>
        <w:t>491.</w:t>
      </w:r>
      <w:r>
        <w:tab/>
        <w:t>Различные учреждения и организации гражданского общества расходятся в своих оценках дефицита жилья в Бразилии.  Расчеты единиц жилья колеблются от 5,6 млн. до 15,4 млн. в зависимости от используемых методов и параметров.</w:t>
      </w:r>
    </w:p>
    <w:p w:rsidR="00000000" w:rsidRDefault="00000000"/>
    <w:p w:rsidR="00000000" w:rsidRDefault="00000000">
      <w:r>
        <w:t>492.</w:t>
      </w:r>
      <w:r>
        <w:tab/>
        <w:t>Официальные государственные данные о жилом фонде страны включены в исследование 1995 года, проведенное Фондом Жоао Пинейро на основе данных Общенациональной переписи населения страны 1991 года и Общенационального выборочного обследования домашних хозяйств, обновленного по состоянию на 1995 год.  Правительство Бразилии полагает, что проходящая в настоящее время десятилетняя перепись населения страны явит новые данные и поможет внести коррективы в различные аспекты проблемы жилья в Бразилии.</w:t>
      </w:r>
    </w:p>
    <w:p w:rsidR="00000000" w:rsidRDefault="00000000"/>
    <w:p w:rsidR="00000000" w:rsidRDefault="00000000">
      <w:r>
        <w:t>493.</w:t>
      </w:r>
      <w:r>
        <w:tab/>
        <w:t>В исследовании 1995 года рассматривались две концепции дефицита жилья:  дефицит количества и дефицит качества.  Концепция количественного дефицита предполагает необходимость строительства новых жилых зданий и рассчитывается как сумма импровизированных жилищных единиц, т.е. зданий, построенных для иных, помимо жилья, целей, постоянных жилых зданий сельского типа, т.е. зданий, построенных из не отвечающих требованиям материалов, и коммунальных жилых помещений, в которых проживает две или более семей.  Понятие качественного жилищного дефицита включает в себя здания, не отвечающие нормам, предъявляемым к жилым помещениям.  В исследовании рассматриваются три основных фактора неадекватности:  i)  чрезмерная квартирная плата;  ii)  чрезмерная скученность жильцов;  и  iii)  отсутствие инфраструктуры или ее несоответствие нормам.  Следует отметить, что категории качественного дефицита не могут быть суммированы из-за опасности дублирования, поскольку то или иное здание может иметь сразу несколько факторов неадекватности.  Кроме того, ученые не рекомендуют учитывать количественный дефицит вкупе с некоторыми категориями качественного дефицита, поскольку даже в отсутствие риска дублирования это может иметь различные последствия для формирования политики.  В таблице ниже приведены данные 1991 года, касающиеся количественного дефицита жилья, в разбивке по категориям и состоянию жилых зданий.</w:t>
      </w:r>
    </w:p>
    <w:p w:rsidR="00000000" w:rsidRDefault="00000000"/>
    <w:p w:rsidR="00000000" w:rsidRDefault="00000000">
      <w:pPr>
        <w:pStyle w:val="10"/>
        <w:rPr>
          <w:bCs/>
        </w:rPr>
      </w:pPr>
      <w:r>
        <w:rPr>
          <w:bCs/>
        </w:rPr>
        <w:t>Таблица 56.   Дефицит жилья в разбивке по месту расположения семейных</w:t>
      </w:r>
    </w:p>
    <w:p w:rsidR="00000000" w:rsidRDefault="00000000">
      <w:pPr>
        <w:pStyle w:val="10"/>
        <w:rPr>
          <w:bCs/>
        </w:rPr>
      </w:pPr>
      <w:r>
        <w:rPr>
          <w:bCs/>
        </w:rPr>
        <w:t>хозяйств в 1991 году</w:t>
      </w:r>
    </w:p>
    <w:p w:rsidR="00000000" w:rsidRDefault="00000000">
      <w:pPr>
        <w:pStyle w:val="10"/>
        <w:jc w:val="left"/>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3346"/>
        <w:gridCol w:w="1643"/>
        <w:gridCol w:w="2014"/>
        <w:gridCol w:w="1281"/>
        <w:gridCol w:w="1184"/>
      </w:tblGrid>
      <w:tr w:rsidR="00000000">
        <w:tblPrEx>
          <w:tblCellMar>
            <w:top w:w="0" w:type="dxa"/>
            <w:bottom w:w="0" w:type="dxa"/>
          </w:tblCellMar>
        </w:tblPrEx>
        <w:tc>
          <w:tcPr>
            <w:tcW w:w="3474" w:type="dxa"/>
          </w:tcPr>
          <w:p w:rsidR="00000000" w:rsidRDefault="00000000">
            <w:pPr>
              <w:spacing w:line="240" w:lineRule="auto"/>
              <w:jc w:val="center"/>
              <w:rPr>
                <w:sz w:val="22"/>
              </w:rPr>
            </w:pPr>
            <w:r>
              <w:rPr>
                <w:sz w:val="22"/>
              </w:rPr>
              <w:t>Тип дефицита</w:t>
            </w:r>
          </w:p>
        </w:tc>
        <w:tc>
          <w:tcPr>
            <w:tcW w:w="1683" w:type="dxa"/>
          </w:tcPr>
          <w:p w:rsidR="00000000" w:rsidRDefault="00000000">
            <w:pPr>
              <w:spacing w:line="240" w:lineRule="auto"/>
              <w:jc w:val="center"/>
              <w:rPr>
                <w:sz w:val="22"/>
              </w:rPr>
            </w:pPr>
            <w:r>
              <w:rPr>
                <w:sz w:val="22"/>
              </w:rPr>
              <w:t>Районы метрополий</w:t>
            </w:r>
          </w:p>
        </w:tc>
        <w:tc>
          <w:tcPr>
            <w:tcW w:w="2106" w:type="dxa"/>
          </w:tcPr>
          <w:p w:rsidR="00000000" w:rsidRDefault="00000000">
            <w:pPr>
              <w:spacing w:line="240" w:lineRule="auto"/>
              <w:jc w:val="center"/>
              <w:rPr>
                <w:sz w:val="22"/>
              </w:rPr>
            </w:pPr>
            <w:r>
              <w:rPr>
                <w:sz w:val="22"/>
              </w:rPr>
              <w:t>Другие городские районы</w:t>
            </w:r>
          </w:p>
        </w:tc>
        <w:tc>
          <w:tcPr>
            <w:tcW w:w="1309" w:type="dxa"/>
          </w:tcPr>
          <w:p w:rsidR="00000000" w:rsidRDefault="00000000">
            <w:pPr>
              <w:pStyle w:val="16"/>
              <w:spacing w:line="240" w:lineRule="auto"/>
              <w:rPr>
                <w:sz w:val="22"/>
              </w:rPr>
            </w:pPr>
            <w:r>
              <w:rPr>
                <w:sz w:val="22"/>
              </w:rPr>
              <w:t>Сельские районы</w:t>
            </w:r>
          </w:p>
        </w:tc>
        <w:tc>
          <w:tcPr>
            <w:tcW w:w="1235" w:type="dxa"/>
          </w:tcPr>
          <w:p w:rsidR="00000000" w:rsidRDefault="00000000">
            <w:pPr>
              <w:spacing w:line="240" w:lineRule="auto"/>
              <w:jc w:val="center"/>
              <w:rPr>
                <w:sz w:val="22"/>
              </w:rPr>
            </w:pPr>
            <w:r>
              <w:rPr>
                <w:sz w:val="22"/>
              </w:rPr>
              <w:t>Всего</w:t>
            </w:r>
          </w:p>
        </w:tc>
      </w:tr>
      <w:tr w:rsidR="00000000">
        <w:tblPrEx>
          <w:tblCellMar>
            <w:top w:w="0" w:type="dxa"/>
            <w:bottom w:w="0" w:type="dxa"/>
          </w:tblCellMar>
        </w:tblPrEx>
        <w:tc>
          <w:tcPr>
            <w:tcW w:w="3474" w:type="dxa"/>
          </w:tcPr>
          <w:p w:rsidR="00000000" w:rsidRDefault="00000000">
            <w:pPr>
              <w:pStyle w:val="FootnoteText"/>
              <w:rPr>
                <w:sz w:val="22"/>
              </w:rPr>
            </w:pPr>
            <w:r>
              <w:rPr>
                <w:sz w:val="22"/>
              </w:rPr>
              <w:t>Импровизированное жилье</w:t>
            </w:r>
          </w:p>
        </w:tc>
        <w:tc>
          <w:tcPr>
            <w:tcW w:w="1683" w:type="dxa"/>
          </w:tcPr>
          <w:p w:rsidR="00000000" w:rsidRDefault="00000000">
            <w:pPr>
              <w:tabs>
                <w:tab w:val="clear" w:pos="1134"/>
              </w:tabs>
              <w:spacing w:line="240" w:lineRule="auto"/>
              <w:ind w:right="388"/>
              <w:jc w:val="right"/>
              <w:rPr>
                <w:sz w:val="22"/>
              </w:rPr>
            </w:pPr>
            <w:r>
              <w:rPr>
                <w:sz w:val="22"/>
              </w:rPr>
              <w:t>33 358</w:t>
            </w:r>
          </w:p>
        </w:tc>
        <w:tc>
          <w:tcPr>
            <w:tcW w:w="2106" w:type="dxa"/>
          </w:tcPr>
          <w:p w:rsidR="00000000" w:rsidRDefault="00000000">
            <w:pPr>
              <w:tabs>
                <w:tab w:val="clear" w:pos="1701"/>
                <w:tab w:val="left" w:pos="1388"/>
              </w:tabs>
              <w:spacing w:line="240" w:lineRule="auto"/>
              <w:ind w:right="502"/>
              <w:jc w:val="right"/>
              <w:rPr>
                <w:sz w:val="22"/>
              </w:rPr>
            </w:pPr>
            <w:r>
              <w:rPr>
                <w:sz w:val="22"/>
              </w:rPr>
              <w:t>58 677</w:t>
            </w:r>
          </w:p>
        </w:tc>
        <w:tc>
          <w:tcPr>
            <w:tcW w:w="1309" w:type="dxa"/>
          </w:tcPr>
          <w:p w:rsidR="00000000" w:rsidRDefault="00000000">
            <w:pPr>
              <w:spacing w:line="240" w:lineRule="auto"/>
              <w:jc w:val="right"/>
              <w:rPr>
                <w:sz w:val="22"/>
              </w:rPr>
            </w:pPr>
            <w:r>
              <w:rPr>
                <w:sz w:val="22"/>
              </w:rPr>
              <w:t>54 500</w:t>
            </w:r>
          </w:p>
        </w:tc>
        <w:tc>
          <w:tcPr>
            <w:tcW w:w="1235" w:type="dxa"/>
          </w:tcPr>
          <w:p w:rsidR="00000000" w:rsidRDefault="00000000">
            <w:pPr>
              <w:spacing w:line="240" w:lineRule="auto"/>
              <w:jc w:val="right"/>
              <w:rPr>
                <w:sz w:val="22"/>
              </w:rPr>
            </w:pPr>
            <w:r>
              <w:rPr>
                <w:sz w:val="22"/>
              </w:rPr>
              <w:t>146 535</w:t>
            </w:r>
          </w:p>
        </w:tc>
      </w:tr>
      <w:tr w:rsidR="00000000">
        <w:tblPrEx>
          <w:tblCellMar>
            <w:top w:w="0" w:type="dxa"/>
            <w:bottom w:w="0" w:type="dxa"/>
          </w:tblCellMar>
        </w:tblPrEx>
        <w:tc>
          <w:tcPr>
            <w:tcW w:w="3474" w:type="dxa"/>
          </w:tcPr>
          <w:p w:rsidR="00000000" w:rsidRDefault="00000000">
            <w:pPr>
              <w:pStyle w:val="FootnoteText"/>
              <w:rPr>
                <w:sz w:val="22"/>
              </w:rPr>
            </w:pPr>
            <w:r>
              <w:rPr>
                <w:sz w:val="22"/>
              </w:rPr>
              <w:t>Жилье в аварийном состоянии</w:t>
            </w:r>
          </w:p>
        </w:tc>
        <w:tc>
          <w:tcPr>
            <w:tcW w:w="1683" w:type="dxa"/>
          </w:tcPr>
          <w:p w:rsidR="00000000" w:rsidRDefault="00000000">
            <w:pPr>
              <w:tabs>
                <w:tab w:val="clear" w:pos="1134"/>
              </w:tabs>
              <w:spacing w:line="240" w:lineRule="auto"/>
              <w:ind w:right="388"/>
              <w:jc w:val="right"/>
              <w:rPr>
                <w:sz w:val="22"/>
              </w:rPr>
            </w:pPr>
            <w:r>
              <w:rPr>
                <w:sz w:val="22"/>
              </w:rPr>
              <w:t>230 178</w:t>
            </w:r>
          </w:p>
        </w:tc>
        <w:tc>
          <w:tcPr>
            <w:tcW w:w="2106" w:type="dxa"/>
          </w:tcPr>
          <w:p w:rsidR="00000000" w:rsidRDefault="00000000">
            <w:pPr>
              <w:tabs>
                <w:tab w:val="clear" w:pos="1701"/>
                <w:tab w:val="left" w:pos="1388"/>
              </w:tabs>
              <w:spacing w:line="240" w:lineRule="auto"/>
              <w:ind w:right="502"/>
              <w:jc w:val="right"/>
              <w:rPr>
                <w:sz w:val="22"/>
              </w:rPr>
            </w:pPr>
            <w:r>
              <w:rPr>
                <w:sz w:val="22"/>
              </w:rPr>
              <w:t>434 337</w:t>
            </w:r>
          </w:p>
        </w:tc>
        <w:tc>
          <w:tcPr>
            <w:tcW w:w="1309" w:type="dxa"/>
          </w:tcPr>
          <w:p w:rsidR="00000000" w:rsidRDefault="00000000">
            <w:pPr>
              <w:spacing w:line="240" w:lineRule="auto"/>
              <w:jc w:val="right"/>
              <w:rPr>
                <w:sz w:val="22"/>
              </w:rPr>
            </w:pPr>
            <w:r>
              <w:rPr>
                <w:sz w:val="22"/>
              </w:rPr>
              <w:t>1 063 330</w:t>
            </w:r>
          </w:p>
        </w:tc>
        <w:tc>
          <w:tcPr>
            <w:tcW w:w="1235" w:type="dxa"/>
          </w:tcPr>
          <w:p w:rsidR="00000000" w:rsidRDefault="00000000">
            <w:pPr>
              <w:spacing w:line="240" w:lineRule="auto"/>
              <w:jc w:val="right"/>
              <w:rPr>
                <w:sz w:val="22"/>
              </w:rPr>
            </w:pPr>
            <w:r>
              <w:rPr>
                <w:sz w:val="22"/>
              </w:rPr>
              <w:t>1 727 845</w:t>
            </w:r>
          </w:p>
        </w:tc>
      </w:tr>
      <w:tr w:rsidR="00000000">
        <w:tblPrEx>
          <w:tblCellMar>
            <w:top w:w="0" w:type="dxa"/>
            <w:bottom w:w="0" w:type="dxa"/>
          </w:tblCellMar>
        </w:tblPrEx>
        <w:tc>
          <w:tcPr>
            <w:tcW w:w="3474" w:type="dxa"/>
          </w:tcPr>
          <w:p w:rsidR="00000000" w:rsidRDefault="00000000">
            <w:pPr>
              <w:pStyle w:val="FootnoteText"/>
              <w:rPr>
                <w:sz w:val="22"/>
              </w:rPr>
            </w:pPr>
            <w:r>
              <w:rPr>
                <w:sz w:val="22"/>
              </w:rPr>
              <w:t>Совместно проживающие семьи</w:t>
            </w:r>
          </w:p>
        </w:tc>
        <w:tc>
          <w:tcPr>
            <w:tcW w:w="1683" w:type="dxa"/>
          </w:tcPr>
          <w:p w:rsidR="00000000" w:rsidRDefault="00000000">
            <w:pPr>
              <w:tabs>
                <w:tab w:val="clear" w:pos="1134"/>
              </w:tabs>
              <w:spacing w:line="240" w:lineRule="auto"/>
              <w:ind w:right="388"/>
              <w:jc w:val="right"/>
              <w:rPr>
                <w:sz w:val="22"/>
              </w:rPr>
            </w:pPr>
            <w:r>
              <w:rPr>
                <w:sz w:val="22"/>
              </w:rPr>
              <w:t>979 779</w:t>
            </w:r>
          </w:p>
        </w:tc>
        <w:tc>
          <w:tcPr>
            <w:tcW w:w="2106" w:type="dxa"/>
          </w:tcPr>
          <w:p w:rsidR="00000000" w:rsidRDefault="00000000">
            <w:pPr>
              <w:tabs>
                <w:tab w:val="clear" w:pos="1701"/>
                <w:tab w:val="left" w:pos="1388"/>
              </w:tabs>
              <w:spacing w:line="240" w:lineRule="auto"/>
              <w:ind w:right="502"/>
              <w:jc w:val="right"/>
              <w:rPr>
                <w:sz w:val="22"/>
              </w:rPr>
            </w:pPr>
            <w:r>
              <w:rPr>
                <w:sz w:val="22"/>
              </w:rPr>
              <w:t>1 621 256</w:t>
            </w:r>
          </w:p>
        </w:tc>
        <w:tc>
          <w:tcPr>
            <w:tcW w:w="1309" w:type="dxa"/>
          </w:tcPr>
          <w:p w:rsidR="00000000" w:rsidRDefault="00000000">
            <w:pPr>
              <w:spacing w:line="240" w:lineRule="auto"/>
              <w:jc w:val="right"/>
              <w:rPr>
                <w:sz w:val="22"/>
              </w:rPr>
            </w:pPr>
            <w:r>
              <w:rPr>
                <w:sz w:val="22"/>
              </w:rPr>
              <w:t>527 943</w:t>
            </w:r>
          </w:p>
        </w:tc>
        <w:tc>
          <w:tcPr>
            <w:tcW w:w="1235" w:type="dxa"/>
          </w:tcPr>
          <w:p w:rsidR="00000000" w:rsidRDefault="00000000">
            <w:pPr>
              <w:spacing w:line="240" w:lineRule="auto"/>
              <w:jc w:val="right"/>
              <w:rPr>
                <w:sz w:val="22"/>
              </w:rPr>
            </w:pPr>
            <w:r>
              <w:rPr>
                <w:sz w:val="22"/>
              </w:rPr>
              <w:t>3 128 978</w:t>
            </w:r>
          </w:p>
        </w:tc>
      </w:tr>
      <w:tr w:rsidR="00000000">
        <w:tblPrEx>
          <w:tblCellMar>
            <w:top w:w="0" w:type="dxa"/>
            <w:bottom w:w="0" w:type="dxa"/>
          </w:tblCellMar>
        </w:tblPrEx>
        <w:tc>
          <w:tcPr>
            <w:tcW w:w="3474" w:type="dxa"/>
          </w:tcPr>
          <w:p w:rsidR="00000000" w:rsidRDefault="00000000">
            <w:pPr>
              <w:pStyle w:val="FootnoteText"/>
              <w:rPr>
                <w:sz w:val="22"/>
              </w:rPr>
            </w:pPr>
            <w:r>
              <w:rPr>
                <w:sz w:val="22"/>
              </w:rPr>
              <w:t>Всего</w:t>
            </w:r>
          </w:p>
        </w:tc>
        <w:tc>
          <w:tcPr>
            <w:tcW w:w="1683" w:type="dxa"/>
          </w:tcPr>
          <w:p w:rsidR="00000000" w:rsidRDefault="00000000">
            <w:pPr>
              <w:tabs>
                <w:tab w:val="clear" w:pos="1134"/>
              </w:tabs>
              <w:spacing w:line="240" w:lineRule="auto"/>
              <w:ind w:right="388"/>
              <w:jc w:val="right"/>
              <w:rPr>
                <w:sz w:val="22"/>
              </w:rPr>
            </w:pPr>
            <w:r>
              <w:rPr>
                <w:sz w:val="22"/>
              </w:rPr>
              <w:t>1 243 315</w:t>
            </w:r>
          </w:p>
        </w:tc>
        <w:tc>
          <w:tcPr>
            <w:tcW w:w="2106" w:type="dxa"/>
          </w:tcPr>
          <w:p w:rsidR="00000000" w:rsidRDefault="00000000">
            <w:pPr>
              <w:tabs>
                <w:tab w:val="clear" w:pos="1701"/>
                <w:tab w:val="left" w:pos="1388"/>
              </w:tabs>
              <w:spacing w:line="240" w:lineRule="auto"/>
              <w:ind w:right="502"/>
              <w:jc w:val="right"/>
              <w:rPr>
                <w:sz w:val="22"/>
              </w:rPr>
            </w:pPr>
            <w:r>
              <w:rPr>
                <w:sz w:val="22"/>
              </w:rPr>
              <w:t>2 114 268</w:t>
            </w:r>
          </w:p>
        </w:tc>
        <w:tc>
          <w:tcPr>
            <w:tcW w:w="1309" w:type="dxa"/>
          </w:tcPr>
          <w:p w:rsidR="00000000" w:rsidRDefault="00000000">
            <w:pPr>
              <w:spacing w:line="240" w:lineRule="auto"/>
              <w:jc w:val="right"/>
              <w:rPr>
                <w:sz w:val="22"/>
              </w:rPr>
            </w:pPr>
            <w:r>
              <w:rPr>
                <w:sz w:val="22"/>
              </w:rPr>
              <w:t>1 630 788</w:t>
            </w:r>
          </w:p>
        </w:tc>
        <w:tc>
          <w:tcPr>
            <w:tcW w:w="1235" w:type="dxa"/>
          </w:tcPr>
          <w:p w:rsidR="00000000" w:rsidRDefault="00000000">
            <w:pPr>
              <w:spacing w:line="240" w:lineRule="auto"/>
              <w:jc w:val="right"/>
              <w:rPr>
                <w:sz w:val="22"/>
              </w:rPr>
            </w:pPr>
            <w:r>
              <w:rPr>
                <w:sz w:val="22"/>
              </w:rPr>
              <w:t>4 988 371</w:t>
            </w:r>
          </w:p>
        </w:tc>
      </w:tr>
    </w:tbl>
    <w:p w:rsidR="00000000" w:rsidRDefault="00000000"/>
    <w:p w:rsidR="00000000" w:rsidRDefault="00000000">
      <w:r>
        <w:tab/>
      </w:r>
      <w:r>
        <w:rPr>
          <w:u w:val="single"/>
        </w:rPr>
        <w:t>Источник</w:t>
      </w:r>
      <w:r>
        <w:t>:  Фонд Жоао Пинейро, 1995 год.</w:t>
      </w:r>
    </w:p>
    <w:p w:rsidR="00000000" w:rsidRDefault="00000000"/>
    <w:p w:rsidR="00000000" w:rsidRDefault="00000000">
      <w:r>
        <w:t>494.</w:t>
      </w:r>
      <w:r>
        <w:tab/>
        <w:t>Как видно из таблицы, большая часть дефицита жилья в городских районах вызвана коммунальными условиями проживания семей, а дефицит жилья в сельских районах объясняется аварийным состоянием жилых зданий.  В таблице ниже показано, что проблема совместного проживания нескольких семей носит более серьезный характер в районах метрополий.  Дефицит городского жилья непосредственно связан с уровнем дохода семьи и касается в основном категорий семей с низким доходом.  Примерно 85% дефицита жилья в Бразилии приходится на группы населения, месячный доход которых составляет менее пяти минимальных окладов.</w:t>
      </w:r>
    </w:p>
    <w:p w:rsidR="00000000" w:rsidRDefault="00000000"/>
    <w:p w:rsidR="00000000" w:rsidRDefault="00000000">
      <w:pPr>
        <w:pStyle w:val="10"/>
      </w:pPr>
      <w:r>
        <w:t>Таблица 57.   Дефицит городского жилья в разбивке по уровню</w:t>
      </w:r>
    </w:p>
    <w:p w:rsidR="00000000" w:rsidRDefault="00000000">
      <w:pPr>
        <w:pStyle w:val="10"/>
      </w:pPr>
      <w:r>
        <w:t>доходов в 1991 году (в %)</w:t>
      </w:r>
    </w:p>
    <w:p w:rsidR="00000000" w:rsidRDefault="00000000">
      <w:pPr>
        <w:pStyle w:val="10"/>
        <w:jc w:val="left"/>
        <w:rPr>
          <w:b w:val="0"/>
          <w:bCs/>
        </w:rPr>
      </w:pPr>
    </w:p>
    <w:tbl>
      <w:tblPr>
        <w:tblW w:w="9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3236"/>
        <w:gridCol w:w="1496"/>
        <w:gridCol w:w="1496"/>
        <w:gridCol w:w="1496"/>
        <w:gridCol w:w="1683"/>
      </w:tblGrid>
      <w:tr w:rsidR="00000000">
        <w:tblPrEx>
          <w:tblCellMar>
            <w:top w:w="0" w:type="dxa"/>
            <w:bottom w:w="0" w:type="dxa"/>
          </w:tblCellMar>
        </w:tblPrEx>
        <w:tc>
          <w:tcPr>
            <w:tcW w:w="3236" w:type="dxa"/>
            <w:vAlign w:val="center"/>
          </w:tcPr>
          <w:p w:rsidR="00000000" w:rsidRDefault="00000000">
            <w:pPr>
              <w:pStyle w:val="10"/>
              <w:spacing w:line="240" w:lineRule="auto"/>
              <w:rPr>
                <w:b w:val="0"/>
                <w:bCs/>
                <w:sz w:val="22"/>
              </w:rPr>
            </w:pPr>
            <w:r>
              <w:rPr>
                <w:b w:val="0"/>
                <w:bCs/>
                <w:sz w:val="22"/>
              </w:rPr>
              <w:t>Категория дефицита</w:t>
            </w:r>
          </w:p>
        </w:tc>
        <w:tc>
          <w:tcPr>
            <w:tcW w:w="1496" w:type="dxa"/>
          </w:tcPr>
          <w:p w:rsidR="00000000" w:rsidRDefault="00000000">
            <w:pPr>
              <w:pStyle w:val="10"/>
              <w:spacing w:line="240" w:lineRule="auto"/>
              <w:rPr>
                <w:b w:val="0"/>
                <w:bCs/>
                <w:sz w:val="22"/>
              </w:rPr>
            </w:pPr>
            <w:r>
              <w:rPr>
                <w:b w:val="0"/>
                <w:bCs/>
                <w:sz w:val="22"/>
              </w:rPr>
              <w:t>До двух минимальных окладов (1)</w:t>
            </w:r>
          </w:p>
        </w:tc>
        <w:tc>
          <w:tcPr>
            <w:tcW w:w="1496" w:type="dxa"/>
          </w:tcPr>
          <w:p w:rsidR="00000000" w:rsidRDefault="00000000">
            <w:pPr>
              <w:pStyle w:val="10"/>
              <w:spacing w:line="240" w:lineRule="auto"/>
              <w:rPr>
                <w:b w:val="0"/>
                <w:bCs/>
                <w:sz w:val="22"/>
              </w:rPr>
            </w:pPr>
            <w:r>
              <w:rPr>
                <w:b w:val="0"/>
                <w:bCs/>
                <w:sz w:val="22"/>
              </w:rPr>
              <w:t>Два-пять минимальных окладов (2)</w:t>
            </w:r>
          </w:p>
        </w:tc>
        <w:tc>
          <w:tcPr>
            <w:tcW w:w="1496" w:type="dxa"/>
          </w:tcPr>
          <w:p w:rsidR="00000000" w:rsidRDefault="00000000">
            <w:pPr>
              <w:pStyle w:val="10"/>
              <w:spacing w:line="240" w:lineRule="auto"/>
              <w:rPr>
                <w:b w:val="0"/>
                <w:bCs/>
                <w:sz w:val="22"/>
              </w:rPr>
            </w:pPr>
            <w:r>
              <w:rPr>
                <w:b w:val="0"/>
                <w:bCs/>
                <w:sz w:val="22"/>
              </w:rPr>
              <w:t>До пяти минимальных окладов (1+2)</w:t>
            </w:r>
          </w:p>
        </w:tc>
        <w:tc>
          <w:tcPr>
            <w:tcW w:w="1683" w:type="dxa"/>
          </w:tcPr>
          <w:p w:rsidR="00000000" w:rsidRDefault="00000000">
            <w:pPr>
              <w:pStyle w:val="10"/>
              <w:spacing w:line="240" w:lineRule="auto"/>
              <w:rPr>
                <w:b w:val="0"/>
                <w:bCs/>
                <w:sz w:val="22"/>
              </w:rPr>
            </w:pPr>
            <w:r>
              <w:rPr>
                <w:b w:val="0"/>
                <w:bCs/>
                <w:sz w:val="22"/>
              </w:rPr>
              <w:t>Свыше пяти минимальных окладов</w:t>
            </w:r>
          </w:p>
        </w:tc>
      </w:tr>
      <w:tr w:rsidR="00000000">
        <w:tblPrEx>
          <w:tblCellMar>
            <w:top w:w="0" w:type="dxa"/>
            <w:bottom w:w="0" w:type="dxa"/>
          </w:tblCellMar>
        </w:tblPrEx>
        <w:tc>
          <w:tcPr>
            <w:tcW w:w="3236" w:type="dxa"/>
          </w:tcPr>
          <w:p w:rsidR="00000000" w:rsidRDefault="00000000">
            <w:pPr>
              <w:pStyle w:val="10"/>
              <w:spacing w:line="240" w:lineRule="auto"/>
              <w:jc w:val="left"/>
              <w:rPr>
                <w:b w:val="0"/>
                <w:bCs/>
                <w:sz w:val="22"/>
              </w:rPr>
            </w:pPr>
            <w:r>
              <w:rPr>
                <w:b w:val="0"/>
                <w:bCs/>
                <w:sz w:val="22"/>
              </w:rPr>
              <w:t>Совместно проживающие семьи</w:t>
            </w:r>
          </w:p>
        </w:tc>
        <w:tc>
          <w:tcPr>
            <w:tcW w:w="1496" w:type="dxa"/>
          </w:tcPr>
          <w:p w:rsidR="00000000" w:rsidRDefault="00000000">
            <w:pPr>
              <w:pStyle w:val="10"/>
              <w:spacing w:line="240" w:lineRule="auto"/>
              <w:rPr>
                <w:b w:val="0"/>
                <w:bCs/>
                <w:sz w:val="22"/>
              </w:rPr>
            </w:pPr>
            <w:r>
              <w:rPr>
                <w:b w:val="0"/>
                <w:bCs/>
                <w:sz w:val="22"/>
              </w:rPr>
              <w:t>42,9</w:t>
            </w:r>
          </w:p>
        </w:tc>
        <w:tc>
          <w:tcPr>
            <w:tcW w:w="1496" w:type="dxa"/>
          </w:tcPr>
          <w:p w:rsidR="00000000" w:rsidRDefault="00000000">
            <w:pPr>
              <w:pStyle w:val="10"/>
              <w:spacing w:line="240" w:lineRule="auto"/>
              <w:rPr>
                <w:b w:val="0"/>
                <w:bCs/>
                <w:sz w:val="22"/>
              </w:rPr>
            </w:pPr>
            <w:r>
              <w:rPr>
                <w:b w:val="0"/>
                <w:bCs/>
                <w:sz w:val="22"/>
              </w:rPr>
              <w:t>21,4</w:t>
            </w:r>
          </w:p>
        </w:tc>
        <w:tc>
          <w:tcPr>
            <w:tcW w:w="1496" w:type="dxa"/>
          </w:tcPr>
          <w:p w:rsidR="00000000" w:rsidRDefault="00000000">
            <w:pPr>
              <w:pStyle w:val="10"/>
              <w:spacing w:line="240" w:lineRule="auto"/>
              <w:rPr>
                <w:b w:val="0"/>
                <w:bCs/>
                <w:sz w:val="22"/>
              </w:rPr>
            </w:pPr>
            <w:r>
              <w:rPr>
                <w:b w:val="0"/>
                <w:bCs/>
                <w:sz w:val="22"/>
              </w:rPr>
              <w:t>64,3</w:t>
            </w:r>
          </w:p>
        </w:tc>
        <w:tc>
          <w:tcPr>
            <w:tcW w:w="1683" w:type="dxa"/>
          </w:tcPr>
          <w:p w:rsidR="00000000" w:rsidRDefault="00000000">
            <w:pPr>
              <w:pStyle w:val="10"/>
              <w:spacing w:line="240" w:lineRule="auto"/>
              <w:rPr>
                <w:b w:val="0"/>
                <w:bCs/>
                <w:sz w:val="22"/>
              </w:rPr>
            </w:pPr>
            <w:r>
              <w:rPr>
                <w:b w:val="0"/>
                <w:bCs/>
                <w:sz w:val="22"/>
              </w:rPr>
              <w:t>13,1</w:t>
            </w:r>
          </w:p>
        </w:tc>
      </w:tr>
      <w:tr w:rsidR="00000000">
        <w:tblPrEx>
          <w:tblCellMar>
            <w:top w:w="0" w:type="dxa"/>
            <w:bottom w:w="0" w:type="dxa"/>
          </w:tblCellMar>
        </w:tblPrEx>
        <w:tc>
          <w:tcPr>
            <w:tcW w:w="3236" w:type="dxa"/>
          </w:tcPr>
          <w:p w:rsidR="00000000" w:rsidRDefault="00000000">
            <w:pPr>
              <w:pStyle w:val="10"/>
              <w:spacing w:line="240" w:lineRule="auto"/>
              <w:jc w:val="left"/>
              <w:rPr>
                <w:b w:val="0"/>
                <w:bCs/>
                <w:sz w:val="22"/>
              </w:rPr>
            </w:pPr>
            <w:r>
              <w:rPr>
                <w:b w:val="0"/>
                <w:bCs/>
                <w:sz w:val="22"/>
              </w:rPr>
              <w:t>Другие категории</w:t>
            </w:r>
          </w:p>
        </w:tc>
        <w:tc>
          <w:tcPr>
            <w:tcW w:w="1496" w:type="dxa"/>
          </w:tcPr>
          <w:p w:rsidR="00000000" w:rsidRDefault="00000000">
            <w:pPr>
              <w:pStyle w:val="10"/>
              <w:spacing w:line="240" w:lineRule="auto"/>
              <w:rPr>
                <w:b w:val="0"/>
                <w:bCs/>
                <w:sz w:val="22"/>
              </w:rPr>
            </w:pPr>
            <w:r>
              <w:rPr>
                <w:b w:val="0"/>
                <w:bCs/>
                <w:sz w:val="22"/>
              </w:rPr>
              <w:t>12,5</w:t>
            </w:r>
          </w:p>
        </w:tc>
        <w:tc>
          <w:tcPr>
            <w:tcW w:w="1496" w:type="dxa"/>
          </w:tcPr>
          <w:p w:rsidR="00000000" w:rsidRDefault="00000000">
            <w:pPr>
              <w:pStyle w:val="10"/>
              <w:spacing w:line="240" w:lineRule="auto"/>
              <w:rPr>
                <w:b w:val="0"/>
                <w:bCs/>
                <w:sz w:val="22"/>
              </w:rPr>
            </w:pPr>
            <w:r>
              <w:rPr>
                <w:b w:val="0"/>
                <w:bCs/>
                <w:sz w:val="22"/>
              </w:rPr>
              <w:t xml:space="preserve">  7,8</w:t>
            </w:r>
          </w:p>
        </w:tc>
        <w:tc>
          <w:tcPr>
            <w:tcW w:w="1496" w:type="dxa"/>
          </w:tcPr>
          <w:p w:rsidR="00000000" w:rsidRDefault="00000000">
            <w:pPr>
              <w:pStyle w:val="10"/>
              <w:spacing w:line="240" w:lineRule="auto"/>
              <w:rPr>
                <w:b w:val="0"/>
                <w:bCs/>
                <w:sz w:val="22"/>
              </w:rPr>
            </w:pPr>
            <w:r>
              <w:rPr>
                <w:b w:val="0"/>
                <w:bCs/>
                <w:sz w:val="22"/>
              </w:rPr>
              <w:t>20,3</w:t>
            </w:r>
          </w:p>
        </w:tc>
        <w:tc>
          <w:tcPr>
            <w:tcW w:w="1683" w:type="dxa"/>
          </w:tcPr>
          <w:p w:rsidR="00000000" w:rsidRDefault="00000000">
            <w:pPr>
              <w:pStyle w:val="10"/>
              <w:spacing w:line="240" w:lineRule="auto"/>
              <w:rPr>
                <w:b w:val="0"/>
                <w:bCs/>
                <w:sz w:val="22"/>
              </w:rPr>
            </w:pPr>
            <w:r>
              <w:rPr>
                <w:b w:val="0"/>
                <w:bCs/>
                <w:sz w:val="22"/>
              </w:rPr>
              <w:t xml:space="preserve">  2,6</w:t>
            </w:r>
          </w:p>
        </w:tc>
      </w:tr>
      <w:tr w:rsidR="00000000">
        <w:tblPrEx>
          <w:tblCellMar>
            <w:top w:w="0" w:type="dxa"/>
            <w:bottom w:w="0" w:type="dxa"/>
          </w:tblCellMar>
        </w:tblPrEx>
        <w:tc>
          <w:tcPr>
            <w:tcW w:w="3236" w:type="dxa"/>
          </w:tcPr>
          <w:p w:rsidR="00000000" w:rsidRDefault="00000000">
            <w:pPr>
              <w:pStyle w:val="10"/>
              <w:spacing w:line="240" w:lineRule="auto"/>
              <w:jc w:val="left"/>
              <w:rPr>
                <w:b w:val="0"/>
                <w:bCs/>
                <w:sz w:val="22"/>
              </w:rPr>
            </w:pPr>
            <w:r>
              <w:rPr>
                <w:b w:val="0"/>
                <w:bCs/>
                <w:sz w:val="22"/>
              </w:rPr>
              <w:t>Всего</w:t>
            </w:r>
          </w:p>
        </w:tc>
        <w:tc>
          <w:tcPr>
            <w:tcW w:w="1496" w:type="dxa"/>
          </w:tcPr>
          <w:p w:rsidR="00000000" w:rsidRDefault="00000000">
            <w:pPr>
              <w:pStyle w:val="10"/>
              <w:spacing w:line="240" w:lineRule="auto"/>
              <w:rPr>
                <w:b w:val="0"/>
                <w:bCs/>
                <w:sz w:val="22"/>
              </w:rPr>
            </w:pPr>
            <w:r>
              <w:rPr>
                <w:b w:val="0"/>
                <w:bCs/>
                <w:sz w:val="22"/>
              </w:rPr>
              <w:t>55,4</w:t>
            </w:r>
          </w:p>
        </w:tc>
        <w:tc>
          <w:tcPr>
            <w:tcW w:w="1496" w:type="dxa"/>
          </w:tcPr>
          <w:p w:rsidR="00000000" w:rsidRDefault="00000000">
            <w:pPr>
              <w:pStyle w:val="10"/>
              <w:spacing w:line="240" w:lineRule="auto"/>
              <w:rPr>
                <w:b w:val="0"/>
                <w:bCs/>
                <w:sz w:val="22"/>
              </w:rPr>
            </w:pPr>
            <w:r>
              <w:rPr>
                <w:b w:val="0"/>
                <w:bCs/>
                <w:sz w:val="22"/>
              </w:rPr>
              <w:t>29,2</w:t>
            </w:r>
          </w:p>
        </w:tc>
        <w:tc>
          <w:tcPr>
            <w:tcW w:w="1496" w:type="dxa"/>
          </w:tcPr>
          <w:p w:rsidR="00000000" w:rsidRDefault="00000000">
            <w:pPr>
              <w:pStyle w:val="10"/>
              <w:spacing w:line="240" w:lineRule="auto"/>
              <w:rPr>
                <w:b w:val="0"/>
                <w:bCs/>
                <w:sz w:val="22"/>
              </w:rPr>
            </w:pPr>
            <w:r>
              <w:rPr>
                <w:b w:val="0"/>
                <w:bCs/>
                <w:sz w:val="22"/>
              </w:rPr>
              <w:t>84,6</w:t>
            </w:r>
          </w:p>
        </w:tc>
        <w:tc>
          <w:tcPr>
            <w:tcW w:w="1683" w:type="dxa"/>
          </w:tcPr>
          <w:p w:rsidR="00000000" w:rsidRDefault="00000000">
            <w:pPr>
              <w:pStyle w:val="10"/>
              <w:spacing w:line="240" w:lineRule="auto"/>
              <w:rPr>
                <w:b w:val="0"/>
                <w:bCs/>
                <w:sz w:val="22"/>
              </w:rPr>
            </w:pPr>
            <w:r>
              <w:rPr>
                <w:b w:val="0"/>
                <w:bCs/>
                <w:sz w:val="22"/>
              </w:rPr>
              <w:t>15,7</w:t>
            </w:r>
          </w:p>
        </w:tc>
      </w:tr>
    </w:tbl>
    <w:p w:rsidR="00000000" w:rsidRDefault="00000000"/>
    <w:p w:rsidR="00000000" w:rsidRDefault="00000000">
      <w:r>
        <w:tab/>
      </w:r>
      <w:r>
        <w:rPr>
          <w:u w:val="single"/>
        </w:rPr>
        <w:t>Источник</w:t>
      </w:r>
      <w:r>
        <w:t>:  Фонд Жоао Пинейро, 1995 год.</w:t>
      </w:r>
    </w:p>
    <w:p w:rsidR="00000000" w:rsidRDefault="00000000">
      <w:pPr>
        <w:pStyle w:val="FootnoteText"/>
        <w:spacing w:line="288" w:lineRule="auto"/>
      </w:pPr>
    </w:p>
    <w:p w:rsidR="00000000" w:rsidRDefault="00000000">
      <w:r>
        <w:t>495.</w:t>
      </w:r>
      <w:r>
        <w:tab/>
        <w:t>Что касается масштабов распространения дефицита жилья по регионам, то следует отметить, что эта проблема особенно остро стоит в северо-восточных и юго-восточных районах страны, на которые приходится соответственно 44,7% и 33,28% от всего дефицита жилья.</w:t>
      </w:r>
    </w:p>
    <w:p w:rsidR="00000000" w:rsidRDefault="00000000"/>
    <w:p w:rsidR="00000000" w:rsidRDefault="00000000">
      <w:pPr>
        <w:pStyle w:val="10"/>
      </w:pPr>
      <w:r>
        <w:t>Таблица 58.   Дефицит жилья по основным регионам в 1991 году</w:t>
      </w:r>
    </w:p>
    <w:p w:rsidR="00000000" w:rsidRDefault="00000000">
      <w:pPr>
        <w:pStyle w:val="10"/>
        <w:jc w:val="left"/>
        <w:rPr>
          <w:b w:val="0"/>
          <w:bCs/>
        </w:rPr>
      </w:pPr>
    </w:p>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366"/>
        <w:gridCol w:w="1122"/>
        <w:gridCol w:w="1122"/>
        <w:gridCol w:w="1256"/>
        <w:gridCol w:w="1069"/>
        <w:gridCol w:w="1041"/>
        <w:gridCol w:w="935"/>
        <w:gridCol w:w="935"/>
        <w:gridCol w:w="695"/>
      </w:tblGrid>
      <w:tr w:rsidR="00000000">
        <w:tblPrEx>
          <w:tblCellMar>
            <w:top w:w="0" w:type="dxa"/>
            <w:bottom w:w="0" w:type="dxa"/>
          </w:tblCellMar>
        </w:tblPrEx>
        <w:trPr>
          <w:cantSplit/>
        </w:trPr>
        <w:tc>
          <w:tcPr>
            <w:tcW w:w="1366" w:type="dxa"/>
            <w:vMerge w:val="restart"/>
            <w:vAlign w:val="center"/>
          </w:tcPr>
          <w:p w:rsidR="00000000" w:rsidRDefault="00000000">
            <w:pPr>
              <w:pStyle w:val="10"/>
              <w:spacing w:line="240" w:lineRule="auto"/>
              <w:rPr>
                <w:b w:val="0"/>
                <w:bCs/>
                <w:sz w:val="20"/>
              </w:rPr>
            </w:pPr>
            <w:r>
              <w:rPr>
                <w:b w:val="0"/>
                <w:bCs/>
                <w:sz w:val="20"/>
              </w:rPr>
              <w:t>Регионы</w:t>
            </w:r>
          </w:p>
        </w:tc>
        <w:tc>
          <w:tcPr>
            <w:tcW w:w="2244" w:type="dxa"/>
            <w:gridSpan w:val="2"/>
            <w:vAlign w:val="center"/>
          </w:tcPr>
          <w:p w:rsidR="00000000" w:rsidRDefault="00000000">
            <w:pPr>
              <w:pStyle w:val="10"/>
              <w:spacing w:line="240" w:lineRule="auto"/>
              <w:rPr>
                <w:b w:val="0"/>
                <w:bCs/>
                <w:sz w:val="20"/>
              </w:rPr>
            </w:pPr>
            <w:r>
              <w:rPr>
                <w:b w:val="0"/>
                <w:bCs/>
                <w:sz w:val="20"/>
              </w:rPr>
              <w:t>Единицы жилья</w:t>
            </w:r>
          </w:p>
        </w:tc>
        <w:tc>
          <w:tcPr>
            <w:tcW w:w="1256" w:type="dxa"/>
            <w:vMerge w:val="restart"/>
            <w:vAlign w:val="center"/>
          </w:tcPr>
          <w:p w:rsidR="00000000" w:rsidRDefault="00000000">
            <w:pPr>
              <w:pStyle w:val="10"/>
              <w:spacing w:line="240" w:lineRule="auto"/>
              <w:rPr>
                <w:b w:val="0"/>
                <w:bCs/>
                <w:sz w:val="20"/>
              </w:rPr>
            </w:pPr>
            <w:r>
              <w:rPr>
                <w:b w:val="0"/>
                <w:bCs/>
                <w:sz w:val="20"/>
              </w:rPr>
              <w:t>Жилые помещения, в которых проживают несколько семей</w:t>
            </w:r>
          </w:p>
        </w:tc>
        <w:tc>
          <w:tcPr>
            <w:tcW w:w="3980" w:type="dxa"/>
            <w:gridSpan w:val="4"/>
            <w:vAlign w:val="center"/>
          </w:tcPr>
          <w:p w:rsidR="00000000" w:rsidRDefault="00000000">
            <w:pPr>
              <w:pStyle w:val="10"/>
              <w:spacing w:line="240" w:lineRule="auto"/>
              <w:rPr>
                <w:b w:val="0"/>
                <w:bCs/>
                <w:sz w:val="20"/>
              </w:rPr>
            </w:pPr>
            <w:r>
              <w:rPr>
                <w:b w:val="0"/>
                <w:bCs/>
                <w:sz w:val="20"/>
              </w:rPr>
              <w:t>Всего</w:t>
            </w:r>
          </w:p>
        </w:tc>
        <w:tc>
          <w:tcPr>
            <w:tcW w:w="695" w:type="dxa"/>
            <w:vMerge w:val="restart"/>
            <w:vAlign w:val="center"/>
          </w:tcPr>
          <w:p w:rsidR="00000000" w:rsidRDefault="00000000">
            <w:pPr>
              <w:pStyle w:val="10"/>
              <w:spacing w:line="240" w:lineRule="auto"/>
              <w:rPr>
                <w:b w:val="0"/>
                <w:bCs/>
                <w:sz w:val="20"/>
              </w:rPr>
            </w:pPr>
            <w:r>
              <w:rPr>
                <w:b w:val="0"/>
                <w:bCs/>
                <w:sz w:val="20"/>
              </w:rPr>
              <w:t>%</w:t>
            </w:r>
          </w:p>
        </w:tc>
      </w:tr>
      <w:tr w:rsidR="00000000">
        <w:tblPrEx>
          <w:tblCellMar>
            <w:top w:w="0" w:type="dxa"/>
            <w:bottom w:w="0" w:type="dxa"/>
          </w:tblCellMar>
        </w:tblPrEx>
        <w:trPr>
          <w:cantSplit/>
        </w:trPr>
        <w:tc>
          <w:tcPr>
            <w:tcW w:w="1366" w:type="dxa"/>
            <w:vMerge/>
            <w:vAlign w:val="center"/>
          </w:tcPr>
          <w:p w:rsidR="00000000" w:rsidRDefault="00000000">
            <w:pPr>
              <w:pStyle w:val="10"/>
              <w:spacing w:line="240" w:lineRule="auto"/>
              <w:rPr>
                <w:b w:val="0"/>
                <w:bCs/>
                <w:sz w:val="20"/>
              </w:rPr>
            </w:pPr>
          </w:p>
        </w:tc>
        <w:tc>
          <w:tcPr>
            <w:tcW w:w="1122" w:type="dxa"/>
            <w:vAlign w:val="center"/>
          </w:tcPr>
          <w:p w:rsidR="00000000" w:rsidRDefault="00000000">
            <w:pPr>
              <w:pStyle w:val="10"/>
              <w:spacing w:line="240" w:lineRule="auto"/>
              <w:rPr>
                <w:b w:val="0"/>
                <w:bCs/>
                <w:sz w:val="20"/>
              </w:rPr>
            </w:pPr>
            <w:r>
              <w:rPr>
                <w:b w:val="0"/>
                <w:bCs/>
                <w:sz w:val="20"/>
              </w:rPr>
              <w:t>Импрови-зированные</w:t>
            </w:r>
          </w:p>
        </w:tc>
        <w:tc>
          <w:tcPr>
            <w:tcW w:w="1122" w:type="dxa"/>
            <w:vAlign w:val="center"/>
          </w:tcPr>
          <w:p w:rsidR="00000000" w:rsidRDefault="00000000">
            <w:pPr>
              <w:pStyle w:val="10"/>
              <w:spacing w:line="240" w:lineRule="auto"/>
              <w:rPr>
                <w:b w:val="0"/>
                <w:bCs/>
                <w:sz w:val="20"/>
              </w:rPr>
            </w:pPr>
            <w:r>
              <w:rPr>
                <w:b w:val="0"/>
                <w:bCs/>
                <w:sz w:val="20"/>
              </w:rPr>
              <w:t>В аварийном состоянии</w:t>
            </w:r>
          </w:p>
        </w:tc>
        <w:tc>
          <w:tcPr>
            <w:tcW w:w="1256" w:type="dxa"/>
            <w:vMerge/>
            <w:vAlign w:val="center"/>
          </w:tcPr>
          <w:p w:rsidR="00000000" w:rsidRDefault="00000000">
            <w:pPr>
              <w:pStyle w:val="10"/>
              <w:spacing w:line="240" w:lineRule="auto"/>
              <w:rPr>
                <w:b w:val="0"/>
                <w:bCs/>
                <w:sz w:val="20"/>
              </w:rPr>
            </w:pPr>
          </w:p>
        </w:tc>
        <w:tc>
          <w:tcPr>
            <w:tcW w:w="1069" w:type="dxa"/>
            <w:vAlign w:val="center"/>
          </w:tcPr>
          <w:p w:rsidR="00000000" w:rsidRDefault="00000000">
            <w:pPr>
              <w:pStyle w:val="10"/>
              <w:spacing w:line="240" w:lineRule="auto"/>
              <w:rPr>
                <w:b w:val="0"/>
                <w:bCs/>
                <w:sz w:val="20"/>
              </w:rPr>
            </w:pPr>
            <w:r>
              <w:rPr>
                <w:b w:val="0"/>
                <w:bCs/>
                <w:sz w:val="20"/>
              </w:rPr>
              <w:t>Районы метро-полий</w:t>
            </w:r>
          </w:p>
        </w:tc>
        <w:tc>
          <w:tcPr>
            <w:tcW w:w="1041" w:type="dxa"/>
            <w:vAlign w:val="center"/>
          </w:tcPr>
          <w:p w:rsidR="00000000" w:rsidRDefault="00000000">
            <w:pPr>
              <w:pStyle w:val="10"/>
              <w:spacing w:line="240" w:lineRule="auto"/>
              <w:rPr>
                <w:b w:val="0"/>
                <w:bCs/>
                <w:sz w:val="20"/>
              </w:rPr>
            </w:pPr>
            <w:r>
              <w:rPr>
                <w:b w:val="0"/>
                <w:bCs/>
                <w:sz w:val="20"/>
              </w:rPr>
              <w:t>Другие городские районы</w:t>
            </w:r>
          </w:p>
        </w:tc>
        <w:tc>
          <w:tcPr>
            <w:tcW w:w="935" w:type="dxa"/>
            <w:vAlign w:val="center"/>
          </w:tcPr>
          <w:p w:rsidR="00000000" w:rsidRDefault="00000000">
            <w:pPr>
              <w:pStyle w:val="10"/>
              <w:spacing w:line="240" w:lineRule="auto"/>
              <w:rPr>
                <w:b w:val="0"/>
                <w:bCs/>
                <w:sz w:val="20"/>
              </w:rPr>
            </w:pPr>
            <w:r>
              <w:rPr>
                <w:b w:val="0"/>
                <w:bCs/>
                <w:sz w:val="20"/>
              </w:rPr>
              <w:t>Сельские районы</w:t>
            </w:r>
          </w:p>
        </w:tc>
        <w:tc>
          <w:tcPr>
            <w:tcW w:w="935" w:type="dxa"/>
            <w:vAlign w:val="center"/>
          </w:tcPr>
          <w:p w:rsidR="00000000" w:rsidRDefault="00000000">
            <w:pPr>
              <w:pStyle w:val="10"/>
              <w:spacing w:line="240" w:lineRule="auto"/>
              <w:rPr>
                <w:b w:val="0"/>
                <w:bCs/>
                <w:sz w:val="20"/>
              </w:rPr>
            </w:pPr>
            <w:r>
              <w:rPr>
                <w:b w:val="0"/>
                <w:bCs/>
                <w:sz w:val="20"/>
              </w:rPr>
              <w:t>Всего</w:t>
            </w:r>
          </w:p>
        </w:tc>
        <w:tc>
          <w:tcPr>
            <w:tcW w:w="695" w:type="dxa"/>
            <w:vMerge/>
            <w:vAlign w:val="center"/>
          </w:tcPr>
          <w:p w:rsidR="00000000" w:rsidRDefault="00000000">
            <w:pPr>
              <w:pStyle w:val="10"/>
              <w:spacing w:line="240" w:lineRule="auto"/>
              <w:rPr>
                <w:b w:val="0"/>
                <w:bCs/>
                <w:sz w:val="20"/>
              </w:rPr>
            </w:pPr>
          </w:p>
        </w:tc>
      </w:tr>
      <w:tr w:rsidR="00000000">
        <w:tblPrEx>
          <w:tblCellMar>
            <w:top w:w="0" w:type="dxa"/>
            <w:bottom w:w="0" w:type="dxa"/>
          </w:tblCellMar>
        </w:tblPrEx>
        <w:tc>
          <w:tcPr>
            <w:tcW w:w="1366" w:type="dxa"/>
          </w:tcPr>
          <w:p w:rsidR="00000000" w:rsidRDefault="00000000">
            <w:pPr>
              <w:pStyle w:val="10"/>
              <w:spacing w:line="240" w:lineRule="auto"/>
              <w:jc w:val="left"/>
              <w:rPr>
                <w:b w:val="0"/>
                <w:bCs/>
                <w:sz w:val="20"/>
              </w:rPr>
            </w:pPr>
            <w:r>
              <w:rPr>
                <w:b w:val="0"/>
                <w:bCs/>
                <w:sz w:val="20"/>
              </w:rPr>
              <w:t>Север</w:t>
            </w:r>
          </w:p>
        </w:tc>
        <w:tc>
          <w:tcPr>
            <w:tcW w:w="1122" w:type="dxa"/>
          </w:tcPr>
          <w:p w:rsidR="00000000" w:rsidRDefault="00000000">
            <w:pPr>
              <w:pStyle w:val="10"/>
              <w:tabs>
                <w:tab w:val="clear" w:pos="1134"/>
              </w:tabs>
              <w:spacing w:line="240" w:lineRule="auto"/>
              <w:ind w:right="130"/>
              <w:jc w:val="right"/>
              <w:rPr>
                <w:b w:val="0"/>
                <w:bCs/>
                <w:sz w:val="20"/>
              </w:rPr>
            </w:pPr>
            <w:r>
              <w:rPr>
                <w:b w:val="0"/>
                <w:bCs/>
                <w:sz w:val="20"/>
              </w:rPr>
              <w:t>23 696</w:t>
            </w:r>
          </w:p>
        </w:tc>
        <w:tc>
          <w:tcPr>
            <w:tcW w:w="1122" w:type="dxa"/>
          </w:tcPr>
          <w:p w:rsidR="00000000" w:rsidRDefault="00000000">
            <w:pPr>
              <w:pStyle w:val="10"/>
              <w:tabs>
                <w:tab w:val="clear" w:pos="567"/>
                <w:tab w:val="clear" w:pos="1134"/>
                <w:tab w:val="left" w:pos="691"/>
                <w:tab w:val="left" w:pos="878"/>
              </w:tabs>
              <w:spacing w:line="240" w:lineRule="auto"/>
              <w:ind w:right="130"/>
              <w:jc w:val="right"/>
              <w:rPr>
                <w:b w:val="0"/>
                <w:bCs/>
                <w:sz w:val="20"/>
              </w:rPr>
            </w:pPr>
            <w:r>
              <w:rPr>
                <w:b w:val="0"/>
                <w:bCs/>
                <w:sz w:val="20"/>
              </w:rPr>
              <w:t>17 823</w:t>
            </w:r>
          </w:p>
        </w:tc>
        <w:tc>
          <w:tcPr>
            <w:tcW w:w="1256" w:type="dxa"/>
          </w:tcPr>
          <w:p w:rsidR="00000000" w:rsidRDefault="00000000">
            <w:pPr>
              <w:pStyle w:val="10"/>
              <w:tabs>
                <w:tab w:val="clear" w:pos="1134"/>
                <w:tab w:val="left" w:pos="1065"/>
              </w:tabs>
              <w:spacing w:line="240" w:lineRule="auto"/>
              <w:ind w:right="77"/>
              <w:jc w:val="right"/>
              <w:rPr>
                <w:b w:val="0"/>
                <w:bCs/>
                <w:sz w:val="20"/>
              </w:rPr>
            </w:pPr>
            <w:r>
              <w:rPr>
                <w:b w:val="0"/>
                <w:bCs/>
                <w:sz w:val="20"/>
              </w:rPr>
              <w:t>196 281</w:t>
            </w:r>
          </w:p>
        </w:tc>
        <w:tc>
          <w:tcPr>
            <w:tcW w:w="1069" w:type="dxa"/>
          </w:tcPr>
          <w:p w:rsidR="00000000" w:rsidRDefault="00000000">
            <w:pPr>
              <w:pStyle w:val="10"/>
              <w:spacing w:line="240" w:lineRule="auto"/>
              <w:jc w:val="right"/>
              <w:rPr>
                <w:b w:val="0"/>
                <w:bCs/>
                <w:sz w:val="20"/>
              </w:rPr>
            </w:pPr>
            <w:r>
              <w:rPr>
                <w:b w:val="0"/>
                <w:bCs/>
                <w:sz w:val="20"/>
              </w:rPr>
              <w:t>67 042</w:t>
            </w:r>
          </w:p>
        </w:tc>
        <w:tc>
          <w:tcPr>
            <w:tcW w:w="1041" w:type="dxa"/>
          </w:tcPr>
          <w:p w:rsidR="00000000" w:rsidRDefault="00000000">
            <w:pPr>
              <w:pStyle w:val="10"/>
              <w:spacing w:line="240" w:lineRule="auto"/>
              <w:jc w:val="right"/>
              <w:rPr>
                <w:b w:val="0"/>
                <w:bCs/>
                <w:sz w:val="20"/>
              </w:rPr>
            </w:pPr>
            <w:r>
              <w:rPr>
                <w:b w:val="0"/>
                <w:bCs/>
                <w:sz w:val="20"/>
              </w:rPr>
              <w:t>155 771</w:t>
            </w:r>
          </w:p>
        </w:tc>
        <w:tc>
          <w:tcPr>
            <w:tcW w:w="935" w:type="dxa"/>
          </w:tcPr>
          <w:p w:rsidR="00000000" w:rsidRDefault="00000000">
            <w:pPr>
              <w:pStyle w:val="10"/>
              <w:spacing w:line="240" w:lineRule="auto"/>
              <w:rPr>
                <w:b w:val="0"/>
                <w:bCs/>
                <w:sz w:val="20"/>
              </w:rPr>
            </w:pPr>
            <w:r>
              <w:rPr>
                <w:b w:val="0"/>
                <w:bCs/>
                <w:sz w:val="20"/>
              </w:rPr>
              <w:t>-</w:t>
            </w:r>
          </w:p>
        </w:tc>
        <w:tc>
          <w:tcPr>
            <w:tcW w:w="935" w:type="dxa"/>
          </w:tcPr>
          <w:p w:rsidR="00000000" w:rsidRDefault="00000000">
            <w:pPr>
              <w:pStyle w:val="10"/>
              <w:spacing w:line="240" w:lineRule="auto"/>
              <w:jc w:val="right"/>
              <w:rPr>
                <w:b w:val="0"/>
                <w:bCs/>
                <w:sz w:val="20"/>
              </w:rPr>
            </w:pPr>
            <w:r>
              <w:rPr>
                <w:b w:val="0"/>
                <w:bCs/>
                <w:sz w:val="20"/>
              </w:rPr>
              <w:t>222 813</w:t>
            </w:r>
          </w:p>
        </w:tc>
        <w:tc>
          <w:tcPr>
            <w:tcW w:w="695" w:type="dxa"/>
          </w:tcPr>
          <w:p w:rsidR="00000000" w:rsidRDefault="00000000">
            <w:pPr>
              <w:pStyle w:val="10"/>
              <w:spacing w:line="240" w:lineRule="auto"/>
              <w:jc w:val="right"/>
              <w:rPr>
                <w:b w:val="0"/>
                <w:bCs/>
                <w:sz w:val="20"/>
              </w:rPr>
            </w:pPr>
            <w:r>
              <w:rPr>
                <w:b w:val="0"/>
                <w:bCs/>
                <w:sz w:val="20"/>
              </w:rPr>
              <w:t>4,47</w:t>
            </w:r>
          </w:p>
        </w:tc>
      </w:tr>
      <w:tr w:rsidR="00000000">
        <w:tblPrEx>
          <w:tblCellMar>
            <w:top w:w="0" w:type="dxa"/>
            <w:bottom w:w="0" w:type="dxa"/>
          </w:tblCellMar>
        </w:tblPrEx>
        <w:tc>
          <w:tcPr>
            <w:tcW w:w="1366" w:type="dxa"/>
          </w:tcPr>
          <w:p w:rsidR="00000000" w:rsidRDefault="00000000">
            <w:pPr>
              <w:pStyle w:val="10"/>
              <w:spacing w:line="240" w:lineRule="auto"/>
              <w:jc w:val="left"/>
              <w:rPr>
                <w:b w:val="0"/>
                <w:bCs/>
                <w:sz w:val="20"/>
              </w:rPr>
            </w:pPr>
            <w:r>
              <w:rPr>
                <w:b w:val="0"/>
                <w:bCs/>
                <w:sz w:val="20"/>
              </w:rPr>
              <w:t>Северо-восток</w:t>
            </w:r>
          </w:p>
        </w:tc>
        <w:tc>
          <w:tcPr>
            <w:tcW w:w="1122" w:type="dxa"/>
          </w:tcPr>
          <w:p w:rsidR="00000000" w:rsidRDefault="00000000">
            <w:pPr>
              <w:pStyle w:val="10"/>
              <w:spacing w:line="240" w:lineRule="auto"/>
              <w:ind w:right="130"/>
              <w:jc w:val="right"/>
              <w:rPr>
                <w:b w:val="0"/>
                <w:bCs/>
                <w:sz w:val="20"/>
              </w:rPr>
            </w:pPr>
            <w:r>
              <w:rPr>
                <w:b w:val="0"/>
                <w:bCs/>
                <w:sz w:val="20"/>
              </w:rPr>
              <w:t>32 467</w:t>
            </w:r>
          </w:p>
        </w:tc>
        <w:tc>
          <w:tcPr>
            <w:tcW w:w="1122" w:type="dxa"/>
          </w:tcPr>
          <w:p w:rsidR="00000000" w:rsidRDefault="00000000">
            <w:pPr>
              <w:pStyle w:val="10"/>
              <w:tabs>
                <w:tab w:val="clear" w:pos="567"/>
                <w:tab w:val="clear" w:pos="1134"/>
                <w:tab w:val="left" w:pos="691"/>
                <w:tab w:val="left" w:pos="878"/>
              </w:tabs>
              <w:spacing w:line="240" w:lineRule="auto"/>
              <w:ind w:right="130"/>
              <w:jc w:val="right"/>
              <w:rPr>
                <w:b w:val="0"/>
                <w:bCs/>
                <w:sz w:val="20"/>
              </w:rPr>
            </w:pPr>
            <w:r>
              <w:rPr>
                <w:b w:val="0"/>
                <w:bCs/>
                <w:sz w:val="20"/>
              </w:rPr>
              <w:t>1 268 434</w:t>
            </w:r>
          </w:p>
        </w:tc>
        <w:tc>
          <w:tcPr>
            <w:tcW w:w="1256" w:type="dxa"/>
          </w:tcPr>
          <w:p w:rsidR="00000000" w:rsidRDefault="00000000">
            <w:pPr>
              <w:pStyle w:val="10"/>
              <w:tabs>
                <w:tab w:val="clear" w:pos="1134"/>
                <w:tab w:val="left" w:pos="1065"/>
              </w:tabs>
              <w:spacing w:line="240" w:lineRule="auto"/>
              <w:ind w:right="77"/>
              <w:jc w:val="right"/>
              <w:rPr>
                <w:b w:val="0"/>
                <w:bCs/>
                <w:sz w:val="20"/>
              </w:rPr>
            </w:pPr>
            <w:r>
              <w:rPr>
                <w:b w:val="0"/>
                <w:bCs/>
                <w:sz w:val="20"/>
              </w:rPr>
              <w:t>929 033</w:t>
            </w:r>
          </w:p>
        </w:tc>
        <w:tc>
          <w:tcPr>
            <w:tcW w:w="1069" w:type="dxa"/>
          </w:tcPr>
          <w:p w:rsidR="00000000" w:rsidRDefault="00000000">
            <w:pPr>
              <w:pStyle w:val="10"/>
              <w:spacing w:line="240" w:lineRule="auto"/>
              <w:jc w:val="right"/>
              <w:rPr>
                <w:b w:val="0"/>
                <w:bCs/>
                <w:sz w:val="20"/>
              </w:rPr>
            </w:pPr>
            <w:r>
              <w:rPr>
                <w:b w:val="0"/>
                <w:bCs/>
                <w:sz w:val="20"/>
              </w:rPr>
              <w:t>313 432</w:t>
            </w:r>
          </w:p>
        </w:tc>
        <w:tc>
          <w:tcPr>
            <w:tcW w:w="1041" w:type="dxa"/>
          </w:tcPr>
          <w:p w:rsidR="00000000" w:rsidRDefault="00000000">
            <w:pPr>
              <w:pStyle w:val="10"/>
              <w:spacing w:line="240" w:lineRule="auto"/>
              <w:jc w:val="right"/>
              <w:rPr>
                <w:b w:val="0"/>
                <w:bCs/>
                <w:sz w:val="20"/>
              </w:rPr>
            </w:pPr>
            <w:r>
              <w:rPr>
                <w:b w:val="0"/>
                <w:bCs/>
                <w:sz w:val="20"/>
              </w:rPr>
              <w:t>767 400</w:t>
            </w:r>
          </w:p>
        </w:tc>
        <w:tc>
          <w:tcPr>
            <w:tcW w:w="935" w:type="dxa"/>
          </w:tcPr>
          <w:p w:rsidR="00000000" w:rsidRDefault="00000000">
            <w:pPr>
              <w:pStyle w:val="10"/>
              <w:spacing w:line="240" w:lineRule="auto"/>
              <w:jc w:val="right"/>
              <w:rPr>
                <w:b w:val="0"/>
                <w:bCs/>
                <w:sz w:val="20"/>
              </w:rPr>
            </w:pPr>
            <w:r>
              <w:rPr>
                <w:b w:val="0"/>
                <w:bCs/>
                <w:sz w:val="20"/>
              </w:rPr>
              <w:t>1 148 991</w:t>
            </w:r>
          </w:p>
        </w:tc>
        <w:tc>
          <w:tcPr>
            <w:tcW w:w="935" w:type="dxa"/>
          </w:tcPr>
          <w:p w:rsidR="00000000" w:rsidRDefault="00000000">
            <w:pPr>
              <w:pStyle w:val="10"/>
              <w:spacing w:line="240" w:lineRule="auto"/>
              <w:jc w:val="right"/>
              <w:rPr>
                <w:b w:val="0"/>
                <w:bCs/>
                <w:sz w:val="20"/>
              </w:rPr>
            </w:pPr>
            <w:r>
              <w:rPr>
                <w:b w:val="0"/>
                <w:bCs/>
                <w:sz w:val="20"/>
              </w:rPr>
              <w:t>2 229 823</w:t>
            </w:r>
          </w:p>
        </w:tc>
        <w:tc>
          <w:tcPr>
            <w:tcW w:w="695" w:type="dxa"/>
          </w:tcPr>
          <w:p w:rsidR="00000000" w:rsidRDefault="00000000">
            <w:pPr>
              <w:pStyle w:val="10"/>
              <w:spacing w:line="240" w:lineRule="auto"/>
              <w:jc w:val="right"/>
              <w:rPr>
                <w:b w:val="0"/>
                <w:bCs/>
                <w:sz w:val="20"/>
              </w:rPr>
            </w:pPr>
            <w:r>
              <w:rPr>
                <w:b w:val="0"/>
                <w:bCs/>
                <w:sz w:val="20"/>
              </w:rPr>
              <w:t>44,70</w:t>
            </w:r>
          </w:p>
        </w:tc>
      </w:tr>
      <w:tr w:rsidR="00000000">
        <w:tblPrEx>
          <w:tblCellMar>
            <w:top w:w="0" w:type="dxa"/>
            <w:bottom w:w="0" w:type="dxa"/>
          </w:tblCellMar>
        </w:tblPrEx>
        <w:tc>
          <w:tcPr>
            <w:tcW w:w="1366" w:type="dxa"/>
          </w:tcPr>
          <w:p w:rsidR="00000000" w:rsidRDefault="00000000">
            <w:pPr>
              <w:pStyle w:val="10"/>
              <w:spacing w:line="240" w:lineRule="auto"/>
              <w:jc w:val="left"/>
              <w:rPr>
                <w:b w:val="0"/>
                <w:bCs/>
                <w:sz w:val="20"/>
              </w:rPr>
            </w:pPr>
            <w:r>
              <w:rPr>
                <w:b w:val="0"/>
                <w:bCs/>
                <w:sz w:val="20"/>
              </w:rPr>
              <w:t>Юго-восток</w:t>
            </w:r>
          </w:p>
        </w:tc>
        <w:tc>
          <w:tcPr>
            <w:tcW w:w="1122" w:type="dxa"/>
          </w:tcPr>
          <w:p w:rsidR="00000000" w:rsidRDefault="00000000">
            <w:pPr>
              <w:pStyle w:val="10"/>
              <w:spacing w:line="240" w:lineRule="auto"/>
              <w:ind w:right="130"/>
              <w:jc w:val="right"/>
              <w:rPr>
                <w:b w:val="0"/>
                <w:bCs/>
                <w:sz w:val="20"/>
              </w:rPr>
            </w:pPr>
            <w:r>
              <w:rPr>
                <w:b w:val="0"/>
                <w:bCs/>
                <w:sz w:val="20"/>
              </w:rPr>
              <w:t>46 502</w:t>
            </w:r>
          </w:p>
        </w:tc>
        <w:tc>
          <w:tcPr>
            <w:tcW w:w="1122" w:type="dxa"/>
          </w:tcPr>
          <w:p w:rsidR="00000000" w:rsidRDefault="00000000">
            <w:pPr>
              <w:pStyle w:val="10"/>
              <w:tabs>
                <w:tab w:val="clear" w:pos="567"/>
                <w:tab w:val="clear" w:pos="1134"/>
                <w:tab w:val="left" w:pos="691"/>
                <w:tab w:val="left" w:pos="878"/>
              </w:tabs>
              <w:spacing w:line="240" w:lineRule="auto"/>
              <w:ind w:right="130"/>
              <w:jc w:val="right"/>
              <w:rPr>
                <w:b w:val="0"/>
                <w:bCs/>
                <w:sz w:val="20"/>
              </w:rPr>
            </w:pPr>
            <w:r>
              <w:rPr>
                <w:b w:val="0"/>
                <w:bCs/>
                <w:sz w:val="20"/>
              </w:rPr>
              <w:t>271 638</w:t>
            </w:r>
          </w:p>
        </w:tc>
        <w:tc>
          <w:tcPr>
            <w:tcW w:w="1256" w:type="dxa"/>
          </w:tcPr>
          <w:p w:rsidR="00000000" w:rsidRDefault="00000000">
            <w:pPr>
              <w:pStyle w:val="10"/>
              <w:tabs>
                <w:tab w:val="clear" w:pos="1134"/>
                <w:tab w:val="left" w:pos="1065"/>
              </w:tabs>
              <w:spacing w:line="240" w:lineRule="auto"/>
              <w:ind w:right="77"/>
              <w:jc w:val="right"/>
              <w:rPr>
                <w:b w:val="0"/>
                <w:bCs/>
                <w:sz w:val="20"/>
              </w:rPr>
            </w:pPr>
            <w:r>
              <w:rPr>
                <w:b w:val="0"/>
                <w:bCs/>
                <w:sz w:val="20"/>
              </w:rPr>
              <w:t>1 342 131</w:t>
            </w:r>
          </w:p>
        </w:tc>
        <w:tc>
          <w:tcPr>
            <w:tcW w:w="1069" w:type="dxa"/>
          </w:tcPr>
          <w:p w:rsidR="00000000" w:rsidRDefault="00000000">
            <w:pPr>
              <w:pStyle w:val="10"/>
              <w:spacing w:line="240" w:lineRule="auto"/>
              <w:jc w:val="right"/>
              <w:rPr>
                <w:b w:val="0"/>
                <w:bCs/>
                <w:sz w:val="20"/>
              </w:rPr>
            </w:pPr>
            <w:r>
              <w:rPr>
                <w:b w:val="0"/>
                <w:bCs/>
                <w:sz w:val="20"/>
              </w:rPr>
              <w:t>752 925</w:t>
            </w:r>
          </w:p>
        </w:tc>
        <w:tc>
          <w:tcPr>
            <w:tcW w:w="1041" w:type="dxa"/>
          </w:tcPr>
          <w:p w:rsidR="00000000" w:rsidRDefault="00000000">
            <w:pPr>
              <w:pStyle w:val="10"/>
              <w:spacing w:line="240" w:lineRule="auto"/>
              <w:jc w:val="right"/>
              <w:rPr>
                <w:b w:val="0"/>
                <w:bCs/>
                <w:sz w:val="20"/>
              </w:rPr>
            </w:pPr>
            <w:r>
              <w:rPr>
                <w:b w:val="0"/>
                <w:bCs/>
                <w:sz w:val="20"/>
              </w:rPr>
              <w:t>690 301</w:t>
            </w:r>
          </w:p>
        </w:tc>
        <w:tc>
          <w:tcPr>
            <w:tcW w:w="935" w:type="dxa"/>
          </w:tcPr>
          <w:p w:rsidR="00000000" w:rsidRDefault="00000000">
            <w:pPr>
              <w:pStyle w:val="10"/>
              <w:spacing w:line="240" w:lineRule="auto"/>
              <w:jc w:val="right"/>
              <w:rPr>
                <w:b w:val="0"/>
                <w:bCs/>
                <w:sz w:val="20"/>
              </w:rPr>
            </w:pPr>
            <w:r>
              <w:rPr>
                <w:b w:val="0"/>
                <w:bCs/>
                <w:sz w:val="20"/>
              </w:rPr>
              <w:t>217 045</w:t>
            </w:r>
          </w:p>
        </w:tc>
        <w:tc>
          <w:tcPr>
            <w:tcW w:w="935" w:type="dxa"/>
          </w:tcPr>
          <w:p w:rsidR="00000000" w:rsidRDefault="00000000">
            <w:pPr>
              <w:pStyle w:val="10"/>
              <w:spacing w:line="240" w:lineRule="auto"/>
              <w:jc w:val="right"/>
              <w:rPr>
                <w:b w:val="0"/>
                <w:bCs/>
                <w:sz w:val="20"/>
              </w:rPr>
            </w:pPr>
            <w:r>
              <w:rPr>
                <w:b w:val="0"/>
                <w:bCs/>
                <w:sz w:val="20"/>
              </w:rPr>
              <w:t>1 660 271</w:t>
            </w:r>
          </w:p>
        </w:tc>
        <w:tc>
          <w:tcPr>
            <w:tcW w:w="695" w:type="dxa"/>
          </w:tcPr>
          <w:p w:rsidR="00000000" w:rsidRDefault="00000000">
            <w:pPr>
              <w:pStyle w:val="10"/>
              <w:spacing w:line="240" w:lineRule="auto"/>
              <w:jc w:val="right"/>
              <w:rPr>
                <w:b w:val="0"/>
                <w:bCs/>
                <w:sz w:val="20"/>
              </w:rPr>
            </w:pPr>
            <w:r>
              <w:rPr>
                <w:b w:val="0"/>
                <w:bCs/>
                <w:sz w:val="20"/>
              </w:rPr>
              <w:t>33,28</w:t>
            </w:r>
          </w:p>
        </w:tc>
      </w:tr>
      <w:tr w:rsidR="00000000">
        <w:tblPrEx>
          <w:tblCellMar>
            <w:top w:w="0" w:type="dxa"/>
            <w:bottom w:w="0" w:type="dxa"/>
          </w:tblCellMar>
        </w:tblPrEx>
        <w:tc>
          <w:tcPr>
            <w:tcW w:w="1366" w:type="dxa"/>
          </w:tcPr>
          <w:p w:rsidR="00000000" w:rsidRDefault="00000000">
            <w:pPr>
              <w:pStyle w:val="10"/>
              <w:spacing w:line="240" w:lineRule="auto"/>
              <w:jc w:val="left"/>
              <w:rPr>
                <w:b w:val="0"/>
                <w:bCs/>
                <w:sz w:val="20"/>
              </w:rPr>
            </w:pPr>
            <w:r>
              <w:rPr>
                <w:b w:val="0"/>
                <w:bCs/>
                <w:sz w:val="20"/>
              </w:rPr>
              <w:t>Юг</w:t>
            </w:r>
          </w:p>
        </w:tc>
        <w:tc>
          <w:tcPr>
            <w:tcW w:w="1122" w:type="dxa"/>
          </w:tcPr>
          <w:p w:rsidR="00000000" w:rsidRDefault="00000000">
            <w:pPr>
              <w:pStyle w:val="10"/>
              <w:spacing w:line="240" w:lineRule="auto"/>
              <w:ind w:right="130"/>
              <w:jc w:val="right"/>
              <w:rPr>
                <w:b w:val="0"/>
                <w:bCs/>
                <w:sz w:val="20"/>
              </w:rPr>
            </w:pPr>
            <w:r>
              <w:rPr>
                <w:b w:val="0"/>
                <w:bCs/>
                <w:sz w:val="20"/>
              </w:rPr>
              <w:t>23 233</w:t>
            </w:r>
          </w:p>
        </w:tc>
        <w:tc>
          <w:tcPr>
            <w:tcW w:w="1122" w:type="dxa"/>
          </w:tcPr>
          <w:p w:rsidR="00000000" w:rsidRDefault="00000000">
            <w:pPr>
              <w:pStyle w:val="10"/>
              <w:tabs>
                <w:tab w:val="clear" w:pos="567"/>
                <w:tab w:val="clear" w:pos="1134"/>
                <w:tab w:val="left" w:pos="691"/>
                <w:tab w:val="left" w:pos="878"/>
              </w:tabs>
              <w:spacing w:line="240" w:lineRule="auto"/>
              <w:ind w:right="130"/>
              <w:jc w:val="right"/>
              <w:rPr>
                <w:b w:val="0"/>
                <w:bCs/>
                <w:sz w:val="20"/>
              </w:rPr>
            </w:pPr>
            <w:r>
              <w:rPr>
                <w:b w:val="0"/>
                <w:bCs/>
                <w:sz w:val="20"/>
              </w:rPr>
              <w:t>79 497</w:t>
            </w:r>
          </w:p>
        </w:tc>
        <w:tc>
          <w:tcPr>
            <w:tcW w:w="1256" w:type="dxa"/>
          </w:tcPr>
          <w:p w:rsidR="00000000" w:rsidRDefault="00000000">
            <w:pPr>
              <w:pStyle w:val="10"/>
              <w:tabs>
                <w:tab w:val="clear" w:pos="1134"/>
                <w:tab w:val="left" w:pos="1065"/>
              </w:tabs>
              <w:spacing w:line="240" w:lineRule="auto"/>
              <w:ind w:right="77"/>
              <w:jc w:val="right"/>
              <w:rPr>
                <w:b w:val="0"/>
                <w:bCs/>
                <w:sz w:val="20"/>
              </w:rPr>
            </w:pPr>
            <w:r>
              <w:rPr>
                <w:b w:val="0"/>
                <w:bCs/>
                <w:sz w:val="20"/>
              </w:rPr>
              <w:t>408 286</w:t>
            </w:r>
          </w:p>
        </w:tc>
        <w:tc>
          <w:tcPr>
            <w:tcW w:w="1069" w:type="dxa"/>
          </w:tcPr>
          <w:p w:rsidR="00000000" w:rsidRDefault="00000000">
            <w:pPr>
              <w:pStyle w:val="10"/>
              <w:spacing w:line="240" w:lineRule="auto"/>
              <w:jc w:val="right"/>
              <w:rPr>
                <w:b w:val="0"/>
                <w:bCs/>
                <w:sz w:val="20"/>
              </w:rPr>
            </w:pPr>
            <w:r>
              <w:rPr>
                <w:b w:val="0"/>
                <w:bCs/>
                <w:sz w:val="20"/>
              </w:rPr>
              <w:t>109 916</w:t>
            </w:r>
          </w:p>
        </w:tc>
        <w:tc>
          <w:tcPr>
            <w:tcW w:w="1041" w:type="dxa"/>
          </w:tcPr>
          <w:p w:rsidR="00000000" w:rsidRDefault="00000000">
            <w:pPr>
              <w:pStyle w:val="10"/>
              <w:spacing w:line="240" w:lineRule="auto"/>
              <w:jc w:val="right"/>
              <w:rPr>
                <w:b w:val="0"/>
                <w:bCs/>
                <w:sz w:val="20"/>
              </w:rPr>
            </w:pPr>
            <w:r>
              <w:rPr>
                <w:b w:val="0"/>
                <w:bCs/>
                <w:sz w:val="20"/>
              </w:rPr>
              <w:t>243 549</w:t>
            </w:r>
          </w:p>
        </w:tc>
        <w:tc>
          <w:tcPr>
            <w:tcW w:w="935" w:type="dxa"/>
          </w:tcPr>
          <w:p w:rsidR="00000000" w:rsidRDefault="00000000">
            <w:pPr>
              <w:pStyle w:val="10"/>
              <w:spacing w:line="240" w:lineRule="auto"/>
              <w:jc w:val="right"/>
              <w:rPr>
                <w:b w:val="0"/>
                <w:bCs/>
                <w:sz w:val="20"/>
              </w:rPr>
            </w:pPr>
            <w:r>
              <w:rPr>
                <w:b w:val="0"/>
                <w:bCs/>
                <w:sz w:val="20"/>
              </w:rPr>
              <w:t>157 823</w:t>
            </w:r>
          </w:p>
        </w:tc>
        <w:tc>
          <w:tcPr>
            <w:tcW w:w="935" w:type="dxa"/>
          </w:tcPr>
          <w:p w:rsidR="00000000" w:rsidRDefault="00000000">
            <w:pPr>
              <w:pStyle w:val="10"/>
              <w:spacing w:line="240" w:lineRule="auto"/>
              <w:jc w:val="right"/>
              <w:rPr>
                <w:b w:val="0"/>
                <w:bCs/>
                <w:sz w:val="20"/>
              </w:rPr>
            </w:pPr>
            <w:r>
              <w:rPr>
                <w:b w:val="0"/>
                <w:bCs/>
                <w:sz w:val="20"/>
              </w:rPr>
              <w:t xml:space="preserve">511 288 </w:t>
            </w:r>
          </w:p>
        </w:tc>
        <w:tc>
          <w:tcPr>
            <w:tcW w:w="695" w:type="dxa"/>
          </w:tcPr>
          <w:p w:rsidR="00000000" w:rsidRDefault="00000000">
            <w:pPr>
              <w:pStyle w:val="10"/>
              <w:spacing w:line="240" w:lineRule="auto"/>
              <w:jc w:val="right"/>
              <w:rPr>
                <w:b w:val="0"/>
                <w:bCs/>
                <w:sz w:val="20"/>
              </w:rPr>
            </w:pPr>
            <w:r>
              <w:rPr>
                <w:b w:val="0"/>
                <w:bCs/>
                <w:sz w:val="20"/>
              </w:rPr>
              <w:t>10,25</w:t>
            </w:r>
          </w:p>
        </w:tc>
      </w:tr>
      <w:tr w:rsidR="00000000">
        <w:tblPrEx>
          <w:tblCellMar>
            <w:top w:w="0" w:type="dxa"/>
            <w:bottom w:w="0" w:type="dxa"/>
          </w:tblCellMar>
        </w:tblPrEx>
        <w:tc>
          <w:tcPr>
            <w:tcW w:w="1366" w:type="dxa"/>
          </w:tcPr>
          <w:p w:rsidR="00000000" w:rsidRDefault="00000000">
            <w:pPr>
              <w:pStyle w:val="10"/>
              <w:spacing w:line="240" w:lineRule="auto"/>
              <w:jc w:val="left"/>
              <w:rPr>
                <w:b w:val="0"/>
                <w:bCs/>
                <w:sz w:val="20"/>
              </w:rPr>
            </w:pPr>
            <w:r>
              <w:rPr>
                <w:b w:val="0"/>
                <w:bCs/>
                <w:sz w:val="20"/>
              </w:rPr>
              <w:t>Центр-Запад</w:t>
            </w:r>
          </w:p>
        </w:tc>
        <w:tc>
          <w:tcPr>
            <w:tcW w:w="1122" w:type="dxa"/>
          </w:tcPr>
          <w:p w:rsidR="00000000" w:rsidRDefault="00000000">
            <w:pPr>
              <w:pStyle w:val="10"/>
              <w:spacing w:line="240" w:lineRule="auto"/>
              <w:ind w:right="130"/>
              <w:jc w:val="right"/>
              <w:rPr>
                <w:b w:val="0"/>
                <w:bCs/>
                <w:sz w:val="20"/>
              </w:rPr>
            </w:pPr>
            <w:r>
              <w:rPr>
                <w:b w:val="0"/>
                <w:bCs/>
                <w:sz w:val="20"/>
              </w:rPr>
              <w:t>20 637</w:t>
            </w:r>
          </w:p>
        </w:tc>
        <w:tc>
          <w:tcPr>
            <w:tcW w:w="1122" w:type="dxa"/>
          </w:tcPr>
          <w:p w:rsidR="00000000" w:rsidRDefault="00000000">
            <w:pPr>
              <w:pStyle w:val="10"/>
              <w:tabs>
                <w:tab w:val="clear" w:pos="567"/>
                <w:tab w:val="clear" w:pos="1134"/>
                <w:tab w:val="left" w:pos="691"/>
                <w:tab w:val="left" w:pos="878"/>
              </w:tabs>
              <w:spacing w:line="240" w:lineRule="auto"/>
              <w:ind w:right="130"/>
              <w:jc w:val="right"/>
              <w:rPr>
                <w:b w:val="0"/>
                <w:bCs/>
                <w:sz w:val="20"/>
              </w:rPr>
            </w:pPr>
            <w:r>
              <w:rPr>
                <w:b w:val="0"/>
                <w:bCs/>
                <w:sz w:val="20"/>
              </w:rPr>
              <w:t>90 536</w:t>
            </w:r>
          </w:p>
        </w:tc>
        <w:tc>
          <w:tcPr>
            <w:tcW w:w="1256" w:type="dxa"/>
          </w:tcPr>
          <w:p w:rsidR="00000000" w:rsidRDefault="00000000">
            <w:pPr>
              <w:pStyle w:val="10"/>
              <w:tabs>
                <w:tab w:val="clear" w:pos="1134"/>
                <w:tab w:val="left" w:pos="1065"/>
              </w:tabs>
              <w:spacing w:line="240" w:lineRule="auto"/>
              <w:ind w:right="77"/>
              <w:jc w:val="right"/>
              <w:rPr>
                <w:b w:val="0"/>
                <w:bCs/>
                <w:sz w:val="20"/>
              </w:rPr>
            </w:pPr>
            <w:r>
              <w:rPr>
                <w:b w:val="0"/>
                <w:bCs/>
                <w:sz w:val="20"/>
              </w:rPr>
              <w:t>252 977</w:t>
            </w:r>
          </w:p>
        </w:tc>
        <w:tc>
          <w:tcPr>
            <w:tcW w:w="1069" w:type="dxa"/>
          </w:tcPr>
          <w:p w:rsidR="00000000" w:rsidRDefault="00000000">
            <w:pPr>
              <w:pStyle w:val="10"/>
              <w:spacing w:line="240" w:lineRule="auto"/>
              <w:rPr>
                <w:b w:val="0"/>
                <w:bCs/>
                <w:sz w:val="20"/>
              </w:rPr>
            </w:pPr>
            <w:r>
              <w:rPr>
                <w:b w:val="0"/>
                <w:bCs/>
                <w:sz w:val="20"/>
              </w:rPr>
              <w:t>-</w:t>
            </w:r>
          </w:p>
        </w:tc>
        <w:tc>
          <w:tcPr>
            <w:tcW w:w="1041" w:type="dxa"/>
          </w:tcPr>
          <w:p w:rsidR="00000000" w:rsidRDefault="00000000">
            <w:pPr>
              <w:pStyle w:val="10"/>
              <w:spacing w:line="240" w:lineRule="auto"/>
              <w:jc w:val="right"/>
              <w:rPr>
                <w:b w:val="0"/>
                <w:bCs/>
                <w:sz w:val="20"/>
              </w:rPr>
            </w:pPr>
            <w:r>
              <w:rPr>
                <w:b w:val="0"/>
                <w:bCs/>
                <w:sz w:val="20"/>
              </w:rPr>
              <w:t>257 247</w:t>
            </w:r>
          </w:p>
        </w:tc>
        <w:tc>
          <w:tcPr>
            <w:tcW w:w="935" w:type="dxa"/>
          </w:tcPr>
          <w:p w:rsidR="00000000" w:rsidRDefault="00000000">
            <w:pPr>
              <w:pStyle w:val="10"/>
              <w:spacing w:line="240" w:lineRule="auto"/>
              <w:jc w:val="right"/>
              <w:rPr>
                <w:b w:val="0"/>
                <w:bCs/>
                <w:sz w:val="20"/>
              </w:rPr>
            </w:pPr>
            <w:r>
              <w:rPr>
                <w:b w:val="0"/>
                <w:bCs/>
                <w:sz w:val="20"/>
              </w:rPr>
              <w:t>106 929</w:t>
            </w:r>
          </w:p>
        </w:tc>
        <w:tc>
          <w:tcPr>
            <w:tcW w:w="935" w:type="dxa"/>
          </w:tcPr>
          <w:p w:rsidR="00000000" w:rsidRDefault="00000000">
            <w:pPr>
              <w:pStyle w:val="10"/>
              <w:spacing w:line="240" w:lineRule="auto"/>
              <w:jc w:val="right"/>
              <w:rPr>
                <w:b w:val="0"/>
                <w:bCs/>
                <w:sz w:val="20"/>
              </w:rPr>
            </w:pPr>
            <w:r>
              <w:rPr>
                <w:b w:val="0"/>
                <w:bCs/>
                <w:sz w:val="20"/>
              </w:rPr>
              <w:t>364 176</w:t>
            </w:r>
          </w:p>
        </w:tc>
        <w:tc>
          <w:tcPr>
            <w:tcW w:w="695" w:type="dxa"/>
          </w:tcPr>
          <w:p w:rsidR="00000000" w:rsidRDefault="00000000">
            <w:pPr>
              <w:pStyle w:val="10"/>
              <w:spacing w:line="240" w:lineRule="auto"/>
              <w:jc w:val="right"/>
              <w:rPr>
                <w:b w:val="0"/>
                <w:bCs/>
                <w:sz w:val="20"/>
              </w:rPr>
            </w:pPr>
            <w:r>
              <w:rPr>
                <w:b w:val="0"/>
                <w:bCs/>
                <w:sz w:val="20"/>
              </w:rPr>
              <w:t>7,30</w:t>
            </w:r>
          </w:p>
        </w:tc>
      </w:tr>
      <w:tr w:rsidR="00000000">
        <w:tblPrEx>
          <w:tblCellMar>
            <w:top w:w="0" w:type="dxa"/>
            <w:bottom w:w="0" w:type="dxa"/>
          </w:tblCellMar>
        </w:tblPrEx>
        <w:tc>
          <w:tcPr>
            <w:tcW w:w="1366" w:type="dxa"/>
          </w:tcPr>
          <w:p w:rsidR="00000000" w:rsidRDefault="00000000">
            <w:pPr>
              <w:pStyle w:val="10"/>
              <w:spacing w:line="240" w:lineRule="auto"/>
              <w:jc w:val="left"/>
              <w:rPr>
                <w:b w:val="0"/>
                <w:bCs/>
                <w:sz w:val="20"/>
              </w:rPr>
            </w:pPr>
            <w:r>
              <w:rPr>
                <w:b w:val="0"/>
                <w:bCs/>
                <w:sz w:val="20"/>
              </w:rPr>
              <w:t>Бразилия</w:t>
            </w:r>
          </w:p>
        </w:tc>
        <w:tc>
          <w:tcPr>
            <w:tcW w:w="1122" w:type="dxa"/>
          </w:tcPr>
          <w:p w:rsidR="00000000" w:rsidRDefault="00000000">
            <w:pPr>
              <w:pStyle w:val="10"/>
              <w:spacing w:line="240" w:lineRule="auto"/>
              <w:ind w:right="130"/>
              <w:jc w:val="right"/>
              <w:rPr>
                <w:b w:val="0"/>
                <w:bCs/>
                <w:sz w:val="20"/>
              </w:rPr>
            </w:pPr>
            <w:r>
              <w:rPr>
                <w:b w:val="0"/>
                <w:bCs/>
                <w:sz w:val="20"/>
              </w:rPr>
              <w:t>146 535</w:t>
            </w:r>
          </w:p>
        </w:tc>
        <w:tc>
          <w:tcPr>
            <w:tcW w:w="1122" w:type="dxa"/>
          </w:tcPr>
          <w:p w:rsidR="00000000" w:rsidRDefault="00000000">
            <w:pPr>
              <w:pStyle w:val="10"/>
              <w:tabs>
                <w:tab w:val="clear" w:pos="567"/>
                <w:tab w:val="clear" w:pos="1134"/>
                <w:tab w:val="left" w:pos="691"/>
                <w:tab w:val="left" w:pos="878"/>
              </w:tabs>
              <w:spacing w:line="240" w:lineRule="auto"/>
              <w:ind w:right="130"/>
              <w:jc w:val="right"/>
              <w:rPr>
                <w:b w:val="0"/>
                <w:bCs/>
                <w:sz w:val="20"/>
              </w:rPr>
            </w:pPr>
            <w:r>
              <w:rPr>
                <w:b w:val="0"/>
                <w:bCs/>
                <w:sz w:val="20"/>
              </w:rPr>
              <w:t>1 727 845</w:t>
            </w:r>
          </w:p>
        </w:tc>
        <w:tc>
          <w:tcPr>
            <w:tcW w:w="1256" w:type="dxa"/>
          </w:tcPr>
          <w:p w:rsidR="00000000" w:rsidRDefault="00000000">
            <w:pPr>
              <w:pStyle w:val="10"/>
              <w:tabs>
                <w:tab w:val="clear" w:pos="1134"/>
                <w:tab w:val="left" w:pos="1065"/>
              </w:tabs>
              <w:spacing w:line="240" w:lineRule="auto"/>
              <w:ind w:right="77"/>
              <w:jc w:val="right"/>
              <w:rPr>
                <w:b w:val="0"/>
                <w:bCs/>
                <w:sz w:val="20"/>
              </w:rPr>
            </w:pPr>
            <w:r>
              <w:rPr>
                <w:b w:val="0"/>
                <w:bCs/>
                <w:sz w:val="20"/>
              </w:rPr>
              <w:t>3 128 978</w:t>
            </w:r>
          </w:p>
        </w:tc>
        <w:tc>
          <w:tcPr>
            <w:tcW w:w="1069" w:type="dxa"/>
          </w:tcPr>
          <w:p w:rsidR="00000000" w:rsidRDefault="00000000">
            <w:pPr>
              <w:pStyle w:val="10"/>
              <w:spacing w:line="240" w:lineRule="auto"/>
              <w:jc w:val="right"/>
              <w:rPr>
                <w:b w:val="0"/>
                <w:bCs/>
                <w:sz w:val="20"/>
              </w:rPr>
            </w:pPr>
            <w:r>
              <w:rPr>
                <w:b w:val="0"/>
                <w:bCs/>
                <w:sz w:val="20"/>
              </w:rPr>
              <w:t>1 243 315</w:t>
            </w:r>
          </w:p>
        </w:tc>
        <w:tc>
          <w:tcPr>
            <w:tcW w:w="1041" w:type="dxa"/>
          </w:tcPr>
          <w:p w:rsidR="00000000" w:rsidRDefault="00000000">
            <w:pPr>
              <w:pStyle w:val="10"/>
              <w:spacing w:line="240" w:lineRule="auto"/>
              <w:jc w:val="right"/>
              <w:rPr>
                <w:b w:val="0"/>
                <w:bCs/>
                <w:sz w:val="20"/>
              </w:rPr>
            </w:pPr>
            <w:r>
              <w:rPr>
                <w:b w:val="0"/>
                <w:bCs/>
                <w:sz w:val="20"/>
              </w:rPr>
              <w:t>2 114 268</w:t>
            </w:r>
          </w:p>
        </w:tc>
        <w:tc>
          <w:tcPr>
            <w:tcW w:w="935" w:type="dxa"/>
          </w:tcPr>
          <w:p w:rsidR="00000000" w:rsidRDefault="00000000">
            <w:pPr>
              <w:pStyle w:val="10"/>
              <w:spacing w:line="240" w:lineRule="auto"/>
              <w:jc w:val="right"/>
              <w:rPr>
                <w:b w:val="0"/>
                <w:bCs/>
                <w:sz w:val="20"/>
              </w:rPr>
            </w:pPr>
            <w:r>
              <w:rPr>
                <w:b w:val="0"/>
                <w:bCs/>
                <w:sz w:val="20"/>
              </w:rPr>
              <w:t>1 630 788</w:t>
            </w:r>
          </w:p>
        </w:tc>
        <w:tc>
          <w:tcPr>
            <w:tcW w:w="935" w:type="dxa"/>
          </w:tcPr>
          <w:p w:rsidR="00000000" w:rsidRDefault="00000000">
            <w:pPr>
              <w:pStyle w:val="10"/>
              <w:spacing w:line="240" w:lineRule="auto"/>
              <w:jc w:val="right"/>
              <w:rPr>
                <w:b w:val="0"/>
                <w:bCs/>
                <w:sz w:val="20"/>
              </w:rPr>
            </w:pPr>
            <w:r>
              <w:rPr>
                <w:b w:val="0"/>
                <w:bCs/>
                <w:sz w:val="20"/>
              </w:rPr>
              <w:t>4 988 371</w:t>
            </w:r>
          </w:p>
        </w:tc>
        <w:tc>
          <w:tcPr>
            <w:tcW w:w="695" w:type="dxa"/>
          </w:tcPr>
          <w:p w:rsidR="00000000" w:rsidRDefault="00000000">
            <w:pPr>
              <w:pStyle w:val="10"/>
              <w:spacing w:line="240" w:lineRule="auto"/>
              <w:jc w:val="right"/>
              <w:rPr>
                <w:b w:val="0"/>
                <w:bCs/>
                <w:sz w:val="20"/>
              </w:rPr>
            </w:pPr>
            <w:r>
              <w:rPr>
                <w:b w:val="0"/>
                <w:bCs/>
                <w:sz w:val="20"/>
              </w:rPr>
              <w:t>100,00</w:t>
            </w:r>
          </w:p>
        </w:tc>
      </w:tr>
    </w:tbl>
    <w:p w:rsidR="00000000" w:rsidRDefault="00000000"/>
    <w:p w:rsidR="00000000" w:rsidRDefault="00000000">
      <w:r>
        <w:tab/>
      </w:r>
      <w:r>
        <w:rPr>
          <w:u w:val="single"/>
        </w:rPr>
        <w:t>Источник</w:t>
      </w:r>
      <w:r>
        <w:t>:  Фонд Жоао Пинейро, 1995 год.</w:t>
      </w:r>
    </w:p>
    <w:p w:rsidR="00000000" w:rsidRDefault="00000000">
      <w:pPr>
        <w:pStyle w:val="FootnoteText"/>
        <w:spacing w:line="288" w:lineRule="auto"/>
      </w:pPr>
    </w:p>
    <w:p w:rsidR="00000000" w:rsidRDefault="00000000">
      <w:r>
        <w:t>496.</w:t>
      </w:r>
      <w:r>
        <w:tab/>
        <w:t>И наконец, следует отметить, что официальные данные, касающиеся дефицита жилья в Бразилии, - это данные не 1991 года, а данные 1991 года с поправками на 1994 год, как это видно из таблицы ниже, что указывает на наличие общего дефицита жилья в размере примерно 5,6 млн. новых жилых единиц, преимущественно в городских районах.</w:t>
      </w:r>
    </w:p>
    <w:p w:rsidR="00000000" w:rsidRDefault="00000000"/>
    <w:p w:rsidR="00000000" w:rsidRDefault="00000000">
      <w:pPr>
        <w:pStyle w:val="10"/>
      </w:pPr>
      <w:r>
        <w:t>Таблица 59.  Официальные данные, касающиеся дефицита жилья в Бразилии</w:t>
      </w:r>
    </w:p>
    <w:p w:rsidR="00000000" w:rsidRDefault="00000000">
      <w:pPr>
        <w:pStyle w:val="10"/>
      </w:pPr>
      <w:r>
        <w:t>в 1995 году</w:t>
      </w:r>
    </w:p>
    <w:p w:rsidR="00000000" w:rsidRDefault="00000000">
      <w:pPr>
        <w:pStyle w:val="10"/>
        <w:jc w:val="left"/>
        <w:rPr>
          <w:b w:val="0"/>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14"/>
        <w:gridCol w:w="1914"/>
        <w:gridCol w:w="1914"/>
        <w:gridCol w:w="1915"/>
      </w:tblGrid>
      <w:tr w:rsidR="00000000">
        <w:tblPrEx>
          <w:tblCellMar>
            <w:top w:w="0" w:type="dxa"/>
            <w:bottom w:w="0" w:type="dxa"/>
          </w:tblCellMar>
        </w:tblPrEx>
        <w:tc>
          <w:tcPr>
            <w:tcW w:w="1914" w:type="dxa"/>
          </w:tcPr>
          <w:p w:rsidR="00000000" w:rsidRDefault="00000000">
            <w:pPr>
              <w:pStyle w:val="10"/>
              <w:spacing w:line="240" w:lineRule="auto"/>
              <w:rPr>
                <w:b w:val="0"/>
                <w:bCs/>
                <w:sz w:val="22"/>
              </w:rPr>
            </w:pPr>
            <w:r>
              <w:rPr>
                <w:b w:val="0"/>
                <w:bCs/>
                <w:sz w:val="22"/>
              </w:rPr>
              <w:t>Сельские районы</w:t>
            </w:r>
          </w:p>
        </w:tc>
        <w:tc>
          <w:tcPr>
            <w:tcW w:w="1914" w:type="dxa"/>
          </w:tcPr>
          <w:p w:rsidR="00000000" w:rsidRDefault="00000000">
            <w:pPr>
              <w:pStyle w:val="10"/>
              <w:spacing w:line="240" w:lineRule="auto"/>
              <w:rPr>
                <w:b w:val="0"/>
                <w:bCs/>
                <w:sz w:val="22"/>
              </w:rPr>
            </w:pPr>
            <w:r>
              <w:rPr>
                <w:b w:val="0"/>
                <w:bCs/>
                <w:sz w:val="22"/>
              </w:rPr>
              <w:t>Районы метрополий</w:t>
            </w:r>
          </w:p>
        </w:tc>
        <w:tc>
          <w:tcPr>
            <w:tcW w:w="1914" w:type="dxa"/>
          </w:tcPr>
          <w:p w:rsidR="00000000" w:rsidRDefault="00000000">
            <w:pPr>
              <w:pStyle w:val="10"/>
              <w:spacing w:line="240" w:lineRule="auto"/>
              <w:rPr>
                <w:b w:val="0"/>
                <w:bCs/>
                <w:sz w:val="22"/>
              </w:rPr>
            </w:pPr>
            <w:r>
              <w:rPr>
                <w:b w:val="0"/>
                <w:bCs/>
                <w:sz w:val="22"/>
              </w:rPr>
              <w:t>Другие городские районы</w:t>
            </w:r>
          </w:p>
        </w:tc>
        <w:tc>
          <w:tcPr>
            <w:tcW w:w="1914" w:type="dxa"/>
          </w:tcPr>
          <w:p w:rsidR="00000000" w:rsidRDefault="00000000">
            <w:pPr>
              <w:pStyle w:val="10"/>
              <w:spacing w:line="240" w:lineRule="auto"/>
              <w:rPr>
                <w:b w:val="0"/>
                <w:bCs/>
                <w:sz w:val="22"/>
              </w:rPr>
            </w:pPr>
            <w:r>
              <w:rPr>
                <w:b w:val="0"/>
                <w:bCs/>
                <w:sz w:val="22"/>
              </w:rPr>
              <w:t>Всего, дефицит городского жилья</w:t>
            </w:r>
          </w:p>
        </w:tc>
        <w:tc>
          <w:tcPr>
            <w:tcW w:w="1915" w:type="dxa"/>
          </w:tcPr>
          <w:p w:rsidR="00000000" w:rsidRDefault="00000000">
            <w:pPr>
              <w:pStyle w:val="10"/>
              <w:spacing w:line="240" w:lineRule="auto"/>
              <w:rPr>
                <w:b w:val="0"/>
                <w:bCs/>
                <w:sz w:val="22"/>
              </w:rPr>
            </w:pPr>
            <w:r>
              <w:rPr>
                <w:b w:val="0"/>
                <w:bCs/>
                <w:sz w:val="22"/>
              </w:rPr>
              <w:t>Всего, дефицит жилья</w:t>
            </w:r>
          </w:p>
        </w:tc>
      </w:tr>
      <w:tr w:rsidR="00000000">
        <w:tblPrEx>
          <w:tblCellMar>
            <w:top w:w="0" w:type="dxa"/>
            <w:bottom w:w="0" w:type="dxa"/>
          </w:tblCellMar>
        </w:tblPrEx>
        <w:tc>
          <w:tcPr>
            <w:tcW w:w="1914" w:type="dxa"/>
          </w:tcPr>
          <w:p w:rsidR="00000000" w:rsidRDefault="00000000">
            <w:pPr>
              <w:pStyle w:val="10"/>
              <w:spacing w:line="240" w:lineRule="auto"/>
              <w:rPr>
                <w:b w:val="0"/>
                <w:bCs/>
                <w:sz w:val="22"/>
              </w:rPr>
            </w:pPr>
            <w:r>
              <w:rPr>
                <w:b w:val="0"/>
                <w:bCs/>
                <w:sz w:val="22"/>
              </w:rPr>
              <w:t>1 645 791</w:t>
            </w:r>
          </w:p>
        </w:tc>
        <w:tc>
          <w:tcPr>
            <w:tcW w:w="1914" w:type="dxa"/>
          </w:tcPr>
          <w:p w:rsidR="00000000" w:rsidRDefault="00000000">
            <w:pPr>
              <w:pStyle w:val="10"/>
              <w:spacing w:line="240" w:lineRule="auto"/>
              <w:rPr>
                <w:b w:val="0"/>
                <w:bCs/>
                <w:sz w:val="22"/>
              </w:rPr>
            </w:pPr>
            <w:r>
              <w:rPr>
                <w:b w:val="0"/>
                <w:bCs/>
                <w:sz w:val="22"/>
              </w:rPr>
              <w:t>1 431 558</w:t>
            </w:r>
          </w:p>
        </w:tc>
        <w:tc>
          <w:tcPr>
            <w:tcW w:w="1914" w:type="dxa"/>
          </w:tcPr>
          <w:p w:rsidR="00000000" w:rsidRDefault="00000000">
            <w:pPr>
              <w:pStyle w:val="10"/>
              <w:spacing w:line="240" w:lineRule="auto"/>
              <w:rPr>
                <w:b w:val="0"/>
                <w:bCs/>
                <w:sz w:val="22"/>
              </w:rPr>
            </w:pPr>
            <w:r>
              <w:rPr>
                <w:b w:val="0"/>
                <w:bCs/>
                <w:sz w:val="22"/>
              </w:rPr>
              <w:t>2 541 214</w:t>
            </w:r>
          </w:p>
        </w:tc>
        <w:tc>
          <w:tcPr>
            <w:tcW w:w="1914" w:type="dxa"/>
          </w:tcPr>
          <w:p w:rsidR="00000000" w:rsidRDefault="00000000">
            <w:pPr>
              <w:pStyle w:val="10"/>
              <w:spacing w:line="240" w:lineRule="auto"/>
              <w:rPr>
                <w:b w:val="0"/>
                <w:bCs/>
                <w:sz w:val="22"/>
              </w:rPr>
            </w:pPr>
            <w:r>
              <w:rPr>
                <w:b w:val="0"/>
                <w:bCs/>
                <w:sz w:val="22"/>
              </w:rPr>
              <w:t>3 972 772</w:t>
            </w:r>
          </w:p>
        </w:tc>
        <w:tc>
          <w:tcPr>
            <w:tcW w:w="1915" w:type="dxa"/>
          </w:tcPr>
          <w:p w:rsidR="00000000" w:rsidRDefault="00000000">
            <w:pPr>
              <w:pStyle w:val="10"/>
              <w:spacing w:line="240" w:lineRule="auto"/>
              <w:rPr>
                <w:b w:val="0"/>
                <w:bCs/>
                <w:sz w:val="22"/>
              </w:rPr>
            </w:pPr>
            <w:r>
              <w:rPr>
                <w:b w:val="0"/>
                <w:bCs/>
                <w:sz w:val="22"/>
              </w:rPr>
              <w:t>5 618 563</w:t>
            </w:r>
          </w:p>
        </w:tc>
      </w:tr>
    </w:tbl>
    <w:p w:rsidR="00000000" w:rsidRDefault="00000000"/>
    <w:p w:rsidR="00000000" w:rsidRDefault="00000000">
      <w:r>
        <w:tab/>
      </w:r>
      <w:r>
        <w:rPr>
          <w:u w:val="single"/>
        </w:rPr>
        <w:t>Источник</w:t>
      </w:r>
      <w:r>
        <w:t>:  Фонд Жоао Пинейро, 1995 год.</w:t>
      </w:r>
    </w:p>
    <w:p w:rsidR="00000000" w:rsidRDefault="00000000"/>
    <w:p w:rsidR="00000000" w:rsidRDefault="00000000">
      <w:r>
        <w:t>497.</w:t>
      </w:r>
      <w:r>
        <w:tab/>
        <w:t>С учетом данных жилищного строительства и гражданского строительства в целом показатели БИГС в предварительном плане свидетельствуют об увеличении городского жилого фонда на 5,6 млн. единиц в период 1991-1997 годов.</w:t>
      </w:r>
    </w:p>
    <w:p w:rsidR="00000000" w:rsidRDefault="00000000"/>
    <w:p w:rsidR="00000000" w:rsidRDefault="00000000">
      <w:r>
        <w:t>498.</w:t>
      </w:r>
      <w:r>
        <w:tab/>
        <w:t>Исторически сложилось так, что большинство жилых зданий в Бразилии построены без участия официальных финансовых систем, почти всегда на средства, сэкономленные семьей.  По данным Специального секретариата по вопросам развития городов (ССРГ), с помощью Системы финансирования жилищного строительства (СФЖ) за 30 лет было возведено 5,6 млн. жилых построек.  Несмотря на столь внушительную цифру, она составляет лишь малую долю в общем объеме стационарных городских жилых зданий, построенных за этот же период в стране, число которых составляет 31,5 млн. единиц.  За последние десять лет СФЖ выделяла средства для финансирования строительства 134 000 жилых единиц в год, что само по себе представляет значительную цифру, которая, однако, недостаточна для удовлетворения потребностей, в особенности, если сравнить со среднегодовым объемом строительства жилых зданий в стране в 1991-1996 годах, число которых составило 1 млн. единиц.</w:t>
      </w:r>
    </w:p>
    <w:p w:rsidR="00000000" w:rsidRDefault="00000000"/>
    <w:p w:rsidR="00000000" w:rsidRDefault="00000000">
      <w:r>
        <w:t>499.</w:t>
      </w:r>
      <w:r>
        <w:tab/>
        <w:t>Данные БИГС показывают, что число стационарных частных домов увеличилось на 15 433 984 единиц в период 1980-1997 годов, что в основном объясняется значительным ростом числа городских построек (15 209 391).</w:t>
      </w:r>
    </w:p>
    <w:p w:rsidR="00000000" w:rsidRDefault="00000000"/>
    <w:p w:rsidR="00000000" w:rsidRDefault="00000000">
      <w:pPr>
        <w:pStyle w:val="10"/>
        <w:rPr>
          <w:bCs/>
        </w:rPr>
      </w:pPr>
      <w:r>
        <w:rPr>
          <w:bCs/>
        </w:rPr>
        <w:t>Таблица 60.   Стационарные частные дома в разбивке по месту расположения, 1980</w:t>
      </w:r>
      <w:r>
        <w:rPr>
          <w:bCs/>
        </w:rPr>
        <w:noBreakHyphen/>
        <w:t>1997 годы</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294"/>
        <w:gridCol w:w="1790"/>
        <w:gridCol w:w="1791"/>
        <w:gridCol w:w="1790"/>
        <w:gridCol w:w="1791"/>
      </w:tblGrid>
      <w:tr w:rsidR="00000000">
        <w:tblPrEx>
          <w:tblCellMar>
            <w:top w:w="0" w:type="dxa"/>
            <w:bottom w:w="0" w:type="dxa"/>
          </w:tblCellMar>
        </w:tblPrEx>
        <w:tc>
          <w:tcPr>
            <w:tcW w:w="2295" w:type="dxa"/>
          </w:tcPr>
          <w:p w:rsidR="00000000" w:rsidRDefault="00000000">
            <w:pPr>
              <w:rPr>
                <w:sz w:val="20"/>
              </w:rPr>
            </w:pPr>
            <w:r>
              <w:rPr>
                <w:sz w:val="20"/>
              </w:rPr>
              <w:t>Место расположения</w:t>
            </w:r>
          </w:p>
        </w:tc>
        <w:tc>
          <w:tcPr>
            <w:tcW w:w="1790" w:type="dxa"/>
          </w:tcPr>
          <w:p w:rsidR="00000000" w:rsidRDefault="00000000">
            <w:pPr>
              <w:jc w:val="center"/>
              <w:rPr>
                <w:sz w:val="20"/>
              </w:rPr>
            </w:pPr>
            <w:r>
              <w:rPr>
                <w:sz w:val="20"/>
              </w:rPr>
              <w:t>1980*</w:t>
            </w:r>
          </w:p>
        </w:tc>
        <w:tc>
          <w:tcPr>
            <w:tcW w:w="1791" w:type="dxa"/>
          </w:tcPr>
          <w:p w:rsidR="00000000" w:rsidRDefault="00000000">
            <w:pPr>
              <w:jc w:val="center"/>
              <w:rPr>
                <w:sz w:val="20"/>
              </w:rPr>
            </w:pPr>
            <w:r>
              <w:rPr>
                <w:sz w:val="20"/>
              </w:rPr>
              <w:t>1991*</w:t>
            </w:r>
          </w:p>
        </w:tc>
        <w:tc>
          <w:tcPr>
            <w:tcW w:w="1790" w:type="dxa"/>
          </w:tcPr>
          <w:p w:rsidR="00000000" w:rsidRDefault="00000000">
            <w:pPr>
              <w:jc w:val="center"/>
              <w:rPr>
                <w:sz w:val="20"/>
              </w:rPr>
            </w:pPr>
            <w:r>
              <w:rPr>
                <w:sz w:val="20"/>
              </w:rPr>
              <w:t>1996*</w:t>
            </w:r>
          </w:p>
        </w:tc>
        <w:tc>
          <w:tcPr>
            <w:tcW w:w="1791" w:type="dxa"/>
          </w:tcPr>
          <w:p w:rsidR="00000000" w:rsidRDefault="00000000">
            <w:pPr>
              <w:jc w:val="center"/>
              <w:rPr>
                <w:sz w:val="20"/>
              </w:rPr>
            </w:pPr>
            <w:r>
              <w:rPr>
                <w:sz w:val="20"/>
              </w:rPr>
              <w:t>1997**</w:t>
            </w:r>
          </w:p>
        </w:tc>
      </w:tr>
      <w:tr w:rsidR="00000000">
        <w:tblPrEx>
          <w:tblCellMar>
            <w:top w:w="0" w:type="dxa"/>
            <w:bottom w:w="0" w:type="dxa"/>
          </w:tblCellMar>
        </w:tblPrEx>
        <w:tc>
          <w:tcPr>
            <w:tcW w:w="2295" w:type="dxa"/>
          </w:tcPr>
          <w:p w:rsidR="00000000" w:rsidRDefault="00000000">
            <w:pPr>
              <w:rPr>
                <w:sz w:val="20"/>
              </w:rPr>
            </w:pPr>
            <w:r>
              <w:rPr>
                <w:sz w:val="20"/>
              </w:rPr>
              <w:t>Всего</w:t>
            </w:r>
          </w:p>
        </w:tc>
        <w:tc>
          <w:tcPr>
            <w:tcW w:w="1790" w:type="dxa"/>
          </w:tcPr>
          <w:p w:rsidR="00000000" w:rsidRDefault="00000000">
            <w:pPr>
              <w:tabs>
                <w:tab w:val="clear" w:pos="567"/>
                <w:tab w:val="clear" w:pos="1701"/>
                <w:tab w:val="clear" w:pos="2268"/>
                <w:tab w:val="clear" w:pos="6237"/>
                <w:tab w:val="decimal" w:pos="1134"/>
              </w:tabs>
              <w:rPr>
                <w:sz w:val="20"/>
              </w:rPr>
            </w:pPr>
            <w:r>
              <w:rPr>
                <w:sz w:val="20"/>
              </w:rPr>
              <w:t>25 210 639</w:t>
            </w:r>
          </w:p>
        </w:tc>
        <w:tc>
          <w:tcPr>
            <w:tcW w:w="1791" w:type="dxa"/>
          </w:tcPr>
          <w:p w:rsidR="00000000" w:rsidRDefault="00000000">
            <w:pPr>
              <w:tabs>
                <w:tab w:val="clear" w:pos="567"/>
                <w:tab w:val="clear" w:pos="1701"/>
                <w:tab w:val="clear" w:pos="2268"/>
                <w:tab w:val="clear" w:pos="6237"/>
                <w:tab w:val="decimal" w:pos="1134"/>
              </w:tabs>
              <w:rPr>
                <w:sz w:val="20"/>
              </w:rPr>
            </w:pPr>
            <w:r>
              <w:rPr>
                <w:sz w:val="20"/>
              </w:rPr>
              <w:t>34 734 715</w:t>
            </w:r>
          </w:p>
        </w:tc>
        <w:tc>
          <w:tcPr>
            <w:tcW w:w="1790" w:type="dxa"/>
          </w:tcPr>
          <w:p w:rsidR="00000000" w:rsidRDefault="00000000">
            <w:pPr>
              <w:tabs>
                <w:tab w:val="clear" w:pos="567"/>
                <w:tab w:val="clear" w:pos="1701"/>
                <w:tab w:val="clear" w:pos="2268"/>
                <w:tab w:val="clear" w:pos="6237"/>
                <w:tab w:val="decimal" w:pos="1134"/>
              </w:tabs>
              <w:rPr>
                <w:sz w:val="20"/>
              </w:rPr>
            </w:pPr>
            <w:r>
              <w:rPr>
                <w:sz w:val="20"/>
              </w:rPr>
              <w:t>39 745 768</w:t>
            </w:r>
          </w:p>
        </w:tc>
        <w:tc>
          <w:tcPr>
            <w:tcW w:w="1791" w:type="dxa"/>
          </w:tcPr>
          <w:p w:rsidR="00000000" w:rsidRDefault="00000000">
            <w:pPr>
              <w:tabs>
                <w:tab w:val="clear" w:pos="567"/>
                <w:tab w:val="clear" w:pos="1701"/>
                <w:tab w:val="clear" w:pos="2268"/>
                <w:tab w:val="clear" w:pos="6237"/>
                <w:tab w:val="decimal" w:pos="1134"/>
              </w:tabs>
              <w:rPr>
                <w:sz w:val="20"/>
              </w:rPr>
            </w:pPr>
            <w:r>
              <w:rPr>
                <w:sz w:val="20"/>
              </w:rPr>
              <w:t>40 644 623</w:t>
            </w:r>
          </w:p>
        </w:tc>
      </w:tr>
      <w:tr w:rsidR="00000000">
        <w:tblPrEx>
          <w:tblCellMar>
            <w:top w:w="0" w:type="dxa"/>
            <w:bottom w:w="0" w:type="dxa"/>
          </w:tblCellMar>
        </w:tblPrEx>
        <w:tc>
          <w:tcPr>
            <w:tcW w:w="2295" w:type="dxa"/>
          </w:tcPr>
          <w:p w:rsidR="00000000" w:rsidRDefault="00000000">
            <w:pPr>
              <w:rPr>
                <w:sz w:val="20"/>
              </w:rPr>
            </w:pPr>
            <w:r>
              <w:rPr>
                <w:sz w:val="20"/>
              </w:rPr>
              <w:t>Городские районы</w:t>
            </w:r>
          </w:p>
        </w:tc>
        <w:tc>
          <w:tcPr>
            <w:tcW w:w="1790" w:type="dxa"/>
          </w:tcPr>
          <w:p w:rsidR="00000000" w:rsidRDefault="00000000">
            <w:pPr>
              <w:tabs>
                <w:tab w:val="clear" w:pos="567"/>
                <w:tab w:val="clear" w:pos="1701"/>
                <w:tab w:val="clear" w:pos="2268"/>
                <w:tab w:val="clear" w:pos="6237"/>
                <w:tab w:val="decimal" w:pos="1134"/>
              </w:tabs>
              <w:rPr>
                <w:sz w:val="20"/>
              </w:rPr>
            </w:pPr>
            <w:r>
              <w:rPr>
                <w:sz w:val="20"/>
              </w:rPr>
              <w:t>17 770 981</w:t>
            </w:r>
          </w:p>
        </w:tc>
        <w:tc>
          <w:tcPr>
            <w:tcW w:w="1791" w:type="dxa"/>
          </w:tcPr>
          <w:p w:rsidR="00000000" w:rsidRDefault="00000000">
            <w:pPr>
              <w:tabs>
                <w:tab w:val="clear" w:pos="567"/>
                <w:tab w:val="clear" w:pos="1701"/>
                <w:tab w:val="clear" w:pos="2268"/>
                <w:tab w:val="clear" w:pos="6237"/>
                <w:tab w:val="decimal" w:pos="1134"/>
              </w:tabs>
              <w:rPr>
                <w:sz w:val="20"/>
              </w:rPr>
            </w:pPr>
            <w:r>
              <w:rPr>
                <w:sz w:val="20"/>
              </w:rPr>
              <w:t>27 157 268</w:t>
            </w:r>
          </w:p>
        </w:tc>
        <w:tc>
          <w:tcPr>
            <w:tcW w:w="1790" w:type="dxa"/>
          </w:tcPr>
          <w:p w:rsidR="00000000" w:rsidRDefault="00000000">
            <w:pPr>
              <w:tabs>
                <w:tab w:val="clear" w:pos="567"/>
                <w:tab w:val="clear" w:pos="1701"/>
                <w:tab w:val="clear" w:pos="2268"/>
                <w:tab w:val="clear" w:pos="6237"/>
                <w:tab w:val="decimal" w:pos="1134"/>
              </w:tabs>
              <w:rPr>
                <w:sz w:val="20"/>
              </w:rPr>
            </w:pPr>
            <w:r>
              <w:rPr>
                <w:sz w:val="20"/>
              </w:rPr>
              <w:t>32 227 158</w:t>
            </w:r>
          </w:p>
        </w:tc>
        <w:tc>
          <w:tcPr>
            <w:tcW w:w="1791" w:type="dxa"/>
          </w:tcPr>
          <w:p w:rsidR="00000000" w:rsidRDefault="00000000">
            <w:pPr>
              <w:tabs>
                <w:tab w:val="clear" w:pos="567"/>
                <w:tab w:val="clear" w:pos="1701"/>
                <w:tab w:val="clear" w:pos="2268"/>
                <w:tab w:val="clear" w:pos="6237"/>
                <w:tab w:val="decimal" w:pos="1134"/>
              </w:tabs>
              <w:rPr>
                <w:sz w:val="20"/>
              </w:rPr>
            </w:pPr>
            <w:r>
              <w:rPr>
                <w:sz w:val="20"/>
              </w:rPr>
              <w:t>32 980 372</w:t>
            </w:r>
          </w:p>
        </w:tc>
      </w:tr>
      <w:tr w:rsidR="00000000">
        <w:tblPrEx>
          <w:tblCellMar>
            <w:top w:w="0" w:type="dxa"/>
            <w:bottom w:w="0" w:type="dxa"/>
          </w:tblCellMar>
        </w:tblPrEx>
        <w:tc>
          <w:tcPr>
            <w:tcW w:w="2295" w:type="dxa"/>
          </w:tcPr>
          <w:p w:rsidR="00000000" w:rsidRDefault="00000000">
            <w:pPr>
              <w:rPr>
                <w:sz w:val="20"/>
              </w:rPr>
            </w:pPr>
            <w:r>
              <w:rPr>
                <w:sz w:val="20"/>
              </w:rPr>
              <w:t>Сельские районы</w:t>
            </w:r>
          </w:p>
        </w:tc>
        <w:tc>
          <w:tcPr>
            <w:tcW w:w="1790" w:type="dxa"/>
          </w:tcPr>
          <w:p w:rsidR="00000000" w:rsidRDefault="00000000">
            <w:pPr>
              <w:tabs>
                <w:tab w:val="clear" w:pos="567"/>
                <w:tab w:val="clear" w:pos="1701"/>
                <w:tab w:val="clear" w:pos="2268"/>
                <w:tab w:val="clear" w:pos="6237"/>
                <w:tab w:val="decimal" w:pos="1134"/>
              </w:tabs>
              <w:rPr>
                <w:sz w:val="20"/>
              </w:rPr>
            </w:pPr>
            <w:r>
              <w:rPr>
                <w:sz w:val="20"/>
              </w:rPr>
              <w:t>7 439 658</w:t>
            </w:r>
          </w:p>
        </w:tc>
        <w:tc>
          <w:tcPr>
            <w:tcW w:w="1791" w:type="dxa"/>
          </w:tcPr>
          <w:p w:rsidR="00000000" w:rsidRDefault="00000000">
            <w:pPr>
              <w:tabs>
                <w:tab w:val="clear" w:pos="567"/>
                <w:tab w:val="clear" w:pos="1701"/>
                <w:tab w:val="clear" w:pos="2268"/>
                <w:tab w:val="clear" w:pos="6237"/>
                <w:tab w:val="decimal" w:pos="1134"/>
              </w:tabs>
              <w:rPr>
                <w:sz w:val="20"/>
              </w:rPr>
            </w:pPr>
            <w:r>
              <w:rPr>
                <w:sz w:val="20"/>
              </w:rPr>
              <w:t>7 577 447</w:t>
            </w:r>
          </w:p>
        </w:tc>
        <w:tc>
          <w:tcPr>
            <w:tcW w:w="1790" w:type="dxa"/>
          </w:tcPr>
          <w:p w:rsidR="00000000" w:rsidRDefault="00000000">
            <w:pPr>
              <w:tabs>
                <w:tab w:val="clear" w:pos="567"/>
                <w:tab w:val="clear" w:pos="1701"/>
                <w:tab w:val="clear" w:pos="2268"/>
                <w:tab w:val="clear" w:pos="6237"/>
                <w:tab w:val="decimal" w:pos="1134"/>
              </w:tabs>
              <w:rPr>
                <w:sz w:val="20"/>
              </w:rPr>
            </w:pPr>
            <w:r>
              <w:rPr>
                <w:sz w:val="20"/>
              </w:rPr>
              <w:t>7 518 610</w:t>
            </w:r>
          </w:p>
        </w:tc>
        <w:tc>
          <w:tcPr>
            <w:tcW w:w="1791" w:type="dxa"/>
          </w:tcPr>
          <w:p w:rsidR="00000000" w:rsidRDefault="00000000">
            <w:pPr>
              <w:tabs>
                <w:tab w:val="clear" w:pos="567"/>
                <w:tab w:val="clear" w:pos="1701"/>
                <w:tab w:val="clear" w:pos="2268"/>
                <w:tab w:val="clear" w:pos="6237"/>
                <w:tab w:val="decimal" w:pos="1134"/>
              </w:tabs>
              <w:rPr>
                <w:sz w:val="20"/>
              </w:rPr>
            </w:pPr>
            <w:r>
              <w:rPr>
                <w:sz w:val="20"/>
              </w:rPr>
              <w:t>7 664 251</w:t>
            </w:r>
          </w:p>
        </w:tc>
      </w:tr>
    </w:tbl>
    <w:p w:rsidR="00000000" w:rsidRDefault="00000000">
      <w:pPr>
        <w:rPr>
          <w:sz w:val="20"/>
        </w:rPr>
      </w:pPr>
    </w:p>
    <w:p w:rsidR="00000000" w:rsidRDefault="00000000">
      <w:r>
        <w:tab/>
      </w:r>
      <w:r>
        <w:rPr>
          <w:u w:val="single"/>
        </w:rPr>
        <w:t>Источник</w:t>
      </w:r>
      <w:r>
        <w:t>:</w:t>
      </w:r>
      <w:r>
        <w:tab/>
        <w:t xml:space="preserve">  * БИГС - Ежегодный статистический справочник, 1997 год.</w:t>
      </w:r>
    </w:p>
    <w:p w:rsidR="00000000" w:rsidRDefault="00000000">
      <w:r>
        <w:tab/>
      </w:r>
      <w:r>
        <w:tab/>
      </w:r>
      <w:r>
        <w:tab/>
        <w:t>** БИГС - Краткий справочник социальных показателей, 1998 год.</w:t>
      </w:r>
    </w:p>
    <w:p w:rsidR="00000000" w:rsidRDefault="00000000">
      <w:pPr>
        <w:pStyle w:val="FootnoteText"/>
        <w:spacing w:line="288" w:lineRule="auto"/>
      </w:pPr>
    </w:p>
    <w:p w:rsidR="00000000" w:rsidRDefault="00000000">
      <w:pPr>
        <w:pStyle w:val="FootnoteText"/>
        <w:spacing w:line="288" w:lineRule="auto"/>
      </w:pPr>
    </w:p>
    <w:p w:rsidR="00000000" w:rsidRDefault="00000000">
      <w:r>
        <w:t>500.</w:t>
      </w:r>
      <w:r>
        <w:tab/>
        <w:t>Показатели сектора жилья дают четкое представление о качестве жизни населения в стране.  Показатель скученности в жилых помещениях за последние десятилетия сократился, что отражает тенденцию к уменьшению среднего размера семьи и к увеличению количества жилых единиц, в которых проживает по одному человеку.  В 1997 году общая плотность жильцов в обычном жилом помещении составляла 3,8 человека, в то время как плотность в расчете на одно спальное помещение составляла 1,9 человека.  Эти показатели выше в сельских районах, что является отражением более крупных размеров проживающих там семей.</w:t>
      </w:r>
    </w:p>
    <w:p w:rsidR="00000000" w:rsidRDefault="00000000"/>
    <w:p w:rsidR="00000000" w:rsidRDefault="00000000">
      <w:pPr>
        <w:pStyle w:val="10"/>
        <w:keepNext/>
        <w:rPr>
          <w:bCs/>
        </w:rPr>
      </w:pPr>
      <w:r>
        <w:rPr>
          <w:bCs/>
        </w:rPr>
        <w:t>Таблица 61.   Среднее количество членов домашних хозяйств в разбивке по основным регионам, 1991 год</w:t>
      </w:r>
    </w:p>
    <w:p w:rsidR="00000000" w:rsidRDefault="00000000">
      <w:pPr>
        <w:pStyle w:val="10"/>
        <w:keepNext/>
        <w:rPr>
          <w:bCs/>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37"/>
        <w:gridCol w:w="2338"/>
        <w:gridCol w:w="2338"/>
      </w:tblGrid>
      <w:tr w:rsidR="00000000">
        <w:tblPrEx>
          <w:tblCellMar>
            <w:top w:w="0" w:type="dxa"/>
            <w:bottom w:w="0" w:type="dxa"/>
          </w:tblCellMar>
        </w:tblPrEx>
        <w:tc>
          <w:tcPr>
            <w:tcW w:w="2337" w:type="dxa"/>
          </w:tcPr>
          <w:p w:rsidR="00000000" w:rsidRDefault="00000000">
            <w:pPr>
              <w:keepNext/>
              <w:rPr>
                <w:sz w:val="22"/>
              </w:rPr>
            </w:pPr>
            <w:r>
              <w:rPr>
                <w:sz w:val="22"/>
              </w:rPr>
              <w:t>Основные регионы</w:t>
            </w:r>
          </w:p>
        </w:tc>
        <w:tc>
          <w:tcPr>
            <w:tcW w:w="2338" w:type="dxa"/>
          </w:tcPr>
          <w:p w:rsidR="00000000" w:rsidRDefault="00000000">
            <w:pPr>
              <w:keepNext/>
              <w:jc w:val="center"/>
              <w:rPr>
                <w:sz w:val="22"/>
              </w:rPr>
            </w:pPr>
            <w:r>
              <w:rPr>
                <w:sz w:val="22"/>
              </w:rPr>
              <w:t>Городские районы</w:t>
            </w:r>
          </w:p>
        </w:tc>
        <w:tc>
          <w:tcPr>
            <w:tcW w:w="2338" w:type="dxa"/>
          </w:tcPr>
          <w:p w:rsidR="00000000" w:rsidRDefault="00000000">
            <w:pPr>
              <w:keepNext/>
              <w:jc w:val="center"/>
              <w:rPr>
                <w:sz w:val="22"/>
              </w:rPr>
            </w:pPr>
            <w:r>
              <w:rPr>
                <w:sz w:val="22"/>
              </w:rPr>
              <w:t>Сельские районы</w:t>
            </w:r>
          </w:p>
        </w:tc>
      </w:tr>
      <w:tr w:rsidR="00000000">
        <w:tblPrEx>
          <w:tblCellMar>
            <w:top w:w="0" w:type="dxa"/>
            <w:bottom w:w="0" w:type="dxa"/>
          </w:tblCellMar>
        </w:tblPrEx>
        <w:tc>
          <w:tcPr>
            <w:tcW w:w="2337" w:type="dxa"/>
          </w:tcPr>
          <w:p w:rsidR="00000000" w:rsidRDefault="00000000">
            <w:pPr>
              <w:keepNext/>
              <w:rPr>
                <w:sz w:val="22"/>
              </w:rPr>
            </w:pPr>
            <w:r>
              <w:rPr>
                <w:sz w:val="22"/>
              </w:rPr>
              <w:t>Бразилия</w:t>
            </w:r>
          </w:p>
        </w:tc>
        <w:tc>
          <w:tcPr>
            <w:tcW w:w="2338" w:type="dxa"/>
          </w:tcPr>
          <w:p w:rsidR="00000000" w:rsidRDefault="00000000">
            <w:pPr>
              <w:keepNext/>
              <w:jc w:val="center"/>
              <w:rPr>
                <w:sz w:val="22"/>
              </w:rPr>
            </w:pPr>
            <w:r>
              <w:rPr>
                <w:sz w:val="22"/>
              </w:rPr>
              <w:t>4,06</w:t>
            </w:r>
          </w:p>
        </w:tc>
        <w:tc>
          <w:tcPr>
            <w:tcW w:w="2338" w:type="dxa"/>
          </w:tcPr>
          <w:p w:rsidR="00000000" w:rsidRDefault="00000000">
            <w:pPr>
              <w:keepNext/>
              <w:jc w:val="center"/>
              <w:rPr>
                <w:sz w:val="22"/>
              </w:rPr>
            </w:pPr>
            <w:r>
              <w:rPr>
                <w:sz w:val="22"/>
              </w:rPr>
              <w:t>4,69</w:t>
            </w:r>
          </w:p>
        </w:tc>
      </w:tr>
      <w:tr w:rsidR="00000000">
        <w:tblPrEx>
          <w:tblCellMar>
            <w:top w:w="0" w:type="dxa"/>
            <w:bottom w:w="0" w:type="dxa"/>
          </w:tblCellMar>
        </w:tblPrEx>
        <w:tc>
          <w:tcPr>
            <w:tcW w:w="2337" w:type="dxa"/>
          </w:tcPr>
          <w:p w:rsidR="00000000" w:rsidRDefault="00000000">
            <w:pPr>
              <w:keepNext/>
              <w:rPr>
                <w:sz w:val="22"/>
              </w:rPr>
            </w:pPr>
            <w:r>
              <w:rPr>
                <w:sz w:val="22"/>
              </w:rPr>
              <w:t>Север</w:t>
            </w:r>
          </w:p>
        </w:tc>
        <w:tc>
          <w:tcPr>
            <w:tcW w:w="2338" w:type="dxa"/>
          </w:tcPr>
          <w:p w:rsidR="00000000" w:rsidRDefault="00000000">
            <w:pPr>
              <w:keepNext/>
              <w:jc w:val="center"/>
              <w:rPr>
                <w:sz w:val="22"/>
              </w:rPr>
            </w:pPr>
            <w:r>
              <w:rPr>
                <w:sz w:val="22"/>
              </w:rPr>
              <w:t>4,92</w:t>
            </w:r>
          </w:p>
        </w:tc>
        <w:tc>
          <w:tcPr>
            <w:tcW w:w="2338" w:type="dxa"/>
          </w:tcPr>
          <w:p w:rsidR="00000000" w:rsidRDefault="00000000">
            <w:pPr>
              <w:keepNext/>
              <w:jc w:val="center"/>
              <w:rPr>
                <w:sz w:val="22"/>
              </w:rPr>
            </w:pPr>
            <w:r>
              <w:rPr>
                <w:sz w:val="22"/>
              </w:rPr>
              <w:t>5,26</w:t>
            </w:r>
          </w:p>
        </w:tc>
      </w:tr>
      <w:tr w:rsidR="00000000">
        <w:tblPrEx>
          <w:tblCellMar>
            <w:top w:w="0" w:type="dxa"/>
            <w:bottom w:w="0" w:type="dxa"/>
          </w:tblCellMar>
        </w:tblPrEx>
        <w:tc>
          <w:tcPr>
            <w:tcW w:w="2337" w:type="dxa"/>
          </w:tcPr>
          <w:p w:rsidR="00000000" w:rsidRDefault="00000000">
            <w:pPr>
              <w:keepNext/>
              <w:rPr>
                <w:sz w:val="22"/>
              </w:rPr>
            </w:pPr>
            <w:r>
              <w:rPr>
                <w:sz w:val="22"/>
              </w:rPr>
              <w:t>Северо-Восток</w:t>
            </w:r>
          </w:p>
        </w:tc>
        <w:tc>
          <w:tcPr>
            <w:tcW w:w="2338" w:type="dxa"/>
          </w:tcPr>
          <w:p w:rsidR="00000000" w:rsidRDefault="00000000">
            <w:pPr>
              <w:keepNext/>
              <w:jc w:val="center"/>
              <w:rPr>
                <w:sz w:val="22"/>
              </w:rPr>
            </w:pPr>
            <w:r>
              <w:rPr>
                <w:sz w:val="22"/>
              </w:rPr>
              <w:t>4,53</w:t>
            </w:r>
          </w:p>
        </w:tc>
        <w:tc>
          <w:tcPr>
            <w:tcW w:w="2338" w:type="dxa"/>
          </w:tcPr>
          <w:p w:rsidR="00000000" w:rsidRDefault="00000000">
            <w:pPr>
              <w:keepNext/>
              <w:jc w:val="center"/>
              <w:rPr>
                <w:sz w:val="22"/>
              </w:rPr>
            </w:pPr>
            <w:r>
              <w:rPr>
                <w:sz w:val="22"/>
              </w:rPr>
              <w:t>4,97</w:t>
            </w:r>
          </w:p>
        </w:tc>
      </w:tr>
      <w:tr w:rsidR="00000000">
        <w:tblPrEx>
          <w:tblCellMar>
            <w:top w:w="0" w:type="dxa"/>
            <w:bottom w:w="0" w:type="dxa"/>
          </w:tblCellMar>
        </w:tblPrEx>
        <w:tc>
          <w:tcPr>
            <w:tcW w:w="2337" w:type="dxa"/>
          </w:tcPr>
          <w:p w:rsidR="00000000" w:rsidRDefault="00000000">
            <w:pPr>
              <w:keepNext/>
              <w:rPr>
                <w:sz w:val="22"/>
              </w:rPr>
            </w:pPr>
            <w:r>
              <w:rPr>
                <w:sz w:val="22"/>
              </w:rPr>
              <w:t>Юго-Восток</w:t>
            </w:r>
          </w:p>
        </w:tc>
        <w:tc>
          <w:tcPr>
            <w:tcW w:w="2338" w:type="dxa"/>
          </w:tcPr>
          <w:p w:rsidR="00000000" w:rsidRDefault="00000000">
            <w:pPr>
              <w:keepNext/>
              <w:jc w:val="center"/>
              <w:rPr>
                <w:sz w:val="22"/>
              </w:rPr>
            </w:pPr>
            <w:r>
              <w:rPr>
                <w:sz w:val="22"/>
              </w:rPr>
              <w:t>3,88</w:t>
            </w:r>
          </w:p>
        </w:tc>
        <w:tc>
          <w:tcPr>
            <w:tcW w:w="2338" w:type="dxa"/>
          </w:tcPr>
          <w:p w:rsidR="00000000" w:rsidRDefault="00000000">
            <w:pPr>
              <w:keepNext/>
              <w:jc w:val="center"/>
              <w:rPr>
                <w:sz w:val="22"/>
              </w:rPr>
            </w:pPr>
            <w:r>
              <w:rPr>
                <w:sz w:val="22"/>
              </w:rPr>
              <w:t>4,41</w:t>
            </w:r>
          </w:p>
        </w:tc>
      </w:tr>
      <w:tr w:rsidR="00000000">
        <w:tblPrEx>
          <w:tblCellMar>
            <w:top w:w="0" w:type="dxa"/>
            <w:bottom w:w="0" w:type="dxa"/>
          </w:tblCellMar>
        </w:tblPrEx>
        <w:tc>
          <w:tcPr>
            <w:tcW w:w="2337" w:type="dxa"/>
          </w:tcPr>
          <w:p w:rsidR="00000000" w:rsidRDefault="00000000">
            <w:pPr>
              <w:keepNext/>
              <w:rPr>
                <w:sz w:val="22"/>
              </w:rPr>
            </w:pPr>
            <w:r>
              <w:rPr>
                <w:sz w:val="22"/>
              </w:rPr>
              <w:t>Юг</w:t>
            </w:r>
          </w:p>
        </w:tc>
        <w:tc>
          <w:tcPr>
            <w:tcW w:w="2338" w:type="dxa"/>
          </w:tcPr>
          <w:p w:rsidR="00000000" w:rsidRDefault="00000000">
            <w:pPr>
              <w:keepNext/>
              <w:jc w:val="center"/>
              <w:rPr>
                <w:sz w:val="22"/>
              </w:rPr>
            </w:pPr>
            <w:r>
              <w:rPr>
                <w:sz w:val="22"/>
              </w:rPr>
              <w:t>3,75</w:t>
            </w:r>
          </w:p>
        </w:tc>
        <w:tc>
          <w:tcPr>
            <w:tcW w:w="2338" w:type="dxa"/>
          </w:tcPr>
          <w:p w:rsidR="00000000" w:rsidRDefault="00000000">
            <w:pPr>
              <w:keepNext/>
              <w:jc w:val="center"/>
              <w:rPr>
                <w:sz w:val="22"/>
              </w:rPr>
            </w:pPr>
            <w:r>
              <w:rPr>
                <w:sz w:val="22"/>
              </w:rPr>
              <w:t>4,18</w:t>
            </w:r>
          </w:p>
        </w:tc>
      </w:tr>
      <w:tr w:rsidR="00000000">
        <w:tblPrEx>
          <w:tblCellMar>
            <w:top w:w="0" w:type="dxa"/>
            <w:bottom w:w="0" w:type="dxa"/>
          </w:tblCellMar>
        </w:tblPrEx>
        <w:tc>
          <w:tcPr>
            <w:tcW w:w="2337" w:type="dxa"/>
          </w:tcPr>
          <w:p w:rsidR="00000000" w:rsidRDefault="00000000">
            <w:pPr>
              <w:keepNext/>
              <w:rPr>
                <w:sz w:val="22"/>
              </w:rPr>
            </w:pPr>
            <w:r>
              <w:rPr>
                <w:sz w:val="22"/>
              </w:rPr>
              <w:t>Центр - Запад</w:t>
            </w:r>
          </w:p>
        </w:tc>
        <w:tc>
          <w:tcPr>
            <w:tcW w:w="2338" w:type="dxa"/>
          </w:tcPr>
          <w:p w:rsidR="00000000" w:rsidRDefault="00000000">
            <w:pPr>
              <w:keepNext/>
              <w:jc w:val="center"/>
              <w:rPr>
                <w:sz w:val="22"/>
              </w:rPr>
            </w:pPr>
            <w:r>
              <w:rPr>
                <w:sz w:val="22"/>
              </w:rPr>
              <w:t>4,13</w:t>
            </w:r>
          </w:p>
        </w:tc>
        <w:tc>
          <w:tcPr>
            <w:tcW w:w="2338" w:type="dxa"/>
          </w:tcPr>
          <w:p w:rsidR="00000000" w:rsidRDefault="00000000">
            <w:pPr>
              <w:keepNext/>
              <w:jc w:val="center"/>
              <w:rPr>
                <w:sz w:val="22"/>
              </w:rPr>
            </w:pPr>
            <w:r>
              <w:rPr>
                <w:sz w:val="22"/>
              </w:rPr>
              <w:t>4,17</w:t>
            </w:r>
          </w:p>
        </w:tc>
      </w:tr>
    </w:tbl>
    <w:p w:rsidR="00000000" w:rsidRDefault="00000000">
      <w:pPr>
        <w:pStyle w:val="16"/>
        <w:keepNext/>
        <w:rPr>
          <w:b/>
          <w:bCs/>
          <w:sz w:val="22"/>
        </w:rPr>
      </w:pPr>
    </w:p>
    <w:p w:rsidR="00000000" w:rsidRDefault="00000000">
      <w:pPr>
        <w:pStyle w:val="16"/>
        <w:keepNext/>
        <w:jc w:val="left"/>
      </w:pPr>
      <w:r>
        <w:rPr>
          <w:b/>
          <w:bCs/>
          <w:sz w:val="22"/>
        </w:rPr>
        <w:tab/>
      </w:r>
      <w:r>
        <w:rPr>
          <w:u w:val="single"/>
        </w:rPr>
        <w:t>Источник</w:t>
      </w:r>
      <w:r>
        <w:t>:  БИГС - Демографическая перепись 1991 года.</w:t>
      </w:r>
    </w:p>
    <w:p w:rsidR="00000000" w:rsidRDefault="00000000">
      <w:pPr>
        <w:pStyle w:val="16"/>
        <w:rPr>
          <w:b/>
          <w:bCs/>
          <w:sz w:val="22"/>
        </w:rPr>
      </w:pPr>
    </w:p>
    <w:p w:rsidR="00000000" w:rsidRDefault="00000000">
      <w:pPr>
        <w:pStyle w:val="16"/>
        <w:rPr>
          <w:b/>
          <w:bCs/>
          <w:sz w:val="22"/>
        </w:rPr>
      </w:pPr>
    </w:p>
    <w:p w:rsidR="00000000" w:rsidRDefault="00000000">
      <w:pPr>
        <w:pStyle w:val="16"/>
        <w:tabs>
          <w:tab w:val="clear" w:pos="1701"/>
          <w:tab w:val="left" w:pos="1582"/>
        </w:tabs>
        <w:rPr>
          <w:b/>
          <w:bCs/>
        </w:rPr>
      </w:pPr>
      <w:r>
        <w:rPr>
          <w:b/>
          <w:bCs/>
        </w:rPr>
        <w:t>Таблица 62.</w:t>
      </w:r>
      <w:r>
        <w:rPr>
          <w:b/>
          <w:bCs/>
        </w:rPr>
        <w:tab/>
        <w:t>Среднее количество лиц в разбивке по домашним хозяйствам и по отдельным спальным помещениям, 1997 год</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1" w:type="dxa"/>
          <w:right w:w="51" w:type="dxa"/>
        </w:tblCellMar>
        <w:tblLook w:val="0000" w:firstRow="0" w:lastRow="0" w:firstColumn="0" w:lastColumn="0" w:noHBand="0" w:noVBand="0"/>
      </w:tblPr>
      <w:tblGrid>
        <w:gridCol w:w="1360"/>
        <w:gridCol w:w="1116"/>
        <w:gridCol w:w="1117"/>
        <w:gridCol w:w="946"/>
        <w:gridCol w:w="1122"/>
        <w:gridCol w:w="935"/>
        <w:gridCol w:w="825"/>
        <w:gridCol w:w="1018"/>
        <w:gridCol w:w="1018"/>
      </w:tblGrid>
      <w:tr w:rsidR="00000000">
        <w:tblPrEx>
          <w:tblCellMar>
            <w:top w:w="0" w:type="dxa"/>
            <w:bottom w:w="0" w:type="dxa"/>
          </w:tblCellMar>
        </w:tblPrEx>
        <w:trPr>
          <w:cantSplit/>
        </w:trPr>
        <w:tc>
          <w:tcPr>
            <w:tcW w:w="1360" w:type="dxa"/>
            <w:vAlign w:val="center"/>
          </w:tcPr>
          <w:p w:rsidR="00000000" w:rsidRDefault="00000000">
            <w:pPr>
              <w:pStyle w:val="16"/>
              <w:spacing w:line="240" w:lineRule="auto"/>
              <w:rPr>
                <w:sz w:val="20"/>
              </w:rPr>
            </w:pPr>
            <w:r>
              <w:rPr>
                <w:sz w:val="20"/>
              </w:rPr>
              <w:t>Место расположения</w:t>
            </w:r>
          </w:p>
        </w:tc>
        <w:tc>
          <w:tcPr>
            <w:tcW w:w="1116" w:type="dxa"/>
            <w:vAlign w:val="center"/>
          </w:tcPr>
          <w:p w:rsidR="00000000" w:rsidRDefault="00000000">
            <w:pPr>
              <w:pStyle w:val="16"/>
              <w:spacing w:line="240" w:lineRule="auto"/>
              <w:rPr>
                <w:sz w:val="20"/>
              </w:rPr>
            </w:pPr>
            <w:r>
              <w:rPr>
                <w:sz w:val="20"/>
              </w:rPr>
              <w:t>Всего домашних хозяйств</w:t>
            </w:r>
          </w:p>
        </w:tc>
        <w:tc>
          <w:tcPr>
            <w:tcW w:w="1117" w:type="dxa"/>
            <w:vAlign w:val="center"/>
          </w:tcPr>
          <w:p w:rsidR="00000000" w:rsidRDefault="00000000">
            <w:pPr>
              <w:pStyle w:val="16"/>
              <w:spacing w:line="240" w:lineRule="auto"/>
              <w:rPr>
                <w:sz w:val="20"/>
              </w:rPr>
            </w:pPr>
            <w:r>
              <w:rPr>
                <w:sz w:val="20"/>
              </w:rPr>
              <w:t>Всего людей</w:t>
            </w:r>
          </w:p>
        </w:tc>
        <w:tc>
          <w:tcPr>
            <w:tcW w:w="3003" w:type="dxa"/>
            <w:gridSpan w:val="3"/>
            <w:vAlign w:val="center"/>
          </w:tcPr>
          <w:p w:rsidR="00000000" w:rsidRDefault="00000000">
            <w:pPr>
              <w:pStyle w:val="16"/>
              <w:spacing w:line="240" w:lineRule="auto"/>
              <w:rPr>
                <w:sz w:val="20"/>
              </w:rPr>
            </w:pPr>
            <w:r>
              <w:rPr>
                <w:sz w:val="20"/>
              </w:rPr>
              <w:t>Среднее количество лиц в расчете на одно домашнее хозяйство</w:t>
            </w:r>
          </w:p>
        </w:tc>
        <w:tc>
          <w:tcPr>
            <w:tcW w:w="2861" w:type="dxa"/>
            <w:gridSpan w:val="3"/>
            <w:vAlign w:val="center"/>
          </w:tcPr>
          <w:p w:rsidR="00000000" w:rsidRDefault="00000000">
            <w:pPr>
              <w:pStyle w:val="16"/>
              <w:spacing w:line="240" w:lineRule="auto"/>
              <w:rPr>
                <w:sz w:val="20"/>
              </w:rPr>
            </w:pPr>
            <w:r>
              <w:rPr>
                <w:sz w:val="20"/>
              </w:rPr>
              <w:t>Среднее количество лиц в расчете на одно спальное отделение</w:t>
            </w:r>
          </w:p>
        </w:tc>
      </w:tr>
      <w:tr w:rsidR="00000000">
        <w:tblPrEx>
          <w:tblCellMar>
            <w:top w:w="0" w:type="dxa"/>
            <w:bottom w:w="0" w:type="dxa"/>
          </w:tblCellMar>
        </w:tblPrEx>
        <w:tc>
          <w:tcPr>
            <w:tcW w:w="1360" w:type="dxa"/>
            <w:vAlign w:val="center"/>
          </w:tcPr>
          <w:p w:rsidR="00000000" w:rsidRDefault="00000000">
            <w:pPr>
              <w:pStyle w:val="16"/>
              <w:spacing w:line="240" w:lineRule="auto"/>
              <w:rPr>
                <w:b/>
                <w:bCs/>
                <w:sz w:val="20"/>
              </w:rPr>
            </w:pPr>
          </w:p>
        </w:tc>
        <w:tc>
          <w:tcPr>
            <w:tcW w:w="1116" w:type="dxa"/>
            <w:vAlign w:val="center"/>
          </w:tcPr>
          <w:p w:rsidR="00000000" w:rsidRDefault="00000000">
            <w:pPr>
              <w:pStyle w:val="16"/>
              <w:spacing w:line="240" w:lineRule="auto"/>
              <w:rPr>
                <w:b/>
                <w:bCs/>
                <w:sz w:val="20"/>
              </w:rPr>
            </w:pPr>
          </w:p>
        </w:tc>
        <w:tc>
          <w:tcPr>
            <w:tcW w:w="1117" w:type="dxa"/>
            <w:vAlign w:val="center"/>
          </w:tcPr>
          <w:p w:rsidR="00000000" w:rsidRDefault="00000000">
            <w:pPr>
              <w:pStyle w:val="16"/>
              <w:spacing w:line="240" w:lineRule="auto"/>
              <w:rPr>
                <w:b/>
                <w:bCs/>
                <w:sz w:val="20"/>
              </w:rPr>
            </w:pPr>
          </w:p>
        </w:tc>
        <w:tc>
          <w:tcPr>
            <w:tcW w:w="946" w:type="dxa"/>
            <w:vAlign w:val="center"/>
          </w:tcPr>
          <w:p w:rsidR="00000000" w:rsidRDefault="00000000">
            <w:pPr>
              <w:pStyle w:val="16"/>
              <w:spacing w:line="240" w:lineRule="auto"/>
              <w:ind w:left="567" w:hanging="567"/>
              <w:rPr>
                <w:sz w:val="20"/>
              </w:rPr>
            </w:pPr>
            <w:r>
              <w:rPr>
                <w:sz w:val="20"/>
              </w:rPr>
              <w:t>Всего</w:t>
            </w:r>
          </w:p>
        </w:tc>
        <w:tc>
          <w:tcPr>
            <w:tcW w:w="1122" w:type="dxa"/>
            <w:vAlign w:val="center"/>
          </w:tcPr>
          <w:p w:rsidR="00000000" w:rsidRDefault="00000000">
            <w:pPr>
              <w:pStyle w:val="16"/>
              <w:spacing w:line="240" w:lineRule="auto"/>
              <w:rPr>
                <w:sz w:val="20"/>
              </w:rPr>
            </w:pPr>
            <w:r>
              <w:rPr>
                <w:sz w:val="20"/>
              </w:rPr>
              <w:t>Городские районы</w:t>
            </w:r>
          </w:p>
        </w:tc>
        <w:tc>
          <w:tcPr>
            <w:tcW w:w="935" w:type="dxa"/>
            <w:vAlign w:val="center"/>
          </w:tcPr>
          <w:p w:rsidR="00000000" w:rsidRDefault="00000000">
            <w:pPr>
              <w:pStyle w:val="16"/>
              <w:spacing w:line="240" w:lineRule="auto"/>
              <w:rPr>
                <w:sz w:val="20"/>
              </w:rPr>
            </w:pPr>
            <w:r>
              <w:rPr>
                <w:sz w:val="20"/>
              </w:rPr>
              <w:t>Сельские районы</w:t>
            </w:r>
          </w:p>
        </w:tc>
        <w:tc>
          <w:tcPr>
            <w:tcW w:w="825" w:type="dxa"/>
            <w:vAlign w:val="center"/>
          </w:tcPr>
          <w:p w:rsidR="00000000" w:rsidRDefault="00000000">
            <w:pPr>
              <w:pStyle w:val="16"/>
              <w:spacing w:line="240" w:lineRule="auto"/>
              <w:ind w:left="567" w:hanging="567"/>
              <w:rPr>
                <w:sz w:val="20"/>
              </w:rPr>
            </w:pPr>
            <w:r>
              <w:rPr>
                <w:sz w:val="20"/>
              </w:rPr>
              <w:t>Всего</w:t>
            </w:r>
          </w:p>
        </w:tc>
        <w:tc>
          <w:tcPr>
            <w:tcW w:w="1018" w:type="dxa"/>
            <w:vAlign w:val="center"/>
          </w:tcPr>
          <w:p w:rsidR="00000000" w:rsidRDefault="00000000">
            <w:pPr>
              <w:pStyle w:val="16"/>
              <w:spacing w:line="240" w:lineRule="auto"/>
              <w:rPr>
                <w:sz w:val="20"/>
              </w:rPr>
            </w:pPr>
            <w:r>
              <w:rPr>
                <w:sz w:val="20"/>
              </w:rPr>
              <w:t>Городские районы</w:t>
            </w:r>
          </w:p>
        </w:tc>
        <w:tc>
          <w:tcPr>
            <w:tcW w:w="1018" w:type="dxa"/>
            <w:vAlign w:val="center"/>
          </w:tcPr>
          <w:p w:rsidR="00000000" w:rsidRDefault="00000000">
            <w:pPr>
              <w:pStyle w:val="16"/>
              <w:spacing w:line="240" w:lineRule="auto"/>
              <w:rPr>
                <w:sz w:val="20"/>
              </w:rPr>
            </w:pPr>
            <w:r>
              <w:rPr>
                <w:sz w:val="20"/>
              </w:rPr>
              <w:t>Сельские районы</w:t>
            </w:r>
          </w:p>
        </w:tc>
      </w:tr>
      <w:tr w:rsidR="00000000">
        <w:tblPrEx>
          <w:tblCellMar>
            <w:top w:w="0" w:type="dxa"/>
            <w:bottom w:w="0" w:type="dxa"/>
          </w:tblCellMar>
        </w:tblPrEx>
        <w:tc>
          <w:tcPr>
            <w:tcW w:w="1360" w:type="dxa"/>
          </w:tcPr>
          <w:p w:rsidR="00000000" w:rsidRDefault="00000000">
            <w:pPr>
              <w:pStyle w:val="16"/>
              <w:jc w:val="both"/>
              <w:rPr>
                <w:sz w:val="20"/>
              </w:rPr>
            </w:pPr>
            <w:r>
              <w:rPr>
                <w:sz w:val="20"/>
              </w:rPr>
              <w:t>Бразилия</w:t>
            </w:r>
          </w:p>
        </w:tc>
        <w:tc>
          <w:tcPr>
            <w:tcW w:w="1116" w:type="dxa"/>
          </w:tcPr>
          <w:p w:rsidR="00000000" w:rsidRDefault="00000000">
            <w:pPr>
              <w:pStyle w:val="16"/>
              <w:jc w:val="right"/>
              <w:rPr>
                <w:sz w:val="20"/>
              </w:rPr>
            </w:pPr>
            <w:r>
              <w:rPr>
                <w:sz w:val="20"/>
              </w:rPr>
              <w:t>40 644 623</w:t>
            </w:r>
          </w:p>
        </w:tc>
        <w:tc>
          <w:tcPr>
            <w:tcW w:w="1117" w:type="dxa"/>
          </w:tcPr>
          <w:p w:rsidR="00000000" w:rsidRDefault="00000000">
            <w:pPr>
              <w:pStyle w:val="16"/>
              <w:jc w:val="right"/>
              <w:rPr>
                <w:sz w:val="20"/>
              </w:rPr>
            </w:pPr>
            <w:r>
              <w:rPr>
                <w:sz w:val="20"/>
              </w:rPr>
              <w:t>155 881 331</w:t>
            </w:r>
          </w:p>
        </w:tc>
        <w:tc>
          <w:tcPr>
            <w:tcW w:w="946" w:type="dxa"/>
          </w:tcPr>
          <w:p w:rsidR="00000000" w:rsidRDefault="00000000">
            <w:pPr>
              <w:pStyle w:val="16"/>
              <w:rPr>
                <w:sz w:val="20"/>
              </w:rPr>
            </w:pPr>
            <w:r>
              <w:rPr>
                <w:sz w:val="20"/>
              </w:rPr>
              <w:t>3,8</w:t>
            </w:r>
          </w:p>
        </w:tc>
        <w:tc>
          <w:tcPr>
            <w:tcW w:w="1122" w:type="dxa"/>
          </w:tcPr>
          <w:p w:rsidR="00000000" w:rsidRDefault="00000000">
            <w:pPr>
              <w:pStyle w:val="16"/>
              <w:rPr>
                <w:sz w:val="20"/>
              </w:rPr>
            </w:pPr>
            <w:r>
              <w:rPr>
                <w:sz w:val="20"/>
              </w:rPr>
              <w:t>3,8</w:t>
            </w:r>
          </w:p>
        </w:tc>
        <w:tc>
          <w:tcPr>
            <w:tcW w:w="935" w:type="dxa"/>
          </w:tcPr>
          <w:p w:rsidR="00000000" w:rsidRDefault="00000000">
            <w:pPr>
              <w:pStyle w:val="16"/>
              <w:rPr>
                <w:sz w:val="20"/>
              </w:rPr>
            </w:pPr>
            <w:r>
              <w:rPr>
                <w:sz w:val="20"/>
              </w:rPr>
              <w:t>4,1</w:t>
            </w:r>
          </w:p>
        </w:tc>
        <w:tc>
          <w:tcPr>
            <w:tcW w:w="825" w:type="dxa"/>
          </w:tcPr>
          <w:p w:rsidR="00000000" w:rsidRDefault="00000000">
            <w:pPr>
              <w:pStyle w:val="16"/>
              <w:rPr>
                <w:sz w:val="20"/>
              </w:rPr>
            </w:pPr>
            <w:r>
              <w:rPr>
                <w:sz w:val="20"/>
              </w:rPr>
              <w:t>1,9</w:t>
            </w:r>
          </w:p>
        </w:tc>
        <w:tc>
          <w:tcPr>
            <w:tcW w:w="1018" w:type="dxa"/>
          </w:tcPr>
          <w:p w:rsidR="00000000" w:rsidRDefault="00000000">
            <w:pPr>
              <w:pStyle w:val="16"/>
              <w:rPr>
                <w:sz w:val="20"/>
              </w:rPr>
            </w:pPr>
            <w:r>
              <w:rPr>
                <w:sz w:val="20"/>
              </w:rPr>
              <w:t>1,9</w:t>
            </w:r>
          </w:p>
        </w:tc>
        <w:tc>
          <w:tcPr>
            <w:tcW w:w="1018" w:type="dxa"/>
          </w:tcPr>
          <w:p w:rsidR="00000000" w:rsidRDefault="00000000">
            <w:pPr>
              <w:pStyle w:val="16"/>
              <w:rPr>
                <w:sz w:val="20"/>
              </w:rPr>
            </w:pPr>
            <w:r>
              <w:rPr>
                <w:sz w:val="20"/>
              </w:rPr>
              <w:t>2,1</w:t>
            </w:r>
          </w:p>
        </w:tc>
      </w:tr>
      <w:tr w:rsidR="00000000">
        <w:tblPrEx>
          <w:tblCellMar>
            <w:top w:w="0" w:type="dxa"/>
            <w:bottom w:w="0" w:type="dxa"/>
          </w:tblCellMar>
        </w:tblPrEx>
        <w:tc>
          <w:tcPr>
            <w:tcW w:w="1360" w:type="dxa"/>
          </w:tcPr>
          <w:p w:rsidR="00000000" w:rsidRDefault="00000000">
            <w:pPr>
              <w:pStyle w:val="16"/>
              <w:jc w:val="both"/>
              <w:rPr>
                <w:sz w:val="20"/>
              </w:rPr>
            </w:pPr>
            <w:r>
              <w:rPr>
                <w:sz w:val="20"/>
              </w:rPr>
              <w:t>Север</w:t>
            </w:r>
          </w:p>
        </w:tc>
        <w:tc>
          <w:tcPr>
            <w:tcW w:w="1116" w:type="dxa"/>
          </w:tcPr>
          <w:p w:rsidR="00000000" w:rsidRDefault="00000000">
            <w:pPr>
              <w:pStyle w:val="16"/>
              <w:jc w:val="right"/>
              <w:rPr>
                <w:sz w:val="20"/>
              </w:rPr>
            </w:pPr>
            <w:r>
              <w:rPr>
                <w:sz w:val="20"/>
              </w:rPr>
              <w:t>1 625 591</w:t>
            </w:r>
          </w:p>
        </w:tc>
        <w:tc>
          <w:tcPr>
            <w:tcW w:w="1117" w:type="dxa"/>
          </w:tcPr>
          <w:p w:rsidR="00000000" w:rsidRDefault="00000000">
            <w:pPr>
              <w:pStyle w:val="16"/>
              <w:jc w:val="right"/>
              <w:rPr>
                <w:sz w:val="20"/>
              </w:rPr>
            </w:pPr>
            <w:r>
              <w:rPr>
                <w:sz w:val="20"/>
              </w:rPr>
              <w:t>7 345 161</w:t>
            </w:r>
          </w:p>
        </w:tc>
        <w:tc>
          <w:tcPr>
            <w:tcW w:w="946" w:type="dxa"/>
          </w:tcPr>
          <w:p w:rsidR="00000000" w:rsidRDefault="00000000">
            <w:pPr>
              <w:pStyle w:val="16"/>
              <w:rPr>
                <w:sz w:val="20"/>
              </w:rPr>
            </w:pPr>
            <w:r>
              <w:rPr>
                <w:sz w:val="20"/>
              </w:rPr>
              <w:t>4,5</w:t>
            </w:r>
          </w:p>
        </w:tc>
        <w:tc>
          <w:tcPr>
            <w:tcW w:w="1122" w:type="dxa"/>
          </w:tcPr>
          <w:p w:rsidR="00000000" w:rsidRDefault="00000000">
            <w:pPr>
              <w:pStyle w:val="16"/>
              <w:rPr>
                <w:sz w:val="20"/>
              </w:rPr>
            </w:pPr>
            <w:r>
              <w:rPr>
                <w:sz w:val="20"/>
              </w:rPr>
              <w:t>4,5</w:t>
            </w:r>
          </w:p>
        </w:tc>
        <w:tc>
          <w:tcPr>
            <w:tcW w:w="935" w:type="dxa"/>
          </w:tcPr>
          <w:p w:rsidR="00000000" w:rsidRDefault="00000000">
            <w:pPr>
              <w:pStyle w:val="16"/>
              <w:rPr>
                <w:sz w:val="20"/>
              </w:rPr>
            </w:pPr>
            <w:r>
              <w:rPr>
                <w:sz w:val="20"/>
              </w:rPr>
              <w:t>-</w:t>
            </w:r>
          </w:p>
        </w:tc>
        <w:tc>
          <w:tcPr>
            <w:tcW w:w="825" w:type="dxa"/>
          </w:tcPr>
          <w:p w:rsidR="00000000" w:rsidRDefault="00000000">
            <w:pPr>
              <w:pStyle w:val="16"/>
              <w:rPr>
                <w:sz w:val="20"/>
              </w:rPr>
            </w:pPr>
            <w:r>
              <w:rPr>
                <w:sz w:val="20"/>
              </w:rPr>
              <w:t>2,2</w:t>
            </w:r>
          </w:p>
        </w:tc>
        <w:tc>
          <w:tcPr>
            <w:tcW w:w="1018" w:type="dxa"/>
          </w:tcPr>
          <w:p w:rsidR="00000000" w:rsidRDefault="00000000">
            <w:pPr>
              <w:pStyle w:val="16"/>
              <w:rPr>
                <w:sz w:val="20"/>
              </w:rPr>
            </w:pPr>
            <w:r>
              <w:rPr>
                <w:sz w:val="20"/>
              </w:rPr>
              <w:t>2,2</w:t>
            </w:r>
          </w:p>
        </w:tc>
        <w:tc>
          <w:tcPr>
            <w:tcW w:w="1018" w:type="dxa"/>
          </w:tcPr>
          <w:p w:rsidR="00000000" w:rsidRDefault="00000000">
            <w:pPr>
              <w:pStyle w:val="16"/>
              <w:rPr>
                <w:sz w:val="20"/>
              </w:rPr>
            </w:pPr>
            <w:r>
              <w:rPr>
                <w:sz w:val="20"/>
              </w:rPr>
              <w:t>-</w:t>
            </w:r>
          </w:p>
        </w:tc>
      </w:tr>
      <w:tr w:rsidR="00000000">
        <w:tblPrEx>
          <w:tblCellMar>
            <w:top w:w="0" w:type="dxa"/>
            <w:bottom w:w="0" w:type="dxa"/>
          </w:tblCellMar>
        </w:tblPrEx>
        <w:tc>
          <w:tcPr>
            <w:tcW w:w="1360" w:type="dxa"/>
          </w:tcPr>
          <w:p w:rsidR="00000000" w:rsidRDefault="00000000">
            <w:pPr>
              <w:pStyle w:val="16"/>
              <w:jc w:val="both"/>
              <w:rPr>
                <w:sz w:val="20"/>
              </w:rPr>
            </w:pPr>
            <w:r>
              <w:rPr>
                <w:sz w:val="20"/>
              </w:rPr>
              <w:t>Северо-Восток</w:t>
            </w:r>
          </w:p>
        </w:tc>
        <w:tc>
          <w:tcPr>
            <w:tcW w:w="1116" w:type="dxa"/>
          </w:tcPr>
          <w:p w:rsidR="00000000" w:rsidRDefault="00000000">
            <w:pPr>
              <w:pStyle w:val="16"/>
              <w:jc w:val="right"/>
              <w:rPr>
                <w:sz w:val="20"/>
              </w:rPr>
            </w:pPr>
            <w:r>
              <w:rPr>
                <w:sz w:val="20"/>
              </w:rPr>
              <w:t>10 762 430</w:t>
            </w:r>
          </w:p>
        </w:tc>
        <w:tc>
          <w:tcPr>
            <w:tcW w:w="1117" w:type="dxa"/>
          </w:tcPr>
          <w:p w:rsidR="00000000" w:rsidRDefault="00000000">
            <w:pPr>
              <w:pStyle w:val="16"/>
              <w:jc w:val="right"/>
              <w:rPr>
                <w:sz w:val="20"/>
              </w:rPr>
            </w:pPr>
            <w:r>
              <w:rPr>
                <w:sz w:val="20"/>
              </w:rPr>
              <w:t>45 378 328</w:t>
            </w:r>
          </w:p>
        </w:tc>
        <w:tc>
          <w:tcPr>
            <w:tcW w:w="946" w:type="dxa"/>
          </w:tcPr>
          <w:p w:rsidR="00000000" w:rsidRDefault="00000000">
            <w:pPr>
              <w:pStyle w:val="16"/>
              <w:rPr>
                <w:sz w:val="20"/>
              </w:rPr>
            </w:pPr>
            <w:r>
              <w:rPr>
                <w:sz w:val="20"/>
              </w:rPr>
              <w:t>4,2</w:t>
            </w:r>
          </w:p>
        </w:tc>
        <w:tc>
          <w:tcPr>
            <w:tcW w:w="1122" w:type="dxa"/>
          </w:tcPr>
          <w:p w:rsidR="00000000" w:rsidRDefault="00000000">
            <w:pPr>
              <w:pStyle w:val="16"/>
              <w:rPr>
                <w:sz w:val="20"/>
              </w:rPr>
            </w:pPr>
            <w:r>
              <w:rPr>
                <w:sz w:val="20"/>
              </w:rPr>
              <w:t>4,1</w:t>
            </w:r>
          </w:p>
        </w:tc>
        <w:tc>
          <w:tcPr>
            <w:tcW w:w="935" w:type="dxa"/>
          </w:tcPr>
          <w:p w:rsidR="00000000" w:rsidRDefault="00000000">
            <w:pPr>
              <w:pStyle w:val="16"/>
              <w:rPr>
                <w:sz w:val="20"/>
              </w:rPr>
            </w:pPr>
            <w:r>
              <w:rPr>
                <w:sz w:val="20"/>
              </w:rPr>
              <w:t>4,4</w:t>
            </w:r>
          </w:p>
        </w:tc>
        <w:tc>
          <w:tcPr>
            <w:tcW w:w="825" w:type="dxa"/>
          </w:tcPr>
          <w:p w:rsidR="00000000" w:rsidRDefault="00000000">
            <w:pPr>
              <w:pStyle w:val="16"/>
              <w:rPr>
                <w:sz w:val="20"/>
              </w:rPr>
            </w:pPr>
            <w:r>
              <w:rPr>
                <w:sz w:val="20"/>
              </w:rPr>
              <w:t>2,0</w:t>
            </w:r>
          </w:p>
        </w:tc>
        <w:tc>
          <w:tcPr>
            <w:tcW w:w="1018" w:type="dxa"/>
          </w:tcPr>
          <w:p w:rsidR="00000000" w:rsidRDefault="00000000">
            <w:pPr>
              <w:pStyle w:val="16"/>
              <w:rPr>
                <w:sz w:val="20"/>
              </w:rPr>
            </w:pPr>
            <w:r>
              <w:rPr>
                <w:sz w:val="20"/>
              </w:rPr>
              <w:t>2,0</w:t>
            </w:r>
          </w:p>
        </w:tc>
        <w:tc>
          <w:tcPr>
            <w:tcW w:w="1018" w:type="dxa"/>
          </w:tcPr>
          <w:p w:rsidR="00000000" w:rsidRDefault="00000000">
            <w:pPr>
              <w:pStyle w:val="16"/>
              <w:rPr>
                <w:sz w:val="20"/>
              </w:rPr>
            </w:pPr>
            <w:r>
              <w:rPr>
                <w:sz w:val="20"/>
              </w:rPr>
              <w:t>2,3</w:t>
            </w:r>
          </w:p>
        </w:tc>
      </w:tr>
      <w:tr w:rsidR="00000000">
        <w:tblPrEx>
          <w:tblCellMar>
            <w:top w:w="0" w:type="dxa"/>
            <w:bottom w:w="0" w:type="dxa"/>
          </w:tblCellMar>
        </w:tblPrEx>
        <w:tc>
          <w:tcPr>
            <w:tcW w:w="1360" w:type="dxa"/>
          </w:tcPr>
          <w:p w:rsidR="00000000" w:rsidRDefault="00000000">
            <w:pPr>
              <w:pStyle w:val="16"/>
              <w:jc w:val="both"/>
              <w:rPr>
                <w:sz w:val="20"/>
              </w:rPr>
            </w:pPr>
            <w:r>
              <w:rPr>
                <w:sz w:val="20"/>
              </w:rPr>
              <w:t>Юго-Восток</w:t>
            </w:r>
          </w:p>
        </w:tc>
        <w:tc>
          <w:tcPr>
            <w:tcW w:w="1116" w:type="dxa"/>
          </w:tcPr>
          <w:p w:rsidR="00000000" w:rsidRDefault="00000000">
            <w:pPr>
              <w:pStyle w:val="16"/>
              <w:jc w:val="right"/>
              <w:rPr>
                <w:sz w:val="20"/>
              </w:rPr>
            </w:pPr>
            <w:r>
              <w:rPr>
                <w:sz w:val="20"/>
              </w:rPr>
              <w:t>18 603 231</w:t>
            </w:r>
          </w:p>
        </w:tc>
        <w:tc>
          <w:tcPr>
            <w:tcW w:w="1117" w:type="dxa"/>
          </w:tcPr>
          <w:p w:rsidR="00000000" w:rsidRDefault="00000000">
            <w:pPr>
              <w:pStyle w:val="16"/>
              <w:jc w:val="right"/>
              <w:rPr>
                <w:sz w:val="20"/>
              </w:rPr>
            </w:pPr>
            <w:r>
              <w:rPr>
                <w:sz w:val="20"/>
              </w:rPr>
              <w:t>68 182 339</w:t>
            </w:r>
          </w:p>
        </w:tc>
        <w:tc>
          <w:tcPr>
            <w:tcW w:w="946" w:type="dxa"/>
          </w:tcPr>
          <w:p w:rsidR="00000000" w:rsidRDefault="00000000">
            <w:pPr>
              <w:pStyle w:val="16"/>
              <w:rPr>
                <w:sz w:val="20"/>
              </w:rPr>
            </w:pPr>
            <w:r>
              <w:rPr>
                <w:sz w:val="20"/>
              </w:rPr>
              <w:t>3,7</w:t>
            </w:r>
          </w:p>
        </w:tc>
        <w:tc>
          <w:tcPr>
            <w:tcW w:w="1122" w:type="dxa"/>
          </w:tcPr>
          <w:p w:rsidR="00000000" w:rsidRDefault="00000000">
            <w:pPr>
              <w:pStyle w:val="16"/>
              <w:rPr>
                <w:sz w:val="20"/>
              </w:rPr>
            </w:pPr>
            <w:r>
              <w:rPr>
                <w:sz w:val="20"/>
              </w:rPr>
              <w:t>3,6</w:t>
            </w:r>
          </w:p>
        </w:tc>
        <w:tc>
          <w:tcPr>
            <w:tcW w:w="935" w:type="dxa"/>
          </w:tcPr>
          <w:p w:rsidR="00000000" w:rsidRDefault="00000000">
            <w:pPr>
              <w:pStyle w:val="16"/>
              <w:rPr>
                <w:sz w:val="20"/>
              </w:rPr>
            </w:pPr>
            <w:r>
              <w:rPr>
                <w:sz w:val="20"/>
              </w:rPr>
              <w:t>4,0</w:t>
            </w:r>
          </w:p>
        </w:tc>
        <w:tc>
          <w:tcPr>
            <w:tcW w:w="825" w:type="dxa"/>
          </w:tcPr>
          <w:p w:rsidR="00000000" w:rsidRDefault="00000000">
            <w:pPr>
              <w:pStyle w:val="16"/>
              <w:rPr>
                <w:sz w:val="20"/>
              </w:rPr>
            </w:pPr>
            <w:r>
              <w:rPr>
                <w:sz w:val="20"/>
              </w:rPr>
              <w:t>1,9</w:t>
            </w:r>
          </w:p>
        </w:tc>
        <w:tc>
          <w:tcPr>
            <w:tcW w:w="1018" w:type="dxa"/>
          </w:tcPr>
          <w:p w:rsidR="00000000" w:rsidRDefault="00000000">
            <w:pPr>
              <w:pStyle w:val="16"/>
              <w:rPr>
                <w:sz w:val="20"/>
              </w:rPr>
            </w:pPr>
            <w:r>
              <w:rPr>
                <w:sz w:val="20"/>
              </w:rPr>
              <w:t>1,9</w:t>
            </w:r>
          </w:p>
        </w:tc>
        <w:tc>
          <w:tcPr>
            <w:tcW w:w="1018" w:type="dxa"/>
          </w:tcPr>
          <w:p w:rsidR="00000000" w:rsidRDefault="00000000">
            <w:pPr>
              <w:pStyle w:val="16"/>
              <w:rPr>
                <w:sz w:val="20"/>
              </w:rPr>
            </w:pPr>
            <w:r>
              <w:rPr>
                <w:sz w:val="20"/>
              </w:rPr>
              <w:t>2,0</w:t>
            </w:r>
          </w:p>
        </w:tc>
      </w:tr>
      <w:tr w:rsidR="00000000">
        <w:tblPrEx>
          <w:tblCellMar>
            <w:top w:w="0" w:type="dxa"/>
            <w:bottom w:w="0" w:type="dxa"/>
          </w:tblCellMar>
        </w:tblPrEx>
        <w:tc>
          <w:tcPr>
            <w:tcW w:w="1360" w:type="dxa"/>
          </w:tcPr>
          <w:p w:rsidR="00000000" w:rsidRDefault="00000000">
            <w:pPr>
              <w:pStyle w:val="16"/>
              <w:jc w:val="both"/>
              <w:rPr>
                <w:sz w:val="20"/>
              </w:rPr>
            </w:pPr>
            <w:r>
              <w:rPr>
                <w:sz w:val="20"/>
              </w:rPr>
              <w:t>Юг</w:t>
            </w:r>
          </w:p>
        </w:tc>
        <w:tc>
          <w:tcPr>
            <w:tcW w:w="1116" w:type="dxa"/>
          </w:tcPr>
          <w:p w:rsidR="00000000" w:rsidRDefault="00000000">
            <w:pPr>
              <w:pStyle w:val="16"/>
              <w:jc w:val="right"/>
              <w:rPr>
                <w:sz w:val="20"/>
              </w:rPr>
            </w:pPr>
            <w:r>
              <w:rPr>
                <w:sz w:val="20"/>
              </w:rPr>
              <w:t>6 704 609</w:t>
            </w:r>
          </w:p>
        </w:tc>
        <w:tc>
          <w:tcPr>
            <w:tcW w:w="1117" w:type="dxa"/>
          </w:tcPr>
          <w:p w:rsidR="00000000" w:rsidRDefault="00000000">
            <w:pPr>
              <w:pStyle w:val="16"/>
              <w:jc w:val="right"/>
              <w:rPr>
                <w:sz w:val="20"/>
              </w:rPr>
            </w:pPr>
            <w:r>
              <w:rPr>
                <w:sz w:val="20"/>
              </w:rPr>
              <w:t>23 901 925</w:t>
            </w:r>
          </w:p>
        </w:tc>
        <w:tc>
          <w:tcPr>
            <w:tcW w:w="946" w:type="dxa"/>
          </w:tcPr>
          <w:p w:rsidR="00000000" w:rsidRDefault="00000000">
            <w:pPr>
              <w:pStyle w:val="16"/>
              <w:rPr>
                <w:sz w:val="20"/>
              </w:rPr>
            </w:pPr>
            <w:r>
              <w:rPr>
                <w:sz w:val="20"/>
              </w:rPr>
              <w:t>3,6</w:t>
            </w:r>
          </w:p>
        </w:tc>
        <w:tc>
          <w:tcPr>
            <w:tcW w:w="1122" w:type="dxa"/>
          </w:tcPr>
          <w:p w:rsidR="00000000" w:rsidRDefault="00000000">
            <w:pPr>
              <w:pStyle w:val="16"/>
              <w:rPr>
                <w:sz w:val="20"/>
              </w:rPr>
            </w:pPr>
            <w:r>
              <w:rPr>
                <w:sz w:val="20"/>
              </w:rPr>
              <w:t>3,5</w:t>
            </w:r>
          </w:p>
        </w:tc>
        <w:tc>
          <w:tcPr>
            <w:tcW w:w="935" w:type="dxa"/>
          </w:tcPr>
          <w:p w:rsidR="00000000" w:rsidRDefault="00000000">
            <w:pPr>
              <w:pStyle w:val="16"/>
              <w:rPr>
                <w:sz w:val="20"/>
              </w:rPr>
            </w:pPr>
            <w:r>
              <w:rPr>
                <w:sz w:val="20"/>
              </w:rPr>
              <w:t>3,8</w:t>
            </w:r>
          </w:p>
        </w:tc>
        <w:tc>
          <w:tcPr>
            <w:tcW w:w="825" w:type="dxa"/>
          </w:tcPr>
          <w:p w:rsidR="00000000" w:rsidRDefault="00000000">
            <w:pPr>
              <w:pStyle w:val="16"/>
              <w:rPr>
                <w:sz w:val="20"/>
              </w:rPr>
            </w:pPr>
            <w:r>
              <w:rPr>
                <w:sz w:val="20"/>
              </w:rPr>
              <w:t>1,8</w:t>
            </w:r>
          </w:p>
        </w:tc>
        <w:tc>
          <w:tcPr>
            <w:tcW w:w="1018" w:type="dxa"/>
          </w:tcPr>
          <w:p w:rsidR="00000000" w:rsidRDefault="00000000">
            <w:pPr>
              <w:pStyle w:val="16"/>
              <w:rPr>
                <w:sz w:val="20"/>
              </w:rPr>
            </w:pPr>
            <w:r>
              <w:rPr>
                <w:sz w:val="20"/>
              </w:rPr>
              <w:t>1,8</w:t>
            </w:r>
          </w:p>
        </w:tc>
        <w:tc>
          <w:tcPr>
            <w:tcW w:w="1018" w:type="dxa"/>
          </w:tcPr>
          <w:p w:rsidR="00000000" w:rsidRDefault="00000000">
            <w:pPr>
              <w:pStyle w:val="16"/>
              <w:rPr>
                <w:sz w:val="20"/>
              </w:rPr>
            </w:pPr>
            <w:r>
              <w:rPr>
                <w:sz w:val="20"/>
              </w:rPr>
              <w:t>1,9</w:t>
            </w:r>
          </w:p>
        </w:tc>
      </w:tr>
      <w:tr w:rsidR="00000000">
        <w:tblPrEx>
          <w:tblCellMar>
            <w:top w:w="0" w:type="dxa"/>
            <w:bottom w:w="0" w:type="dxa"/>
          </w:tblCellMar>
        </w:tblPrEx>
        <w:tc>
          <w:tcPr>
            <w:tcW w:w="1360" w:type="dxa"/>
          </w:tcPr>
          <w:p w:rsidR="00000000" w:rsidRDefault="00000000">
            <w:pPr>
              <w:pStyle w:val="16"/>
              <w:jc w:val="both"/>
              <w:rPr>
                <w:sz w:val="20"/>
              </w:rPr>
            </w:pPr>
            <w:r>
              <w:rPr>
                <w:sz w:val="20"/>
              </w:rPr>
              <w:t>Центр - Запад</w:t>
            </w:r>
          </w:p>
        </w:tc>
        <w:tc>
          <w:tcPr>
            <w:tcW w:w="1116" w:type="dxa"/>
          </w:tcPr>
          <w:p w:rsidR="00000000" w:rsidRDefault="00000000">
            <w:pPr>
              <w:pStyle w:val="16"/>
              <w:jc w:val="right"/>
              <w:rPr>
                <w:sz w:val="20"/>
              </w:rPr>
            </w:pPr>
            <w:r>
              <w:rPr>
                <w:sz w:val="20"/>
              </w:rPr>
              <w:t>2 883 800</w:t>
            </w:r>
          </w:p>
        </w:tc>
        <w:tc>
          <w:tcPr>
            <w:tcW w:w="1117" w:type="dxa"/>
          </w:tcPr>
          <w:p w:rsidR="00000000" w:rsidRDefault="00000000">
            <w:pPr>
              <w:pStyle w:val="16"/>
              <w:jc w:val="right"/>
              <w:rPr>
                <w:sz w:val="20"/>
              </w:rPr>
            </w:pPr>
            <w:r>
              <w:rPr>
                <w:sz w:val="20"/>
              </w:rPr>
              <w:t>10 790 899</w:t>
            </w:r>
          </w:p>
        </w:tc>
        <w:tc>
          <w:tcPr>
            <w:tcW w:w="946" w:type="dxa"/>
          </w:tcPr>
          <w:p w:rsidR="00000000" w:rsidRDefault="00000000">
            <w:pPr>
              <w:pStyle w:val="16"/>
              <w:rPr>
                <w:sz w:val="20"/>
              </w:rPr>
            </w:pPr>
            <w:r>
              <w:rPr>
                <w:sz w:val="20"/>
              </w:rPr>
              <w:t>3,7</w:t>
            </w:r>
          </w:p>
        </w:tc>
        <w:tc>
          <w:tcPr>
            <w:tcW w:w="1122" w:type="dxa"/>
          </w:tcPr>
          <w:p w:rsidR="00000000" w:rsidRDefault="00000000">
            <w:pPr>
              <w:pStyle w:val="16"/>
              <w:rPr>
                <w:sz w:val="20"/>
              </w:rPr>
            </w:pPr>
            <w:r>
              <w:rPr>
                <w:sz w:val="20"/>
              </w:rPr>
              <w:t>3,8</w:t>
            </w:r>
          </w:p>
        </w:tc>
        <w:tc>
          <w:tcPr>
            <w:tcW w:w="935" w:type="dxa"/>
          </w:tcPr>
          <w:p w:rsidR="00000000" w:rsidRDefault="00000000">
            <w:pPr>
              <w:pStyle w:val="16"/>
              <w:rPr>
                <w:sz w:val="20"/>
              </w:rPr>
            </w:pPr>
            <w:r>
              <w:rPr>
                <w:sz w:val="20"/>
              </w:rPr>
              <w:t>3,6</w:t>
            </w:r>
          </w:p>
        </w:tc>
        <w:tc>
          <w:tcPr>
            <w:tcW w:w="825" w:type="dxa"/>
          </w:tcPr>
          <w:p w:rsidR="00000000" w:rsidRDefault="00000000">
            <w:pPr>
              <w:pStyle w:val="16"/>
              <w:rPr>
                <w:sz w:val="20"/>
              </w:rPr>
            </w:pPr>
            <w:r>
              <w:rPr>
                <w:sz w:val="20"/>
              </w:rPr>
              <w:t>1,9</w:t>
            </w:r>
          </w:p>
        </w:tc>
        <w:tc>
          <w:tcPr>
            <w:tcW w:w="1018" w:type="dxa"/>
          </w:tcPr>
          <w:p w:rsidR="00000000" w:rsidRDefault="00000000">
            <w:pPr>
              <w:pStyle w:val="16"/>
              <w:rPr>
                <w:sz w:val="20"/>
              </w:rPr>
            </w:pPr>
            <w:r>
              <w:rPr>
                <w:sz w:val="20"/>
              </w:rPr>
              <w:t>1,9</w:t>
            </w:r>
          </w:p>
        </w:tc>
        <w:tc>
          <w:tcPr>
            <w:tcW w:w="1018" w:type="dxa"/>
          </w:tcPr>
          <w:p w:rsidR="00000000" w:rsidRDefault="00000000">
            <w:pPr>
              <w:pStyle w:val="16"/>
              <w:rPr>
                <w:sz w:val="20"/>
              </w:rPr>
            </w:pPr>
            <w:r>
              <w:rPr>
                <w:sz w:val="20"/>
              </w:rPr>
              <w:t>2,0</w:t>
            </w:r>
          </w:p>
        </w:tc>
      </w:tr>
    </w:tbl>
    <w:p w:rsidR="00000000" w:rsidRDefault="00000000">
      <w:pPr>
        <w:pStyle w:val="16"/>
        <w:rPr>
          <w:b/>
          <w:bCs/>
          <w:sz w:val="20"/>
        </w:rPr>
      </w:pPr>
    </w:p>
    <w:p w:rsidR="00000000" w:rsidRDefault="00000000">
      <w:pPr>
        <w:pStyle w:val="16"/>
        <w:jc w:val="left"/>
      </w:pPr>
      <w:r>
        <w:tab/>
      </w:r>
      <w:r>
        <w:rPr>
          <w:u w:val="single"/>
        </w:rPr>
        <w:t>Источник</w:t>
      </w:r>
      <w:r>
        <w:t>:  БИГС - Краткий справочник социальных показателей (на базе ОВОДХ 1997 года).</w:t>
      </w:r>
    </w:p>
    <w:p w:rsidR="00000000" w:rsidRDefault="00000000">
      <w:pPr>
        <w:pStyle w:val="16"/>
        <w:jc w:val="left"/>
      </w:pPr>
    </w:p>
    <w:p w:rsidR="00000000" w:rsidRDefault="00000000">
      <w:pPr>
        <w:pStyle w:val="16"/>
        <w:jc w:val="left"/>
      </w:pPr>
    </w:p>
    <w:p w:rsidR="00000000" w:rsidRDefault="00000000">
      <w:pPr>
        <w:pStyle w:val="16"/>
        <w:jc w:val="left"/>
      </w:pPr>
      <w:r>
        <w:t>501.</w:t>
      </w:r>
      <w:r>
        <w:tab/>
        <w:t>В период 1980-1997 годов наблюдалась тенденция к увеличению числа домовладельцев и к относительному снижению числа арендованного или заимствованного жилья, как это видно из нижеприведенной таблицы.</w:t>
      </w:r>
    </w:p>
    <w:p w:rsidR="00000000" w:rsidRDefault="00000000">
      <w:pPr>
        <w:pStyle w:val="16"/>
        <w:jc w:val="left"/>
      </w:pPr>
    </w:p>
    <w:p w:rsidR="00000000" w:rsidRDefault="00000000">
      <w:pPr>
        <w:pStyle w:val="16"/>
        <w:keepNext/>
        <w:rPr>
          <w:b/>
          <w:bCs/>
        </w:rPr>
      </w:pPr>
      <w:r>
        <w:rPr>
          <w:b/>
          <w:bCs/>
        </w:rPr>
        <w:t>Таблица 63.   Стационарные частные дома в разбивке по типу владения, 1980</w:t>
      </w:r>
      <w:r>
        <w:rPr>
          <w:b/>
          <w:bCs/>
        </w:rPr>
        <w:noBreakHyphen/>
        <w:t>1997 годы</w:t>
      </w:r>
    </w:p>
    <w:p w:rsidR="00000000" w:rsidRDefault="00000000">
      <w:pPr>
        <w:pStyle w:val="16"/>
        <w:keepN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1905"/>
        <w:gridCol w:w="1887"/>
        <w:gridCol w:w="1888"/>
        <w:gridCol w:w="1888"/>
        <w:gridCol w:w="1888"/>
      </w:tblGrid>
      <w:tr w:rsidR="00000000">
        <w:tblPrEx>
          <w:tblCellMar>
            <w:top w:w="0" w:type="dxa"/>
            <w:bottom w:w="0" w:type="dxa"/>
          </w:tblCellMar>
        </w:tblPrEx>
        <w:tc>
          <w:tcPr>
            <w:tcW w:w="1906" w:type="dxa"/>
          </w:tcPr>
          <w:p w:rsidR="00000000" w:rsidRDefault="00000000">
            <w:pPr>
              <w:keepNext/>
              <w:rPr>
                <w:sz w:val="20"/>
              </w:rPr>
            </w:pPr>
            <w:r>
              <w:rPr>
                <w:sz w:val="20"/>
              </w:rPr>
              <w:t>Статус жилья</w:t>
            </w:r>
          </w:p>
        </w:tc>
        <w:tc>
          <w:tcPr>
            <w:tcW w:w="1887" w:type="dxa"/>
          </w:tcPr>
          <w:p w:rsidR="00000000" w:rsidRDefault="00000000">
            <w:pPr>
              <w:keepNext/>
              <w:jc w:val="center"/>
              <w:rPr>
                <w:sz w:val="20"/>
              </w:rPr>
            </w:pPr>
            <w:r>
              <w:rPr>
                <w:sz w:val="20"/>
              </w:rPr>
              <w:t>1980*</w:t>
            </w:r>
          </w:p>
        </w:tc>
        <w:tc>
          <w:tcPr>
            <w:tcW w:w="1888" w:type="dxa"/>
          </w:tcPr>
          <w:p w:rsidR="00000000" w:rsidRDefault="00000000">
            <w:pPr>
              <w:keepNext/>
              <w:jc w:val="center"/>
              <w:rPr>
                <w:sz w:val="20"/>
              </w:rPr>
            </w:pPr>
            <w:r>
              <w:rPr>
                <w:sz w:val="20"/>
              </w:rPr>
              <w:t>1991*</w:t>
            </w:r>
          </w:p>
        </w:tc>
        <w:tc>
          <w:tcPr>
            <w:tcW w:w="1888" w:type="dxa"/>
          </w:tcPr>
          <w:p w:rsidR="00000000" w:rsidRDefault="00000000">
            <w:pPr>
              <w:keepNext/>
              <w:jc w:val="center"/>
              <w:rPr>
                <w:sz w:val="20"/>
              </w:rPr>
            </w:pPr>
            <w:r>
              <w:rPr>
                <w:sz w:val="20"/>
              </w:rPr>
              <w:t>1996**</w:t>
            </w:r>
          </w:p>
        </w:tc>
        <w:tc>
          <w:tcPr>
            <w:tcW w:w="1888" w:type="dxa"/>
          </w:tcPr>
          <w:p w:rsidR="00000000" w:rsidRDefault="00000000">
            <w:pPr>
              <w:keepNext/>
              <w:jc w:val="center"/>
              <w:rPr>
                <w:sz w:val="20"/>
              </w:rPr>
            </w:pPr>
            <w:r>
              <w:rPr>
                <w:sz w:val="20"/>
              </w:rPr>
              <w:t>1997***</w:t>
            </w:r>
          </w:p>
        </w:tc>
      </w:tr>
      <w:tr w:rsidR="00000000">
        <w:tblPrEx>
          <w:tblCellMar>
            <w:top w:w="0" w:type="dxa"/>
            <w:bottom w:w="0" w:type="dxa"/>
          </w:tblCellMar>
        </w:tblPrEx>
        <w:tc>
          <w:tcPr>
            <w:tcW w:w="1906" w:type="dxa"/>
          </w:tcPr>
          <w:p w:rsidR="00000000" w:rsidRDefault="00000000">
            <w:pPr>
              <w:keepNext/>
              <w:rPr>
                <w:sz w:val="20"/>
              </w:rPr>
            </w:pPr>
            <w:r>
              <w:rPr>
                <w:sz w:val="20"/>
              </w:rPr>
              <w:t>Собственное</w:t>
            </w:r>
          </w:p>
        </w:tc>
        <w:tc>
          <w:tcPr>
            <w:tcW w:w="1887"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15 546 151</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24 261 954</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29 260 733</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29 969 039</w:t>
            </w:r>
          </w:p>
        </w:tc>
      </w:tr>
      <w:tr w:rsidR="00000000">
        <w:tblPrEx>
          <w:tblCellMar>
            <w:top w:w="0" w:type="dxa"/>
            <w:bottom w:w="0" w:type="dxa"/>
          </w:tblCellMar>
        </w:tblPrEx>
        <w:tc>
          <w:tcPr>
            <w:tcW w:w="1906" w:type="dxa"/>
          </w:tcPr>
          <w:p w:rsidR="00000000" w:rsidRDefault="00000000">
            <w:pPr>
              <w:keepNext/>
              <w:rPr>
                <w:sz w:val="20"/>
              </w:rPr>
            </w:pPr>
            <w:r>
              <w:rPr>
                <w:sz w:val="20"/>
              </w:rPr>
              <w:t>Арендуемое</w:t>
            </w:r>
          </w:p>
        </w:tc>
        <w:tc>
          <w:tcPr>
            <w:tcW w:w="1887"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5 682 173</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5 689 170</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5 407 991</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5 561 748</w:t>
            </w:r>
          </w:p>
        </w:tc>
      </w:tr>
      <w:tr w:rsidR="00000000">
        <w:tblPrEx>
          <w:tblCellMar>
            <w:top w:w="0" w:type="dxa"/>
            <w:bottom w:w="0" w:type="dxa"/>
          </w:tblCellMar>
        </w:tblPrEx>
        <w:tc>
          <w:tcPr>
            <w:tcW w:w="1906" w:type="dxa"/>
          </w:tcPr>
          <w:p w:rsidR="00000000" w:rsidRDefault="00000000">
            <w:pPr>
              <w:keepNext/>
              <w:rPr>
                <w:sz w:val="20"/>
              </w:rPr>
            </w:pPr>
            <w:r>
              <w:rPr>
                <w:sz w:val="20"/>
              </w:rPr>
              <w:t>Заимствованное</w:t>
            </w:r>
          </w:p>
        </w:tc>
        <w:tc>
          <w:tcPr>
            <w:tcW w:w="1887"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3 572 004</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4 546 025</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4 888 506</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4 929 006</w:t>
            </w:r>
          </w:p>
        </w:tc>
      </w:tr>
      <w:tr w:rsidR="00000000">
        <w:tblPrEx>
          <w:tblCellMar>
            <w:top w:w="0" w:type="dxa"/>
            <w:bottom w:w="0" w:type="dxa"/>
          </w:tblCellMar>
        </w:tblPrEx>
        <w:tc>
          <w:tcPr>
            <w:tcW w:w="1906" w:type="dxa"/>
          </w:tcPr>
          <w:p w:rsidR="00000000" w:rsidRDefault="00000000">
            <w:pPr>
              <w:keepNext/>
              <w:rPr>
                <w:sz w:val="20"/>
              </w:rPr>
            </w:pPr>
            <w:r>
              <w:rPr>
                <w:sz w:val="20"/>
              </w:rPr>
              <w:t>Прочее</w:t>
            </w:r>
          </w:p>
        </w:tc>
        <w:tc>
          <w:tcPr>
            <w:tcW w:w="1887"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373 842</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237 566</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188 293</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184 264</w:t>
            </w:r>
          </w:p>
        </w:tc>
      </w:tr>
      <w:tr w:rsidR="00000000">
        <w:tblPrEx>
          <w:tblCellMar>
            <w:top w:w="0" w:type="dxa"/>
            <w:bottom w:w="0" w:type="dxa"/>
          </w:tblCellMar>
        </w:tblPrEx>
        <w:tc>
          <w:tcPr>
            <w:tcW w:w="1906" w:type="dxa"/>
          </w:tcPr>
          <w:p w:rsidR="00000000" w:rsidRDefault="00000000">
            <w:pPr>
              <w:keepNext/>
              <w:rPr>
                <w:sz w:val="20"/>
              </w:rPr>
            </w:pPr>
            <w:r>
              <w:rPr>
                <w:sz w:val="20"/>
              </w:rPr>
              <w:t>Необъявленное</w:t>
            </w:r>
          </w:p>
        </w:tc>
        <w:tc>
          <w:tcPr>
            <w:tcW w:w="1887"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36 469</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245</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566</w:t>
            </w:r>
          </w:p>
        </w:tc>
      </w:tr>
      <w:tr w:rsidR="00000000">
        <w:tblPrEx>
          <w:tblCellMar>
            <w:top w:w="0" w:type="dxa"/>
            <w:bottom w:w="0" w:type="dxa"/>
          </w:tblCellMar>
        </w:tblPrEx>
        <w:tc>
          <w:tcPr>
            <w:tcW w:w="1906" w:type="dxa"/>
          </w:tcPr>
          <w:p w:rsidR="00000000" w:rsidRDefault="00000000">
            <w:pPr>
              <w:keepNext/>
              <w:rPr>
                <w:sz w:val="20"/>
              </w:rPr>
            </w:pPr>
            <w:r>
              <w:rPr>
                <w:sz w:val="20"/>
              </w:rPr>
              <w:t>Всего</w:t>
            </w:r>
          </w:p>
        </w:tc>
        <w:tc>
          <w:tcPr>
            <w:tcW w:w="1887"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25 210 639</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34 734 715</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39 745 523</w:t>
            </w:r>
          </w:p>
        </w:tc>
        <w:tc>
          <w:tcPr>
            <w:tcW w:w="1888" w:type="dxa"/>
          </w:tcPr>
          <w:p w:rsidR="00000000" w:rsidRDefault="00000000">
            <w:pPr>
              <w:keepNext/>
              <w:tabs>
                <w:tab w:val="clear" w:pos="567"/>
                <w:tab w:val="clear" w:pos="1134"/>
                <w:tab w:val="clear" w:pos="1701"/>
                <w:tab w:val="clear" w:pos="2268"/>
                <w:tab w:val="clear" w:pos="6237"/>
                <w:tab w:val="decimal" w:pos="1300"/>
              </w:tabs>
              <w:rPr>
                <w:sz w:val="20"/>
              </w:rPr>
            </w:pPr>
            <w:r>
              <w:rPr>
                <w:sz w:val="20"/>
              </w:rPr>
              <w:t>40 644 623</w:t>
            </w:r>
          </w:p>
        </w:tc>
      </w:tr>
    </w:tbl>
    <w:p w:rsidR="00000000" w:rsidRDefault="00000000">
      <w:pPr>
        <w:pStyle w:val="16"/>
        <w:keepNext/>
        <w:tabs>
          <w:tab w:val="left" w:pos="2805"/>
        </w:tabs>
        <w:jc w:val="left"/>
        <w:rPr>
          <w:b/>
          <w:bCs/>
          <w:sz w:val="20"/>
        </w:rPr>
      </w:pPr>
    </w:p>
    <w:p w:rsidR="00000000" w:rsidRDefault="00000000">
      <w:pPr>
        <w:pStyle w:val="16"/>
        <w:keepNext/>
        <w:tabs>
          <w:tab w:val="left" w:pos="2805"/>
        </w:tabs>
        <w:jc w:val="left"/>
      </w:pPr>
      <w:r>
        <w:tab/>
        <w:t>Источник:</w:t>
      </w:r>
      <w:r>
        <w:tab/>
        <w:t xml:space="preserve">   *  БИГС - Ежегодный статистический справочник, 1998 год.</w:t>
      </w:r>
    </w:p>
    <w:p w:rsidR="00000000" w:rsidRDefault="00000000">
      <w:pPr>
        <w:pStyle w:val="16"/>
        <w:tabs>
          <w:tab w:val="left" w:pos="2805"/>
        </w:tabs>
        <w:jc w:val="left"/>
      </w:pPr>
      <w:r>
        <w:tab/>
      </w:r>
      <w:r>
        <w:tab/>
      </w:r>
      <w:r>
        <w:tab/>
        <w:t xml:space="preserve"> **  БИГС - Краткий справочник показателей ОВОДХ, 1996 год.</w:t>
      </w:r>
    </w:p>
    <w:p w:rsidR="00000000" w:rsidRDefault="00000000">
      <w:pPr>
        <w:pStyle w:val="16"/>
        <w:tabs>
          <w:tab w:val="left" w:pos="2805"/>
          <w:tab w:val="left" w:pos="3740"/>
        </w:tabs>
        <w:ind w:left="2805" w:hanging="2805"/>
        <w:jc w:val="left"/>
      </w:pPr>
      <w:r>
        <w:tab/>
      </w:r>
      <w:r>
        <w:tab/>
      </w:r>
      <w:r>
        <w:tab/>
        <w:t>*** БИГС - Предварительные расчеты ИПЕА/ДИРУР на основе данных</w:t>
      </w:r>
    </w:p>
    <w:p w:rsidR="00000000" w:rsidRDefault="00000000">
      <w:pPr>
        <w:pStyle w:val="16"/>
        <w:tabs>
          <w:tab w:val="left" w:pos="2805"/>
          <w:tab w:val="left" w:pos="3740"/>
        </w:tabs>
        <w:ind w:left="2805" w:hanging="2805"/>
        <w:jc w:val="left"/>
      </w:pPr>
      <w:r>
        <w:tab/>
      </w:r>
      <w:r>
        <w:tab/>
      </w:r>
      <w:r>
        <w:tab/>
        <w:t xml:space="preserve">                     ОВОДХ 1997 года.</w:t>
      </w:r>
    </w:p>
    <w:p w:rsidR="00000000" w:rsidRDefault="00000000">
      <w:pPr>
        <w:pStyle w:val="16"/>
        <w:tabs>
          <w:tab w:val="clear" w:pos="6237"/>
          <w:tab w:val="left" w:pos="2520"/>
        </w:tabs>
      </w:pPr>
    </w:p>
    <w:p w:rsidR="00000000" w:rsidRDefault="00000000">
      <w:pPr>
        <w:pStyle w:val="16"/>
        <w:rPr>
          <w:b/>
          <w:bCs/>
        </w:rPr>
      </w:pPr>
    </w:p>
    <w:p w:rsidR="00000000" w:rsidRDefault="00000000">
      <w:pPr>
        <w:pStyle w:val="16"/>
        <w:rPr>
          <w:b/>
          <w:bCs/>
        </w:rPr>
      </w:pPr>
      <w:r>
        <w:rPr>
          <w:b/>
          <w:bCs/>
        </w:rPr>
        <w:t>Таблица 64.   Стационарные частные дома по типу владения, 1980-1997 годы (%)</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528"/>
        <w:gridCol w:w="1834"/>
        <w:gridCol w:w="1721"/>
        <w:gridCol w:w="1722"/>
        <w:gridCol w:w="1651"/>
      </w:tblGrid>
      <w:tr w:rsidR="00000000">
        <w:tblPrEx>
          <w:tblCellMar>
            <w:top w:w="0" w:type="dxa"/>
            <w:bottom w:w="0" w:type="dxa"/>
          </w:tblCellMar>
        </w:tblPrEx>
        <w:tc>
          <w:tcPr>
            <w:tcW w:w="2529" w:type="dxa"/>
          </w:tcPr>
          <w:p w:rsidR="00000000" w:rsidRDefault="00000000">
            <w:pPr>
              <w:jc w:val="center"/>
              <w:rPr>
                <w:sz w:val="20"/>
              </w:rPr>
            </w:pPr>
            <w:r>
              <w:rPr>
                <w:sz w:val="20"/>
              </w:rPr>
              <w:t xml:space="preserve">Статус жилья </w:t>
            </w:r>
          </w:p>
        </w:tc>
        <w:tc>
          <w:tcPr>
            <w:tcW w:w="1834" w:type="dxa"/>
          </w:tcPr>
          <w:p w:rsidR="00000000" w:rsidRDefault="00000000">
            <w:pPr>
              <w:jc w:val="center"/>
              <w:rPr>
                <w:sz w:val="20"/>
              </w:rPr>
            </w:pPr>
            <w:r>
              <w:rPr>
                <w:sz w:val="20"/>
              </w:rPr>
              <w:t>1980*</w:t>
            </w:r>
          </w:p>
        </w:tc>
        <w:tc>
          <w:tcPr>
            <w:tcW w:w="1721" w:type="dxa"/>
          </w:tcPr>
          <w:p w:rsidR="00000000" w:rsidRDefault="00000000">
            <w:pPr>
              <w:jc w:val="center"/>
              <w:rPr>
                <w:sz w:val="20"/>
              </w:rPr>
            </w:pPr>
            <w:r>
              <w:rPr>
                <w:sz w:val="20"/>
              </w:rPr>
              <w:t>1991*</w:t>
            </w:r>
          </w:p>
        </w:tc>
        <w:tc>
          <w:tcPr>
            <w:tcW w:w="1722" w:type="dxa"/>
          </w:tcPr>
          <w:p w:rsidR="00000000" w:rsidRDefault="00000000">
            <w:pPr>
              <w:jc w:val="center"/>
              <w:rPr>
                <w:sz w:val="20"/>
              </w:rPr>
            </w:pPr>
            <w:r>
              <w:rPr>
                <w:sz w:val="20"/>
              </w:rPr>
              <w:t>1996**</w:t>
            </w:r>
          </w:p>
        </w:tc>
        <w:tc>
          <w:tcPr>
            <w:tcW w:w="1651" w:type="dxa"/>
          </w:tcPr>
          <w:p w:rsidR="00000000" w:rsidRDefault="00000000">
            <w:pPr>
              <w:jc w:val="center"/>
              <w:rPr>
                <w:sz w:val="20"/>
              </w:rPr>
            </w:pPr>
            <w:r>
              <w:rPr>
                <w:sz w:val="20"/>
              </w:rPr>
              <w:t>1997***</w:t>
            </w:r>
          </w:p>
        </w:tc>
      </w:tr>
      <w:tr w:rsidR="00000000">
        <w:tblPrEx>
          <w:tblCellMar>
            <w:top w:w="0" w:type="dxa"/>
            <w:bottom w:w="0" w:type="dxa"/>
          </w:tblCellMar>
        </w:tblPrEx>
        <w:tc>
          <w:tcPr>
            <w:tcW w:w="2529" w:type="dxa"/>
          </w:tcPr>
          <w:p w:rsidR="00000000" w:rsidRDefault="00000000">
            <w:pPr>
              <w:rPr>
                <w:sz w:val="20"/>
              </w:rPr>
            </w:pPr>
            <w:r>
              <w:rPr>
                <w:sz w:val="20"/>
              </w:rPr>
              <w:t>Собственное</w:t>
            </w:r>
          </w:p>
        </w:tc>
        <w:tc>
          <w:tcPr>
            <w:tcW w:w="1834" w:type="dxa"/>
          </w:tcPr>
          <w:p w:rsidR="00000000" w:rsidRDefault="00000000">
            <w:pPr>
              <w:tabs>
                <w:tab w:val="clear" w:pos="567"/>
                <w:tab w:val="clear" w:pos="1134"/>
                <w:tab w:val="clear" w:pos="1701"/>
                <w:tab w:val="clear" w:pos="2268"/>
                <w:tab w:val="clear" w:pos="6237"/>
                <w:tab w:val="decimal" w:pos="789"/>
              </w:tabs>
              <w:rPr>
                <w:sz w:val="20"/>
              </w:rPr>
            </w:pPr>
            <w:r>
              <w:rPr>
                <w:sz w:val="20"/>
              </w:rPr>
              <w:t>61,67</w:t>
            </w:r>
          </w:p>
        </w:tc>
        <w:tc>
          <w:tcPr>
            <w:tcW w:w="1721" w:type="dxa"/>
          </w:tcPr>
          <w:p w:rsidR="00000000" w:rsidRDefault="00000000">
            <w:pPr>
              <w:tabs>
                <w:tab w:val="clear" w:pos="567"/>
                <w:tab w:val="clear" w:pos="1134"/>
                <w:tab w:val="clear" w:pos="1701"/>
                <w:tab w:val="clear" w:pos="2268"/>
                <w:tab w:val="clear" w:pos="6237"/>
                <w:tab w:val="decimal" w:pos="789"/>
              </w:tabs>
              <w:rPr>
                <w:sz w:val="20"/>
              </w:rPr>
            </w:pPr>
            <w:r>
              <w:rPr>
                <w:sz w:val="20"/>
              </w:rPr>
              <w:t>69,85</w:t>
            </w:r>
          </w:p>
        </w:tc>
        <w:tc>
          <w:tcPr>
            <w:tcW w:w="1722" w:type="dxa"/>
          </w:tcPr>
          <w:p w:rsidR="00000000" w:rsidRDefault="00000000">
            <w:pPr>
              <w:tabs>
                <w:tab w:val="clear" w:pos="567"/>
                <w:tab w:val="clear" w:pos="1134"/>
                <w:tab w:val="clear" w:pos="1701"/>
                <w:tab w:val="clear" w:pos="2268"/>
                <w:tab w:val="clear" w:pos="6237"/>
                <w:tab w:val="decimal" w:pos="789"/>
              </w:tabs>
              <w:rPr>
                <w:sz w:val="20"/>
              </w:rPr>
            </w:pPr>
            <w:r>
              <w:rPr>
                <w:sz w:val="20"/>
              </w:rPr>
              <w:t>73,62</w:t>
            </w:r>
          </w:p>
        </w:tc>
        <w:tc>
          <w:tcPr>
            <w:tcW w:w="1651" w:type="dxa"/>
          </w:tcPr>
          <w:p w:rsidR="00000000" w:rsidRDefault="00000000">
            <w:pPr>
              <w:tabs>
                <w:tab w:val="clear" w:pos="567"/>
                <w:tab w:val="clear" w:pos="1134"/>
                <w:tab w:val="clear" w:pos="1701"/>
                <w:tab w:val="clear" w:pos="2268"/>
                <w:tab w:val="clear" w:pos="6237"/>
                <w:tab w:val="decimal" w:pos="789"/>
              </w:tabs>
              <w:rPr>
                <w:sz w:val="20"/>
              </w:rPr>
            </w:pPr>
            <w:r>
              <w:rPr>
                <w:sz w:val="20"/>
              </w:rPr>
              <w:t>73,73</w:t>
            </w:r>
          </w:p>
        </w:tc>
      </w:tr>
      <w:tr w:rsidR="00000000">
        <w:tblPrEx>
          <w:tblCellMar>
            <w:top w:w="0" w:type="dxa"/>
            <w:bottom w:w="0" w:type="dxa"/>
          </w:tblCellMar>
        </w:tblPrEx>
        <w:tc>
          <w:tcPr>
            <w:tcW w:w="2529" w:type="dxa"/>
          </w:tcPr>
          <w:p w:rsidR="00000000" w:rsidRDefault="00000000">
            <w:pPr>
              <w:rPr>
                <w:sz w:val="20"/>
              </w:rPr>
            </w:pPr>
            <w:r>
              <w:rPr>
                <w:sz w:val="20"/>
              </w:rPr>
              <w:t>Арендуемое</w:t>
            </w:r>
          </w:p>
        </w:tc>
        <w:tc>
          <w:tcPr>
            <w:tcW w:w="1834" w:type="dxa"/>
          </w:tcPr>
          <w:p w:rsidR="00000000" w:rsidRDefault="00000000">
            <w:pPr>
              <w:tabs>
                <w:tab w:val="clear" w:pos="567"/>
                <w:tab w:val="clear" w:pos="1134"/>
                <w:tab w:val="clear" w:pos="1701"/>
                <w:tab w:val="clear" w:pos="2268"/>
                <w:tab w:val="clear" w:pos="6237"/>
                <w:tab w:val="decimal" w:pos="789"/>
              </w:tabs>
              <w:rPr>
                <w:sz w:val="20"/>
              </w:rPr>
            </w:pPr>
            <w:r>
              <w:rPr>
                <w:sz w:val="20"/>
              </w:rPr>
              <w:t>22,54</w:t>
            </w:r>
          </w:p>
        </w:tc>
        <w:tc>
          <w:tcPr>
            <w:tcW w:w="1721" w:type="dxa"/>
          </w:tcPr>
          <w:p w:rsidR="00000000" w:rsidRDefault="00000000">
            <w:pPr>
              <w:tabs>
                <w:tab w:val="clear" w:pos="567"/>
                <w:tab w:val="clear" w:pos="1134"/>
                <w:tab w:val="clear" w:pos="1701"/>
                <w:tab w:val="clear" w:pos="2268"/>
                <w:tab w:val="clear" w:pos="6237"/>
                <w:tab w:val="decimal" w:pos="789"/>
              </w:tabs>
              <w:rPr>
                <w:sz w:val="20"/>
              </w:rPr>
            </w:pPr>
            <w:r>
              <w:rPr>
                <w:sz w:val="20"/>
              </w:rPr>
              <w:t>16,38</w:t>
            </w:r>
          </w:p>
        </w:tc>
        <w:tc>
          <w:tcPr>
            <w:tcW w:w="1722" w:type="dxa"/>
          </w:tcPr>
          <w:p w:rsidR="00000000" w:rsidRDefault="00000000">
            <w:pPr>
              <w:tabs>
                <w:tab w:val="clear" w:pos="567"/>
                <w:tab w:val="clear" w:pos="1134"/>
                <w:tab w:val="clear" w:pos="1701"/>
                <w:tab w:val="clear" w:pos="2268"/>
                <w:tab w:val="clear" w:pos="6237"/>
                <w:tab w:val="decimal" w:pos="789"/>
              </w:tabs>
              <w:rPr>
                <w:sz w:val="20"/>
              </w:rPr>
            </w:pPr>
            <w:r>
              <w:rPr>
                <w:sz w:val="20"/>
              </w:rPr>
              <w:t>13,61</w:t>
            </w:r>
          </w:p>
        </w:tc>
        <w:tc>
          <w:tcPr>
            <w:tcW w:w="1651" w:type="dxa"/>
          </w:tcPr>
          <w:p w:rsidR="00000000" w:rsidRDefault="00000000">
            <w:pPr>
              <w:tabs>
                <w:tab w:val="clear" w:pos="567"/>
                <w:tab w:val="clear" w:pos="1134"/>
                <w:tab w:val="clear" w:pos="1701"/>
                <w:tab w:val="clear" w:pos="2268"/>
                <w:tab w:val="clear" w:pos="6237"/>
                <w:tab w:val="decimal" w:pos="789"/>
              </w:tabs>
              <w:rPr>
                <w:sz w:val="20"/>
              </w:rPr>
            </w:pPr>
            <w:r>
              <w:rPr>
                <w:sz w:val="20"/>
              </w:rPr>
              <w:t>13,68</w:t>
            </w:r>
          </w:p>
        </w:tc>
      </w:tr>
      <w:tr w:rsidR="00000000">
        <w:tblPrEx>
          <w:tblCellMar>
            <w:top w:w="0" w:type="dxa"/>
            <w:bottom w:w="0" w:type="dxa"/>
          </w:tblCellMar>
        </w:tblPrEx>
        <w:tc>
          <w:tcPr>
            <w:tcW w:w="2529" w:type="dxa"/>
          </w:tcPr>
          <w:p w:rsidR="00000000" w:rsidRDefault="00000000">
            <w:pPr>
              <w:rPr>
                <w:sz w:val="20"/>
              </w:rPr>
            </w:pPr>
            <w:r>
              <w:rPr>
                <w:sz w:val="20"/>
              </w:rPr>
              <w:t>Заимствованное</w:t>
            </w:r>
          </w:p>
        </w:tc>
        <w:tc>
          <w:tcPr>
            <w:tcW w:w="1834" w:type="dxa"/>
          </w:tcPr>
          <w:p w:rsidR="00000000" w:rsidRDefault="00000000">
            <w:pPr>
              <w:tabs>
                <w:tab w:val="clear" w:pos="567"/>
                <w:tab w:val="clear" w:pos="1134"/>
                <w:tab w:val="clear" w:pos="1701"/>
                <w:tab w:val="clear" w:pos="2268"/>
                <w:tab w:val="clear" w:pos="6237"/>
                <w:tab w:val="decimal" w:pos="789"/>
              </w:tabs>
              <w:rPr>
                <w:sz w:val="20"/>
              </w:rPr>
            </w:pPr>
            <w:r>
              <w:rPr>
                <w:sz w:val="20"/>
              </w:rPr>
              <w:t>14,17</w:t>
            </w:r>
          </w:p>
        </w:tc>
        <w:tc>
          <w:tcPr>
            <w:tcW w:w="1721" w:type="dxa"/>
          </w:tcPr>
          <w:p w:rsidR="00000000" w:rsidRDefault="00000000">
            <w:pPr>
              <w:tabs>
                <w:tab w:val="clear" w:pos="567"/>
                <w:tab w:val="clear" w:pos="1134"/>
                <w:tab w:val="clear" w:pos="1701"/>
                <w:tab w:val="clear" w:pos="2268"/>
                <w:tab w:val="clear" w:pos="6237"/>
                <w:tab w:val="decimal" w:pos="789"/>
              </w:tabs>
              <w:rPr>
                <w:sz w:val="20"/>
              </w:rPr>
            </w:pPr>
            <w:r>
              <w:rPr>
                <w:sz w:val="20"/>
              </w:rPr>
              <w:t>13,09</w:t>
            </w:r>
          </w:p>
        </w:tc>
        <w:tc>
          <w:tcPr>
            <w:tcW w:w="1722" w:type="dxa"/>
          </w:tcPr>
          <w:p w:rsidR="00000000" w:rsidRDefault="00000000">
            <w:pPr>
              <w:tabs>
                <w:tab w:val="clear" w:pos="567"/>
                <w:tab w:val="clear" w:pos="1134"/>
                <w:tab w:val="clear" w:pos="1701"/>
                <w:tab w:val="clear" w:pos="2268"/>
                <w:tab w:val="clear" w:pos="6237"/>
                <w:tab w:val="decimal" w:pos="789"/>
              </w:tabs>
              <w:rPr>
                <w:sz w:val="20"/>
              </w:rPr>
            </w:pPr>
            <w:r>
              <w:rPr>
                <w:sz w:val="20"/>
              </w:rPr>
              <w:t>12,30</w:t>
            </w:r>
          </w:p>
        </w:tc>
        <w:tc>
          <w:tcPr>
            <w:tcW w:w="1651" w:type="dxa"/>
          </w:tcPr>
          <w:p w:rsidR="00000000" w:rsidRDefault="00000000">
            <w:pPr>
              <w:tabs>
                <w:tab w:val="clear" w:pos="567"/>
                <w:tab w:val="clear" w:pos="1134"/>
                <w:tab w:val="clear" w:pos="1701"/>
                <w:tab w:val="clear" w:pos="2268"/>
                <w:tab w:val="clear" w:pos="6237"/>
                <w:tab w:val="decimal" w:pos="789"/>
              </w:tabs>
              <w:rPr>
                <w:sz w:val="20"/>
              </w:rPr>
            </w:pPr>
            <w:r>
              <w:rPr>
                <w:sz w:val="20"/>
              </w:rPr>
              <w:t>12,13</w:t>
            </w:r>
          </w:p>
        </w:tc>
      </w:tr>
      <w:tr w:rsidR="00000000">
        <w:tblPrEx>
          <w:tblCellMar>
            <w:top w:w="0" w:type="dxa"/>
            <w:bottom w:w="0" w:type="dxa"/>
          </w:tblCellMar>
        </w:tblPrEx>
        <w:tc>
          <w:tcPr>
            <w:tcW w:w="2529" w:type="dxa"/>
          </w:tcPr>
          <w:p w:rsidR="00000000" w:rsidRDefault="00000000">
            <w:pPr>
              <w:rPr>
                <w:sz w:val="20"/>
              </w:rPr>
            </w:pPr>
            <w:r>
              <w:rPr>
                <w:sz w:val="20"/>
              </w:rPr>
              <w:t>Прочее</w:t>
            </w:r>
          </w:p>
        </w:tc>
        <w:tc>
          <w:tcPr>
            <w:tcW w:w="1834" w:type="dxa"/>
          </w:tcPr>
          <w:p w:rsidR="00000000" w:rsidRDefault="00000000">
            <w:pPr>
              <w:tabs>
                <w:tab w:val="clear" w:pos="567"/>
                <w:tab w:val="clear" w:pos="1134"/>
                <w:tab w:val="clear" w:pos="1701"/>
                <w:tab w:val="clear" w:pos="2268"/>
                <w:tab w:val="clear" w:pos="6237"/>
                <w:tab w:val="decimal" w:pos="789"/>
              </w:tabs>
              <w:rPr>
                <w:sz w:val="20"/>
              </w:rPr>
            </w:pPr>
            <w:r>
              <w:rPr>
                <w:sz w:val="20"/>
              </w:rPr>
              <w:t>1,48</w:t>
            </w:r>
          </w:p>
        </w:tc>
        <w:tc>
          <w:tcPr>
            <w:tcW w:w="1721" w:type="dxa"/>
          </w:tcPr>
          <w:p w:rsidR="00000000" w:rsidRDefault="00000000">
            <w:pPr>
              <w:tabs>
                <w:tab w:val="clear" w:pos="567"/>
                <w:tab w:val="clear" w:pos="1134"/>
                <w:tab w:val="clear" w:pos="1701"/>
                <w:tab w:val="clear" w:pos="2268"/>
                <w:tab w:val="clear" w:pos="6237"/>
                <w:tab w:val="decimal" w:pos="789"/>
              </w:tabs>
              <w:rPr>
                <w:sz w:val="20"/>
              </w:rPr>
            </w:pPr>
            <w:r>
              <w:rPr>
                <w:sz w:val="20"/>
              </w:rPr>
              <w:t>0,68</w:t>
            </w:r>
          </w:p>
        </w:tc>
        <w:tc>
          <w:tcPr>
            <w:tcW w:w="1722" w:type="dxa"/>
          </w:tcPr>
          <w:p w:rsidR="00000000" w:rsidRDefault="00000000">
            <w:pPr>
              <w:tabs>
                <w:tab w:val="clear" w:pos="567"/>
                <w:tab w:val="clear" w:pos="1134"/>
                <w:tab w:val="clear" w:pos="1701"/>
                <w:tab w:val="clear" w:pos="2268"/>
                <w:tab w:val="clear" w:pos="6237"/>
                <w:tab w:val="decimal" w:pos="789"/>
              </w:tabs>
              <w:rPr>
                <w:sz w:val="20"/>
              </w:rPr>
            </w:pPr>
            <w:r>
              <w:rPr>
                <w:sz w:val="20"/>
              </w:rPr>
              <w:t>0,47</w:t>
            </w:r>
          </w:p>
        </w:tc>
        <w:tc>
          <w:tcPr>
            <w:tcW w:w="1651" w:type="dxa"/>
          </w:tcPr>
          <w:p w:rsidR="00000000" w:rsidRDefault="00000000">
            <w:pPr>
              <w:tabs>
                <w:tab w:val="clear" w:pos="567"/>
                <w:tab w:val="clear" w:pos="1134"/>
                <w:tab w:val="clear" w:pos="1701"/>
                <w:tab w:val="clear" w:pos="2268"/>
                <w:tab w:val="clear" w:pos="6237"/>
                <w:tab w:val="decimal" w:pos="789"/>
              </w:tabs>
              <w:rPr>
                <w:sz w:val="20"/>
              </w:rPr>
            </w:pPr>
            <w:r>
              <w:rPr>
                <w:sz w:val="20"/>
              </w:rPr>
              <w:t>0,45</w:t>
            </w:r>
          </w:p>
        </w:tc>
      </w:tr>
      <w:tr w:rsidR="00000000">
        <w:tblPrEx>
          <w:tblCellMar>
            <w:top w:w="0" w:type="dxa"/>
            <w:bottom w:w="0" w:type="dxa"/>
          </w:tblCellMar>
        </w:tblPrEx>
        <w:tc>
          <w:tcPr>
            <w:tcW w:w="2529" w:type="dxa"/>
          </w:tcPr>
          <w:p w:rsidR="00000000" w:rsidRDefault="00000000">
            <w:pPr>
              <w:rPr>
                <w:sz w:val="20"/>
              </w:rPr>
            </w:pPr>
            <w:r>
              <w:rPr>
                <w:sz w:val="20"/>
              </w:rPr>
              <w:t>Необъявленное</w:t>
            </w:r>
          </w:p>
        </w:tc>
        <w:tc>
          <w:tcPr>
            <w:tcW w:w="1834" w:type="dxa"/>
          </w:tcPr>
          <w:p w:rsidR="00000000" w:rsidRDefault="00000000">
            <w:pPr>
              <w:tabs>
                <w:tab w:val="clear" w:pos="567"/>
                <w:tab w:val="clear" w:pos="1134"/>
                <w:tab w:val="clear" w:pos="1701"/>
                <w:tab w:val="clear" w:pos="2268"/>
                <w:tab w:val="clear" w:pos="6237"/>
                <w:tab w:val="decimal" w:pos="789"/>
              </w:tabs>
              <w:rPr>
                <w:sz w:val="20"/>
              </w:rPr>
            </w:pPr>
            <w:r>
              <w:rPr>
                <w:sz w:val="20"/>
              </w:rPr>
              <w:t>0,14</w:t>
            </w:r>
          </w:p>
        </w:tc>
        <w:tc>
          <w:tcPr>
            <w:tcW w:w="1721" w:type="dxa"/>
          </w:tcPr>
          <w:p w:rsidR="00000000" w:rsidRDefault="00000000">
            <w:pPr>
              <w:tabs>
                <w:tab w:val="clear" w:pos="567"/>
                <w:tab w:val="clear" w:pos="1134"/>
                <w:tab w:val="clear" w:pos="1701"/>
                <w:tab w:val="clear" w:pos="2268"/>
                <w:tab w:val="clear" w:pos="6237"/>
                <w:tab w:val="decimal" w:pos="789"/>
              </w:tabs>
              <w:rPr>
                <w:sz w:val="20"/>
              </w:rPr>
            </w:pPr>
            <w:r>
              <w:rPr>
                <w:sz w:val="20"/>
              </w:rPr>
              <w:t>-</w:t>
            </w:r>
          </w:p>
        </w:tc>
        <w:tc>
          <w:tcPr>
            <w:tcW w:w="1722" w:type="dxa"/>
          </w:tcPr>
          <w:p w:rsidR="00000000" w:rsidRDefault="00000000">
            <w:pPr>
              <w:tabs>
                <w:tab w:val="clear" w:pos="567"/>
                <w:tab w:val="clear" w:pos="1134"/>
                <w:tab w:val="clear" w:pos="1701"/>
                <w:tab w:val="clear" w:pos="2268"/>
                <w:tab w:val="clear" w:pos="6237"/>
                <w:tab w:val="decimal" w:pos="789"/>
              </w:tabs>
              <w:rPr>
                <w:sz w:val="20"/>
              </w:rPr>
            </w:pPr>
            <w:r>
              <w:rPr>
                <w:sz w:val="20"/>
              </w:rPr>
              <w:t>0,00</w:t>
            </w:r>
          </w:p>
        </w:tc>
        <w:tc>
          <w:tcPr>
            <w:tcW w:w="1651" w:type="dxa"/>
          </w:tcPr>
          <w:p w:rsidR="00000000" w:rsidRDefault="00000000">
            <w:pPr>
              <w:tabs>
                <w:tab w:val="clear" w:pos="567"/>
                <w:tab w:val="clear" w:pos="1134"/>
                <w:tab w:val="clear" w:pos="1701"/>
                <w:tab w:val="clear" w:pos="2268"/>
                <w:tab w:val="clear" w:pos="6237"/>
                <w:tab w:val="decimal" w:pos="789"/>
              </w:tabs>
              <w:rPr>
                <w:sz w:val="20"/>
              </w:rPr>
            </w:pPr>
            <w:r>
              <w:rPr>
                <w:sz w:val="20"/>
              </w:rPr>
              <w:t>0,00</w:t>
            </w:r>
          </w:p>
        </w:tc>
      </w:tr>
      <w:tr w:rsidR="00000000">
        <w:tblPrEx>
          <w:tblCellMar>
            <w:top w:w="0" w:type="dxa"/>
            <w:bottom w:w="0" w:type="dxa"/>
          </w:tblCellMar>
        </w:tblPrEx>
        <w:tc>
          <w:tcPr>
            <w:tcW w:w="2529" w:type="dxa"/>
          </w:tcPr>
          <w:p w:rsidR="00000000" w:rsidRDefault="00000000">
            <w:pPr>
              <w:rPr>
                <w:sz w:val="20"/>
              </w:rPr>
            </w:pPr>
            <w:r>
              <w:rPr>
                <w:sz w:val="20"/>
              </w:rPr>
              <w:t>Всего</w:t>
            </w:r>
          </w:p>
        </w:tc>
        <w:tc>
          <w:tcPr>
            <w:tcW w:w="1834" w:type="dxa"/>
          </w:tcPr>
          <w:p w:rsidR="00000000" w:rsidRDefault="00000000">
            <w:pPr>
              <w:tabs>
                <w:tab w:val="clear" w:pos="567"/>
                <w:tab w:val="clear" w:pos="1134"/>
                <w:tab w:val="clear" w:pos="1701"/>
                <w:tab w:val="clear" w:pos="2268"/>
                <w:tab w:val="clear" w:pos="6237"/>
                <w:tab w:val="decimal" w:pos="789"/>
              </w:tabs>
              <w:rPr>
                <w:sz w:val="20"/>
              </w:rPr>
            </w:pPr>
            <w:r>
              <w:rPr>
                <w:sz w:val="20"/>
              </w:rPr>
              <w:t>100,00</w:t>
            </w:r>
          </w:p>
        </w:tc>
        <w:tc>
          <w:tcPr>
            <w:tcW w:w="1721" w:type="dxa"/>
          </w:tcPr>
          <w:p w:rsidR="00000000" w:rsidRDefault="00000000">
            <w:pPr>
              <w:tabs>
                <w:tab w:val="clear" w:pos="567"/>
                <w:tab w:val="clear" w:pos="1134"/>
                <w:tab w:val="clear" w:pos="1701"/>
                <w:tab w:val="clear" w:pos="2268"/>
                <w:tab w:val="clear" w:pos="6237"/>
                <w:tab w:val="decimal" w:pos="789"/>
              </w:tabs>
              <w:rPr>
                <w:sz w:val="20"/>
              </w:rPr>
            </w:pPr>
            <w:r>
              <w:rPr>
                <w:sz w:val="20"/>
              </w:rPr>
              <w:t>100,00</w:t>
            </w:r>
          </w:p>
        </w:tc>
        <w:tc>
          <w:tcPr>
            <w:tcW w:w="1722" w:type="dxa"/>
          </w:tcPr>
          <w:p w:rsidR="00000000" w:rsidRDefault="00000000">
            <w:pPr>
              <w:tabs>
                <w:tab w:val="clear" w:pos="567"/>
                <w:tab w:val="clear" w:pos="1134"/>
                <w:tab w:val="clear" w:pos="1701"/>
                <w:tab w:val="clear" w:pos="2268"/>
                <w:tab w:val="clear" w:pos="6237"/>
                <w:tab w:val="decimal" w:pos="789"/>
              </w:tabs>
              <w:rPr>
                <w:sz w:val="20"/>
              </w:rPr>
            </w:pPr>
            <w:r>
              <w:rPr>
                <w:sz w:val="20"/>
              </w:rPr>
              <w:t>100,00</w:t>
            </w:r>
          </w:p>
        </w:tc>
        <w:tc>
          <w:tcPr>
            <w:tcW w:w="1651" w:type="dxa"/>
          </w:tcPr>
          <w:p w:rsidR="00000000" w:rsidRDefault="00000000">
            <w:pPr>
              <w:tabs>
                <w:tab w:val="clear" w:pos="567"/>
                <w:tab w:val="clear" w:pos="1134"/>
                <w:tab w:val="clear" w:pos="1701"/>
                <w:tab w:val="clear" w:pos="2268"/>
                <w:tab w:val="clear" w:pos="6237"/>
                <w:tab w:val="decimal" w:pos="789"/>
              </w:tabs>
              <w:rPr>
                <w:sz w:val="20"/>
              </w:rPr>
            </w:pPr>
            <w:r>
              <w:rPr>
                <w:sz w:val="20"/>
              </w:rPr>
              <w:t>100,00</w:t>
            </w:r>
          </w:p>
        </w:tc>
      </w:tr>
    </w:tbl>
    <w:p w:rsidR="00000000" w:rsidRDefault="00000000">
      <w:pPr>
        <w:pStyle w:val="16"/>
        <w:tabs>
          <w:tab w:val="left" w:pos="2805"/>
        </w:tabs>
        <w:jc w:val="left"/>
        <w:rPr>
          <w:b/>
          <w:bCs/>
          <w:sz w:val="20"/>
        </w:rPr>
      </w:pPr>
    </w:p>
    <w:p w:rsidR="00000000" w:rsidRDefault="00000000">
      <w:pPr>
        <w:pStyle w:val="16"/>
        <w:keepNext/>
        <w:tabs>
          <w:tab w:val="left" w:pos="2805"/>
        </w:tabs>
        <w:jc w:val="left"/>
      </w:pPr>
      <w:r>
        <w:tab/>
        <w:t>Источник:</w:t>
      </w:r>
      <w:r>
        <w:tab/>
        <w:t xml:space="preserve">   *  БИГС - Ежегодный статистический справочник, 1998 год.</w:t>
      </w:r>
    </w:p>
    <w:p w:rsidR="00000000" w:rsidRDefault="00000000">
      <w:pPr>
        <w:pStyle w:val="16"/>
        <w:tabs>
          <w:tab w:val="left" w:pos="2805"/>
        </w:tabs>
        <w:jc w:val="left"/>
      </w:pPr>
      <w:r>
        <w:tab/>
      </w:r>
      <w:r>
        <w:tab/>
      </w:r>
      <w:r>
        <w:tab/>
        <w:t xml:space="preserve"> **  БИГС - Краткий справочник показателей ОВОДХ, 1996 год.</w:t>
      </w:r>
    </w:p>
    <w:p w:rsidR="00000000" w:rsidRDefault="00000000">
      <w:pPr>
        <w:pStyle w:val="16"/>
        <w:tabs>
          <w:tab w:val="left" w:pos="2805"/>
          <w:tab w:val="left" w:pos="3740"/>
        </w:tabs>
        <w:ind w:left="2805" w:hanging="2805"/>
        <w:jc w:val="left"/>
      </w:pPr>
      <w:r>
        <w:tab/>
      </w:r>
      <w:r>
        <w:tab/>
      </w:r>
      <w:r>
        <w:tab/>
        <w:t>*** БИГС - Предварительные расчеты ИПЕА/ДИРУР на основе данных</w:t>
      </w:r>
    </w:p>
    <w:p w:rsidR="00000000" w:rsidRDefault="00000000">
      <w:pPr>
        <w:pStyle w:val="16"/>
        <w:tabs>
          <w:tab w:val="left" w:pos="2805"/>
          <w:tab w:val="left" w:pos="3740"/>
        </w:tabs>
        <w:ind w:left="2805" w:hanging="2805"/>
        <w:jc w:val="left"/>
      </w:pPr>
      <w:r>
        <w:tab/>
      </w:r>
      <w:r>
        <w:tab/>
      </w:r>
      <w:r>
        <w:tab/>
        <w:t xml:space="preserve">                     ОВОДХ 1997 года.</w:t>
      </w:r>
    </w:p>
    <w:p w:rsidR="00000000" w:rsidRDefault="00000000">
      <w:pPr>
        <w:pStyle w:val="16"/>
        <w:tabs>
          <w:tab w:val="left" w:pos="2805"/>
          <w:tab w:val="left" w:pos="3740"/>
        </w:tabs>
        <w:jc w:val="left"/>
      </w:pPr>
    </w:p>
    <w:p w:rsidR="00000000" w:rsidRDefault="00000000">
      <w:pPr>
        <w:pStyle w:val="16"/>
        <w:tabs>
          <w:tab w:val="left" w:pos="2805"/>
          <w:tab w:val="left" w:pos="3740"/>
        </w:tabs>
        <w:jc w:val="left"/>
      </w:pPr>
    </w:p>
    <w:p w:rsidR="00000000" w:rsidRDefault="00000000">
      <w:pPr>
        <w:pStyle w:val="16"/>
        <w:tabs>
          <w:tab w:val="left" w:pos="2805"/>
          <w:tab w:val="left" w:pos="3740"/>
        </w:tabs>
        <w:jc w:val="left"/>
      </w:pPr>
      <w:r>
        <w:t>502.</w:t>
      </w:r>
      <w:r>
        <w:tab/>
        <w:t>Начиная с 1970 года отчетливо прослеживается тенденция к улучшению санитарно-гигиенических условий, в особенности в том, что касается водоснабжения.</w:t>
      </w:r>
    </w:p>
    <w:p w:rsidR="00000000" w:rsidRDefault="00000000">
      <w:pPr>
        <w:pStyle w:val="16"/>
        <w:keepNext/>
        <w:tabs>
          <w:tab w:val="left" w:pos="2805"/>
          <w:tab w:val="left" w:pos="3740"/>
        </w:tabs>
        <w:rPr>
          <w:b/>
          <w:bCs/>
        </w:rPr>
      </w:pPr>
      <w:r>
        <w:rPr>
          <w:b/>
          <w:bCs/>
        </w:rPr>
        <w:t>Таблица 65.  Эволюция базовых санитарно-гигиенических показателей в Бразилии, 1970</w:t>
      </w:r>
      <w:r>
        <w:rPr>
          <w:b/>
          <w:bCs/>
        </w:rPr>
        <w:noBreakHyphen/>
        <w:t>1996 годы (%)</w:t>
      </w:r>
    </w:p>
    <w:p w:rsidR="00000000" w:rsidRDefault="00000000">
      <w:pPr>
        <w:pStyle w:val="16"/>
        <w:keepNext/>
        <w:tabs>
          <w:tab w:val="left" w:pos="2805"/>
          <w:tab w:val="left" w:pos="3740"/>
        </w:tabs>
        <w:rPr>
          <w:b/>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4279"/>
        <w:gridCol w:w="1036"/>
        <w:gridCol w:w="1063"/>
        <w:gridCol w:w="1050"/>
        <w:gridCol w:w="1022"/>
        <w:gridCol w:w="980"/>
      </w:tblGrid>
      <w:tr w:rsidR="00000000">
        <w:tblPrEx>
          <w:tblCellMar>
            <w:top w:w="0" w:type="dxa"/>
            <w:bottom w:w="0" w:type="dxa"/>
          </w:tblCellMar>
        </w:tblPrEx>
        <w:tc>
          <w:tcPr>
            <w:tcW w:w="4279" w:type="dxa"/>
          </w:tcPr>
          <w:p w:rsidR="00000000" w:rsidRDefault="00000000">
            <w:pPr>
              <w:pStyle w:val="16"/>
              <w:keepNext/>
              <w:tabs>
                <w:tab w:val="left" w:pos="2805"/>
                <w:tab w:val="left" w:pos="3740"/>
              </w:tabs>
            </w:pPr>
            <w:r>
              <w:t>Показатели</w:t>
            </w:r>
          </w:p>
        </w:tc>
        <w:tc>
          <w:tcPr>
            <w:tcW w:w="1036" w:type="dxa"/>
          </w:tcPr>
          <w:p w:rsidR="00000000" w:rsidRDefault="00000000">
            <w:pPr>
              <w:pStyle w:val="16"/>
              <w:keepNext/>
              <w:tabs>
                <w:tab w:val="clear" w:pos="567"/>
                <w:tab w:val="clear" w:pos="1134"/>
                <w:tab w:val="clear" w:pos="1701"/>
                <w:tab w:val="clear" w:pos="2268"/>
                <w:tab w:val="clear" w:pos="6237"/>
              </w:tabs>
            </w:pPr>
            <w:r>
              <w:t>1970*</w:t>
            </w:r>
          </w:p>
        </w:tc>
        <w:tc>
          <w:tcPr>
            <w:tcW w:w="1063" w:type="dxa"/>
          </w:tcPr>
          <w:p w:rsidR="00000000" w:rsidRDefault="00000000">
            <w:pPr>
              <w:pStyle w:val="16"/>
              <w:keepNext/>
              <w:tabs>
                <w:tab w:val="clear" w:pos="567"/>
                <w:tab w:val="clear" w:pos="1134"/>
                <w:tab w:val="clear" w:pos="1701"/>
                <w:tab w:val="clear" w:pos="2268"/>
                <w:tab w:val="clear" w:pos="6237"/>
              </w:tabs>
            </w:pPr>
            <w:r>
              <w:t>1980*</w:t>
            </w:r>
          </w:p>
        </w:tc>
        <w:tc>
          <w:tcPr>
            <w:tcW w:w="1050" w:type="dxa"/>
          </w:tcPr>
          <w:p w:rsidR="00000000" w:rsidRDefault="00000000">
            <w:pPr>
              <w:pStyle w:val="16"/>
              <w:keepNext/>
              <w:tabs>
                <w:tab w:val="clear" w:pos="567"/>
                <w:tab w:val="clear" w:pos="1134"/>
                <w:tab w:val="clear" w:pos="1701"/>
                <w:tab w:val="clear" w:pos="2268"/>
                <w:tab w:val="clear" w:pos="6237"/>
              </w:tabs>
            </w:pPr>
            <w:r>
              <w:t>1991*</w:t>
            </w:r>
          </w:p>
        </w:tc>
        <w:tc>
          <w:tcPr>
            <w:tcW w:w="1022" w:type="dxa"/>
          </w:tcPr>
          <w:p w:rsidR="00000000" w:rsidRDefault="00000000">
            <w:pPr>
              <w:pStyle w:val="16"/>
              <w:keepNext/>
              <w:tabs>
                <w:tab w:val="clear" w:pos="567"/>
                <w:tab w:val="clear" w:pos="1134"/>
                <w:tab w:val="clear" w:pos="1701"/>
                <w:tab w:val="clear" w:pos="2268"/>
                <w:tab w:val="clear" w:pos="6237"/>
              </w:tabs>
            </w:pPr>
            <w:r>
              <w:t>1995*</w:t>
            </w:r>
          </w:p>
        </w:tc>
        <w:tc>
          <w:tcPr>
            <w:tcW w:w="980" w:type="dxa"/>
          </w:tcPr>
          <w:p w:rsidR="00000000" w:rsidRDefault="00000000">
            <w:pPr>
              <w:pStyle w:val="16"/>
              <w:keepNext/>
              <w:tabs>
                <w:tab w:val="clear" w:pos="567"/>
                <w:tab w:val="clear" w:pos="1134"/>
                <w:tab w:val="clear" w:pos="1701"/>
                <w:tab w:val="clear" w:pos="2268"/>
                <w:tab w:val="clear" w:pos="6237"/>
              </w:tabs>
            </w:pPr>
            <w:r>
              <w:t>1996**</w:t>
            </w:r>
          </w:p>
        </w:tc>
      </w:tr>
      <w:tr w:rsidR="00000000">
        <w:tblPrEx>
          <w:tblCellMar>
            <w:top w:w="0" w:type="dxa"/>
            <w:bottom w:w="0" w:type="dxa"/>
          </w:tblCellMar>
        </w:tblPrEx>
        <w:tc>
          <w:tcPr>
            <w:tcW w:w="4279" w:type="dxa"/>
          </w:tcPr>
          <w:p w:rsidR="00000000" w:rsidRDefault="00000000">
            <w:pPr>
              <w:pStyle w:val="16"/>
              <w:keepNext/>
              <w:tabs>
                <w:tab w:val="left" w:pos="196"/>
                <w:tab w:val="left" w:pos="2805"/>
              </w:tabs>
              <w:jc w:val="left"/>
            </w:pPr>
            <w:r>
              <w:t>Водоснабжение</w:t>
            </w:r>
          </w:p>
        </w:tc>
        <w:tc>
          <w:tcPr>
            <w:tcW w:w="1036" w:type="dxa"/>
          </w:tcPr>
          <w:p w:rsidR="00000000" w:rsidRDefault="00000000">
            <w:pPr>
              <w:pStyle w:val="16"/>
              <w:keepNext/>
              <w:tabs>
                <w:tab w:val="clear" w:pos="567"/>
                <w:tab w:val="clear" w:pos="1134"/>
                <w:tab w:val="clear" w:pos="1701"/>
                <w:tab w:val="clear" w:pos="2268"/>
                <w:tab w:val="clear" w:pos="6237"/>
                <w:tab w:val="decimal" w:pos="915"/>
              </w:tabs>
              <w:jc w:val="left"/>
            </w:pPr>
          </w:p>
        </w:tc>
        <w:tc>
          <w:tcPr>
            <w:tcW w:w="1063" w:type="dxa"/>
          </w:tcPr>
          <w:p w:rsidR="00000000" w:rsidRDefault="00000000">
            <w:pPr>
              <w:pStyle w:val="16"/>
              <w:keepNext/>
              <w:tabs>
                <w:tab w:val="clear" w:pos="567"/>
                <w:tab w:val="clear" w:pos="1134"/>
                <w:tab w:val="clear" w:pos="1701"/>
                <w:tab w:val="clear" w:pos="2268"/>
                <w:tab w:val="clear" w:pos="6237"/>
                <w:tab w:val="decimal" w:pos="915"/>
              </w:tabs>
              <w:jc w:val="left"/>
            </w:pPr>
          </w:p>
        </w:tc>
        <w:tc>
          <w:tcPr>
            <w:tcW w:w="1050" w:type="dxa"/>
          </w:tcPr>
          <w:p w:rsidR="00000000" w:rsidRDefault="00000000">
            <w:pPr>
              <w:pStyle w:val="16"/>
              <w:keepNext/>
              <w:tabs>
                <w:tab w:val="clear" w:pos="567"/>
                <w:tab w:val="clear" w:pos="1134"/>
                <w:tab w:val="clear" w:pos="1701"/>
                <w:tab w:val="clear" w:pos="2268"/>
                <w:tab w:val="clear" w:pos="6237"/>
                <w:tab w:val="decimal" w:pos="915"/>
              </w:tabs>
              <w:jc w:val="left"/>
            </w:pPr>
          </w:p>
        </w:tc>
        <w:tc>
          <w:tcPr>
            <w:tcW w:w="1022" w:type="dxa"/>
          </w:tcPr>
          <w:p w:rsidR="00000000" w:rsidRDefault="00000000">
            <w:pPr>
              <w:pStyle w:val="16"/>
              <w:keepNext/>
              <w:tabs>
                <w:tab w:val="clear" w:pos="567"/>
                <w:tab w:val="clear" w:pos="1134"/>
                <w:tab w:val="clear" w:pos="1701"/>
                <w:tab w:val="clear" w:pos="2268"/>
                <w:tab w:val="clear" w:pos="6237"/>
                <w:tab w:val="decimal" w:pos="915"/>
              </w:tabs>
              <w:jc w:val="left"/>
            </w:pPr>
          </w:p>
        </w:tc>
        <w:tc>
          <w:tcPr>
            <w:tcW w:w="980" w:type="dxa"/>
          </w:tcPr>
          <w:p w:rsidR="00000000" w:rsidRDefault="00000000">
            <w:pPr>
              <w:pStyle w:val="16"/>
              <w:keepNext/>
              <w:tabs>
                <w:tab w:val="clear" w:pos="567"/>
                <w:tab w:val="clear" w:pos="1134"/>
                <w:tab w:val="clear" w:pos="1701"/>
                <w:tab w:val="clear" w:pos="2268"/>
                <w:tab w:val="clear" w:pos="6237"/>
                <w:tab w:val="decimal" w:pos="915"/>
              </w:tabs>
              <w:jc w:val="left"/>
            </w:pPr>
          </w:p>
        </w:tc>
      </w:tr>
      <w:tr w:rsidR="00000000">
        <w:tblPrEx>
          <w:tblCellMar>
            <w:top w:w="0" w:type="dxa"/>
            <w:bottom w:w="0" w:type="dxa"/>
          </w:tblCellMar>
        </w:tblPrEx>
        <w:tc>
          <w:tcPr>
            <w:tcW w:w="4279" w:type="dxa"/>
          </w:tcPr>
          <w:p w:rsidR="00000000" w:rsidRDefault="00000000">
            <w:pPr>
              <w:pStyle w:val="16"/>
              <w:keepNext/>
              <w:tabs>
                <w:tab w:val="left" w:pos="187"/>
                <w:tab w:val="left" w:pos="224"/>
                <w:tab w:val="left" w:pos="2805"/>
                <w:tab w:val="left" w:pos="3740"/>
              </w:tabs>
              <w:jc w:val="left"/>
            </w:pPr>
            <w:r>
              <w:tab/>
              <w:t>Городские дома</w:t>
            </w:r>
          </w:p>
        </w:tc>
        <w:tc>
          <w:tcPr>
            <w:tcW w:w="1036" w:type="dxa"/>
          </w:tcPr>
          <w:p w:rsidR="00000000" w:rsidRDefault="00000000">
            <w:pPr>
              <w:pStyle w:val="16"/>
              <w:keepNext/>
              <w:tabs>
                <w:tab w:val="clear" w:pos="1134"/>
                <w:tab w:val="clear" w:pos="1701"/>
                <w:tab w:val="clear" w:pos="2268"/>
                <w:tab w:val="clear" w:pos="6237"/>
                <w:tab w:val="decimal" w:pos="567"/>
              </w:tabs>
              <w:jc w:val="left"/>
            </w:pPr>
            <w:r>
              <w:t>60,5</w:t>
            </w:r>
          </w:p>
        </w:tc>
        <w:tc>
          <w:tcPr>
            <w:tcW w:w="1063" w:type="dxa"/>
          </w:tcPr>
          <w:p w:rsidR="00000000" w:rsidRDefault="00000000">
            <w:pPr>
              <w:pStyle w:val="16"/>
              <w:keepNext/>
              <w:tabs>
                <w:tab w:val="clear" w:pos="1134"/>
                <w:tab w:val="clear" w:pos="1701"/>
                <w:tab w:val="clear" w:pos="2268"/>
                <w:tab w:val="clear" w:pos="6237"/>
                <w:tab w:val="decimal" w:pos="567"/>
              </w:tabs>
              <w:jc w:val="left"/>
            </w:pPr>
            <w:r>
              <w:t>79,0</w:t>
            </w:r>
          </w:p>
        </w:tc>
        <w:tc>
          <w:tcPr>
            <w:tcW w:w="1050" w:type="dxa"/>
          </w:tcPr>
          <w:p w:rsidR="00000000" w:rsidRDefault="00000000">
            <w:pPr>
              <w:pStyle w:val="16"/>
              <w:keepNext/>
              <w:tabs>
                <w:tab w:val="clear" w:pos="1134"/>
                <w:tab w:val="clear" w:pos="1701"/>
                <w:tab w:val="clear" w:pos="2268"/>
                <w:tab w:val="clear" w:pos="6237"/>
                <w:tab w:val="decimal" w:pos="567"/>
              </w:tabs>
              <w:jc w:val="left"/>
            </w:pPr>
            <w:r>
              <w:t>86,3</w:t>
            </w:r>
          </w:p>
        </w:tc>
        <w:tc>
          <w:tcPr>
            <w:tcW w:w="1022" w:type="dxa"/>
          </w:tcPr>
          <w:p w:rsidR="00000000" w:rsidRDefault="00000000">
            <w:pPr>
              <w:pStyle w:val="16"/>
              <w:keepNext/>
              <w:tabs>
                <w:tab w:val="clear" w:pos="1134"/>
                <w:tab w:val="clear" w:pos="1701"/>
                <w:tab w:val="clear" w:pos="2268"/>
                <w:tab w:val="clear" w:pos="6237"/>
                <w:tab w:val="decimal" w:pos="567"/>
              </w:tabs>
              <w:jc w:val="left"/>
            </w:pPr>
            <w:r>
              <w:t>90,4</w:t>
            </w:r>
          </w:p>
        </w:tc>
        <w:tc>
          <w:tcPr>
            <w:tcW w:w="980" w:type="dxa"/>
          </w:tcPr>
          <w:p w:rsidR="00000000" w:rsidRDefault="00000000">
            <w:pPr>
              <w:pStyle w:val="16"/>
              <w:keepNext/>
              <w:tabs>
                <w:tab w:val="clear" w:pos="1134"/>
                <w:tab w:val="clear" w:pos="1701"/>
                <w:tab w:val="clear" w:pos="2268"/>
                <w:tab w:val="clear" w:pos="6237"/>
                <w:tab w:val="decimal" w:pos="567"/>
              </w:tabs>
              <w:jc w:val="left"/>
            </w:pPr>
            <w:r>
              <w:t>92,0</w:t>
            </w:r>
          </w:p>
        </w:tc>
      </w:tr>
      <w:tr w:rsidR="00000000">
        <w:tblPrEx>
          <w:tblCellMar>
            <w:top w:w="0" w:type="dxa"/>
            <w:bottom w:w="0" w:type="dxa"/>
          </w:tblCellMar>
        </w:tblPrEx>
        <w:trPr>
          <w:trHeight w:val="313"/>
        </w:trPr>
        <w:tc>
          <w:tcPr>
            <w:tcW w:w="4279" w:type="dxa"/>
          </w:tcPr>
          <w:p w:rsidR="00000000" w:rsidRDefault="00000000">
            <w:pPr>
              <w:pStyle w:val="16"/>
              <w:keepNext/>
              <w:tabs>
                <w:tab w:val="left" w:pos="187"/>
                <w:tab w:val="left" w:pos="224"/>
                <w:tab w:val="left" w:pos="2805"/>
                <w:tab w:val="left" w:pos="3740"/>
              </w:tabs>
              <w:jc w:val="left"/>
            </w:pPr>
            <w:r>
              <w:tab/>
              <w:t>Сельские дома</w:t>
            </w:r>
          </w:p>
        </w:tc>
        <w:tc>
          <w:tcPr>
            <w:tcW w:w="1036" w:type="dxa"/>
          </w:tcPr>
          <w:p w:rsidR="00000000" w:rsidRDefault="00000000">
            <w:pPr>
              <w:pStyle w:val="16"/>
              <w:keepNext/>
              <w:tabs>
                <w:tab w:val="clear" w:pos="1134"/>
                <w:tab w:val="clear" w:pos="1701"/>
                <w:tab w:val="clear" w:pos="2268"/>
                <w:tab w:val="clear" w:pos="6237"/>
                <w:tab w:val="decimal" w:pos="567"/>
              </w:tabs>
              <w:jc w:val="left"/>
            </w:pPr>
            <w:r>
              <w:t>2,6</w:t>
            </w:r>
          </w:p>
        </w:tc>
        <w:tc>
          <w:tcPr>
            <w:tcW w:w="1063" w:type="dxa"/>
          </w:tcPr>
          <w:p w:rsidR="00000000" w:rsidRDefault="00000000">
            <w:pPr>
              <w:pStyle w:val="16"/>
              <w:keepNext/>
              <w:tabs>
                <w:tab w:val="clear" w:pos="1134"/>
                <w:tab w:val="clear" w:pos="1701"/>
                <w:tab w:val="clear" w:pos="2268"/>
                <w:tab w:val="clear" w:pos="6237"/>
                <w:tab w:val="decimal" w:pos="567"/>
              </w:tabs>
              <w:jc w:val="left"/>
            </w:pPr>
            <w:r>
              <w:t>5,0</w:t>
            </w:r>
          </w:p>
        </w:tc>
        <w:tc>
          <w:tcPr>
            <w:tcW w:w="1050" w:type="dxa"/>
          </w:tcPr>
          <w:p w:rsidR="00000000" w:rsidRDefault="00000000">
            <w:pPr>
              <w:pStyle w:val="16"/>
              <w:keepNext/>
              <w:tabs>
                <w:tab w:val="clear" w:pos="1134"/>
                <w:tab w:val="clear" w:pos="1701"/>
                <w:tab w:val="clear" w:pos="2268"/>
                <w:tab w:val="clear" w:pos="6237"/>
                <w:tab w:val="decimal" w:pos="567"/>
              </w:tabs>
              <w:jc w:val="left"/>
            </w:pPr>
            <w:r>
              <w:t>9,3</w:t>
            </w:r>
          </w:p>
        </w:tc>
        <w:tc>
          <w:tcPr>
            <w:tcW w:w="1022" w:type="dxa"/>
          </w:tcPr>
          <w:p w:rsidR="00000000" w:rsidRDefault="00000000">
            <w:pPr>
              <w:pStyle w:val="16"/>
              <w:keepNext/>
              <w:tabs>
                <w:tab w:val="clear" w:pos="1134"/>
                <w:tab w:val="clear" w:pos="1701"/>
                <w:tab w:val="clear" w:pos="2268"/>
                <w:tab w:val="clear" w:pos="6237"/>
                <w:tab w:val="decimal" w:pos="567"/>
              </w:tabs>
              <w:jc w:val="left"/>
            </w:pPr>
            <w:r>
              <w:t>16,7</w:t>
            </w:r>
          </w:p>
        </w:tc>
        <w:tc>
          <w:tcPr>
            <w:tcW w:w="980" w:type="dxa"/>
          </w:tcPr>
          <w:p w:rsidR="00000000" w:rsidRDefault="00000000">
            <w:pPr>
              <w:pStyle w:val="16"/>
              <w:keepNext/>
              <w:tabs>
                <w:tab w:val="clear" w:pos="1134"/>
                <w:tab w:val="clear" w:pos="1701"/>
                <w:tab w:val="clear" w:pos="2268"/>
                <w:tab w:val="clear" w:pos="6237"/>
                <w:tab w:val="decimal" w:pos="567"/>
              </w:tabs>
              <w:jc w:val="left"/>
            </w:pPr>
            <w:r>
              <w:t>15,7</w:t>
            </w:r>
          </w:p>
        </w:tc>
      </w:tr>
      <w:tr w:rsidR="00000000">
        <w:tblPrEx>
          <w:tblCellMar>
            <w:top w:w="0" w:type="dxa"/>
            <w:bottom w:w="0" w:type="dxa"/>
          </w:tblCellMar>
        </w:tblPrEx>
        <w:trPr>
          <w:trHeight w:val="481"/>
        </w:trPr>
        <w:tc>
          <w:tcPr>
            <w:tcW w:w="4279" w:type="dxa"/>
          </w:tcPr>
          <w:p w:rsidR="00000000" w:rsidRDefault="00000000">
            <w:pPr>
              <w:pStyle w:val="16"/>
              <w:keepNext/>
              <w:tabs>
                <w:tab w:val="left" w:pos="187"/>
                <w:tab w:val="left" w:pos="2805"/>
                <w:tab w:val="left" w:pos="3740"/>
              </w:tabs>
              <w:spacing w:line="216" w:lineRule="auto"/>
              <w:jc w:val="left"/>
            </w:pPr>
            <w:r>
              <w:t>Канализация (отвод сточных вод и</w:t>
            </w:r>
            <w:r>
              <w:rPr>
                <w:lang w:val="en-US"/>
              </w:rPr>
              <w:t> </w:t>
            </w:r>
            <w:r>
              <w:t>канализационные отстойники)</w:t>
            </w:r>
          </w:p>
        </w:tc>
        <w:tc>
          <w:tcPr>
            <w:tcW w:w="1036" w:type="dxa"/>
          </w:tcPr>
          <w:p w:rsidR="00000000" w:rsidRDefault="00000000">
            <w:pPr>
              <w:pStyle w:val="16"/>
              <w:keepNext/>
              <w:tabs>
                <w:tab w:val="clear" w:pos="1134"/>
                <w:tab w:val="clear" w:pos="1701"/>
                <w:tab w:val="clear" w:pos="2268"/>
                <w:tab w:val="clear" w:pos="6237"/>
                <w:tab w:val="decimal" w:pos="567"/>
              </w:tabs>
              <w:spacing w:line="216" w:lineRule="auto"/>
              <w:jc w:val="left"/>
            </w:pPr>
          </w:p>
        </w:tc>
        <w:tc>
          <w:tcPr>
            <w:tcW w:w="1063" w:type="dxa"/>
          </w:tcPr>
          <w:p w:rsidR="00000000" w:rsidRDefault="00000000">
            <w:pPr>
              <w:pStyle w:val="16"/>
              <w:keepNext/>
              <w:tabs>
                <w:tab w:val="clear" w:pos="1134"/>
                <w:tab w:val="clear" w:pos="1701"/>
                <w:tab w:val="clear" w:pos="2268"/>
                <w:tab w:val="clear" w:pos="6237"/>
                <w:tab w:val="decimal" w:pos="567"/>
              </w:tabs>
              <w:spacing w:line="216" w:lineRule="auto"/>
              <w:jc w:val="left"/>
            </w:pPr>
          </w:p>
        </w:tc>
        <w:tc>
          <w:tcPr>
            <w:tcW w:w="1050" w:type="dxa"/>
          </w:tcPr>
          <w:p w:rsidR="00000000" w:rsidRDefault="00000000">
            <w:pPr>
              <w:pStyle w:val="16"/>
              <w:keepNext/>
              <w:tabs>
                <w:tab w:val="clear" w:pos="1134"/>
                <w:tab w:val="clear" w:pos="1701"/>
                <w:tab w:val="clear" w:pos="2268"/>
                <w:tab w:val="clear" w:pos="6237"/>
                <w:tab w:val="decimal" w:pos="567"/>
              </w:tabs>
              <w:spacing w:line="216" w:lineRule="auto"/>
              <w:jc w:val="left"/>
            </w:pPr>
          </w:p>
        </w:tc>
        <w:tc>
          <w:tcPr>
            <w:tcW w:w="1022" w:type="dxa"/>
          </w:tcPr>
          <w:p w:rsidR="00000000" w:rsidRDefault="00000000">
            <w:pPr>
              <w:pStyle w:val="16"/>
              <w:keepNext/>
              <w:tabs>
                <w:tab w:val="clear" w:pos="1134"/>
                <w:tab w:val="clear" w:pos="1701"/>
                <w:tab w:val="clear" w:pos="2268"/>
                <w:tab w:val="clear" w:pos="6237"/>
                <w:tab w:val="decimal" w:pos="567"/>
              </w:tabs>
              <w:spacing w:line="216" w:lineRule="auto"/>
              <w:jc w:val="left"/>
            </w:pPr>
          </w:p>
        </w:tc>
        <w:tc>
          <w:tcPr>
            <w:tcW w:w="980" w:type="dxa"/>
          </w:tcPr>
          <w:p w:rsidR="00000000" w:rsidRDefault="00000000">
            <w:pPr>
              <w:pStyle w:val="16"/>
              <w:keepNext/>
              <w:tabs>
                <w:tab w:val="clear" w:pos="1134"/>
                <w:tab w:val="clear" w:pos="1701"/>
                <w:tab w:val="clear" w:pos="2268"/>
                <w:tab w:val="clear" w:pos="6237"/>
                <w:tab w:val="decimal" w:pos="567"/>
              </w:tabs>
              <w:spacing w:line="216" w:lineRule="auto"/>
              <w:jc w:val="left"/>
            </w:pPr>
          </w:p>
        </w:tc>
      </w:tr>
      <w:tr w:rsidR="00000000">
        <w:tblPrEx>
          <w:tblCellMar>
            <w:top w:w="0" w:type="dxa"/>
            <w:bottom w:w="0" w:type="dxa"/>
          </w:tblCellMar>
        </w:tblPrEx>
        <w:tc>
          <w:tcPr>
            <w:tcW w:w="4279" w:type="dxa"/>
          </w:tcPr>
          <w:p w:rsidR="00000000" w:rsidRDefault="00000000">
            <w:pPr>
              <w:pStyle w:val="16"/>
              <w:keepNext/>
              <w:tabs>
                <w:tab w:val="left" w:pos="187"/>
                <w:tab w:val="left" w:pos="2805"/>
                <w:tab w:val="left" w:pos="3740"/>
              </w:tabs>
              <w:jc w:val="left"/>
            </w:pPr>
            <w:r>
              <w:tab/>
              <w:t>Городские дома</w:t>
            </w:r>
          </w:p>
        </w:tc>
        <w:tc>
          <w:tcPr>
            <w:tcW w:w="1036" w:type="dxa"/>
          </w:tcPr>
          <w:p w:rsidR="00000000" w:rsidRDefault="00000000">
            <w:pPr>
              <w:pStyle w:val="16"/>
              <w:keepNext/>
              <w:tabs>
                <w:tab w:val="clear" w:pos="1134"/>
                <w:tab w:val="clear" w:pos="1701"/>
                <w:tab w:val="clear" w:pos="2268"/>
                <w:tab w:val="clear" w:pos="6237"/>
                <w:tab w:val="decimal" w:pos="567"/>
              </w:tabs>
              <w:jc w:val="left"/>
            </w:pPr>
            <w:r>
              <w:t>47,4</w:t>
            </w:r>
          </w:p>
        </w:tc>
        <w:tc>
          <w:tcPr>
            <w:tcW w:w="1063" w:type="dxa"/>
          </w:tcPr>
          <w:p w:rsidR="00000000" w:rsidRDefault="00000000">
            <w:pPr>
              <w:pStyle w:val="16"/>
              <w:keepNext/>
              <w:tabs>
                <w:tab w:val="clear" w:pos="1134"/>
                <w:tab w:val="clear" w:pos="1701"/>
                <w:tab w:val="clear" w:pos="2268"/>
                <w:tab w:val="clear" w:pos="6237"/>
                <w:tab w:val="decimal" w:pos="567"/>
              </w:tabs>
              <w:jc w:val="left"/>
            </w:pPr>
            <w:r>
              <w:t>60,0</w:t>
            </w:r>
          </w:p>
        </w:tc>
        <w:tc>
          <w:tcPr>
            <w:tcW w:w="1050" w:type="dxa"/>
          </w:tcPr>
          <w:p w:rsidR="00000000" w:rsidRDefault="00000000">
            <w:pPr>
              <w:pStyle w:val="16"/>
              <w:keepNext/>
              <w:tabs>
                <w:tab w:val="clear" w:pos="1134"/>
                <w:tab w:val="clear" w:pos="1701"/>
                <w:tab w:val="clear" w:pos="2268"/>
                <w:tab w:val="clear" w:pos="6237"/>
                <w:tab w:val="decimal" w:pos="567"/>
              </w:tabs>
              <w:jc w:val="left"/>
            </w:pPr>
            <w:r>
              <w:t>63,6</w:t>
            </w:r>
          </w:p>
        </w:tc>
        <w:tc>
          <w:tcPr>
            <w:tcW w:w="1022" w:type="dxa"/>
          </w:tcPr>
          <w:p w:rsidR="00000000" w:rsidRDefault="00000000">
            <w:pPr>
              <w:pStyle w:val="16"/>
              <w:keepNext/>
              <w:tabs>
                <w:tab w:val="clear" w:pos="1134"/>
                <w:tab w:val="clear" w:pos="1701"/>
                <w:tab w:val="clear" w:pos="2268"/>
                <w:tab w:val="clear" w:pos="6237"/>
                <w:tab w:val="decimal" w:pos="567"/>
              </w:tabs>
              <w:jc w:val="left"/>
            </w:pPr>
            <w:r>
              <w:t>70,9</w:t>
            </w:r>
          </w:p>
        </w:tc>
        <w:tc>
          <w:tcPr>
            <w:tcW w:w="980" w:type="dxa"/>
          </w:tcPr>
          <w:p w:rsidR="00000000" w:rsidRDefault="00000000">
            <w:pPr>
              <w:pStyle w:val="16"/>
              <w:keepNext/>
              <w:tabs>
                <w:tab w:val="clear" w:pos="1134"/>
                <w:tab w:val="clear" w:pos="1701"/>
                <w:tab w:val="clear" w:pos="2268"/>
                <w:tab w:val="clear" w:pos="6237"/>
                <w:tab w:val="decimal" w:pos="567"/>
              </w:tabs>
              <w:jc w:val="left"/>
            </w:pPr>
            <w:r>
              <w:t>74,2</w:t>
            </w:r>
          </w:p>
        </w:tc>
      </w:tr>
      <w:tr w:rsidR="00000000">
        <w:tblPrEx>
          <w:tblCellMar>
            <w:top w:w="0" w:type="dxa"/>
            <w:bottom w:w="0" w:type="dxa"/>
          </w:tblCellMar>
        </w:tblPrEx>
        <w:tc>
          <w:tcPr>
            <w:tcW w:w="4279" w:type="dxa"/>
          </w:tcPr>
          <w:p w:rsidR="00000000" w:rsidRDefault="00000000">
            <w:pPr>
              <w:pStyle w:val="16"/>
              <w:keepNext/>
              <w:tabs>
                <w:tab w:val="left" w:pos="187"/>
                <w:tab w:val="left" w:pos="2805"/>
                <w:tab w:val="left" w:pos="3740"/>
              </w:tabs>
              <w:jc w:val="left"/>
            </w:pPr>
            <w:r>
              <w:tab/>
              <w:t>Сельские дома</w:t>
            </w:r>
          </w:p>
        </w:tc>
        <w:tc>
          <w:tcPr>
            <w:tcW w:w="1036" w:type="dxa"/>
          </w:tcPr>
          <w:p w:rsidR="00000000" w:rsidRDefault="00000000">
            <w:pPr>
              <w:pStyle w:val="16"/>
              <w:keepNext/>
              <w:tabs>
                <w:tab w:val="clear" w:pos="1134"/>
                <w:tab w:val="clear" w:pos="1701"/>
                <w:tab w:val="clear" w:pos="2268"/>
                <w:tab w:val="clear" w:pos="6237"/>
                <w:tab w:val="decimal" w:pos="567"/>
              </w:tabs>
              <w:jc w:val="left"/>
            </w:pPr>
            <w:r>
              <w:t>3,7</w:t>
            </w:r>
          </w:p>
        </w:tc>
        <w:tc>
          <w:tcPr>
            <w:tcW w:w="1063" w:type="dxa"/>
          </w:tcPr>
          <w:p w:rsidR="00000000" w:rsidRDefault="00000000">
            <w:pPr>
              <w:pStyle w:val="16"/>
              <w:keepNext/>
              <w:tabs>
                <w:tab w:val="clear" w:pos="1134"/>
                <w:tab w:val="clear" w:pos="1701"/>
                <w:tab w:val="clear" w:pos="2268"/>
                <w:tab w:val="clear" w:pos="6237"/>
                <w:tab w:val="decimal" w:pos="567"/>
              </w:tabs>
              <w:jc w:val="left"/>
            </w:pPr>
            <w:r>
              <w:t>8,6</w:t>
            </w:r>
          </w:p>
        </w:tc>
        <w:tc>
          <w:tcPr>
            <w:tcW w:w="1050" w:type="dxa"/>
          </w:tcPr>
          <w:p w:rsidR="00000000" w:rsidRDefault="00000000">
            <w:pPr>
              <w:pStyle w:val="16"/>
              <w:keepNext/>
              <w:tabs>
                <w:tab w:val="clear" w:pos="1134"/>
                <w:tab w:val="clear" w:pos="1701"/>
                <w:tab w:val="clear" w:pos="2268"/>
                <w:tab w:val="clear" w:pos="6237"/>
                <w:tab w:val="decimal" w:pos="567"/>
              </w:tabs>
              <w:jc w:val="left"/>
            </w:pPr>
            <w:r>
              <w:t>7,4</w:t>
            </w:r>
          </w:p>
        </w:tc>
        <w:tc>
          <w:tcPr>
            <w:tcW w:w="1022" w:type="dxa"/>
          </w:tcPr>
          <w:p w:rsidR="00000000" w:rsidRDefault="00000000">
            <w:pPr>
              <w:pStyle w:val="16"/>
              <w:keepNext/>
              <w:tabs>
                <w:tab w:val="clear" w:pos="1134"/>
                <w:tab w:val="clear" w:pos="1701"/>
                <w:tab w:val="clear" w:pos="2268"/>
                <w:tab w:val="clear" w:pos="6237"/>
                <w:tab w:val="decimal" w:pos="567"/>
              </w:tabs>
              <w:jc w:val="left"/>
            </w:pPr>
            <w:r>
              <w:t>13,8</w:t>
            </w:r>
          </w:p>
        </w:tc>
        <w:tc>
          <w:tcPr>
            <w:tcW w:w="980" w:type="dxa"/>
          </w:tcPr>
          <w:p w:rsidR="00000000" w:rsidRDefault="00000000">
            <w:pPr>
              <w:pStyle w:val="16"/>
              <w:keepNext/>
              <w:tabs>
                <w:tab w:val="clear" w:pos="1134"/>
                <w:tab w:val="clear" w:pos="1701"/>
                <w:tab w:val="clear" w:pos="2268"/>
                <w:tab w:val="clear" w:pos="6237"/>
                <w:tab w:val="decimal" w:pos="567"/>
              </w:tabs>
              <w:jc w:val="left"/>
            </w:pPr>
            <w:r>
              <w:t>18,2</w:t>
            </w:r>
          </w:p>
        </w:tc>
      </w:tr>
    </w:tbl>
    <w:p w:rsidR="00000000" w:rsidRDefault="00000000">
      <w:pPr>
        <w:pStyle w:val="16"/>
        <w:keepNext/>
        <w:tabs>
          <w:tab w:val="left" w:pos="2805"/>
          <w:tab w:val="left" w:pos="3740"/>
        </w:tabs>
        <w:rPr>
          <w:b/>
          <w:bCs/>
          <w:sz w:val="16"/>
        </w:rPr>
      </w:pPr>
    </w:p>
    <w:p w:rsidR="00000000" w:rsidRDefault="00000000">
      <w:pPr>
        <w:pStyle w:val="16"/>
        <w:tabs>
          <w:tab w:val="left" w:pos="2805"/>
          <w:tab w:val="left" w:pos="3740"/>
        </w:tabs>
        <w:ind w:left="2268" w:hanging="1815"/>
        <w:jc w:val="left"/>
      </w:pPr>
      <w:r>
        <w:tab/>
      </w:r>
      <w:r>
        <w:rPr>
          <w:u w:val="single"/>
        </w:rPr>
        <w:t>Источник</w:t>
      </w:r>
      <w:r>
        <w:t>:</w:t>
      </w:r>
      <w:r>
        <w:tab/>
        <w:t xml:space="preserve">  * МПО/СЕПУРБ - Национальная политика в области санитарии и гигиены.</w:t>
      </w:r>
    </w:p>
    <w:p w:rsidR="00000000" w:rsidRDefault="00000000">
      <w:pPr>
        <w:pStyle w:val="16"/>
        <w:tabs>
          <w:tab w:val="left" w:pos="2805"/>
          <w:tab w:val="left" w:pos="3740"/>
        </w:tabs>
        <w:jc w:val="left"/>
      </w:pPr>
      <w:r>
        <w:tab/>
      </w:r>
      <w:r>
        <w:tab/>
      </w:r>
      <w:r>
        <w:tab/>
        <w:t>** БИГС - Краткий справочник показателей ОВОДХ 1996 года.</w:t>
      </w:r>
    </w:p>
    <w:p w:rsidR="00000000" w:rsidRDefault="00000000">
      <w:pPr>
        <w:pStyle w:val="16"/>
        <w:tabs>
          <w:tab w:val="left" w:pos="2805"/>
          <w:tab w:val="left" w:pos="3740"/>
        </w:tabs>
        <w:rPr>
          <w:b/>
          <w:bCs/>
          <w:sz w:val="16"/>
        </w:rPr>
      </w:pPr>
    </w:p>
    <w:p w:rsidR="00000000" w:rsidRDefault="00000000">
      <w:pPr>
        <w:pStyle w:val="16"/>
        <w:tabs>
          <w:tab w:val="left" w:pos="2805"/>
          <w:tab w:val="left" w:pos="3740"/>
        </w:tabs>
        <w:rPr>
          <w:b/>
          <w:bCs/>
        </w:rPr>
      </w:pPr>
      <w:r>
        <w:rPr>
          <w:b/>
          <w:bCs/>
        </w:rPr>
        <w:t>Таблица 66.   Городские дома по типу водоснабжения, 1997 год</w:t>
      </w:r>
    </w:p>
    <w:p w:rsidR="00000000" w:rsidRDefault="00000000">
      <w:pPr>
        <w:pStyle w:val="16"/>
        <w:tabs>
          <w:tab w:val="left" w:pos="2805"/>
          <w:tab w:val="left" w:pos="3740"/>
        </w:tabs>
        <w:rPr>
          <w:b/>
          <w:bCs/>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49"/>
        <w:gridCol w:w="1834"/>
        <w:gridCol w:w="980"/>
        <w:gridCol w:w="1287"/>
        <w:gridCol w:w="1008"/>
        <w:gridCol w:w="1274"/>
        <w:gridCol w:w="1278"/>
      </w:tblGrid>
      <w:tr w:rsidR="00000000">
        <w:tblPrEx>
          <w:tblCellMar>
            <w:top w:w="0" w:type="dxa"/>
            <w:bottom w:w="0" w:type="dxa"/>
          </w:tblCellMar>
        </w:tblPrEx>
        <w:trPr>
          <w:cantSplit/>
        </w:trPr>
        <w:tc>
          <w:tcPr>
            <w:tcW w:w="1750" w:type="dxa"/>
            <w:vMerge w:val="restart"/>
            <w:vAlign w:val="center"/>
          </w:tcPr>
          <w:p w:rsidR="00000000" w:rsidRDefault="00000000">
            <w:pPr>
              <w:spacing w:line="240" w:lineRule="auto"/>
              <w:jc w:val="center"/>
              <w:rPr>
                <w:sz w:val="20"/>
              </w:rPr>
            </w:pPr>
            <w:r>
              <w:rPr>
                <w:sz w:val="20"/>
              </w:rPr>
              <w:t>Основные регионы</w:t>
            </w:r>
          </w:p>
        </w:tc>
        <w:tc>
          <w:tcPr>
            <w:tcW w:w="1834" w:type="dxa"/>
            <w:vMerge w:val="restart"/>
            <w:vAlign w:val="center"/>
          </w:tcPr>
          <w:p w:rsidR="00000000" w:rsidRDefault="00000000">
            <w:pPr>
              <w:spacing w:line="240" w:lineRule="auto"/>
              <w:jc w:val="center"/>
              <w:rPr>
                <w:sz w:val="20"/>
              </w:rPr>
            </w:pPr>
            <w:r>
              <w:rPr>
                <w:sz w:val="20"/>
              </w:rPr>
              <w:t>Общее число домов</w:t>
            </w:r>
          </w:p>
        </w:tc>
        <w:tc>
          <w:tcPr>
            <w:tcW w:w="5827" w:type="dxa"/>
            <w:gridSpan w:val="5"/>
          </w:tcPr>
          <w:p w:rsidR="00000000" w:rsidRDefault="00000000">
            <w:pPr>
              <w:tabs>
                <w:tab w:val="clear" w:pos="567"/>
                <w:tab w:val="clear" w:pos="1134"/>
                <w:tab w:val="clear" w:pos="1701"/>
                <w:tab w:val="clear" w:pos="6237"/>
              </w:tabs>
              <w:spacing w:line="240" w:lineRule="auto"/>
              <w:jc w:val="center"/>
              <w:rPr>
                <w:sz w:val="20"/>
              </w:rPr>
            </w:pPr>
            <w:r>
              <w:rPr>
                <w:sz w:val="20"/>
              </w:rPr>
              <w:t>Водоснабжение (%)</w:t>
            </w:r>
          </w:p>
        </w:tc>
      </w:tr>
      <w:tr w:rsidR="00000000">
        <w:tblPrEx>
          <w:tblCellMar>
            <w:top w:w="0" w:type="dxa"/>
            <w:bottom w:w="0" w:type="dxa"/>
          </w:tblCellMar>
        </w:tblPrEx>
        <w:trPr>
          <w:cantSplit/>
        </w:trPr>
        <w:tc>
          <w:tcPr>
            <w:tcW w:w="1750" w:type="dxa"/>
            <w:vMerge/>
          </w:tcPr>
          <w:p w:rsidR="00000000" w:rsidRDefault="00000000">
            <w:pPr>
              <w:spacing w:line="240" w:lineRule="auto"/>
              <w:jc w:val="center"/>
              <w:rPr>
                <w:sz w:val="20"/>
              </w:rPr>
            </w:pPr>
          </w:p>
        </w:tc>
        <w:tc>
          <w:tcPr>
            <w:tcW w:w="1834" w:type="dxa"/>
            <w:vMerge/>
          </w:tcPr>
          <w:p w:rsidR="00000000" w:rsidRDefault="00000000">
            <w:pPr>
              <w:spacing w:line="240" w:lineRule="auto"/>
              <w:jc w:val="center"/>
              <w:rPr>
                <w:sz w:val="20"/>
              </w:rPr>
            </w:pPr>
          </w:p>
        </w:tc>
        <w:tc>
          <w:tcPr>
            <w:tcW w:w="2267" w:type="dxa"/>
            <w:gridSpan w:val="2"/>
          </w:tcPr>
          <w:p w:rsidR="00000000" w:rsidRDefault="00000000">
            <w:pPr>
              <w:spacing w:line="240" w:lineRule="auto"/>
              <w:jc w:val="center"/>
              <w:rPr>
                <w:sz w:val="20"/>
              </w:rPr>
            </w:pPr>
            <w:r>
              <w:rPr>
                <w:sz w:val="20"/>
              </w:rPr>
              <w:t>С водопроводом</w:t>
            </w:r>
          </w:p>
        </w:tc>
        <w:tc>
          <w:tcPr>
            <w:tcW w:w="2282" w:type="dxa"/>
            <w:gridSpan w:val="2"/>
          </w:tcPr>
          <w:p w:rsidR="00000000" w:rsidRDefault="00000000">
            <w:pPr>
              <w:spacing w:line="240" w:lineRule="auto"/>
              <w:jc w:val="center"/>
              <w:rPr>
                <w:sz w:val="20"/>
              </w:rPr>
            </w:pPr>
            <w:r>
              <w:rPr>
                <w:sz w:val="20"/>
              </w:rPr>
              <w:t>Без водопровода</w:t>
            </w:r>
          </w:p>
        </w:tc>
        <w:tc>
          <w:tcPr>
            <w:tcW w:w="1278" w:type="dxa"/>
            <w:vMerge w:val="restart"/>
            <w:vAlign w:val="center"/>
          </w:tcPr>
          <w:p w:rsidR="00000000" w:rsidRDefault="00000000">
            <w:pPr>
              <w:spacing w:line="240" w:lineRule="auto"/>
              <w:jc w:val="center"/>
              <w:rPr>
                <w:sz w:val="20"/>
              </w:rPr>
            </w:pPr>
            <w:r>
              <w:rPr>
                <w:sz w:val="20"/>
              </w:rPr>
              <w:t>Прочие виды</w:t>
            </w:r>
          </w:p>
        </w:tc>
      </w:tr>
      <w:tr w:rsidR="00000000">
        <w:tblPrEx>
          <w:tblCellMar>
            <w:top w:w="0" w:type="dxa"/>
            <w:bottom w:w="0" w:type="dxa"/>
          </w:tblCellMar>
        </w:tblPrEx>
        <w:trPr>
          <w:cantSplit/>
        </w:trPr>
        <w:tc>
          <w:tcPr>
            <w:tcW w:w="1750" w:type="dxa"/>
            <w:vMerge/>
          </w:tcPr>
          <w:p w:rsidR="00000000" w:rsidRDefault="00000000">
            <w:pPr>
              <w:spacing w:line="240" w:lineRule="auto"/>
              <w:jc w:val="center"/>
              <w:rPr>
                <w:sz w:val="20"/>
              </w:rPr>
            </w:pPr>
          </w:p>
        </w:tc>
        <w:tc>
          <w:tcPr>
            <w:tcW w:w="1834" w:type="dxa"/>
            <w:vMerge/>
          </w:tcPr>
          <w:p w:rsidR="00000000" w:rsidRDefault="00000000">
            <w:pPr>
              <w:spacing w:line="240" w:lineRule="auto"/>
              <w:jc w:val="center"/>
              <w:rPr>
                <w:sz w:val="20"/>
              </w:rPr>
            </w:pPr>
          </w:p>
        </w:tc>
        <w:tc>
          <w:tcPr>
            <w:tcW w:w="980" w:type="dxa"/>
          </w:tcPr>
          <w:p w:rsidR="00000000" w:rsidRDefault="00000000">
            <w:pPr>
              <w:spacing w:line="216" w:lineRule="auto"/>
              <w:jc w:val="center"/>
              <w:rPr>
                <w:sz w:val="20"/>
              </w:rPr>
            </w:pPr>
            <w:r>
              <w:rPr>
                <w:sz w:val="20"/>
              </w:rPr>
              <w:t>Общая система</w:t>
            </w:r>
          </w:p>
        </w:tc>
        <w:tc>
          <w:tcPr>
            <w:tcW w:w="1287" w:type="dxa"/>
          </w:tcPr>
          <w:p w:rsidR="00000000" w:rsidRDefault="00000000">
            <w:pPr>
              <w:spacing w:line="216" w:lineRule="auto"/>
              <w:jc w:val="center"/>
              <w:rPr>
                <w:sz w:val="20"/>
              </w:rPr>
            </w:pPr>
            <w:r>
              <w:rPr>
                <w:sz w:val="20"/>
              </w:rPr>
              <w:t>Колодец или источник</w:t>
            </w:r>
          </w:p>
        </w:tc>
        <w:tc>
          <w:tcPr>
            <w:tcW w:w="1008" w:type="dxa"/>
          </w:tcPr>
          <w:p w:rsidR="00000000" w:rsidRDefault="00000000">
            <w:pPr>
              <w:spacing w:line="216" w:lineRule="auto"/>
              <w:jc w:val="center"/>
              <w:rPr>
                <w:sz w:val="20"/>
              </w:rPr>
            </w:pPr>
            <w:r>
              <w:rPr>
                <w:sz w:val="20"/>
              </w:rPr>
              <w:t>Общая система</w:t>
            </w:r>
          </w:p>
        </w:tc>
        <w:tc>
          <w:tcPr>
            <w:tcW w:w="1274" w:type="dxa"/>
          </w:tcPr>
          <w:p w:rsidR="00000000" w:rsidRDefault="00000000">
            <w:pPr>
              <w:spacing w:line="216" w:lineRule="auto"/>
              <w:jc w:val="center"/>
              <w:rPr>
                <w:sz w:val="20"/>
              </w:rPr>
            </w:pPr>
            <w:r>
              <w:rPr>
                <w:sz w:val="20"/>
              </w:rPr>
              <w:t>Колодец или источник</w:t>
            </w:r>
          </w:p>
        </w:tc>
        <w:tc>
          <w:tcPr>
            <w:tcW w:w="1278" w:type="dxa"/>
            <w:vMerge/>
          </w:tcPr>
          <w:p w:rsidR="00000000" w:rsidRDefault="00000000">
            <w:pPr>
              <w:spacing w:line="216" w:lineRule="auto"/>
              <w:jc w:val="center"/>
              <w:rPr>
                <w:sz w:val="20"/>
              </w:rPr>
            </w:pPr>
          </w:p>
        </w:tc>
      </w:tr>
      <w:tr w:rsidR="00000000">
        <w:tblPrEx>
          <w:tblCellMar>
            <w:top w:w="0" w:type="dxa"/>
            <w:bottom w:w="0" w:type="dxa"/>
          </w:tblCellMar>
        </w:tblPrEx>
        <w:tc>
          <w:tcPr>
            <w:tcW w:w="1750" w:type="dxa"/>
          </w:tcPr>
          <w:p w:rsidR="00000000" w:rsidRDefault="00000000">
            <w:pPr>
              <w:spacing w:line="240" w:lineRule="auto"/>
              <w:rPr>
                <w:sz w:val="20"/>
              </w:rPr>
            </w:pPr>
            <w:r>
              <w:rPr>
                <w:sz w:val="20"/>
              </w:rPr>
              <w:t>Бразилия</w:t>
            </w:r>
          </w:p>
        </w:tc>
        <w:tc>
          <w:tcPr>
            <w:tcW w:w="1834" w:type="dxa"/>
          </w:tcPr>
          <w:p w:rsidR="00000000" w:rsidRDefault="00000000">
            <w:pPr>
              <w:tabs>
                <w:tab w:val="clear" w:pos="567"/>
                <w:tab w:val="clear" w:pos="1134"/>
                <w:tab w:val="clear" w:pos="1701"/>
                <w:tab w:val="clear" w:pos="2268"/>
                <w:tab w:val="clear" w:pos="6237"/>
                <w:tab w:val="decimal" w:pos="1218"/>
              </w:tabs>
              <w:spacing w:line="240" w:lineRule="auto"/>
              <w:rPr>
                <w:sz w:val="20"/>
                <w:lang w:val="en-US"/>
              </w:rPr>
            </w:pPr>
            <w:r>
              <w:rPr>
                <w:sz w:val="20"/>
                <w:lang w:val="en-US"/>
              </w:rPr>
              <w:t>32 980 372</w:t>
            </w:r>
          </w:p>
        </w:tc>
        <w:tc>
          <w:tcPr>
            <w:tcW w:w="980"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87,4</w:t>
            </w:r>
          </w:p>
        </w:tc>
        <w:tc>
          <w:tcPr>
            <w:tcW w:w="1287"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4,1</w:t>
            </w:r>
          </w:p>
        </w:tc>
        <w:tc>
          <w:tcPr>
            <w:tcW w:w="1008"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3,8</w:t>
            </w:r>
          </w:p>
        </w:tc>
        <w:tc>
          <w:tcPr>
            <w:tcW w:w="1274"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2,2</w:t>
            </w:r>
          </w:p>
        </w:tc>
        <w:tc>
          <w:tcPr>
            <w:tcW w:w="1278"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2,3</w:t>
            </w:r>
          </w:p>
        </w:tc>
      </w:tr>
      <w:tr w:rsidR="00000000">
        <w:tblPrEx>
          <w:tblCellMar>
            <w:top w:w="0" w:type="dxa"/>
            <w:bottom w:w="0" w:type="dxa"/>
          </w:tblCellMar>
        </w:tblPrEx>
        <w:tc>
          <w:tcPr>
            <w:tcW w:w="1750" w:type="dxa"/>
          </w:tcPr>
          <w:p w:rsidR="00000000" w:rsidRDefault="00000000">
            <w:pPr>
              <w:spacing w:line="240" w:lineRule="auto"/>
              <w:rPr>
                <w:sz w:val="20"/>
              </w:rPr>
            </w:pPr>
            <w:r>
              <w:rPr>
                <w:sz w:val="20"/>
              </w:rPr>
              <w:t>Север</w:t>
            </w:r>
          </w:p>
        </w:tc>
        <w:tc>
          <w:tcPr>
            <w:tcW w:w="1834" w:type="dxa"/>
          </w:tcPr>
          <w:p w:rsidR="00000000" w:rsidRDefault="00000000">
            <w:pPr>
              <w:tabs>
                <w:tab w:val="clear" w:pos="567"/>
                <w:tab w:val="clear" w:pos="1134"/>
                <w:tab w:val="clear" w:pos="1701"/>
                <w:tab w:val="clear" w:pos="2268"/>
                <w:tab w:val="clear" w:pos="6237"/>
                <w:tab w:val="decimal" w:pos="1218"/>
              </w:tabs>
              <w:spacing w:line="240" w:lineRule="auto"/>
              <w:rPr>
                <w:sz w:val="20"/>
              </w:rPr>
            </w:pPr>
            <w:r>
              <w:rPr>
                <w:sz w:val="20"/>
              </w:rPr>
              <w:t>1 625 591</w:t>
            </w:r>
          </w:p>
        </w:tc>
        <w:tc>
          <w:tcPr>
            <w:tcW w:w="980"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57,4</w:t>
            </w:r>
          </w:p>
        </w:tc>
        <w:tc>
          <w:tcPr>
            <w:tcW w:w="1287"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rPr>
              <w:t>13,0</w:t>
            </w:r>
          </w:p>
        </w:tc>
        <w:tc>
          <w:tcPr>
            <w:tcW w:w="1008"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12,2</w:t>
            </w:r>
          </w:p>
        </w:tc>
        <w:tc>
          <w:tcPr>
            <w:tcW w:w="1274"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12,0</w:t>
            </w:r>
          </w:p>
        </w:tc>
        <w:tc>
          <w:tcPr>
            <w:tcW w:w="1278" w:type="dxa"/>
          </w:tcPr>
          <w:p w:rsidR="00000000" w:rsidRDefault="00000000">
            <w:pPr>
              <w:tabs>
                <w:tab w:val="clear" w:pos="567"/>
                <w:tab w:val="clear" w:pos="1134"/>
                <w:tab w:val="clear" w:pos="1701"/>
                <w:tab w:val="clear" w:pos="2268"/>
                <w:tab w:val="clear" w:pos="6237"/>
                <w:tab w:val="decimal" w:pos="574"/>
              </w:tabs>
              <w:spacing w:line="240" w:lineRule="auto"/>
              <w:rPr>
                <w:sz w:val="20"/>
                <w:lang w:val="en-US"/>
              </w:rPr>
            </w:pPr>
            <w:r>
              <w:rPr>
                <w:sz w:val="20"/>
                <w:lang w:val="en-US"/>
              </w:rPr>
              <w:t>5,2</w:t>
            </w:r>
          </w:p>
        </w:tc>
      </w:tr>
      <w:tr w:rsidR="00000000">
        <w:tblPrEx>
          <w:tblCellMar>
            <w:top w:w="0" w:type="dxa"/>
            <w:bottom w:w="0" w:type="dxa"/>
          </w:tblCellMar>
        </w:tblPrEx>
        <w:tc>
          <w:tcPr>
            <w:tcW w:w="1750" w:type="dxa"/>
          </w:tcPr>
          <w:p w:rsidR="00000000" w:rsidRDefault="00000000">
            <w:pPr>
              <w:spacing w:line="240" w:lineRule="auto"/>
              <w:rPr>
                <w:sz w:val="20"/>
              </w:rPr>
            </w:pPr>
            <w:r>
              <w:rPr>
                <w:sz w:val="20"/>
              </w:rPr>
              <w:t>Северо-Восток</w:t>
            </w:r>
          </w:p>
        </w:tc>
        <w:tc>
          <w:tcPr>
            <w:tcW w:w="1834" w:type="dxa"/>
          </w:tcPr>
          <w:p w:rsidR="00000000" w:rsidRDefault="00000000">
            <w:pPr>
              <w:tabs>
                <w:tab w:val="clear" w:pos="567"/>
                <w:tab w:val="clear" w:pos="1134"/>
                <w:tab w:val="clear" w:pos="1701"/>
                <w:tab w:val="clear" w:pos="2268"/>
                <w:tab w:val="clear" w:pos="6237"/>
                <w:tab w:val="decimal" w:pos="1218"/>
              </w:tabs>
              <w:spacing w:line="240" w:lineRule="auto"/>
              <w:rPr>
                <w:sz w:val="20"/>
              </w:rPr>
            </w:pPr>
            <w:r>
              <w:rPr>
                <w:sz w:val="20"/>
              </w:rPr>
              <w:t>7 014 197</w:t>
            </w:r>
          </w:p>
        </w:tc>
        <w:tc>
          <w:tcPr>
            <w:tcW w:w="980"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77,1</w:t>
            </w:r>
          </w:p>
        </w:tc>
        <w:tc>
          <w:tcPr>
            <w:tcW w:w="1287"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1,9</w:t>
            </w:r>
          </w:p>
        </w:tc>
        <w:tc>
          <w:tcPr>
            <w:tcW w:w="100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8,4</w:t>
            </w:r>
          </w:p>
        </w:tc>
        <w:tc>
          <w:tcPr>
            <w:tcW w:w="1274"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3,9</w:t>
            </w:r>
          </w:p>
        </w:tc>
        <w:tc>
          <w:tcPr>
            <w:tcW w:w="127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8,6</w:t>
            </w:r>
          </w:p>
        </w:tc>
      </w:tr>
      <w:tr w:rsidR="00000000">
        <w:tblPrEx>
          <w:tblCellMar>
            <w:top w:w="0" w:type="dxa"/>
            <w:bottom w:w="0" w:type="dxa"/>
          </w:tblCellMar>
        </w:tblPrEx>
        <w:tc>
          <w:tcPr>
            <w:tcW w:w="1750" w:type="dxa"/>
          </w:tcPr>
          <w:p w:rsidR="00000000" w:rsidRDefault="00000000">
            <w:pPr>
              <w:spacing w:line="240" w:lineRule="auto"/>
              <w:rPr>
                <w:sz w:val="20"/>
              </w:rPr>
            </w:pPr>
            <w:r>
              <w:rPr>
                <w:sz w:val="20"/>
              </w:rPr>
              <w:t>Юго-Восток</w:t>
            </w:r>
          </w:p>
        </w:tc>
        <w:tc>
          <w:tcPr>
            <w:tcW w:w="1834" w:type="dxa"/>
          </w:tcPr>
          <w:p w:rsidR="00000000" w:rsidRDefault="00000000">
            <w:pPr>
              <w:tabs>
                <w:tab w:val="clear" w:pos="567"/>
                <w:tab w:val="clear" w:pos="1134"/>
                <w:tab w:val="clear" w:pos="1701"/>
                <w:tab w:val="clear" w:pos="2268"/>
                <w:tab w:val="clear" w:pos="6237"/>
                <w:tab w:val="decimal" w:pos="1218"/>
              </w:tabs>
              <w:spacing w:line="240" w:lineRule="auto"/>
              <w:rPr>
                <w:sz w:val="20"/>
              </w:rPr>
            </w:pPr>
            <w:r>
              <w:rPr>
                <w:sz w:val="20"/>
              </w:rPr>
              <w:t>16 684 919</w:t>
            </w:r>
          </w:p>
        </w:tc>
        <w:tc>
          <w:tcPr>
            <w:tcW w:w="980"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94,0</w:t>
            </w:r>
          </w:p>
        </w:tc>
        <w:tc>
          <w:tcPr>
            <w:tcW w:w="1287"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3,0</w:t>
            </w:r>
          </w:p>
        </w:tc>
        <w:tc>
          <w:tcPr>
            <w:tcW w:w="100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1,7</w:t>
            </w:r>
          </w:p>
        </w:tc>
        <w:tc>
          <w:tcPr>
            <w:tcW w:w="1274"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0,9</w:t>
            </w:r>
          </w:p>
        </w:tc>
        <w:tc>
          <w:tcPr>
            <w:tcW w:w="127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0,3</w:t>
            </w:r>
          </w:p>
        </w:tc>
      </w:tr>
      <w:tr w:rsidR="00000000">
        <w:tblPrEx>
          <w:tblCellMar>
            <w:top w:w="0" w:type="dxa"/>
            <w:bottom w:w="0" w:type="dxa"/>
          </w:tblCellMar>
        </w:tblPrEx>
        <w:tc>
          <w:tcPr>
            <w:tcW w:w="1750" w:type="dxa"/>
          </w:tcPr>
          <w:p w:rsidR="00000000" w:rsidRDefault="00000000">
            <w:pPr>
              <w:spacing w:line="240" w:lineRule="auto"/>
              <w:rPr>
                <w:sz w:val="20"/>
              </w:rPr>
            </w:pPr>
            <w:r>
              <w:rPr>
                <w:sz w:val="20"/>
              </w:rPr>
              <w:t>Юг</w:t>
            </w:r>
          </w:p>
        </w:tc>
        <w:tc>
          <w:tcPr>
            <w:tcW w:w="1834" w:type="dxa"/>
          </w:tcPr>
          <w:p w:rsidR="00000000" w:rsidRDefault="00000000">
            <w:pPr>
              <w:tabs>
                <w:tab w:val="clear" w:pos="567"/>
                <w:tab w:val="clear" w:pos="1134"/>
                <w:tab w:val="clear" w:pos="1701"/>
                <w:tab w:val="clear" w:pos="2268"/>
                <w:tab w:val="clear" w:pos="6237"/>
                <w:tab w:val="decimal" w:pos="1218"/>
              </w:tabs>
              <w:spacing w:line="240" w:lineRule="auto"/>
              <w:rPr>
                <w:sz w:val="20"/>
              </w:rPr>
            </w:pPr>
            <w:r>
              <w:rPr>
                <w:sz w:val="20"/>
              </w:rPr>
              <w:t>5 324 608</w:t>
            </w:r>
          </w:p>
        </w:tc>
        <w:tc>
          <w:tcPr>
            <w:tcW w:w="980"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92,9</w:t>
            </w:r>
          </w:p>
        </w:tc>
        <w:tc>
          <w:tcPr>
            <w:tcW w:w="1287"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4,5</w:t>
            </w:r>
          </w:p>
        </w:tc>
        <w:tc>
          <w:tcPr>
            <w:tcW w:w="100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1,6</w:t>
            </w:r>
          </w:p>
        </w:tc>
        <w:tc>
          <w:tcPr>
            <w:tcW w:w="1274"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0,6</w:t>
            </w:r>
          </w:p>
        </w:tc>
        <w:tc>
          <w:tcPr>
            <w:tcW w:w="127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0,4</w:t>
            </w:r>
          </w:p>
        </w:tc>
      </w:tr>
      <w:tr w:rsidR="00000000">
        <w:tblPrEx>
          <w:tblCellMar>
            <w:top w:w="0" w:type="dxa"/>
            <w:bottom w:w="0" w:type="dxa"/>
          </w:tblCellMar>
        </w:tblPrEx>
        <w:tc>
          <w:tcPr>
            <w:tcW w:w="1750" w:type="dxa"/>
          </w:tcPr>
          <w:p w:rsidR="00000000" w:rsidRDefault="00000000">
            <w:pPr>
              <w:spacing w:line="240" w:lineRule="auto"/>
              <w:rPr>
                <w:sz w:val="20"/>
              </w:rPr>
            </w:pPr>
            <w:r>
              <w:rPr>
                <w:sz w:val="20"/>
              </w:rPr>
              <w:t>Центр - Запад</w:t>
            </w:r>
          </w:p>
        </w:tc>
        <w:tc>
          <w:tcPr>
            <w:tcW w:w="1834" w:type="dxa"/>
          </w:tcPr>
          <w:p w:rsidR="00000000" w:rsidRDefault="00000000">
            <w:pPr>
              <w:tabs>
                <w:tab w:val="clear" w:pos="567"/>
                <w:tab w:val="clear" w:pos="1134"/>
                <w:tab w:val="clear" w:pos="1701"/>
                <w:tab w:val="clear" w:pos="2268"/>
                <w:tab w:val="clear" w:pos="6237"/>
                <w:tab w:val="decimal" w:pos="1218"/>
              </w:tabs>
              <w:spacing w:line="240" w:lineRule="auto"/>
              <w:rPr>
                <w:sz w:val="20"/>
              </w:rPr>
            </w:pPr>
            <w:r>
              <w:rPr>
                <w:sz w:val="20"/>
              </w:rPr>
              <w:t>2 361 814</w:t>
            </w:r>
          </w:p>
        </w:tc>
        <w:tc>
          <w:tcPr>
            <w:tcW w:w="980"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80,0</w:t>
            </w:r>
          </w:p>
        </w:tc>
        <w:tc>
          <w:tcPr>
            <w:tcW w:w="1287"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11,5</w:t>
            </w:r>
          </w:p>
        </w:tc>
        <w:tc>
          <w:tcPr>
            <w:tcW w:w="100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4,1</w:t>
            </w:r>
          </w:p>
        </w:tc>
        <w:tc>
          <w:tcPr>
            <w:tcW w:w="1274"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3,7</w:t>
            </w:r>
          </w:p>
        </w:tc>
        <w:tc>
          <w:tcPr>
            <w:tcW w:w="1278" w:type="dxa"/>
          </w:tcPr>
          <w:p w:rsidR="00000000" w:rsidRDefault="00000000">
            <w:pPr>
              <w:tabs>
                <w:tab w:val="clear" w:pos="567"/>
                <w:tab w:val="clear" w:pos="1134"/>
                <w:tab w:val="clear" w:pos="1701"/>
                <w:tab w:val="clear" w:pos="2268"/>
                <w:tab w:val="clear" w:pos="6237"/>
                <w:tab w:val="decimal" w:pos="574"/>
              </w:tabs>
              <w:spacing w:line="240" w:lineRule="auto"/>
              <w:rPr>
                <w:sz w:val="20"/>
              </w:rPr>
            </w:pPr>
            <w:r>
              <w:rPr>
                <w:sz w:val="20"/>
              </w:rPr>
              <w:t>0,5</w:t>
            </w:r>
          </w:p>
        </w:tc>
      </w:tr>
    </w:tbl>
    <w:p w:rsidR="00000000" w:rsidRDefault="00000000"/>
    <w:p w:rsidR="00000000" w:rsidRDefault="00000000">
      <w:pPr>
        <w:pStyle w:val="16"/>
        <w:tabs>
          <w:tab w:val="left" w:pos="2805"/>
          <w:tab w:val="left" w:pos="3740"/>
        </w:tabs>
        <w:jc w:val="left"/>
      </w:pPr>
      <w:r>
        <w:tab/>
      </w:r>
      <w:r>
        <w:rPr>
          <w:u w:val="single"/>
        </w:rPr>
        <w:t>Источник</w:t>
      </w:r>
      <w:r>
        <w:t>:  БИГС - Краткий справочник социальных показателей, 1998 года (на основе ОВОДХ 1997 года).</w:t>
      </w:r>
    </w:p>
    <w:p w:rsidR="00000000" w:rsidRDefault="00000000">
      <w:pPr>
        <w:pStyle w:val="16"/>
        <w:tabs>
          <w:tab w:val="left" w:pos="2805"/>
          <w:tab w:val="left" w:pos="3740"/>
        </w:tabs>
        <w:jc w:val="left"/>
      </w:pPr>
    </w:p>
    <w:p w:rsidR="00000000" w:rsidRDefault="00000000">
      <w:pPr>
        <w:pStyle w:val="16"/>
        <w:rPr>
          <w:b/>
          <w:bCs/>
        </w:rPr>
      </w:pPr>
      <w:r>
        <w:rPr>
          <w:b/>
          <w:bCs/>
        </w:rPr>
        <w:t>Таблица 67.  Городские дома в разбивке по типу сбора мусора, 1997 год</w:t>
      </w:r>
    </w:p>
    <w:p w:rsidR="00000000" w:rsidRDefault="00000000">
      <w:pPr>
        <w:pStyle w:val="16"/>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73"/>
        <w:gridCol w:w="1240"/>
        <w:gridCol w:w="1512"/>
        <w:gridCol w:w="1623"/>
        <w:gridCol w:w="1895"/>
        <w:gridCol w:w="1567"/>
      </w:tblGrid>
      <w:tr w:rsidR="00000000">
        <w:tblPrEx>
          <w:tblCellMar>
            <w:top w:w="0" w:type="dxa"/>
            <w:bottom w:w="0" w:type="dxa"/>
          </w:tblCellMar>
        </w:tblPrEx>
        <w:trPr>
          <w:cantSplit/>
        </w:trPr>
        <w:tc>
          <w:tcPr>
            <w:tcW w:w="1574" w:type="dxa"/>
            <w:vMerge w:val="restart"/>
            <w:vAlign w:val="center"/>
          </w:tcPr>
          <w:p w:rsidR="00000000" w:rsidRDefault="00000000">
            <w:pPr>
              <w:pStyle w:val="16"/>
              <w:spacing w:line="240" w:lineRule="auto"/>
              <w:rPr>
                <w:sz w:val="20"/>
              </w:rPr>
            </w:pPr>
            <w:r>
              <w:rPr>
                <w:sz w:val="20"/>
              </w:rPr>
              <w:t>Основные регионы</w:t>
            </w:r>
          </w:p>
        </w:tc>
        <w:tc>
          <w:tcPr>
            <w:tcW w:w="1240" w:type="dxa"/>
            <w:vMerge w:val="restart"/>
            <w:vAlign w:val="center"/>
          </w:tcPr>
          <w:p w:rsidR="00000000" w:rsidRDefault="00000000">
            <w:pPr>
              <w:pStyle w:val="16"/>
              <w:spacing w:line="240" w:lineRule="auto"/>
              <w:rPr>
                <w:sz w:val="20"/>
              </w:rPr>
            </w:pPr>
            <w:r>
              <w:rPr>
                <w:sz w:val="20"/>
              </w:rPr>
              <w:t>Общее число домов</w:t>
            </w:r>
          </w:p>
        </w:tc>
        <w:tc>
          <w:tcPr>
            <w:tcW w:w="6597" w:type="dxa"/>
            <w:gridSpan w:val="4"/>
          </w:tcPr>
          <w:p w:rsidR="00000000" w:rsidRDefault="00000000">
            <w:pPr>
              <w:pStyle w:val="16"/>
              <w:spacing w:line="240" w:lineRule="auto"/>
              <w:rPr>
                <w:sz w:val="20"/>
              </w:rPr>
            </w:pPr>
            <w:r>
              <w:rPr>
                <w:sz w:val="20"/>
              </w:rPr>
              <w:t>Сбор мусора (%)</w:t>
            </w:r>
          </w:p>
        </w:tc>
      </w:tr>
      <w:tr w:rsidR="00000000">
        <w:tblPrEx>
          <w:tblCellMar>
            <w:top w:w="0" w:type="dxa"/>
            <w:bottom w:w="0" w:type="dxa"/>
          </w:tblCellMar>
        </w:tblPrEx>
        <w:trPr>
          <w:cantSplit/>
        </w:trPr>
        <w:tc>
          <w:tcPr>
            <w:tcW w:w="1574" w:type="dxa"/>
            <w:vMerge/>
          </w:tcPr>
          <w:p w:rsidR="00000000" w:rsidRDefault="00000000">
            <w:pPr>
              <w:pStyle w:val="16"/>
              <w:spacing w:line="240" w:lineRule="auto"/>
              <w:rPr>
                <w:sz w:val="20"/>
              </w:rPr>
            </w:pPr>
          </w:p>
        </w:tc>
        <w:tc>
          <w:tcPr>
            <w:tcW w:w="1240" w:type="dxa"/>
            <w:vMerge/>
          </w:tcPr>
          <w:p w:rsidR="00000000" w:rsidRDefault="00000000">
            <w:pPr>
              <w:pStyle w:val="16"/>
              <w:spacing w:line="240" w:lineRule="auto"/>
              <w:rPr>
                <w:sz w:val="20"/>
              </w:rPr>
            </w:pPr>
          </w:p>
        </w:tc>
        <w:tc>
          <w:tcPr>
            <w:tcW w:w="1512" w:type="dxa"/>
          </w:tcPr>
          <w:p w:rsidR="00000000" w:rsidRDefault="00000000">
            <w:pPr>
              <w:pStyle w:val="16"/>
              <w:spacing w:line="240" w:lineRule="auto"/>
              <w:rPr>
                <w:sz w:val="20"/>
              </w:rPr>
            </w:pPr>
            <w:r>
              <w:rPr>
                <w:sz w:val="20"/>
              </w:rPr>
              <w:t>Сбор по месту жилья</w:t>
            </w:r>
          </w:p>
        </w:tc>
        <w:tc>
          <w:tcPr>
            <w:tcW w:w="1623" w:type="dxa"/>
          </w:tcPr>
          <w:p w:rsidR="00000000" w:rsidRDefault="00000000">
            <w:pPr>
              <w:pStyle w:val="16"/>
              <w:spacing w:line="240" w:lineRule="auto"/>
              <w:rPr>
                <w:sz w:val="20"/>
              </w:rPr>
            </w:pPr>
            <w:r>
              <w:rPr>
                <w:sz w:val="20"/>
              </w:rPr>
              <w:t>Сбор вне места жилья</w:t>
            </w:r>
          </w:p>
        </w:tc>
        <w:tc>
          <w:tcPr>
            <w:tcW w:w="1895" w:type="dxa"/>
          </w:tcPr>
          <w:p w:rsidR="00000000" w:rsidRDefault="00000000">
            <w:pPr>
              <w:pStyle w:val="16"/>
              <w:spacing w:line="240" w:lineRule="auto"/>
              <w:rPr>
                <w:sz w:val="20"/>
              </w:rPr>
            </w:pPr>
            <w:r>
              <w:rPr>
                <w:sz w:val="20"/>
              </w:rPr>
              <w:t>Сжигание или захоронение мусора</w:t>
            </w:r>
          </w:p>
        </w:tc>
        <w:tc>
          <w:tcPr>
            <w:tcW w:w="1567" w:type="dxa"/>
          </w:tcPr>
          <w:p w:rsidR="00000000" w:rsidRDefault="00000000">
            <w:pPr>
              <w:pStyle w:val="16"/>
              <w:spacing w:line="240" w:lineRule="auto"/>
              <w:rPr>
                <w:sz w:val="20"/>
              </w:rPr>
            </w:pPr>
            <w:r>
              <w:rPr>
                <w:sz w:val="20"/>
              </w:rPr>
              <w:t>Прочие виды</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Бразилия</w:t>
            </w:r>
          </w:p>
        </w:tc>
        <w:tc>
          <w:tcPr>
            <w:tcW w:w="1240" w:type="dxa"/>
          </w:tcPr>
          <w:p w:rsidR="00000000" w:rsidRDefault="00000000">
            <w:pPr>
              <w:pStyle w:val="16"/>
              <w:tabs>
                <w:tab w:val="clear" w:pos="567"/>
                <w:tab w:val="clear" w:pos="1134"/>
                <w:tab w:val="clear" w:pos="1701"/>
                <w:tab w:val="clear" w:pos="2268"/>
                <w:tab w:val="clear" w:pos="6237"/>
                <w:tab w:val="decimal" w:pos="946"/>
              </w:tabs>
              <w:spacing w:line="240" w:lineRule="auto"/>
              <w:jc w:val="left"/>
              <w:rPr>
                <w:sz w:val="20"/>
                <w:lang w:val="en-US"/>
              </w:rPr>
            </w:pPr>
            <w:r>
              <w:rPr>
                <w:sz w:val="20"/>
                <w:lang w:val="en-US"/>
              </w:rPr>
              <w:t>32 980 372</w:t>
            </w:r>
          </w:p>
        </w:tc>
        <w:tc>
          <w:tcPr>
            <w:tcW w:w="1512"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82,0</w:t>
            </w:r>
          </w:p>
        </w:tc>
        <w:tc>
          <w:tcPr>
            <w:tcW w:w="1623"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8,7</w:t>
            </w:r>
          </w:p>
        </w:tc>
        <w:tc>
          <w:tcPr>
            <w:tcW w:w="1895" w:type="dxa"/>
          </w:tcPr>
          <w:p w:rsidR="00000000" w:rsidRDefault="00000000">
            <w:pPr>
              <w:pStyle w:val="16"/>
              <w:tabs>
                <w:tab w:val="clear" w:pos="567"/>
                <w:tab w:val="clear" w:pos="1134"/>
                <w:tab w:val="clear" w:pos="1701"/>
                <w:tab w:val="clear" w:pos="2268"/>
                <w:tab w:val="clear" w:pos="6237"/>
                <w:tab w:val="decimal" w:pos="980"/>
              </w:tabs>
              <w:spacing w:line="240" w:lineRule="auto"/>
              <w:jc w:val="left"/>
              <w:rPr>
                <w:sz w:val="20"/>
                <w:lang w:val="en-US"/>
              </w:rPr>
            </w:pPr>
            <w:r>
              <w:rPr>
                <w:sz w:val="20"/>
                <w:lang w:val="en-US"/>
              </w:rPr>
              <w:t>4,8</w:t>
            </w:r>
          </w:p>
        </w:tc>
        <w:tc>
          <w:tcPr>
            <w:tcW w:w="156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4,5</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Север</w:t>
            </w:r>
          </w:p>
        </w:tc>
        <w:tc>
          <w:tcPr>
            <w:tcW w:w="1240" w:type="dxa"/>
          </w:tcPr>
          <w:p w:rsidR="00000000" w:rsidRDefault="00000000">
            <w:pPr>
              <w:pStyle w:val="16"/>
              <w:tabs>
                <w:tab w:val="clear" w:pos="567"/>
                <w:tab w:val="clear" w:pos="1134"/>
                <w:tab w:val="clear" w:pos="1701"/>
                <w:tab w:val="clear" w:pos="2268"/>
                <w:tab w:val="clear" w:pos="6237"/>
                <w:tab w:val="decimal" w:pos="946"/>
              </w:tabs>
              <w:spacing w:line="240" w:lineRule="auto"/>
              <w:jc w:val="left"/>
              <w:rPr>
                <w:sz w:val="20"/>
                <w:lang w:val="en-US"/>
              </w:rPr>
            </w:pPr>
            <w:r>
              <w:rPr>
                <w:sz w:val="20"/>
                <w:lang w:val="en-US"/>
              </w:rPr>
              <w:t>1 625 591</w:t>
            </w:r>
          </w:p>
        </w:tc>
        <w:tc>
          <w:tcPr>
            <w:tcW w:w="1512"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50,9</w:t>
            </w:r>
          </w:p>
        </w:tc>
        <w:tc>
          <w:tcPr>
            <w:tcW w:w="1623"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21,6</w:t>
            </w:r>
          </w:p>
        </w:tc>
        <w:tc>
          <w:tcPr>
            <w:tcW w:w="1895" w:type="dxa"/>
          </w:tcPr>
          <w:p w:rsidR="00000000" w:rsidRDefault="00000000">
            <w:pPr>
              <w:pStyle w:val="16"/>
              <w:tabs>
                <w:tab w:val="clear" w:pos="567"/>
                <w:tab w:val="clear" w:pos="1134"/>
                <w:tab w:val="clear" w:pos="1701"/>
                <w:tab w:val="clear" w:pos="2268"/>
                <w:tab w:val="clear" w:pos="6237"/>
                <w:tab w:val="decimal" w:pos="980"/>
              </w:tabs>
              <w:spacing w:line="240" w:lineRule="auto"/>
              <w:jc w:val="left"/>
              <w:rPr>
                <w:sz w:val="20"/>
                <w:lang w:val="en-US"/>
              </w:rPr>
            </w:pPr>
            <w:r>
              <w:rPr>
                <w:sz w:val="20"/>
                <w:lang w:val="en-US"/>
              </w:rPr>
              <w:t>18,0</w:t>
            </w:r>
          </w:p>
        </w:tc>
        <w:tc>
          <w:tcPr>
            <w:tcW w:w="156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9,5</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Северо-Восток</w:t>
            </w:r>
          </w:p>
        </w:tc>
        <w:tc>
          <w:tcPr>
            <w:tcW w:w="1240" w:type="dxa"/>
          </w:tcPr>
          <w:p w:rsidR="00000000" w:rsidRDefault="00000000">
            <w:pPr>
              <w:pStyle w:val="16"/>
              <w:tabs>
                <w:tab w:val="clear" w:pos="567"/>
                <w:tab w:val="clear" w:pos="1134"/>
                <w:tab w:val="clear" w:pos="1701"/>
                <w:tab w:val="clear" w:pos="2268"/>
                <w:tab w:val="clear" w:pos="6237"/>
                <w:tab w:val="decimal" w:pos="946"/>
              </w:tabs>
              <w:spacing w:line="240" w:lineRule="auto"/>
              <w:jc w:val="left"/>
              <w:rPr>
                <w:sz w:val="20"/>
                <w:lang w:val="en-US"/>
              </w:rPr>
            </w:pPr>
            <w:r>
              <w:rPr>
                <w:sz w:val="20"/>
                <w:lang w:val="en-US"/>
              </w:rPr>
              <w:t>7 014 197</w:t>
            </w:r>
          </w:p>
        </w:tc>
        <w:tc>
          <w:tcPr>
            <w:tcW w:w="1512"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62,7</w:t>
            </w:r>
          </w:p>
        </w:tc>
        <w:tc>
          <w:tcPr>
            <w:tcW w:w="1623"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17,0</w:t>
            </w:r>
          </w:p>
        </w:tc>
        <w:tc>
          <w:tcPr>
            <w:tcW w:w="1895" w:type="dxa"/>
          </w:tcPr>
          <w:p w:rsidR="00000000" w:rsidRDefault="00000000">
            <w:pPr>
              <w:pStyle w:val="16"/>
              <w:tabs>
                <w:tab w:val="clear" w:pos="567"/>
                <w:tab w:val="clear" w:pos="1134"/>
                <w:tab w:val="clear" w:pos="1701"/>
                <w:tab w:val="clear" w:pos="2268"/>
                <w:tab w:val="clear" w:pos="6237"/>
                <w:tab w:val="decimal" w:pos="980"/>
              </w:tabs>
              <w:spacing w:line="240" w:lineRule="auto"/>
              <w:jc w:val="left"/>
              <w:rPr>
                <w:sz w:val="20"/>
                <w:lang w:val="en-US"/>
              </w:rPr>
            </w:pPr>
            <w:r>
              <w:rPr>
                <w:sz w:val="20"/>
                <w:lang w:val="en-US"/>
              </w:rPr>
              <w:t>7,5</w:t>
            </w:r>
          </w:p>
        </w:tc>
        <w:tc>
          <w:tcPr>
            <w:tcW w:w="156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12,7</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Юго-Восток</w:t>
            </w:r>
          </w:p>
        </w:tc>
        <w:tc>
          <w:tcPr>
            <w:tcW w:w="1240" w:type="dxa"/>
          </w:tcPr>
          <w:p w:rsidR="00000000" w:rsidRDefault="00000000">
            <w:pPr>
              <w:pStyle w:val="16"/>
              <w:tabs>
                <w:tab w:val="clear" w:pos="567"/>
                <w:tab w:val="clear" w:pos="1134"/>
                <w:tab w:val="clear" w:pos="1701"/>
                <w:tab w:val="clear" w:pos="2268"/>
                <w:tab w:val="clear" w:pos="6237"/>
                <w:tab w:val="decimal" w:pos="946"/>
              </w:tabs>
              <w:spacing w:line="240" w:lineRule="auto"/>
              <w:jc w:val="left"/>
              <w:rPr>
                <w:sz w:val="20"/>
              </w:rPr>
            </w:pPr>
            <w:r>
              <w:rPr>
                <w:sz w:val="20"/>
              </w:rPr>
              <w:t>16 684 918</w:t>
            </w:r>
          </w:p>
        </w:tc>
        <w:tc>
          <w:tcPr>
            <w:tcW w:w="1512"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rPr>
            </w:pPr>
            <w:r>
              <w:rPr>
                <w:sz w:val="20"/>
              </w:rPr>
              <w:t>88,4</w:t>
            </w:r>
          </w:p>
        </w:tc>
        <w:tc>
          <w:tcPr>
            <w:tcW w:w="1623"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rPr>
            </w:pPr>
            <w:r>
              <w:rPr>
                <w:sz w:val="20"/>
              </w:rPr>
              <w:t>6,3</w:t>
            </w:r>
          </w:p>
        </w:tc>
        <w:tc>
          <w:tcPr>
            <w:tcW w:w="1895" w:type="dxa"/>
          </w:tcPr>
          <w:p w:rsidR="00000000" w:rsidRDefault="00000000">
            <w:pPr>
              <w:pStyle w:val="16"/>
              <w:tabs>
                <w:tab w:val="clear" w:pos="567"/>
                <w:tab w:val="clear" w:pos="1134"/>
                <w:tab w:val="clear" w:pos="1701"/>
                <w:tab w:val="clear" w:pos="2268"/>
                <w:tab w:val="clear" w:pos="6237"/>
                <w:tab w:val="decimal" w:pos="980"/>
              </w:tabs>
              <w:spacing w:line="240" w:lineRule="auto"/>
              <w:jc w:val="left"/>
              <w:rPr>
                <w:sz w:val="20"/>
              </w:rPr>
            </w:pPr>
            <w:r>
              <w:rPr>
                <w:sz w:val="20"/>
              </w:rPr>
              <w:t>3,1</w:t>
            </w:r>
          </w:p>
        </w:tc>
        <w:tc>
          <w:tcPr>
            <w:tcW w:w="156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rPr>
            </w:pPr>
            <w:r>
              <w:rPr>
                <w:sz w:val="20"/>
              </w:rPr>
              <w:t>0,9</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Юг</w:t>
            </w:r>
          </w:p>
        </w:tc>
        <w:tc>
          <w:tcPr>
            <w:tcW w:w="1240" w:type="dxa"/>
          </w:tcPr>
          <w:p w:rsidR="00000000" w:rsidRDefault="00000000">
            <w:pPr>
              <w:pStyle w:val="16"/>
              <w:tabs>
                <w:tab w:val="clear" w:pos="567"/>
                <w:tab w:val="clear" w:pos="1134"/>
                <w:tab w:val="clear" w:pos="1701"/>
                <w:tab w:val="clear" w:pos="2268"/>
                <w:tab w:val="clear" w:pos="6237"/>
                <w:tab w:val="decimal" w:pos="946"/>
              </w:tabs>
              <w:spacing w:line="240" w:lineRule="auto"/>
              <w:jc w:val="left"/>
              <w:rPr>
                <w:sz w:val="20"/>
              </w:rPr>
            </w:pPr>
            <w:r>
              <w:rPr>
                <w:sz w:val="20"/>
              </w:rPr>
              <w:t>5 324 608</w:t>
            </w:r>
          </w:p>
        </w:tc>
        <w:tc>
          <w:tcPr>
            <w:tcW w:w="1512"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93,9</w:t>
            </w:r>
          </w:p>
        </w:tc>
        <w:tc>
          <w:tcPr>
            <w:tcW w:w="1623"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2,9</w:t>
            </w:r>
          </w:p>
        </w:tc>
        <w:tc>
          <w:tcPr>
            <w:tcW w:w="1895" w:type="dxa"/>
          </w:tcPr>
          <w:p w:rsidR="00000000" w:rsidRDefault="00000000">
            <w:pPr>
              <w:pStyle w:val="16"/>
              <w:tabs>
                <w:tab w:val="clear" w:pos="567"/>
                <w:tab w:val="clear" w:pos="1134"/>
                <w:tab w:val="clear" w:pos="1701"/>
                <w:tab w:val="clear" w:pos="2268"/>
                <w:tab w:val="clear" w:pos="6237"/>
                <w:tab w:val="decimal" w:pos="980"/>
              </w:tabs>
              <w:spacing w:line="240" w:lineRule="auto"/>
              <w:jc w:val="left"/>
              <w:rPr>
                <w:sz w:val="20"/>
                <w:lang w:val="en-US"/>
              </w:rPr>
            </w:pPr>
            <w:r>
              <w:rPr>
                <w:sz w:val="20"/>
                <w:lang w:val="en-US"/>
              </w:rPr>
              <w:t>2,4</w:t>
            </w:r>
          </w:p>
        </w:tc>
        <w:tc>
          <w:tcPr>
            <w:tcW w:w="156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0,9</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Центр-Запад</w:t>
            </w:r>
          </w:p>
        </w:tc>
        <w:tc>
          <w:tcPr>
            <w:tcW w:w="1240" w:type="dxa"/>
          </w:tcPr>
          <w:p w:rsidR="00000000" w:rsidRDefault="00000000">
            <w:pPr>
              <w:pStyle w:val="16"/>
              <w:tabs>
                <w:tab w:val="clear" w:pos="567"/>
                <w:tab w:val="clear" w:pos="1134"/>
                <w:tab w:val="clear" w:pos="1701"/>
                <w:tab w:val="clear" w:pos="2268"/>
                <w:tab w:val="clear" w:pos="6237"/>
                <w:tab w:val="decimal" w:pos="946"/>
              </w:tabs>
              <w:spacing w:line="240" w:lineRule="auto"/>
              <w:jc w:val="left"/>
              <w:rPr>
                <w:sz w:val="20"/>
                <w:lang w:val="en-US"/>
              </w:rPr>
            </w:pPr>
            <w:r>
              <w:rPr>
                <w:sz w:val="20"/>
                <w:lang w:val="en-US"/>
              </w:rPr>
              <w:t>2 361 814</w:t>
            </w:r>
          </w:p>
        </w:tc>
        <w:tc>
          <w:tcPr>
            <w:tcW w:w="1512"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88,1</w:t>
            </w:r>
          </w:p>
        </w:tc>
        <w:tc>
          <w:tcPr>
            <w:tcW w:w="1623"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5,0</w:t>
            </w:r>
          </w:p>
        </w:tc>
        <w:tc>
          <w:tcPr>
            <w:tcW w:w="1895" w:type="dxa"/>
          </w:tcPr>
          <w:p w:rsidR="00000000" w:rsidRDefault="00000000">
            <w:pPr>
              <w:pStyle w:val="16"/>
              <w:tabs>
                <w:tab w:val="clear" w:pos="567"/>
                <w:tab w:val="clear" w:pos="1134"/>
                <w:tab w:val="clear" w:pos="1701"/>
                <w:tab w:val="clear" w:pos="2268"/>
                <w:tab w:val="clear" w:pos="6237"/>
                <w:tab w:val="decimal" w:pos="980"/>
              </w:tabs>
              <w:spacing w:line="240" w:lineRule="auto"/>
              <w:jc w:val="left"/>
              <w:rPr>
                <w:sz w:val="20"/>
                <w:lang w:val="en-US"/>
              </w:rPr>
            </w:pPr>
            <w:r>
              <w:rPr>
                <w:sz w:val="20"/>
                <w:lang w:val="en-US"/>
              </w:rPr>
              <w:t>4,8</w:t>
            </w:r>
          </w:p>
        </w:tc>
        <w:tc>
          <w:tcPr>
            <w:tcW w:w="156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2,1</w:t>
            </w:r>
          </w:p>
        </w:tc>
      </w:tr>
    </w:tbl>
    <w:p w:rsidR="00000000" w:rsidRDefault="00000000">
      <w:pPr>
        <w:pStyle w:val="16"/>
        <w:jc w:val="left"/>
      </w:pPr>
    </w:p>
    <w:p w:rsidR="00000000" w:rsidRDefault="00000000">
      <w:pPr>
        <w:pStyle w:val="16"/>
        <w:jc w:val="left"/>
      </w:pPr>
      <w:r>
        <w:tab/>
      </w:r>
      <w:r>
        <w:rPr>
          <w:u w:val="single"/>
        </w:rPr>
        <w:t>Источник</w:t>
      </w:r>
      <w:r>
        <w:t>:  БИГС - Краткий справочник социальных показателей 1998 года (на основе ОВОДХ 1997 года).</w:t>
      </w:r>
    </w:p>
    <w:p w:rsidR="00000000" w:rsidRDefault="00000000">
      <w:pPr>
        <w:pStyle w:val="16"/>
        <w:ind w:left="2268" w:hanging="2268"/>
        <w:jc w:val="left"/>
      </w:pPr>
    </w:p>
    <w:p w:rsidR="00000000" w:rsidRDefault="00000000">
      <w:pPr>
        <w:pStyle w:val="16"/>
        <w:ind w:left="2268" w:hanging="2268"/>
        <w:rPr>
          <w:b/>
          <w:bCs/>
        </w:rPr>
      </w:pPr>
      <w:r>
        <w:rPr>
          <w:b/>
          <w:bCs/>
        </w:rPr>
        <w:t>Таблица 68.  Городские дома в разбивке по типу сбора и удаления отходов, 1997 год</w:t>
      </w:r>
    </w:p>
    <w:p w:rsidR="00000000" w:rsidRDefault="00000000">
      <w:pPr>
        <w:pStyle w:val="16"/>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73"/>
        <w:gridCol w:w="1240"/>
        <w:gridCol w:w="1792"/>
        <w:gridCol w:w="1357"/>
        <w:gridCol w:w="1274"/>
        <w:gridCol w:w="2174"/>
      </w:tblGrid>
      <w:tr w:rsidR="00000000">
        <w:tblPrEx>
          <w:tblCellMar>
            <w:top w:w="0" w:type="dxa"/>
            <w:bottom w:w="0" w:type="dxa"/>
          </w:tblCellMar>
        </w:tblPrEx>
        <w:trPr>
          <w:cantSplit/>
        </w:trPr>
        <w:tc>
          <w:tcPr>
            <w:tcW w:w="1574" w:type="dxa"/>
            <w:vMerge w:val="restart"/>
            <w:vAlign w:val="center"/>
          </w:tcPr>
          <w:p w:rsidR="00000000" w:rsidRDefault="00000000">
            <w:pPr>
              <w:pStyle w:val="16"/>
              <w:spacing w:line="240" w:lineRule="auto"/>
              <w:rPr>
                <w:sz w:val="20"/>
              </w:rPr>
            </w:pPr>
            <w:r>
              <w:rPr>
                <w:sz w:val="20"/>
              </w:rPr>
              <w:t>Основные регионы</w:t>
            </w:r>
          </w:p>
        </w:tc>
        <w:tc>
          <w:tcPr>
            <w:tcW w:w="1240" w:type="dxa"/>
            <w:vMerge w:val="restart"/>
            <w:vAlign w:val="center"/>
          </w:tcPr>
          <w:p w:rsidR="00000000" w:rsidRDefault="00000000">
            <w:pPr>
              <w:pStyle w:val="16"/>
              <w:spacing w:line="240" w:lineRule="auto"/>
              <w:rPr>
                <w:sz w:val="20"/>
              </w:rPr>
            </w:pPr>
            <w:r>
              <w:rPr>
                <w:sz w:val="20"/>
              </w:rPr>
              <w:t>Общее число домов</w:t>
            </w:r>
          </w:p>
        </w:tc>
        <w:tc>
          <w:tcPr>
            <w:tcW w:w="6597" w:type="dxa"/>
            <w:gridSpan w:val="4"/>
          </w:tcPr>
          <w:p w:rsidR="00000000" w:rsidRDefault="00000000">
            <w:pPr>
              <w:pStyle w:val="16"/>
              <w:spacing w:line="240" w:lineRule="auto"/>
              <w:rPr>
                <w:sz w:val="20"/>
              </w:rPr>
            </w:pPr>
            <w:r>
              <w:rPr>
                <w:sz w:val="20"/>
              </w:rPr>
              <w:t>Сбор и удаление отходов (%)</w:t>
            </w:r>
          </w:p>
        </w:tc>
      </w:tr>
      <w:tr w:rsidR="00000000">
        <w:tblPrEx>
          <w:tblCellMar>
            <w:top w:w="0" w:type="dxa"/>
            <w:bottom w:w="0" w:type="dxa"/>
          </w:tblCellMar>
        </w:tblPrEx>
        <w:trPr>
          <w:cantSplit/>
        </w:trPr>
        <w:tc>
          <w:tcPr>
            <w:tcW w:w="1574" w:type="dxa"/>
            <w:vMerge/>
          </w:tcPr>
          <w:p w:rsidR="00000000" w:rsidRDefault="00000000">
            <w:pPr>
              <w:pStyle w:val="16"/>
              <w:spacing w:line="240" w:lineRule="auto"/>
              <w:rPr>
                <w:sz w:val="20"/>
              </w:rPr>
            </w:pPr>
          </w:p>
        </w:tc>
        <w:tc>
          <w:tcPr>
            <w:tcW w:w="1240" w:type="dxa"/>
            <w:vMerge/>
          </w:tcPr>
          <w:p w:rsidR="00000000" w:rsidRDefault="00000000">
            <w:pPr>
              <w:pStyle w:val="16"/>
              <w:spacing w:line="240" w:lineRule="auto"/>
              <w:rPr>
                <w:sz w:val="20"/>
              </w:rPr>
            </w:pPr>
          </w:p>
        </w:tc>
        <w:tc>
          <w:tcPr>
            <w:tcW w:w="1792" w:type="dxa"/>
          </w:tcPr>
          <w:p w:rsidR="00000000" w:rsidRDefault="00000000">
            <w:pPr>
              <w:pStyle w:val="16"/>
              <w:spacing w:line="240" w:lineRule="auto"/>
              <w:rPr>
                <w:sz w:val="20"/>
              </w:rPr>
            </w:pPr>
            <w:r>
              <w:rPr>
                <w:sz w:val="20"/>
              </w:rPr>
              <w:t>Система сбора и удаления отходов</w:t>
            </w:r>
          </w:p>
        </w:tc>
        <w:tc>
          <w:tcPr>
            <w:tcW w:w="1357" w:type="dxa"/>
          </w:tcPr>
          <w:p w:rsidR="00000000" w:rsidRDefault="00000000">
            <w:pPr>
              <w:pStyle w:val="16"/>
              <w:spacing w:line="240" w:lineRule="auto"/>
              <w:rPr>
                <w:sz w:val="20"/>
              </w:rPr>
            </w:pPr>
            <w:r>
              <w:rPr>
                <w:sz w:val="20"/>
              </w:rPr>
              <w:t>Отстойный колодец</w:t>
            </w:r>
          </w:p>
        </w:tc>
        <w:tc>
          <w:tcPr>
            <w:tcW w:w="1274" w:type="dxa"/>
          </w:tcPr>
          <w:p w:rsidR="00000000" w:rsidRDefault="00000000">
            <w:pPr>
              <w:pStyle w:val="16"/>
              <w:spacing w:line="240" w:lineRule="auto"/>
              <w:rPr>
                <w:sz w:val="20"/>
              </w:rPr>
            </w:pPr>
            <w:r>
              <w:rPr>
                <w:sz w:val="20"/>
              </w:rPr>
              <w:t>Выгребная яма</w:t>
            </w:r>
          </w:p>
        </w:tc>
        <w:tc>
          <w:tcPr>
            <w:tcW w:w="2174" w:type="dxa"/>
          </w:tcPr>
          <w:p w:rsidR="00000000" w:rsidRDefault="00000000">
            <w:pPr>
              <w:pStyle w:val="16"/>
              <w:spacing w:line="240" w:lineRule="auto"/>
              <w:rPr>
                <w:sz w:val="20"/>
              </w:rPr>
            </w:pPr>
            <w:r>
              <w:rPr>
                <w:sz w:val="20"/>
              </w:rPr>
              <w:t>Прочие виды или данные отсутствуют</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Бразилия</w:t>
            </w:r>
          </w:p>
        </w:tc>
        <w:tc>
          <w:tcPr>
            <w:tcW w:w="1240" w:type="dxa"/>
          </w:tcPr>
          <w:p w:rsidR="00000000" w:rsidRDefault="00000000">
            <w:pPr>
              <w:pStyle w:val="16"/>
              <w:tabs>
                <w:tab w:val="clear" w:pos="567"/>
                <w:tab w:val="clear" w:pos="1134"/>
                <w:tab w:val="clear" w:pos="1701"/>
                <w:tab w:val="clear" w:pos="2268"/>
                <w:tab w:val="clear" w:pos="6237"/>
                <w:tab w:val="decimal" w:pos="1044"/>
              </w:tabs>
              <w:spacing w:line="240" w:lineRule="auto"/>
              <w:jc w:val="left"/>
              <w:rPr>
                <w:sz w:val="20"/>
              </w:rPr>
            </w:pPr>
            <w:r>
              <w:rPr>
                <w:sz w:val="20"/>
              </w:rPr>
              <w:t>32 980 372</w:t>
            </w:r>
          </w:p>
        </w:tc>
        <w:tc>
          <w:tcPr>
            <w:tcW w:w="1792" w:type="dxa"/>
          </w:tcPr>
          <w:p w:rsidR="00000000" w:rsidRDefault="00000000">
            <w:pPr>
              <w:pStyle w:val="16"/>
              <w:tabs>
                <w:tab w:val="clear" w:pos="567"/>
                <w:tab w:val="clear" w:pos="1134"/>
                <w:tab w:val="clear" w:pos="1701"/>
                <w:tab w:val="clear" w:pos="2268"/>
                <w:tab w:val="clear" w:pos="6237"/>
                <w:tab w:val="decimal" w:pos="854"/>
              </w:tabs>
              <w:spacing w:line="240" w:lineRule="auto"/>
              <w:jc w:val="left"/>
              <w:rPr>
                <w:sz w:val="20"/>
                <w:lang w:val="en-US"/>
              </w:rPr>
            </w:pPr>
            <w:r>
              <w:rPr>
                <w:sz w:val="20"/>
                <w:lang w:val="en-US"/>
              </w:rPr>
              <w:t>49,4</w:t>
            </w:r>
          </w:p>
        </w:tc>
        <w:tc>
          <w:tcPr>
            <w:tcW w:w="135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24,1</w:t>
            </w:r>
          </w:p>
        </w:tc>
        <w:tc>
          <w:tcPr>
            <w:tcW w:w="1274" w:type="dxa"/>
          </w:tcPr>
          <w:p w:rsidR="00000000" w:rsidRDefault="00000000">
            <w:pPr>
              <w:pStyle w:val="16"/>
              <w:tabs>
                <w:tab w:val="clear" w:pos="567"/>
                <w:tab w:val="clear" w:pos="1134"/>
                <w:tab w:val="clear" w:pos="1701"/>
                <w:tab w:val="clear" w:pos="2268"/>
                <w:tab w:val="clear" w:pos="6237"/>
                <w:tab w:val="decimal" w:pos="616"/>
              </w:tabs>
              <w:spacing w:line="240" w:lineRule="auto"/>
              <w:jc w:val="left"/>
              <w:rPr>
                <w:sz w:val="20"/>
                <w:lang w:val="en-US"/>
              </w:rPr>
            </w:pPr>
            <w:r>
              <w:rPr>
                <w:sz w:val="20"/>
                <w:lang w:val="en-US"/>
              </w:rPr>
              <w:t>18,8</w:t>
            </w:r>
          </w:p>
        </w:tc>
        <w:tc>
          <w:tcPr>
            <w:tcW w:w="2174" w:type="dxa"/>
          </w:tcPr>
          <w:p w:rsidR="00000000" w:rsidRDefault="00000000">
            <w:pPr>
              <w:pStyle w:val="16"/>
              <w:tabs>
                <w:tab w:val="clear" w:pos="567"/>
                <w:tab w:val="clear" w:pos="1134"/>
                <w:tab w:val="clear" w:pos="1701"/>
                <w:tab w:val="clear" w:pos="2268"/>
                <w:tab w:val="clear" w:pos="6237"/>
                <w:tab w:val="decimal" w:pos="1050"/>
              </w:tabs>
              <w:spacing w:line="240" w:lineRule="auto"/>
              <w:jc w:val="left"/>
              <w:rPr>
                <w:sz w:val="20"/>
                <w:lang w:val="en-US"/>
              </w:rPr>
            </w:pPr>
            <w:r>
              <w:rPr>
                <w:sz w:val="20"/>
                <w:lang w:val="en-US"/>
              </w:rPr>
              <w:t>7,6</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Север</w:t>
            </w:r>
          </w:p>
        </w:tc>
        <w:tc>
          <w:tcPr>
            <w:tcW w:w="1240" w:type="dxa"/>
          </w:tcPr>
          <w:p w:rsidR="00000000" w:rsidRDefault="00000000">
            <w:pPr>
              <w:pStyle w:val="16"/>
              <w:tabs>
                <w:tab w:val="clear" w:pos="567"/>
                <w:tab w:val="clear" w:pos="1134"/>
                <w:tab w:val="clear" w:pos="1701"/>
                <w:tab w:val="clear" w:pos="2268"/>
                <w:tab w:val="clear" w:pos="6237"/>
                <w:tab w:val="decimal" w:pos="1044"/>
              </w:tabs>
              <w:spacing w:line="240" w:lineRule="auto"/>
              <w:jc w:val="left"/>
              <w:rPr>
                <w:sz w:val="20"/>
              </w:rPr>
            </w:pPr>
            <w:r>
              <w:rPr>
                <w:sz w:val="20"/>
              </w:rPr>
              <w:t>1 625 591</w:t>
            </w:r>
          </w:p>
        </w:tc>
        <w:tc>
          <w:tcPr>
            <w:tcW w:w="1792" w:type="dxa"/>
          </w:tcPr>
          <w:p w:rsidR="00000000" w:rsidRDefault="00000000">
            <w:pPr>
              <w:pStyle w:val="16"/>
              <w:tabs>
                <w:tab w:val="clear" w:pos="567"/>
                <w:tab w:val="clear" w:pos="1134"/>
                <w:tab w:val="clear" w:pos="1701"/>
                <w:tab w:val="clear" w:pos="2268"/>
                <w:tab w:val="clear" w:pos="6237"/>
                <w:tab w:val="decimal" w:pos="854"/>
              </w:tabs>
              <w:spacing w:line="240" w:lineRule="auto"/>
              <w:jc w:val="left"/>
              <w:rPr>
                <w:sz w:val="20"/>
                <w:lang w:val="en-US"/>
              </w:rPr>
            </w:pPr>
            <w:r>
              <w:rPr>
                <w:sz w:val="20"/>
                <w:lang w:val="en-US"/>
              </w:rPr>
              <w:t>6,6</w:t>
            </w:r>
          </w:p>
        </w:tc>
        <w:tc>
          <w:tcPr>
            <w:tcW w:w="135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43,9</w:t>
            </w:r>
          </w:p>
        </w:tc>
        <w:tc>
          <w:tcPr>
            <w:tcW w:w="1274" w:type="dxa"/>
          </w:tcPr>
          <w:p w:rsidR="00000000" w:rsidRDefault="00000000">
            <w:pPr>
              <w:pStyle w:val="16"/>
              <w:tabs>
                <w:tab w:val="clear" w:pos="567"/>
                <w:tab w:val="clear" w:pos="1134"/>
                <w:tab w:val="clear" w:pos="1701"/>
                <w:tab w:val="clear" w:pos="2268"/>
                <w:tab w:val="clear" w:pos="6237"/>
                <w:tab w:val="decimal" w:pos="616"/>
              </w:tabs>
              <w:spacing w:line="240" w:lineRule="auto"/>
              <w:jc w:val="left"/>
              <w:rPr>
                <w:sz w:val="20"/>
                <w:lang w:val="en-US"/>
              </w:rPr>
            </w:pPr>
            <w:r>
              <w:rPr>
                <w:sz w:val="20"/>
                <w:lang w:val="en-US"/>
              </w:rPr>
              <w:t>36,5</w:t>
            </w:r>
          </w:p>
        </w:tc>
        <w:tc>
          <w:tcPr>
            <w:tcW w:w="2174" w:type="dxa"/>
          </w:tcPr>
          <w:p w:rsidR="00000000" w:rsidRDefault="00000000">
            <w:pPr>
              <w:pStyle w:val="16"/>
              <w:tabs>
                <w:tab w:val="clear" w:pos="567"/>
                <w:tab w:val="clear" w:pos="1134"/>
                <w:tab w:val="clear" w:pos="1701"/>
                <w:tab w:val="clear" w:pos="2268"/>
                <w:tab w:val="clear" w:pos="6237"/>
                <w:tab w:val="decimal" w:pos="1050"/>
              </w:tabs>
              <w:spacing w:line="240" w:lineRule="auto"/>
              <w:jc w:val="left"/>
              <w:rPr>
                <w:sz w:val="20"/>
                <w:lang w:val="en-US"/>
              </w:rPr>
            </w:pPr>
            <w:r>
              <w:rPr>
                <w:sz w:val="20"/>
                <w:lang w:val="en-US"/>
              </w:rPr>
              <w:t>12,9</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Северо-Восток</w:t>
            </w:r>
          </w:p>
        </w:tc>
        <w:tc>
          <w:tcPr>
            <w:tcW w:w="1240" w:type="dxa"/>
          </w:tcPr>
          <w:p w:rsidR="00000000" w:rsidRDefault="00000000">
            <w:pPr>
              <w:pStyle w:val="16"/>
              <w:tabs>
                <w:tab w:val="clear" w:pos="567"/>
                <w:tab w:val="clear" w:pos="1134"/>
                <w:tab w:val="clear" w:pos="1701"/>
                <w:tab w:val="clear" w:pos="2268"/>
                <w:tab w:val="clear" w:pos="6237"/>
                <w:tab w:val="decimal" w:pos="1044"/>
              </w:tabs>
              <w:spacing w:line="240" w:lineRule="auto"/>
              <w:jc w:val="left"/>
              <w:rPr>
                <w:sz w:val="20"/>
              </w:rPr>
            </w:pPr>
            <w:r>
              <w:rPr>
                <w:sz w:val="20"/>
              </w:rPr>
              <w:t>7 014 197</w:t>
            </w:r>
          </w:p>
        </w:tc>
        <w:tc>
          <w:tcPr>
            <w:tcW w:w="1792" w:type="dxa"/>
          </w:tcPr>
          <w:p w:rsidR="00000000" w:rsidRDefault="00000000">
            <w:pPr>
              <w:pStyle w:val="16"/>
              <w:tabs>
                <w:tab w:val="clear" w:pos="567"/>
                <w:tab w:val="clear" w:pos="1134"/>
                <w:tab w:val="clear" w:pos="1701"/>
                <w:tab w:val="clear" w:pos="2268"/>
                <w:tab w:val="clear" w:pos="6237"/>
                <w:tab w:val="decimal" w:pos="854"/>
              </w:tabs>
              <w:spacing w:line="240" w:lineRule="auto"/>
              <w:jc w:val="left"/>
              <w:rPr>
                <w:sz w:val="20"/>
                <w:lang w:val="en-US"/>
              </w:rPr>
            </w:pPr>
            <w:r>
              <w:rPr>
                <w:sz w:val="20"/>
                <w:lang w:val="en-US"/>
              </w:rPr>
              <w:t>21,1</w:t>
            </w:r>
          </w:p>
        </w:tc>
        <w:tc>
          <w:tcPr>
            <w:tcW w:w="135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28,1</w:t>
            </w:r>
          </w:p>
        </w:tc>
        <w:tc>
          <w:tcPr>
            <w:tcW w:w="1274" w:type="dxa"/>
          </w:tcPr>
          <w:p w:rsidR="00000000" w:rsidRDefault="00000000">
            <w:pPr>
              <w:pStyle w:val="16"/>
              <w:tabs>
                <w:tab w:val="clear" w:pos="567"/>
                <w:tab w:val="clear" w:pos="1134"/>
                <w:tab w:val="clear" w:pos="1701"/>
                <w:tab w:val="clear" w:pos="2268"/>
                <w:tab w:val="clear" w:pos="6237"/>
                <w:tab w:val="decimal" w:pos="616"/>
              </w:tabs>
              <w:spacing w:line="240" w:lineRule="auto"/>
              <w:jc w:val="left"/>
              <w:rPr>
                <w:sz w:val="20"/>
                <w:lang w:val="en-US"/>
              </w:rPr>
            </w:pPr>
            <w:r>
              <w:rPr>
                <w:sz w:val="20"/>
                <w:lang w:val="en-US"/>
              </w:rPr>
              <w:t>35,3</w:t>
            </w:r>
          </w:p>
        </w:tc>
        <w:tc>
          <w:tcPr>
            <w:tcW w:w="2174" w:type="dxa"/>
          </w:tcPr>
          <w:p w:rsidR="00000000" w:rsidRDefault="00000000">
            <w:pPr>
              <w:pStyle w:val="16"/>
              <w:tabs>
                <w:tab w:val="clear" w:pos="567"/>
                <w:tab w:val="clear" w:pos="1134"/>
                <w:tab w:val="clear" w:pos="1701"/>
                <w:tab w:val="clear" w:pos="2268"/>
                <w:tab w:val="clear" w:pos="6237"/>
                <w:tab w:val="decimal" w:pos="1050"/>
              </w:tabs>
              <w:spacing w:line="240" w:lineRule="auto"/>
              <w:jc w:val="left"/>
              <w:rPr>
                <w:sz w:val="20"/>
                <w:lang w:val="en-US"/>
              </w:rPr>
            </w:pPr>
            <w:r>
              <w:rPr>
                <w:sz w:val="20"/>
                <w:lang w:val="en-US"/>
              </w:rPr>
              <w:t>15,3</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Юго-Восток</w:t>
            </w:r>
          </w:p>
        </w:tc>
        <w:tc>
          <w:tcPr>
            <w:tcW w:w="1240" w:type="dxa"/>
          </w:tcPr>
          <w:p w:rsidR="00000000" w:rsidRDefault="00000000">
            <w:pPr>
              <w:pStyle w:val="16"/>
              <w:tabs>
                <w:tab w:val="clear" w:pos="567"/>
                <w:tab w:val="clear" w:pos="1134"/>
                <w:tab w:val="clear" w:pos="1701"/>
                <w:tab w:val="clear" w:pos="2268"/>
                <w:tab w:val="clear" w:pos="6237"/>
                <w:tab w:val="decimal" w:pos="1044"/>
              </w:tabs>
              <w:spacing w:line="240" w:lineRule="auto"/>
              <w:jc w:val="left"/>
              <w:rPr>
                <w:sz w:val="20"/>
              </w:rPr>
            </w:pPr>
            <w:r>
              <w:rPr>
                <w:sz w:val="20"/>
              </w:rPr>
              <w:t>16 684 918</w:t>
            </w:r>
          </w:p>
        </w:tc>
        <w:tc>
          <w:tcPr>
            <w:tcW w:w="1792" w:type="dxa"/>
          </w:tcPr>
          <w:p w:rsidR="00000000" w:rsidRDefault="00000000">
            <w:pPr>
              <w:pStyle w:val="16"/>
              <w:tabs>
                <w:tab w:val="clear" w:pos="567"/>
                <w:tab w:val="clear" w:pos="1134"/>
                <w:tab w:val="clear" w:pos="1701"/>
                <w:tab w:val="clear" w:pos="2268"/>
                <w:tab w:val="clear" w:pos="6237"/>
                <w:tab w:val="decimal" w:pos="854"/>
              </w:tabs>
              <w:spacing w:line="240" w:lineRule="auto"/>
              <w:jc w:val="left"/>
              <w:rPr>
                <w:sz w:val="20"/>
                <w:lang w:val="en-US"/>
              </w:rPr>
            </w:pPr>
            <w:r>
              <w:rPr>
                <w:sz w:val="20"/>
                <w:lang w:val="en-US"/>
              </w:rPr>
              <w:t>76,8</w:t>
            </w:r>
          </w:p>
        </w:tc>
        <w:tc>
          <w:tcPr>
            <w:tcW w:w="135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12,6</w:t>
            </w:r>
          </w:p>
        </w:tc>
        <w:tc>
          <w:tcPr>
            <w:tcW w:w="1274" w:type="dxa"/>
          </w:tcPr>
          <w:p w:rsidR="00000000" w:rsidRDefault="00000000">
            <w:pPr>
              <w:pStyle w:val="16"/>
              <w:tabs>
                <w:tab w:val="clear" w:pos="567"/>
                <w:tab w:val="clear" w:pos="1134"/>
                <w:tab w:val="clear" w:pos="1701"/>
                <w:tab w:val="clear" w:pos="2268"/>
                <w:tab w:val="clear" w:pos="6237"/>
                <w:tab w:val="decimal" w:pos="616"/>
              </w:tabs>
              <w:spacing w:line="240" w:lineRule="auto"/>
              <w:jc w:val="left"/>
              <w:rPr>
                <w:sz w:val="20"/>
                <w:lang w:val="en-US"/>
              </w:rPr>
            </w:pPr>
            <w:r>
              <w:rPr>
                <w:sz w:val="20"/>
                <w:lang w:val="en-US"/>
              </w:rPr>
              <w:t>5,0</w:t>
            </w:r>
          </w:p>
        </w:tc>
        <w:tc>
          <w:tcPr>
            <w:tcW w:w="2174" w:type="dxa"/>
          </w:tcPr>
          <w:p w:rsidR="00000000" w:rsidRDefault="00000000">
            <w:pPr>
              <w:pStyle w:val="16"/>
              <w:tabs>
                <w:tab w:val="clear" w:pos="567"/>
                <w:tab w:val="clear" w:pos="1134"/>
                <w:tab w:val="clear" w:pos="1701"/>
                <w:tab w:val="clear" w:pos="2268"/>
                <w:tab w:val="clear" w:pos="6237"/>
                <w:tab w:val="decimal" w:pos="1050"/>
              </w:tabs>
              <w:spacing w:line="240" w:lineRule="auto"/>
              <w:jc w:val="left"/>
              <w:rPr>
                <w:sz w:val="20"/>
                <w:lang w:val="en-US"/>
              </w:rPr>
            </w:pPr>
            <w:r>
              <w:rPr>
                <w:sz w:val="20"/>
                <w:lang w:val="en-US"/>
              </w:rPr>
              <w:t>5,5</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Юг</w:t>
            </w:r>
          </w:p>
        </w:tc>
        <w:tc>
          <w:tcPr>
            <w:tcW w:w="1240" w:type="dxa"/>
          </w:tcPr>
          <w:p w:rsidR="00000000" w:rsidRDefault="00000000">
            <w:pPr>
              <w:pStyle w:val="16"/>
              <w:tabs>
                <w:tab w:val="clear" w:pos="567"/>
                <w:tab w:val="clear" w:pos="1134"/>
                <w:tab w:val="clear" w:pos="1701"/>
                <w:tab w:val="clear" w:pos="2268"/>
                <w:tab w:val="clear" w:pos="6237"/>
                <w:tab w:val="decimal" w:pos="1044"/>
              </w:tabs>
              <w:spacing w:line="240" w:lineRule="auto"/>
              <w:jc w:val="left"/>
              <w:rPr>
                <w:sz w:val="20"/>
              </w:rPr>
            </w:pPr>
            <w:r>
              <w:rPr>
                <w:sz w:val="20"/>
              </w:rPr>
              <w:t>5 324 608</w:t>
            </w:r>
          </w:p>
        </w:tc>
        <w:tc>
          <w:tcPr>
            <w:tcW w:w="1792" w:type="dxa"/>
          </w:tcPr>
          <w:p w:rsidR="00000000" w:rsidRDefault="00000000">
            <w:pPr>
              <w:pStyle w:val="16"/>
              <w:tabs>
                <w:tab w:val="clear" w:pos="567"/>
                <w:tab w:val="clear" w:pos="1134"/>
                <w:tab w:val="clear" w:pos="1701"/>
                <w:tab w:val="clear" w:pos="2268"/>
                <w:tab w:val="clear" w:pos="6237"/>
                <w:tab w:val="decimal" w:pos="854"/>
              </w:tabs>
              <w:spacing w:line="240" w:lineRule="auto"/>
              <w:jc w:val="left"/>
              <w:rPr>
                <w:sz w:val="20"/>
                <w:lang w:val="en-US"/>
              </w:rPr>
            </w:pPr>
            <w:r>
              <w:rPr>
                <w:sz w:val="20"/>
                <w:lang w:val="en-US"/>
              </w:rPr>
              <w:t>18,3</w:t>
            </w:r>
          </w:p>
        </w:tc>
        <w:tc>
          <w:tcPr>
            <w:tcW w:w="135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55,1</w:t>
            </w:r>
          </w:p>
        </w:tc>
        <w:tc>
          <w:tcPr>
            <w:tcW w:w="1274" w:type="dxa"/>
          </w:tcPr>
          <w:p w:rsidR="00000000" w:rsidRDefault="00000000">
            <w:pPr>
              <w:pStyle w:val="16"/>
              <w:tabs>
                <w:tab w:val="clear" w:pos="567"/>
                <w:tab w:val="clear" w:pos="1134"/>
                <w:tab w:val="clear" w:pos="1701"/>
                <w:tab w:val="clear" w:pos="2268"/>
                <w:tab w:val="clear" w:pos="6237"/>
                <w:tab w:val="decimal" w:pos="616"/>
              </w:tabs>
              <w:spacing w:line="240" w:lineRule="auto"/>
              <w:jc w:val="left"/>
              <w:rPr>
                <w:sz w:val="20"/>
                <w:lang w:val="en-US"/>
              </w:rPr>
            </w:pPr>
            <w:r>
              <w:rPr>
                <w:sz w:val="20"/>
                <w:lang w:val="en-US"/>
              </w:rPr>
              <w:t>22,0</w:t>
            </w:r>
          </w:p>
        </w:tc>
        <w:tc>
          <w:tcPr>
            <w:tcW w:w="2174" w:type="dxa"/>
          </w:tcPr>
          <w:p w:rsidR="00000000" w:rsidRDefault="00000000">
            <w:pPr>
              <w:pStyle w:val="16"/>
              <w:tabs>
                <w:tab w:val="clear" w:pos="567"/>
                <w:tab w:val="clear" w:pos="1134"/>
                <w:tab w:val="clear" w:pos="1701"/>
                <w:tab w:val="clear" w:pos="2268"/>
                <w:tab w:val="clear" w:pos="6237"/>
                <w:tab w:val="decimal" w:pos="1050"/>
              </w:tabs>
              <w:spacing w:line="240" w:lineRule="auto"/>
              <w:jc w:val="left"/>
              <w:rPr>
                <w:sz w:val="20"/>
                <w:lang w:val="en-US"/>
              </w:rPr>
            </w:pPr>
            <w:r>
              <w:rPr>
                <w:sz w:val="20"/>
                <w:lang w:val="en-US"/>
              </w:rPr>
              <w:t>4,4</w:t>
            </w:r>
          </w:p>
        </w:tc>
      </w:tr>
      <w:tr w:rsidR="00000000">
        <w:tblPrEx>
          <w:tblCellMar>
            <w:top w:w="0" w:type="dxa"/>
            <w:bottom w:w="0" w:type="dxa"/>
          </w:tblCellMar>
        </w:tblPrEx>
        <w:tc>
          <w:tcPr>
            <w:tcW w:w="1574" w:type="dxa"/>
          </w:tcPr>
          <w:p w:rsidR="00000000" w:rsidRDefault="00000000">
            <w:pPr>
              <w:pStyle w:val="16"/>
              <w:spacing w:line="240" w:lineRule="auto"/>
              <w:jc w:val="left"/>
              <w:rPr>
                <w:sz w:val="20"/>
              </w:rPr>
            </w:pPr>
            <w:r>
              <w:rPr>
                <w:sz w:val="20"/>
              </w:rPr>
              <w:t>Центр -Запад</w:t>
            </w:r>
          </w:p>
        </w:tc>
        <w:tc>
          <w:tcPr>
            <w:tcW w:w="1240" w:type="dxa"/>
          </w:tcPr>
          <w:p w:rsidR="00000000" w:rsidRDefault="00000000">
            <w:pPr>
              <w:pStyle w:val="16"/>
              <w:tabs>
                <w:tab w:val="clear" w:pos="567"/>
                <w:tab w:val="clear" w:pos="1134"/>
                <w:tab w:val="clear" w:pos="1701"/>
                <w:tab w:val="clear" w:pos="2268"/>
                <w:tab w:val="clear" w:pos="6237"/>
                <w:tab w:val="decimal" w:pos="1044"/>
              </w:tabs>
              <w:spacing w:line="240" w:lineRule="auto"/>
              <w:jc w:val="left"/>
              <w:rPr>
                <w:sz w:val="20"/>
                <w:lang w:val="en-US"/>
              </w:rPr>
            </w:pPr>
            <w:r>
              <w:rPr>
                <w:sz w:val="20"/>
                <w:lang w:val="en-US"/>
              </w:rPr>
              <w:t>2 361 814</w:t>
            </w:r>
          </w:p>
        </w:tc>
        <w:tc>
          <w:tcPr>
            <w:tcW w:w="1792" w:type="dxa"/>
          </w:tcPr>
          <w:p w:rsidR="00000000" w:rsidRDefault="00000000">
            <w:pPr>
              <w:pStyle w:val="16"/>
              <w:tabs>
                <w:tab w:val="clear" w:pos="567"/>
                <w:tab w:val="clear" w:pos="1134"/>
                <w:tab w:val="clear" w:pos="1701"/>
                <w:tab w:val="clear" w:pos="2268"/>
                <w:tab w:val="clear" w:pos="6237"/>
                <w:tab w:val="decimal" w:pos="854"/>
              </w:tabs>
              <w:spacing w:line="240" w:lineRule="auto"/>
              <w:jc w:val="left"/>
              <w:rPr>
                <w:sz w:val="20"/>
                <w:lang w:val="en-US"/>
              </w:rPr>
            </w:pPr>
            <w:r>
              <w:rPr>
                <w:sz w:val="20"/>
                <w:lang w:val="en-US"/>
              </w:rPr>
              <w:t>38,3</w:t>
            </w:r>
          </w:p>
        </w:tc>
        <w:tc>
          <w:tcPr>
            <w:tcW w:w="1357" w:type="dxa"/>
          </w:tcPr>
          <w:p w:rsidR="00000000" w:rsidRDefault="00000000">
            <w:pPr>
              <w:pStyle w:val="16"/>
              <w:tabs>
                <w:tab w:val="clear" w:pos="567"/>
                <w:tab w:val="clear" w:pos="1134"/>
                <w:tab w:val="clear" w:pos="1701"/>
                <w:tab w:val="clear" w:pos="2268"/>
                <w:tab w:val="clear" w:pos="6237"/>
                <w:tab w:val="decimal" w:pos="714"/>
              </w:tabs>
              <w:spacing w:line="240" w:lineRule="auto"/>
              <w:jc w:val="left"/>
              <w:rPr>
                <w:sz w:val="20"/>
                <w:lang w:val="en-US"/>
              </w:rPr>
            </w:pPr>
            <w:r>
              <w:rPr>
                <w:sz w:val="20"/>
                <w:lang w:val="en-US"/>
              </w:rPr>
              <w:t>10,4</w:t>
            </w:r>
          </w:p>
        </w:tc>
        <w:tc>
          <w:tcPr>
            <w:tcW w:w="1274" w:type="dxa"/>
          </w:tcPr>
          <w:p w:rsidR="00000000" w:rsidRDefault="00000000">
            <w:pPr>
              <w:pStyle w:val="16"/>
              <w:tabs>
                <w:tab w:val="clear" w:pos="567"/>
                <w:tab w:val="clear" w:pos="1134"/>
                <w:tab w:val="clear" w:pos="1701"/>
                <w:tab w:val="clear" w:pos="2268"/>
                <w:tab w:val="clear" w:pos="6237"/>
                <w:tab w:val="decimal" w:pos="616"/>
              </w:tabs>
              <w:spacing w:line="240" w:lineRule="auto"/>
              <w:jc w:val="left"/>
              <w:rPr>
                <w:sz w:val="20"/>
                <w:lang w:val="en-US"/>
              </w:rPr>
            </w:pPr>
            <w:r>
              <w:rPr>
                <w:sz w:val="20"/>
                <w:lang w:val="en-US"/>
              </w:rPr>
              <w:t>48,3</w:t>
            </w:r>
          </w:p>
        </w:tc>
        <w:tc>
          <w:tcPr>
            <w:tcW w:w="2174" w:type="dxa"/>
          </w:tcPr>
          <w:p w:rsidR="00000000" w:rsidRDefault="00000000">
            <w:pPr>
              <w:pStyle w:val="16"/>
              <w:tabs>
                <w:tab w:val="clear" w:pos="567"/>
                <w:tab w:val="clear" w:pos="1134"/>
                <w:tab w:val="clear" w:pos="1701"/>
                <w:tab w:val="clear" w:pos="2268"/>
                <w:tab w:val="clear" w:pos="6237"/>
                <w:tab w:val="decimal" w:pos="1050"/>
              </w:tabs>
              <w:spacing w:line="240" w:lineRule="auto"/>
              <w:jc w:val="left"/>
              <w:rPr>
                <w:sz w:val="20"/>
                <w:lang w:val="en-US"/>
              </w:rPr>
            </w:pPr>
            <w:r>
              <w:rPr>
                <w:sz w:val="20"/>
                <w:lang w:val="en-US"/>
              </w:rPr>
              <w:t>3,0</w:t>
            </w:r>
          </w:p>
        </w:tc>
      </w:tr>
    </w:tbl>
    <w:p w:rsidR="00000000" w:rsidRDefault="00000000">
      <w:pPr>
        <w:pStyle w:val="16"/>
        <w:jc w:val="left"/>
      </w:pPr>
    </w:p>
    <w:p w:rsidR="00000000" w:rsidRDefault="00000000">
      <w:pPr>
        <w:pStyle w:val="16"/>
        <w:jc w:val="left"/>
      </w:pPr>
      <w:r>
        <w:tab/>
      </w:r>
      <w:r>
        <w:rPr>
          <w:u w:val="single"/>
        </w:rPr>
        <w:t>Источник</w:t>
      </w:r>
      <w:r>
        <w:t>:  БИГС - Краткий справочник социальных показателей, 1998 год (на основе ОВОДХ 1997 года).</w:t>
      </w:r>
    </w:p>
    <w:p w:rsidR="00000000" w:rsidRDefault="00000000">
      <w:pPr>
        <w:rPr>
          <w:b/>
          <w:bCs/>
        </w:rPr>
      </w:pPr>
    </w:p>
    <w:p w:rsidR="00000000" w:rsidRDefault="00000000">
      <w:pPr>
        <w:pStyle w:val="16"/>
        <w:rPr>
          <w:b/>
        </w:rPr>
      </w:pPr>
      <w:r>
        <w:rPr>
          <w:b/>
        </w:rPr>
        <w:t>Таблица 69.   Городские дома, оборудованные водопроводом, системой канализации и системой сбора мусора (в разбивке по сумме доходов на члена семьи в минимальных окладах, 1997 год)</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000" w:firstRow="0" w:lastRow="0" w:firstColumn="0" w:lastColumn="0" w:noHBand="0" w:noVBand="0"/>
      </w:tblPr>
      <w:tblGrid>
        <w:gridCol w:w="1560"/>
        <w:gridCol w:w="1553"/>
        <w:gridCol w:w="1832"/>
        <w:gridCol w:w="1526"/>
        <w:gridCol w:w="1526"/>
        <w:gridCol w:w="1527"/>
      </w:tblGrid>
      <w:tr w:rsidR="00000000">
        <w:tblPrEx>
          <w:tblCellMar>
            <w:top w:w="0" w:type="dxa"/>
            <w:bottom w:w="0" w:type="dxa"/>
          </w:tblCellMar>
        </w:tblPrEx>
        <w:trPr>
          <w:cantSplit/>
        </w:trPr>
        <w:tc>
          <w:tcPr>
            <w:tcW w:w="1561" w:type="dxa"/>
            <w:vMerge w:val="restart"/>
            <w:vAlign w:val="center"/>
          </w:tcPr>
          <w:p w:rsidR="00000000" w:rsidRDefault="00000000">
            <w:pPr>
              <w:jc w:val="both"/>
              <w:rPr>
                <w:sz w:val="20"/>
              </w:rPr>
            </w:pPr>
            <w:r>
              <w:rPr>
                <w:sz w:val="20"/>
              </w:rPr>
              <w:t>Основные регионы</w:t>
            </w:r>
          </w:p>
        </w:tc>
        <w:tc>
          <w:tcPr>
            <w:tcW w:w="1553" w:type="dxa"/>
            <w:vMerge w:val="restart"/>
            <w:vAlign w:val="center"/>
          </w:tcPr>
          <w:p w:rsidR="00000000" w:rsidRDefault="00000000">
            <w:pPr>
              <w:jc w:val="center"/>
              <w:rPr>
                <w:sz w:val="20"/>
              </w:rPr>
            </w:pPr>
            <w:r>
              <w:rPr>
                <w:sz w:val="20"/>
              </w:rPr>
              <w:t>Общее число домов</w:t>
            </w:r>
          </w:p>
        </w:tc>
        <w:tc>
          <w:tcPr>
            <w:tcW w:w="1832" w:type="dxa"/>
            <w:vMerge w:val="restart"/>
            <w:vAlign w:val="center"/>
          </w:tcPr>
          <w:p w:rsidR="00000000" w:rsidRDefault="00000000">
            <w:pPr>
              <w:jc w:val="center"/>
              <w:rPr>
                <w:sz w:val="20"/>
              </w:rPr>
            </w:pPr>
            <w:r>
              <w:rPr>
                <w:sz w:val="20"/>
              </w:rPr>
              <w:t>Дома, оборудованные соответствующими системами (%)</w:t>
            </w:r>
          </w:p>
        </w:tc>
        <w:tc>
          <w:tcPr>
            <w:tcW w:w="4579" w:type="dxa"/>
            <w:gridSpan w:val="3"/>
          </w:tcPr>
          <w:p w:rsidR="00000000" w:rsidRDefault="00000000">
            <w:pPr>
              <w:jc w:val="center"/>
              <w:rPr>
                <w:sz w:val="20"/>
              </w:rPr>
            </w:pPr>
            <w:r>
              <w:rPr>
                <w:sz w:val="20"/>
              </w:rPr>
              <w:t>Доход на члена семьи в минимальных окладах</w:t>
            </w:r>
          </w:p>
        </w:tc>
      </w:tr>
      <w:tr w:rsidR="00000000">
        <w:tblPrEx>
          <w:tblCellMar>
            <w:top w:w="0" w:type="dxa"/>
            <w:bottom w:w="0" w:type="dxa"/>
          </w:tblCellMar>
        </w:tblPrEx>
        <w:trPr>
          <w:cantSplit/>
        </w:trPr>
        <w:tc>
          <w:tcPr>
            <w:tcW w:w="1561" w:type="dxa"/>
            <w:vMerge/>
          </w:tcPr>
          <w:p w:rsidR="00000000" w:rsidRDefault="00000000">
            <w:pPr>
              <w:jc w:val="center"/>
              <w:rPr>
                <w:sz w:val="20"/>
              </w:rPr>
            </w:pPr>
          </w:p>
        </w:tc>
        <w:tc>
          <w:tcPr>
            <w:tcW w:w="1553" w:type="dxa"/>
            <w:vMerge/>
          </w:tcPr>
          <w:p w:rsidR="00000000" w:rsidRDefault="00000000">
            <w:pPr>
              <w:jc w:val="center"/>
              <w:rPr>
                <w:sz w:val="20"/>
              </w:rPr>
            </w:pPr>
          </w:p>
        </w:tc>
        <w:tc>
          <w:tcPr>
            <w:tcW w:w="1832" w:type="dxa"/>
            <w:vMerge/>
          </w:tcPr>
          <w:p w:rsidR="00000000" w:rsidRDefault="00000000">
            <w:pPr>
              <w:jc w:val="center"/>
              <w:rPr>
                <w:sz w:val="20"/>
              </w:rPr>
            </w:pPr>
          </w:p>
        </w:tc>
        <w:tc>
          <w:tcPr>
            <w:tcW w:w="1526" w:type="dxa"/>
          </w:tcPr>
          <w:p w:rsidR="00000000" w:rsidRDefault="00000000">
            <w:pPr>
              <w:jc w:val="center"/>
              <w:rPr>
                <w:sz w:val="20"/>
              </w:rPr>
            </w:pPr>
            <w:r>
              <w:rPr>
                <w:sz w:val="20"/>
              </w:rPr>
              <w:t xml:space="preserve">До </w:t>
            </w:r>
            <w:r>
              <w:rPr>
                <w:rFonts w:ascii="Tahoma" w:hAnsi="Tahoma" w:cs="Tahoma"/>
                <w:sz w:val="20"/>
              </w:rPr>
              <w:t>½</w:t>
            </w:r>
          </w:p>
        </w:tc>
        <w:tc>
          <w:tcPr>
            <w:tcW w:w="1526" w:type="dxa"/>
          </w:tcPr>
          <w:p w:rsidR="00000000" w:rsidRDefault="00000000">
            <w:pPr>
              <w:jc w:val="center"/>
              <w:rPr>
                <w:sz w:val="20"/>
              </w:rPr>
            </w:pPr>
            <w:r>
              <w:rPr>
                <w:rFonts w:ascii="Tahoma" w:hAnsi="Tahoma" w:cs="Tahoma"/>
                <w:sz w:val="20"/>
              </w:rPr>
              <w:t>½ до 1</w:t>
            </w:r>
          </w:p>
        </w:tc>
        <w:tc>
          <w:tcPr>
            <w:tcW w:w="1527" w:type="dxa"/>
          </w:tcPr>
          <w:p w:rsidR="00000000" w:rsidRDefault="00000000">
            <w:pPr>
              <w:jc w:val="center"/>
              <w:rPr>
                <w:sz w:val="20"/>
              </w:rPr>
            </w:pPr>
            <w:r>
              <w:rPr>
                <w:sz w:val="20"/>
              </w:rPr>
              <w:t>свыше 1</w:t>
            </w:r>
          </w:p>
        </w:tc>
      </w:tr>
      <w:tr w:rsidR="00000000">
        <w:tblPrEx>
          <w:tblCellMar>
            <w:top w:w="0" w:type="dxa"/>
            <w:bottom w:w="0" w:type="dxa"/>
          </w:tblCellMar>
        </w:tblPrEx>
        <w:tc>
          <w:tcPr>
            <w:tcW w:w="1561" w:type="dxa"/>
          </w:tcPr>
          <w:p w:rsidR="00000000" w:rsidRDefault="00000000">
            <w:pPr>
              <w:jc w:val="center"/>
              <w:rPr>
                <w:sz w:val="20"/>
              </w:rPr>
            </w:pPr>
            <w:r>
              <w:rPr>
                <w:sz w:val="20"/>
              </w:rPr>
              <w:t>Бразилия</w:t>
            </w:r>
          </w:p>
        </w:tc>
        <w:tc>
          <w:tcPr>
            <w:tcW w:w="1553" w:type="dxa"/>
          </w:tcPr>
          <w:p w:rsidR="00000000" w:rsidRDefault="00000000">
            <w:pPr>
              <w:tabs>
                <w:tab w:val="clear" w:pos="567"/>
                <w:tab w:val="clear" w:pos="1134"/>
              </w:tabs>
              <w:jc w:val="right"/>
              <w:rPr>
                <w:sz w:val="20"/>
              </w:rPr>
            </w:pPr>
            <w:r>
              <w:rPr>
                <w:sz w:val="20"/>
              </w:rPr>
              <w:t>32 980 372</w:t>
            </w:r>
          </w:p>
        </w:tc>
        <w:tc>
          <w:tcPr>
            <w:tcW w:w="1832" w:type="dxa"/>
          </w:tcPr>
          <w:p w:rsidR="00000000" w:rsidRDefault="00000000">
            <w:pPr>
              <w:jc w:val="center"/>
              <w:rPr>
                <w:sz w:val="20"/>
              </w:rPr>
            </w:pPr>
            <w:r>
              <w:rPr>
                <w:sz w:val="20"/>
              </w:rPr>
              <w:t>59,8</w:t>
            </w:r>
          </w:p>
        </w:tc>
        <w:tc>
          <w:tcPr>
            <w:tcW w:w="1526" w:type="dxa"/>
          </w:tcPr>
          <w:p w:rsidR="00000000" w:rsidRDefault="00000000">
            <w:pPr>
              <w:tabs>
                <w:tab w:val="clear" w:pos="567"/>
                <w:tab w:val="clear" w:pos="1134"/>
              </w:tabs>
              <w:jc w:val="center"/>
              <w:rPr>
                <w:sz w:val="20"/>
              </w:rPr>
            </w:pPr>
            <w:r>
              <w:rPr>
                <w:sz w:val="20"/>
              </w:rPr>
              <w:t>8,2</w:t>
            </w:r>
          </w:p>
        </w:tc>
        <w:tc>
          <w:tcPr>
            <w:tcW w:w="1526" w:type="dxa"/>
          </w:tcPr>
          <w:p w:rsidR="00000000" w:rsidRDefault="00000000">
            <w:pPr>
              <w:jc w:val="center"/>
              <w:rPr>
                <w:sz w:val="20"/>
              </w:rPr>
            </w:pPr>
            <w:r>
              <w:rPr>
                <w:sz w:val="20"/>
              </w:rPr>
              <w:t>16,1</w:t>
            </w:r>
          </w:p>
        </w:tc>
        <w:tc>
          <w:tcPr>
            <w:tcW w:w="1527" w:type="dxa"/>
          </w:tcPr>
          <w:p w:rsidR="00000000" w:rsidRDefault="00000000">
            <w:pPr>
              <w:jc w:val="center"/>
              <w:rPr>
                <w:sz w:val="20"/>
              </w:rPr>
            </w:pPr>
            <w:r>
              <w:rPr>
                <w:sz w:val="20"/>
              </w:rPr>
              <w:t>73,3</w:t>
            </w:r>
          </w:p>
        </w:tc>
      </w:tr>
      <w:tr w:rsidR="00000000">
        <w:tblPrEx>
          <w:tblCellMar>
            <w:top w:w="0" w:type="dxa"/>
            <w:bottom w:w="0" w:type="dxa"/>
          </w:tblCellMar>
        </w:tblPrEx>
        <w:tc>
          <w:tcPr>
            <w:tcW w:w="1561" w:type="dxa"/>
          </w:tcPr>
          <w:p w:rsidR="00000000" w:rsidRDefault="00000000">
            <w:pPr>
              <w:jc w:val="center"/>
              <w:rPr>
                <w:sz w:val="20"/>
              </w:rPr>
            </w:pPr>
            <w:r>
              <w:rPr>
                <w:sz w:val="20"/>
              </w:rPr>
              <w:t>Север</w:t>
            </w:r>
          </w:p>
        </w:tc>
        <w:tc>
          <w:tcPr>
            <w:tcW w:w="1553" w:type="dxa"/>
          </w:tcPr>
          <w:p w:rsidR="00000000" w:rsidRDefault="00000000">
            <w:pPr>
              <w:tabs>
                <w:tab w:val="clear" w:pos="567"/>
                <w:tab w:val="clear" w:pos="1134"/>
              </w:tabs>
              <w:jc w:val="right"/>
              <w:rPr>
                <w:sz w:val="20"/>
              </w:rPr>
            </w:pPr>
            <w:r>
              <w:rPr>
                <w:sz w:val="20"/>
              </w:rPr>
              <w:t>1 625 591</w:t>
            </w:r>
          </w:p>
        </w:tc>
        <w:tc>
          <w:tcPr>
            <w:tcW w:w="1832" w:type="dxa"/>
          </w:tcPr>
          <w:p w:rsidR="00000000" w:rsidRDefault="00000000">
            <w:pPr>
              <w:jc w:val="center"/>
              <w:rPr>
                <w:sz w:val="20"/>
              </w:rPr>
            </w:pPr>
            <w:r>
              <w:rPr>
                <w:sz w:val="20"/>
              </w:rPr>
              <w:t>14,7</w:t>
            </w:r>
          </w:p>
        </w:tc>
        <w:tc>
          <w:tcPr>
            <w:tcW w:w="1526" w:type="dxa"/>
          </w:tcPr>
          <w:p w:rsidR="00000000" w:rsidRDefault="00000000">
            <w:pPr>
              <w:tabs>
                <w:tab w:val="clear" w:pos="567"/>
                <w:tab w:val="clear" w:pos="1134"/>
              </w:tabs>
              <w:jc w:val="center"/>
              <w:rPr>
                <w:sz w:val="20"/>
              </w:rPr>
            </w:pPr>
            <w:r>
              <w:rPr>
                <w:sz w:val="20"/>
              </w:rPr>
              <w:t>12,4</w:t>
            </w:r>
          </w:p>
        </w:tc>
        <w:tc>
          <w:tcPr>
            <w:tcW w:w="1526" w:type="dxa"/>
          </w:tcPr>
          <w:p w:rsidR="00000000" w:rsidRDefault="00000000">
            <w:pPr>
              <w:jc w:val="center"/>
              <w:rPr>
                <w:sz w:val="20"/>
              </w:rPr>
            </w:pPr>
            <w:r>
              <w:rPr>
                <w:sz w:val="20"/>
              </w:rPr>
              <w:t>17,5</w:t>
            </w:r>
          </w:p>
        </w:tc>
        <w:tc>
          <w:tcPr>
            <w:tcW w:w="1527" w:type="dxa"/>
          </w:tcPr>
          <w:p w:rsidR="00000000" w:rsidRDefault="00000000">
            <w:pPr>
              <w:jc w:val="center"/>
              <w:rPr>
                <w:sz w:val="20"/>
              </w:rPr>
            </w:pPr>
            <w:r>
              <w:rPr>
                <w:sz w:val="20"/>
              </w:rPr>
              <w:t>69,1</w:t>
            </w:r>
          </w:p>
        </w:tc>
      </w:tr>
      <w:tr w:rsidR="00000000">
        <w:tblPrEx>
          <w:tblCellMar>
            <w:top w:w="0" w:type="dxa"/>
            <w:bottom w:w="0" w:type="dxa"/>
          </w:tblCellMar>
        </w:tblPrEx>
        <w:tc>
          <w:tcPr>
            <w:tcW w:w="1561" w:type="dxa"/>
          </w:tcPr>
          <w:p w:rsidR="00000000" w:rsidRDefault="00000000">
            <w:pPr>
              <w:jc w:val="center"/>
              <w:rPr>
                <w:sz w:val="20"/>
              </w:rPr>
            </w:pPr>
            <w:r>
              <w:rPr>
                <w:sz w:val="20"/>
              </w:rPr>
              <w:t>Северо-Восток</w:t>
            </w:r>
          </w:p>
        </w:tc>
        <w:tc>
          <w:tcPr>
            <w:tcW w:w="1553" w:type="dxa"/>
          </w:tcPr>
          <w:p w:rsidR="00000000" w:rsidRDefault="00000000">
            <w:pPr>
              <w:tabs>
                <w:tab w:val="clear" w:pos="567"/>
                <w:tab w:val="clear" w:pos="1134"/>
              </w:tabs>
              <w:jc w:val="right"/>
              <w:rPr>
                <w:sz w:val="20"/>
              </w:rPr>
            </w:pPr>
            <w:r>
              <w:rPr>
                <w:sz w:val="20"/>
              </w:rPr>
              <w:t>7 014 197</w:t>
            </w:r>
          </w:p>
        </w:tc>
        <w:tc>
          <w:tcPr>
            <w:tcW w:w="1832" w:type="dxa"/>
          </w:tcPr>
          <w:p w:rsidR="00000000" w:rsidRDefault="00000000">
            <w:pPr>
              <w:jc w:val="center"/>
              <w:rPr>
                <w:sz w:val="20"/>
              </w:rPr>
            </w:pPr>
            <w:r>
              <w:rPr>
                <w:sz w:val="20"/>
              </w:rPr>
              <w:t>29,1</w:t>
            </w:r>
          </w:p>
        </w:tc>
        <w:tc>
          <w:tcPr>
            <w:tcW w:w="1526" w:type="dxa"/>
          </w:tcPr>
          <w:p w:rsidR="00000000" w:rsidRDefault="00000000">
            <w:pPr>
              <w:tabs>
                <w:tab w:val="clear" w:pos="567"/>
                <w:tab w:val="clear" w:pos="1134"/>
              </w:tabs>
              <w:jc w:val="center"/>
              <w:rPr>
                <w:sz w:val="20"/>
              </w:rPr>
            </w:pPr>
            <w:r>
              <w:rPr>
                <w:sz w:val="20"/>
              </w:rPr>
              <w:t>19,5</w:t>
            </w:r>
          </w:p>
        </w:tc>
        <w:tc>
          <w:tcPr>
            <w:tcW w:w="1526" w:type="dxa"/>
          </w:tcPr>
          <w:p w:rsidR="00000000" w:rsidRDefault="00000000">
            <w:pPr>
              <w:jc w:val="center"/>
              <w:rPr>
                <w:sz w:val="20"/>
              </w:rPr>
            </w:pPr>
            <w:r>
              <w:rPr>
                <w:sz w:val="20"/>
              </w:rPr>
              <w:t>23,6</w:t>
            </w:r>
          </w:p>
        </w:tc>
        <w:tc>
          <w:tcPr>
            <w:tcW w:w="1527" w:type="dxa"/>
          </w:tcPr>
          <w:p w:rsidR="00000000" w:rsidRDefault="00000000">
            <w:pPr>
              <w:jc w:val="center"/>
              <w:rPr>
                <w:sz w:val="20"/>
              </w:rPr>
            </w:pPr>
            <w:r>
              <w:rPr>
                <w:sz w:val="20"/>
              </w:rPr>
              <w:t>53,8</w:t>
            </w:r>
          </w:p>
        </w:tc>
      </w:tr>
      <w:tr w:rsidR="00000000">
        <w:tblPrEx>
          <w:tblCellMar>
            <w:top w:w="0" w:type="dxa"/>
            <w:bottom w:w="0" w:type="dxa"/>
          </w:tblCellMar>
        </w:tblPrEx>
        <w:tc>
          <w:tcPr>
            <w:tcW w:w="1561" w:type="dxa"/>
          </w:tcPr>
          <w:p w:rsidR="00000000" w:rsidRDefault="00000000">
            <w:pPr>
              <w:jc w:val="center"/>
              <w:rPr>
                <w:sz w:val="20"/>
              </w:rPr>
            </w:pPr>
            <w:r>
              <w:rPr>
                <w:sz w:val="20"/>
              </w:rPr>
              <w:t>Юго-Восток</w:t>
            </w:r>
          </w:p>
        </w:tc>
        <w:tc>
          <w:tcPr>
            <w:tcW w:w="1553" w:type="dxa"/>
          </w:tcPr>
          <w:p w:rsidR="00000000" w:rsidRDefault="00000000">
            <w:pPr>
              <w:tabs>
                <w:tab w:val="clear" w:pos="567"/>
                <w:tab w:val="clear" w:pos="1134"/>
              </w:tabs>
              <w:jc w:val="right"/>
              <w:rPr>
                <w:sz w:val="20"/>
              </w:rPr>
            </w:pPr>
            <w:r>
              <w:rPr>
                <w:sz w:val="20"/>
              </w:rPr>
              <w:t>16 684 918</w:t>
            </w:r>
          </w:p>
        </w:tc>
        <w:tc>
          <w:tcPr>
            <w:tcW w:w="1832" w:type="dxa"/>
          </w:tcPr>
          <w:p w:rsidR="00000000" w:rsidRDefault="00000000">
            <w:pPr>
              <w:jc w:val="center"/>
              <w:rPr>
                <w:sz w:val="20"/>
              </w:rPr>
            </w:pPr>
            <w:r>
              <w:rPr>
                <w:sz w:val="20"/>
              </w:rPr>
              <w:t>83,3</w:t>
            </w:r>
          </w:p>
        </w:tc>
        <w:tc>
          <w:tcPr>
            <w:tcW w:w="1526" w:type="dxa"/>
          </w:tcPr>
          <w:p w:rsidR="00000000" w:rsidRDefault="00000000">
            <w:pPr>
              <w:tabs>
                <w:tab w:val="clear" w:pos="567"/>
                <w:tab w:val="clear" w:pos="1134"/>
              </w:tabs>
              <w:jc w:val="center"/>
              <w:rPr>
                <w:sz w:val="20"/>
              </w:rPr>
            </w:pPr>
            <w:r>
              <w:rPr>
                <w:sz w:val="20"/>
              </w:rPr>
              <w:t>6,9</w:t>
            </w:r>
          </w:p>
        </w:tc>
        <w:tc>
          <w:tcPr>
            <w:tcW w:w="1526" w:type="dxa"/>
          </w:tcPr>
          <w:p w:rsidR="00000000" w:rsidRDefault="00000000">
            <w:pPr>
              <w:jc w:val="center"/>
              <w:rPr>
                <w:sz w:val="20"/>
              </w:rPr>
            </w:pPr>
            <w:r>
              <w:rPr>
                <w:sz w:val="20"/>
              </w:rPr>
              <w:t>15,5</w:t>
            </w:r>
          </w:p>
        </w:tc>
        <w:tc>
          <w:tcPr>
            <w:tcW w:w="1527" w:type="dxa"/>
          </w:tcPr>
          <w:p w:rsidR="00000000" w:rsidRDefault="00000000">
            <w:pPr>
              <w:jc w:val="center"/>
              <w:rPr>
                <w:sz w:val="20"/>
              </w:rPr>
            </w:pPr>
            <w:r>
              <w:rPr>
                <w:sz w:val="20"/>
              </w:rPr>
              <w:t>75,3</w:t>
            </w:r>
          </w:p>
        </w:tc>
      </w:tr>
      <w:tr w:rsidR="00000000">
        <w:tblPrEx>
          <w:tblCellMar>
            <w:top w:w="0" w:type="dxa"/>
            <w:bottom w:w="0" w:type="dxa"/>
          </w:tblCellMar>
        </w:tblPrEx>
        <w:tc>
          <w:tcPr>
            <w:tcW w:w="1561" w:type="dxa"/>
          </w:tcPr>
          <w:p w:rsidR="00000000" w:rsidRDefault="00000000">
            <w:pPr>
              <w:jc w:val="center"/>
              <w:rPr>
                <w:sz w:val="20"/>
              </w:rPr>
            </w:pPr>
            <w:r>
              <w:rPr>
                <w:sz w:val="20"/>
              </w:rPr>
              <w:t>Юг</w:t>
            </w:r>
          </w:p>
        </w:tc>
        <w:tc>
          <w:tcPr>
            <w:tcW w:w="1553" w:type="dxa"/>
          </w:tcPr>
          <w:p w:rsidR="00000000" w:rsidRDefault="00000000">
            <w:pPr>
              <w:tabs>
                <w:tab w:val="clear" w:pos="567"/>
                <w:tab w:val="clear" w:pos="1134"/>
              </w:tabs>
              <w:jc w:val="right"/>
              <w:rPr>
                <w:sz w:val="20"/>
              </w:rPr>
            </w:pPr>
            <w:r>
              <w:rPr>
                <w:sz w:val="20"/>
              </w:rPr>
              <w:t>5 324 608</w:t>
            </w:r>
          </w:p>
        </w:tc>
        <w:tc>
          <w:tcPr>
            <w:tcW w:w="1832" w:type="dxa"/>
          </w:tcPr>
          <w:p w:rsidR="00000000" w:rsidRDefault="00000000">
            <w:pPr>
              <w:jc w:val="center"/>
              <w:rPr>
                <w:sz w:val="20"/>
              </w:rPr>
            </w:pPr>
            <w:r>
              <w:rPr>
                <w:sz w:val="20"/>
              </w:rPr>
              <w:t>48,9</w:t>
            </w:r>
          </w:p>
        </w:tc>
        <w:tc>
          <w:tcPr>
            <w:tcW w:w="1526" w:type="dxa"/>
          </w:tcPr>
          <w:p w:rsidR="00000000" w:rsidRDefault="00000000">
            <w:pPr>
              <w:tabs>
                <w:tab w:val="clear" w:pos="567"/>
                <w:tab w:val="clear" w:pos="1134"/>
              </w:tabs>
              <w:jc w:val="center"/>
              <w:rPr>
                <w:sz w:val="20"/>
              </w:rPr>
            </w:pPr>
            <w:r>
              <w:rPr>
                <w:sz w:val="20"/>
              </w:rPr>
              <w:t>5,8</w:t>
            </w:r>
          </w:p>
        </w:tc>
        <w:tc>
          <w:tcPr>
            <w:tcW w:w="1526" w:type="dxa"/>
          </w:tcPr>
          <w:p w:rsidR="00000000" w:rsidRDefault="00000000">
            <w:pPr>
              <w:jc w:val="center"/>
              <w:rPr>
                <w:sz w:val="20"/>
              </w:rPr>
            </w:pPr>
            <w:r>
              <w:rPr>
                <w:sz w:val="20"/>
              </w:rPr>
              <w:t>13,9</w:t>
            </w:r>
          </w:p>
        </w:tc>
        <w:tc>
          <w:tcPr>
            <w:tcW w:w="1527" w:type="dxa"/>
          </w:tcPr>
          <w:p w:rsidR="00000000" w:rsidRDefault="00000000">
            <w:pPr>
              <w:jc w:val="center"/>
              <w:rPr>
                <w:sz w:val="20"/>
              </w:rPr>
            </w:pPr>
            <w:r>
              <w:rPr>
                <w:sz w:val="20"/>
              </w:rPr>
              <w:t>77,6</w:t>
            </w:r>
          </w:p>
        </w:tc>
      </w:tr>
      <w:tr w:rsidR="00000000">
        <w:tblPrEx>
          <w:tblCellMar>
            <w:top w:w="0" w:type="dxa"/>
            <w:bottom w:w="0" w:type="dxa"/>
          </w:tblCellMar>
        </w:tblPrEx>
        <w:tc>
          <w:tcPr>
            <w:tcW w:w="1561" w:type="dxa"/>
          </w:tcPr>
          <w:p w:rsidR="00000000" w:rsidRDefault="00000000">
            <w:pPr>
              <w:jc w:val="center"/>
              <w:rPr>
                <w:sz w:val="20"/>
              </w:rPr>
            </w:pPr>
            <w:r>
              <w:rPr>
                <w:sz w:val="20"/>
              </w:rPr>
              <w:t>Центр – Запад</w:t>
            </w:r>
          </w:p>
        </w:tc>
        <w:tc>
          <w:tcPr>
            <w:tcW w:w="1553" w:type="dxa"/>
          </w:tcPr>
          <w:p w:rsidR="00000000" w:rsidRDefault="00000000">
            <w:pPr>
              <w:tabs>
                <w:tab w:val="clear" w:pos="567"/>
                <w:tab w:val="clear" w:pos="1134"/>
              </w:tabs>
              <w:jc w:val="right"/>
              <w:rPr>
                <w:sz w:val="20"/>
              </w:rPr>
            </w:pPr>
            <w:r>
              <w:rPr>
                <w:sz w:val="20"/>
              </w:rPr>
              <w:t>2 361 814</w:t>
            </w:r>
          </w:p>
        </w:tc>
        <w:tc>
          <w:tcPr>
            <w:tcW w:w="1832" w:type="dxa"/>
          </w:tcPr>
          <w:p w:rsidR="00000000" w:rsidRDefault="00000000">
            <w:pPr>
              <w:jc w:val="center"/>
              <w:rPr>
                <w:sz w:val="20"/>
              </w:rPr>
            </w:pPr>
            <w:r>
              <w:rPr>
                <w:sz w:val="20"/>
              </w:rPr>
              <w:t>39,5</w:t>
            </w:r>
          </w:p>
        </w:tc>
        <w:tc>
          <w:tcPr>
            <w:tcW w:w="1526" w:type="dxa"/>
          </w:tcPr>
          <w:p w:rsidR="00000000" w:rsidRDefault="00000000">
            <w:pPr>
              <w:tabs>
                <w:tab w:val="clear" w:pos="567"/>
                <w:tab w:val="clear" w:pos="1134"/>
              </w:tabs>
              <w:jc w:val="center"/>
              <w:rPr>
                <w:sz w:val="20"/>
              </w:rPr>
            </w:pPr>
            <w:r>
              <w:rPr>
                <w:sz w:val="20"/>
              </w:rPr>
              <w:t>7,7</w:t>
            </w:r>
          </w:p>
        </w:tc>
        <w:tc>
          <w:tcPr>
            <w:tcW w:w="1526" w:type="dxa"/>
          </w:tcPr>
          <w:p w:rsidR="00000000" w:rsidRDefault="00000000">
            <w:pPr>
              <w:jc w:val="center"/>
              <w:rPr>
                <w:sz w:val="20"/>
              </w:rPr>
            </w:pPr>
            <w:r>
              <w:rPr>
                <w:sz w:val="20"/>
              </w:rPr>
              <w:t>14,5</w:t>
            </w:r>
          </w:p>
        </w:tc>
        <w:tc>
          <w:tcPr>
            <w:tcW w:w="1527" w:type="dxa"/>
          </w:tcPr>
          <w:p w:rsidR="00000000" w:rsidRDefault="00000000">
            <w:pPr>
              <w:jc w:val="center"/>
              <w:rPr>
                <w:sz w:val="20"/>
              </w:rPr>
            </w:pPr>
            <w:r>
              <w:rPr>
                <w:sz w:val="20"/>
              </w:rPr>
              <w:t>75,9</w:t>
            </w:r>
          </w:p>
        </w:tc>
      </w:tr>
    </w:tbl>
    <w:p w:rsidR="00000000" w:rsidRDefault="00000000">
      <w:pPr>
        <w:pStyle w:val="16"/>
      </w:pPr>
    </w:p>
    <w:p w:rsidR="00000000" w:rsidRDefault="00000000">
      <w:r>
        <w:tab/>
      </w:r>
      <w:r>
        <w:rPr>
          <w:u w:val="single"/>
        </w:rPr>
        <w:t>Источник</w:t>
      </w:r>
      <w:r>
        <w:t>:  БИГС – Краткий справочник социальных показателей 1998 год (на основе ОВОДХ, 1997 года).</w:t>
      </w:r>
    </w:p>
    <w:p w:rsidR="00000000" w:rsidRDefault="00000000"/>
    <w:p w:rsidR="00000000" w:rsidRDefault="00000000">
      <w:r>
        <w:t>503.</w:t>
      </w:r>
      <w:r>
        <w:tab/>
        <w:t>Для оценки жилья, не отвечающего установленным нормам,  использовалось главным образом исследование, озаглавленное "Масштабы социальных потребностей – муниципальные данные, 1996 год", которое было проведено БИГС и ИПЕА.  Это статистическое исследование наиболее популярно среди специалистов в области жилищного строительства, которые обращаются к нему для определения количества жилых построек, не отвечающих установленным стандартам.  В исследовании используются следующие определения домов, малопригодных для жилья:  это дома, в которых полностью отсутствуют системы удаления отходов и где проживают неграмотные дети в возрасте от 11 до 14 лет и/или где во главе семьи стоят женщины с ежемесячным доходом в размере до одного минимального оклада.  Если эту категорию людей, которые проживают в малопригодных для обитания домах, причислить к числу бездомных, то таковыми окажутся 43% населения, проживающих в 11,1 млн. домов (одна треть всех жилых построек).</w:t>
      </w:r>
    </w:p>
    <w:p w:rsidR="00000000" w:rsidRDefault="00000000"/>
    <w:p w:rsidR="00000000" w:rsidRDefault="00000000">
      <w:r>
        <w:t>504.</w:t>
      </w:r>
      <w:r>
        <w:tab/>
        <w:t>Бразилия не располагает конкретными статистическими данными о количестве бездомных людей или бездомных семей в полном смысле этого слова, но имеет данные по тем людям, чьи жилищные условия были признаны неадекватными.  Примерное число лиц, не имеющих адекватного жилья, может быть получено путем подсчета тех семей, которые проживают в импровизированных домах, включая помещения, расположенные в зданиях, не предназначенных для жизни людей.  Перепись 1991 года выявила 221 505 человека, проживающих в импровизированных домах в сельских районах, и 306 719 человек в городских районах, что в целом составило 528 224 человека.</w:t>
      </w:r>
    </w:p>
    <w:p w:rsidR="00000000" w:rsidRDefault="00000000"/>
    <w:p w:rsidR="00000000" w:rsidRDefault="00000000">
      <w:r>
        <w:t>505.</w:t>
      </w:r>
      <w:r>
        <w:tab/>
        <w:t xml:space="preserve">Число семей имеющих неудовлетворительное жилье без элементарных санитарных удобств, достигает, как минимум, 42%, если считать неадекватными те дома, которые не имеют нормальных систем водоснабжения, канализации и удаления отходов.  В 1997 году 26,5% бразильских домов не были оборудованы ни туалетами, ни канализационными отстойниками;  8,8% не были подсоединены к общественной системе водоснабжения, а 9,3% не были охвачены системой сбора мусора.  20 872 373 человека не имели доступа к системе водоснабжения, 60 030 461 человек не пользовались системой канализации или не имели канализационных отстойников, 45 042 470 человек не были охвачены системой сбора мусора и 12 200 460 человек не имели электричества.  Из общего числа жителей страны 117 475 431 человек не имели телефона.  Положение с этими услугами является еще более тяжелым в районах проживания населения с низким уровнем доходов.  </w:t>
      </w:r>
    </w:p>
    <w:p w:rsidR="00000000" w:rsidRDefault="00000000"/>
    <w:p w:rsidR="00000000" w:rsidRDefault="00000000">
      <w:r>
        <w:t>506.</w:t>
      </w:r>
      <w:r>
        <w:tab/>
        <w:t>В Бразилии неудовлетворительным следует признать и положение с плотностью проживающих в домах людей.  Согласно подсчетам, в 1998 году число людей, проживающих в перенаселенных домах (т.е. более трех человек на спальное помещение), составило 3 282 303 человека (7,8%).  Имеются данные и в отношении домов, которые в структурном плане находятся в аварийном состоянии (небезопасные дома) – таких домов в 1991 году насчитывалось 1 727 845.  В 1997 году число таких небезопасных жилищ составляло 578 144.</w:t>
      </w:r>
    </w:p>
    <w:p w:rsidR="00000000" w:rsidRDefault="00000000"/>
    <w:p w:rsidR="00000000" w:rsidRDefault="00000000">
      <w:r>
        <w:t>507.</w:t>
      </w:r>
      <w:r>
        <w:tab/>
        <w:t>В Бразилии нарушение законов в секторе жилья выражается в отсутствии титула на владение имуществом, к несоблюдению городских строительных стандартов (составление генерального плана, выполнение зональных предписаний, исполнение законов, определяющих порядок пользования землями и устанавливающих нормы проживания), невыполнению действующих правил (правил проведения работ и строительства) и административных требований (в соответствии с муниципальными процедурами).  В стране продолжают создаваться незаконные поселения для людей со средним уровнем доходов (обычно в форме городских кондоминиумов) и поселений для людей с низким уровнем доходов (трущобы и незаконно застроенные жилые кварталы).  Число людей, живущих в незаконных, несанкционированных и не отвечающих требованиям поселениях, можно подсчитать на основе известного числа трущоб, несанкционированных жилых кварталов и городских жилых массивов.  Точные данные в этой области отсутствуют, но в качестве показателя можно использовать число людей, владеющих собственностью, но не имеющих титула на землю, на которой расположена эта собственность (12 419 229 человек или 8,53% существующих жилищ).</w:t>
      </w:r>
    </w:p>
    <w:p w:rsidR="00000000" w:rsidRDefault="00000000"/>
    <w:p w:rsidR="00000000" w:rsidRDefault="00000000">
      <w:r>
        <w:t>508.</w:t>
      </w:r>
      <w:r>
        <w:tab/>
        <w:t>С другой стороны, можно также рассматривать как незаконное проживание людей в районах, не отвечающих установленным нормам.  Согласно имеющимся в распоряжении БИГС данным, число людей, проживающих в таких районах, в 1991 году составило 6 998 677 человек.</w:t>
      </w:r>
    </w:p>
    <w:p w:rsidR="00000000" w:rsidRDefault="00000000"/>
    <w:p w:rsidR="00000000" w:rsidRDefault="00000000">
      <w:pPr>
        <w:pStyle w:val="16"/>
      </w:pPr>
      <w:r>
        <w:rPr>
          <w:b/>
        </w:rPr>
        <w:t xml:space="preserve">Таблица 70.  </w:t>
      </w:r>
      <w:r>
        <w:rPr>
          <w:b/>
          <w:bCs/>
        </w:rPr>
        <w:t xml:space="preserve"> Люди, живущие в жилых кварталах, не отвечающих установленным</w:t>
      </w:r>
    </w:p>
    <w:p w:rsidR="00000000" w:rsidRDefault="00000000">
      <w:pPr>
        <w:pStyle w:val="10"/>
        <w:rPr>
          <w:bCs/>
        </w:rPr>
      </w:pPr>
      <w:r>
        <w:rPr>
          <w:bCs/>
        </w:rPr>
        <w:t>требованиям в разбивке по месту расположения жилья, 1991 год</w:t>
      </w:r>
    </w:p>
    <w:p w:rsidR="00000000" w:rsidRDefault="00000000">
      <w:pPr>
        <w:pStyle w:val="10"/>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2" w:type="dxa"/>
          </w:tcPr>
          <w:p w:rsidR="00000000" w:rsidRDefault="00000000">
            <w:pPr>
              <w:pStyle w:val="10"/>
              <w:rPr>
                <w:b w:val="0"/>
                <w:sz w:val="20"/>
              </w:rPr>
            </w:pPr>
            <w:r>
              <w:rPr>
                <w:b w:val="0"/>
                <w:sz w:val="20"/>
              </w:rPr>
              <w:t>Месторасположение</w:t>
            </w:r>
          </w:p>
        </w:tc>
        <w:tc>
          <w:tcPr>
            <w:tcW w:w="2393" w:type="dxa"/>
          </w:tcPr>
          <w:p w:rsidR="00000000" w:rsidRDefault="00000000">
            <w:pPr>
              <w:pStyle w:val="10"/>
              <w:rPr>
                <w:b w:val="0"/>
                <w:sz w:val="20"/>
              </w:rPr>
            </w:pPr>
            <w:r>
              <w:rPr>
                <w:b w:val="0"/>
                <w:sz w:val="20"/>
              </w:rPr>
              <w:t>Дом в жилом квартале, не отвечающем установленным требованиям</w:t>
            </w:r>
          </w:p>
        </w:tc>
        <w:tc>
          <w:tcPr>
            <w:tcW w:w="2393" w:type="dxa"/>
          </w:tcPr>
          <w:p w:rsidR="00000000" w:rsidRDefault="00000000">
            <w:pPr>
              <w:pStyle w:val="10"/>
              <w:rPr>
                <w:b w:val="0"/>
                <w:sz w:val="20"/>
              </w:rPr>
            </w:pPr>
            <w:r>
              <w:rPr>
                <w:b w:val="0"/>
                <w:sz w:val="20"/>
              </w:rPr>
              <w:t>Квартира в жилом квартале, не отвечающем установленным требованиям</w:t>
            </w:r>
          </w:p>
        </w:tc>
        <w:tc>
          <w:tcPr>
            <w:tcW w:w="2393" w:type="dxa"/>
          </w:tcPr>
          <w:p w:rsidR="00000000" w:rsidRDefault="00000000">
            <w:pPr>
              <w:pStyle w:val="10"/>
              <w:rPr>
                <w:b w:val="0"/>
                <w:sz w:val="20"/>
              </w:rPr>
            </w:pPr>
            <w:r>
              <w:rPr>
                <w:b w:val="0"/>
                <w:sz w:val="20"/>
              </w:rPr>
              <w:t>Общее число людей, живущих в районах, не отвечающих установленным требованиям</w:t>
            </w:r>
          </w:p>
        </w:tc>
      </w:tr>
      <w:tr w:rsidR="00000000">
        <w:tblPrEx>
          <w:tblCellMar>
            <w:top w:w="0" w:type="dxa"/>
            <w:bottom w:w="0" w:type="dxa"/>
          </w:tblCellMar>
        </w:tblPrEx>
        <w:tc>
          <w:tcPr>
            <w:tcW w:w="2392" w:type="dxa"/>
          </w:tcPr>
          <w:p w:rsidR="00000000" w:rsidRDefault="00000000">
            <w:pPr>
              <w:pStyle w:val="10"/>
              <w:jc w:val="left"/>
              <w:rPr>
                <w:b w:val="0"/>
                <w:sz w:val="20"/>
              </w:rPr>
            </w:pPr>
            <w:r>
              <w:rPr>
                <w:b w:val="0"/>
                <w:sz w:val="20"/>
              </w:rPr>
              <w:t>Сельские районы</w:t>
            </w:r>
          </w:p>
        </w:tc>
        <w:tc>
          <w:tcPr>
            <w:tcW w:w="2393" w:type="dxa"/>
          </w:tcPr>
          <w:p w:rsidR="00000000" w:rsidRDefault="00000000">
            <w:pPr>
              <w:pStyle w:val="10"/>
              <w:tabs>
                <w:tab w:val="clear" w:pos="1701"/>
              </w:tabs>
              <w:jc w:val="right"/>
              <w:rPr>
                <w:b w:val="0"/>
                <w:sz w:val="20"/>
              </w:rPr>
            </w:pPr>
            <w:r>
              <w:rPr>
                <w:b w:val="0"/>
                <w:sz w:val="20"/>
              </w:rPr>
              <w:t>583 918</w:t>
            </w:r>
          </w:p>
        </w:tc>
        <w:tc>
          <w:tcPr>
            <w:tcW w:w="2393" w:type="dxa"/>
          </w:tcPr>
          <w:p w:rsidR="00000000" w:rsidRDefault="00000000">
            <w:pPr>
              <w:pStyle w:val="10"/>
              <w:tabs>
                <w:tab w:val="clear" w:pos="1701"/>
              </w:tabs>
              <w:jc w:val="right"/>
              <w:rPr>
                <w:b w:val="0"/>
                <w:sz w:val="20"/>
              </w:rPr>
            </w:pPr>
            <w:r>
              <w:rPr>
                <w:b w:val="0"/>
                <w:sz w:val="20"/>
              </w:rPr>
              <w:t>1 620</w:t>
            </w:r>
          </w:p>
        </w:tc>
        <w:tc>
          <w:tcPr>
            <w:tcW w:w="2393" w:type="dxa"/>
          </w:tcPr>
          <w:p w:rsidR="00000000" w:rsidRDefault="00000000">
            <w:pPr>
              <w:pStyle w:val="10"/>
              <w:tabs>
                <w:tab w:val="clear" w:pos="1701"/>
              </w:tabs>
              <w:jc w:val="right"/>
              <w:rPr>
                <w:b w:val="0"/>
                <w:sz w:val="20"/>
              </w:rPr>
            </w:pPr>
            <w:r>
              <w:rPr>
                <w:b w:val="0"/>
                <w:sz w:val="20"/>
              </w:rPr>
              <w:t>585 538</w:t>
            </w:r>
          </w:p>
        </w:tc>
      </w:tr>
      <w:tr w:rsidR="00000000">
        <w:tblPrEx>
          <w:tblCellMar>
            <w:top w:w="0" w:type="dxa"/>
            <w:bottom w:w="0" w:type="dxa"/>
          </w:tblCellMar>
        </w:tblPrEx>
        <w:tc>
          <w:tcPr>
            <w:tcW w:w="2392" w:type="dxa"/>
          </w:tcPr>
          <w:p w:rsidR="00000000" w:rsidRDefault="00000000">
            <w:pPr>
              <w:pStyle w:val="10"/>
              <w:jc w:val="left"/>
              <w:rPr>
                <w:b w:val="0"/>
                <w:sz w:val="20"/>
              </w:rPr>
            </w:pPr>
            <w:r>
              <w:rPr>
                <w:b w:val="0"/>
                <w:sz w:val="20"/>
              </w:rPr>
              <w:t>Городские районы</w:t>
            </w:r>
          </w:p>
        </w:tc>
        <w:tc>
          <w:tcPr>
            <w:tcW w:w="2393" w:type="dxa"/>
          </w:tcPr>
          <w:p w:rsidR="00000000" w:rsidRDefault="00000000">
            <w:pPr>
              <w:pStyle w:val="10"/>
              <w:tabs>
                <w:tab w:val="clear" w:pos="1701"/>
              </w:tabs>
              <w:jc w:val="right"/>
              <w:rPr>
                <w:b w:val="0"/>
                <w:sz w:val="20"/>
              </w:rPr>
            </w:pPr>
            <w:r>
              <w:rPr>
                <w:b w:val="0"/>
                <w:sz w:val="20"/>
              </w:rPr>
              <w:t>6 339 354</w:t>
            </w:r>
          </w:p>
        </w:tc>
        <w:tc>
          <w:tcPr>
            <w:tcW w:w="2393" w:type="dxa"/>
          </w:tcPr>
          <w:p w:rsidR="00000000" w:rsidRDefault="00000000">
            <w:pPr>
              <w:pStyle w:val="10"/>
              <w:tabs>
                <w:tab w:val="clear" w:pos="1701"/>
              </w:tabs>
              <w:jc w:val="right"/>
              <w:rPr>
                <w:b w:val="0"/>
                <w:sz w:val="20"/>
              </w:rPr>
            </w:pPr>
            <w:r>
              <w:rPr>
                <w:b w:val="0"/>
                <w:sz w:val="20"/>
              </w:rPr>
              <w:t>63 785</w:t>
            </w:r>
          </w:p>
        </w:tc>
        <w:tc>
          <w:tcPr>
            <w:tcW w:w="2393" w:type="dxa"/>
          </w:tcPr>
          <w:p w:rsidR="00000000" w:rsidRDefault="00000000">
            <w:pPr>
              <w:pStyle w:val="10"/>
              <w:tabs>
                <w:tab w:val="clear" w:pos="1701"/>
              </w:tabs>
              <w:jc w:val="right"/>
              <w:rPr>
                <w:b w:val="0"/>
                <w:sz w:val="20"/>
              </w:rPr>
            </w:pPr>
            <w:r>
              <w:rPr>
                <w:b w:val="0"/>
                <w:sz w:val="20"/>
              </w:rPr>
              <w:t>6 402 139</w:t>
            </w:r>
          </w:p>
        </w:tc>
      </w:tr>
      <w:tr w:rsidR="00000000">
        <w:tblPrEx>
          <w:tblCellMar>
            <w:top w:w="0" w:type="dxa"/>
            <w:bottom w:w="0" w:type="dxa"/>
          </w:tblCellMar>
        </w:tblPrEx>
        <w:tc>
          <w:tcPr>
            <w:tcW w:w="2392" w:type="dxa"/>
          </w:tcPr>
          <w:p w:rsidR="00000000" w:rsidRDefault="00000000">
            <w:pPr>
              <w:pStyle w:val="10"/>
              <w:jc w:val="left"/>
              <w:rPr>
                <w:b w:val="0"/>
                <w:sz w:val="20"/>
              </w:rPr>
            </w:pPr>
            <w:r>
              <w:rPr>
                <w:b w:val="0"/>
                <w:sz w:val="20"/>
              </w:rPr>
              <w:t>Всего</w:t>
            </w:r>
          </w:p>
        </w:tc>
        <w:tc>
          <w:tcPr>
            <w:tcW w:w="2393" w:type="dxa"/>
          </w:tcPr>
          <w:p w:rsidR="00000000" w:rsidRDefault="00000000">
            <w:pPr>
              <w:pStyle w:val="10"/>
              <w:tabs>
                <w:tab w:val="clear" w:pos="1701"/>
              </w:tabs>
              <w:jc w:val="right"/>
              <w:rPr>
                <w:b w:val="0"/>
                <w:sz w:val="20"/>
              </w:rPr>
            </w:pPr>
            <w:r>
              <w:rPr>
                <w:b w:val="0"/>
                <w:sz w:val="20"/>
              </w:rPr>
              <w:t>6 923 272</w:t>
            </w:r>
          </w:p>
        </w:tc>
        <w:tc>
          <w:tcPr>
            <w:tcW w:w="2393" w:type="dxa"/>
          </w:tcPr>
          <w:p w:rsidR="00000000" w:rsidRDefault="00000000">
            <w:pPr>
              <w:pStyle w:val="10"/>
              <w:tabs>
                <w:tab w:val="clear" w:pos="1701"/>
              </w:tabs>
              <w:jc w:val="right"/>
              <w:rPr>
                <w:b w:val="0"/>
                <w:sz w:val="20"/>
              </w:rPr>
            </w:pPr>
            <w:r>
              <w:rPr>
                <w:b w:val="0"/>
                <w:sz w:val="20"/>
              </w:rPr>
              <w:t>65 405</w:t>
            </w:r>
          </w:p>
        </w:tc>
        <w:tc>
          <w:tcPr>
            <w:tcW w:w="2393" w:type="dxa"/>
          </w:tcPr>
          <w:p w:rsidR="00000000" w:rsidRDefault="00000000">
            <w:pPr>
              <w:pStyle w:val="10"/>
              <w:tabs>
                <w:tab w:val="clear" w:pos="1701"/>
              </w:tabs>
              <w:jc w:val="right"/>
              <w:rPr>
                <w:b w:val="0"/>
                <w:sz w:val="20"/>
              </w:rPr>
            </w:pPr>
            <w:r>
              <w:rPr>
                <w:b w:val="0"/>
                <w:sz w:val="20"/>
              </w:rPr>
              <w:t>6 988 677</w:t>
            </w:r>
          </w:p>
        </w:tc>
      </w:tr>
    </w:tbl>
    <w:p w:rsidR="00000000" w:rsidRDefault="00000000">
      <w:pPr>
        <w:pStyle w:val="10"/>
        <w:jc w:val="left"/>
        <w:rPr>
          <w:b w:val="0"/>
        </w:rPr>
      </w:pPr>
    </w:p>
    <w:p w:rsidR="00000000" w:rsidRDefault="00000000">
      <w:pPr>
        <w:pStyle w:val="10"/>
        <w:jc w:val="left"/>
        <w:rPr>
          <w:b w:val="0"/>
        </w:rPr>
      </w:pPr>
      <w:r>
        <w:rPr>
          <w:b w:val="0"/>
        </w:rPr>
        <w:tab/>
      </w:r>
      <w:r>
        <w:rPr>
          <w:b w:val="0"/>
          <w:u w:val="single"/>
        </w:rPr>
        <w:t>Источник</w:t>
      </w:r>
      <w:r>
        <w:rPr>
          <w:b w:val="0"/>
        </w:rPr>
        <w:t>:  БИГС – Демографическая перепись населения 1991 года.</w:t>
      </w:r>
    </w:p>
    <w:p w:rsidR="00000000" w:rsidRDefault="00000000">
      <w:pPr>
        <w:pStyle w:val="10"/>
        <w:jc w:val="left"/>
        <w:rPr>
          <w:b w:val="0"/>
        </w:rPr>
      </w:pPr>
    </w:p>
    <w:p w:rsidR="00000000" w:rsidRDefault="00000000">
      <w:r>
        <w:t>509.</w:t>
      </w:r>
      <w:r>
        <w:tab/>
        <w:t>Люди, которых лишают права на владение своим жилищем и которые не могут прибегнуть к правовой защите, </w:t>
      </w:r>
      <w:r>
        <w:sym w:font="Symbol" w:char="F02D"/>
      </w:r>
      <w:r>
        <w:t xml:space="preserve"> это в основном те, кто проживает в незаконных поселениях, состоящих из трущоб, незаконно построенных жилых кварталов или отдельно стоящих построек.  Люди, не имеющие правовой защиты, </w:t>
      </w:r>
      <w:r>
        <w:sym w:font="Symbol" w:char="F02D"/>
      </w:r>
      <w:r>
        <w:t xml:space="preserve"> это обычно те, кто оказались вне закона.  Власти по большей части не преследуют малоимущих лиц, когда нарушение ими законов выражается лишь в отсутствии титула на владение имуществом, позволяя им оставаться в месте своего проживания, но при этом они экспроприируют собственность или используют концессии для освоения земель под застройку городов как одно из методов градостроительства.  Принудительное выселение имеет место чаще всего в тех случаях, когда бездомные или представители массовых движений за предоставление жилья вторгаются в городские районы и захватывают чужие жилые помещения.  Выселение происходит чаще всего в критических ситуациях, когда требуется восстановить право на владение.  Бразилия не располагает точными официальными данными по всей стране и не может дать исчерпывающий ответ на этот вопрос.</w:t>
      </w:r>
    </w:p>
    <w:p w:rsidR="00000000" w:rsidRDefault="00000000"/>
    <w:p w:rsidR="00000000" w:rsidRDefault="00000000">
      <w:r>
        <w:t>510.</w:t>
      </w:r>
      <w:r>
        <w:tab/>
        <w:t>По нормам системы финансирования жилищного строительства (СФЖ) доля доходов, используемая для аренды жилья, не должна превышать 30%, поскольку в противном случае арендатор не сможет оплачивать аренду жилья.  В 1991 году 1 033 069 семей расходовали более 30% своего месячного дохода на оплату арендованного жилья, а 334 406 семей выделяли более 50% семейного дохода на оплату жилья.  Следует также отметить, что проблема арендного бремени в основном ложится на бедные слои населения, поскольку около 65% этого вида дефицита средств затрагивает семьи, ежемесячный доход которых составляет менее пяти минимальных окладов.  Согласно расчетам, в 1997 году около 2,65% жителей стационарных частных домов выделяли более 30% месячного заработка на оплату арендуемого жилья.</w:t>
      </w:r>
    </w:p>
    <w:p w:rsidR="00000000" w:rsidRDefault="00000000"/>
    <w:p w:rsidR="00000000" w:rsidRDefault="00000000">
      <w:pPr>
        <w:pStyle w:val="BodyText"/>
        <w:spacing w:line="240" w:lineRule="auto"/>
        <w:ind w:left="1134" w:hanging="1134"/>
        <w:jc w:val="center"/>
      </w:pPr>
      <w:r>
        <w:t>Таблица 71.   Чрезмерный объем средств, ассигнуемых семьей на аренду жилья в разбивке по уровню доходов, 1991 год</w:t>
      </w:r>
    </w:p>
    <w:p w:rsidR="00000000" w:rsidRDefault="00000000">
      <w:pPr>
        <w:pStyle w:val="BodyText"/>
        <w:spacing w:line="240" w:lineRule="auto"/>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57" w:type="dxa"/>
          <w:bottom w:w="113" w:type="dxa"/>
          <w:right w:w="57" w:type="dxa"/>
        </w:tblCellMar>
        <w:tblLook w:val="0000" w:firstRow="0" w:lastRow="0" w:firstColumn="0" w:lastColumn="0" w:noHBand="0" w:noVBand="0"/>
      </w:tblPr>
      <w:tblGrid>
        <w:gridCol w:w="1870"/>
        <w:gridCol w:w="1870"/>
        <w:gridCol w:w="1870"/>
        <w:gridCol w:w="1870"/>
        <w:gridCol w:w="1870"/>
      </w:tblGrid>
      <w:tr w:rsidR="00000000">
        <w:trPr>
          <w:trHeight w:val="820"/>
        </w:trPr>
        <w:tc>
          <w:tcPr>
            <w:tcW w:w="1870" w:type="dxa"/>
          </w:tcPr>
          <w:p w:rsidR="00000000" w:rsidRDefault="00000000">
            <w:pPr>
              <w:spacing w:line="240" w:lineRule="auto"/>
              <w:jc w:val="center"/>
            </w:pPr>
            <w:r>
              <w:t>Средства, выделенные из дохода семьи</w:t>
            </w:r>
          </w:p>
        </w:tc>
        <w:tc>
          <w:tcPr>
            <w:tcW w:w="1870" w:type="dxa"/>
          </w:tcPr>
          <w:p w:rsidR="00000000" w:rsidRDefault="00000000">
            <w:pPr>
              <w:spacing w:line="240" w:lineRule="auto"/>
              <w:jc w:val="center"/>
            </w:pPr>
            <w:r>
              <w:t>До двух минимальных зарплат</w:t>
            </w:r>
          </w:p>
        </w:tc>
        <w:tc>
          <w:tcPr>
            <w:tcW w:w="1870" w:type="dxa"/>
          </w:tcPr>
          <w:p w:rsidR="00000000" w:rsidRDefault="00000000">
            <w:pPr>
              <w:pStyle w:val="16"/>
              <w:spacing w:line="240" w:lineRule="auto"/>
            </w:pPr>
            <w:r>
              <w:t>От двух до пяти минимальных зарплат</w:t>
            </w:r>
          </w:p>
        </w:tc>
        <w:tc>
          <w:tcPr>
            <w:tcW w:w="1870" w:type="dxa"/>
          </w:tcPr>
          <w:p w:rsidR="00000000" w:rsidRDefault="00000000">
            <w:pPr>
              <w:spacing w:line="240" w:lineRule="auto"/>
              <w:jc w:val="center"/>
            </w:pPr>
            <w:r>
              <w:t>Свыше пяти минимальных зарплат</w:t>
            </w:r>
          </w:p>
        </w:tc>
        <w:tc>
          <w:tcPr>
            <w:tcW w:w="1870" w:type="dxa"/>
          </w:tcPr>
          <w:p w:rsidR="00000000" w:rsidRDefault="00000000">
            <w:pPr>
              <w:spacing w:line="240" w:lineRule="auto"/>
              <w:jc w:val="center"/>
            </w:pPr>
            <w:r>
              <w:t>Всего</w:t>
            </w:r>
          </w:p>
        </w:tc>
      </w:tr>
      <w:tr w:rsidR="00000000">
        <w:tc>
          <w:tcPr>
            <w:tcW w:w="1870" w:type="dxa"/>
          </w:tcPr>
          <w:p w:rsidR="00000000" w:rsidRDefault="00000000">
            <w:pPr>
              <w:spacing w:line="240" w:lineRule="auto"/>
              <w:jc w:val="center"/>
            </w:pPr>
            <w:r>
              <w:t>&gt;30%</w:t>
            </w:r>
          </w:p>
        </w:tc>
        <w:tc>
          <w:tcPr>
            <w:tcW w:w="1870" w:type="dxa"/>
          </w:tcPr>
          <w:p w:rsidR="00000000" w:rsidRDefault="00000000">
            <w:pPr>
              <w:spacing w:line="240" w:lineRule="auto"/>
              <w:jc w:val="center"/>
            </w:pPr>
            <w:r>
              <w:t>290 402</w:t>
            </w:r>
          </w:p>
        </w:tc>
        <w:tc>
          <w:tcPr>
            <w:tcW w:w="1870" w:type="dxa"/>
          </w:tcPr>
          <w:p w:rsidR="00000000" w:rsidRDefault="00000000">
            <w:pPr>
              <w:spacing w:line="240" w:lineRule="auto"/>
              <w:jc w:val="center"/>
            </w:pPr>
            <w:r>
              <w:t>380 368</w:t>
            </w:r>
          </w:p>
        </w:tc>
        <w:tc>
          <w:tcPr>
            <w:tcW w:w="1870" w:type="dxa"/>
          </w:tcPr>
          <w:p w:rsidR="00000000" w:rsidRDefault="00000000">
            <w:pPr>
              <w:spacing w:line="240" w:lineRule="auto"/>
              <w:jc w:val="center"/>
            </w:pPr>
            <w:r>
              <w:t>362 299</w:t>
            </w:r>
          </w:p>
        </w:tc>
        <w:tc>
          <w:tcPr>
            <w:tcW w:w="1870" w:type="dxa"/>
          </w:tcPr>
          <w:p w:rsidR="00000000" w:rsidRDefault="00000000">
            <w:pPr>
              <w:spacing w:line="240" w:lineRule="auto"/>
              <w:jc w:val="center"/>
            </w:pPr>
            <w:r>
              <w:t>1 033 069</w:t>
            </w:r>
          </w:p>
        </w:tc>
      </w:tr>
      <w:tr w:rsidR="00000000">
        <w:tc>
          <w:tcPr>
            <w:tcW w:w="1870" w:type="dxa"/>
          </w:tcPr>
          <w:p w:rsidR="00000000" w:rsidRDefault="00000000">
            <w:pPr>
              <w:spacing w:line="240" w:lineRule="auto"/>
              <w:jc w:val="center"/>
            </w:pPr>
            <w:r>
              <w:t>&gt;50%</w:t>
            </w:r>
          </w:p>
        </w:tc>
        <w:tc>
          <w:tcPr>
            <w:tcW w:w="1870" w:type="dxa"/>
          </w:tcPr>
          <w:p w:rsidR="00000000" w:rsidRDefault="00000000">
            <w:pPr>
              <w:spacing w:line="240" w:lineRule="auto"/>
              <w:jc w:val="center"/>
            </w:pPr>
            <w:r>
              <w:t>126 709</w:t>
            </w:r>
          </w:p>
        </w:tc>
        <w:tc>
          <w:tcPr>
            <w:tcW w:w="1870" w:type="dxa"/>
          </w:tcPr>
          <w:p w:rsidR="00000000" w:rsidRDefault="00000000">
            <w:pPr>
              <w:spacing w:line="240" w:lineRule="auto"/>
              <w:jc w:val="center"/>
            </w:pPr>
            <w:r>
              <w:t>125 424</w:t>
            </w:r>
          </w:p>
        </w:tc>
        <w:tc>
          <w:tcPr>
            <w:tcW w:w="1870" w:type="dxa"/>
          </w:tcPr>
          <w:p w:rsidR="00000000" w:rsidRDefault="00000000">
            <w:pPr>
              <w:spacing w:line="240" w:lineRule="auto"/>
              <w:jc w:val="center"/>
            </w:pPr>
            <w:r>
              <w:t xml:space="preserve">  82 273</w:t>
            </w:r>
          </w:p>
        </w:tc>
        <w:tc>
          <w:tcPr>
            <w:tcW w:w="1870" w:type="dxa"/>
          </w:tcPr>
          <w:p w:rsidR="00000000" w:rsidRDefault="00000000">
            <w:pPr>
              <w:spacing w:line="240" w:lineRule="auto"/>
              <w:jc w:val="center"/>
            </w:pPr>
            <w:r>
              <w:t xml:space="preserve">   334 406</w:t>
            </w:r>
          </w:p>
        </w:tc>
      </w:tr>
    </w:tbl>
    <w:p w:rsidR="00000000" w:rsidRDefault="00000000">
      <w:pPr>
        <w:spacing w:line="240" w:lineRule="auto"/>
      </w:pPr>
    </w:p>
    <w:p w:rsidR="00000000" w:rsidRDefault="00000000">
      <w:pPr>
        <w:pStyle w:val="Heading1"/>
        <w:spacing w:line="240" w:lineRule="auto"/>
        <w:rPr>
          <w:b w:val="0"/>
          <w:bCs/>
        </w:rPr>
      </w:pPr>
      <w:r>
        <w:rPr>
          <w:b w:val="0"/>
          <w:bCs/>
        </w:rPr>
        <w:tab/>
      </w:r>
      <w:r>
        <w:rPr>
          <w:b w:val="0"/>
          <w:bCs/>
          <w:u w:val="single"/>
        </w:rPr>
        <w:t>Источник</w:t>
      </w:r>
      <w:r>
        <w:rPr>
          <w:b w:val="0"/>
          <w:bCs/>
        </w:rPr>
        <w:t>:  фонд Жоао Пинейро, 1995 год.</w:t>
      </w:r>
    </w:p>
    <w:p w:rsidR="00000000" w:rsidRDefault="00000000">
      <w:pPr>
        <w:pStyle w:val="Heading1"/>
        <w:spacing w:line="240" w:lineRule="auto"/>
        <w:rPr>
          <w:b w:val="0"/>
          <w:bCs/>
        </w:rPr>
      </w:pPr>
    </w:p>
    <w:p w:rsidR="00000000" w:rsidRDefault="00000000">
      <w:pPr>
        <w:pStyle w:val="FootnoteText"/>
      </w:pPr>
    </w:p>
    <w:p w:rsidR="00000000" w:rsidRDefault="00000000">
      <w:pPr>
        <w:rPr>
          <w:bCs/>
        </w:rPr>
      </w:pPr>
      <w:r>
        <w:rPr>
          <w:bCs/>
        </w:rPr>
        <w:t>511.</w:t>
      </w:r>
      <w:r>
        <w:rPr>
          <w:bCs/>
        </w:rPr>
        <w:tab/>
        <w:t>Практика включения нуждающихся в жилье лиц в списки очередников на получение жилья на основе установленных критериев часто используемым органами штатов и муниципий, которые занимаются вопросами жилья.  Меры, применяемые в порядке оказания помощи очередникам, являются частью программ строительства жилья для семей с низким доходом.  В экстренных случаях жилье может быть предоставлено в государственных жилых зданиях.  Данные по этому вопросу в масштабах страны отсутствуют, поэтому точно ответить на этот вопрос не представляется возможным.</w:t>
      </w:r>
    </w:p>
    <w:p w:rsidR="00000000" w:rsidRDefault="00000000">
      <w:pPr>
        <w:rPr>
          <w:bCs/>
        </w:rPr>
      </w:pPr>
    </w:p>
    <w:p w:rsidR="00000000" w:rsidRDefault="00000000">
      <w:pPr>
        <w:rPr>
          <w:bCs/>
        </w:rPr>
      </w:pPr>
      <w:r>
        <w:rPr>
          <w:bCs/>
        </w:rPr>
        <w:t>512.</w:t>
      </w:r>
      <w:r>
        <w:rPr>
          <w:bCs/>
        </w:rPr>
        <w:tab/>
        <w:t>В Бразилии всего лишь 20%</w:t>
      </w:r>
      <w:r>
        <w:rPr>
          <w:b/>
          <w:vertAlign w:val="superscript"/>
        </w:rPr>
        <w:t>19</w:t>
      </w:r>
      <w:r>
        <w:rPr>
          <w:bCs/>
        </w:rPr>
        <w:t xml:space="preserve"> домов построены с помощью государственных и частных источников финансирования жилищного строительства.  Остальные 80% домов строятся индивидуально, без прямой помощи со стороны государства.  На долю государственного жилищного строительства в 1975</w:t>
      </w:r>
      <w:r>
        <w:rPr>
          <w:bCs/>
        </w:rPr>
        <w:sym w:font="Symbol" w:char="F02D"/>
      </w:r>
      <w:r>
        <w:rPr>
          <w:bCs/>
        </w:rPr>
        <w:t>1995 годах приходилось 5,6 млн. единиц жилья.  Следует отметить, что в целом по стране наблюдается увеличение количества собственных домов и других форм владения жильем.  Обследование семейных бюджетов 1996 года показало, что 69,8% домов находилось в частном владении, 18,8% арендовались, 9,6% находились во временном пользовании и 1,8% использовались иным образом.  Учитывая, что в последние 15 лет происходил процесс сокращения государственного жилищного строительства, в особенности для групп населения со средним и низким уровнями доходов, рост числа собственных домов может быть отнесен за счет незаконного заселения районов, в особенности в городских жилых массивах (трущобы, незаконно созданные жилые кварталы и многоквартирные дома).  Размеры неформальных городских районов (незаконные поселения и жилые дома) колеблются в большом диапазоне, охватывая не менее 50% жителей крупных городских зон.</w:t>
      </w:r>
    </w:p>
    <w:p w:rsidR="00000000" w:rsidRDefault="00000000">
      <w:pPr>
        <w:rPr>
          <w:bCs/>
        </w:rPr>
      </w:pPr>
    </w:p>
    <w:p w:rsidR="00000000" w:rsidRDefault="00000000">
      <w:pPr>
        <w:rPr>
          <w:bCs/>
        </w:rPr>
      </w:pPr>
      <w:r>
        <w:rPr>
          <w:bCs/>
        </w:rPr>
        <w:t>513.</w:t>
      </w:r>
      <w:r>
        <w:rPr>
          <w:bCs/>
        </w:rPr>
        <w:tab/>
        <w:t>В Конституции Федеративной Республики Бразилии не закреплено право на жилье, как право каждого человека, но предусматривается, что городское имущество должно обладать собственной социальной функцией, строго соответствуя муниципальному генеральному плану.</w:t>
      </w:r>
    </w:p>
    <w:p w:rsidR="00000000" w:rsidRDefault="00000000">
      <w:pPr>
        <w:rPr>
          <w:bCs/>
        </w:rPr>
      </w:pPr>
    </w:p>
    <w:p w:rsidR="00000000" w:rsidRDefault="00000000">
      <w:pPr>
        <w:rPr>
          <w:bCs/>
        </w:rPr>
      </w:pPr>
      <w:r>
        <w:rPr>
          <w:bCs/>
        </w:rPr>
        <w:t>514.</w:t>
      </w:r>
      <w:r>
        <w:rPr>
          <w:bCs/>
        </w:rPr>
        <w:tab/>
        <w:t>Что касается вопроса о жилье, то в Федеральной конституции обязанности в этой области распределены следующим образом:  в задачи Федерации входят принятие законов, содержащих общие руководящие принципы, и законов, касающихся Федерации, штатов, Федерального округа и муниципий, осуществление программ жилищного строительства и улучшение жилищных условий населения.  Федерация также отвечает за разработку законов для создания нормативной базы градостроительства.  Существуют многочисленные законы штатов и муниципий, касающиеся жилищного строительства и улучшения его качества.  Муниципии принимают законы, регулирующие деятельность на местах, и по мере необходимости дополняют федеральное законодательство и законодательство штатов.  Законы в области жилищного строительства </w:t>
      </w:r>
      <w:r>
        <w:rPr>
          <w:bCs/>
        </w:rPr>
        <w:sym w:font="Symbol" w:char="F02D"/>
      </w:r>
      <w:r>
        <w:rPr>
          <w:bCs/>
        </w:rPr>
        <w:t xml:space="preserve"> это в основном муниципальные законы, которые связаны главным образом с градостроительными нормами, с дебюрократизацией процедур регистрации домов, с отведением государственных земель под расселение малоимущих семей, с разработкой инженерных требований, определением условий санитарии и гигиены, созданием условий, благоприятных для здоровья людей, освещением улиц, определением размеров жилых комнат и установлением контроля за стихийно созданными и незаконными поселениями.</w:t>
      </w:r>
    </w:p>
    <w:p w:rsidR="00000000" w:rsidRDefault="00000000">
      <w:pPr>
        <w:rPr>
          <w:bCs/>
        </w:rPr>
      </w:pPr>
    </w:p>
    <w:p w:rsidR="00000000" w:rsidRDefault="00000000">
      <w:r>
        <w:t>515.</w:t>
      </w:r>
      <w:r>
        <w:tab/>
        <w:t>Гражданское право является составной частью федерального законодательства.  Вопросы принудительного выселения регулируются Законом 8245 от 18 октября 1991 года (Закон об аренде имущества), где перечислены условия, при которых контракты на аренду могут быть расторгнуты, в том числе по взаимному согласию, в связи с нарушениями правовых и контрактных договоренностей и неуплатой.  В этом Законе говорится, что принудительное выселение должно осуществляться в соответствии с установленными процедурами, включая направление уведомления жильцу о том, что он должен освободить занимаемую им площадь в 15-дневный срок независимо от права противной стороны на судебное заслушание и выплаты гарантийной суммы в размере трехмесячной арендной платы.</w:t>
      </w:r>
    </w:p>
    <w:p w:rsidR="00000000" w:rsidRDefault="00000000"/>
    <w:p w:rsidR="00000000" w:rsidRDefault="00000000">
      <w:r>
        <w:t>516.</w:t>
      </w:r>
      <w:r>
        <w:tab/>
        <w:t>Что касается вопроса о владении, основанного на утверждении правового титула вопреки притязаниям третьего лица, то в статье 183 Федеральной конституции предусматривается, что лицо, которое в течение пяти лет непрерывно и единолично владело площадью в городском жилье в размере до 250 м</w:t>
      </w:r>
      <w:r>
        <w:rPr>
          <w:vertAlign w:val="superscript"/>
        </w:rPr>
        <w:t>2</w:t>
      </w:r>
      <w:r>
        <w:t>, пользуясь ею в качестве места проживания, обладает презумпцией права на владение при условии, что у данного лица нет никакой другой городской и сельской собственности.  Право собственности и право на ее использование предоставляются мужчине или женщине или одновременно тому и другому независимо от их семейного положения.  Одно и то же лицо не может претендовать на это право более чем один раз.  Государственная собственность не может быть получена во владение, основанное на утверждении правового титула вопреки притязанию третьего лица.  Закон о государственной регистрации имущества разрешает предварительную регистрацию собственности и последующую ее передачу или обещание о ее передаче Федерации, штатам и муниципалитетам или назначенным ими органам под городскую застройку в интересах низкооплачиваемых классов общества.</w:t>
      </w:r>
    </w:p>
    <w:p w:rsidR="00000000" w:rsidRDefault="00000000"/>
    <w:p w:rsidR="00000000" w:rsidRDefault="00000000">
      <w:r>
        <w:t>517.</w:t>
      </w:r>
      <w:r>
        <w:tab/>
        <w:t>Что касается городского жилищного строительства для малоимущих слоев населения, то в федеральном законодательстве делается исключение в отношении необходимости получения титула на имущество, если это имущество признано как отвечающее общественным интересам и законным образом экспроприировано Федерацией, штатами или Федеральным округом и/или назначенными ими органами, которые в установленном порядке уполномочены осуществлять проекты жилищного строительства.  В законе предусмотрен также порядок передачи права собственности, расположенной в районах массовой застройки.  Передача права собственности разрешена в том случае, если в лице правопреемника выступают Федерация, штаты, Федеральный округ и муниципии и назначенные ими органы.  Передача собственности осуществляется на основании документа, скрепленного подписями, который во всех случаях является правовым титулом и подпадает под исключения статьи 134 ii Гражданского кодекса.</w:t>
      </w:r>
    </w:p>
    <w:p w:rsidR="00000000" w:rsidRDefault="00000000"/>
    <w:p w:rsidR="00000000" w:rsidRDefault="00000000">
      <w:r>
        <w:t>518.</w:t>
      </w:r>
      <w:r>
        <w:tab/>
        <w:t>Федеральная конституция также наделяет параллельными юрисдикционными полномочиями Федерацию, штаты и муниципии в отношении охраны окружающей среды и сохранения лесов, фауны и флоры.  В различных положениях Федеральной конституции, связанных с охраной природы, обеспечивается эффективность права на здоровую окружающую среду.  Конституция поручает правительству задачи сохранения и восстановления основных экологических процессов и задачу экологического управления видами и экосистемами;  сохранения многообразия и целостности генетического наследия страны;  выявления районов и их компонентов, которые нуждаются в особой защите во всех штатах;  предварительного изучения последствий любого воздействия на окружающую среду, как это предусмотрено в законе.  В законодательство об охране окружающей среды входят Лесной кодекс, Горнорудный кодекс и резолюции Национального экологического совета, а также административные директивы.</w:t>
      </w:r>
    </w:p>
    <w:p w:rsidR="00000000" w:rsidRDefault="00000000"/>
    <w:p w:rsidR="00000000" w:rsidRDefault="00000000">
      <w:r>
        <w:t>519.</w:t>
      </w:r>
      <w:r>
        <w:tab/>
        <w:t>Объявленными целями национальной политики в области жилищного строительства, осуществляемой правительством с 1995 года, являются:  i)  обеспечение всеобщего доступа к жилью;  ii)  расширение жилого фонда и улучшение качества имеющихся жилых помещений;  iii)  решение вопроса о незаконных поселениях и открытие доступа к земле;  и  iv)  модернизация жилищного сектора путем совершенствования законодательства и улучшения работы учреждений.</w:t>
      </w:r>
    </w:p>
    <w:p w:rsidR="00000000" w:rsidRDefault="00000000"/>
    <w:p w:rsidR="00000000" w:rsidRDefault="00000000">
      <w:r>
        <w:t>520.</w:t>
      </w:r>
      <w:r>
        <w:tab/>
        <w:t>Официально финансируемые федеральные программы в области жилищного строительства могут быть разделены на три основные группы:  i)  программы финансирования, которые получают дотации или субсидии в поддержку инвестиционной политики штатов и муниципий, направленной на улучшение качества жизни тех групп населения, доход на семью которых составляет менее трех минимальных окладов;  ii)  программы, предусматривающие финансирование строительства домов и/или улучшение жилищных условий семей, чей месячный доход составляет менее 12 минимальных окладов (Индивидуальные или Групповые аккредитивы и Программа поддержки производства);  iii)  программы и инициативы, направленные на улучшение работы рынка жилья.</w:t>
      </w:r>
    </w:p>
    <w:p w:rsidR="00000000" w:rsidRDefault="00000000"/>
    <w:p w:rsidR="00000000" w:rsidRDefault="00000000">
      <w:r>
        <w:t>521.</w:t>
      </w:r>
      <w:r>
        <w:tab/>
        <w:t>Цель программ, касающихся осуществления права малоимущих граждан на жилье, состоит в том, чтобы помочь штатам, муниципиям и Федеральному округу поднять стандарты жилищного строительства и улучшить качество жизни сельских и городских жителей, доходы которых составляют менее трех минимальных окладов и которые проживают в районах повышенного риска или в жилых районах, не отвечающих установленным требованиям (лачугах, трущобах, временных постройках, бараках и т.п.).  Эта программа также включает в себя такие меры, как урбанизация жилых кварталов, приобретение или выделение городских наделов земли и закупка строительных материалов, создание инфраструктуры в жилых кварталах и строительство жилищных комплексов.</w:t>
      </w:r>
    </w:p>
    <w:p w:rsidR="00000000" w:rsidRDefault="00000000"/>
    <w:p w:rsidR="00000000" w:rsidRDefault="00000000">
      <w:r>
        <w:t>522.</w:t>
      </w:r>
      <w:r>
        <w:tab/>
        <w:t>Разработаны также программы, предназначенные для групп населения, которые имеют еще более низкие доходы, как, например, Программа предоставления индивидуальных аккредитивов.  В рамках этой Программы финансируется приобретение и закупка жилья или улучшение жилищных условий семей, ежемесячный доход которых составляет меньше 12 минимальных окладов.  Различные программы охватывают приобретение единиц жилья или городских участков, строительство и ремонт домов, расширение, перестройку и улучшение жилья.  Потолок финансирования рассчитывается в соответствии с типом программы и размером доходов заявителя.  Существует также Программа группового аккредитива, в рамках которой финансируется строительство и отведение под застройку городских участков земли, осуществляемые профессиональными союзами, кооперативами, ассоциациями, частными организациями и жилищными кооперативами, которые предоставляют кредиты физическим лицам, чей ежемесячный доход составляет менее 12 минимальных окладов.  Проценты, взимаемые в рамках таких программ, значительно ниже рыночных, что превращает выдаваемые таким образом ссуды в довольно крупные прямые субсидии.  Другой характерной чертой этих программ является возможность удовлетворения спонтанного спроса на финансирование жилья путем предоставления прямого потребительского кредита.  В этом состоит одно из крупных изменений в стратегии правительства.  С помощью этих программ также закрепляется концепция, согласно которой основная ответственность за решение проблемы жилья лежит на самом обществе, а роль правительства заключается лишь в том, чтобы поощрять этот процесс и содействовать его развитию.  Кроме того, следует также отметить, что эти программы придают большую гибкость механизмам, с помощью которых проверяется доход заемщика, без дискриминации в отношении тех, кто занимается неформальной деятельностью.</w:t>
      </w:r>
    </w:p>
    <w:p w:rsidR="00000000" w:rsidRDefault="00000000"/>
    <w:p w:rsidR="00000000" w:rsidRDefault="00000000">
      <w:r>
        <w:t>523.</w:t>
      </w:r>
      <w:r>
        <w:tab/>
        <w:t xml:space="preserve">Цель программы поддержки строительства жилья состоит в финансировании предприятий, производящих популярные в народе дома для лиц, доходы которых составляют менее 12 минимальных окладов.  Средства предоставляются при условии действительной продажи не менее 50% произведенных единиц жилья.  </w:t>
      </w:r>
    </w:p>
    <w:p w:rsidR="00000000" w:rsidRDefault="00000000"/>
    <w:p w:rsidR="00000000" w:rsidRDefault="00000000">
      <w:r>
        <w:t>524.</w:t>
      </w:r>
      <w:r>
        <w:tab/>
        <w:t xml:space="preserve">Среди важных инициатив федерального правительства по осуществлению стратегии, направленной на расширение участия рыночного сектора в жилищном строительстве за истекший период необходимо назвать следующие:  создание Системы финансирования недвижимости (СФН);  реализация Бразильской программы повышения качества и производительности жилищного строительства (БПКПЖ);  улучшение законодательства в сфере градостроительства, включая недавнее внесение поправок в Закон о разукрупнении земельных наделов (Закон 6.766) путем принятия Федерального закона 9785/99;  и недавние инициативы по диверсификации средств доступа к жилищному строительству, например с помощью системы сдачи жилья в наем для различных слоев населения по линии Программы лизинга жилья (ПЛЖ).  Программы индивидуальных и групповых аккредитивов и Программа обеспечения строительства жилья также имеют целью расширение участия рыночного сектора путем финансирования собственного жилья и самофинансирования.  </w:t>
      </w:r>
    </w:p>
    <w:p w:rsidR="00000000" w:rsidRDefault="00000000"/>
    <w:p w:rsidR="00000000" w:rsidRDefault="00000000">
      <w:r>
        <w:t>525.</w:t>
      </w:r>
      <w:r>
        <w:tab/>
        <w:t>Правительство Бразилии хотело бы особо подчеркнуть значение работы, проводимой в рамках Программ инвестирования жилищного строительства в период 1995</w:t>
      </w:r>
      <w:r>
        <w:noBreakHyphen/>
        <w:t>1998 годов.  Согласно данным, представленным СЕПУРБ/ССРГ, общий объем капиталовложений составил 10 115 764 000 реалов, что способствовало улучшению положения 1 239 636 семей и созданию 502 273 рабочих мест.  Основным источником финансирования этих программ стал Фонд трудовой выслуги (ФТВ), из которого поступает 90% всех средств, а остающиеся 10% выделяется из общего бюджета страны.  Главной программой, на которую приходится большая часть всех инвестиций, является Программа индивидуального аккредитива (61,23%), за которой следует Программа группового аккредитива (15,81%), что наглядно свидетельствует о наличии спроса на финансирование среди частных компаний.  На основные программы, осуществляемые через правительственные учреждения и предназначенные для лиц с низким уровнем доходов, приходится всего лишь 20% общего объема инвестированных средств.</w:t>
      </w:r>
    </w:p>
    <w:p w:rsidR="00000000" w:rsidRDefault="00000000"/>
    <w:p w:rsidR="00000000" w:rsidRDefault="00000000">
      <w:r>
        <w:t>526.</w:t>
      </w:r>
      <w:r>
        <w:tab/>
        <w:t xml:space="preserve">Услуги, оказываемые в связи со строительством жилья, включают предоставление транспортных средств, уборку мусора, снабжение электроэнергией и т.п.  Национальная санитарная политика, осуществлявшаяся правительством с 1995 года по 1999 год включительно, состояла из двух видов программ:  </w:t>
      </w:r>
      <w:r>
        <w:rPr>
          <w:lang w:val="en-US"/>
        </w:rPr>
        <w:t>i</w:t>
      </w:r>
      <w:r>
        <w:t xml:space="preserve">)  программ, направленных на расширение объема услуг, оказываемых в области гигиены и санитарии, прежде всего малоимущим слоям населения ("Просанитария";  "Общественные действия в области санитарии" (ПАСС);  и Программа санитарных действий (ПРОСЕГЕ));  и  </w:t>
      </w:r>
      <w:r>
        <w:rPr>
          <w:lang w:val="en-US"/>
        </w:rPr>
        <w:t>ii</w:t>
      </w:r>
      <w:r>
        <w:t xml:space="preserve">)  программ, направленных на реструктуризацию сектора санитарии (Программа модернизации сектора санитарии (ПМСС), Программа повышения качества воды (ПКВ), Национальная программа контроля за расходованием воды и Программы по контролю за удалением твердых отходов (ПРОГЕСТ)).  В период с января 1995 года по октябрь 1998 года на реализацию этих программ было израсходовано 5 264 100 000 реалов.  </w:t>
      </w:r>
    </w:p>
    <w:p w:rsidR="00000000" w:rsidRDefault="00000000"/>
    <w:p w:rsidR="00000000" w:rsidRDefault="00000000">
      <w:r>
        <w:t>527.</w:t>
      </w:r>
      <w:r>
        <w:tab/>
        <w:t xml:space="preserve">В плане обеспечения социальной справедливости Бразилия оказывает помощь более бедным категориям населения независимо от размеров городских центров, в которых они проживают.  Программы ХАБИТАР/БРАЗИЛ/БИД, ПАСС/БИД и ПРОСЕГЕ, нацеленные на малоимущее население (по Программе ПРОСЕГЕ это - семьи, ежемесячный доход которых составляет менее трех минимальных окладов), разрабатывались таким образом, чтобы реально сократить социальное неравенство, отдавая приоритет капиталовложениям, которые предназначены удовлетворить потребности обездоленных слоев населения. Критерии первоочередности этих программ устанавливаются после изучения того, в какой степени и где отсутствуют городские коммунальные службы.  В этой связи составляется список штатов в порядке, соответствующем числу городских домов, которые находятся в бедственном состоянии.  Жилые зоны, имеющие право на получение финансирования, должны отвечать следующим требованиям: </w:t>
      </w:r>
    </w:p>
    <w:p w:rsidR="00000000" w:rsidRDefault="00000000"/>
    <w:p w:rsidR="00000000" w:rsidRDefault="00000000">
      <w:r>
        <w:tab/>
        <w:t>a)</w:t>
      </w:r>
      <w:r>
        <w:tab/>
        <w:t xml:space="preserve">расположенные в них жилые кварталы должны быть построены не менее пяти лет назад, должны находиться в запущенном состоянии и по меньшей мере 60% их жителей должны иметь семейный доход, не превышающий трех минимальных окладов;  </w:t>
      </w:r>
    </w:p>
    <w:p w:rsidR="00000000" w:rsidRDefault="00000000"/>
    <w:p w:rsidR="00000000" w:rsidRDefault="00000000">
      <w:r>
        <w:tab/>
        <w:t>b)</w:t>
      </w:r>
      <w:r>
        <w:tab/>
        <w:t>они должны быть признаны опасными для здоровья и проживания, или на них должно распространяться законодательство, в котором запрещалось бы их использование под строительство жилых зданий или под любую форму застройки;  и</w:t>
      </w:r>
    </w:p>
    <w:p w:rsidR="00000000" w:rsidRDefault="00000000"/>
    <w:p w:rsidR="00000000" w:rsidRDefault="00000000">
      <w:r>
        <w:tab/>
        <w:t>c)</w:t>
      </w:r>
      <w:r>
        <w:tab/>
        <w:t xml:space="preserve">им должен быть отведен приоритет на основе иерархического порядка на первом этапе осуществления Муниципального стратегического плана для нестандартных поселений (ПЕМАС), начиная с первого поселения, на которое выделяется финансирование, и далее следуя в том четком иерархическом порядке, который устанавливается ПЕМАС.  </w:t>
      </w:r>
    </w:p>
    <w:p w:rsidR="00000000" w:rsidRDefault="00000000"/>
    <w:p w:rsidR="00000000" w:rsidRDefault="00000000">
      <w:r>
        <w:t>528.</w:t>
      </w:r>
      <w:r>
        <w:tab/>
        <w:t>В Многолетнем плане правительства (МПП) на 2000-2003 годы предусматриваются различные меры по развитию городов.  К 2000 году все ранее осуществляемые программы были объединены в общую программу "</w:t>
      </w:r>
      <w:r>
        <w:rPr>
          <w:lang w:val="en-US"/>
        </w:rPr>
        <w:t>Avan</w:t>
      </w:r>
      <w:r>
        <w:t>ç</w:t>
      </w:r>
      <w:r>
        <w:rPr>
          <w:lang w:val="en-US"/>
        </w:rPr>
        <w:t>a</w:t>
      </w:r>
      <w:r>
        <w:t xml:space="preserve">, </w:t>
      </w:r>
      <w:r>
        <w:rPr>
          <w:lang w:val="en-US"/>
        </w:rPr>
        <w:t>Brasil</w:t>
      </w:r>
      <w:r>
        <w:t>", которая включает следующие подпрограммы:</w:t>
      </w:r>
    </w:p>
    <w:p w:rsidR="00000000" w:rsidRDefault="00000000"/>
    <w:p w:rsidR="00000000" w:rsidRDefault="00000000">
      <w:pPr>
        <w:pStyle w:val="16"/>
        <w:tabs>
          <w:tab w:val="left" w:pos="2805"/>
        </w:tabs>
        <w:spacing w:line="216" w:lineRule="auto"/>
        <w:rPr>
          <w:b/>
          <w:bCs/>
        </w:rPr>
      </w:pPr>
      <w:r>
        <w:rPr>
          <w:b/>
          <w:bCs/>
        </w:rPr>
        <w:t>Таблица 72.   Программы развития городов в рамках МПП</w:t>
      </w:r>
    </w:p>
    <w:p w:rsidR="00000000" w:rsidRDefault="00000000">
      <w:pPr>
        <w:pStyle w:val="FootnoteText"/>
        <w:tabs>
          <w:tab w:val="left" w:pos="2805"/>
        </w:tabs>
        <w:spacing w:line="216"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114"/>
        <w:gridCol w:w="4240"/>
        <w:gridCol w:w="3057"/>
      </w:tblGrid>
      <w:tr w:rsidR="00000000">
        <w:tblPrEx>
          <w:tblCellMar>
            <w:top w:w="0" w:type="dxa"/>
            <w:bottom w:w="0" w:type="dxa"/>
          </w:tblCellMar>
        </w:tblPrEx>
        <w:trPr>
          <w:tblHeader/>
        </w:trPr>
        <w:tc>
          <w:tcPr>
            <w:tcW w:w="2114" w:type="dxa"/>
            <w:tcMar>
              <w:top w:w="57" w:type="dxa"/>
              <w:bottom w:w="57" w:type="dxa"/>
            </w:tcMar>
            <w:vAlign w:val="center"/>
          </w:tcPr>
          <w:p w:rsidR="00000000" w:rsidRDefault="00000000">
            <w:pPr>
              <w:pStyle w:val="16"/>
              <w:tabs>
                <w:tab w:val="left" w:pos="2805"/>
              </w:tabs>
              <w:spacing w:line="216" w:lineRule="auto"/>
              <w:rPr>
                <w:sz w:val="22"/>
              </w:rPr>
            </w:pPr>
            <w:r>
              <w:rPr>
                <w:sz w:val="22"/>
              </w:rPr>
              <w:t>Программа</w:t>
            </w:r>
          </w:p>
        </w:tc>
        <w:tc>
          <w:tcPr>
            <w:tcW w:w="4240" w:type="dxa"/>
            <w:tcMar>
              <w:top w:w="57" w:type="dxa"/>
              <w:bottom w:w="57" w:type="dxa"/>
            </w:tcMar>
            <w:vAlign w:val="center"/>
          </w:tcPr>
          <w:p w:rsidR="00000000" w:rsidRDefault="00000000">
            <w:pPr>
              <w:tabs>
                <w:tab w:val="left" w:pos="2805"/>
              </w:tabs>
              <w:spacing w:line="216" w:lineRule="auto"/>
              <w:jc w:val="center"/>
              <w:rPr>
                <w:sz w:val="22"/>
              </w:rPr>
            </w:pPr>
            <w:r>
              <w:rPr>
                <w:sz w:val="22"/>
              </w:rPr>
              <w:t>Цель</w:t>
            </w:r>
          </w:p>
        </w:tc>
        <w:tc>
          <w:tcPr>
            <w:tcW w:w="3057" w:type="dxa"/>
            <w:tcMar>
              <w:top w:w="57" w:type="dxa"/>
              <w:bottom w:w="57" w:type="dxa"/>
            </w:tcMar>
            <w:vAlign w:val="center"/>
          </w:tcPr>
          <w:p w:rsidR="00000000" w:rsidRDefault="00000000">
            <w:pPr>
              <w:tabs>
                <w:tab w:val="left" w:pos="2805"/>
              </w:tabs>
              <w:spacing w:line="216" w:lineRule="auto"/>
              <w:jc w:val="center"/>
              <w:rPr>
                <w:sz w:val="22"/>
              </w:rPr>
            </w:pPr>
            <w:r>
              <w:rPr>
                <w:sz w:val="22"/>
              </w:rPr>
              <w:t>Источники финансирования и общая сумма (реалы)</w:t>
            </w:r>
          </w:p>
        </w:tc>
      </w:tr>
      <w:tr w:rsidR="00000000">
        <w:tblPrEx>
          <w:tblCellMar>
            <w:top w:w="0" w:type="dxa"/>
            <w:bottom w:w="0" w:type="dxa"/>
          </w:tblCellMar>
        </w:tblPrEx>
        <w:tc>
          <w:tcPr>
            <w:tcW w:w="2114" w:type="dxa"/>
            <w:tcMar>
              <w:top w:w="57" w:type="dxa"/>
              <w:bottom w:w="57" w:type="dxa"/>
            </w:tcMar>
            <w:vAlign w:val="center"/>
          </w:tcPr>
          <w:p w:rsidR="00000000" w:rsidRDefault="00000000">
            <w:pPr>
              <w:tabs>
                <w:tab w:val="left" w:pos="2805"/>
              </w:tabs>
              <w:spacing w:line="216" w:lineRule="auto"/>
              <w:rPr>
                <w:sz w:val="22"/>
              </w:rPr>
            </w:pPr>
            <w:r>
              <w:rPr>
                <w:sz w:val="22"/>
              </w:rPr>
              <w:t>Дороги и городской транспорт</w:t>
            </w:r>
          </w:p>
        </w:tc>
        <w:tc>
          <w:tcPr>
            <w:tcW w:w="4240" w:type="dxa"/>
            <w:tcMar>
              <w:top w:w="57" w:type="dxa"/>
              <w:bottom w:w="57" w:type="dxa"/>
            </w:tcMar>
          </w:tcPr>
          <w:p w:rsidR="00000000" w:rsidRDefault="00000000">
            <w:pPr>
              <w:tabs>
                <w:tab w:val="left" w:pos="2805"/>
              </w:tabs>
              <w:spacing w:line="216" w:lineRule="auto"/>
              <w:rPr>
                <w:sz w:val="22"/>
              </w:rPr>
            </w:pPr>
            <w:r>
              <w:rPr>
                <w:sz w:val="22"/>
              </w:rPr>
              <w:t>Улучшение качества общественных дорог и работы городского транспорта в городах с населением свыше 75 000 человек</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 xml:space="preserve">Государственный </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xml:space="preserve"> -  0</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75 000 000</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75 000 000</w:t>
            </w:r>
          </w:p>
        </w:tc>
      </w:tr>
      <w:tr w:rsidR="00000000">
        <w:tblPrEx>
          <w:tblCellMar>
            <w:top w:w="0" w:type="dxa"/>
            <w:bottom w:w="0" w:type="dxa"/>
          </w:tblCellMar>
        </w:tblPrEx>
        <w:tc>
          <w:tcPr>
            <w:tcW w:w="2114" w:type="dxa"/>
            <w:tcMar>
              <w:top w:w="57" w:type="dxa"/>
              <w:bottom w:w="57" w:type="dxa"/>
            </w:tcMar>
            <w:vAlign w:val="center"/>
          </w:tcPr>
          <w:p w:rsidR="00000000" w:rsidRDefault="00000000">
            <w:pPr>
              <w:tabs>
                <w:tab w:val="left" w:pos="2805"/>
              </w:tabs>
              <w:spacing w:line="216" w:lineRule="auto"/>
              <w:rPr>
                <w:sz w:val="22"/>
              </w:rPr>
            </w:pPr>
            <w:r>
              <w:rPr>
                <w:sz w:val="22"/>
              </w:rPr>
              <w:t>Реконструкция городских районов</w:t>
            </w:r>
          </w:p>
        </w:tc>
        <w:tc>
          <w:tcPr>
            <w:tcW w:w="4240" w:type="dxa"/>
            <w:tcMar>
              <w:top w:w="57" w:type="dxa"/>
              <w:bottom w:w="57" w:type="dxa"/>
            </w:tcMar>
          </w:tcPr>
          <w:p w:rsidR="00000000" w:rsidRDefault="00000000">
            <w:pPr>
              <w:tabs>
                <w:tab w:val="left" w:pos="2805"/>
              </w:tabs>
              <w:spacing w:line="216" w:lineRule="auto"/>
              <w:rPr>
                <w:sz w:val="22"/>
              </w:rPr>
            </w:pPr>
            <w:r>
              <w:rPr>
                <w:sz w:val="22"/>
              </w:rPr>
              <w:t>Содействие экономному использованию свободных площадей и повышению динамики жизни и активизации экономической деятельности в городских районах</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      4 914 000</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720 595 900</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725 509 900</w:t>
            </w:r>
          </w:p>
        </w:tc>
      </w:tr>
      <w:tr w:rsidR="00000000">
        <w:tblPrEx>
          <w:tblCellMar>
            <w:top w:w="0" w:type="dxa"/>
            <w:bottom w:w="0" w:type="dxa"/>
          </w:tblCellMar>
        </w:tblPrEx>
        <w:tc>
          <w:tcPr>
            <w:tcW w:w="2114" w:type="dxa"/>
            <w:tcMar>
              <w:top w:w="57" w:type="dxa"/>
              <w:bottom w:w="57" w:type="dxa"/>
            </w:tcMar>
            <w:vAlign w:val="center"/>
          </w:tcPr>
          <w:p w:rsidR="00000000" w:rsidRDefault="00000000">
            <w:pPr>
              <w:keepNext/>
              <w:tabs>
                <w:tab w:val="left" w:pos="2805"/>
              </w:tabs>
              <w:spacing w:line="216" w:lineRule="auto"/>
              <w:rPr>
                <w:sz w:val="22"/>
              </w:rPr>
            </w:pPr>
            <w:r>
              <w:rPr>
                <w:sz w:val="22"/>
              </w:rPr>
              <w:t>Бразильская программа повышения качества и производительности (БПКПЖС)</w:t>
            </w:r>
          </w:p>
        </w:tc>
        <w:tc>
          <w:tcPr>
            <w:tcW w:w="4240" w:type="dxa"/>
            <w:tcMar>
              <w:top w:w="57" w:type="dxa"/>
              <w:bottom w:w="57" w:type="dxa"/>
            </w:tcMar>
          </w:tcPr>
          <w:p w:rsidR="00000000" w:rsidRDefault="00000000">
            <w:pPr>
              <w:tabs>
                <w:tab w:val="left" w:pos="2805"/>
              </w:tabs>
              <w:spacing w:line="216" w:lineRule="auto"/>
              <w:rPr>
                <w:sz w:val="22"/>
              </w:rPr>
            </w:pPr>
            <w:r>
              <w:rPr>
                <w:sz w:val="22"/>
              </w:rPr>
              <w:t>Активизация усилий по улучшению качества и производительности с целью повышения качества жизни бразильского народа и повышения конкурентоспособности бразильских товаров и услуг</w:t>
            </w:r>
          </w:p>
        </w:tc>
        <w:tc>
          <w:tcPr>
            <w:tcW w:w="3057" w:type="dxa"/>
            <w:tcMar>
              <w:top w:w="57" w:type="dxa"/>
              <w:bottom w:w="57" w:type="dxa"/>
            </w:tcMar>
          </w:tcPr>
          <w:p w:rsidR="00000000" w:rsidRDefault="00000000">
            <w:pPr>
              <w:pStyle w:val="BodyText"/>
              <w:spacing w:line="216" w:lineRule="auto"/>
              <w:rPr>
                <w:b/>
                <w:bCs/>
                <w:sz w:val="22"/>
              </w:rPr>
            </w:pPr>
            <w:r>
              <w:rPr>
                <w:b/>
                <w:bCs/>
                <w:sz w:val="22"/>
              </w:rPr>
              <w:t>Государственный</w:t>
            </w:r>
          </w:p>
          <w:p w:rsidR="00000000" w:rsidRDefault="00000000">
            <w:pPr>
              <w:pStyle w:val="BodyText"/>
              <w:spacing w:line="216" w:lineRule="auto"/>
              <w:rPr>
                <w:b/>
                <w:bCs/>
                <w:sz w:val="22"/>
              </w:rPr>
            </w:pPr>
            <w:r>
              <w:rPr>
                <w:b/>
                <w:bCs/>
                <w:sz w:val="22"/>
              </w:rPr>
              <w:t>бюджет</w:t>
            </w:r>
            <w:r>
              <w:tab/>
              <w:t>-</w:t>
            </w:r>
            <w:r>
              <w:rPr>
                <w:b/>
                <w:bCs/>
                <w:sz w:val="22"/>
              </w:rPr>
              <w:t xml:space="preserve">  18 609 128</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12 826 540</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31 435 668</w:t>
            </w:r>
          </w:p>
        </w:tc>
      </w:tr>
      <w:tr w:rsidR="00000000">
        <w:tblPrEx>
          <w:tblCellMar>
            <w:top w:w="0" w:type="dxa"/>
            <w:bottom w:w="0" w:type="dxa"/>
          </w:tblCellMar>
        </w:tblPrEx>
        <w:tc>
          <w:tcPr>
            <w:tcW w:w="2114" w:type="dxa"/>
            <w:tcMar>
              <w:top w:w="57" w:type="dxa"/>
              <w:bottom w:w="57" w:type="dxa"/>
            </w:tcMar>
            <w:vAlign w:val="center"/>
          </w:tcPr>
          <w:p w:rsidR="00000000" w:rsidRDefault="00000000">
            <w:pPr>
              <w:tabs>
                <w:tab w:val="left" w:pos="2805"/>
              </w:tabs>
              <w:spacing w:line="216" w:lineRule="auto"/>
              <w:rPr>
                <w:sz w:val="22"/>
              </w:rPr>
            </w:pPr>
            <w:r>
              <w:rPr>
                <w:sz w:val="22"/>
              </w:rPr>
              <w:t>"Родной район"</w:t>
            </w:r>
          </w:p>
        </w:tc>
        <w:tc>
          <w:tcPr>
            <w:tcW w:w="4240" w:type="dxa"/>
            <w:tcMar>
              <w:top w:w="57" w:type="dxa"/>
              <w:bottom w:w="57" w:type="dxa"/>
            </w:tcMar>
          </w:tcPr>
          <w:p w:rsidR="00000000" w:rsidRDefault="00000000">
            <w:pPr>
              <w:tabs>
                <w:tab w:val="left" w:pos="2805"/>
              </w:tabs>
              <w:spacing w:line="216" w:lineRule="auto"/>
              <w:rPr>
                <w:sz w:val="22"/>
              </w:rPr>
            </w:pPr>
            <w:r>
              <w:rPr>
                <w:sz w:val="22"/>
              </w:rPr>
              <w:t>Улучшение жилищных условий семей, доход которых составляет менее трех минимальных окладов и которые проживают в городских жилых массивах, не отвечающих установленным требованиям.  Эта цель должна быть достигнута путем интеграции жилищного строительства, услуг в сфере санитарии и инициатив по развитию городской инфраструктуры</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701 922 693</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3 024 333 014</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3 726 255 707</w:t>
            </w:r>
          </w:p>
        </w:tc>
      </w:tr>
      <w:tr w:rsidR="00000000">
        <w:tblPrEx>
          <w:tblCellMar>
            <w:top w:w="0" w:type="dxa"/>
            <w:bottom w:w="0" w:type="dxa"/>
          </w:tblCellMar>
        </w:tblPrEx>
        <w:tc>
          <w:tcPr>
            <w:tcW w:w="2114" w:type="dxa"/>
            <w:tcMar>
              <w:top w:w="57" w:type="dxa"/>
              <w:bottom w:w="57" w:type="dxa"/>
            </w:tcMar>
            <w:vAlign w:val="center"/>
          </w:tcPr>
          <w:p w:rsidR="00000000" w:rsidRDefault="00000000">
            <w:pPr>
              <w:keepNext/>
              <w:tabs>
                <w:tab w:val="left" w:pos="2805"/>
              </w:tabs>
              <w:spacing w:line="216" w:lineRule="auto"/>
              <w:rPr>
                <w:sz w:val="22"/>
              </w:rPr>
            </w:pPr>
            <w:r>
              <w:rPr>
                <w:sz w:val="22"/>
              </w:rPr>
              <w:t>"Жить лучше"</w:t>
            </w:r>
          </w:p>
        </w:tc>
        <w:tc>
          <w:tcPr>
            <w:tcW w:w="4240" w:type="dxa"/>
            <w:tcMar>
              <w:top w:w="57" w:type="dxa"/>
              <w:bottom w:w="57" w:type="dxa"/>
            </w:tcMar>
          </w:tcPr>
          <w:p w:rsidR="00000000" w:rsidRDefault="00000000">
            <w:pPr>
              <w:tabs>
                <w:tab w:val="left" w:pos="2805"/>
              </w:tabs>
              <w:spacing w:line="216" w:lineRule="auto"/>
              <w:rPr>
                <w:sz w:val="22"/>
              </w:rPr>
            </w:pPr>
            <w:r>
              <w:rPr>
                <w:sz w:val="22"/>
              </w:rPr>
              <w:t>Обеспечение универсальности базовых санитарных услуг, сокращение жилищного дефицита в стране и улучшение городской инфраструктуры для маргинализованного населения</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297 260 376</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14 729 185</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311 989 561</w:t>
            </w:r>
          </w:p>
        </w:tc>
      </w:tr>
      <w:tr w:rsidR="00000000">
        <w:tblPrEx>
          <w:tblCellMar>
            <w:top w:w="0" w:type="dxa"/>
            <w:bottom w:w="0" w:type="dxa"/>
          </w:tblCellMar>
        </w:tblPrEx>
        <w:tc>
          <w:tcPr>
            <w:tcW w:w="2114" w:type="dxa"/>
            <w:tcMar>
              <w:top w:w="57" w:type="dxa"/>
              <w:bottom w:w="57" w:type="dxa"/>
            </w:tcMar>
            <w:vAlign w:val="center"/>
          </w:tcPr>
          <w:p w:rsidR="00000000" w:rsidRDefault="00000000">
            <w:pPr>
              <w:tabs>
                <w:tab w:val="left" w:pos="2805"/>
              </w:tabs>
              <w:spacing w:line="216" w:lineRule="auto"/>
              <w:rPr>
                <w:sz w:val="22"/>
              </w:rPr>
            </w:pPr>
            <w:r>
              <w:rPr>
                <w:sz w:val="22"/>
              </w:rPr>
              <w:t>"Родной дом"</w:t>
            </w:r>
          </w:p>
        </w:tc>
        <w:tc>
          <w:tcPr>
            <w:tcW w:w="4240" w:type="dxa"/>
            <w:tcMar>
              <w:top w:w="57" w:type="dxa"/>
              <w:bottom w:w="57" w:type="dxa"/>
            </w:tcMar>
          </w:tcPr>
          <w:p w:rsidR="00000000" w:rsidRDefault="00000000">
            <w:pPr>
              <w:tabs>
                <w:tab w:val="left" w:pos="2805"/>
              </w:tabs>
              <w:spacing w:line="216" w:lineRule="auto"/>
              <w:rPr>
                <w:sz w:val="22"/>
              </w:rPr>
            </w:pPr>
            <w:r>
              <w:rPr>
                <w:sz w:val="22"/>
              </w:rPr>
              <w:t xml:space="preserve">Обеспечение доступа семей с низким доходом, живущих в городах, городских районах и в столицах штатов, к аренде жилья с последующей возможностью его приобретения </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0</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495 000 000</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495 000 000</w:t>
            </w:r>
          </w:p>
        </w:tc>
      </w:tr>
      <w:tr w:rsidR="00000000">
        <w:tblPrEx>
          <w:tblCellMar>
            <w:top w:w="0" w:type="dxa"/>
            <w:bottom w:w="0" w:type="dxa"/>
          </w:tblCellMar>
        </w:tblPrEx>
        <w:tc>
          <w:tcPr>
            <w:tcW w:w="2114" w:type="dxa"/>
            <w:tcMar>
              <w:top w:w="57" w:type="dxa"/>
              <w:bottom w:w="57" w:type="dxa"/>
            </w:tcMar>
            <w:vAlign w:val="center"/>
          </w:tcPr>
          <w:p w:rsidR="00000000" w:rsidRDefault="00000000">
            <w:pPr>
              <w:tabs>
                <w:tab w:val="left" w:pos="2805"/>
              </w:tabs>
              <w:spacing w:line="216" w:lineRule="auto"/>
              <w:rPr>
                <w:sz w:val="22"/>
              </w:rPr>
            </w:pPr>
            <w:r>
              <w:rPr>
                <w:sz w:val="22"/>
              </w:rPr>
              <w:t>Городское управление</w:t>
            </w:r>
          </w:p>
        </w:tc>
        <w:tc>
          <w:tcPr>
            <w:tcW w:w="4240" w:type="dxa"/>
            <w:tcMar>
              <w:top w:w="57" w:type="dxa"/>
              <w:bottom w:w="57" w:type="dxa"/>
            </w:tcMar>
          </w:tcPr>
          <w:p w:rsidR="00000000" w:rsidRDefault="00000000">
            <w:pPr>
              <w:tabs>
                <w:tab w:val="left" w:pos="2805"/>
              </w:tabs>
              <w:spacing w:line="216" w:lineRule="auto"/>
              <w:rPr>
                <w:sz w:val="22"/>
              </w:rPr>
            </w:pPr>
            <w:r>
              <w:rPr>
                <w:sz w:val="22"/>
              </w:rPr>
              <w:t>Повышение эффективности и производительности органов городского управления, а также качества и результативности работы служб по уборке города и организаций общественного транспорта</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65 167 940</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772 009 644</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837 177 584</w:t>
            </w:r>
          </w:p>
        </w:tc>
      </w:tr>
      <w:tr w:rsidR="00000000">
        <w:tblPrEx>
          <w:tblCellMar>
            <w:top w:w="0" w:type="dxa"/>
            <w:bottom w:w="0" w:type="dxa"/>
          </w:tblCellMar>
        </w:tblPrEx>
        <w:tc>
          <w:tcPr>
            <w:tcW w:w="2114" w:type="dxa"/>
            <w:tcMar>
              <w:top w:w="57" w:type="dxa"/>
              <w:bottom w:w="57" w:type="dxa"/>
            </w:tcMar>
            <w:vAlign w:val="center"/>
          </w:tcPr>
          <w:p w:rsidR="00000000" w:rsidRDefault="00000000">
            <w:pPr>
              <w:tabs>
                <w:tab w:val="left" w:pos="2805"/>
              </w:tabs>
              <w:spacing w:line="216" w:lineRule="auto"/>
              <w:rPr>
                <w:sz w:val="22"/>
              </w:rPr>
            </w:pPr>
            <w:r>
              <w:rPr>
                <w:sz w:val="22"/>
              </w:rPr>
              <w:t>Аккредитив</w:t>
            </w:r>
          </w:p>
        </w:tc>
        <w:tc>
          <w:tcPr>
            <w:tcW w:w="4240" w:type="dxa"/>
            <w:tcMar>
              <w:top w:w="57" w:type="dxa"/>
              <w:bottom w:w="57" w:type="dxa"/>
            </w:tcMar>
          </w:tcPr>
          <w:p w:rsidR="00000000" w:rsidRDefault="00000000">
            <w:pPr>
              <w:tabs>
                <w:tab w:val="left" w:pos="2805"/>
              </w:tabs>
              <w:spacing w:line="216" w:lineRule="auto"/>
              <w:rPr>
                <w:sz w:val="22"/>
              </w:rPr>
            </w:pPr>
            <w:r>
              <w:rPr>
                <w:sz w:val="22"/>
              </w:rPr>
              <w:t>Сокращение количественного и качественного дефицита жилья в интересах городского населения, месячный доход которого составляет менее 20 минимальных окладов</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0</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984 000 000</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984 000 000</w:t>
            </w:r>
          </w:p>
        </w:tc>
      </w:tr>
      <w:tr w:rsidR="00000000">
        <w:tblPrEx>
          <w:tblCellMar>
            <w:top w:w="0" w:type="dxa"/>
            <w:bottom w:w="0" w:type="dxa"/>
          </w:tblCellMar>
        </w:tblPrEx>
        <w:tc>
          <w:tcPr>
            <w:tcW w:w="6354" w:type="dxa"/>
            <w:gridSpan w:val="2"/>
            <w:tcMar>
              <w:top w:w="57" w:type="dxa"/>
              <w:bottom w:w="57" w:type="dxa"/>
            </w:tcMar>
            <w:vAlign w:val="center"/>
          </w:tcPr>
          <w:p w:rsidR="00000000" w:rsidRDefault="00000000">
            <w:pPr>
              <w:tabs>
                <w:tab w:val="left" w:pos="2805"/>
              </w:tabs>
              <w:spacing w:line="216" w:lineRule="auto"/>
              <w:jc w:val="center"/>
              <w:rPr>
                <w:sz w:val="22"/>
              </w:rPr>
            </w:pPr>
            <w:r>
              <w:rPr>
                <w:sz w:val="22"/>
              </w:rPr>
              <w:t>Общая сумма запланированных инвестиций, 2000-2003 годы</w:t>
            </w:r>
          </w:p>
        </w:tc>
        <w:tc>
          <w:tcPr>
            <w:tcW w:w="3057" w:type="dxa"/>
            <w:tcMar>
              <w:top w:w="57" w:type="dxa"/>
              <w:bottom w:w="57" w:type="dxa"/>
            </w:tcMar>
          </w:tcPr>
          <w:p w:rsidR="00000000" w:rsidRDefault="00000000">
            <w:pPr>
              <w:tabs>
                <w:tab w:val="clear" w:pos="567"/>
                <w:tab w:val="clear" w:pos="1134"/>
                <w:tab w:val="clear" w:pos="1701"/>
                <w:tab w:val="left" w:pos="907"/>
                <w:tab w:val="left" w:pos="2805"/>
              </w:tabs>
              <w:spacing w:line="216" w:lineRule="auto"/>
              <w:rPr>
                <w:sz w:val="22"/>
              </w:rPr>
            </w:pPr>
            <w:r>
              <w:rPr>
                <w:sz w:val="22"/>
              </w:rPr>
              <w:t>Государственный</w:t>
            </w:r>
          </w:p>
          <w:p w:rsidR="00000000" w:rsidRDefault="00000000">
            <w:pPr>
              <w:tabs>
                <w:tab w:val="clear" w:pos="567"/>
                <w:tab w:val="clear" w:pos="1134"/>
                <w:tab w:val="clear" w:pos="1701"/>
                <w:tab w:val="left" w:pos="907"/>
                <w:tab w:val="left" w:pos="2805"/>
              </w:tabs>
              <w:spacing w:line="216" w:lineRule="auto"/>
              <w:rPr>
                <w:sz w:val="22"/>
              </w:rPr>
            </w:pPr>
            <w:r>
              <w:rPr>
                <w:sz w:val="22"/>
              </w:rPr>
              <w:t>бюджет</w:t>
            </w:r>
            <w:r>
              <w:rPr>
                <w:sz w:val="22"/>
              </w:rPr>
              <w:tab/>
              <w:t>- 1 087 874 137</w:t>
            </w:r>
          </w:p>
          <w:p w:rsidR="00000000" w:rsidRDefault="00000000">
            <w:pPr>
              <w:tabs>
                <w:tab w:val="clear" w:pos="567"/>
                <w:tab w:val="clear" w:pos="1134"/>
                <w:tab w:val="clear" w:pos="1701"/>
                <w:tab w:val="left" w:pos="907"/>
                <w:tab w:val="left" w:pos="2805"/>
              </w:tabs>
              <w:spacing w:line="216" w:lineRule="auto"/>
              <w:rPr>
                <w:sz w:val="22"/>
              </w:rPr>
            </w:pPr>
            <w:r>
              <w:rPr>
                <w:sz w:val="22"/>
              </w:rPr>
              <w:t>Прочее</w:t>
            </w:r>
            <w:r>
              <w:rPr>
                <w:sz w:val="22"/>
              </w:rPr>
              <w:tab/>
              <w:t>- 6 098 494 283</w:t>
            </w:r>
          </w:p>
          <w:p w:rsidR="00000000" w:rsidRDefault="00000000">
            <w:pPr>
              <w:tabs>
                <w:tab w:val="clear" w:pos="567"/>
                <w:tab w:val="clear" w:pos="1134"/>
                <w:tab w:val="clear" w:pos="1701"/>
                <w:tab w:val="left" w:pos="907"/>
                <w:tab w:val="left" w:pos="2805"/>
              </w:tabs>
              <w:spacing w:line="216" w:lineRule="auto"/>
              <w:rPr>
                <w:sz w:val="22"/>
              </w:rPr>
            </w:pPr>
            <w:r>
              <w:rPr>
                <w:sz w:val="22"/>
              </w:rPr>
              <w:t>Всего</w:t>
            </w:r>
            <w:r>
              <w:rPr>
                <w:sz w:val="22"/>
              </w:rPr>
              <w:tab/>
              <w:t>- 7 186 368 420</w:t>
            </w:r>
          </w:p>
        </w:tc>
      </w:tr>
    </w:tbl>
    <w:p w:rsidR="00000000" w:rsidRDefault="00000000">
      <w:pPr>
        <w:tabs>
          <w:tab w:val="left" w:pos="2805"/>
        </w:tabs>
      </w:pPr>
    </w:p>
    <w:p w:rsidR="00000000" w:rsidRDefault="00000000">
      <w:pPr>
        <w:tabs>
          <w:tab w:val="left" w:pos="2805"/>
        </w:tabs>
      </w:pPr>
      <w:r>
        <w:tab/>
      </w:r>
      <w:r>
        <w:rPr>
          <w:u w:val="single"/>
        </w:rPr>
        <w:t>Источник</w:t>
      </w:r>
      <w:r>
        <w:t>:  МПП.</w:t>
      </w:r>
    </w:p>
    <w:p w:rsidR="00000000" w:rsidRDefault="00000000">
      <w:pPr>
        <w:tabs>
          <w:tab w:val="left" w:pos="2805"/>
        </w:tabs>
      </w:pPr>
    </w:p>
    <w:p w:rsidR="00000000" w:rsidRDefault="00000000">
      <w:pPr>
        <w:tabs>
          <w:tab w:val="left" w:pos="2805"/>
        </w:tabs>
      </w:pPr>
      <w:r>
        <w:t>529.</w:t>
      </w:r>
      <w:r>
        <w:tab/>
        <w:t>Следует отметить, что МПП дает наметки лишь тех инвестиций, которые запланированы на 2000-2003 годы в программах развития городов.  В настоящее время эта Программа находится на рассмотрении Национального конгресса, который может внести в нее изменения и сокращения.</w:t>
      </w:r>
    </w:p>
    <w:p w:rsidR="00000000" w:rsidRDefault="00000000">
      <w:pPr>
        <w:tabs>
          <w:tab w:val="left" w:pos="2805"/>
        </w:tabs>
      </w:pPr>
    </w:p>
    <w:p w:rsidR="00000000" w:rsidRDefault="00000000">
      <w:pPr>
        <w:tabs>
          <w:tab w:val="left" w:pos="2805"/>
        </w:tabs>
      </w:pPr>
      <w:r>
        <w:t>530.</w:t>
      </w:r>
      <w:r>
        <w:tab/>
        <w:t>Согласно пункту 4 статьи 182 Федеральной конституции, муниципальные власти путем применения специального закона, касающегося районов, включенных в генеральный план, могут в соответствии с федеральным законом, потребовать от владельца незастроенного, малоиспользуемого или неиспользуемого участка городской земли его адекватного освоения.  В случае невыполнения этого требования ему грозит  обязательное разделение или застройка участка;  применение к нему прогрессивного городского налога на имущество и землю;  и экспроприация участка.</w:t>
      </w:r>
    </w:p>
    <w:p w:rsidR="00000000" w:rsidRDefault="00000000">
      <w:pPr>
        <w:tabs>
          <w:tab w:val="left" w:pos="2805"/>
        </w:tabs>
      </w:pPr>
    </w:p>
    <w:p w:rsidR="00000000" w:rsidRDefault="00000000">
      <w:pPr>
        <w:tabs>
          <w:tab w:val="left" w:pos="2805"/>
        </w:tabs>
      </w:pPr>
      <w:r>
        <w:t>531.</w:t>
      </w:r>
      <w:r>
        <w:tab/>
        <w:t>В своих комментариях по вопросу жилья правительство упоминало о мерах, которые были приняты на федеральном уровне в целях решения имеющихся проблем.  Следует также отметить, что штаты и муниципии в пределах своей компетенции будут принимать дополнительные меры.  Что касается федерального законодательства в сфере жилья, то следует особо упомянуть о следующих законах:</w:t>
      </w:r>
    </w:p>
    <w:p w:rsidR="00000000" w:rsidRDefault="00000000">
      <w:pPr>
        <w:tabs>
          <w:tab w:val="left" w:pos="2805"/>
        </w:tabs>
      </w:pPr>
    </w:p>
    <w:p w:rsidR="00000000" w:rsidRDefault="00000000">
      <w:pPr>
        <w:tabs>
          <w:tab w:val="left" w:pos="2805"/>
        </w:tabs>
      </w:pPr>
      <w:r>
        <w:tab/>
        <w:t>Закон об экспроприации (Декрет-закон № 3365/41), с поправками к нему, внесенными недавно на основании Закона 9785/99;</w:t>
      </w:r>
    </w:p>
    <w:p w:rsidR="00000000" w:rsidRDefault="00000000">
      <w:pPr>
        <w:tabs>
          <w:tab w:val="left" w:pos="2805"/>
        </w:tabs>
      </w:pPr>
    </w:p>
    <w:p w:rsidR="00000000" w:rsidRDefault="00000000">
      <w:pPr>
        <w:tabs>
          <w:tab w:val="left" w:pos="2805"/>
        </w:tabs>
      </w:pPr>
      <w:r>
        <w:tab/>
        <w:t>Закон о Системе финансирования жилищного строительства (СФЖС) (Закон 4380/64);  будучи устарелым, этот Закон будет приведен в соответствие с другими законами в этой области;</w:t>
      </w:r>
    </w:p>
    <w:p w:rsidR="00000000" w:rsidRDefault="00000000">
      <w:pPr>
        <w:tabs>
          <w:tab w:val="left" w:pos="2805"/>
        </w:tabs>
      </w:pPr>
    </w:p>
    <w:p w:rsidR="00000000" w:rsidRDefault="00000000">
      <w:pPr>
        <w:tabs>
          <w:tab w:val="left" w:pos="2805"/>
        </w:tabs>
      </w:pPr>
      <w:r>
        <w:tab/>
        <w:t>Закон о внесудебных решениях (Декрет-закон № 70/66);</w:t>
      </w:r>
    </w:p>
    <w:p w:rsidR="00000000" w:rsidRDefault="00000000">
      <w:pPr>
        <w:tabs>
          <w:tab w:val="left" w:pos="2805"/>
        </w:tabs>
      </w:pPr>
    </w:p>
    <w:p w:rsidR="00000000" w:rsidRDefault="00000000">
      <w:pPr>
        <w:tabs>
          <w:tab w:val="left" w:pos="2805"/>
        </w:tabs>
      </w:pPr>
      <w:r>
        <w:tab/>
        <w:t xml:space="preserve">Закон о корпорациях по вопросам недвижимости (Закон 4591/64);  данный Закон должен быть изменен таким образом, чтобы обеспечить бóльшую юридическую безопасность потенциальных покупателей недвижимости; </w:t>
      </w:r>
    </w:p>
    <w:p w:rsidR="00000000" w:rsidRDefault="00000000">
      <w:pPr>
        <w:tabs>
          <w:tab w:val="left" w:pos="2805"/>
        </w:tabs>
      </w:pPr>
    </w:p>
    <w:p w:rsidR="00000000" w:rsidRDefault="00000000">
      <w:pPr>
        <w:tabs>
          <w:tab w:val="left" w:pos="2805"/>
        </w:tabs>
      </w:pPr>
      <w:r>
        <w:tab/>
        <w:t>Закон о специальных решениях СФЖС (Закон 5741/71);  должен быть изменен с целью ускорения процедуры конфискации имущества и расширения списка обвинений в совершении преступлений, включив в него преступления, связанные с присвоением или захватом недвижимости, отведенной для осуществления правительственной программы строительства жилья;</w:t>
      </w:r>
    </w:p>
    <w:p w:rsidR="00000000" w:rsidRDefault="00000000">
      <w:pPr>
        <w:tabs>
          <w:tab w:val="left" w:pos="2805"/>
        </w:tabs>
      </w:pPr>
    </w:p>
    <w:p w:rsidR="00000000" w:rsidRDefault="00000000">
      <w:pPr>
        <w:tabs>
          <w:tab w:val="left" w:pos="2805"/>
        </w:tabs>
      </w:pPr>
      <w:r>
        <w:tab/>
        <w:t>Закон о публичных архивах (Закон 6015/73);  упрощен в соответствии с Законом 9785/99, обеспечивающим дебюрократизацию и сокращение расходов;</w:t>
      </w:r>
    </w:p>
    <w:p w:rsidR="00000000" w:rsidRDefault="00000000">
      <w:pPr>
        <w:tabs>
          <w:tab w:val="left" w:pos="2805"/>
        </w:tabs>
      </w:pPr>
    </w:p>
    <w:p w:rsidR="00000000" w:rsidRDefault="00000000">
      <w:pPr>
        <w:tabs>
          <w:tab w:val="left" w:pos="2805"/>
        </w:tabs>
      </w:pPr>
      <w:r>
        <w:tab/>
        <w:t>Закон о разукрупнении городских земель (Закон 6766/79);  будет предложена работа по совершенствованию Закона, начавшаяся в связи с внесением поправок в соответствии с Законом 9785/99;</w:t>
      </w:r>
    </w:p>
    <w:p w:rsidR="00000000" w:rsidRDefault="00000000">
      <w:pPr>
        <w:tabs>
          <w:tab w:val="left" w:pos="2805"/>
        </w:tabs>
      </w:pPr>
    </w:p>
    <w:p w:rsidR="00000000" w:rsidRDefault="00000000">
      <w:pPr>
        <w:tabs>
          <w:tab w:val="left" w:pos="2805"/>
        </w:tabs>
      </w:pPr>
      <w:r>
        <w:tab/>
        <w:t>Закон о документах, необходимых для приобретения имущества через СФЖС (Закон 6748/79);  данный Законо также должен быть приведет в соответствие с Законом 4380/64 (СФЖС);</w:t>
      </w:r>
    </w:p>
    <w:p w:rsidR="00000000" w:rsidRDefault="00000000">
      <w:pPr>
        <w:tabs>
          <w:tab w:val="left" w:pos="2805"/>
        </w:tabs>
      </w:pPr>
    </w:p>
    <w:p w:rsidR="00000000" w:rsidRDefault="00000000">
      <w:pPr>
        <w:tabs>
          <w:tab w:val="left" w:pos="2805"/>
        </w:tabs>
      </w:pPr>
      <w:r>
        <w:tab/>
        <w:t>Закон о документах, подтверждающих право личной собственности (Закон 7433/85);  в данный Закон были внесены изменения в целях сокращения большого числа требуемых документов с учетом малых и средних рынков недвижимости.  Этот Закон существенно сократил количество документов, необходимых для регистрации права на владение.  Дальнейшее упрощение процедур может привести к ослаблению правовой защиты сторон.  Закон 8009/90 запрещает конфискацию семейного имущества, делая его недосягаемым для кредиторов.  Вместе с тем в этом Законе предусматривается возможность подачи гражданских исков кредиторов к продавцу, с тем чтобы на продавца не распространялись исключения, предусмотренные в Законе о собственности семьи, в которых не запрещается продажа такого семейного имущества, поскольку по закону кредиторы в любом случае не могут по закону наложить арест на имущество.  Не становясь на сторону должника, это положение позволяет обеспечить более свободное обращение собственности в рамках системы финансирования жилищного строительства и предотвращает возвращение к печально известным временам, когда ради проформы подписывались "</w:t>
      </w:r>
      <w:r>
        <w:rPr>
          <w:lang w:val="en-US"/>
        </w:rPr>
        <w:t>contratos</w:t>
      </w:r>
      <w:r>
        <w:t xml:space="preserve"> </w:t>
      </w:r>
      <w:r>
        <w:rPr>
          <w:lang w:val="en-US"/>
        </w:rPr>
        <w:t>de</w:t>
      </w:r>
      <w:r>
        <w:t xml:space="preserve"> </w:t>
      </w:r>
      <w:r>
        <w:rPr>
          <w:lang w:val="en-US"/>
        </w:rPr>
        <w:t>gaveta</w:t>
      </w:r>
      <w:r>
        <w:t>" (формальные контракты);</w:t>
      </w:r>
    </w:p>
    <w:p w:rsidR="00000000" w:rsidRDefault="00000000">
      <w:pPr>
        <w:tabs>
          <w:tab w:val="left" w:pos="2805"/>
        </w:tabs>
      </w:pPr>
    </w:p>
    <w:p w:rsidR="00000000" w:rsidRDefault="00000000">
      <w:r>
        <w:rPr>
          <w:lang w:val="en-US"/>
        </w:rPr>
        <w:tab/>
      </w:r>
      <w:r>
        <w:t xml:space="preserve">Закон о критериях пересмотра стоимости контрактных обязательств, относящихся к отчуждению недвижимости, которые не подпадают под действие норм СФЖС, перечисленных в Законе 7774/89 (Закон 7989/89).  В этом Законе регулируется индексация некоторых контрактов, предусмотренных в предыдущем Законе.  В последнем экономическом плане индексация была прекращена, а сопутствующее законодательство отменено, вследствие чего этот Закон потерял свой смысл и поэтому может считаться практически аннулированным;  </w:t>
      </w:r>
    </w:p>
    <w:p w:rsidR="00000000" w:rsidRDefault="00000000"/>
    <w:p w:rsidR="00000000" w:rsidRDefault="00000000">
      <w:r>
        <w:tab/>
        <w:t>Закон о передаче финансирования в рамках Системы финансирования жилищного строительства (Закон 8004/90);  соответствующие изменения в этот Закон вносятся с соблюдением положений Временной меры 1768-31/99, которая устанавливает новые нормативы для деятельности Фонда компенсации колебаний заработной платы (ФКЗП);</w:t>
      </w:r>
    </w:p>
    <w:p w:rsidR="00000000" w:rsidRDefault="00000000"/>
    <w:p w:rsidR="00000000" w:rsidRDefault="00000000">
      <w:r>
        <w:tab/>
        <w:t>Закон об изменениях в системе утвержденных выплат в соответствии с контрактами финансирования, подписанными в рамках системы финансирования жилищного строительства, которые непосредственно связаны с планом эквивалентности заработной платы (Закон 8100/90);  соответствующие изменения в этот Закон вносятся с учетом положений Временной меры 1768-31/99, в которой устанавливаются новые правила и положения ФКЗП;</w:t>
      </w:r>
    </w:p>
    <w:p w:rsidR="00000000" w:rsidRDefault="00000000"/>
    <w:p w:rsidR="00000000" w:rsidRDefault="00000000">
      <w:r>
        <w:tab/>
        <w:t>Закон о сдаче в аренду городской недвижимости и о применении соответствующих процедур (Закон 8245/91 - Закон об аренде);  изменения будут осуществляться в соответствии с правительственным планом сдачи жилья в наем, который учитывает вопросы вторичной сдачи жилья и коллективного найма;</w:t>
      </w:r>
    </w:p>
    <w:p w:rsidR="00000000" w:rsidRDefault="00000000"/>
    <w:p w:rsidR="00000000" w:rsidRDefault="00000000">
      <w:r>
        <w:tab/>
        <w:t>Закон о внесении изменений в систему ежемесячных выплат и в расходование неиспользованного остатка в соответствии с контрактами на финансирование жилищного строительства в рамках системы финансирования жилищного строительства (Закон 8692/93);  последние изменения были внесены на основании Временной меры 1762</w:t>
      </w:r>
      <w:r>
        <w:noBreakHyphen/>
        <w:t>/99 и Временной меры 1768-31/99;</w:t>
      </w:r>
    </w:p>
    <w:p w:rsidR="00000000" w:rsidRDefault="00000000"/>
    <w:p w:rsidR="00000000" w:rsidRDefault="00000000">
      <w:r>
        <w:tab/>
        <w:t>Закон о консолидации норм ФГТС - Декрет № 99684/90 (Закон 8036/90);  последние изменения были внесены на основании Временной меры 1691/98;</w:t>
      </w:r>
    </w:p>
    <w:p w:rsidR="00000000" w:rsidRDefault="00000000"/>
    <w:p w:rsidR="00000000" w:rsidRDefault="00000000">
      <w:r>
        <w:tab/>
        <w:t>Закон о системе недвижимости (Закон 9514/97);</w:t>
      </w:r>
    </w:p>
    <w:p w:rsidR="00000000" w:rsidRDefault="00000000"/>
    <w:p w:rsidR="00000000" w:rsidRDefault="00000000">
      <w:r>
        <w:tab/>
        <w:t>Закон о Временной мере 1762-/99.  Принимаемые меры касаются системы финансирования жилищного строительства (СФЖС);  внесены поправки в Закон 4380 от 21 августа 1964 года, Закон 8036 от 11 мая 1990 года, в Закон 8692 от 28 июля 1993 года и в другие законодательные положения;  и</w:t>
      </w:r>
    </w:p>
    <w:p w:rsidR="00000000" w:rsidRDefault="00000000"/>
    <w:p w:rsidR="00000000" w:rsidRDefault="00000000">
      <w:r>
        <w:tab/>
        <w:t>Закон о Временной мере 1768-31/99, в которой предусматривается обновление долговых обязательств ФКЗП;  внесены поправки в Декрет-закон № 2406 от 5 января 1988 года, в Закон 8004 от 14 марта 1990 года, в Закон 8100 от 5 декабря 1990 года и в Закон 8692 от 28 июля 1993 года и в другие законодательные положения.</w:t>
      </w:r>
    </w:p>
    <w:p w:rsidR="00000000" w:rsidRDefault="00000000"/>
    <w:p w:rsidR="00000000" w:rsidRDefault="00000000">
      <w:r>
        <w:t>532.</w:t>
      </w:r>
      <w:r>
        <w:tab/>
        <w:t>Следующие законы являются частью муниципального законодательства, относящегося к сектору жилья</w:t>
      </w:r>
      <w:r>
        <w:rPr>
          <w:b/>
          <w:bCs/>
          <w:vertAlign w:val="superscript"/>
        </w:rPr>
        <w:t>20</w:t>
      </w:r>
      <w:r>
        <w:t>:</w:t>
      </w:r>
    </w:p>
    <w:p w:rsidR="00000000" w:rsidRDefault="00000000"/>
    <w:p w:rsidR="00000000" w:rsidRDefault="00000000">
      <w:r>
        <w:tab/>
        <w:t>Закон о деятельности Фонда муниципального строительства (ФМС) (Закон 7412/90, Куритиба;  Муниципальный закон 7592/95, Порту-Алегри);</w:t>
      </w:r>
    </w:p>
    <w:p w:rsidR="00000000" w:rsidRDefault="00000000"/>
    <w:p w:rsidR="00000000" w:rsidRDefault="00000000">
      <w:r>
        <w:tab/>
        <w:t>Закон о возвращении захваченных частных участков в жилищный фонд.  Согласно специальному законодательству, захваченные частные участки передаются в ФМС для дальнейшего использования.  С созданием ФМС удалось исправить положение, сложившееся в связи с захватом тысячами семей муниципальных земель, и осуществить муниципальные программы жилищного строительства.  Через этот Фонд можно также направлять средства на осуществление программ жилищного строительства;</w:t>
      </w:r>
    </w:p>
    <w:p w:rsidR="00000000" w:rsidRDefault="00000000"/>
    <w:p w:rsidR="00000000" w:rsidRDefault="00000000">
      <w:r>
        <w:tab/>
        <w:t>Стимулы для осуществления общественно-полезных программ строительства жилья (Закон 7841/91;  поправки, содержащиеся в Декрете 86/91, Куритиба).  В рамках финансовых стимулов для строительства жилья выделяются дополнительные средства на осуществление программ жилищного строительства, и в частности на закрытие, ликвидацию и расчистку трущоб.  Собранные средства позволяют муниципалитетам осуществлять свои программы жилищного строительства собственными силами, не прибегая к государственным фондам или фондам штатов;</w:t>
      </w:r>
    </w:p>
    <w:p w:rsidR="00000000" w:rsidRDefault="00000000"/>
    <w:p w:rsidR="00000000" w:rsidRDefault="00000000">
      <w:r>
        <w:tab/>
        <w:t>Специальные секторы жилья, имеющие социальную значимость (Декрет 901/80, Куритиба;  Муниципальный закон 2901/65, Порту-Алегри);  устанавливаются конкретные руководящие принципы ликвидации, перевода и регуляризации (жилые здания - государственные и частные районы).  Разработка специальных руководящих принципов, касающихся незаконного заселения земли, оказалась весьма полезной для урбанизации захваченных районов, что не удавалось сделать в соответствии с ранее действовавшими законодательными положениями.  В данных законах определяется общественно значимое жилье и общественно значимая жилищная политика в целях расширения строительства жилья;</w:t>
      </w:r>
    </w:p>
    <w:p w:rsidR="00000000" w:rsidRDefault="00000000"/>
    <w:p w:rsidR="00000000" w:rsidRDefault="00000000">
      <w:r>
        <w:tab/>
        <w:t>Генеральный план, законы, определяющие порядок использования и владения землей (Закон 2828/66, Куритиба;  Закон 17 от 28 января 1997 года;  Бразилия;  Законы 15547/91 и 16176, Ресифе;  Закон 6031 и Дополнительный закон 04/96, Кампинас;  Законы 7805/72 и 9413/81, Сан-Паулу;  Декрет № 322/76 и Дополнительный закон 16/92, Рио-де-Жанейро;  Дополнительный закон 43/79, Порту-Алегри;  Законы 007/94, 402/78, 403/78 и 408/78, Натал).  В этих законах устанавливаются основные принципы комплексного освоения, использования и разукрупнения земельных наделов, а также создания городских инфраструктур и установки оборудования;</w:t>
      </w:r>
    </w:p>
    <w:p w:rsidR="00000000" w:rsidRDefault="00000000"/>
    <w:p w:rsidR="00000000" w:rsidRDefault="00000000">
      <w:r>
        <w:tab/>
        <w:t>Разукрупнение городских участков (Закон 16285/97, Ресифе;  Законы 1993/59 и 8736/96, касающиеся закрытых участков, Закон 8853/96, касающийся городских зон в сельских районах, Закон 6681/91, касающийся порядка утверждения разукрупнения земель и строительства общественных зданий, Кампинас;  Закон 9413/81, Сан-Паулу;  и Декрет № 322/76, Рио-де-Жанейро);</w:t>
      </w:r>
    </w:p>
    <w:p w:rsidR="00000000" w:rsidRDefault="00000000"/>
    <w:p w:rsidR="00000000" w:rsidRDefault="00000000">
      <w:r>
        <w:tab/>
        <w:t>Восстановление территории трущоб/упорядочение процедур землепользования (Закон 1497/87 об урбанизации и легализации землевладения, Ресифе;  Закон 11632/94, Сан-Паулу;  Закон 7603/93 о негативном городском землевладении и специальных зонах, имеющих социальную значимость (СЗСЗ), Белен;  Декрет № 9218/90 и Закон 2120/94, Рио-де-Жанейро;  Муниципальный закон 7593/95 и Дополнительный закон 338/95, Порту-Алегри);  в предыдущих пунктах перечислялись законодательные акты, с помощью которых создаются специальные зоны, имеющие особую социальную значимость (СЗСЗ), и осуществляется программа освоения этих зон и порядок застройки земель с участием населения, а также правовые акты, касающиеся создания специальных зон, имеющих особую социальную значимость;</w:t>
      </w:r>
    </w:p>
    <w:p w:rsidR="00000000" w:rsidRDefault="00000000"/>
    <w:p w:rsidR="00000000" w:rsidRDefault="00000000">
      <w:r>
        <w:tab/>
        <w:t>Гигиена, санитария, освещение помещений и размер комнат (Закон 7427/61, Ресифе);</w:t>
      </w:r>
    </w:p>
    <w:p w:rsidR="00000000" w:rsidRDefault="00000000"/>
    <w:p w:rsidR="00000000" w:rsidRDefault="00000000">
      <w:r>
        <w:tab/>
        <w:t>Ликвидация нелегальных и незаконных поселений (Муниципальный декрет № 6782/81, СЕРЛА, Кампинас;  Муниципальный закон 6820/86, Куритиба;</w:t>
      </w:r>
    </w:p>
    <w:p w:rsidR="00000000" w:rsidRDefault="00000000"/>
    <w:p w:rsidR="00000000" w:rsidRDefault="00000000">
      <w:r>
        <w:tab/>
        <w:t>Регистрация незаконных жилищ (Муниципальный закон 8275/95, Кампинас);  предоставление стимулов владельцам жилья для регистрации нелегального строительства, осуществленного до декабря 1994 года, при условии выполнения определенных требований;</w:t>
      </w:r>
    </w:p>
    <w:p w:rsidR="00000000" w:rsidRDefault="00000000"/>
    <w:p w:rsidR="00000000" w:rsidRDefault="00000000">
      <w:r>
        <w:tab/>
        <w:t>Ликвидация трущоб (Муниципальный закон 3506/71, Порту-Алегри);  и</w:t>
      </w:r>
    </w:p>
    <w:p w:rsidR="00000000" w:rsidRDefault="00000000"/>
    <w:p w:rsidR="00000000" w:rsidRDefault="00000000">
      <w:r>
        <w:tab/>
        <w:t>Земельный банк (Дополнительный закон 269/92, Порту-Алегри).  Осуществление программы муниципального приобретения земли для осуществления политики градостроительства и программ в области строительства жилья.</w:t>
      </w:r>
    </w:p>
    <w:p w:rsidR="00000000" w:rsidRDefault="00000000"/>
    <w:p w:rsidR="00000000" w:rsidRDefault="00000000">
      <w:r>
        <w:t>533.</w:t>
      </w:r>
      <w:r>
        <w:tab/>
        <w:t>Что касается законодательства о пользовании и распределении земли, включая ее приобретение, разукрупнение, маркировку, экспроприацию (включая положения о выплате компенсации) и порядок подачи заявлений на получение земельных наделов (в том числе процедуры, обеспечивающие участие общин), то следует отметить, что Конституция предоставляет федерации, штатам и Федеральному округу право на законотворчество в вопросах, касающихся городов, а муниципалитетам - право издавать законы по вопросам, имеющим социальную значимость.</w:t>
      </w:r>
    </w:p>
    <w:p w:rsidR="00000000" w:rsidRDefault="00000000"/>
    <w:p w:rsidR="00000000" w:rsidRDefault="00000000">
      <w:r>
        <w:t>534.</w:t>
      </w:r>
      <w:r>
        <w:tab/>
        <w:t>На муниципалитеты возлагается задача разработки генерального плана и принятия законов, регулирующих вопросы использования и застройки городских земель (разрешенные виды пользования, урбанистические индексы), городского зонирования и распределения земель (городские индексы заселения, размеры участков и коэффициенты землепользования), которые должны соответствовать федеральному законодательству о городских землях.  На Федерацию также возложена ответственность за принятие законов об экспроприации земли и составлении национальных и региональных территориальных планов землепользования - такие планы пока еще не составлялись.  Участие общин в работе муниципалитетов по планированию является обязательным.  Муниципальный генеральный план должен соблюдать принцип социальной функции городского имущества.</w:t>
      </w:r>
    </w:p>
    <w:p w:rsidR="00000000" w:rsidRDefault="00000000"/>
    <w:p w:rsidR="00000000" w:rsidRDefault="00000000">
      <w:r>
        <w:t>535.</w:t>
      </w:r>
      <w:r>
        <w:tab/>
        <w:t>Что касается права арендаторов на обеспечение права на свой надел, защиту от принудительного выселения, права на получение финансирования, права на контроль за ростом арендной платы (или арендной субсидии) и права на наличие жилья, то соответствующее законодательство, как об этом говорилось выше, было включено в перечень федеральных законов, охватывающих сектор жилищного строительства.</w:t>
      </w:r>
    </w:p>
    <w:p w:rsidR="00000000" w:rsidRDefault="00000000"/>
    <w:p w:rsidR="00000000" w:rsidRDefault="00000000">
      <w:r>
        <w:t>536.</w:t>
      </w:r>
      <w:r>
        <w:tab/>
        <w:t>Согласно положениям Конституции и Гражданского кодекса, Федерация уполномочена разрабатывать общие нормы, касающиеся городского имущества.  В Гражданском кодексе содержится положение, касающееся неправомерного использования имущества и права на застройку.  Разработкой строительных нормативов и стандартов занимаются муниципалитеты, которые должны утверждать законы, учитывающие местные условия.</w:t>
      </w:r>
    </w:p>
    <w:p w:rsidR="00000000" w:rsidRDefault="00000000"/>
    <w:p w:rsidR="00000000" w:rsidRDefault="00000000">
      <w:r>
        <w:t>537.</w:t>
      </w:r>
      <w:r>
        <w:tab/>
        <w:t>Вопросы выселения рассматриваются в Законе 8245 от 18 октября 1991 года (Закон об аренде), где перечисляются условия, на которых могут быть расторгнуты контракты на аренду, в том числе:  по взаимному согласию;  в силу нарушения правовых или контрактных обязательств и за неуплату арендной платы.  В Законе говорится, что выселение должно производиться в соответствии с обычными процедурами, в том числе путем выписки предварительного ордера, предусматривающего освобождение жилой площади в течение 15 дней, независимо от срока, установленного для заслушивания противной стороны, и при условии уплаты залога в размере трехмесячной арендной платы.</w:t>
      </w:r>
    </w:p>
    <w:p w:rsidR="00000000" w:rsidRDefault="00000000"/>
    <w:p w:rsidR="00000000" w:rsidRDefault="00000000">
      <w:r>
        <w:t>538.</w:t>
      </w:r>
      <w:r>
        <w:tab/>
        <w:t>Вопросы спекуляции жильем или имуществом, в особенности в тех случаях, когда они затрагивают право на жилье всех слоев общества, рассматриваются в статье 182.4 Федеральной конституции, где говорится, что владелец незастроенного, малоиспользуемого или неиспользуемого городского участка земли должен обеспечить его соответствующее использование.</w:t>
      </w:r>
    </w:p>
    <w:p w:rsidR="00000000" w:rsidRDefault="00000000"/>
    <w:p w:rsidR="00000000" w:rsidRDefault="00000000">
      <w:r>
        <w:t>539.</w:t>
      </w:r>
      <w:r>
        <w:tab/>
        <w:t>Программы ХАБИТАР БРАЗИЛ и ПРО-МОРАДИА, хотя и имеют аналогичные цели и предназначены для аналогичных групп населения, тем не менее отличаются по характеру своих источников финансирования и типу финансирования.</w:t>
      </w:r>
    </w:p>
    <w:p w:rsidR="00000000" w:rsidRDefault="00000000"/>
    <w:p w:rsidR="00000000" w:rsidRDefault="00000000">
      <w:r>
        <w:t>540.</w:t>
      </w:r>
      <w:r>
        <w:tab/>
        <w:t>Цель ХАБИТАР состоит в том, чтобы помочь штатам, муниципалитетам и Федеральному округу повысить стандарты жилья и качество жизни сельских и городских жителей, доходы которых составляют менее трех минимальных окладов и которые проживают в районах повышенного риска или в не отвечающих требованиям домах (лачуги, трущобы, временные постройки, бараки и т.п.).  В соответствии с этой программой приоритет отдается муниципалитетам, которые принимают участие в осуществлении Программы коммунальной солидарности.  Программы финансируются за счет субсидий, предоставляемых из государственного бюджета, и выполняют две задачи:  урбанизацию районов, застроенных не отвечающих требованиям домами, и урбанизацию пустующих участков земли.</w:t>
      </w:r>
    </w:p>
    <w:p w:rsidR="00000000" w:rsidRDefault="00000000"/>
    <w:p w:rsidR="00000000" w:rsidRDefault="00000000">
      <w:r>
        <w:t>541.</w:t>
      </w:r>
      <w:r>
        <w:tab/>
        <w:t>Цель программы ПРО-МОРАДИА состоит в том, чтобы содействовать улучшению качества жизни сельских и городских жителей, доходы которых составляют менее трех минимальных окладов, путем оказания правительству содействия в осуществлении комплексных инициатив в координации с различными другими видами секторальной политики, предусматривающей альтернативы в области жилищного строительства.  Средства на осуществление программы поступают из ФТВ.  Программа занимается урбанизацией жилых районов;  приобретением или освоением городских участков земли;  предоставлением строительных материалов и развитием инфраструктуры и строительством жилых комплексов.</w:t>
      </w:r>
    </w:p>
    <w:p w:rsidR="00000000" w:rsidRDefault="00000000"/>
    <w:p w:rsidR="00000000" w:rsidRDefault="00000000">
      <w:r>
        <w:t>542.</w:t>
      </w:r>
      <w:r>
        <w:tab/>
        <w:t>Цель Программы индивидуального аккредитива состоит в финансировании приобретения и строительства жилых домов или улучшении жилищных условий семей, месячный доход которых составляет менее 12 минимальных окладов.  Различные аспекты этой Программы охватывают вопросы приобретения жилых помещений или городских участков земли, возведения жилых домов, строительства "под ключ", расширения имеющейся площади, перестройки и улучшения жилья.  Средства поступают от ФТВ, а потолок финансирования рассчитывается согласно типу программы и уровню дохода бенефициара.</w:t>
      </w:r>
    </w:p>
    <w:p w:rsidR="00000000" w:rsidRDefault="00000000"/>
    <w:p w:rsidR="00000000" w:rsidRDefault="00000000">
      <w:r>
        <w:t>543.</w:t>
      </w:r>
      <w:r>
        <w:tab/>
        <w:t>Программа группового аккредитива позволяет финансировать строительство жилых зданий и застройку городских участков профсоюзами, кооперативами, ассоциациями, частными организациями и жилищно-строительными корпорациями (КОХАБ), представляющими кредиты физическим лицам, уровень доходов которых составляет менее 12 минимальных окладов в месяц.  Программа осуществляется по двум направлениям:  строительство жилых зданий и освоение городских участков земли.</w:t>
      </w:r>
    </w:p>
    <w:p w:rsidR="00000000" w:rsidRDefault="00000000"/>
    <w:p w:rsidR="00000000" w:rsidRDefault="00000000">
      <w:r>
        <w:t>544.</w:t>
      </w:r>
      <w:r>
        <w:tab/>
        <w:t>В силу того, что процент, взимаемый по программам аккредитивов, значительно ниже рыночных процентов, эти программы превращаются в довольно существенную прямую субсидию.  Другой характерной особенностью этих программ является удовлетворение спонтанного спроса граждан на финансирование жилья путем предоставления прямого потребительского кредита.  Это свидетельствует о серьезном изменении в правительственной стратегии.  В рамках этих программ также получает развитие концепция, заключающаяся в том, что главная ответственность за решение проблемы жилья принадлежит самому обществу, в то время как роль правительства сводится к тому, чтобы содействовать и облегчать эту работу.  Эти программы также придают гибкость механизмам, с помощью которых проверяется доход заемщика без какой-либо дискриминации в отношении тех, кто занимается неформальной деятельностью.</w:t>
      </w:r>
    </w:p>
    <w:p w:rsidR="00000000" w:rsidRDefault="00000000"/>
    <w:p w:rsidR="00000000" w:rsidRDefault="00000000">
      <w:r>
        <w:t>545.</w:t>
      </w:r>
      <w:r>
        <w:tab/>
        <w:t>Цель программы поддержки жилищного строительства состоит в финансировании возведения строительными компаниями жилых домов для жителей, доход которых не достигает 12 минимальных окладов;  распределение средств происходит в зависимости от фактической реализации по меньшей мере 50% произведенных единиц жилья.  Средства на финансирование этой программы также поступают из ФТВ.</w:t>
      </w:r>
    </w:p>
    <w:p w:rsidR="00000000" w:rsidRDefault="00000000"/>
    <w:p w:rsidR="00000000" w:rsidRDefault="00000000">
      <w:r>
        <w:t>546.</w:t>
      </w:r>
      <w:r>
        <w:tab/>
        <w:t xml:space="preserve">Крупные инициативы федерального правительства в деле содействия осуществлению стратегий и расширения участия рыночного сектора в жилищном строительстве в отчетный  период включают:  создание Системы финансирования недвижимости (СФН);  осуществление Бразильской программы повышения качества жилищного строительства и производительности (БПКПЖ);  совершенствование законодательства в области градостроительства, включая недавнее изменение Закона о земельных наделах (Закон 6.766) на основании Федерального закона 9785/99;  и последние инициативы, направленные на диверсификацию средств доступа к жилью с помощью, например, социального лизинга, по линии Программы аренды жилья (ПАЖ).  </w:t>
      </w:r>
    </w:p>
    <w:p w:rsidR="00000000" w:rsidRDefault="00000000"/>
    <w:p w:rsidR="00000000" w:rsidRDefault="00000000">
      <w:r>
        <w:t>547.</w:t>
      </w:r>
      <w:r>
        <w:tab/>
        <w:t xml:space="preserve">Программы индивидуального и группового аккредитивов и Программа поддержки жилищного строительства направлены также на расширение участия рыночных факторов путем финансирования строительства собственными силами и самофинансирования.  </w:t>
      </w:r>
    </w:p>
    <w:p w:rsidR="00000000" w:rsidRDefault="00000000"/>
    <w:p w:rsidR="00000000" w:rsidRDefault="00000000">
      <w:r>
        <w:t>548.</w:t>
      </w:r>
      <w:r>
        <w:tab/>
        <w:t>Правительство Бразилии хотело бы привести конкретные цифры, свидетельствующие о деятельности Программы инвестирования в жилищное строительство за период 1995-1998 годы.  Общий объем инвестиций согласно данным СЕПУРБ/ССРГ составил 10 115 764 000 реалов, Программой было охвачено 1 239 636 семей и создано 502 273 рабочих места.  Основным источником финансирования программ выступал Фонд трудовой выслуги ФТВ, который выделил 90% всех средств, а оставшиеся 10% поступили из государственного бюджета.  Основной программой СЕПУРБ, с точки зрения доли в общем объеме инвестиций, была Программа индивидуального аккредитива (61,23%), за которой следовала Программа группового аккредитива (15,81%), что свидетельствует о наличии спроса на финансирование у определенной категории частных экономических единиц.  На основные программы, осуществленные через правительственные учреждения в интересах групп населения с низким доходом, такие, как ХАБИТАР БРАЗИЛ и ПРО-МОРАДИА, приходилось всего лишь 10,9 и 9,99% из общего объема инвестированных средств (см. таблицу ниже).</w:t>
      </w:r>
    </w:p>
    <w:p w:rsidR="00000000" w:rsidRDefault="00000000"/>
    <w:p w:rsidR="00000000" w:rsidRDefault="00000000">
      <w:pPr>
        <w:pStyle w:val="16"/>
        <w:rPr>
          <w:b/>
          <w:bCs/>
        </w:rPr>
      </w:pPr>
      <w:r>
        <w:rPr>
          <w:b/>
          <w:bCs/>
        </w:rPr>
        <w:t>Таблица 73.   Национальная политика в области жилищного строительства:  деятельность по линии основных программ, 1995-1999 годы</w:t>
      </w:r>
    </w:p>
    <w:p w:rsidR="00000000" w:rsidRDefault="00000000">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0"/>
        <w:gridCol w:w="1361"/>
        <w:gridCol w:w="1360"/>
        <w:gridCol w:w="1358"/>
        <w:gridCol w:w="1360"/>
        <w:gridCol w:w="1362"/>
        <w:gridCol w:w="1359"/>
      </w:tblGrid>
      <w:tr w:rsidR="00000000">
        <w:tblPrEx>
          <w:tblCellMar>
            <w:top w:w="0" w:type="dxa"/>
            <w:bottom w:w="0" w:type="dxa"/>
          </w:tblCellMar>
        </w:tblPrEx>
        <w:trPr>
          <w:cantSplit/>
          <w:tblHeader/>
          <w:jc w:val="center"/>
        </w:trPr>
        <w:tc>
          <w:tcPr>
            <w:tcW w:w="1367" w:type="dxa"/>
            <w:vAlign w:val="center"/>
          </w:tcPr>
          <w:p w:rsidR="00000000" w:rsidRDefault="00000000">
            <w:pPr>
              <w:jc w:val="center"/>
              <w:rPr>
                <w:sz w:val="16"/>
              </w:rPr>
            </w:pPr>
            <w:r>
              <w:rPr>
                <w:sz w:val="16"/>
              </w:rPr>
              <w:t>ПРОГРАММА</w:t>
            </w:r>
          </w:p>
        </w:tc>
        <w:tc>
          <w:tcPr>
            <w:tcW w:w="1367" w:type="dxa"/>
            <w:vAlign w:val="center"/>
          </w:tcPr>
          <w:p w:rsidR="00000000" w:rsidRDefault="00000000">
            <w:pPr>
              <w:jc w:val="center"/>
              <w:rPr>
                <w:sz w:val="16"/>
              </w:rPr>
            </w:pPr>
            <w:r>
              <w:rPr>
                <w:sz w:val="16"/>
              </w:rPr>
              <w:t>Инвестиции</w:t>
            </w:r>
          </w:p>
          <w:p w:rsidR="00000000" w:rsidRDefault="00000000">
            <w:pPr>
              <w:jc w:val="center"/>
              <w:rPr>
                <w:sz w:val="16"/>
              </w:rPr>
            </w:pPr>
            <w:r>
              <w:rPr>
                <w:sz w:val="16"/>
              </w:rPr>
              <w:t>(в тыс. реалов)</w:t>
            </w:r>
          </w:p>
        </w:tc>
        <w:tc>
          <w:tcPr>
            <w:tcW w:w="1367" w:type="dxa"/>
            <w:vAlign w:val="center"/>
          </w:tcPr>
          <w:p w:rsidR="00000000" w:rsidRDefault="00000000">
            <w:pPr>
              <w:jc w:val="center"/>
              <w:rPr>
                <w:sz w:val="16"/>
              </w:rPr>
            </w:pPr>
            <w:r>
              <w:rPr>
                <w:sz w:val="16"/>
              </w:rPr>
              <w:t>Процентная доля инвестиций</w:t>
            </w:r>
          </w:p>
        </w:tc>
        <w:tc>
          <w:tcPr>
            <w:tcW w:w="1368" w:type="dxa"/>
            <w:vAlign w:val="center"/>
          </w:tcPr>
          <w:p w:rsidR="00000000" w:rsidRDefault="00000000">
            <w:pPr>
              <w:jc w:val="center"/>
              <w:rPr>
                <w:sz w:val="16"/>
              </w:rPr>
            </w:pPr>
            <w:r>
              <w:rPr>
                <w:sz w:val="16"/>
              </w:rPr>
              <w:t>Заем (в тыс. реалов)</w:t>
            </w:r>
          </w:p>
        </w:tc>
        <w:tc>
          <w:tcPr>
            <w:tcW w:w="1367" w:type="dxa"/>
            <w:vAlign w:val="center"/>
          </w:tcPr>
          <w:p w:rsidR="00000000" w:rsidRDefault="00000000">
            <w:pPr>
              <w:jc w:val="center"/>
              <w:rPr>
                <w:sz w:val="16"/>
              </w:rPr>
            </w:pPr>
            <w:r>
              <w:rPr>
                <w:sz w:val="16"/>
              </w:rPr>
              <w:t>Встречные инвестиции (в тыс. реалов)</w:t>
            </w:r>
          </w:p>
        </w:tc>
        <w:tc>
          <w:tcPr>
            <w:tcW w:w="1367" w:type="dxa"/>
            <w:vAlign w:val="center"/>
          </w:tcPr>
          <w:p w:rsidR="00000000" w:rsidRDefault="00000000">
            <w:pPr>
              <w:jc w:val="center"/>
              <w:rPr>
                <w:sz w:val="16"/>
              </w:rPr>
            </w:pPr>
            <w:r>
              <w:rPr>
                <w:sz w:val="16"/>
              </w:rPr>
              <w:t>Семьи-бенефициары</w:t>
            </w:r>
          </w:p>
        </w:tc>
        <w:tc>
          <w:tcPr>
            <w:tcW w:w="1368" w:type="dxa"/>
            <w:vAlign w:val="center"/>
          </w:tcPr>
          <w:p w:rsidR="00000000" w:rsidRDefault="00000000">
            <w:pPr>
              <w:jc w:val="center"/>
              <w:rPr>
                <w:sz w:val="16"/>
              </w:rPr>
            </w:pPr>
            <w:r>
              <w:rPr>
                <w:sz w:val="16"/>
              </w:rPr>
              <w:t>Число созданных рабочих мест</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Индивидуальный аккредитив</w:t>
            </w:r>
          </w:p>
        </w:tc>
        <w:tc>
          <w:tcPr>
            <w:tcW w:w="1367" w:type="dxa"/>
          </w:tcPr>
          <w:p w:rsidR="00000000" w:rsidRDefault="00000000">
            <w:pPr>
              <w:rPr>
                <w:sz w:val="16"/>
              </w:rPr>
            </w:pPr>
            <w:r>
              <w:rPr>
                <w:sz w:val="16"/>
              </w:rPr>
              <w:t>6 194 329</w:t>
            </w:r>
          </w:p>
        </w:tc>
        <w:tc>
          <w:tcPr>
            <w:tcW w:w="1367" w:type="dxa"/>
          </w:tcPr>
          <w:p w:rsidR="00000000" w:rsidRDefault="00000000">
            <w:pPr>
              <w:rPr>
                <w:sz w:val="16"/>
              </w:rPr>
            </w:pPr>
            <w:r>
              <w:rPr>
                <w:sz w:val="16"/>
              </w:rPr>
              <w:t>61,23</w:t>
            </w:r>
          </w:p>
        </w:tc>
        <w:tc>
          <w:tcPr>
            <w:tcW w:w="1368" w:type="dxa"/>
          </w:tcPr>
          <w:p w:rsidR="00000000" w:rsidRDefault="00000000">
            <w:pPr>
              <w:rPr>
                <w:sz w:val="16"/>
              </w:rPr>
            </w:pPr>
            <w:r>
              <w:rPr>
                <w:sz w:val="16"/>
              </w:rPr>
              <w:t>5 574 894</w:t>
            </w:r>
          </w:p>
        </w:tc>
        <w:tc>
          <w:tcPr>
            <w:tcW w:w="1367" w:type="dxa"/>
          </w:tcPr>
          <w:p w:rsidR="00000000" w:rsidRDefault="00000000">
            <w:pPr>
              <w:rPr>
                <w:sz w:val="16"/>
              </w:rPr>
            </w:pPr>
            <w:r>
              <w:rPr>
                <w:sz w:val="16"/>
              </w:rPr>
              <w:t>619 435</w:t>
            </w:r>
          </w:p>
        </w:tc>
        <w:tc>
          <w:tcPr>
            <w:tcW w:w="1367" w:type="dxa"/>
          </w:tcPr>
          <w:p w:rsidR="00000000" w:rsidRDefault="00000000">
            <w:pPr>
              <w:rPr>
                <w:sz w:val="16"/>
              </w:rPr>
            </w:pPr>
            <w:r>
              <w:rPr>
                <w:sz w:val="16"/>
              </w:rPr>
              <w:t>420 416</w:t>
            </w:r>
          </w:p>
        </w:tc>
        <w:tc>
          <w:tcPr>
            <w:tcW w:w="1368" w:type="dxa"/>
          </w:tcPr>
          <w:p w:rsidR="00000000" w:rsidRDefault="00000000">
            <w:pPr>
              <w:rPr>
                <w:sz w:val="16"/>
              </w:rPr>
            </w:pPr>
            <w:r>
              <w:rPr>
                <w:sz w:val="16"/>
              </w:rPr>
              <w:t>128 429</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Групповой аккредитив</w:t>
            </w:r>
          </w:p>
        </w:tc>
        <w:tc>
          <w:tcPr>
            <w:tcW w:w="1367" w:type="dxa"/>
          </w:tcPr>
          <w:p w:rsidR="00000000" w:rsidRDefault="00000000">
            <w:pPr>
              <w:rPr>
                <w:sz w:val="16"/>
              </w:rPr>
            </w:pPr>
            <w:r>
              <w:rPr>
                <w:sz w:val="16"/>
              </w:rPr>
              <w:t>1 605 307</w:t>
            </w:r>
          </w:p>
        </w:tc>
        <w:tc>
          <w:tcPr>
            <w:tcW w:w="1367" w:type="dxa"/>
          </w:tcPr>
          <w:p w:rsidR="00000000" w:rsidRDefault="00000000">
            <w:pPr>
              <w:rPr>
                <w:sz w:val="16"/>
              </w:rPr>
            </w:pPr>
            <w:r>
              <w:rPr>
                <w:sz w:val="16"/>
              </w:rPr>
              <w:t>15,87</w:t>
            </w:r>
          </w:p>
        </w:tc>
        <w:tc>
          <w:tcPr>
            <w:tcW w:w="1368" w:type="dxa"/>
          </w:tcPr>
          <w:p w:rsidR="00000000" w:rsidRDefault="00000000">
            <w:pPr>
              <w:rPr>
                <w:sz w:val="16"/>
              </w:rPr>
            </w:pPr>
            <w:r>
              <w:rPr>
                <w:sz w:val="16"/>
              </w:rPr>
              <w:t>1 304 234</w:t>
            </w:r>
          </w:p>
        </w:tc>
        <w:tc>
          <w:tcPr>
            <w:tcW w:w="1367" w:type="dxa"/>
          </w:tcPr>
          <w:p w:rsidR="00000000" w:rsidRDefault="00000000">
            <w:pPr>
              <w:rPr>
                <w:sz w:val="16"/>
              </w:rPr>
            </w:pPr>
            <w:r>
              <w:rPr>
                <w:sz w:val="16"/>
              </w:rPr>
              <w:t>301 073</w:t>
            </w:r>
          </w:p>
        </w:tc>
        <w:tc>
          <w:tcPr>
            <w:tcW w:w="1367" w:type="dxa"/>
          </w:tcPr>
          <w:p w:rsidR="00000000" w:rsidRDefault="00000000">
            <w:pPr>
              <w:rPr>
                <w:sz w:val="16"/>
              </w:rPr>
            </w:pPr>
            <w:r>
              <w:rPr>
                <w:sz w:val="16"/>
              </w:rPr>
              <w:t>75 898</w:t>
            </w:r>
          </w:p>
        </w:tc>
        <w:tc>
          <w:tcPr>
            <w:tcW w:w="1368" w:type="dxa"/>
          </w:tcPr>
          <w:p w:rsidR="00000000" w:rsidRDefault="00000000">
            <w:pPr>
              <w:rPr>
                <w:sz w:val="16"/>
              </w:rPr>
            </w:pPr>
            <w:r>
              <w:rPr>
                <w:sz w:val="16"/>
              </w:rPr>
              <w:t>153 039</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Про-морадиа</w:t>
            </w:r>
          </w:p>
        </w:tc>
        <w:tc>
          <w:tcPr>
            <w:tcW w:w="1367" w:type="dxa"/>
          </w:tcPr>
          <w:p w:rsidR="00000000" w:rsidRDefault="00000000">
            <w:pPr>
              <w:rPr>
                <w:sz w:val="16"/>
              </w:rPr>
            </w:pPr>
            <w:r>
              <w:rPr>
                <w:sz w:val="16"/>
              </w:rPr>
              <w:t>1 102 821</w:t>
            </w:r>
          </w:p>
        </w:tc>
        <w:tc>
          <w:tcPr>
            <w:tcW w:w="1367" w:type="dxa"/>
          </w:tcPr>
          <w:p w:rsidR="00000000" w:rsidRDefault="00000000">
            <w:pPr>
              <w:rPr>
                <w:sz w:val="16"/>
              </w:rPr>
            </w:pPr>
            <w:r>
              <w:rPr>
                <w:sz w:val="16"/>
              </w:rPr>
              <w:t>10,90</w:t>
            </w:r>
          </w:p>
        </w:tc>
        <w:tc>
          <w:tcPr>
            <w:tcW w:w="1368" w:type="dxa"/>
          </w:tcPr>
          <w:p w:rsidR="00000000" w:rsidRDefault="00000000">
            <w:pPr>
              <w:rPr>
                <w:sz w:val="16"/>
              </w:rPr>
            </w:pPr>
            <w:r>
              <w:rPr>
                <w:sz w:val="16"/>
              </w:rPr>
              <w:t>759 222</w:t>
            </w:r>
          </w:p>
        </w:tc>
        <w:tc>
          <w:tcPr>
            <w:tcW w:w="1367" w:type="dxa"/>
          </w:tcPr>
          <w:p w:rsidR="00000000" w:rsidRDefault="00000000">
            <w:pPr>
              <w:rPr>
                <w:sz w:val="16"/>
              </w:rPr>
            </w:pPr>
            <w:r>
              <w:rPr>
                <w:sz w:val="16"/>
              </w:rPr>
              <w:t>343 599</w:t>
            </w:r>
          </w:p>
        </w:tc>
        <w:tc>
          <w:tcPr>
            <w:tcW w:w="1367" w:type="dxa"/>
          </w:tcPr>
          <w:p w:rsidR="00000000" w:rsidRDefault="00000000">
            <w:pPr>
              <w:rPr>
                <w:sz w:val="16"/>
              </w:rPr>
            </w:pPr>
            <w:r>
              <w:rPr>
                <w:sz w:val="16"/>
              </w:rPr>
              <w:t>332 134</w:t>
            </w:r>
          </w:p>
        </w:tc>
        <w:tc>
          <w:tcPr>
            <w:tcW w:w="1368" w:type="dxa"/>
          </w:tcPr>
          <w:p w:rsidR="00000000" w:rsidRDefault="00000000">
            <w:pPr>
              <w:rPr>
                <w:sz w:val="16"/>
              </w:rPr>
            </w:pPr>
            <w:r>
              <w:rPr>
                <w:sz w:val="16"/>
              </w:rPr>
              <w:t>105 136</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Резолюции 166</w:t>
            </w:r>
          </w:p>
        </w:tc>
        <w:tc>
          <w:tcPr>
            <w:tcW w:w="1367" w:type="dxa"/>
          </w:tcPr>
          <w:p w:rsidR="00000000" w:rsidRDefault="00000000">
            <w:pPr>
              <w:rPr>
                <w:sz w:val="16"/>
              </w:rPr>
            </w:pPr>
            <w:r>
              <w:rPr>
                <w:sz w:val="16"/>
              </w:rPr>
              <w:t>72 852</w:t>
            </w:r>
          </w:p>
        </w:tc>
        <w:tc>
          <w:tcPr>
            <w:tcW w:w="1367" w:type="dxa"/>
          </w:tcPr>
          <w:p w:rsidR="00000000" w:rsidRDefault="00000000">
            <w:pPr>
              <w:rPr>
                <w:sz w:val="16"/>
              </w:rPr>
            </w:pPr>
            <w:r>
              <w:rPr>
                <w:sz w:val="16"/>
              </w:rPr>
              <w:t>0,72</w:t>
            </w:r>
          </w:p>
        </w:tc>
        <w:tc>
          <w:tcPr>
            <w:tcW w:w="1368" w:type="dxa"/>
          </w:tcPr>
          <w:p w:rsidR="00000000" w:rsidRDefault="00000000">
            <w:pPr>
              <w:rPr>
                <w:sz w:val="16"/>
              </w:rPr>
            </w:pPr>
            <w:r>
              <w:rPr>
                <w:sz w:val="16"/>
              </w:rPr>
              <w:t>55 526</w:t>
            </w:r>
          </w:p>
        </w:tc>
        <w:tc>
          <w:tcPr>
            <w:tcW w:w="1367" w:type="dxa"/>
          </w:tcPr>
          <w:p w:rsidR="00000000" w:rsidRDefault="00000000">
            <w:pPr>
              <w:rPr>
                <w:sz w:val="16"/>
              </w:rPr>
            </w:pPr>
            <w:r>
              <w:rPr>
                <w:sz w:val="16"/>
              </w:rPr>
              <w:t>17 326</w:t>
            </w:r>
          </w:p>
        </w:tc>
        <w:tc>
          <w:tcPr>
            <w:tcW w:w="1367" w:type="dxa"/>
          </w:tcPr>
          <w:p w:rsidR="00000000" w:rsidRDefault="00000000">
            <w:pPr>
              <w:rPr>
                <w:sz w:val="16"/>
              </w:rPr>
            </w:pPr>
            <w:r>
              <w:rPr>
                <w:sz w:val="16"/>
              </w:rPr>
              <w:t>3 496</w:t>
            </w:r>
          </w:p>
        </w:tc>
        <w:tc>
          <w:tcPr>
            <w:tcW w:w="1368" w:type="dxa"/>
          </w:tcPr>
          <w:p w:rsidR="00000000" w:rsidRDefault="00000000">
            <w:pPr>
              <w:rPr>
                <w:sz w:val="16"/>
              </w:rPr>
            </w:pPr>
            <w:r>
              <w:rPr>
                <w:sz w:val="16"/>
              </w:rPr>
              <w:t>6 945</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Резолюции 211</w:t>
            </w:r>
          </w:p>
        </w:tc>
        <w:tc>
          <w:tcPr>
            <w:tcW w:w="1367" w:type="dxa"/>
          </w:tcPr>
          <w:p w:rsidR="00000000" w:rsidRDefault="00000000">
            <w:pPr>
              <w:rPr>
                <w:sz w:val="16"/>
              </w:rPr>
            </w:pPr>
            <w:r>
              <w:rPr>
                <w:sz w:val="16"/>
              </w:rPr>
              <w:t>22 722</w:t>
            </w:r>
          </w:p>
        </w:tc>
        <w:tc>
          <w:tcPr>
            <w:tcW w:w="1367" w:type="dxa"/>
          </w:tcPr>
          <w:p w:rsidR="00000000" w:rsidRDefault="00000000">
            <w:pPr>
              <w:rPr>
                <w:sz w:val="16"/>
              </w:rPr>
            </w:pPr>
            <w:r>
              <w:rPr>
                <w:sz w:val="16"/>
              </w:rPr>
              <w:t>0,22</w:t>
            </w:r>
          </w:p>
        </w:tc>
        <w:tc>
          <w:tcPr>
            <w:tcW w:w="1368" w:type="dxa"/>
          </w:tcPr>
          <w:p w:rsidR="00000000" w:rsidRDefault="00000000">
            <w:pPr>
              <w:rPr>
                <w:sz w:val="16"/>
              </w:rPr>
            </w:pPr>
            <w:r>
              <w:rPr>
                <w:sz w:val="16"/>
              </w:rPr>
              <w:t>13 720</w:t>
            </w:r>
          </w:p>
        </w:tc>
        <w:tc>
          <w:tcPr>
            <w:tcW w:w="1367" w:type="dxa"/>
          </w:tcPr>
          <w:p w:rsidR="00000000" w:rsidRDefault="00000000">
            <w:pPr>
              <w:rPr>
                <w:sz w:val="16"/>
              </w:rPr>
            </w:pPr>
            <w:r>
              <w:rPr>
                <w:sz w:val="16"/>
              </w:rPr>
              <w:t>9 002</w:t>
            </w:r>
          </w:p>
        </w:tc>
        <w:tc>
          <w:tcPr>
            <w:tcW w:w="1367" w:type="dxa"/>
          </w:tcPr>
          <w:p w:rsidR="00000000" w:rsidRDefault="00000000">
            <w:pPr>
              <w:rPr>
                <w:sz w:val="16"/>
              </w:rPr>
            </w:pPr>
            <w:r>
              <w:rPr>
                <w:sz w:val="16"/>
              </w:rPr>
              <w:t>2 662</w:t>
            </w:r>
          </w:p>
        </w:tc>
        <w:tc>
          <w:tcPr>
            <w:tcW w:w="1368" w:type="dxa"/>
          </w:tcPr>
          <w:p w:rsidR="00000000" w:rsidRDefault="00000000">
            <w:pPr>
              <w:rPr>
                <w:sz w:val="16"/>
              </w:rPr>
            </w:pPr>
            <w:r>
              <w:rPr>
                <w:sz w:val="16"/>
              </w:rPr>
              <w:t>2 166</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Поддержка производства</w:t>
            </w:r>
          </w:p>
        </w:tc>
        <w:tc>
          <w:tcPr>
            <w:tcW w:w="1367" w:type="dxa"/>
          </w:tcPr>
          <w:p w:rsidR="00000000" w:rsidRDefault="00000000">
            <w:pPr>
              <w:rPr>
                <w:sz w:val="16"/>
              </w:rPr>
            </w:pPr>
            <w:r>
              <w:rPr>
                <w:sz w:val="16"/>
              </w:rPr>
              <w:t>107 193</w:t>
            </w:r>
          </w:p>
        </w:tc>
        <w:tc>
          <w:tcPr>
            <w:tcW w:w="1367" w:type="dxa"/>
          </w:tcPr>
          <w:p w:rsidR="00000000" w:rsidRDefault="00000000">
            <w:pPr>
              <w:rPr>
                <w:sz w:val="16"/>
              </w:rPr>
            </w:pPr>
            <w:r>
              <w:rPr>
                <w:sz w:val="16"/>
              </w:rPr>
              <w:t>1,06</w:t>
            </w:r>
          </w:p>
        </w:tc>
        <w:tc>
          <w:tcPr>
            <w:tcW w:w="1368" w:type="dxa"/>
          </w:tcPr>
          <w:p w:rsidR="00000000" w:rsidRDefault="00000000">
            <w:pPr>
              <w:rPr>
                <w:sz w:val="16"/>
              </w:rPr>
            </w:pPr>
            <w:r>
              <w:rPr>
                <w:sz w:val="16"/>
              </w:rPr>
              <w:t>50 015</w:t>
            </w:r>
          </w:p>
        </w:tc>
        <w:tc>
          <w:tcPr>
            <w:tcW w:w="1367" w:type="dxa"/>
          </w:tcPr>
          <w:p w:rsidR="00000000" w:rsidRDefault="00000000">
            <w:pPr>
              <w:rPr>
                <w:sz w:val="16"/>
              </w:rPr>
            </w:pPr>
            <w:r>
              <w:rPr>
                <w:sz w:val="16"/>
              </w:rPr>
              <w:t>57 178</w:t>
            </w:r>
          </w:p>
        </w:tc>
        <w:tc>
          <w:tcPr>
            <w:tcW w:w="1367" w:type="dxa"/>
          </w:tcPr>
          <w:p w:rsidR="00000000" w:rsidRDefault="00000000">
            <w:pPr>
              <w:rPr>
                <w:sz w:val="16"/>
              </w:rPr>
            </w:pPr>
            <w:r>
              <w:rPr>
                <w:sz w:val="16"/>
              </w:rPr>
              <w:t>2 985</w:t>
            </w:r>
          </w:p>
        </w:tc>
        <w:tc>
          <w:tcPr>
            <w:tcW w:w="1368" w:type="dxa"/>
          </w:tcPr>
          <w:p w:rsidR="00000000" w:rsidRDefault="00000000">
            <w:pPr>
              <w:rPr>
                <w:sz w:val="16"/>
              </w:rPr>
            </w:pPr>
            <w:r>
              <w:rPr>
                <w:sz w:val="16"/>
              </w:rPr>
              <w:t>10 219</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 xml:space="preserve">ВСЕГО ФТВ </w:t>
            </w:r>
          </w:p>
        </w:tc>
        <w:tc>
          <w:tcPr>
            <w:tcW w:w="1367" w:type="dxa"/>
          </w:tcPr>
          <w:p w:rsidR="00000000" w:rsidRDefault="00000000">
            <w:pPr>
              <w:rPr>
                <w:sz w:val="16"/>
              </w:rPr>
            </w:pPr>
            <w:r>
              <w:rPr>
                <w:sz w:val="16"/>
              </w:rPr>
              <w:t>9 105 224</w:t>
            </w:r>
          </w:p>
        </w:tc>
        <w:tc>
          <w:tcPr>
            <w:tcW w:w="1367" w:type="dxa"/>
          </w:tcPr>
          <w:p w:rsidR="00000000" w:rsidRDefault="00000000">
            <w:pPr>
              <w:rPr>
                <w:sz w:val="16"/>
              </w:rPr>
            </w:pPr>
            <w:r>
              <w:rPr>
                <w:sz w:val="16"/>
              </w:rPr>
              <w:t>90,01</w:t>
            </w:r>
          </w:p>
        </w:tc>
        <w:tc>
          <w:tcPr>
            <w:tcW w:w="1368" w:type="dxa"/>
          </w:tcPr>
          <w:p w:rsidR="00000000" w:rsidRDefault="00000000">
            <w:pPr>
              <w:rPr>
                <w:sz w:val="16"/>
              </w:rPr>
            </w:pPr>
            <w:r>
              <w:rPr>
                <w:sz w:val="16"/>
              </w:rPr>
              <w:t>7 757 611</w:t>
            </w:r>
          </w:p>
        </w:tc>
        <w:tc>
          <w:tcPr>
            <w:tcW w:w="1367" w:type="dxa"/>
          </w:tcPr>
          <w:p w:rsidR="00000000" w:rsidRDefault="00000000">
            <w:pPr>
              <w:rPr>
                <w:sz w:val="16"/>
              </w:rPr>
            </w:pPr>
            <w:r>
              <w:rPr>
                <w:sz w:val="16"/>
              </w:rPr>
              <w:t>1 347 613</w:t>
            </w:r>
          </w:p>
        </w:tc>
        <w:tc>
          <w:tcPr>
            <w:tcW w:w="1367" w:type="dxa"/>
          </w:tcPr>
          <w:p w:rsidR="00000000" w:rsidRDefault="00000000">
            <w:pPr>
              <w:rPr>
                <w:sz w:val="16"/>
              </w:rPr>
            </w:pPr>
            <w:r>
              <w:rPr>
                <w:sz w:val="16"/>
              </w:rPr>
              <w:t>837 591</w:t>
            </w:r>
          </w:p>
        </w:tc>
        <w:tc>
          <w:tcPr>
            <w:tcW w:w="1368" w:type="dxa"/>
          </w:tcPr>
          <w:p w:rsidR="00000000" w:rsidRDefault="00000000">
            <w:pPr>
              <w:rPr>
                <w:sz w:val="16"/>
              </w:rPr>
            </w:pPr>
            <w:r>
              <w:rPr>
                <w:sz w:val="16"/>
              </w:rPr>
              <w:t>405 934</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Хабитат-Бразил</w:t>
            </w:r>
          </w:p>
        </w:tc>
        <w:tc>
          <w:tcPr>
            <w:tcW w:w="1367" w:type="dxa"/>
          </w:tcPr>
          <w:p w:rsidR="00000000" w:rsidRDefault="00000000">
            <w:pPr>
              <w:rPr>
                <w:sz w:val="16"/>
              </w:rPr>
            </w:pPr>
            <w:r>
              <w:rPr>
                <w:sz w:val="16"/>
              </w:rPr>
              <w:t>1 010 540 </w:t>
            </w:r>
          </w:p>
        </w:tc>
        <w:tc>
          <w:tcPr>
            <w:tcW w:w="1367" w:type="dxa"/>
          </w:tcPr>
          <w:p w:rsidR="00000000" w:rsidRDefault="00000000">
            <w:pPr>
              <w:rPr>
                <w:sz w:val="16"/>
              </w:rPr>
            </w:pPr>
            <w:r>
              <w:rPr>
                <w:sz w:val="16"/>
              </w:rPr>
              <w:t>9,99</w:t>
            </w:r>
          </w:p>
        </w:tc>
        <w:tc>
          <w:tcPr>
            <w:tcW w:w="1368" w:type="dxa"/>
          </w:tcPr>
          <w:p w:rsidR="00000000" w:rsidRDefault="00000000">
            <w:pPr>
              <w:rPr>
                <w:sz w:val="16"/>
              </w:rPr>
            </w:pPr>
            <w:r>
              <w:rPr>
                <w:sz w:val="16"/>
              </w:rPr>
              <w:t>809 647</w:t>
            </w:r>
          </w:p>
        </w:tc>
        <w:tc>
          <w:tcPr>
            <w:tcW w:w="1367" w:type="dxa"/>
          </w:tcPr>
          <w:p w:rsidR="00000000" w:rsidRDefault="00000000">
            <w:pPr>
              <w:rPr>
                <w:sz w:val="16"/>
              </w:rPr>
            </w:pPr>
            <w:r>
              <w:rPr>
                <w:sz w:val="16"/>
              </w:rPr>
              <w:t>200 893</w:t>
            </w:r>
          </w:p>
        </w:tc>
        <w:tc>
          <w:tcPr>
            <w:tcW w:w="1367" w:type="dxa"/>
          </w:tcPr>
          <w:p w:rsidR="00000000" w:rsidRDefault="00000000">
            <w:pPr>
              <w:rPr>
                <w:sz w:val="16"/>
              </w:rPr>
            </w:pPr>
            <w:r>
              <w:rPr>
                <w:sz w:val="16"/>
              </w:rPr>
              <w:t>402 045</w:t>
            </w:r>
          </w:p>
        </w:tc>
        <w:tc>
          <w:tcPr>
            <w:tcW w:w="1368" w:type="dxa"/>
          </w:tcPr>
          <w:p w:rsidR="00000000" w:rsidRDefault="00000000">
            <w:pPr>
              <w:rPr>
                <w:sz w:val="16"/>
              </w:rPr>
            </w:pPr>
            <w:r>
              <w:rPr>
                <w:sz w:val="16"/>
              </w:rPr>
              <w:t>423 176</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Всего ГОСБЮДЖЕТ</w:t>
            </w:r>
          </w:p>
        </w:tc>
        <w:tc>
          <w:tcPr>
            <w:tcW w:w="1367" w:type="dxa"/>
          </w:tcPr>
          <w:p w:rsidR="00000000" w:rsidRDefault="00000000">
            <w:pPr>
              <w:rPr>
                <w:sz w:val="16"/>
              </w:rPr>
            </w:pPr>
            <w:r>
              <w:rPr>
                <w:sz w:val="16"/>
              </w:rPr>
              <w:t>1 010 540</w:t>
            </w:r>
          </w:p>
        </w:tc>
        <w:tc>
          <w:tcPr>
            <w:tcW w:w="1367" w:type="dxa"/>
          </w:tcPr>
          <w:p w:rsidR="00000000" w:rsidRDefault="00000000">
            <w:pPr>
              <w:rPr>
                <w:sz w:val="16"/>
              </w:rPr>
            </w:pPr>
            <w:r>
              <w:rPr>
                <w:sz w:val="16"/>
              </w:rPr>
              <w:t>9,99</w:t>
            </w:r>
          </w:p>
        </w:tc>
        <w:tc>
          <w:tcPr>
            <w:tcW w:w="1368" w:type="dxa"/>
          </w:tcPr>
          <w:p w:rsidR="00000000" w:rsidRDefault="00000000">
            <w:pPr>
              <w:rPr>
                <w:sz w:val="16"/>
              </w:rPr>
            </w:pPr>
            <w:r>
              <w:rPr>
                <w:sz w:val="16"/>
              </w:rPr>
              <w:t>809 647</w:t>
            </w:r>
          </w:p>
        </w:tc>
        <w:tc>
          <w:tcPr>
            <w:tcW w:w="1367" w:type="dxa"/>
          </w:tcPr>
          <w:p w:rsidR="00000000" w:rsidRDefault="00000000">
            <w:pPr>
              <w:rPr>
                <w:sz w:val="16"/>
              </w:rPr>
            </w:pPr>
            <w:r>
              <w:rPr>
                <w:sz w:val="16"/>
              </w:rPr>
              <w:t>200 893</w:t>
            </w:r>
          </w:p>
        </w:tc>
        <w:tc>
          <w:tcPr>
            <w:tcW w:w="1367" w:type="dxa"/>
          </w:tcPr>
          <w:p w:rsidR="00000000" w:rsidRDefault="00000000">
            <w:pPr>
              <w:rPr>
                <w:sz w:val="16"/>
              </w:rPr>
            </w:pPr>
            <w:r>
              <w:rPr>
                <w:sz w:val="16"/>
              </w:rPr>
              <w:t>402 045</w:t>
            </w:r>
          </w:p>
        </w:tc>
        <w:tc>
          <w:tcPr>
            <w:tcW w:w="1368" w:type="dxa"/>
          </w:tcPr>
          <w:p w:rsidR="00000000" w:rsidRDefault="00000000">
            <w:pPr>
              <w:rPr>
                <w:sz w:val="16"/>
              </w:rPr>
            </w:pPr>
            <w:r>
              <w:rPr>
                <w:sz w:val="16"/>
              </w:rPr>
              <w:t>423 176</w:t>
            </w:r>
          </w:p>
        </w:tc>
      </w:tr>
      <w:tr w:rsidR="00000000">
        <w:tblPrEx>
          <w:jc w:val="left"/>
          <w:tblCellMar>
            <w:top w:w="0" w:type="dxa"/>
            <w:bottom w:w="0" w:type="dxa"/>
          </w:tblCellMar>
        </w:tblPrEx>
        <w:trPr>
          <w:cantSplit/>
        </w:trPr>
        <w:tc>
          <w:tcPr>
            <w:tcW w:w="1367" w:type="dxa"/>
          </w:tcPr>
          <w:p w:rsidR="00000000" w:rsidRDefault="00000000">
            <w:pPr>
              <w:rPr>
                <w:sz w:val="16"/>
              </w:rPr>
            </w:pPr>
            <w:r>
              <w:rPr>
                <w:sz w:val="16"/>
              </w:rPr>
              <w:t>Всего</w:t>
            </w:r>
          </w:p>
        </w:tc>
        <w:tc>
          <w:tcPr>
            <w:tcW w:w="1367" w:type="dxa"/>
          </w:tcPr>
          <w:p w:rsidR="00000000" w:rsidRDefault="00000000">
            <w:pPr>
              <w:rPr>
                <w:sz w:val="16"/>
              </w:rPr>
            </w:pPr>
            <w:r>
              <w:rPr>
                <w:sz w:val="16"/>
              </w:rPr>
              <w:t>10 115 764</w:t>
            </w:r>
          </w:p>
        </w:tc>
        <w:tc>
          <w:tcPr>
            <w:tcW w:w="1367" w:type="dxa"/>
          </w:tcPr>
          <w:p w:rsidR="00000000" w:rsidRDefault="00000000">
            <w:pPr>
              <w:rPr>
                <w:sz w:val="16"/>
              </w:rPr>
            </w:pPr>
            <w:r>
              <w:rPr>
                <w:sz w:val="16"/>
              </w:rPr>
              <w:t>100,00</w:t>
            </w:r>
          </w:p>
        </w:tc>
        <w:tc>
          <w:tcPr>
            <w:tcW w:w="1368" w:type="dxa"/>
          </w:tcPr>
          <w:p w:rsidR="00000000" w:rsidRDefault="00000000">
            <w:pPr>
              <w:rPr>
                <w:sz w:val="16"/>
              </w:rPr>
            </w:pPr>
            <w:r>
              <w:rPr>
                <w:sz w:val="16"/>
              </w:rPr>
              <w:t>8 567 258</w:t>
            </w:r>
          </w:p>
        </w:tc>
        <w:tc>
          <w:tcPr>
            <w:tcW w:w="1367" w:type="dxa"/>
          </w:tcPr>
          <w:p w:rsidR="00000000" w:rsidRDefault="00000000">
            <w:pPr>
              <w:rPr>
                <w:sz w:val="16"/>
              </w:rPr>
            </w:pPr>
            <w:r>
              <w:rPr>
                <w:sz w:val="16"/>
              </w:rPr>
              <w:t>1 548 506</w:t>
            </w:r>
          </w:p>
        </w:tc>
        <w:tc>
          <w:tcPr>
            <w:tcW w:w="1367" w:type="dxa"/>
          </w:tcPr>
          <w:p w:rsidR="00000000" w:rsidRDefault="00000000">
            <w:pPr>
              <w:rPr>
                <w:sz w:val="16"/>
              </w:rPr>
            </w:pPr>
            <w:r>
              <w:rPr>
                <w:sz w:val="16"/>
              </w:rPr>
              <w:t>1 239 636</w:t>
            </w:r>
          </w:p>
        </w:tc>
        <w:tc>
          <w:tcPr>
            <w:tcW w:w="1368" w:type="dxa"/>
          </w:tcPr>
          <w:p w:rsidR="00000000" w:rsidRDefault="00000000">
            <w:pPr>
              <w:rPr>
                <w:sz w:val="16"/>
              </w:rPr>
            </w:pPr>
            <w:r>
              <w:rPr>
                <w:sz w:val="16"/>
              </w:rPr>
              <w:t>502 273</w:t>
            </w:r>
          </w:p>
        </w:tc>
      </w:tr>
    </w:tbl>
    <w:p w:rsidR="00000000" w:rsidRDefault="00000000">
      <w:pPr>
        <w:pStyle w:val="FootnoteText"/>
        <w:spacing w:line="288" w:lineRule="auto"/>
      </w:pPr>
    </w:p>
    <w:p w:rsidR="00000000" w:rsidRDefault="00000000">
      <w:r>
        <w:tab/>
      </w:r>
      <w:r>
        <w:rPr>
          <w:u w:val="single"/>
        </w:rPr>
        <w:t>Источник</w:t>
      </w:r>
      <w:r>
        <w:t>:  ССРГ/СЕПУРБ - Административный доклад по мониторингу и оценке программ жилищного строительства, август 1999 года.</w:t>
      </w:r>
    </w:p>
    <w:p w:rsidR="00000000" w:rsidRDefault="00000000">
      <w:pPr>
        <w:jc w:val="center"/>
      </w:pPr>
    </w:p>
    <w:p w:rsidR="00000000" w:rsidRDefault="00000000">
      <w:r>
        <w:t>549.</w:t>
      </w:r>
      <w:r>
        <w:tab/>
        <w:t>Национальная политика в области санитарии и гигиены, осуществлявшаяся правительством с 1995 по 1999 годы, включает два типа программ:  i)  программы, направленные на расширение охвата санитарными услугами, в первую очередь групп населения с низким уровнем доходов ("Просанитария", Санитарная деятельность в интересах общественности - ПАСС) и Программа санитарных действий - ПРОСЕГЕ;  и программы, направленные на реструктуризацию санитарного сектора (Программа модернизации санитарного сектора - ПМСС, Программа улучшения качества воды - ПУКВ, Национальная программа по контролю за расходованием воды и Программа по контролю за удалением твердых отходов - ПРОГЕСТ).  На осуществление этих программ было израсходовано 5 264 100 000 реалов с января 1995 года по октябрь 1998 года.</w:t>
      </w:r>
    </w:p>
    <w:p w:rsidR="00000000" w:rsidRDefault="00000000"/>
    <w:p w:rsidR="00000000" w:rsidRDefault="00000000">
      <w:r>
        <w:t>550.</w:t>
      </w:r>
      <w:r>
        <w:tab/>
        <w:t>И наконец, следует упомянуть о Программе ПРО</w:t>
      </w:r>
      <w:r>
        <w:noBreakHyphen/>
        <w:t xml:space="preserve">ИНТРА, финансируемой из средств ФТВ, которая занимается вопросами городской инфраструктуры и общественного транспорта.  </w:t>
      </w:r>
    </w:p>
    <w:p w:rsidR="00000000" w:rsidRDefault="00000000"/>
    <w:p w:rsidR="00000000" w:rsidRDefault="00000000">
      <w:r>
        <w:t>551.</w:t>
      </w:r>
      <w:r>
        <w:tab/>
        <w:t xml:space="preserve">Основными источниками финансирования жилищного строительства и создания городской инфраструктуры являются ФТВ и государственный бюджет.  Бюджет, составляемый органами исполнительной власти, ежегодно представляется на утверждение национальному конгрессу.  В нем содержится прогноз расходов федерального правительства на деятельность различных учреждений, органов, программ и подпрограмм, проектов и на финансирование различных мероприятий.  Так, в области жилищного строительства, санитарии и городского транспорта государственный бюджет предусматривает реализацию основных проектов, которые должны финансироваться из федеральных средств, из национальной казны или из других источников (иностранные займы, ФТВ и т.п.).  Несмотря на то, что эти средства включены в государственный бюджет, их расходование должно быть утверждено министерством финансов в период исполнения бюджета с учетом отсутствия непредвиденных обстоятельств и с соблюдением государственных правовых и финансовых норм.  </w:t>
      </w:r>
    </w:p>
    <w:p w:rsidR="00000000" w:rsidRDefault="00000000"/>
    <w:p w:rsidR="00000000" w:rsidRDefault="00000000">
      <w:r>
        <w:t>552.</w:t>
      </w:r>
      <w:r>
        <w:tab/>
        <w:t>Объем средств ФТВ, используемый для предоставления договорных займов в каждом финансовом году, зависит от наличия чистых ресурсов для новых заявок, получаемых как разница между притоком средств и объемом первоначально имеющихся средств и суммой затрат за вычетом резервов, утвержденных Советом попечителей ФТВ (СПФТВ), в соответствии с резолюцией СС</w:t>
      </w:r>
      <w:r>
        <w:rPr>
          <w:lang w:val="en-US"/>
        </w:rPr>
        <w:t>FGTS</w:t>
      </w:r>
      <w:r>
        <w:t xml:space="preserve"> № 246/96, приложение I.  Согласно этой резолюции, 40% от общего объема ресурсов ФТВ должно расходоваться в виде инвестиций в базовую санитарию и инфраструктуру, а остающиеся 60% должны использоваться в целях строительства жилья для населения.  Распределение средств между штатами осуществляется на основе следующих переменных:  валовой доход по счетам, связанным с ФТВ, размеры городского населения, масштабы дефицита жилья и нехватка кадров для служб водоснабжения и удаления нечистот.  Средства распределяются по региону и по уровням доходов. </w:t>
      </w:r>
    </w:p>
    <w:p w:rsidR="00000000" w:rsidRDefault="00000000"/>
    <w:p w:rsidR="00000000" w:rsidRDefault="00000000">
      <w:r>
        <w:t>553.</w:t>
      </w:r>
      <w:r>
        <w:tab/>
        <w:t>ХАБИТАТ БРАЗИЛ</w:t>
      </w:r>
      <w:r>
        <w:noBreakHyphen/>
        <w:t>БИД, ПАСС/БИД и ПРОСЕГЕ являются федеральными программами развития городов, которые финансируются из внешних источников - все эти три программы финансируются из средств Межамериканского банка развития (МБР), которые распределяются федеральным правительством в виде субсидий и подкрепляются встречными инвестициями штатов и муниципалитетов, а также ПМСС и ПУКВ.  Средства ПМСС и ПУКВ поступают от иностранных займов, полученных от Всемирового банка и из встречных фондов штатов-бенефициаров.</w:t>
      </w:r>
    </w:p>
    <w:p w:rsidR="00000000" w:rsidRDefault="00000000"/>
    <w:p w:rsidR="00000000" w:rsidRDefault="00000000">
      <w:r>
        <w:t>554.</w:t>
      </w:r>
      <w:r>
        <w:tab/>
        <w:t>Вышеуказанные программы имеют целью удовлетворение интересов групп населения с низким уровнем доходов (в первых двух программах </w:t>
      </w:r>
      <w:r>
        <w:noBreakHyphen/>
        <w:t xml:space="preserve"> это семьи, ежемесячный доход которых составляет менее трех минимальных окладов, а в случае ПРОСЕГЕ </w:t>
      </w:r>
      <w:r>
        <w:noBreakHyphen/>
        <w:t xml:space="preserve"> это семьи, ежемесячный доход которых составляет менее семи минимальных окладов).  В руководящих принципах этих программ предусматривается задача сокращения социального неравенства путем уделения первоочередного внимания тем инвестициям, которые отвечают потребностям обездоленного населения. </w:t>
      </w:r>
    </w:p>
    <w:p w:rsidR="00000000" w:rsidRDefault="00000000"/>
    <w:p w:rsidR="00000000" w:rsidRDefault="00000000">
      <w:r>
        <w:t>555.</w:t>
      </w:r>
      <w:r>
        <w:tab/>
        <w:t>ПМСС и ПУКВ предназначены для реструктуризации сектора санитарии и повышении его эффективности.  Особое внимание уделяется вопросам, касающимся институционального развития.  Программа не содержит конкретных руководящих принципов, предусматривающих удовлетворение интересов групп с низким уровнем доходов, которые пользуются ее преимуществами лишь опосредственно.</w:t>
      </w:r>
    </w:p>
    <w:p w:rsidR="00000000" w:rsidRDefault="00000000">
      <w:pPr>
        <w:rPr>
          <w:sz w:val="16"/>
        </w:rPr>
      </w:pPr>
    </w:p>
    <w:p w:rsidR="00000000" w:rsidRDefault="00000000">
      <w:r>
        <w:t>556.</w:t>
      </w:r>
      <w:r>
        <w:tab/>
        <w:t>В оперативной части правил и положений Программы ХАБИТАТ БРАЗИЛ</w:t>
      </w:r>
      <w:r>
        <w:noBreakHyphen/>
        <w:t>БИД, которая основывается на контракте, подписанном 13 сентября 1999 года с МБР, четко указывается, что ее главным объектом является обездоленное население.  Основная задача состоит в повышении стандартов жилищного строительства и улучшении качества жизни семей, доходы которых составляют менее трех минимальных окладов и которые живут в не отвечающих установленным нормам домах в городских районах, районах массовой застройки и столицах штатов.  В рамках этой задачи предполагается также поощрять муниципальные власти предпринимать усилия для того, чтобы способствовать решению проблем в этой области.</w:t>
      </w:r>
    </w:p>
    <w:p w:rsidR="00000000" w:rsidRDefault="00000000">
      <w:pPr>
        <w:rPr>
          <w:sz w:val="16"/>
        </w:rPr>
      </w:pPr>
    </w:p>
    <w:p w:rsidR="00000000" w:rsidRDefault="00000000">
      <w:r>
        <w:t>557.</w:t>
      </w:r>
      <w:r>
        <w:tab/>
        <w:t>В рамках этой Программы осуществляется Подпрограмма институционального развития (ПИР) и Подпрограмма урбанизации не отвечающих требованиям поселений.  Критерии первоочередности для отбора объектов для данной Программы устанавливаются после определения масштабов потребностей в городских услугах.  Утверждается  иерархический порядок штатов на основе данных о количестве городских построек, находящихся в аварийном состоянии*.  Районы, претендующие на принятие мер по этим Программам, должны отвечать следующим требованиям:</w:t>
      </w:r>
    </w:p>
    <w:p w:rsidR="00000000" w:rsidRDefault="00000000">
      <w:pPr>
        <w:rPr>
          <w:sz w:val="16"/>
        </w:rPr>
      </w:pPr>
    </w:p>
    <w:p w:rsidR="00000000" w:rsidRDefault="00000000">
      <w:r>
        <w:tab/>
        <w:t>a)</w:t>
      </w:r>
      <w:r>
        <w:tab/>
        <w:t>в них должны в течение более пяти лет существовать не отвечающие требованиям поселения, а 60% их жителей должны иметь семейный доход, не превышающий трех минимальных окладов;</w:t>
      </w:r>
    </w:p>
    <w:p w:rsidR="00000000" w:rsidRDefault="00000000">
      <w:pPr>
        <w:rPr>
          <w:sz w:val="16"/>
        </w:rPr>
      </w:pPr>
    </w:p>
    <w:p w:rsidR="00000000" w:rsidRDefault="00000000">
      <w:r>
        <w:tab/>
        <w:t xml:space="preserve">b) </w:t>
      </w:r>
      <w:r>
        <w:tab/>
        <w:t>в местах их расположения должна существовать опасность антисанитарных условий, или на них должно распространяться законодательство, в котором запрещается использование их под застройку жилыми зданиями или под любого рода застройку;  и</w:t>
      </w:r>
    </w:p>
    <w:p w:rsidR="00000000" w:rsidRDefault="00000000">
      <w:pPr>
        <w:rPr>
          <w:sz w:val="18"/>
        </w:rPr>
      </w:pPr>
    </w:p>
    <w:p w:rsidR="00000000" w:rsidRDefault="00000000">
      <w:pPr>
        <w:rPr>
          <w:sz w:val="18"/>
        </w:rPr>
      </w:pPr>
    </w:p>
    <w:p w:rsidR="00000000" w:rsidRDefault="00000000">
      <w:pPr>
        <w:rPr>
          <w:sz w:val="18"/>
        </w:rPr>
      </w:pPr>
    </w:p>
    <w:p w:rsidR="00000000" w:rsidRDefault="00000000">
      <w:pPr>
        <w:pStyle w:val="FootnoteText"/>
        <w:rPr>
          <w:sz w:val="16"/>
        </w:rPr>
      </w:pPr>
      <w:r>
        <w:t>_____________________</w:t>
      </w:r>
    </w:p>
    <w:p w:rsidR="00000000" w:rsidRDefault="00000000">
      <w:pPr>
        <w:spacing w:line="240" w:lineRule="auto"/>
        <w:rPr>
          <w:sz w:val="16"/>
        </w:rPr>
      </w:pPr>
    </w:p>
    <w:p w:rsidR="00000000" w:rsidRDefault="00000000">
      <w:pPr>
        <w:spacing w:line="240" w:lineRule="auto"/>
      </w:pPr>
      <w:r>
        <w:t>*</w:t>
      </w:r>
      <w:r>
        <w:tab/>
        <w:t>Примечание:  По терминологии БИГС, дома, находящиеся в "аварийном" или "бедственном" состоянии - это стационарные постройки, возведенные преимущественно из импровизированных материалов, имеющие стены из плетня, рециркулированной фанеры или картона, земляные или глиняные полы и т.п.</w:t>
      </w:r>
    </w:p>
    <w:p w:rsidR="00000000" w:rsidRDefault="00000000">
      <w:pPr>
        <w:rPr>
          <w:sz w:val="16"/>
        </w:rPr>
      </w:pPr>
      <w:r>
        <w:br w:type="page"/>
      </w:r>
      <w:r>
        <w:tab/>
        <w:t xml:space="preserve">c) </w:t>
      </w:r>
      <w:r>
        <w:tab/>
        <w:t xml:space="preserve"> им должен отводиться приоритет на начальной стадии осуществления Муниципального стратегического плана для не отвечающих требованиям поселений (ПЕМАС).  Это </w:t>
      </w:r>
      <w:r>
        <w:noBreakHyphen/>
        <w:t xml:space="preserve"> первый район, в отношении которого принимаются меры;  другие районы располагаются в четком иерархическом порядке, который устанавливается ПЕМАС.</w:t>
      </w:r>
    </w:p>
    <w:p w:rsidR="00000000" w:rsidRDefault="00000000"/>
    <w:p w:rsidR="00000000" w:rsidRDefault="00000000">
      <w:pPr>
        <w:pStyle w:val="10"/>
        <w:rPr>
          <w:bCs/>
        </w:rPr>
      </w:pPr>
      <w:r>
        <w:rPr>
          <w:bCs/>
        </w:rPr>
        <w:t>Статья 12</w:t>
      </w:r>
    </w:p>
    <w:p w:rsidR="00000000" w:rsidRDefault="00000000"/>
    <w:p w:rsidR="00000000" w:rsidRDefault="00000000">
      <w:r>
        <w:t>558.</w:t>
      </w:r>
      <w:r>
        <w:tab/>
        <w:t xml:space="preserve">В бразильской Конституции 1988 года была предусмотрена система здравоохранения, основные принципы которой состоят в децентрализации общей структуры и создании единого координационного центра на каждом административном уровне, а также в предоставлении населению полного объема медицинских услуг с упором на профилактику и участие общин, что стало главным приоритетом для этого сектора.  Соответствующие нормы по регламентированию государственной Единой системы здравоохранения (ЕСЗ - </w:t>
      </w:r>
      <w:r>
        <w:rPr>
          <w:i/>
        </w:rPr>
        <w:t>Sistema Único de Saúde</w:t>
      </w:r>
      <w:r>
        <w:t xml:space="preserve">) были введены лишь в 1990 году (законы № 8 080/90 и № 8 142/90).  В последующие годы стал наблюдаться постепенный прогресс в этой области, что нашло свое отражение в принятии двух Основных стандартов (NOB/1/91 и NOB/1/93 - </w:t>
      </w:r>
      <w:r>
        <w:rPr>
          <w:i/>
        </w:rPr>
        <w:t>Normas Operacionais Básicas</w:t>
      </w:r>
      <w:r>
        <w:t>).  В 1996 году в этом долгом и неравномерном процессе был сделан еще один значительный шаг вперед.  Речь идет об обнародовании Основного стандарта NOB/1/96, в соответствии с которым был существенно изменен механизм финансирования участия в Единой системе здравоохранения (ЕСЗ) на уровнях ниже федерального.</w:t>
      </w:r>
    </w:p>
    <w:p w:rsidR="00000000" w:rsidRDefault="00000000"/>
    <w:p w:rsidR="00000000" w:rsidRDefault="00000000">
      <w:r>
        <w:t>559.</w:t>
      </w:r>
      <w:r>
        <w:tab/>
        <w:t xml:space="preserve">Приоритетные государственные программы и мероприятия в области здравоохранения могут быть разделены на три основные категории:  i)  медицинская помощь и больничные услуги, предоставляемые населению в целом;  ii)  уход за матерью и ребенком с уделением особого внимания таким уязвимым группам, как беременные женщины и малолетние дети, в связи с чем следует особо выделить две программы:  Программу снижения младенческой смертности (ПСМС - </w:t>
      </w:r>
      <w:r>
        <w:rPr>
          <w:i/>
        </w:rPr>
        <w:t>Programa de Redução da Mortalidade Infantil</w:t>
      </w:r>
      <w:r>
        <w:t>) и Программу охраны здоровья женщин (</w:t>
      </w:r>
      <w:r>
        <w:rPr>
          <w:i/>
        </w:rPr>
        <w:t xml:space="preserve">Programa de Saúde da Mulher);  </w:t>
      </w:r>
      <w:r>
        <w:t>iii)  программы борьбы с заболеваниями, охватывающие широкий круг мер по борьбе с переносчиками болезней и их ликвидации, а также борьбы с заболеваниями, которых можно избежать и которые поддаются успешному лечению на ранней стадии.  Эта категория включает кампании по вакцинации, борьбу с переносчиками заболеваний, базовое санитарное обустройство (водоснабжение и канализация), а также просветительные кампании, направленные на изменение модели поведения групп высокого риска.</w:t>
      </w:r>
    </w:p>
    <w:p w:rsidR="00000000" w:rsidRDefault="00000000"/>
    <w:p w:rsidR="00000000" w:rsidRDefault="00000000">
      <w:r>
        <w:t>560.</w:t>
      </w:r>
      <w:r>
        <w:tab/>
        <w:t xml:space="preserve">Бразильский опыт, подтверждая ранее сделанные наблюдения во многих странах, показывает, что такие инициативы, как Программа работников здравоохранения на уровне общины (ПРЗО - </w:t>
      </w:r>
      <w:r>
        <w:rPr>
          <w:i/>
        </w:rPr>
        <w:t>Programa de Agentes Comunitários</w:t>
      </w:r>
      <w:r>
        <w:t xml:space="preserve"> </w:t>
      </w:r>
      <w:r>
        <w:rPr>
          <w:i/>
        </w:rPr>
        <w:t>de Saúde</w:t>
      </w:r>
      <w:r>
        <w:t xml:space="preserve">) и Программа охраны здоровья семьи (ПОЗС - </w:t>
      </w:r>
      <w:r>
        <w:rPr>
          <w:i/>
        </w:rPr>
        <w:t xml:space="preserve">Programa de Saúde da Famila) </w:t>
      </w:r>
      <w:r>
        <w:t>являются исходными стратегическими инструментами перестройки бразильской модели социальных услуг и реорганизации местных систем здравоохранения, а также сокращения расходов без затруднения доступа к соответствующим услугам и при одновременном повышении качества этих услуг.</w:t>
      </w:r>
    </w:p>
    <w:p w:rsidR="00000000" w:rsidRDefault="00000000"/>
    <w:p w:rsidR="00000000" w:rsidRDefault="00000000">
      <w:pPr>
        <w:rPr>
          <w:iCs/>
        </w:rPr>
      </w:pPr>
      <w:r>
        <w:t>561.</w:t>
      </w:r>
      <w:r>
        <w:tab/>
        <w:t>Другим важным аспектом децентрализации бразильской системы здравоохранения является ускорение процесса формирования межмуниципального консорциума.  В большей части муниципальных округов Бразилии, которые обычно являются небольшими или средними по размеру, отсутствуют необходимые условия для предоставления необходимого количества и разнообразия услуг, что вызвано широким распространением нищеты или большой численностью населения.  Это обусловило появление межмуниципальных консорциумов, представляющих собой объединения административных органов соседних муниципальных округов (при содействии в некоторых случаях со стороны правительств штатов), цель которых состоит в дополнительном предоставлении услуг врачей-специалистов, больничных и других услуг, особенно услуг, которые связаны с более высокой технологической оснащенностью, недоступной для участников этих консорциумов на индивидуальной основе.</w:t>
      </w:r>
    </w:p>
    <w:p w:rsidR="00000000" w:rsidRDefault="00000000"/>
    <w:p w:rsidR="00000000" w:rsidRDefault="00000000">
      <w:r>
        <w:t>562.</w:t>
      </w:r>
      <w:r>
        <w:tab/>
        <w:t>Для повышения уровня здоровья и сокращения заболеваемости и смертности среди трудящихся были приняты следующие меры:  введено медицинское обслуживание трудящихся;  повышена соответствующая квалификация практикующих врачей;  среди служащих, работников здравоохранения и врачей-практиков распространены технические и учебные материалы.</w:t>
      </w:r>
    </w:p>
    <w:p w:rsidR="00000000" w:rsidRDefault="00000000"/>
    <w:p w:rsidR="00000000" w:rsidRDefault="00000000">
      <w:r>
        <w:t>563.</w:t>
      </w:r>
      <w:r>
        <w:tab/>
        <w:t xml:space="preserve">В последние годы наблюдалось значительное улучшение показателей младенческой смертности, что исключительно важно для анализа общего положения в области здравоохранения.  Согласно оценке, подготовленной Бразильским институтом географии и статистики (БИГС – </w:t>
      </w:r>
      <w:r>
        <w:rPr>
          <w:i/>
          <w:iCs/>
          <w:lang w:val="en-US"/>
        </w:rPr>
        <w:t>Instituto</w:t>
      </w:r>
      <w:r>
        <w:rPr>
          <w:i/>
          <w:iCs/>
        </w:rPr>
        <w:t xml:space="preserve"> </w:t>
      </w:r>
      <w:r>
        <w:rPr>
          <w:i/>
          <w:iCs/>
          <w:lang w:val="en-US"/>
        </w:rPr>
        <w:t>Brasileiro</w:t>
      </w:r>
      <w:r>
        <w:rPr>
          <w:i/>
          <w:iCs/>
        </w:rPr>
        <w:t xml:space="preserve"> </w:t>
      </w:r>
      <w:r>
        <w:rPr>
          <w:i/>
          <w:iCs/>
          <w:lang w:val="en-US"/>
        </w:rPr>
        <w:t>de</w:t>
      </w:r>
      <w:r>
        <w:rPr>
          <w:i/>
          <w:iCs/>
        </w:rPr>
        <w:t xml:space="preserve"> </w:t>
      </w:r>
      <w:r>
        <w:rPr>
          <w:i/>
          <w:iCs/>
          <w:lang w:val="en-US"/>
        </w:rPr>
        <w:t>Geogra</w:t>
      </w:r>
      <w:r>
        <w:rPr>
          <w:i/>
          <w:iCs/>
        </w:rPr>
        <w:t>f</w:t>
      </w:r>
      <w:r>
        <w:rPr>
          <w:i/>
          <w:iCs/>
          <w:lang w:val="en-US"/>
        </w:rPr>
        <w:t>ia</w:t>
      </w:r>
      <w:r>
        <w:rPr>
          <w:i/>
          <w:iCs/>
        </w:rPr>
        <w:t xml:space="preserve"> </w:t>
      </w:r>
      <w:r>
        <w:rPr>
          <w:i/>
          <w:iCs/>
          <w:lang w:val="en-US"/>
        </w:rPr>
        <w:t>e</w:t>
      </w:r>
      <w:r>
        <w:rPr>
          <w:i/>
          <w:iCs/>
        </w:rPr>
        <w:t xml:space="preserve"> </w:t>
      </w:r>
      <w:r>
        <w:rPr>
          <w:i/>
          <w:iCs/>
          <w:lang w:val="en-US"/>
        </w:rPr>
        <w:t>Estat</w:t>
      </w:r>
      <w:r>
        <w:rPr>
          <w:i/>
          <w:iCs/>
        </w:rPr>
        <w:t>í</w:t>
      </w:r>
      <w:r>
        <w:rPr>
          <w:i/>
          <w:iCs/>
          <w:lang w:val="en-US"/>
        </w:rPr>
        <w:t>stica</w:t>
      </w:r>
      <w:r>
        <w:rPr>
          <w:i/>
          <w:iCs/>
        </w:rPr>
        <w:t>)</w:t>
      </w:r>
      <w:r>
        <w:t>, в стране наблюдалось неуклонное снижение младенческой смертности (</w:t>
      </w:r>
      <w:r>
        <w:rPr>
          <w:i/>
          <w:iCs/>
          <w:lang w:val="en-US"/>
        </w:rPr>
        <w:t>Coeficiente</w:t>
      </w:r>
      <w:r>
        <w:rPr>
          <w:i/>
          <w:iCs/>
        </w:rPr>
        <w:t xml:space="preserve"> </w:t>
      </w:r>
      <w:r>
        <w:rPr>
          <w:i/>
          <w:iCs/>
          <w:lang w:val="en-US"/>
        </w:rPr>
        <w:t>de</w:t>
      </w:r>
      <w:r>
        <w:rPr>
          <w:i/>
          <w:iCs/>
        </w:rPr>
        <w:t xml:space="preserve"> </w:t>
      </w:r>
      <w:r>
        <w:rPr>
          <w:i/>
          <w:iCs/>
          <w:lang w:val="en-US"/>
        </w:rPr>
        <w:t>Mortalidade</w:t>
      </w:r>
      <w:r>
        <w:rPr>
          <w:i/>
          <w:iCs/>
        </w:rPr>
        <w:t xml:space="preserve"> </w:t>
      </w:r>
      <w:r>
        <w:rPr>
          <w:i/>
          <w:iCs/>
          <w:lang w:val="en-US"/>
        </w:rPr>
        <w:t>Infantil</w:t>
      </w:r>
      <w:r>
        <w:t>) с 85,6% на 1 000 живорожденных детей в 1980 году до 47,8% на 1 000 живорожденных детей в 1990 году;  в 1998 году этот показатель упал до 36,1%.</w:t>
      </w:r>
    </w:p>
    <w:p w:rsidR="00000000" w:rsidRDefault="00000000">
      <w:pPr>
        <w:pStyle w:val="FootnoteText"/>
        <w:spacing w:line="288" w:lineRule="auto"/>
      </w:pPr>
    </w:p>
    <w:p w:rsidR="00000000" w:rsidRDefault="00000000">
      <w:r>
        <w:t>564.</w:t>
      </w:r>
      <w:r>
        <w:tab/>
        <w:t>Снижение младенческой смертности наблюдалось во всей Бразилии, однако наилучшие показатели были достигнуты на северо-востоке.  Несмотря на это значительное сокращение, младенческая смертность в Бразилии по</w:t>
      </w:r>
      <w:r>
        <w:noBreakHyphen/>
        <w:t>прежнему велика по сравнению со странами с высоким уровнем социально-экономического развития.  В приводимой ниже таблице даны статистические данные о младенческой смертности в разбивке по регионам (1989-1998 годы):</w:t>
      </w:r>
    </w:p>
    <w:p w:rsidR="00000000" w:rsidRDefault="00000000">
      <w:pPr>
        <w:pStyle w:val="FootnoteText"/>
        <w:spacing w:line="288" w:lineRule="auto"/>
      </w:pPr>
    </w:p>
    <w:p w:rsidR="00000000" w:rsidRDefault="00000000">
      <w:pPr>
        <w:pStyle w:val="10"/>
        <w:tabs>
          <w:tab w:val="left" w:pos="2805"/>
        </w:tabs>
        <w:rPr>
          <w:bCs/>
        </w:rPr>
      </w:pPr>
      <w:r>
        <w:rPr>
          <w:bCs/>
        </w:rPr>
        <w:t>Таблица 74.   Младенческая смертность по Бразилии в целом</w:t>
      </w:r>
      <w:r>
        <w:rPr>
          <w:b w:val="0"/>
          <w:bCs/>
        </w:rPr>
        <w:t xml:space="preserve"> </w:t>
      </w:r>
      <w:r>
        <w:t>и</w:t>
      </w:r>
    </w:p>
    <w:p w:rsidR="00000000" w:rsidRDefault="00000000">
      <w:pPr>
        <w:pStyle w:val="10"/>
        <w:tabs>
          <w:tab w:val="left" w:pos="2805"/>
        </w:tabs>
        <w:rPr>
          <w:bCs/>
        </w:rPr>
      </w:pPr>
      <w:r>
        <w:rPr>
          <w:bCs/>
        </w:rPr>
        <w:t xml:space="preserve">         в разбивке по регионам (1989-1998 годы)</w:t>
      </w:r>
    </w:p>
    <w:p w:rsidR="00000000" w:rsidRDefault="00000000">
      <w:pPr>
        <w:jc w:val="center"/>
        <w:rPr>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338"/>
        <w:gridCol w:w="707"/>
        <w:gridCol w:w="707"/>
        <w:gridCol w:w="708"/>
        <w:gridCol w:w="708"/>
        <w:gridCol w:w="708"/>
        <w:gridCol w:w="708"/>
        <w:gridCol w:w="708"/>
        <w:gridCol w:w="708"/>
        <w:gridCol w:w="708"/>
        <w:gridCol w:w="702"/>
      </w:tblGrid>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Регионы</w:t>
            </w:r>
          </w:p>
        </w:tc>
        <w:tc>
          <w:tcPr>
            <w:tcW w:w="376" w:type="pct"/>
            <w:vAlign w:val="center"/>
          </w:tcPr>
          <w:p w:rsidR="00000000" w:rsidRDefault="00000000">
            <w:pPr>
              <w:pStyle w:val="BodyText3"/>
              <w:spacing w:line="288" w:lineRule="auto"/>
              <w:jc w:val="center"/>
              <w:rPr>
                <w:sz w:val="18"/>
                <w:lang w:val="ru-RU"/>
              </w:rPr>
            </w:pPr>
            <w:r>
              <w:rPr>
                <w:sz w:val="18"/>
                <w:lang w:val="ru-RU"/>
              </w:rPr>
              <w:t>1989</w:t>
            </w:r>
          </w:p>
        </w:tc>
        <w:tc>
          <w:tcPr>
            <w:tcW w:w="376" w:type="pct"/>
            <w:vAlign w:val="center"/>
          </w:tcPr>
          <w:p w:rsidR="00000000" w:rsidRDefault="00000000">
            <w:pPr>
              <w:pStyle w:val="BodyText3"/>
              <w:spacing w:line="288" w:lineRule="auto"/>
              <w:jc w:val="center"/>
              <w:rPr>
                <w:sz w:val="18"/>
                <w:lang w:val="ru-RU"/>
              </w:rPr>
            </w:pPr>
            <w:r>
              <w:rPr>
                <w:sz w:val="18"/>
                <w:lang w:val="ru-RU"/>
              </w:rPr>
              <w:t>1990</w:t>
            </w:r>
          </w:p>
        </w:tc>
        <w:tc>
          <w:tcPr>
            <w:tcW w:w="376" w:type="pct"/>
            <w:vAlign w:val="center"/>
          </w:tcPr>
          <w:p w:rsidR="00000000" w:rsidRDefault="00000000">
            <w:pPr>
              <w:pStyle w:val="BodyText3"/>
              <w:spacing w:line="288" w:lineRule="auto"/>
              <w:jc w:val="center"/>
              <w:rPr>
                <w:sz w:val="18"/>
                <w:lang w:val="ru-RU"/>
              </w:rPr>
            </w:pPr>
            <w:r>
              <w:rPr>
                <w:sz w:val="18"/>
                <w:lang w:val="ru-RU"/>
              </w:rPr>
              <w:t>1991</w:t>
            </w:r>
          </w:p>
        </w:tc>
        <w:tc>
          <w:tcPr>
            <w:tcW w:w="376" w:type="pct"/>
            <w:vAlign w:val="center"/>
          </w:tcPr>
          <w:p w:rsidR="00000000" w:rsidRDefault="00000000">
            <w:pPr>
              <w:pStyle w:val="BodyText3"/>
              <w:spacing w:line="288" w:lineRule="auto"/>
              <w:jc w:val="center"/>
              <w:rPr>
                <w:sz w:val="18"/>
                <w:lang w:val="ru-RU"/>
              </w:rPr>
            </w:pPr>
            <w:r>
              <w:rPr>
                <w:sz w:val="18"/>
                <w:lang w:val="ru-RU"/>
              </w:rPr>
              <w:t>1992</w:t>
            </w:r>
          </w:p>
        </w:tc>
        <w:tc>
          <w:tcPr>
            <w:tcW w:w="376" w:type="pct"/>
            <w:vAlign w:val="center"/>
          </w:tcPr>
          <w:p w:rsidR="00000000" w:rsidRDefault="00000000">
            <w:pPr>
              <w:pStyle w:val="BodyText3"/>
              <w:spacing w:line="288" w:lineRule="auto"/>
              <w:jc w:val="center"/>
              <w:rPr>
                <w:sz w:val="18"/>
                <w:lang w:val="ru-RU"/>
              </w:rPr>
            </w:pPr>
            <w:r>
              <w:rPr>
                <w:sz w:val="18"/>
                <w:lang w:val="ru-RU"/>
              </w:rPr>
              <w:t>1993</w:t>
            </w:r>
          </w:p>
        </w:tc>
        <w:tc>
          <w:tcPr>
            <w:tcW w:w="376" w:type="pct"/>
            <w:vAlign w:val="center"/>
          </w:tcPr>
          <w:p w:rsidR="00000000" w:rsidRDefault="00000000">
            <w:pPr>
              <w:pStyle w:val="BodyText3"/>
              <w:spacing w:line="288" w:lineRule="auto"/>
              <w:jc w:val="center"/>
              <w:rPr>
                <w:sz w:val="18"/>
                <w:lang w:val="ru-RU"/>
              </w:rPr>
            </w:pPr>
            <w:r>
              <w:rPr>
                <w:sz w:val="18"/>
                <w:lang w:val="ru-RU"/>
              </w:rPr>
              <w:t>1994</w:t>
            </w:r>
          </w:p>
        </w:tc>
        <w:tc>
          <w:tcPr>
            <w:tcW w:w="376" w:type="pct"/>
            <w:vAlign w:val="center"/>
          </w:tcPr>
          <w:p w:rsidR="00000000" w:rsidRDefault="00000000">
            <w:pPr>
              <w:pStyle w:val="BodyText3"/>
              <w:spacing w:line="288" w:lineRule="auto"/>
              <w:jc w:val="center"/>
              <w:rPr>
                <w:sz w:val="18"/>
                <w:lang w:val="ru-RU"/>
              </w:rPr>
            </w:pPr>
            <w:r>
              <w:rPr>
                <w:sz w:val="18"/>
                <w:lang w:val="ru-RU"/>
              </w:rPr>
              <w:t>1995</w:t>
            </w:r>
          </w:p>
        </w:tc>
        <w:tc>
          <w:tcPr>
            <w:tcW w:w="376" w:type="pct"/>
            <w:vAlign w:val="center"/>
          </w:tcPr>
          <w:p w:rsidR="00000000" w:rsidRDefault="00000000">
            <w:pPr>
              <w:pStyle w:val="BodyText3"/>
              <w:spacing w:line="288" w:lineRule="auto"/>
              <w:jc w:val="center"/>
              <w:rPr>
                <w:sz w:val="18"/>
                <w:lang w:val="ru-RU"/>
              </w:rPr>
            </w:pPr>
            <w:r>
              <w:rPr>
                <w:sz w:val="18"/>
                <w:lang w:val="ru-RU"/>
              </w:rPr>
              <w:t>1996</w:t>
            </w:r>
          </w:p>
        </w:tc>
        <w:tc>
          <w:tcPr>
            <w:tcW w:w="376" w:type="pct"/>
            <w:vAlign w:val="center"/>
          </w:tcPr>
          <w:p w:rsidR="00000000" w:rsidRDefault="00000000">
            <w:pPr>
              <w:pStyle w:val="BodyText3"/>
              <w:spacing w:line="288" w:lineRule="auto"/>
              <w:jc w:val="center"/>
              <w:rPr>
                <w:sz w:val="18"/>
                <w:lang w:val="ru-RU"/>
              </w:rPr>
            </w:pPr>
            <w:r>
              <w:rPr>
                <w:sz w:val="18"/>
                <w:lang w:val="ru-RU"/>
              </w:rPr>
              <w:t>1997</w:t>
            </w:r>
          </w:p>
        </w:tc>
        <w:tc>
          <w:tcPr>
            <w:tcW w:w="376" w:type="pct"/>
            <w:vAlign w:val="center"/>
          </w:tcPr>
          <w:p w:rsidR="00000000" w:rsidRDefault="00000000">
            <w:pPr>
              <w:pStyle w:val="BodyText3"/>
              <w:spacing w:line="288" w:lineRule="auto"/>
              <w:jc w:val="center"/>
              <w:rPr>
                <w:sz w:val="18"/>
                <w:lang w:val="ru-RU"/>
              </w:rPr>
            </w:pPr>
            <w:r>
              <w:rPr>
                <w:sz w:val="18"/>
                <w:lang w:val="ru-RU"/>
              </w:rPr>
              <w:t>1998</w:t>
            </w:r>
          </w:p>
        </w:tc>
      </w:tr>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Бразилия в целом</w:t>
            </w:r>
          </w:p>
        </w:tc>
        <w:tc>
          <w:tcPr>
            <w:tcW w:w="376" w:type="pct"/>
            <w:vAlign w:val="center"/>
          </w:tcPr>
          <w:p w:rsidR="00000000" w:rsidRDefault="00000000">
            <w:pPr>
              <w:pStyle w:val="BodyText3"/>
              <w:spacing w:line="288" w:lineRule="auto"/>
              <w:jc w:val="center"/>
              <w:rPr>
                <w:sz w:val="18"/>
                <w:lang w:val="ru-RU"/>
              </w:rPr>
            </w:pPr>
            <w:r>
              <w:rPr>
                <w:sz w:val="18"/>
                <w:lang w:val="ru-RU"/>
              </w:rPr>
              <w:t>52,02</w:t>
            </w:r>
          </w:p>
        </w:tc>
        <w:tc>
          <w:tcPr>
            <w:tcW w:w="376" w:type="pct"/>
            <w:vAlign w:val="center"/>
          </w:tcPr>
          <w:p w:rsidR="00000000" w:rsidRDefault="00000000">
            <w:pPr>
              <w:pStyle w:val="BodyText3"/>
              <w:spacing w:line="288" w:lineRule="auto"/>
              <w:jc w:val="center"/>
              <w:rPr>
                <w:sz w:val="18"/>
                <w:lang w:val="ru-RU"/>
              </w:rPr>
            </w:pPr>
            <w:r>
              <w:rPr>
                <w:sz w:val="18"/>
                <w:lang w:val="ru-RU"/>
              </w:rPr>
              <w:t>49,40</w:t>
            </w:r>
          </w:p>
        </w:tc>
        <w:tc>
          <w:tcPr>
            <w:tcW w:w="376" w:type="pct"/>
            <w:vAlign w:val="center"/>
          </w:tcPr>
          <w:p w:rsidR="00000000" w:rsidRDefault="00000000">
            <w:pPr>
              <w:pStyle w:val="BodyText3"/>
              <w:spacing w:line="288" w:lineRule="auto"/>
              <w:jc w:val="center"/>
              <w:rPr>
                <w:sz w:val="18"/>
                <w:lang w:val="ru-RU"/>
              </w:rPr>
            </w:pPr>
            <w:r>
              <w:rPr>
                <w:sz w:val="18"/>
                <w:lang w:val="ru-RU"/>
              </w:rPr>
              <w:t>46,99</w:t>
            </w:r>
          </w:p>
        </w:tc>
        <w:tc>
          <w:tcPr>
            <w:tcW w:w="376" w:type="pct"/>
            <w:vAlign w:val="center"/>
          </w:tcPr>
          <w:p w:rsidR="00000000" w:rsidRDefault="00000000">
            <w:pPr>
              <w:pStyle w:val="BodyText3"/>
              <w:spacing w:line="288" w:lineRule="auto"/>
              <w:jc w:val="center"/>
              <w:rPr>
                <w:sz w:val="18"/>
                <w:lang w:val="ru-RU"/>
              </w:rPr>
            </w:pPr>
            <w:r>
              <w:rPr>
                <w:sz w:val="18"/>
                <w:lang w:val="ru-RU"/>
              </w:rPr>
              <w:t>44,79</w:t>
            </w:r>
          </w:p>
        </w:tc>
        <w:tc>
          <w:tcPr>
            <w:tcW w:w="376" w:type="pct"/>
            <w:vAlign w:val="center"/>
          </w:tcPr>
          <w:p w:rsidR="00000000" w:rsidRDefault="00000000">
            <w:pPr>
              <w:pStyle w:val="BodyText3"/>
              <w:spacing w:line="288" w:lineRule="auto"/>
              <w:jc w:val="center"/>
              <w:rPr>
                <w:sz w:val="18"/>
                <w:lang w:val="ru-RU"/>
              </w:rPr>
            </w:pPr>
            <w:r>
              <w:rPr>
                <w:sz w:val="18"/>
                <w:lang w:val="ru-RU"/>
              </w:rPr>
              <w:t>42,80</w:t>
            </w:r>
          </w:p>
        </w:tc>
        <w:tc>
          <w:tcPr>
            <w:tcW w:w="376" w:type="pct"/>
            <w:vAlign w:val="center"/>
          </w:tcPr>
          <w:p w:rsidR="00000000" w:rsidRDefault="00000000">
            <w:pPr>
              <w:pStyle w:val="BodyText3"/>
              <w:spacing w:line="288" w:lineRule="auto"/>
              <w:jc w:val="center"/>
              <w:rPr>
                <w:sz w:val="18"/>
                <w:lang w:val="ru-RU"/>
              </w:rPr>
            </w:pPr>
            <w:r>
              <w:rPr>
                <w:sz w:val="18"/>
                <w:lang w:val="ru-RU"/>
              </w:rPr>
              <w:t>41,01</w:t>
            </w:r>
          </w:p>
        </w:tc>
        <w:tc>
          <w:tcPr>
            <w:tcW w:w="376" w:type="pct"/>
            <w:vAlign w:val="center"/>
          </w:tcPr>
          <w:p w:rsidR="00000000" w:rsidRDefault="00000000">
            <w:pPr>
              <w:pStyle w:val="BodyText3"/>
              <w:spacing w:line="288" w:lineRule="auto"/>
              <w:jc w:val="center"/>
              <w:rPr>
                <w:sz w:val="18"/>
                <w:lang w:val="ru-RU"/>
              </w:rPr>
            </w:pPr>
            <w:r>
              <w:rPr>
                <w:sz w:val="18"/>
                <w:lang w:val="ru-RU"/>
              </w:rPr>
              <w:t>39,40</w:t>
            </w:r>
          </w:p>
        </w:tc>
        <w:tc>
          <w:tcPr>
            <w:tcW w:w="376" w:type="pct"/>
            <w:vAlign w:val="center"/>
          </w:tcPr>
          <w:p w:rsidR="00000000" w:rsidRDefault="00000000">
            <w:pPr>
              <w:pStyle w:val="BodyText3"/>
              <w:spacing w:line="288" w:lineRule="auto"/>
              <w:jc w:val="center"/>
              <w:rPr>
                <w:sz w:val="18"/>
                <w:lang w:val="ru-RU"/>
              </w:rPr>
            </w:pPr>
            <w:r>
              <w:rPr>
                <w:sz w:val="18"/>
                <w:lang w:val="ru-RU"/>
              </w:rPr>
              <w:t>37,97</w:t>
            </w:r>
          </w:p>
        </w:tc>
        <w:tc>
          <w:tcPr>
            <w:tcW w:w="376" w:type="pct"/>
            <w:vAlign w:val="center"/>
          </w:tcPr>
          <w:p w:rsidR="00000000" w:rsidRDefault="00000000">
            <w:pPr>
              <w:pStyle w:val="BodyText3"/>
              <w:spacing w:line="288" w:lineRule="auto"/>
              <w:jc w:val="center"/>
              <w:rPr>
                <w:sz w:val="18"/>
                <w:lang w:val="ru-RU"/>
              </w:rPr>
            </w:pPr>
            <w:r>
              <w:rPr>
                <w:sz w:val="18"/>
                <w:lang w:val="ru-RU"/>
              </w:rPr>
              <w:t>36,70</w:t>
            </w:r>
          </w:p>
        </w:tc>
        <w:tc>
          <w:tcPr>
            <w:tcW w:w="376" w:type="pct"/>
            <w:vAlign w:val="center"/>
          </w:tcPr>
          <w:p w:rsidR="00000000" w:rsidRDefault="00000000">
            <w:pPr>
              <w:pStyle w:val="BodyText3"/>
              <w:spacing w:line="288" w:lineRule="auto"/>
              <w:jc w:val="center"/>
              <w:rPr>
                <w:sz w:val="18"/>
                <w:lang w:val="ru-RU"/>
              </w:rPr>
            </w:pPr>
            <w:r>
              <w:rPr>
                <w:sz w:val="18"/>
                <w:lang w:val="ru-RU"/>
              </w:rPr>
              <w:t>36,10</w:t>
            </w:r>
          </w:p>
        </w:tc>
      </w:tr>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 xml:space="preserve">Северный регион  </w:t>
            </w:r>
          </w:p>
        </w:tc>
        <w:tc>
          <w:tcPr>
            <w:tcW w:w="376" w:type="pct"/>
            <w:vAlign w:val="center"/>
          </w:tcPr>
          <w:p w:rsidR="00000000" w:rsidRDefault="00000000">
            <w:pPr>
              <w:pStyle w:val="BodyText3"/>
              <w:spacing w:line="288" w:lineRule="auto"/>
              <w:jc w:val="center"/>
              <w:rPr>
                <w:sz w:val="18"/>
                <w:lang w:val="ru-RU"/>
              </w:rPr>
            </w:pPr>
            <w:r>
              <w:rPr>
                <w:sz w:val="18"/>
                <w:lang w:val="ru-RU"/>
              </w:rPr>
              <w:t>47,42</w:t>
            </w:r>
          </w:p>
        </w:tc>
        <w:tc>
          <w:tcPr>
            <w:tcW w:w="376" w:type="pct"/>
            <w:vAlign w:val="center"/>
          </w:tcPr>
          <w:p w:rsidR="00000000" w:rsidRDefault="00000000">
            <w:pPr>
              <w:pStyle w:val="BodyText3"/>
              <w:spacing w:line="288" w:lineRule="auto"/>
              <w:jc w:val="center"/>
              <w:rPr>
                <w:sz w:val="18"/>
                <w:lang w:val="ru-RU"/>
              </w:rPr>
            </w:pPr>
            <w:r>
              <w:rPr>
                <w:sz w:val="18"/>
                <w:lang w:val="ru-RU"/>
              </w:rPr>
              <w:t>44,59</w:t>
            </w:r>
          </w:p>
        </w:tc>
        <w:tc>
          <w:tcPr>
            <w:tcW w:w="376" w:type="pct"/>
            <w:vAlign w:val="center"/>
          </w:tcPr>
          <w:p w:rsidR="00000000" w:rsidRDefault="00000000">
            <w:pPr>
              <w:pStyle w:val="BodyText3"/>
              <w:spacing w:line="288" w:lineRule="auto"/>
              <w:jc w:val="center"/>
              <w:rPr>
                <w:sz w:val="18"/>
                <w:lang w:val="ru-RU"/>
              </w:rPr>
            </w:pPr>
            <w:r>
              <w:rPr>
                <w:sz w:val="18"/>
                <w:lang w:val="ru-RU"/>
              </w:rPr>
              <w:t>42,26</w:t>
            </w:r>
          </w:p>
        </w:tc>
        <w:tc>
          <w:tcPr>
            <w:tcW w:w="376" w:type="pct"/>
            <w:vAlign w:val="center"/>
          </w:tcPr>
          <w:p w:rsidR="00000000" w:rsidRDefault="00000000">
            <w:pPr>
              <w:pStyle w:val="BodyText3"/>
              <w:spacing w:line="288" w:lineRule="auto"/>
              <w:jc w:val="center"/>
              <w:rPr>
                <w:sz w:val="18"/>
                <w:lang w:val="ru-RU"/>
              </w:rPr>
            </w:pPr>
            <w:r>
              <w:rPr>
                <w:sz w:val="18"/>
                <w:lang w:val="ru-RU"/>
              </w:rPr>
              <w:t>40,37</w:t>
            </w:r>
          </w:p>
        </w:tc>
        <w:tc>
          <w:tcPr>
            <w:tcW w:w="376" w:type="pct"/>
            <w:vAlign w:val="center"/>
          </w:tcPr>
          <w:p w:rsidR="00000000" w:rsidRDefault="00000000">
            <w:pPr>
              <w:pStyle w:val="BodyText3"/>
              <w:spacing w:line="288" w:lineRule="auto"/>
              <w:jc w:val="center"/>
              <w:rPr>
                <w:sz w:val="18"/>
                <w:lang w:val="ru-RU"/>
              </w:rPr>
            </w:pPr>
            <w:r>
              <w:rPr>
                <w:sz w:val="18"/>
                <w:lang w:val="ru-RU"/>
              </w:rPr>
              <w:t>38,88</w:t>
            </w:r>
          </w:p>
        </w:tc>
        <w:tc>
          <w:tcPr>
            <w:tcW w:w="376" w:type="pct"/>
            <w:vAlign w:val="center"/>
          </w:tcPr>
          <w:p w:rsidR="00000000" w:rsidRDefault="00000000">
            <w:pPr>
              <w:pStyle w:val="BodyText3"/>
              <w:spacing w:line="288" w:lineRule="auto"/>
              <w:jc w:val="center"/>
              <w:rPr>
                <w:sz w:val="18"/>
                <w:lang w:val="ru-RU"/>
              </w:rPr>
            </w:pPr>
            <w:r>
              <w:rPr>
                <w:sz w:val="18"/>
                <w:lang w:val="ru-RU"/>
              </w:rPr>
              <w:t>37,72</w:t>
            </w:r>
          </w:p>
        </w:tc>
        <w:tc>
          <w:tcPr>
            <w:tcW w:w="376" w:type="pct"/>
            <w:vAlign w:val="center"/>
          </w:tcPr>
          <w:p w:rsidR="00000000" w:rsidRDefault="00000000">
            <w:pPr>
              <w:pStyle w:val="BodyText3"/>
              <w:spacing w:line="288" w:lineRule="auto"/>
              <w:jc w:val="center"/>
              <w:rPr>
                <w:sz w:val="18"/>
                <w:lang w:val="ru-RU"/>
              </w:rPr>
            </w:pPr>
            <w:r>
              <w:rPr>
                <w:sz w:val="18"/>
                <w:lang w:val="ru-RU"/>
              </w:rPr>
              <w:t>36,82</w:t>
            </w:r>
          </w:p>
        </w:tc>
        <w:tc>
          <w:tcPr>
            <w:tcW w:w="376" w:type="pct"/>
            <w:vAlign w:val="center"/>
          </w:tcPr>
          <w:p w:rsidR="00000000" w:rsidRDefault="00000000">
            <w:pPr>
              <w:pStyle w:val="BodyText3"/>
              <w:spacing w:line="288" w:lineRule="auto"/>
              <w:jc w:val="center"/>
              <w:rPr>
                <w:sz w:val="18"/>
                <w:lang w:val="ru-RU"/>
              </w:rPr>
            </w:pPr>
            <w:r>
              <w:rPr>
                <w:sz w:val="18"/>
                <w:lang w:val="ru-RU"/>
              </w:rPr>
              <w:t>36,13</w:t>
            </w:r>
          </w:p>
        </w:tc>
        <w:tc>
          <w:tcPr>
            <w:tcW w:w="376" w:type="pct"/>
            <w:vAlign w:val="center"/>
          </w:tcPr>
          <w:p w:rsidR="00000000" w:rsidRDefault="00000000">
            <w:pPr>
              <w:pStyle w:val="BodyText3"/>
              <w:spacing w:line="288" w:lineRule="auto"/>
              <w:jc w:val="center"/>
              <w:rPr>
                <w:sz w:val="18"/>
                <w:lang w:val="ru-RU"/>
              </w:rPr>
            </w:pPr>
            <w:r>
              <w:rPr>
                <w:sz w:val="18"/>
                <w:lang w:val="ru-RU"/>
              </w:rPr>
              <w:t>35,60</w:t>
            </w:r>
          </w:p>
        </w:tc>
        <w:tc>
          <w:tcPr>
            <w:tcW w:w="376" w:type="pct"/>
            <w:vAlign w:val="center"/>
          </w:tcPr>
          <w:p w:rsidR="00000000" w:rsidRDefault="00000000">
            <w:pPr>
              <w:pStyle w:val="BodyText3"/>
              <w:spacing w:line="288" w:lineRule="auto"/>
              <w:jc w:val="center"/>
              <w:rPr>
                <w:sz w:val="18"/>
                <w:lang w:val="ru-RU"/>
              </w:rPr>
            </w:pPr>
            <w:r>
              <w:rPr>
                <w:sz w:val="18"/>
                <w:lang w:val="ru-RU"/>
              </w:rPr>
              <w:t>35,20</w:t>
            </w:r>
          </w:p>
        </w:tc>
      </w:tr>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 xml:space="preserve">Северо-восточный регион </w:t>
            </w:r>
          </w:p>
        </w:tc>
        <w:tc>
          <w:tcPr>
            <w:tcW w:w="376" w:type="pct"/>
            <w:vAlign w:val="center"/>
          </w:tcPr>
          <w:p w:rsidR="00000000" w:rsidRDefault="00000000">
            <w:pPr>
              <w:pStyle w:val="BodyText3"/>
              <w:spacing w:line="288" w:lineRule="auto"/>
              <w:jc w:val="center"/>
              <w:rPr>
                <w:sz w:val="18"/>
                <w:lang w:val="ru-RU"/>
              </w:rPr>
            </w:pPr>
            <w:r>
              <w:rPr>
                <w:sz w:val="18"/>
                <w:lang w:val="ru-RU"/>
              </w:rPr>
              <w:t>77,82</w:t>
            </w:r>
          </w:p>
        </w:tc>
        <w:tc>
          <w:tcPr>
            <w:tcW w:w="376" w:type="pct"/>
            <w:vAlign w:val="center"/>
          </w:tcPr>
          <w:p w:rsidR="00000000" w:rsidRDefault="00000000">
            <w:pPr>
              <w:pStyle w:val="BodyText3"/>
              <w:spacing w:line="288" w:lineRule="auto"/>
              <w:jc w:val="center"/>
              <w:rPr>
                <w:sz w:val="18"/>
                <w:lang w:val="ru-RU"/>
              </w:rPr>
            </w:pPr>
            <w:r>
              <w:rPr>
                <w:sz w:val="18"/>
                <w:lang w:val="ru-RU"/>
              </w:rPr>
              <w:t>74,30</w:t>
            </w:r>
          </w:p>
        </w:tc>
        <w:tc>
          <w:tcPr>
            <w:tcW w:w="376" w:type="pct"/>
            <w:vAlign w:val="center"/>
          </w:tcPr>
          <w:p w:rsidR="00000000" w:rsidRDefault="00000000">
            <w:pPr>
              <w:pStyle w:val="BodyText3"/>
              <w:spacing w:line="288" w:lineRule="auto"/>
              <w:jc w:val="center"/>
              <w:rPr>
                <w:sz w:val="18"/>
                <w:lang w:val="ru-RU"/>
              </w:rPr>
            </w:pPr>
            <w:r>
              <w:rPr>
                <w:sz w:val="18"/>
                <w:lang w:val="ru-RU"/>
              </w:rPr>
              <w:t>71,15</w:t>
            </w:r>
          </w:p>
        </w:tc>
        <w:tc>
          <w:tcPr>
            <w:tcW w:w="376" w:type="pct"/>
            <w:vAlign w:val="center"/>
          </w:tcPr>
          <w:p w:rsidR="00000000" w:rsidRDefault="00000000">
            <w:pPr>
              <w:pStyle w:val="BodyText3"/>
              <w:spacing w:line="288" w:lineRule="auto"/>
              <w:jc w:val="center"/>
              <w:rPr>
                <w:sz w:val="18"/>
                <w:lang w:val="ru-RU"/>
              </w:rPr>
            </w:pPr>
            <w:r>
              <w:rPr>
                <w:sz w:val="18"/>
                <w:lang w:val="ru-RU"/>
              </w:rPr>
              <w:t>68,37</w:t>
            </w:r>
          </w:p>
        </w:tc>
        <w:tc>
          <w:tcPr>
            <w:tcW w:w="376" w:type="pct"/>
            <w:vAlign w:val="center"/>
          </w:tcPr>
          <w:p w:rsidR="00000000" w:rsidRDefault="00000000">
            <w:pPr>
              <w:pStyle w:val="BodyText3"/>
              <w:spacing w:line="288" w:lineRule="auto"/>
              <w:jc w:val="center"/>
              <w:rPr>
                <w:sz w:val="18"/>
                <w:lang w:val="ru-RU"/>
              </w:rPr>
            </w:pPr>
            <w:r>
              <w:rPr>
                <w:sz w:val="18"/>
                <w:lang w:val="ru-RU"/>
              </w:rPr>
              <w:t>65,92</w:t>
            </w:r>
          </w:p>
        </w:tc>
        <w:tc>
          <w:tcPr>
            <w:tcW w:w="376" w:type="pct"/>
            <w:vAlign w:val="center"/>
          </w:tcPr>
          <w:p w:rsidR="00000000" w:rsidRDefault="00000000">
            <w:pPr>
              <w:pStyle w:val="BodyText3"/>
              <w:spacing w:line="288" w:lineRule="auto"/>
              <w:jc w:val="center"/>
              <w:rPr>
                <w:sz w:val="18"/>
                <w:lang w:val="ru-RU"/>
              </w:rPr>
            </w:pPr>
            <w:r>
              <w:rPr>
                <w:sz w:val="18"/>
                <w:lang w:val="ru-RU"/>
              </w:rPr>
              <w:t>63,80</w:t>
            </w:r>
          </w:p>
        </w:tc>
        <w:tc>
          <w:tcPr>
            <w:tcW w:w="376" w:type="pct"/>
            <w:vAlign w:val="center"/>
          </w:tcPr>
          <w:p w:rsidR="00000000" w:rsidRDefault="00000000">
            <w:pPr>
              <w:pStyle w:val="BodyText3"/>
              <w:spacing w:line="288" w:lineRule="auto"/>
              <w:jc w:val="center"/>
              <w:rPr>
                <w:sz w:val="18"/>
                <w:lang w:val="ru-RU"/>
              </w:rPr>
            </w:pPr>
            <w:r>
              <w:rPr>
                <w:sz w:val="18"/>
                <w:lang w:val="ru-RU"/>
              </w:rPr>
              <w:t>61,96</w:t>
            </w:r>
          </w:p>
        </w:tc>
        <w:tc>
          <w:tcPr>
            <w:tcW w:w="376" w:type="pct"/>
            <w:vAlign w:val="center"/>
          </w:tcPr>
          <w:p w:rsidR="00000000" w:rsidRDefault="00000000">
            <w:pPr>
              <w:pStyle w:val="BodyText3"/>
              <w:spacing w:line="288" w:lineRule="auto"/>
              <w:jc w:val="center"/>
              <w:rPr>
                <w:sz w:val="18"/>
                <w:lang w:val="ru-RU"/>
              </w:rPr>
            </w:pPr>
            <w:r>
              <w:rPr>
                <w:sz w:val="18"/>
                <w:lang w:val="ru-RU"/>
              </w:rPr>
              <w:t>60,39</w:t>
            </w:r>
          </w:p>
        </w:tc>
        <w:tc>
          <w:tcPr>
            <w:tcW w:w="376" w:type="pct"/>
            <w:vAlign w:val="center"/>
          </w:tcPr>
          <w:p w:rsidR="00000000" w:rsidRDefault="00000000">
            <w:pPr>
              <w:pStyle w:val="BodyText3"/>
              <w:spacing w:line="288" w:lineRule="auto"/>
              <w:jc w:val="center"/>
              <w:rPr>
                <w:sz w:val="18"/>
                <w:lang w:val="ru-RU"/>
              </w:rPr>
            </w:pPr>
            <w:r>
              <w:rPr>
                <w:sz w:val="18"/>
                <w:lang w:val="ru-RU"/>
              </w:rPr>
              <w:t>59,05</w:t>
            </w:r>
          </w:p>
        </w:tc>
        <w:tc>
          <w:tcPr>
            <w:tcW w:w="376" w:type="pct"/>
            <w:vAlign w:val="center"/>
          </w:tcPr>
          <w:p w:rsidR="00000000" w:rsidRDefault="00000000">
            <w:pPr>
              <w:pStyle w:val="BodyText3"/>
              <w:spacing w:line="288" w:lineRule="auto"/>
              <w:jc w:val="center"/>
              <w:rPr>
                <w:sz w:val="18"/>
                <w:lang w:val="ru-RU"/>
              </w:rPr>
            </w:pPr>
            <w:r>
              <w:rPr>
                <w:sz w:val="18"/>
                <w:lang w:val="ru-RU"/>
              </w:rPr>
              <w:t>57,91</w:t>
            </w:r>
          </w:p>
        </w:tc>
      </w:tr>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Юго-восточный регион</w:t>
            </w:r>
          </w:p>
        </w:tc>
        <w:tc>
          <w:tcPr>
            <w:tcW w:w="376" w:type="pct"/>
            <w:vAlign w:val="center"/>
          </w:tcPr>
          <w:p w:rsidR="00000000" w:rsidRDefault="00000000">
            <w:pPr>
              <w:pStyle w:val="BodyText3"/>
              <w:spacing w:line="288" w:lineRule="auto"/>
              <w:jc w:val="center"/>
              <w:rPr>
                <w:sz w:val="18"/>
                <w:lang w:val="ru-RU"/>
              </w:rPr>
            </w:pPr>
            <w:r>
              <w:rPr>
                <w:sz w:val="18"/>
                <w:lang w:val="ru-RU"/>
              </w:rPr>
              <w:t>35,86</w:t>
            </w:r>
          </w:p>
        </w:tc>
        <w:tc>
          <w:tcPr>
            <w:tcW w:w="376" w:type="pct"/>
            <w:vAlign w:val="center"/>
          </w:tcPr>
          <w:p w:rsidR="00000000" w:rsidRDefault="00000000">
            <w:pPr>
              <w:pStyle w:val="BodyText3"/>
              <w:spacing w:line="288" w:lineRule="auto"/>
              <w:jc w:val="center"/>
              <w:rPr>
                <w:sz w:val="18"/>
                <w:lang w:val="ru-RU"/>
              </w:rPr>
            </w:pPr>
            <w:r>
              <w:rPr>
                <w:sz w:val="18"/>
                <w:lang w:val="ru-RU"/>
              </w:rPr>
              <w:t>33,57</w:t>
            </w:r>
          </w:p>
        </w:tc>
        <w:tc>
          <w:tcPr>
            <w:tcW w:w="376" w:type="pct"/>
            <w:vAlign w:val="center"/>
          </w:tcPr>
          <w:p w:rsidR="00000000" w:rsidRDefault="00000000">
            <w:pPr>
              <w:pStyle w:val="BodyText3"/>
              <w:spacing w:line="288" w:lineRule="auto"/>
              <w:jc w:val="center"/>
              <w:rPr>
                <w:sz w:val="18"/>
                <w:lang w:val="ru-RU"/>
              </w:rPr>
            </w:pPr>
            <w:r>
              <w:rPr>
                <w:sz w:val="18"/>
                <w:lang w:val="ru-RU"/>
              </w:rPr>
              <w:t>31,62</w:t>
            </w:r>
          </w:p>
        </w:tc>
        <w:tc>
          <w:tcPr>
            <w:tcW w:w="376" w:type="pct"/>
            <w:vAlign w:val="center"/>
          </w:tcPr>
          <w:p w:rsidR="00000000" w:rsidRDefault="00000000">
            <w:pPr>
              <w:pStyle w:val="BodyText3"/>
              <w:spacing w:line="288" w:lineRule="auto"/>
              <w:jc w:val="center"/>
              <w:rPr>
                <w:sz w:val="18"/>
                <w:lang w:val="ru-RU"/>
              </w:rPr>
            </w:pPr>
            <w:r>
              <w:rPr>
                <w:sz w:val="18"/>
                <w:lang w:val="ru-RU"/>
              </w:rPr>
              <w:t>29,97</w:t>
            </w:r>
          </w:p>
        </w:tc>
        <w:tc>
          <w:tcPr>
            <w:tcW w:w="376" w:type="pct"/>
            <w:vAlign w:val="center"/>
          </w:tcPr>
          <w:p w:rsidR="00000000" w:rsidRDefault="00000000">
            <w:pPr>
              <w:pStyle w:val="BodyText3"/>
              <w:spacing w:line="288" w:lineRule="auto"/>
              <w:jc w:val="center"/>
              <w:rPr>
                <w:sz w:val="18"/>
                <w:lang w:val="ru-RU"/>
              </w:rPr>
            </w:pPr>
            <w:r>
              <w:rPr>
                <w:sz w:val="18"/>
                <w:lang w:val="ru-RU"/>
              </w:rPr>
              <w:t>28,60</w:t>
            </w:r>
          </w:p>
        </w:tc>
        <w:tc>
          <w:tcPr>
            <w:tcW w:w="376" w:type="pct"/>
            <w:vAlign w:val="center"/>
          </w:tcPr>
          <w:p w:rsidR="00000000" w:rsidRDefault="00000000">
            <w:pPr>
              <w:pStyle w:val="BodyText3"/>
              <w:spacing w:line="288" w:lineRule="auto"/>
              <w:jc w:val="center"/>
              <w:rPr>
                <w:sz w:val="18"/>
                <w:lang w:val="ru-RU"/>
              </w:rPr>
            </w:pPr>
            <w:r>
              <w:rPr>
                <w:sz w:val="18"/>
                <w:lang w:val="ru-RU"/>
              </w:rPr>
              <w:t>27,47</w:t>
            </w:r>
          </w:p>
        </w:tc>
        <w:tc>
          <w:tcPr>
            <w:tcW w:w="376" w:type="pct"/>
            <w:vAlign w:val="center"/>
          </w:tcPr>
          <w:p w:rsidR="00000000" w:rsidRDefault="00000000">
            <w:pPr>
              <w:pStyle w:val="BodyText3"/>
              <w:spacing w:line="288" w:lineRule="auto"/>
              <w:jc w:val="center"/>
              <w:rPr>
                <w:sz w:val="18"/>
                <w:lang w:val="ru-RU"/>
              </w:rPr>
            </w:pPr>
            <w:r>
              <w:rPr>
                <w:sz w:val="18"/>
                <w:lang w:val="ru-RU"/>
              </w:rPr>
              <w:t>26,56</w:t>
            </w:r>
          </w:p>
        </w:tc>
        <w:tc>
          <w:tcPr>
            <w:tcW w:w="376" w:type="pct"/>
            <w:vAlign w:val="center"/>
          </w:tcPr>
          <w:p w:rsidR="00000000" w:rsidRDefault="00000000">
            <w:pPr>
              <w:pStyle w:val="BodyText3"/>
              <w:spacing w:line="288" w:lineRule="auto"/>
              <w:jc w:val="center"/>
              <w:rPr>
                <w:sz w:val="18"/>
                <w:lang w:val="ru-RU"/>
              </w:rPr>
            </w:pPr>
            <w:r>
              <w:rPr>
                <w:sz w:val="18"/>
                <w:lang w:val="ru-RU"/>
              </w:rPr>
              <w:t>25,82</w:t>
            </w:r>
          </w:p>
        </w:tc>
        <w:tc>
          <w:tcPr>
            <w:tcW w:w="376" w:type="pct"/>
            <w:vAlign w:val="center"/>
          </w:tcPr>
          <w:p w:rsidR="00000000" w:rsidRDefault="00000000">
            <w:pPr>
              <w:pStyle w:val="BodyText3"/>
              <w:spacing w:line="288" w:lineRule="auto"/>
              <w:jc w:val="center"/>
              <w:rPr>
                <w:sz w:val="18"/>
                <w:lang w:val="ru-RU"/>
              </w:rPr>
            </w:pPr>
            <w:r>
              <w:rPr>
                <w:sz w:val="18"/>
                <w:lang w:val="ru-RU"/>
              </w:rPr>
              <w:t>25,23</w:t>
            </w:r>
          </w:p>
        </w:tc>
        <w:tc>
          <w:tcPr>
            <w:tcW w:w="376" w:type="pct"/>
            <w:vAlign w:val="center"/>
          </w:tcPr>
          <w:p w:rsidR="00000000" w:rsidRDefault="00000000">
            <w:pPr>
              <w:pStyle w:val="BodyText3"/>
              <w:spacing w:line="288" w:lineRule="auto"/>
              <w:jc w:val="center"/>
              <w:rPr>
                <w:sz w:val="18"/>
                <w:lang w:val="ru-RU"/>
              </w:rPr>
            </w:pPr>
            <w:r>
              <w:rPr>
                <w:sz w:val="18"/>
                <w:lang w:val="ru-RU"/>
              </w:rPr>
              <w:t>24,76</w:t>
            </w:r>
          </w:p>
        </w:tc>
      </w:tr>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 xml:space="preserve">Южный регион </w:t>
            </w:r>
          </w:p>
        </w:tc>
        <w:tc>
          <w:tcPr>
            <w:tcW w:w="376" w:type="pct"/>
            <w:vAlign w:val="center"/>
          </w:tcPr>
          <w:p w:rsidR="00000000" w:rsidRDefault="00000000">
            <w:pPr>
              <w:pStyle w:val="BodyText3"/>
              <w:spacing w:line="288" w:lineRule="auto"/>
              <w:jc w:val="center"/>
              <w:rPr>
                <w:sz w:val="18"/>
                <w:lang w:val="ru-RU"/>
              </w:rPr>
            </w:pPr>
            <w:r>
              <w:rPr>
                <w:sz w:val="18"/>
                <w:lang w:val="ru-RU"/>
              </w:rPr>
              <w:t>29,20</w:t>
            </w:r>
          </w:p>
        </w:tc>
        <w:tc>
          <w:tcPr>
            <w:tcW w:w="376" w:type="pct"/>
            <w:vAlign w:val="center"/>
          </w:tcPr>
          <w:p w:rsidR="00000000" w:rsidRDefault="00000000">
            <w:pPr>
              <w:pStyle w:val="BodyText3"/>
              <w:spacing w:line="288" w:lineRule="auto"/>
              <w:jc w:val="center"/>
              <w:rPr>
                <w:sz w:val="18"/>
                <w:lang w:val="ru-RU"/>
              </w:rPr>
            </w:pPr>
            <w:r>
              <w:rPr>
                <w:sz w:val="18"/>
                <w:lang w:val="ru-RU"/>
              </w:rPr>
              <w:t>27,36</w:t>
            </w:r>
          </w:p>
        </w:tc>
        <w:tc>
          <w:tcPr>
            <w:tcW w:w="376" w:type="pct"/>
            <w:vAlign w:val="center"/>
          </w:tcPr>
          <w:p w:rsidR="00000000" w:rsidRDefault="00000000">
            <w:pPr>
              <w:pStyle w:val="BodyText3"/>
              <w:spacing w:line="288" w:lineRule="auto"/>
              <w:jc w:val="center"/>
              <w:rPr>
                <w:sz w:val="18"/>
                <w:lang w:val="ru-RU"/>
              </w:rPr>
            </w:pPr>
            <w:r>
              <w:rPr>
                <w:sz w:val="18"/>
                <w:lang w:val="ru-RU"/>
              </w:rPr>
              <w:t>25,94</w:t>
            </w:r>
          </w:p>
        </w:tc>
        <w:tc>
          <w:tcPr>
            <w:tcW w:w="376" w:type="pct"/>
            <w:vAlign w:val="center"/>
          </w:tcPr>
          <w:p w:rsidR="00000000" w:rsidRDefault="00000000">
            <w:pPr>
              <w:pStyle w:val="BodyText3"/>
              <w:spacing w:line="288" w:lineRule="auto"/>
              <w:jc w:val="center"/>
              <w:rPr>
                <w:sz w:val="18"/>
                <w:lang w:val="ru-RU"/>
              </w:rPr>
            </w:pPr>
            <w:r>
              <w:rPr>
                <w:sz w:val="18"/>
                <w:lang w:val="ru-RU"/>
              </w:rPr>
              <w:t>24,87</w:t>
            </w:r>
          </w:p>
        </w:tc>
        <w:tc>
          <w:tcPr>
            <w:tcW w:w="376" w:type="pct"/>
            <w:vAlign w:val="center"/>
          </w:tcPr>
          <w:p w:rsidR="00000000" w:rsidRDefault="00000000">
            <w:pPr>
              <w:pStyle w:val="BodyText3"/>
              <w:spacing w:line="288" w:lineRule="auto"/>
              <w:jc w:val="center"/>
              <w:rPr>
                <w:sz w:val="18"/>
                <w:lang w:val="ru-RU"/>
              </w:rPr>
            </w:pPr>
            <w:r>
              <w:rPr>
                <w:sz w:val="18"/>
                <w:lang w:val="ru-RU"/>
              </w:rPr>
              <w:t>24,08</w:t>
            </w:r>
          </w:p>
        </w:tc>
        <w:tc>
          <w:tcPr>
            <w:tcW w:w="376" w:type="pct"/>
            <w:vAlign w:val="center"/>
          </w:tcPr>
          <w:p w:rsidR="00000000" w:rsidRDefault="00000000">
            <w:pPr>
              <w:pStyle w:val="BodyText3"/>
              <w:spacing w:line="288" w:lineRule="auto"/>
              <w:jc w:val="center"/>
              <w:rPr>
                <w:sz w:val="18"/>
                <w:lang w:val="ru-RU"/>
              </w:rPr>
            </w:pPr>
            <w:r>
              <w:rPr>
                <w:sz w:val="18"/>
                <w:lang w:val="ru-RU"/>
              </w:rPr>
              <w:t>23,49</w:t>
            </w:r>
          </w:p>
        </w:tc>
        <w:tc>
          <w:tcPr>
            <w:tcW w:w="376" w:type="pct"/>
            <w:vAlign w:val="center"/>
          </w:tcPr>
          <w:p w:rsidR="00000000" w:rsidRDefault="00000000">
            <w:pPr>
              <w:pStyle w:val="BodyText3"/>
              <w:spacing w:line="288" w:lineRule="auto"/>
              <w:jc w:val="center"/>
              <w:rPr>
                <w:sz w:val="18"/>
                <w:lang w:val="ru-RU"/>
              </w:rPr>
            </w:pPr>
            <w:r>
              <w:rPr>
                <w:sz w:val="18"/>
                <w:lang w:val="ru-RU"/>
              </w:rPr>
              <w:t>23,07</w:t>
            </w:r>
          </w:p>
        </w:tc>
        <w:tc>
          <w:tcPr>
            <w:tcW w:w="376" w:type="pct"/>
            <w:vAlign w:val="center"/>
          </w:tcPr>
          <w:p w:rsidR="00000000" w:rsidRDefault="00000000">
            <w:pPr>
              <w:pStyle w:val="BodyText3"/>
              <w:spacing w:line="288" w:lineRule="auto"/>
              <w:jc w:val="center"/>
              <w:rPr>
                <w:sz w:val="18"/>
                <w:lang w:val="ru-RU"/>
              </w:rPr>
            </w:pPr>
            <w:r>
              <w:rPr>
                <w:sz w:val="18"/>
                <w:lang w:val="ru-RU"/>
              </w:rPr>
              <w:t>22,76</w:t>
            </w:r>
          </w:p>
        </w:tc>
        <w:tc>
          <w:tcPr>
            <w:tcW w:w="376" w:type="pct"/>
            <w:vAlign w:val="center"/>
          </w:tcPr>
          <w:p w:rsidR="00000000" w:rsidRDefault="00000000">
            <w:pPr>
              <w:pStyle w:val="BodyText3"/>
              <w:spacing w:line="288" w:lineRule="auto"/>
              <w:jc w:val="center"/>
              <w:rPr>
                <w:sz w:val="18"/>
                <w:lang w:val="ru-RU"/>
              </w:rPr>
            </w:pPr>
            <w:r>
              <w:rPr>
                <w:sz w:val="18"/>
                <w:lang w:val="ru-RU"/>
              </w:rPr>
              <w:t>22,55</w:t>
            </w:r>
          </w:p>
        </w:tc>
        <w:tc>
          <w:tcPr>
            <w:tcW w:w="376" w:type="pct"/>
            <w:vAlign w:val="center"/>
          </w:tcPr>
          <w:p w:rsidR="00000000" w:rsidRDefault="00000000">
            <w:pPr>
              <w:pStyle w:val="BodyText3"/>
              <w:spacing w:line="288" w:lineRule="auto"/>
              <w:jc w:val="center"/>
              <w:rPr>
                <w:sz w:val="18"/>
                <w:lang w:val="ru-RU"/>
              </w:rPr>
            </w:pPr>
            <w:r>
              <w:rPr>
                <w:sz w:val="18"/>
                <w:lang w:val="ru-RU"/>
              </w:rPr>
              <w:t>22,39</w:t>
            </w:r>
          </w:p>
        </w:tc>
      </w:tr>
      <w:tr w:rsidR="00000000">
        <w:tblPrEx>
          <w:tblCellMar>
            <w:top w:w="0" w:type="dxa"/>
            <w:bottom w:w="0" w:type="dxa"/>
          </w:tblCellMar>
        </w:tblPrEx>
        <w:trPr>
          <w:jc w:val="center"/>
        </w:trPr>
        <w:tc>
          <w:tcPr>
            <w:tcW w:w="1243" w:type="pct"/>
            <w:vAlign w:val="center"/>
          </w:tcPr>
          <w:p w:rsidR="00000000" w:rsidRDefault="00000000">
            <w:pPr>
              <w:pStyle w:val="BodyText3"/>
              <w:spacing w:line="288" w:lineRule="auto"/>
              <w:jc w:val="left"/>
              <w:rPr>
                <w:sz w:val="18"/>
                <w:lang w:val="ru-RU"/>
              </w:rPr>
            </w:pPr>
            <w:r>
              <w:rPr>
                <w:sz w:val="18"/>
                <w:lang w:val="ru-RU"/>
              </w:rPr>
              <w:t>Центрально-западный регион</w:t>
            </w:r>
          </w:p>
        </w:tc>
        <w:tc>
          <w:tcPr>
            <w:tcW w:w="376" w:type="pct"/>
            <w:vAlign w:val="center"/>
          </w:tcPr>
          <w:p w:rsidR="00000000" w:rsidRDefault="00000000">
            <w:pPr>
              <w:pStyle w:val="BodyText3"/>
              <w:spacing w:line="288" w:lineRule="auto"/>
              <w:jc w:val="center"/>
              <w:rPr>
                <w:sz w:val="18"/>
                <w:lang w:val="ru-RU"/>
              </w:rPr>
            </w:pPr>
            <w:r>
              <w:rPr>
                <w:sz w:val="18"/>
                <w:lang w:val="ru-RU"/>
              </w:rPr>
              <w:t>32,97</w:t>
            </w:r>
          </w:p>
        </w:tc>
        <w:tc>
          <w:tcPr>
            <w:tcW w:w="376" w:type="pct"/>
            <w:vAlign w:val="center"/>
          </w:tcPr>
          <w:p w:rsidR="00000000" w:rsidRDefault="00000000">
            <w:pPr>
              <w:pStyle w:val="BodyText3"/>
              <w:spacing w:line="288" w:lineRule="auto"/>
              <w:jc w:val="center"/>
              <w:rPr>
                <w:sz w:val="18"/>
                <w:lang w:val="ru-RU"/>
              </w:rPr>
            </w:pPr>
            <w:r>
              <w:rPr>
                <w:sz w:val="18"/>
                <w:lang w:val="ru-RU"/>
              </w:rPr>
              <w:t>31,19</w:t>
            </w:r>
          </w:p>
        </w:tc>
        <w:tc>
          <w:tcPr>
            <w:tcW w:w="376" w:type="pct"/>
            <w:vAlign w:val="center"/>
          </w:tcPr>
          <w:p w:rsidR="00000000" w:rsidRDefault="00000000">
            <w:pPr>
              <w:pStyle w:val="BodyText3"/>
              <w:spacing w:line="288" w:lineRule="auto"/>
              <w:jc w:val="center"/>
              <w:rPr>
                <w:sz w:val="18"/>
                <w:lang w:val="ru-RU"/>
              </w:rPr>
            </w:pPr>
            <w:r>
              <w:rPr>
                <w:sz w:val="18"/>
                <w:lang w:val="ru-RU"/>
              </w:rPr>
              <w:t>29,74</w:t>
            </w:r>
          </w:p>
        </w:tc>
        <w:tc>
          <w:tcPr>
            <w:tcW w:w="376" w:type="pct"/>
            <w:vAlign w:val="center"/>
          </w:tcPr>
          <w:p w:rsidR="00000000" w:rsidRDefault="00000000">
            <w:pPr>
              <w:pStyle w:val="BodyText3"/>
              <w:spacing w:line="288" w:lineRule="auto"/>
              <w:jc w:val="center"/>
              <w:rPr>
                <w:sz w:val="18"/>
                <w:lang w:val="ru-RU"/>
              </w:rPr>
            </w:pPr>
            <w:r>
              <w:rPr>
                <w:sz w:val="18"/>
                <w:lang w:val="ru-RU"/>
              </w:rPr>
              <w:t>28,56</w:t>
            </w:r>
          </w:p>
        </w:tc>
        <w:tc>
          <w:tcPr>
            <w:tcW w:w="376" w:type="pct"/>
            <w:vAlign w:val="center"/>
          </w:tcPr>
          <w:p w:rsidR="00000000" w:rsidRDefault="00000000">
            <w:pPr>
              <w:pStyle w:val="BodyText3"/>
              <w:spacing w:line="288" w:lineRule="auto"/>
              <w:jc w:val="center"/>
              <w:rPr>
                <w:sz w:val="18"/>
                <w:lang w:val="ru-RU"/>
              </w:rPr>
            </w:pPr>
            <w:r>
              <w:rPr>
                <w:sz w:val="18"/>
                <w:lang w:val="ru-RU"/>
              </w:rPr>
              <w:t>27,61</w:t>
            </w:r>
          </w:p>
        </w:tc>
        <w:tc>
          <w:tcPr>
            <w:tcW w:w="376" w:type="pct"/>
            <w:vAlign w:val="center"/>
          </w:tcPr>
          <w:p w:rsidR="00000000" w:rsidRDefault="00000000">
            <w:pPr>
              <w:pStyle w:val="BodyText3"/>
              <w:spacing w:line="288" w:lineRule="auto"/>
              <w:jc w:val="center"/>
              <w:rPr>
                <w:sz w:val="18"/>
                <w:lang w:val="ru-RU"/>
              </w:rPr>
            </w:pPr>
            <w:r>
              <w:rPr>
                <w:sz w:val="18"/>
                <w:lang w:val="ru-RU"/>
              </w:rPr>
              <w:t>26,85</w:t>
            </w:r>
          </w:p>
        </w:tc>
        <w:tc>
          <w:tcPr>
            <w:tcW w:w="376" w:type="pct"/>
            <w:vAlign w:val="center"/>
          </w:tcPr>
          <w:p w:rsidR="00000000" w:rsidRDefault="00000000">
            <w:pPr>
              <w:pStyle w:val="BodyText3"/>
              <w:spacing w:line="288" w:lineRule="auto"/>
              <w:jc w:val="center"/>
              <w:rPr>
                <w:sz w:val="18"/>
                <w:lang w:val="ru-RU"/>
              </w:rPr>
            </w:pPr>
            <w:r>
              <w:rPr>
                <w:sz w:val="18"/>
                <w:lang w:val="ru-RU"/>
              </w:rPr>
              <w:t>26,25</w:t>
            </w:r>
          </w:p>
        </w:tc>
        <w:tc>
          <w:tcPr>
            <w:tcW w:w="376" w:type="pct"/>
            <w:vAlign w:val="center"/>
          </w:tcPr>
          <w:p w:rsidR="00000000" w:rsidRDefault="00000000">
            <w:pPr>
              <w:pStyle w:val="BodyText3"/>
              <w:spacing w:line="288" w:lineRule="auto"/>
              <w:jc w:val="center"/>
              <w:rPr>
                <w:sz w:val="18"/>
                <w:lang w:val="ru-RU"/>
              </w:rPr>
            </w:pPr>
            <w:r>
              <w:rPr>
                <w:sz w:val="18"/>
                <w:lang w:val="ru-RU"/>
              </w:rPr>
              <w:t>25,77</w:t>
            </w:r>
          </w:p>
        </w:tc>
        <w:tc>
          <w:tcPr>
            <w:tcW w:w="376" w:type="pct"/>
            <w:vAlign w:val="center"/>
          </w:tcPr>
          <w:p w:rsidR="00000000" w:rsidRDefault="00000000">
            <w:pPr>
              <w:pStyle w:val="BodyText3"/>
              <w:spacing w:line="288" w:lineRule="auto"/>
              <w:jc w:val="center"/>
              <w:rPr>
                <w:sz w:val="18"/>
                <w:lang w:val="ru-RU"/>
              </w:rPr>
            </w:pPr>
            <w:r>
              <w:rPr>
                <w:sz w:val="18"/>
                <w:lang w:val="ru-RU"/>
              </w:rPr>
              <w:t>25,39</w:t>
            </w:r>
          </w:p>
        </w:tc>
        <w:tc>
          <w:tcPr>
            <w:tcW w:w="376" w:type="pct"/>
            <w:vAlign w:val="center"/>
          </w:tcPr>
          <w:p w:rsidR="00000000" w:rsidRDefault="00000000">
            <w:pPr>
              <w:pStyle w:val="BodyText3"/>
              <w:spacing w:line="288" w:lineRule="auto"/>
              <w:jc w:val="center"/>
              <w:rPr>
                <w:sz w:val="18"/>
                <w:lang w:val="ru-RU"/>
              </w:rPr>
            </w:pPr>
            <w:r>
              <w:rPr>
                <w:sz w:val="18"/>
                <w:lang w:val="ru-RU"/>
              </w:rPr>
              <w:t>25,09</w:t>
            </w:r>
          </w:p>
        </w:tc>
      </w:tr>
    </w:tbl>
    <w:p w:rsidR="00000000" w:rsidRDefault="00000000">
      <w:pPr>
        <w:pStyle w:val="BodyText3"/>
        <w:spacing w:after="240" w:line="288" w:lineRule="auto"/>
        <w:jc w:val="center"/>
        <w:rPr>
          <w:b/>
          <w:spacing w:val="20"/>
          <w:kern w:val="16"/>
          <w:sz w:val="16"/>
          <w:lang w:val="ru-RU"/>
        </w:rPr>
      </w:pPr>
    </w:p>
    <w:p w:rsidR="00000000" w:rsidRDefault="00000000">
      <w:r>
        <w:tab/>
      </w:r>
      <w:r>
        <w:rPr>
          <w:u w:val="single"/>
        </w:rPr>
        <w:t>Источник</w:t>
      </w:r>
      <w:r>
        <w:t>:  Оценочные данные о рождаемости по микрорегионам и муниципальным округам – министерство здравоохранения, 2000 год.</w:t>
      </w:r>
    </w:p>
    <w:p w:rsidR="00000000" w:rsidRDefault="00000000"/>
    <w:p w:rsidR="00000000" w:rsidRDefault="00000000">
      <w:r>
        <w:t>565.</w:t>
      </w:r>
      <w:r>
        <w:tab/>
        <w:t>В 1980-1997 годах в стране наблюдалось резкое падение – с 23,98% до 7,90% – уровня смертности детей в возрасте до одного года и сравнительной доли смертности среди детей этой возрастной группы в общем показателе смертности.  Эти показатели широко различаются по регионам:  от 15,70% в северо-восточном регионе до 5,71% в южном регионе.</w:t>
      </w:r>
    </w:p>
    <w:p w:rsidR="00000000" w:rsidRDefault="00000000"/>
    <w:p w:rsidR="00000000" w:rsidRDefault="00000000">
      <w:r>
        <w:t>566.</w:t>
      </w:r>
      <w:r>
        <w:tab/>
        <w:t>В 1980-1997 годах в Бразилии отмечалось существенное изменение в основных причинах смертности среди детей в возрасте до одного года.  Перинатальная смертность, обусловленная качеством ухода во время беременности и родов, а также смертность среди новорожденных, на которую в 1980 году приходилось чуть выше одной четверти всех смертей в этой возрастной группе (28,71%), в относительном выражении увеличилась до почти половины всех смертей в младенческом возрасте в 1997 году (52,75%).  Это увеличение во многом носит относительный характер и свидетельствует об уменьшении показателей смертности по другим причинам, что могло быть вызвано улучшением базового медико-санитарного обслуживания, особенно в том, что касается болезней, возникающих в постнеонатальный период (инфекционных, паразитических и респираторных заболеваний), а также снижением числа случаев невыявленных причин смерти.</w:t>
      </w:r>
    </w:p>
    <w:p w:rsidR="00000000" w:rsidRDefault="00000000"/>
    <w:p w:rsidR="00000000" w:rsidRDefault="00000000">
      <w:r>
        <w:t>567.</w:t>
      </w:r>
      <w:r>
        <w:tab/>
        <w:t xml:space="preserve">Самое существенное сокращение младенческой смертности за прошедшие несколько лет наблюдалось на постнеонатальной стадии, причем начиная с 1993 года преобладающим был неонатальный компонент.  </w:t>
      </w:r>
    </w:p>
    <w:p w:rsidR="00000000" w:rsidRDefault="00000000"/>
    <w:p w:rsidR="00000000" w:rsidRDefault="00000000">
      <w:r>
        <w:t>568.</w:t>
      </w:r>
      <w:r>
        <w:tab/>
        <w:t>Смертность от инфекционных и паразитических заболеваний, включая заболевания, которые могут быть предотвращены путем иммунизации, и в частности диареи, упала с 21,52% до 9,53%, в результате чего на их долю стала приходиться меньшая, но все еще сравнительно высокая доля смертности, что вызвано большой уязвимостью по отношению к этим заболеваниям.  При этом наблюдалось некоторое снижение смертности от респираторных заболеваний:  с 11,56% до 7,80%.</w:t>
      </w:r>
    </w:p>
    <w:p w:rsidR="00000000" w:rsidRDefault="00000000"/>
    <w:p w:rsidR="00000000" w:rsidRDefault="00000000">
      <w:r>
        <w:t>569.</w:t>
      </w:r>
      <w:r>
        <w:tab/>
        <w:t>Смертность по невыявленным причинам, являющаяся также показателем отсутствия и/или нехватки скорой медицинской помощи, снизилась наполовину по сравнению с началом рассматриваемого периода (с 25,12% до 11,22%), что также свидетельствует об улучшении качества информации, распространяемой системой здравоохранения.</w:t>
      </w:r>
    </w:p>
    <w:p w:rsidR="00000000" w:rsidRDefault="00000000"/>
    <w:p w:rsidR="00000000" w:rsidRDefault="00000000">
      <w:r>
        <w:t>570.</w:t>
      </w:r>
      <w:r>
        <w:tab/>
        <w:t>В 1997 году на долю неонатальной смертности (в возрасте от 0 до 27 дней жизни) приходилось 62,1% смертности среди младенцев в возрасте до одного года, а 79% случаев неонатальной смертности приходилось на первую неделю жизни.  Бо</w:t>
      </w:r>
      <w:r>
        <w:rPr>
          <w:rFonts w:ascii="Tahoma" w:hAnsi="Tahoma" w:cs="Tahoma"/>
        </w:rPr>
        <w:t></w:t>
      </w:r>
      <w:r>
        <w:t>льшая часть смертей в неонатальный период была вызвана перинатальными причинами (связанными с дородовым уходом и условиями, при которых проходили роды), а также с врожденными аномалиями.</w:t>
      </w:r>
    </w:p>
    <w:p w:rsidR="00000000" w:rsidRDefault="00000000"/>
    <w:p w:rsidR="00000000" w:rsidRDefault="00000000">
      <w:r>
        <w:t>571.</w:t>
      </w:r>
      <w:r>
        <w:tab/>
        <w:t>В 1997 году в северо-восточном регионе Бразилии на долю инфекционных и паразитических заболеваний приходилось 13,67% младенческой смертности по сравнению с 6,99% в южном регионе.  Эти данные показывают, что причины смертности в северо-восточном регионе Бразилии по</w:t>
      </w:r>
      <w:r>
        <w:noBreakHyphen/>
        <w:t>прежнему в значительной степени зависят от внешних факторов, в том числе инфекций;  вместе с тем, по мере улучшения социально-экономических условий жизни населения, эти показатели имеют тенденцию к снижению.</w:t>
      </w:r>
    </w:p>
    <w:p w:rsidR="00000000" w:rsidRDefault="00000000"/>
    <w:p w:rsidR="00000000" w:rsidRDefault="00000000">
      <w:r>
        <w:t>572.</w:t>
      </w:r>
      <w:r>
        <w:tab/>
        <w:t>Важная тенденция, касающаяся эпидемиологических норм, которая, безусловно, влияет на структуру населения страны, связана с изменением причин смертности во всех возрастных группах.  При анализе приводимой ниже таблицы 75 прежде всего бросается в глаза неуклонное падение смертности от инфекционных и паразитических заболеваний при одновременном росте смертности от болезней органов кровообращения, которые в 60</w:t>
      </w:r>
      <w:r>
        <w:noBreakHyphen/>
        <w:t>е годы стали основной причиной смертности, а также при росте смертности от внешних причин и респираторных заболеваний и, кроме того, неоплазии.</w:t>
      </w:r>
    </w:p>
    <w:p w:rsidR="00000000" w:rsidRDefault="00000000"/>
    <w:p w:rsidR="00000000" w:rsidRDefault="00000000">
      <w:pPr>
        <w:ind w:left="1134" w:hanging="1134"/>
        <w:jc w:val="center"/>
        <w:rPr>
          <w:b/>
          <w:bCs/>
        </w:rPr>
      </w:pPr>
      <w:r>
        <w:rPr>
          <w:b/>
          <w:bCs/>
        </w:rPr>
        <w:br w:type="page"/>
        <w:t>Таблица 75.   Смертность в разбивке по основным причинам смертности в Бразилии, 1979</w:t>
      </w:r>
      <w:r>
        <w:rPr>
          <w:b/>
          <w:bCs/>
        </w:rPr>
        <w:noBreakHyphen/>
        <w:t>1998 годы (в процентах)</w:t>
      </w:r>
    </w:p>
    <w:p w:rsidR="00000000" w:rsidRDefault="00000000">
      <w:pPr>
        <w:jc w:val="center"/>
        <w:rPr>
          <w:b/>
          <w:bCs/>
          <w:sz w:val="22"/>
        </w:rPr>
      </w:pPr>
    </w:p>
    <w:tbl>
      <w:tblPr>
        <w:tblW w:w="0" w:type="auto"/>
        <w:tblInd w:w="30" w:type="dxa"/>
        <w:tblLayout w:type="fixed"/>
        <w:tblCellMar>
          <w:left w:w="14" w:type="dxa"/>
          <w:right w:w="14" w:type="dxa"/>
        </w:tblCellMar>
        <w:tblLook w:val="0000" w:firstRow="0" w:lastRow="0" w:firstColumn="0" w:lastColumn="0" w:noHBand="0" w:noVBand="0"/>
      </w:tblPr>
      <w:tblGrid>
        <w:gridCol w:w="545"/>
        <w:gridCol w:w="1683"/>
        <w:gridCol w:w="1122"/>
        <w:gridCol w:w="1626"/>
        <w:gridCol w:w="1638"/>
        <w:gridCol w:w="1785"/>
        <w:gridCol w:w="951"/>
      </w:tblGrid>
      <w:tr w:rsidR="00000000">
        <w:tblPrEx>
          <w:tblCellMar>
            <w:top w:w="0" w:type="dxa"/>
            <w:bottom w:w="0" w:type="dxa"/>
          </w:tblCellMar>
        </w:tblPrEx>
        <w:trPr>
          <w:cantSplit/>
          <w:trHeight w:val="238"/>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p>
        </w:tc>
        <w:tc>
          <w:tcPr>
            <w:tcW w:w="8805" w:type="dxa"/>
            <w:gridSpan w:val="6"/>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Причины смертности</w:t>
            </w:r>
          </w:p>
        </w:tc>
      </w:tr>
      <w:tr w:rsidR="00000000">
        <w:tblPrEx>
          <w:tblCellMar>
            <w:top w:w="0" w:type="dxa"/>
            <w:bottom w:w="0" w:type="dxa"/>
          </w:tblCellMar>
        </w:tblPrEx>
        <w:trPr>
          <w:trHeight w:val="466"/>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Год</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Инфекционные и паразитические заболевания</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Неоплазия</w:t>
            </w:r>
          </w:p>
        </w:tc>
        <w:tc>
          <w:tcPr>
            <w:tcW w:w="16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Болезни органов кровообращения</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Респираторные заболевания</w:t>
            </w:r>
          </w:p>
        </w:tc>
        <w:tc>
          <w:tcPr>
            <w:tcW w:w="17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Инфекции, полученные в перинатальный период</w:t>
            </w:r>
          </w:p>
        </w:tc>
        <w:tc>
          <w:tcPr>
            <w:tcW w:w="95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Внешние причины</w:t>
            </w:r>
          </w:p>
        </w:tc>
      </w:tr>
      <w:tr w:rsidR="00000000">
        <w:tblPrEx>
          <w:tblCellMar>
            <w:top w:w="0" w:type="dxa"/>
            <w:bottom w:w="0" w:type="dxa"/>
          </w:tblCellMar>
        </w:tblPrEx>
        <w:trPr>
          <w:trHeight w:val="109"/>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1979</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10,3</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8,1</w:t>
            </w:r>
          </w:p>
        </w:tc>
        <w:tc>
          <w:tcPr>
            <w:tcW w:w="16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25,1</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8,1</w:t>
            </w:r>
          </w:p>
        </w:tc>
        <w:tc>
          <w:tcPr>
            <w:tcW w:w="17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7,2</w:t>
            </w:r>
          </w:p>
        </w:tc>
        <w:tc>
          <w:tcPr>
            <w:tcW w:w="95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9,2</w:t>
            </w:r>
          </w:p>
        </w:tc>
      </w:tr>
      <w:tr w:rsidR="00000000">
        <w:tblPrEx>
          <w:tblCellMar>
            <w:top w:w="0" w:type="dxa"/>
            <w:bottom w:w="0" w:type="dxa"/>
          </w:tblCellMar>
        </w:tblPrEx>
        <w:trPr>
          <w:trHeight w:val="238"/>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1984</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7,5</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8,5</w:t>
            </w:r>
          </w:p>
        </w:tc>
        <w:tc>
          <w:tcPr>
            <w:tcW w:w="16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25,8</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7,8</w:t>
            </w:r>
          </w:p>
        </w:tc>
        <w:tc>
          <w:tcPr>
            <w:tcW w:w="17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6,1</w:t>
            </w:r>
          </w:p>
        </w:tc>
        <w:tc>
          <w:tcPr>
            <w:tcW w:w="95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10,2</w:t>
            </w:r>
          </w:p>
        </w:tc>
      </w:tr>
      <w:tr w:rsidR="00000000">
        <w:tblPrEx>
          <w:tblCellMar>
            <w:top w:w="0" w:type="dxa"/>
            <w:bottom w:w="0" w:type="dxa"/>
          </w:tblCellMar>
        </w:tblPrEx>
        <w:trPr>
          <w:trHeight w:val="238"/>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1989</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5,5</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9,9</w:t>
            </w:r>
          </w:p>
        </w:tc>
        <w:tc>
          <w:tcPr>
            <w:tcW w:w="16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28,0</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8,1</w:t>
            </w:r>
          </w:p>
        </w:tc>
        <w:tc>
          <w:tcPr>
            <w:tcW w:w="17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5,0</w:t>
            </w:r>
          </w:p>
        </w:tc>
        <w:tc>
          <w:tcPr>
            <w:tcW w:w="95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12,5</w:t>
            </w:r>
          </w:p>
        </w:tc>
      </w:tr>
      <w:tr w:rsidR="00000000">
        <w:tblPrEx>
          <w:tblCellMar>
            <w:top w:w="0" w:type="dxa"/>
            <w:bottom w:w="0" w:type="dxa"/>
          </w:tblCellMar>
        </w:tblPrEx>
        <w:trPr>
          <w:trHeight w:val="238"/>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1995</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4,3</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11,1</w:t>
            </w:r>
          </w:p>
        </w:tc>
        <w:tc>
          <w:tcPr>
            <w:tcW w:w="16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27,4</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9,3</w:t>
            </w:r>
          </w:p>
        </w:tc>
        <w:tc>
          <w:tcPr>
            <w:tcW w:w="17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4,3</w:t>
            </w:r>
          </w:p>
        </w:tc>
        <w:tc>
          <w:tcPr>
            <w:tcW w:w="95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12,9</w:t>
            </w:r>
          </w:p>
        </w:tc>
      </w:tr>
      <w:tr w:rsidR="00000000">
        <w:tblPrEx>
          <w:tblCellMar>
            <w:top w:w="0" w:type="dxa"/>
            <w:bottom w:w="0" w:type="dxa"/>
          </w:tblCellMar>
        </w:tblPrEx>
        <w:trPr>
          <w:trHeight w:val="250"/>
        </w:trPr>
        <w:tc>
          <w:tcPr>
            <w:tcW w:w="54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1998</w:t>
            </w:r>
          </w:p>
        </w:tc>
        <w:tc>
          <w:tcPr>
            <w:tcW w:w="1683"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5,2</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11,9</w:t>
            </w:r>
          </w:p>
        </w:tc>
        <w:tc>
          <w:tcPr>
            <w:tcW w:w="1626"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27,6</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9,9</w:t>
            </w:r>
          </w:p>
        </w:tc>
        <w:tc>
          <w:tcPr>
            <w:tcW w:w="1785"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3,9</w:t>
            </w:r>
          </w:p>
        </w:tc>
        <w:tc>
          <w:tcPr>
            <w:tcW w:w="951" w:type="dxa"/>
            <w:tcBorders>
              <w:top w:val="single" w:sz="4" w:space="0" w:color="auto"/>
              <w:left w:val="single" w:sz="4" w:space="0" w:color="auto"/>
              <w:bottom w:val="single" w:sz="4" w:space="0" w:color="auto"/>
              <w:right w:val="single" w:sz="4" w:space="0" w:color="auto"/>
            </w:tcBorders>
          </w:tcPr>
          <w:p w:rsidR="00000000" w:rsidRDefault="00000000">
            <w:pPr>
              <w:pStyle w:val="BodyText3"/>
              <w:spacing w:line="288" w:lineRule="auto"/>
              <w:jc w:val="center"/>
              <w:rPr>
                <w:snapToGrid w:val="0"/>
                <w:color w:val="000000"/>
                <w:sz w:val="22"/>
                <w:lang w:val="ru-RU" w:eastAsia="pt-BR"/>
              </w:rPr>
            </w:pPr>
            <w:r>
              <w:rPr>
                <w:snapToGrid w:val="0"/>
                <w:color w:val="000000"/>
                <w:sz w:val="22"/>
                <w:lang w:val="ru-RU" w:eastAsia="pt-BR"/>
              </w:rPr>
              <w:t>12,7</w:t>
            </w:r>
          </w:p>
        </w:tc>
      </w:tr>
    </w:tbl>
    <w:p w:rsidR="00000000" w:rsidRDefault="00000000">
      <w:pPr>
        <w:rPr>
          <w:sz w:val="22"/>
        </w:rPr>
      </w:pPr>
    </w:p>
    <w:p w:rsidR="00000000" w:rsidRDefault="00000000">
      <w:r>
        <w:tab/>
      </w:r>
      <w:r>
        <w:rPr>
          <w:u w:val="single"/>
        </w:rPr>
        <w:t>Источник</w:t>
      </w:r>
      <w:r>
        <w:t>:  Система информации о смертности (</w:t>
      </w:r>
      <w:r>
        <w:rPr>
          <w:lang w:val="en-US"/>
        </w:rPr>
        <w:t>SIM</w:t>
      </w:r>
      <w:r>
        <w:t>/</w:t>
      </w:r>
      <w:r>
        <w:rPr>
          <w:lang w:val="en-US"/>
        </w:rPr>
        <w:t>CENEPI</w:t>
      </w:r>
      <w:r>
        <w:t>/</w:t>
      </w:r>
      <w:r>
        <w:rPr>
          <w:lang w:val="en-US"/>
        </w:rPr>
        <w:t>FUNASA</w:t>
      </w:r>
      <w:r>
        <w:t>).</w:t>
      </w:r>
    </w:p>
    <w:p w:rsidR="00000000" w:rsidRDefault="00000000"/>
    <w:p w:rsidR="00000000" w:rsidRDefault="00000000">
      <w:r>
        <w:t>573.</w:t>
      </w:r>
      <w:r>
        <w:tab/>
        <w:t>Однако анализ причин смертности, основанный на имеющихся данных, требует рассмотрения некоторых вопросов в качественном аспекте.  Основным фактором, который обращает на себя внимание, является высокий процент смертности, вызванной неустановленными симптомами и признаками инфекции;  хотя этот показатель снижается, в 1998 году на его долю еще приходилось 14,9% случаев зарегистрированной смертности.</w:t>
      </w:r>
    </w:p>
    <w:p w:rsidR="00000000" w:rsidRDefault="00000000"/>
    <w:p w:rsidR="00000000" w:rsidRDefault="00000000">
      <w:r>
        <w:t>574.</w:t>
      </w:r>
      <w:r>
        <w:tab/>
        <w:t>Среди хронических инфекционных болезней особое внимание обращают на себя следующие:</w:t>
      </w:r>
    </w:p>
    <w:p w:rsidR="00000000" w:rsidRDefault="00000000"/>
    <w:p w:rsidR="00000000" w:rsidRDefault="00000000">
      <w:r>
        <w:tab/>
        <w:t>а)</w:t>
      </w:r>
      <w:r>
        <w:tab/>
        <w:t>туберкулез, на долю которого в Бразилии ежегодно приходится около 6 000 смертельных случаев.  В 1999 году было отмечено 78 628 случаев заболевания туберкулезом (все клинические), что соответствует показателю заболеваемости в 48,0 случая на 1 000 жителей.  Национальным планом борьбы с туберкулезом, осуществление которого началось в 1998 году, предусматривалось контролируемое лечение с выплатой премии в размере 100 или 150 реалов за каждый случай диагностики и лечения этого заболевания и успешного излечения от него (с выплатой различных сумм в зависимости от того, контролировалось или нет это лечение).  В 2000 году борьба с туберкулезом была объединена с первичной медико-санитарной помощью, и этот план будет осуществляться в 329 приоритетных муниципальных округах, в которых проживает около 50% населения Бразилии и где зарегистрировано 80% случаев этого заболевания;</w:t>
      </w:r>
    </w:p>
    <w:p w:rsidR="00000000" w:rsidRDefault="00000000"/>
    <w:p w:rsidR="00000000" w:rsidRDefault="00000000">
      <w:r>
        <w:tab/>
      </w:r>
      <w:r>
        <w:rPr>
          <w:lang w:val="en-US"/>
        </w:rPr>
        <w:t>b</w:t>
      </w:r>
      <w:r>
        <w:t>)</w:t>
      </w:r>
      <w:r>
        <w:tab/>
        <w:t>заболеваемость проказой в 90</w:t>
      </w:r>
      <w:r>
        <w:noBreakHyphen/>
        <w:t>е годы упала на 80%:  с 17,4 на 1 000 жителей в 1991 году до 3,6 на 1 000 жителей в 1999 году.  Тем не менее в северном, северо-восточном и центрально-западном регионах Бразилии по</w:t>
      </w:r>
      <w:r>
        <w:noBreakHyphen/>
        <w:t>прежнему широко распространены случаи возникновения этой болезни.  На сорок четвертой Всемирной ассамблее здравоохранения в 1991 году Бразилия взяла на себя обязательство ликвидировать проказу, доведя к 2005 году заболеваемость ею до менее одного случая на 1 000 жителей.  Для достижения этой цели мероприятия по борьбе с проказой должны осуществляться всеми подразделениями основной сети здравоохранения, в том числе группами, работающими в рамках Программы работников здравоохранения на уровне общины и Программы охраны здоровья семьи (</w:t>
      </w:r>
      <w:r>
        <w:rPr>
          <w:lang w:val="en-US"/>
        </w:rPr>
        <w:t>ATDS</w:t>
      </w:r>
      <w:r>
        <w:t>/</w:t>
      </w:r>
      <w:r>
        <w:rPr>
          <w:lang w:val="en-US"/>
        </w:rPr>
        <w:t>DAB</w:t>
      </w:r>
      <w:r>
        <w:t>/</w:t>
      </w:r>
      <w:r>
        <w:rPr>
          <w:lang w:val="en-US"/>
        </w:rPr>
        <w:t>MS</w:t>
      </w:r>
      <w:r>
        <w:t>, 2000).</w:t>
      </w:r>
    </w:p>
    <w:p w:rsidR="00000000" w:rsidRDefault="00000000"/>
    <w:p w:rsidR="00000000" w:rsidRDefault="00000000">
      <w:r>
        <w:t>575.</w:t>
      </w:r>
      <w:r>
        <w:tab/>
        <w:t>С точки зрения эпидемиологической ситуации с болезнями, требующими обязательного уведомления, а также эндемичными болезнями (заразными болезнями) существующее положение является сложным и может быть сведено к следующим трем основным тенденциям.</w:t>
      </w:r>
    </w:p>
    <w:p w:rsidR="00000000" w:rsidRDefault="00000000"/>
    <w:p w:rsidR="00000000" w:rsidRDefault="00000000">
      <w:r>
        <w:t>576.</w:t>
      </w:r>
      <w:r>
        <w:tab/>
        <w:t xml:space="preserve">Инфекционные заболевания были либо ликвидированы, либо уровень заболеваемости ими снижается.  Значительные достижения были отмечены в области профилактики большой группы инфекционных заболеваний и борьбы с ними с использованием эффективных методов.  К ним относятся болезни, которые могут быть предотвращены путем иммунизации. </w:t>
      </w:r>
    </w:p>
    <w:p w:rsidR="00000000" w:rsidRDefault="00000000"/>
    <w:p w:rsidR="00000000" w:rsidRDefault="00000000">
      <w:r>
        <w:t>577.</w:t>
      </w:r>
      <w:r>
        <w:tab/>
        <w:t xml:space="preserve">В связи с этой группой заболеваний министерство здравоохранения Бразилии установило соответствующие целевые показатели, включающие сохранение существующей ситуации в области борьбы с этими заболеваниями или даже их ликвидацию в тех случаях, когда эта стратегия может быть осуществлена.  Для достижения этих целей министерство здравоохранения выделило средства на увеличение потенциала муниципальных округов и штатов в области быстрого обнаружения подозрительных случаев при осуществлении эффективных профилактических мер (эпидемиологическое наблюдение);  расширение охвата регулярных кампаний по вакцинации для достижения надлежащих показателей в каждом муниципальном округе;  принятие конкретных стратегий, таких, как проведение диспансеризации и массового обследования при активизации кампаний по вакцинации. </w:t>
      </w:r>
    </w:p>
    <w:p w:rsidR="00000000" w:rsidRDefault="00000000"/>
    <w:p w:rsidR="00000000" w:rsidRDefault="00000000">
      <w:r>
        <w:t>578.</w:t>
      </w:r>
      <w:r>
        <w:tab/>
        <w:t>Дифтерия.  В 1999 году число случаев заболевания дифтерией (4 646) по сравнению с 1980 годом снизилось на 99%.  Сегодня большая часть тех немногих случаев заболевания, которые еще встречаются, приходится на северный и северо-восточный регионы Бразилии, где в 1999 году было зарегистрировано соответственно 20 и 14 случаев.  Смертность от этой болезни за последние два десятилетия также резко сократилась:  с 518 до 13 случаев в год, что соответствует снижению примерно на 98%.</w:t>
      </w:r>
    </w:p>
    <w:p w:rsidR="00000000" w:rsidRDefault="00000000"/>
    <w:p w:rsidR="00000000" w:rsidRDefault="00000000">
      <w:r>
        <w:t>579.</w:t>
      </w:r>
      <w:r>
        <w:tab/>
        <w:t>Коклюш.  С 1982 по 1999 год число случаев заболевания коклюшем снизилось более чем в 50 раз:  с почти 55 000 до немногим более 1 000 в год.</w:t>
      </w:r>
    </w:p>
    <w:p w:rsidR="00000000" w:rsidRDefault="00000000"/>
    <w:p w:rsidR="00000000" w:rsidRDefault="00000000">
      <w:r>
        <w:t>580.</w:t>
      </w:r>
      <w:r>
        <w:tab/>
        <w:t xml:space="preserve">Столбняк.  Заболеваемость столбняком, имевшая спорадический характер, снизилась на 67%:  с 2 226 случаев в 1982 году до 746 случаев в 1998 году.  Изменилось также распределение этого заболевания по возрастным группам, в результате чего около 50% всех случаев заболеваний приходится на пожилых людей.  Исходя из этого, министерство здравоохранения приняло новую стратегию борьбы с этим заболеванием, состоящую в двойной противостолбнячной вакцинации взрослых в рамках кампании, ориентированной на престарелых.  Для смертности от случайной столбнячной инфекции была характерна аналогичная понижательная тенденция:  с 713 случаев в 1982 году до 170 случаев в 1998 году, что соответствовало снижению на 70%.  Министерство здравоохранения также взяло на себя международное обязательство ликвидировать столбняк новорожденных и добилось сокращения числа случаев заболевания этой болезнью на 92% за период с 1982 года по 1999 год.  Смертность от этого заболевания также снизилась в 16 раз:  с 470 случаев в 1982 году до 30 случаев в 1998 году.  </w:t>
      </w:r>
    </w:p>
    <w:p w:rsidR="00000000" w:rsidRDefault="00000000"/>
    <w:p w:rsidR="00000000" w:rsidRDefault="00000000">
      <w:r>
        <w:t>581.</w:t>
      </w:r>
      <w:r>
        <w:tab/>
        <w:t>Полиомиелит, болезнь, которой в 1975 году болело 3 596 детей, была полностью искоренена в Бразилии в 1990</w:t>
      </w:r>
      <w:r>
        <w:rPr>
          <w:lang w:val="en-US"/>
        </w:rPr>
        <w:t> </w:t>
      </w:r>
      <w:r>
        <w:t>году благодаря широкомасштабной регулярной вакцинации и общенациональным кампаниям по вакцинации, которые Бразилия стала первой проводить с 1980 года.  Сохранение полиомиелита на других континентах, в результате чего до полного искоренения этой болезни во всем мире сохраняется риск завоза вирусов, диктует необходимость продолжения практики проведения национальных дней вакцинации и усиления эпидемиологического контроля на предмет обнаружения острого периферического паралича.</w:t>
      </w:r>
    </w:p>
    <w:p w:rsidR="00000000" w:rsidRDefault="00000000"/>
    <w:p w:rsidR="00000000" w:rsidRDefault="00000000">
      <w:r>
        <w:t>582.</w:t>
      </w:r>
      <w:r>
        <w:tab/>
        <w:t>Корь.  Во время эпидемии 70-х годов этой заразной болезнью было поражено 2</w:t>
      </w:r>
      <w:r>
        <w:noBreakHyphen/>
        <w:t>3 млн. детей, но за период с 1980 по 1999 год заболеваемость корью значительно снизилась, хотя время от времени имеют место вспышки этой болезни.  Эта цикличность, при которой эпидемии происходят каждые пять лет, вызвана той скоростью, с которой утрачивается иммунитет в отсутствие надлежащей плановой вакцинации с регулярным широким охватом соответствующих групп населения (свыше 95% младенцев в возрасте менее одного года).  В начале 90-х годов на основании эпидемиологических характеристик кори благодаря наличию высокоэффективной вакцины и в результате серьезной вспышки этой болезни была принята региональная стратегия ее ликвидации.  Первым шагом явилось проведение в 1992 году всеобщей кампании по вакцинации.  Дальнейшие шаги в полной мере осуществлены не были.  После 1992 года регулярная вакцинация от кори не имела надлежащего охвата, а кампанией по вакцинации 1995 года удалось охватить менее 80% детей соответствующей группы, что недостаточно для достижения намеченных целей.</w:t>
      </w:r>
    </w:p>
    <w:p w:rsidR="00000000" w:rsidRDefault="00000000"/>
    <w:p w:rsidR="00000000" w:rsidRDefault="00000000">
      <w:r>
        <w:t>583.</w:t>
      </w:r>
      <w:r>
        <w:tab/>
        <w:t>Эти факторы, наряду с недостаточно отлаженной системой эпидемиологического наблюдения в Бразилии, привели к вспышке этой болезни в конце 1996 года в штате Сан</w:t>
      </w:r>
      <w:r>
        <w:noBreakHyphen/>
        <w:t>Паулу, которая затем распространилась на 18 других штатов (в общей сложности 53 664 случая).  Благодаря проведению общенациональной кампании по вакцинации в июне 1997 года, имевшей надлежащий охват в 95%, а также более строгому эпидемиологическому контролю удалось быстро обнаружить и изолировать потенциальных носителей инфекции, в результате чего эта вспышка была подавлена.  В 1999 году в Бразилии было зарегистрировано лишь 797 случаев заболевания корью - в 66 раз меньше, чем в 1997 году.  Показатели смертности от кори также отражают успехи в борьбе с этой болезнью:  в 1980 году от нее умерли 3 236 человек, причем эта цифра, вероятно, занижена, поскольку сюда не включены смертельные случаи, вызванные осложнениями, например пневмонией, которая часто сопровождает корь.  В прошлом году в Бразилии от кори умер только один человек.  Чтобы закрепить эти достижения и добиться неуклонного продвижения вперед в направлении ликвидации данной болезни, министерство здравоохранения выделило около 4,8 млн. реалов для создания специальной группы, представители которой работают одновременно во всех 27 штатах, предоставляя технические возможности для быстрого обнаружения и изучения всех случаев с подозрением на заболевание корью, осуществляя при этом профилактическую вакцинацию и обеспечивая, чтобы все муниципальные округа добились регулярной вакцинации 95% младенцев в возрасте до одного года.  Кроме того, в июне была проведена дополнительная кампания по вакцинации, которой было охвачено около 15 млн. детей в возрасте до пяти лет по всей Бразилии,  В течение первых шести месяцев 2000 года было зарегистрировано лишь 32 случая заболевания корью, некоторые из которых еще изучаются, что укрепило надежду Бразилии на достижение поставленной ею цели по ликвидации этой болезни в ходе текущего года таким образом, чтобы к декабрю в стране не было зарегистрировано ни одного случая заболевания корью.</w:t>
      </w:r>
    </w:p>
    <w:p w:rsidR="00000000" w:rsidRDefault="00000000"/>
    <w:p w:rsidR="00000000" w:rsidRDefault="00000000">
      <w:r>
        <w:t>584.</w:t>
      </w:r>
      <w:r>
        <w:tab/>
        <w:t>Бешенство.  Случаи бешенства среди людей сократились в семь раз по сравнению с показателем, который ежегодно регистрировался в течение последних двух десятилетий:  со 173 случаев в 1980 году до 26 случаев в 1999 году, что представляет собой снижение на 85%.  Случаи этого заболевания в настоящее время отмечаются только в северном и северо-восточном регионах Бразилии.</w:t>
      </w:r>
    </w:p>
    <w:p w:rsidR="00000000" w:rsidRDefault="00000000"/>
    <w:p w:rsidR="00000000" w:rsidRDefault="00000000">
      <w:r>
        <w:t>585.</w:t>
      </w:r>
      <w:r>
        <w:tab/>
        <w:t xml:space="preserve">Бешенство, передаваемое домашними животными, было полностью искоренено в южной Бразилии, а также в некоторых штатах юго-востока, а до 2003 года планируется искоренить эту болезнь на территории всей страны.  С этой целью будет более жестко отслеживаться циркуляция вируса бешенства среди собак и кошек и расширена практика проведения ежегодных кампаний по вакцинации домашних животных.  Важнейшую роль в достижении этих побед в борьбе с заболеваниями, которые могут быть предотвращены путем иммунизации, и их искоренении сыграло недавнее проведение кампаний по вакцинации в рамках Бразильской национальной программы иммунизации (НПИ - </w:t>
      </w:r>
      <w:r>
        <w:rPr>
          <w:i/>
          <w:iCs/>
          <w:lang w:val="en-US"/>
        </w:rPr>
        <w:t>Programa</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Imuniza</w:t>
      </w:r>
      <w:r>
        <w:rPr>
          <w:i/>
          <w:iCs/>
        </w:rPr>
        <w:t>çõ</w:t>
      </w:r>
      <w:r>
        <w:rPr>
          <w:i/>
          <w:iCs/>
          <w:lang w:val="en-US"/>
        </w:rPr>
        <w:t>es</w:t>
      </w:r>
      <w:r>
        <w:t xml:space="preserve">), которые были проведены с широким охватом населения.  В 1998 и 1999 годах в Бразилии был достигнут почти полный охват населения вакцинацией на том уровне, который непосредственно рекомендован в отношении четырех основных вакцин, предусмотренных этой программой. </w:t>
      </w:r>
    </w:p>
    <w:p w:rsidR="00000000" w:rsidRDefault="00000000"/>
    <w:p w:rsidR="00000000" w:rsidRDefault="00000000">
      <w:r>
        <w:t>586.</w:t>
      </w:r>
      <w:r>
        <w:tab/>
        <w:t xml:space="preserve">Болезнь Шагаса.  Помимо болезней, которые могут быть предотвращены путем иммунизации, был также отмечен значительный прогресс в том, что касается перспектив в борьбе с другими инфекционными заболеваниями, некоторые из которых являются в течение многих десятилетий эндемичными для Бразилии, включая болезнь Шагаса.  Эта болезнь, переносимая главным образом триатоминидами (кровососущими насекомыми), известными под названием </w:t>
      </w:r>
      <w:r>
        <w:rPr>
          <w:i/>
          <w:iCs/>
          <w:lang w:val="en-US"/>
        </w:rPr>
        <w:t>barbeiros</w:t>
      </w:r>
      <w:r>
        <w:t>, была широко распространена в Бразилии:  в конце 70</w:t>
      </w:r>
      <w:r>
        <w:noBreakHyphen/>
        <w:t>х годов, согласно оценкам, ежегодно регистрировалось около 100 000 новых случаев.</w:t>
      </w:r>
    </w:p>
    <w:p w:rsidR="00000000" w:rsidRDefault="00000000"/>
    <w:p w:rsidR="00000000" w:rsidRDefault="00000000">
      <w:r>
        <w:t>587.</w:t>
      </w:r>
      <w:r>
        <w:tab/>
        <w:t>В настоящее время благодаря энтомологическому мониторингу, направленному на выявление насекомых - переносчиков этой болезни, а также благодаря проведению кампаний по уничтожению колоний насекомых с использованием особых инсектицидов и улучшению жилищных условий в районах эндемичного распространения этой болезни она поставлена под контроль.  Данные серологического обследования, проведенного среди школьников в возрасте от семи до 14 лет в районе эндемичного распространения этой болезни в 1997 году, показали, что при выборочном обследовании 226 138 детей положительная реакция была отмечена лишь в 325 случаях, что соответствует показателю в 0,14%.  На основании этих результатов и учитывая сокращение района распространения</w:t>
      </w:r>
      <w:r>
        <w:rPr>
          <w:i/>
          <w:iCs/>
        </w:rPr>
        <w:t xml:space="preserve"> </w:t>
      </w:r>
      <w:r>
        <w:rPr>
          <w:i/>
          <w:iCs/>
          <w:lang w:val="en-US"/>
        </w:rPr>
        <w:t>Triatoma</w:t>
      </w:r>
      <w:r>
        <w:rPr>
          <w:i/>
          <w:iCs/>
        </w:rPr>
        <w:t xml:space="preserve"> </w:t>
      </w:r>
      <w:r>
        <w:rPr>
          <w:i/>
          <w:iCs/>
          <w:lang w:val="en-US"/>
        </w:rPr>
        <w:t>infestans</w:t>
      </w:r>
      <w:r>
        <w:t xml:space="preserve">, Международный комитет специалистов, учрежденный Панамериканской организацией здравоохранения (ПАОЗ) и странами Южного Конуса для оценки эпидемиологической ситуации в соответствующих странах, в марте этого года выдал свидетельство, в котором подтверждается прекращение переноса инфекции </w:t>
      </w:r>
      <w:r>
        <w:rPr>
          <w:i/>
          <w:iCs/>
          <w:lang w:val="en-US"/>
        </w:rPr>
        <w:t>T</w:t>
      </w:r>
      <w:r>
        <w:rPr>
          <w:i/>
          <w:iCs/>
        </w:rPr>
        <w:t>. </w:t>
      </w:r>
      <w:r>
        <w:rPr>
          <w:i/>
          <w:iCs/>
          <w:lang w:val="en-US"/>
        </w:rPr>
        <w:t>infestans</w:t>
      </w:r>
      <w:r>
        <w:t>, шести бразильским штатам:  Сан-Паулу, Рио-де-Жанейро, Параиба, Мату-Гроссу, Мату-Гросу-ду-Сул и Гояс.  В течение этого года будут также сертифицированы четыре других штата, где соответствующие исследования близятся к завершению.</w:t>
      </w:r>
    </w:p>
    <w:p w:rsidR="00000000" w:rsidRDefault="00000000"/>
    <w:p w:rsidR="00000000" w:rsidRDefault="00000000">
      <w:r>
        <w:t>588.</w:t>
      </w:r>
      <w:r>
        <w:tab/>
        <w:t>Проказа.  Заболеваемость другими эндемичными болезнями, такими, как проказа, значительно снизилась (с 16,4 на 1 000 жителей в 1985 году до 4,3 в 1998 году), что приближается к целевому показателю, предложенному Всемирной организацией здравоохранения (ВОЗ), которая намеревается ликвидировать эту болезнь, доведя заболеваемость ею до показателя 1,0 на 10 000 жителей.</w:t>
      </w:r>
    </w:p>
    <w:p w:rsidR="00000000" w:rsidRDefault="00000000"/>
    <w:p w:rsidR="00000000" w:rsidRDefault="00000000">
      <w:r>
        <w:t>589.</w:t>
      </w:r>
      <w:r>
        <w:tab/>
        <w:t>Инфекционные заболевания.  Некоторые инфекционные заболевания носят устойчивый характер и включены в Бразильскую программу по решению проблем в области здравоохранения.  Недавно было начато осуществление новых масштабных стратегий по борьбе с этой группой заболеваний, предусматривающих усиление координации между профилактическими мероприятиями и мероприятиями по борьбе с соответствующими болезнями.  В рамках сети по оказанию помощи, к которой сводится основная часть данных мероприятий, основное внимание уделяется диагностике и лечению больных для предупреждения передачи инфекции.</w:t>
      </w:r>
    </w:p>
    <w:p w:rsidR="00000000" w:rsidRDefault="00000000"/>
    <w:p w:rsidR="00000000" w:rsidRDefault="00000000">
      <w:r>
        <w:t>590.</w:t>
      </w:r>
      <w:r>
        <w:tab/>
        <w:t xml:space="preserve">Кроме того, важно подчеркнуть необходимость многосекторальных действий по профилактике этой группы заболеваний и борьбе с ними, поскольку многие причины их возникновения не связаны с областью здравоохранения:  быстрый рост городов без создания надлежащей инфраструктуры, изменения в окружающей среде, обезлесение, расширение сельскохозяйственных угодий, потоки мигрантов, осуществление таких крупномасштабных проектов развития инфраструктуры, как строительство автострад и гидроэлектростанций и т.д.  К самым распространенным заболеваниям этого типа относятся малярия и туберкулез. </w:t>
      </w:r>
    </w:p>
    <w:p w:rsidR="00000000" w:rsidRDefault="00000000"/>
    <w:p w:rsidR="00000000" w:rsidRDefault="00000000">
      <w:r>
        <w:t>591.</w:t>
      </w:r>
      <w:r>
        <w:tab/>
        <w:t>Малярия.</w:t>
      </w:r>
      <w:r>
        <w:tab/>
        <w:t>В 40-е годы малярией болело около 6 млн. бразильцев по всей стране.  Однако изменения в социальной структуре и активная борьба с этим заболеванием в рамках соответствующей программы поставили эту болезнь под относительный контроль, в результате чего в год отмечается менее 100 000 случаев, главным образом в районах, граничащих с тропическими лесами Амазонки.  Начиная с 70-80-х годов осуществление проектов по освоению Амазонии, включая строительство новых автострад и гидроэлектростанций, расширение масштабов незаконной добычи полезных ископаемых и т.д. вызвали массовые потоки миграции, что привело к крупномасштабным изменениям окружающей среды и способствовало притоку большого количества населения в районы, зараженные малярией.  Это вызвало распространение малярии в северном и центральнозападном регионах Бразилии, в результате чего уровень заболеваемости возрос примерно до 450 000-500 000 случаев в год.  Такие социально-экономические аспекты, как рост спроса на продукцию добывающей промышленности, сопровождавшийся интенсивным заселением сельских районов и притоком большого количества людей вглубь лесных массивов, а также экологические факторы, такие, как изменение количества осадков, способствовали тому, что в течение нескольких лет наблюдался резкий рост заболеваемости (в 1999 году было зарегистрировано свыше 600 000 случаев заболеваний).  Ежегодные колебания числа случаев также связаны с масштабом соответствующих мероприятий по борьбе с этим заболеванием.  Децентрализация Программы борьбы с малярией, которая в настоящее время осуществляется муниципальными округами, вначале привела к улучшению показателей выявления этой инфекции, а затем к увеличению числа отмеченных случаев данного заболевания.  С начала 90</w:t>
      </w:r>
      <w:r>
        <w:noBreakHyphen/>
        <w:t xml:space="preserve">х годов в результате применения новых методов борьбы с этим заболеванием, в соответствии с которыми основное внимание уделяется диагностике и лечению, в Бразилии были достигнуты существенные успехи, в частности снизилась заболеваемость более тяжелыми формами малярии, связанными с </w:t>
      </w:r>
      <w:r>
        <w:rPr>
          <w:i/>
          <w:iCs/>
          <w:lang w:val="en-US"/>
        </w:rPr>
        <w:t>P</w:t>
      </w:r>
      <w:r>
        <w:rPr>
          <w:i/>
          <w:iCs/>
        </w:rPr>
        <w:t xml:space="preserve">. </w:t>
      </w:r>
      <w:r>
        <w:rPr>
          <w:i/>
          <w:iCs/>
          <w:lang w:val="en-US"/>
        </w:rPr>
        <w:t>falciparum</w:t>
      </w:r>
      <w:r>
        <w:t>, что нашло свое отражение в снижении смертности от малярии примерно на 84% в течение десятилетия.  В настоящее время малярия встречается главным образом в штатах Амазонии, особенно в штатах Амазонас и Пара, на которые приходится около 70% всех случаев, зарегистрированных в стране.  В других частях страны, на которые приходится лишь 0,3% от общего числа зарегистрированных случаев, малярия обычно завозится из Амазонии или других стран.  В настоящее время министерство здравоохранения осуществляет программу интенсивных мероприятий по сокращению заболеваемости малярией на 50% к 2001 году, выделив на эти цели в общей сложности около 143 млн. реалов.   Эти средства направляются главным образом на цели децентрализации, в рамках которой вопросы диагностики и лечения переводятся в ведение штатов и муниципальных округов, что ускоряет и облегчает доступ к медицинской помощи для общин Амазонии, в частности благодаря объединению работников здравоохранения на уровне общины с группами охраны здоровья семьи, осуществления широкомасштабных мероприятий по борьбе с переносчиками болезни, в частности путем обработки домов инсектицидами, а также проведения таких природоохранных мероприятий, как осушение и очистка прудов и заливов в затронутых малярией городских районах, например в Манаусе и Порту-Велью.  В первой половине 2000 года по сравнению с первыми шестью месяцами 1999 года, число случаев заболевания малярией в штате Амазонас уже снизилось на 30%, что свидетельствует о том, что путем дальнейшего принятия этих адресных и комплексных мер можно достичь намеченных целей.</w:t>
      </w:r>
    </w:p>
    <w:p w:rsidR="00000000" w:rsidRDefault="00000000"/>
    <w:p w:rsidR="00000000" w:rsidRDefault="00000000">
      <w:r>
        <w:t>592.</w:t>
      </w:r>
      <w:r>
        <w:tab/>
        <w:t xml:space="preserve">Туберкулез.  После существенного снижения вследствие введения новых программ лечения в 70-е и 80-е годы заболеваемость туберкулезом стабилизировалась на уровне 90 000-100 000 случаев в год.  Принятая модель борьбы с этим заболеванием была чрезмерно централизованной с точки зрения оказания помощи и предполагала длительный период лечения в течение не менее шести месяцев;  среди прочего, ситуация усугублялась вследствие увеличения плотности населения в населенных беднотой пригородах крупных городов, не имеющих надлежащих санитарных условий.  Будучи болезнью, сопутствующей СПИДу, туберкулез в настоящее время вновь начал распространяться во всем мире.  В Бразилии около 25% больных СПИДом страдают от туберкулеза в качестве сопутствующей болезни.  В целях лечения туберкулеза министерством здравоохранения и другими подразделениями Единой системы здравоохранения Бразилии (ЕСЗ) недавно были выделены инвестиции и осуществлены соответствующие мероприятия, направленные на децентрализацию ухода за больными и внедрение новых способов непрерывного лечения, а также усовершенствованы средства выявления новых случаев, вследствие чего показатель эффективности лечения увеличился.  Эта стратегия также включает выплату премий за успешное лечение, что позволяет добиться позитивных результатов в течение последующих нескольких лет.  </w:t>
      </w:r>
    </w:p>
    <w:p w:rsidR="00000000" w:rsidRDefault="00000000"/>
    <w:p w:rsidR="00000000" w:rsidRDefault="00000000">
      <w:r>
        <w:t>593.</w:t>
      </w:r>
      <w:r>
        <w:tab/>
        <w:t xml:space="preserve">Менингит.  Эта болезнь проявляется в воспалении оболочек головного и спинного мозга, вызываемом различными инфекционными (вирусы, бактерии, грибки и простейшие) и другими возбудителями.  Основную озабоченность органов здравоохранения и групп эпидемиологического контроля вызывает прежде всего инфекционный менингит, вызванный этиологическими факторами.  Клиническая картина различных видов менингита бывает самой различной:  от малосимптомных вариантов до более тяжелых случаев, которые могут иногда привести к смерти.  Отличаясь сложностью и многообразием форм, менингит может быть вызван различными заболеваниями, требующими различных подходов со стороны органов здравоохранения и разных мер профилактики и борьбы.  Наибольшую проблему для здравоохранения создают бактериальные и вирусные формы менингита в силу широты их распространения, возможностей передачи, патогенности и социальных последствий.  Среди первой категории следует особо выделить менингококковый менингит, а также менингит, вызываемый </w:t>
      </w:r>
      <w:r>
        <w:rPr>
          <w:i/>
          <w:iCs/>
          <w:lang w:val="en-US"/>
        </w:rPr>
        <w:t>Haemophilus</w:t>
      </w:r>
      <w:r>
        <w:rPr>
          <w:i/>
          <w:iCs/>
        </w:rPr>
        <w:t xml:space="preserve"> </w:t>
      </w:r>
      <w:r>
        <w:rPr>
          <w:i/>
          <w:iCs/>
          <w:lang w:val="en-US"/>
        </w:rPr>
        <w:t>influen</w:t>
      </w:r>
      <w:r>
        <w:rPr>
          <w:i/>
          <w:iCs/>
        </w:rPr>
        <w:t>z</w:t>
      </w:r>
      <w:r>
        <w:rPr>
          <w:i/>
          <w:iCs/>
          <w:lang w:val="en-US"/>
        </w:rPr>
        <w:t>a</w:t>
      </w:r>
      <w:r>
        <w:rPr>
          <w:i/>
          <w:iCs/>
        </w:rPr>
        <w:t>е</w:t>
      </w:r>
      <w:r>
        <w:t xml:space="preserve"> типа В, менингит вызываемый пневмококком и туберкулезный менингит.  Менингококковый менингит встречается почти во всем мире, но особенно распространен в Африке к югу от Сахары, где заболеваемость в некоторых странах достигает 150 случаев на 1 000 жителей в год, что в 50 раз превышает соответствующие показатели по Бразилии.  В Бразилии большая вспышка менингококкового менингита произошла в 70-е годы, когда эпицентр болезни находился в Сан-Паулу, после чего она распространилась по всей стране.  В то время для защиты населения была проведена массовая кампания по вакцинации с применением французской вакцины типа А+С, которая никогда ранее не использовалась в таких масштабах и которая не доказала своей эффективности.  Эта эпидемия была поставлена под контроль, возможно, в силу совокупного воздействия двух факторов - использования вакцины и того обстоятельства, что был исчерпан контингент лиц, особенно подверженных этому заболеванию.  Однако этот кажущийся "успех" породил среди бразильского населения ошибочное представление о том, что профилактика менингококкового менингита возможна путем иммунизации.  Начиная с 80</w:t>
      </w:r>
      <w:r>
        <w:noBreakHyphen/>
        <w:t xml:space="preserve">х годов в Бразилии произошли серьезные изменения эпидемиологической картины заболевания менингококковым менингитом, в результате чего более широкое распространение получил менингит типа В.  Для этого вида менингита существует только одна вакцина, изготавливаемая на Кубе, которая недоступна для всеобщего использования и применение которой в Бразилии дало несколько смешанные результаты.  Некоторые виды менингита являются эндемичными для Бразилии и почти каждой другой страны мира.  Это означает, что определенное количество случаев заболевания менингитом наблюдается каждый год, и это является "нормальной" картиной для данного заболевания.  В 90-е годы в Бразилии отмечалось в среднем 28 000 случаев заболевания всеми видами менингита в год, причем на долю менингококкового менингита приходилось порядка 20% этих случаев, т.е. в среднем 5 400 случаев в год.  В 80-е и 90-е годы отмечались локализованные вспышки менингококкового менингита, а в первой половине 90-х годов имело место увеличение числа "ожидаемых" случаев, т.е. увеличение на эндемическом уровне, которое еще не получило полного объяснения.  Среди мер, принятых министерством здравоохранения и другими органами в рамках Единой системы здравоохранения Бразилии для борьбы с различными видами менингита, наряду с мероприятиями по эпидемиологическому наблюдению, следует отметить совершенствование методов лабораторной диагностики и терапии, что приводит к реальному сокращению смертности от этой болезни;  надлежащее применение таких мер, как химиопрофилактика;  использование противоменингококковой вакцины, чья эффективность была уже доказана во время вспышек;  введение в практику применения вакцины против </w:t>
      </w:r>
      <w:r>
        <w:rPr>
          <w:i/>
          <w:iCs/>
          <w:lang w:val="en-US"/>
        </w:rPr>
        <w:t>Haemophilus</w:t>
      </w:r>
      <w:r>
        <w:rPr>
          <w:i/>
          <w:iCs/>
        </w:rPr>
        <w:t xml:space="preserve"> </w:t>
      </w:r>
      <w:r>
        <w:rPr>
          <w:i/>
          <w:iCs/>
          <w:lang w:val="en-US"/>
        </w:rPr>
        <w:t>influenzae</w:t>
      </w:r>
      <w:r>
        <w:t xml:space="preserve"> типа В, которая теперь включена в основную программу иммунизации всех младенцев в возрасте до одного года в Бразилии.  </w:t>
      </w:r>
      <w:r>
        <w:rPr>
          <w:i/>
          <w:iCs/>
          <w:lang w:val="en-US"/>
        </w:rPr>
        <w:t>Haemophilus</w:t>
      </w:r>
      <w:r>
        <w:rPr>
          <w:i/>
          <w:iCs/>
        </w:rPr>
        <w:t xml:space="preserve"> </w:t>
      </w:r>
      <w:r>
        <w:rPr>
          <w:i/>
          <w:iCs/>
          <w:lang w:val="en-US"/>
        </w:rPr>
        <w:t>influenzae</w:t>
      </w:r>
      <w:r>
        <w:t xml:space="preserve"> типа В является одним из основных возбудителей тяжелых форм менингита среди младенцев в возрасте до одного года, для которого характерна высокая смертность, составляющая около 8%, и который может вызывать осложнения, в том числе серьезные, включая умственную отсталость и глухоту.</w:t>
      </w:r>
    </w:p>
    <w:p w:rsidR="00000000" w:rsidRDefault="00000000"/>
    <w:p w:rsidR="00000000" w:rsidRDefault="00000000">
      <w:r>
        <w:t>594.</w:t>
      </w:r>
      <w:r>
        <w:tab/>
        <w:t>Новые и повторно возникающие инфекционные заболевания.  Третья группа заболеваний в Бразилии связана с наблюдающимся во всем мире явлением возникновения и повторного появления инфекционных заболеваний, включая появление СПИДа в начале 80-х годов, повторное появление в 1991 году холеры перуанского происхождения, а также эпидемию лихорадки денге, ставшей одной из приоритетных проблем в области здравоохранения в Южной Америке и Бразилии в конце 90-х годов.</w:t>
      </w:r>
    </w:p>
    <w:p w:rsidR="00000000" w:rsidRDefault="00000000"/>
    <w:p w:rsidR="00000000" w:rsidRDefault="00000000">
      <w:r>
        <w:t>595.</w:t>
      </w:r>
      <w:r>
        <w:tab/>
        <w:t>СПИД.  Первый случай заболевания СПИДом был выявлен в Бразилии в начале 80</w:t>
      </w:r>
      <w:r>
        <w:noBreakHyphen/>
        <w:t>х годов, после чего это заболевание получило быстрое распространение, и уже в 1996 году было зарегистрировано 20 714 новых случаев.  С тех пор темпы его распространения замедлились, что нашло свое отражение в снижении уровней заболеваемости, а также значительном сокращении смертности.  Министерство здравоохранения постоянно проводит кампании по профилактике СПИДа, гарантируя лечение с использованием антивирусных препаратов для всех пациентов и вводя более жесткие меры контроля в отношении переливания крови.</w:t>
      </w:r>
    </w:p>
    <w:p w:rsidR="00000000" w:rsidRDefault="00000000"/>
    <w:p w:rsidR="00000000" w:rsidRDefault="00000000">
      <w:r>
        <w:t>596.</w:t>
      </w:r>
      <w:r>
        <w:tab/>
        <w:t>Холера.  Эпидемия холеры достигла рекордного уровня в Бразилии в 1993 году, когда было зарегистрировано 60 340 случаев заболевания.  Благодаря усилиям государственной системы здравоохранения удалось сократить этот показатель более чем в 13 раз (92%), несмотря на неудовлетворительные санитарно-гигиенические условия жизни части населения, способствующие распространению и сохранению этого заболевания.  В 1998 и 1999 годах северо-восток Бразилии пострадал от засухи, приведшей к серьезным перебоям с водоснабжением, которые наблюдались даже в столицах штатов, что создало условия для повторного появления этой болезни.  Однако министерство здравоохранения активизировало свою деятельность по профилактике и эпидемиологическому контролю в этом регионе, когда министр здравоохранения Жозе Серра развернул кампанию по санитарному просвещению населения и организовал распределение гипохлорита натрия в муниципальном округе Мажор Изидору штата Алагоас через посредство Программы работников здравоохранения на уровне общин.  Согласно соглашениям с управлениями по делам здравоохранения штатов по линии ФУНАСА было выделено около 2,3 млн. реалов на укрепление мероприятий по мониторингу речных бассейнов северо-востока Бразилии в дополнение к 5 157 683,66 реалам, выделенным на нужды водоснабжения районов, пострадавших от засухи.  В настоящее время заболевания холерой носят локализованный характер, ее вспышки возникают главным образом в небольших деревнях северо-востока Бразилии, имеющих ограниченный доступ к очищенной воде и не имеющих надлежащей системы отвода сточных вод.  В 1999 году наблюдалась вспышка в порту Паранагуа, когда болезнь, вероятно, была занесена водителями грузовиков, прибывшими с северо-востока Бразилии.  Однако всего за несколько недель она была поставлена под контроль, что продемонстрировало возможности сектора здравоохранения Бразилии оперативно реагировать на возникающие проблемы и обеспечивать быстрый контроль и ликвидацию этой болезни в тех местах, где имеются надлежащие санитарные условия.  В текущем году наблюдалось существенное сокращение как числа случаев заболевания холерой, так и географии их распространения.  За первые шесть месяцев года было отмечено около 500 случаев заболевания холерой, причем все они были зарегистрированы в двух штатах северо-востока Бразилии (Пернамбуку и Алагоас), что дает основания рассчитывать на существенное сокращение по сравнению с 1999 годом.</w:t>
      </w:r>
    </w:p>
    <w:p w:rsidR="00000000" w:rsidRDefault="00000000"/>
    <w:p w:rsidR="00000000" w:rsidRDefault="00000000">
      <w:r>
        <w:t>597.</w:t>
      </w:r>
      <w:r>
        <w:tab/>
        <w:t>Лихорадка денге.  Для борьбы с этой болезнью была проведена одна из самых крупных кампаний в области здравоохранения, которые когда-либо развертывались в Бразилии.  В 50-е и 60-е годы комар, являющийся переносчиком этой болезни (</w:t>
      </w:r>
      <w:r>
        <w:rPr>
          <w:i/>
          <w:iCs/>
          <w:lang w:val="en-US"/>
        </w:rPr>
        <w:t>Aedes</w:t>
      </w:r>
      <w:r>
        <w:rPr>
          <w:i/>
          <w:iCs/>
        </w:rPr>
        <w:t xml:space="preserve"> </w:t>
      </w:r>
      <w:r>
        <w:rPr>
          <w:i/>
          <w:iCs/>
          <w:lang w:val="en-US"/>
        </w:rPr>
        <w:t>aegypti</w:t>
      </w:r>
      <w:r>
        <w:t>), был ликвидирован во многих странах Северной и Южной Америки, однако в 70</w:t>
      </w:r>
      <w:r>
        <w:noBreakHyphen/>
        <w:t xml:space="preserve">е годы он вновь появился, что было вызвано несовершенством системы эпидемиологического наблюдения, а также социальными и экологическими изменениями, сопровождавшими быстрый рост городов в тот период времени.  В настоящее время этот переносчик встречается на больших пространствах Южной и Северной Америки от Уругвая до юга Соединенных Штатов Америки, причем значительные вспышки лихорадки денге были отмечены в таких странах, как Венесуэла, Куба, Бразилия и - совсем недавно - Парагвай.  Трудность уничтожения этого комара, который живет и размножается в самых различных емкостях, способных удерживать дождевую воду (выбрасываемые в мусор бутылки, консервные банки и автомобильные покрышки), обусловила огромные усилия со стороны сектора здравоохранения, который выделял на эти нужды около 1 млн. реалов в день.  Будучи тесно увязанными с другими мерами правительства, включая программы удаления мусора и очистки городов, эти действия также способствовали повышению информированности общества о необходимости того, чтобы общины сами заботились об уничтожении этого вида комаров в их районах при одновременном ужесточении эпидемиологического контроля.  Все это вполне могло бы способствовать сохранению понижательной тенденции, которая уже наблюдалась в 1998 и 1999 годах, когда число случаев заболеваний снизалось с 557 699 до 211 267, т.е. на 64%.  </w:t>
      </w:r>
    </w:p>
    <w:p w:rsidR="00000000" w:rsidRDefault="00000000"/>
    <w:p w:rsidR="00000000" w:rsidRDefault="00000000">
      <w:r>
        <w:t>598.</w:t>
      </w:r>
      <w:r>
        <w:tab/>
        <w:t>Индийский висцеральный лейшманиоз.  Это - болезнь, встречающаяся  главным образом в лесах и известная также под названием кала-азар, картина протекания которой изменилась под воздействием новых социальных и экологических условий.  К их числу относятся обезлесение, способствовавшее сокращению числа организмов, могущих служить источником питания для комара - переносчика этой болезни, в результате чего единственной альтернативой становятся собаки и люди, а также потоки миграции из сельских районов, где эта болезнь носила эндемичный характер, а также увеличение популяции собак на окраинах крупных городов.  Кроме того, до сих пор еще не найдено по-настоящему эффективных способов профилактики этой болезни.  Эпидемиология висцерального лейшманиоза является цикличной и предполагает регулярные вспышки этого заболевания в среднем через каждые пять лет, что обусловливает повышательную тенденцию, наблюдающуюся с 1980 года по настоящее время.  Рост заболеваемости, отмечающийся в последние годы, сопровождается тенденцией к изменению географии этой болезни, в результате чего случаи заболевания стали отмечаться на окраинах таких крупных городов, как Белу-Оризонти и Форталеза, что свидетельствует о расширении района обычного распространения этой болезни.  В рамках мер по борьбе с этой болезнью основное внимание уделяется выявлению и ликвидации ее носителей, особенно собак, борьбе с переносчиком, а также надлежащей диагностике и лечению.  Выработке более эффективных мер борьбы будет способствовать расширение научных знаний о конкретной роли каждого звена в цепи передачи висцерального лейшманиоза, однако специалисты еще не пришли к окончательному выводу по этим вопросам.</w:t>
      </w:r>
    </w:p>
    <w:p w:rsidR="00000000" w:rsidRDefault="00000000"/>
    <w:p w:rsidR="00000000" w:rsidRDefault="00000000">
      <w:r>
        <w:t>599.</w:t>
      </w:r>
      <w:r>
        <w:tab/>
        <w:t xml:space="preserve">Желтая лихорадка.  Существуют два типа этой болезни:  тип, характерный для городов и джунглей.  В Бразилии городской тип желтой лихорадки был ликвидирован в 1942 году, в то время как тип лихорадки, расположенный в джунглях, не может быть ликвидирован, поскольку для этой болезни характерен широкий цикл естественной циркуляции среди приматов, обитающих в тропических лесах.  </w:t>
      </w:r>
    </w:p>
    <w:p w:rsidR="00000000" w:rsidRDefault="00000000"/>
    <w:p w:rsidR="00000000" w:rsidRDefault="00000000">
      <w:r>
        <w:t>600.</w:t>
      </w:r>
      <w:r>
        <w:tab/>
        <w:t>Хотя в Бразилии отмечается меньшее число случаев заболевания желтой лихорадкой джунглей, чем в большинстве других стран бассейна Амазонки (например, в Перу в 1998 году было зарегистрировано 165 случаев), этой болезни по</w:t>
      </w:r>
      <w:r>
        <w:noBreakHyphen/>
        <w:t xml:space="preserve">прежнему уделяется пристальное внимание, проявляющееся в разработке новых стратегий вакцинации в целях защиты той части населения Бразилии, которая проживает в эндемичных районах (Амазония и центральнозападный регион).  С апреля 1998 года в рамках кампании, развернутой министром здравоохранения Жозе Серра в Мату-Гроссу, была активизирована вакцинация против желтой лихорадки в эндемичном районе этого заболевания для обеспечения полного охвата всех жителей.  К 1998 году в результате проведения этой расширенной кампании среднее число лиц, прошедших вакцинацию в Бразилии, увеличилось в четыре раза, достигнув 12 млн. человек.  Эти мероприятия были продолжены в 1999 году с уделением особого внимания жителям труднодоступных районов и распространением вакцинации на районы, прилегающие к эндемичным районам болезни, в результате чего была проведена вакцинация общин в </w:t>
      </w:r>
      <w:r>
        <w:rPr>
          <w:i/>
          <w:iCs/>
        </w:rPr>
        <w:t xml:space="preserve">Triângulo Mineiro </w:t>
      </w:r>
      <w:r>
        <w:t>(штат Минас-Жерайс), а также на севере и северо-востоке штатов Сан-Паулу и Парана.  К 1999 году прививками против желтой лихорадки было охвачено 16 млн. человек.  Было также усилено эпидемиологическое наблюдение в целях точной регистрации числа случаев заболевания желтой лихорадкой и принятия своевременных мер по изоляции.  Вспышка заболевания, зарегистрированная в Национальном парке Шапада Дус Виадейрус в Алту Параизу, штат Гояс, который в связи с предновогодними праздниками посетило около 3 000 человек, обратила внимание на необходимость обеспечения защиты для новой группы риска:  туристов, направляющихся в сельские районы, и экотуристов.  Министерство здравоохранения, работая в тесном контакте с организациями, занимающимися организацией путешествий и туристических поездок, проводит кампанию по информированию лиц, направляющихся в эндемичные районы этого заболевания, о необходимости предварительной вакцинации, причем эта вакцина имеется во всей сети учреждений здравоохранения.  К июню 2000 года вакцинацию прошли около 8 млн. человек.</w:t>
      </w:r>
    </w:p>
    <w:p w:rsidR="00000000" w:rsidRDefault="00000000"/>
    <w:p w:rsidR="00000000" w:rsidRDefault="00000000">
      <w:r>
        <w:t>601.</w:t>
      </w:r>
      <w:r>
        <w:tab/>
        <w:t>Ханта-вирусы.  Ханта-вирусы являются новым источником заболеваний, имеющих две основные клинические формы:  почечную и легочную.  Почечная форма чаще встречается в Европе и Азии, а легочная характерна главным образом для Северной и Южной Америки, где она встречается почти в каждой стране, причем наибольшее число случаев заболеваний отмечается в Соединенных Штатах Америки и Аргентине.  Заражение людей происходит главным образом вследствие проникновения в дыхательные пути капельных аэрозолей, источником которых являются секреция и экскременты переносчиков заболевания - лесных грызунов.  В Бразилии первые случаи были обнаружены в 1993 году в Сан-Паулу, и в настоящее время случаи этой болезни регистрируются главным образом в южном, юго-восточном и центральнозападном регионах.  Министерство здравоохранения приняло соответствующие меры эпидемиологического контроля, расширило возможности лабораторий по проведению диагностики, изучает надлежащие методы лечения в целях сокращения смертности и исследует характер циркуляции ханта-вируса среди лесных грызунов Бразилии.  Соответствующее обследование осуществляется в этом году по линии Ф</w:t>
      </w:r>
      <w:r>
        <w:rPr>
          <w:caps/>
        </w:rPr>
        <w:t>унаса</w:t>
      </w:r>
      <w:r>
        <w:t xml:space="preserve">.  Эти меры повысили возможности выявления заболевания, позволили получить более точную эпидемиологическую картину ханта-вирусов в Бразилии и способствовали выработке оптимальных мер профилактики этой болезни и борьбы с нею. </w:t>
      </w:r>
    </w:p>
    <w:p w:rsidR="00000000" w:rsidRDefault="00000000"/>
    <w:p w:rsidR="00000000" w:rsidRDefault="00000000">
      <w:r>
        <w:t>602.</w:t>
      </w:r>
      <w:r>
        <w:tab/>
        <w:t>Ниже перечислены меры, которые бразильское правительство считает существенно важными для профилактики болезней и борьбы с ними, осуществляемые через министерство здравоохранения.</w:t>
      </w:r>
    </w:p>
    <w:p w:rsidR="00000000" w:rsidRDefault="00000000"/>
    <w:p w:rsidR="00000000" w:rsidRDefault="00000000">
      <w:r>
        <w:t>603.</w:t>
      </w:r>
      <w:r>
        <w:tab/>
        <w:t xml:space="preserve">Расширение национальной программы иммунизации.  Для сохранения и развития позитивных результатов, достигнутых в борьбе с болезнями, поддающимися профилактике с помощью иммунизации, и их искоренения, министерство здравоохранения активизировало свою профилактическую деятельность.  За последние три года в рамках Национальной программы иммунизации стали использоваться такие вакцины, как вакцина против гепатита В (в масштабах всей страны) и вакцина против </w:t>
      </w:r>
      <w:r>
        <w:rPr>
          <w:i/>
          <w:iCs/>
        </w:rPr>
        <w:t>Haemophilus influenzaе</w:t>
      </w:r>
      <w:r>
        <w:t xml:space="preserve"> типа В;  кроме того, в рамках этой Программы была проведена вакцинация лиц пожилого возраста против гриппа, столбняка и пневмококковой пневмонии.</w:t>
      </w:r>
    </w:p>
    <w:p w:rsidR="00000000" w:rsidRDefault="00000000"/>
    <w:p w:rsidR="00000000" w:rsidRDefault="00000000">
      <w:r>
        <w:t>604.</w:t>
      </w:r>
      <w:r>
        <w:tab/>
        <w:t>В 1999 году вакцинацией против гриппа было охвачено 87,3% населения в возрасте 65 лет и старше, что является одним из самых высоких показателей в мире. В текущем году эта работа будет продолжена в отношении лиц в возрасте 60 лет с охватом около 14 млн. человек.  С учетом этих новых вакцин основная программа вакцинации в Бразилии включает, таким образом, все эффективные вакцины, рекомендованные такими международными организациями, как ПАОЗ и ВОЗ.</w:t>
      </w:r>
    </w:p>
    <w:p w:rsidR="00000000" w:rsidRDefault="00000000"/>
    <w:p w:rsidR="00000000" w:rsidRDefault="00000000">
      <w:r>
        <w:t>605.</w:t>
      </w:r>
      <w:r>
        <w:tab/>
        <w:t>Бюджетные ассигнования на цели проведения иммунобиологических мероприятий увеличились с 37,6 млн. реалов в 1994 году до 217,4 млн. реалов в 1999 году.  Кроме того, были подписаны соглашения о сотрудничестве с бразильскими и иностранными производителями для передачи  технологии и соответственного снижения цен на вакцины.  Так, благодаря этому стоимость противогриппозной вакцины за прошлый год снизилась с 4,24 до 1,85 долл. США за одну дозу.</w:t>
      </w:r>
    </w:p>
    <w:p w:rsidR="00000000" w:rsidRDefault="00000000"/>
    <w:p w:rsidR="00000000" w:rsidRDefault="00000000">
      <w:r>
        <w:t>606.</w:t>
      </w:r>
      <w:r>
        <w:tab/>
        <w:t xml:space="preserve">Проект ВИЖИСУС.  В мире, характеризующемся быстрым исчезновением барьеров между странами, существенное значение имеет укрепление национального потенциала в области прогнозирования, профилактики и обнаружения новых болезней при одновременном контроле за распространением уже существующих заболеваний.  Поэтому министерство здравоохранения через посредство Национального фонда здравоохранения (ФУНАСА - </w:t>
      </w:r>
      <w:r>
        <w:rPr>
          <w:i/>
          <w:iCs/>
          <w:lang w:val="en-US"/>
        </w:rPr>
        <w:t>Fund</w:t>
      </w:r>
      <w:r>
        <w:rPr>
          <w:i/>
          <w:iCs/>
        </w:rPr>
        <w:t>аçã</w:t>
      </w:r>
      <w:r>
        <w:rPr>
          <w:i/>
          <w:iCs/>
          <w:lang w:val="en-US"/>
        </w:rPr>
        <w:t>o</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Sa</w:t>
      </w:r>
      <w:r>
        <w:rPr>
          <w:i/>
          <w:iCs/>
        </w:rPr>
        <w:t>ú</w:t>
      </w:r>
      <w:r>
        <w:rPr>
          <w:i/>
          <w:iCs/>
          <w:lang w:val="en-US"/>
        </w:rPr>
        <w:t>de</w:t>
      </w:r>
      <w:r>
        <w:t>) подписало со Всемирным банком соглашение о кредите на сумму в 600 млн. долл. США для укрепления бразильской Национальной системы профилактических мер в области здравоохранения (</w:t>
      </w:r>
      <w:r>
        <w:rPr>
          <w:i/>
          <w:iCs/>
          <w:lang w:val="en-US"/>
        </w:rPr>
        <w:t>Sistema</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Vigil</w:t>
      </w:r>
      <w:r>
        <w:rPr>
          <w:i/>
          <w:iCs/>
        </w:rPr>
        <w:t>â</w:t>
      </w:r>
      <w:r>
        <w:rPr>
          <w:i/>
          <w:iCs/>
          <w:lang w:val="en-US"/>
        </w:rPr>
        <w:t>ncia</w:t>
      </w:r>
      <w:r>
        <w:rPr>
          <w:i/>
          <w:iCs/>
        </w:rPr>
        <w:t xml:space="preserve"> </w:t>
      </w:r>
      <w:r>
        <w:rPr>
          <w:i/>
          <w:iCs/>
          <w:lang w:val="en-US"/>
        </w:rPr>
        <w:t>em</w:t>
      </w:r>
      <w:r>
        <w:rPr>
          <w:i/>
          <w:iCs/>
        </w:rPr>
        <w:t xml:space="preserve"> </w:t>
      </w:r>
      <w:r>
        <w:rPr>
          <w:i/>
          <w:iCs/>
          <w:lang w:val="en-US"/>
        </w:rPr>
        <w:t>Sa</w:t>
      </w:r>
      <w:r>
        <w:rPr>
          <w:i/>
          <w:iCs/>
        </w:rPr>
        <w:t>ú</w:t>
      </w:r>
      <w:r>
        <w:rPr>
          <w:i/>
          <w:iCs/>
          <w:lang w:val="en-US"/>
        </w:rPr>
        <w:t>de</w:t>
      </w:r>
      <w:r>
        <w:t>).  Его осуществление началось во второй половине 1999 года.  Полученные средства планируется использовать в области эпидемиологического наблюдения, контроля за состоянием окружающей среды, охраны здоровья и борьбы с болезнями в Амазонии, приобретения информационных технологий, оборудования связи и транспортных средств, обновления государственных медицинских лабораторий, реализации программ в области подготовки специалистов и создания потенциала, осуществления исследовательских проектов и многого другого.</w:t>
      </w:r>
    </w:p>
    <w:p w:rsidR="00000000" w:rsidRDefault="00000000"/>
    <w:p w:rsidR="00000000" w:rsidRDefault="00000000">
      <w:r>
        <w:t>607.</w:t>
      </w:r>
      <w:r>
        <w:tab/>
        <w:t>Децентрализация и обеспечение устойчивого притока средств на нужды борьбы с эндемичными болезнями.  В декабре 1999 года министерство здравоохранения и Национальный фонд здравоохранения (ФУНАСА) опубликовали министерский Указ № 1399 и Указ № 950 о принятии Бразилией новой политики в области борьбы с болезнями и эпидемиологической деятельности.  Деятельность в этой области, осуществлявшаяся непосредственно по линии Национального фонда здравоохранения (ФУНАСА), была децентрализована путем передачи соответствующих полномочий штатам и муниципальным округам, что обеспечило более тесную связь с другими основными видами деятельности в области здравоохранения, включая работников здравоохранения на уровне общин, группы охраны здоровья семьи, а также сеть обслуживания по линии Единой системы здравоохранения (ЕСЗ).  Кроме того, был создан стабильный механизм финансирования путем введения предельного уровня финансирования на нужды борьбы с заболеваниями и проведения эпидемиологических мероприятий (</w:t>
      </w:r>
      <w:r>
        <w:rPr>
          <w:i/>
          <w:iCs/>
          <w:lang w:val="en-US"/>
        </w:rPr>
        <w:t>Teto</w:t>
      </w:r>
      <w:r>
        <w:rPr>
          <w:i/>
          <w:iCs/>
        </w:rPr>
        <w:t xml:space="preserve"> </w:t>
      </w:r>
      <w:r>
        <w:rPr>
          <w:i/>
          <w:iCs/>
          <w:lang w:val="en-US"/>
        </w:rPr>
        <w:t>Financeiro</w:t>
      </w:r>
      <w:r>
        <w:rPr>
          <w:i/>
          <w:iCs/>
        </w:rPr>
        <w:t xml:space="preserve"> </w:t>
      </w:r>
      <w:r>
        <w:rPr>
          <w:i/>
          <w:iCs/>
          <w:lang w:val="en-US"/>
        </w:rPr>
        <w:t>de</w:t>
      </w:r>
      <w:r>
        <w:rPr>
          <w:i/>
          <w:iCs/>
        </w:rPr>
        <w:t xml:space="preserve"> </w:t>
      </w:r>
      <w:r>
        <w:rPr>
          <w:i/>
          <w:iCs/>
          <w:lang w:val="en-US"/>
        </w:rPr>
        <w:t>Epidemiologia</w:t>
      </w:r>
      <w:r>
        <w:rPr>
          <w:i/>
          <w:iCs/>
        </w:rPr>
        <w:t xml:space="preserve"> </w:t>
      </w:r>
      <w:r>
        <w:rPr>
          <w:i/>
          <w:iCs/>
          <w:lang w:val="en-US"/>
        </w:rPr>
        <w:t>e</w:t>
      </w:r>
      <w:r>
        <w:rPr>
          <w:i/>
          <w:iCs/>
        </w:rPr>
        <w:t xml:space="preserve"> </w:t>
      </w:r>
      <w:r>
        <w:rPr>
          <w:i/>
          <w:iCs/>
          <w:lang w:val="en-US"/>
        </w:rPr>
        <w:t>Controle</w:t>
      </w:r>
      <w:r>
        <w:rPr>
          <w:i/>
          <w:iCs/>
        </w:rPr>
        <w:t xml:space="preserve"> </w:t>
      </w:r>
      <w:r>
        <w:rPr>
          <w:i/>
          <w:iCs/>
          <w:lang w:val="en-US"/>
        </w:rPr>
        <w:t>de</w:t>
      </w:r>
      <w:r>
        <w:rPr>
          <w:i/>
          <w:iCs/>
        </w:rPr>
        <w:t xml:space="preserve"> </w:t>
      </w:r>
      <w:r>
        <w:rPr>
          <w:i/>
          <w:iCs/>
          <w:lang w:val="en-US"/>
        </w:rPr>
        <w:t>Doen</w:t>
      </w:r>
      <w:r>
        <w:rPr>
          <w:i/>
          <w:iCs/>
        </w:rPr>
        <w:t>ç</w:t>
      </w:r>
      <w:r>
        <w:rPr>
          <w:i/>
          <w:iCs/>
          <w:lang w:val="en-US"/>
        </w:rPr>
        <w:t>as</w:t>
      </w:r>
      <w:r>
        <w:t>), что обеспечит устойчивый приток средств на межфондовой основе, позволит избежать задержек, связанных с передачей средств в рамках соглашений, а также даст возможность выделить на эти нужды дополнительные средства на общую сумму в 518 млн. реалов, передаваемых федеральным правительством штатам и муниципальным округам.  Эти средства будут использованы для осуществления ряда мероприятий, направленных на укрепление деятельности по профилактике болезней и борьбе с ними, в целях достижения намеченных показателей снижения заболеваемости малярией и лихорадки денге, искоренения кори, продолжения деятельности по ликвидации полиомиелита и т.д.  По состоянию на 31 июня мероприятия по борьбе с заболеваниями и осуществлению соответствующих эпидемиологических мероприятий в полном объеме стали осуществляться в 17 штатах и 1 290 муниципальных округах.</w:t>
      </w:r>
    </w:p>
    <w:p w:rsidR="00000000" w:rsidRDefault="00000000"/>
    <w:p w:rsidR="00000000" w:rsidRDefault="00000000">
      <w:r>
        <w:t>608.</w:t>
      </w:r>
      <w:r>
        <w:tab/>
        <w:t>Принятие эпидемиологических критериев для выделения средств на санитарное обустройство.  Начиная с этого года средства Национального фонда здравоохранения (ФУНАСА), выделяемые на санитарное обустройство, будут передаваться штатам и муниципальным округам в соответствии с эпидемиологическими критериями и с уделением первоочередного внимания проектам, наиболее эффективным с точки зрения борьбы с заболеваниями и их профилактики.  Это даст возможность сосредоточить внимание на районах высокого риска, обеспечив увязку мероприятий в области здравоохранения и санитарного обустройства.  Районы распространения болезней, связанные с неблагоприятными санитарными условиями, такие, как шистосомоз, холера, тиф, и болезней, вызывающих высокую младенческую смертность в результате диареи, получат средства для обеспечения доступа к очищенной воде, удаления сточных вод и улучшения социальных условий в отдельных семьях.  Средства, предназначенные для создания надлежащих систем удаления мусора, будут направляться городам с высоким уровнем заражения Aedes aegypti, где плохо налаженная работа по очистке города способствует появлению мест для размножения этих переносчиков заболевания (старые автомобильные покрышки, бутылки и т.д.).  Кроме того, в первоочередном порядке будут выделяться средства для модернизации домов в районах появления переносчиков болезни Шагаса, а также жилищ, условия в которых способствуют распространению этих насекомых.</w:t>
      </w:r>
    </w:p>
    <w:p w:rsidR="00000000" w:rsidRDefault="00000000"/>
    <w:p w:rsidR="00000000" w:rsidRDefault="00000000">
      <w:r>
        <w:t>609.</w:t>
      </w:r>
      <w:r>
        <w:tab/>
        <w:t>Среди новых болезней в Бразилии следует прежде всего назвать СПИД.  Первый случай этого заболевания был отмечен в 1980 году, а к июню 2000 года общее число заболевших достигло 190 949 человек, причем среди лиц в возрасте 15-49 лет, по оценкам, насчитывалось 536 900 ВИЧ</w:t>
      </w:r>
      <w:r>
        <w:noBreakHyphen/>
        <w:t>инфицированных.  В течение последних нескольких лет показатели заболеваемости СПИДом оставались стабильными, составляя примерно 12 случаев на 1 000 жителей, причем с 1995 года наблюдалось снижение уровня смертности.</w:t>
      </w:r>
    </w:p>
    <w:p w:rsidR="00000000" w:rsidRDefault="00000000"/>
    <w:p w:rsidR="00000000" w:rsidRDefault="00000000">
      <w:r>
        <w:t>610.</w:t>
      </w:r>
      <w:r>
        <w:tab/>
        <w:t xml:space="preserve">До настоящего времени эпидемия СПИДа прошла три стадии:  i)  на первой стадии </w:t>
      </w:r>
      <w:r>
        <w:noBreakHyphen/>
        <w:t xml:space="preserve"> до 1986 года </w:t>
      </w:r>
      <w:r>
        <w:noBreakHyphen/>
        <w:t xml:space="preserve"> ею были охвачены прежде всего мужчины</w:t>
      </w:r>
      <w:r>
        <w:noBreakHyphen/>
        <w:t>гомосексуалисты и люди с высоким уровнем образования;  ii)  на второй стадии наблюдался рост заражения среди наркоманов, а также среди лиц более молодого возраста и гетеросексуалов;  iii)  на нынешней стадии наблюдается распространение этой болезни среди гетеросексуалов, особенно женщин (в настоящее время соотношение больных мужчин и женщин составляет 2 к 1), в то время как в начале эпидемии это соотношение составляло 17 к 1), а также рост числа больных среди лиц с низким уровнем образования.</w:t>
      </w:r>
    </w:p>
    <w:p w:rsidR="00000000" w:rsidRDefault="00000000"/>
    <w:p w:rsidR="00000000" w:rsidRDefault="00000000">
      <w:r>
        <w:t>611.</w:t>
      </w:r>
      <w:r>
        <w:tab/>
        <w:t>Другим важным аспектом, на который хотело бы обратить внимание бразильское правительство, являются психические расстройства и отклонения в поведении.  Самые последние данные о распределении психических расстройств в Бразилии были получены на основании обследования, проведенного в 1990</w:t>
      </w:r>
      <w:r>
        <w:noBreakHyphen/>
        <w:t>1991 годах в трех крупных городских агломерациях (Ф.Н. Алмейда, "О психиатрических заболеваниях в крупных городских агломерациях Бразилии", эпидемиологический доклад, подготовленный Единой системой здравоохранения, Национальный фонд здравоохранения/СЕНЕПИ, Бразилия, июнь 1992 года).  Наиболее распространенным видом расстройств являлись неврозы, коэффициент распространенности которых составлял от 7,6% в Сан</w:t>
      </w:r>
      <w:r>
        <w:noBreakHyphen/>
        <w:t>Паулу до 17,6% в столице страны.  Психотическая депрессия была обнаружена среди 14,5% женщин Порту</w:t>
      </w:r>
      <w:r>
        <w:noBreakHyphen/>
        <w:t>Алегри.</w:t>
      </w:r>
    </w:p>
    <w:p w:rsidR="00000000" w:rsidRDefault="00000000"/>
    <w:p w:rsidR="00000000" w:rsidRDefault="00000000">
      <w:r>
        <w:t>612.</w:t>
      </w:r>
      <w:r>
        <w:tab/>
        <w:t>Различными видами алкоголизма страдают от 4,5% до 8,7% населения при наивысшем показателе в 15% среди мужского населения.  Согласно данным 1995 года, причиной 20% госпитализаций по причине психического расстройства являются алкоголизм и наркомания (93% пациентов составляют мужчины), причем на юге страны этот показатель достигает 28%.</w:t>
      </w:r>
    </w:p>
    <w:p w:rsidR="00000000" w:rsidRDefault="00000000"/>
    <w:p w:rsidR="00000000" w:rsidRDefault="00000000">
      <w:r>
        <w:t>613.</w:t>
      </w:r>
      <w:r>
        <w:tab/>
        <w:t>Использование наркотиков путем инъекций является все более распространенным способом передачи СПИДа, на который в 1996 году приходилось 21% от общего числа заболевших.</w:t>
      </w:r>
    </w:p>
    <w:p w:rsidR="00000000" w:rsidRDefault="00000000"/>
    <w:p w:rsidR="00000000" w:rsidRDefault="00000000">
      <w:r>
        <w:t>614.</w:t>
      </w:r>
      <w:r>
        <w:tab/>
        <w:t>В Бразилии осуществляется эффективная национальная политика в области здравоохранения.  Согласно Конституции 1988 года, все граждане страны имеют право на охрану здоровья, которая обеспечивается государством.  Этот принцип лежит в основе Закона № 8080 от 19 сентября 1990 года, регулирующего предоставление услуг и осуществление мероприятий в области здравоохранения физическими или юридическими лицами, созданными в соответствии с публичным или частным правом.</w:t>
      </w:r>
    </w:p>
    <w:p w:rsidR="00000000" w:rsidRDefault="00000000"/>
    <w:p w:rsidR="00000000" w:rsidRDefault="00000000">
      <w:r>
        <w:t>615.</w:t>
      </w:r>
      <w:r>
        <w:tab/>
        <w:t>В определенной степени можно утверждать, что политика бразильского правительства в области здравоохранения все больше учитывает предложения ВОЗ об услугах по оказанию первичной медико-санитарной помощи.  Это находит свое отражение в Программе охраны здоровья семьи, Программе работников здравоохранения на уровне общины и Программе порогового показателя основных медицинских услуг, причем осуществление последней предусматривает прямое выделение финансовых средств федеральным правительством муниципальным округам, в частности на нужды программ профилактического характера.</w:t>
      </w:r>
    </w:p>
    <w:p w:rsidR="00000000" w:rsidRDefault="00000000"/>
    <w:p w:rsidR="00000000" w:rsidRDefault="00000000">
      <w:r>
        <w:t>616.</w:t>
      </w:r>
      <w:r>
        <w:tab/>
        <w:t>В статье 196 Конституции Бразилии закреплено право всех граждан этой страны на охрану здоровья, обеспечение которого является обязанностью государства.  Услуги и деятельность системы здравоохранения основываются на положениях статьи 198 Конституции Бразилии:  в стране существует Единая система здравоохранения, действующая через региональную сеть на основе принципов децентрализации, комплексного лечения и обслуживания и общинного участия.</w:t>
      </w:r>
    </w:p>
    <w:p w:rsidR="00000000" w:rsidRDefault="00000000"/>
    <w:p w:rsidR="00000000" w:rsidRDefault="00000000">
      <w:r>
        <w:t>617.</w:t>
      </w:r>
      <w:r>
        <w:tab/>
        <w:t xml:space="preserve">Пороговый показатель основных медицинских услуг (ППМОУ - </w:t>
      </w:r>
      <w:r>
        <w:rPr>
          <w:i/>
          <w:iCs/>
          <w:lang w:val="en-US"/>
        </w:rPr>
        <w:t>Piso</w:t>
      </w:r>
      <w:r>
        <w:rPr>
          <w:i/>
          <w:iCs/>
        </w:rPr>
        <w:t xml:space="preserve"> </w:t>
      </w:r>
      <w:r>
        <w:rPr>
          <w:i/>
          <w:iCs/>
          <w:lang w:val="en-US"/>
        </w:rPr>
        <w:t>de</w:t>
      </w:r>
      <w:r>
        <w:rPr>
          <w:i/>
          <w:iCs/>
        </w:rPr>
        <w:t xml:space="preserve"> </w:t>
      </w:r>
      <w:r>
        <w:rPr>
          <w:i/>
          <w:iCs/>
          <w:lang w:val="en-US"/>
        </w:rPr>
        <w:t>Aten</w:t>
      </w:r>
      <w:r>
        <w:rPr>
          <w:i/>
          <w:iCs/>
        </w:rPr>
        <w:t>çã</w:t>
      </w:r>
      <w:r>
        <w:rPr>
          <w:i/>
          <w:iCs/>
          <w:lang w:val="en-US"/>
        </w:rPr>
        <w:t>o</w:t>
      </w:r>
      <w:r>
        <w:rPr>
          <w:i/>
          <w:iCs/>
        </w:rPr>
        <w:t xml:space="preserve"> </w:t>
      </w:r>
      <w:r>
        <w:rPr>
          <w:i/>
          <w:iCs/>
          <w:lang w:val="en-US"/>
        </w:rPr>
        <w:t>B</w:t>
      </w:r>
      <w:r>
        <w:rPr>
          <w:i/>
          <w:iCs/>
        </w:rPr>
        <w:t>á</w:t>
      </w:r>
      <w:r>
        <w:rPr>
          <w:i/>
          <w:iCs/>
          <w:lang w:val="en-US"/>
        </w:rPr>
        <w:t>sica</w:t>
      </w:r>
      <w:r>
        <w:t xml:space="preserve">) был введен в 1997 году и полностью претворен в жизнь в 1998 году, что привело к изменению системы финансирования в рамках Единой системы здравоохранения (ЕСЗ).  В результате этого выделение средств муниципальным округам стало основываться не на "производственных" показателях, а на заранее установленных подушевых уровнях с передачей средств из Национального фонда здравоохранения в муниципальные фонды на межфондовой основе.  Вследствие этого к муниципальным управлениям по вопросам здравоохранения перешли функции управления делами Единой системы здравоохранения в муниципальных округах, в частности подготовка планов действий по предоставлению медицинских услуг с учетом местных требований и особенностей.  Это изменение в системе перевода средств привело к крупномасштабному перераспределению средств, при котором значительно возрос уровень финансирования муниципальных округов севера и северо-востока Бразилии.  </w:t>
      </w:r>
    </w:p>
    <w:p w:rsidR="00000000" w:rsidRDefault="00000000"/>
    <w:p w:rsidR="00000000" w:rsidRDefault="00000000">
      <w:r>
        <w:t>618.</w:t>
      </w:r>
      <w:r>
        <w:tab/>
        <w:t>Меры по предоставлению базовых услуг со стороны министерства здравоохранения включают разработку стратегий по обеспечению приоритетности мероприятий , направленных на пропаганду, защиту и восстановление здоровья отдельных лиц и семей.  Первоначально, в период 1991-1994 годов, эта деятельность осуществлялась через Программу работников здравоохранения на уровне общины (ПРЗО), а затем были созданы первые группы в рамках Программы охраны здоровья семьи (ПОЗС), которым были переданы функции работников здравоохранения на уровне общин с расширением объема полномочий.</w:t>
      </w:r>
    </w:p>
    <w:p w:rsidR="00000000" w:rsidRDefault="00000000"/>
    <w:p w:rsidR="00000000" w:rsidRDefault="00000000">
      <w:r>
        <w:t>619.</w:t>
      </w:r>
      <w:r>
        <w:tab/>
        <w:t>В августе 2000 года Программой охраны здоровья семьи было охвачено 53,9% муниципальных округов Бразилии, в которых проживало 20,3% населения страны.  Программой работников здравоохранения на уровне общины было охвачено 82,6% муниципальных округов Бразилии (49,9% населения страны).  Первоначально в рамках этих программ приоритет уделялся предоставлению услуг муниципальным округам с меньшим уровнем урбанизации.</w:t>
      </w:r>
    </w:p>
    <w:p w:rsidR="00000000" w:rsidRDefault="00000000">
      <w:r>
        <w:t>620.</w:t>
      </w:r>
      <w:r>
        <w:tab/>
        <w:t>Цель Программы охраны здоровья семьи состоит в реорганизации системы медицинского обслуживания в соответствии с новыми подходами и критериями с заменой традиционной модели, при которой упор делался на лечение болезней, главным образом в стационарах.  Такая мера способствовала более широкому пониманию взаимосвязи между здоровьем и болезнью и уделению надлежащего внимания принятию мер по другим направлениям, альтернативным лечению, которые способствуют повышению благосостояния населения, при совершенствовании системы выделения средств на нужды здравоохранения.</w:t>
      </w:r>
    </w:p>
    <w:p w:rsidR="00000000" w:rsidRDefault="00000000"/>
    <w:p w:rsidR="00000000" w:rsidRDefault="00000000">
      <w:r>
        <w:t>621.</w:t>
      </w:r>
      <w:r>
        <w:tab/>
        <w:t>В организационном отношении Программа охраны здоровья семьи опирается на отделения по охране здоровья семьи (</w:t>
      </w:r>
      <w:r>
        <w:rPr>
          <w:i/>
          <w:iCs/>
          <w:lang w:val="en-US"/>
        </w:rPr>
        <w:t>Unidade</w:t>
      </w:r>
      <w:r>
        <w:rPr>
          <w:i/>
          <w:iCs/>
        </w:rPr>
        <w:t xml:space="preserve"> </w:t>
      </w:r>
      <w:r>
        <w:rPr>
          <w:i/>
          <w:iCs/>
          <w:lang w:val="en-US"/>
        </w:rPr>
        <w:t>de</w:t>
      </w:r>
      <w:r>
        <w:rPr>
          <w:i/>
          <w:iCs/>
        </w:rPr>
        <w:t xml:space="preserve"> </w:t>
      </w:r>
      <w:r>
        <w:rPr>
          <w:i/>
          <w:iCs/>
          <w:lang w:val="en-US"/>
        </w:rPr>
        <w:t>Sa</w:t>
      </w:r>
      <w:r>
        <w:rPr>
          <w:i/>
          <w:iCs/>
        </w:rPr>
        <w:t>ú</w:t>
      </w:r>
      <w:r>
        <w:rPr>
          <w:i/>
          <w:iCs/>
          <w:lang w:val="en-US"/>
        </w:rPr>
        <w:t>de</w:t>
      </w:r>
      <w:r>
        <w:rPr>
          <w:i/>
          <w:iCs/>
        </w:rPr>
        <w:t xml:space="preserve"> </w:t>
      </w:r>
      <w:r>
        <w:rPr>
          <w:i/>
          <w:iCs/>
          <w:lang w:val="en-US"/>
        </w:rPr>
        <w:t>da</w:t>
      </w:r>
      <w:r>
        <w:rPr>
          <w:i/>
          <w:iCs/>
        </w:rPr>
        <w:t xml:space="preserve"> </w:t>
      </w:r>
      <w:r>
        <w:rPr>
          <w:i/>
          <w:iCs/>
          <w:lang w:val="en-US"/>
        </w:rPr>
        <w:t>Fam</w:t>
      </w:r>
      <w:r>
        <w:rPr>
          <w:i/>
          <w:iCs/>
        </w:rPr>
        <w:t>í</w:t>
      </w:r>
      <w:r>
        <w:rPr>
          <w:i/>
          <w:iCs/>
          <w:lang w:val="en-US"/>
        </w:rPr>
        <w:t>lia</w:t>
      </w:r>
      <w:r>
        <w:t>), которые являются базовыми подразделениями по предоставлению медицинских услуг, укомплектованными специалистами разного профиля, на которые возлагается вся полнота ответственности за развитие системы здравоохранения и профилактику болезней, а также лечение и реабилитацию больных в конкретном районе.</w:t>
      </w:r>
    </w:p>
    <w:p w:rsidR="00000000" w:rsidRDefault="00000000"/>
    <w:p w:rsidR="00000000" w:rsidRDefault="00000000">
      <w:r>
        <w:t>622.</w:t>
      </w:r>
      <w:r>
        <w:tab/>
        <w:t xml:space="preserve">Введение Порогового показателя основных медицинских услуг, Программы работников здравоохранения на уровне общины и Программы охраны здоровья семьи, что является лишь частью проводимых мероприятий, отражает ориентацию Бразилии на новые механизмы финансирования, способствующие децентрализации выделения средств с учетом подушевых показателей.  Разработка и осуществление политики в области здравоохранения на муниципальном уровне повышают эффективность этих мер, увеличивая при этом возможности контроля в социальной сфере.  Эти инициативы, безусловно, вносят вклад в разработку более эффективной и справедливой системы здравоохранения, основывающейся на профилактике болезней и пропаганде здорового образа жизни.  </w:t>
      </w:r>
    </w:p>
    <w:p w:rsidR="00000000" w:rsidRDefault="00000000"/>
    <w:p w:rsidR="00000000" w:rsidRDefault="00000000">
      <w:r>
        <w:t>623.</w:t>
      </w:r>
      <w:r>
        <w:tab/>
        <w:t xml:space="preserve">Оценки на основе информации, представленной штатами и муниципальными округами в Систему информации о бюджете здравоохранения (СИБЗ - </w:t>
      </w:r>
      <w:r>
        <w:rPr>
          <w:i/>
          <w:iCs/>
          <w:lang w:val="en-US"/>
        </w:rPr>
        <w:t>Sistema</w:t>
      </w:r>
      <w:r>
        <w:rPr>
          <w:i/>
          <w:iCs/>
        </w:rPr>
        <w:t xml:space="preserve"> </w:t>
      </w:r>
      <w:r>
        <w:rPr>
          <w:i/>
          <w:iCs/>
          <w:lang w:val="en-US"/>
        </w:rPr>
        <w:t>de</w:t>
      </w:r>
      <w:r>
        <w:rPr>
          <w:i/>
          <w:iCs/>
        </w:rPr>
        <w:t xml:space="preserve"> </w:t>
      </w:r>
      <w:r>
        <w:rPr>
          <w:i/>
          <w:iCs/>
          <w:lang w:val="en-US"/>
        </w:rPr>
        <w:t>Informa</w:t>
      </w:r>
      <w:r>
        <w:rPr>
          <w:i/>
          <w:iCs/>
        </w:rPr>
        <w:t>çõ</w:t>
      </w:r>
      <w:r>
        <w:rPr>
          <w:i/>
          <w:iCs/>
          <w:lang w:val="en-US"/>
        </w:rPr>
        <w:t>es</w:t>
      </w:r>
      <w:r>
        <w:rPr>
          <w:i/>
          <w:iCs/>
        </w:rPr>
        <w:t xml:space="preserve"> </w:t>
      </w:r>
      <w:r>
        <w:rPr>
          <w:i/>
          <w:iCs/>
          <w:lang w:val="en-US"/>
        </w:rPr>
        <w:t>sobre</w:t>
      </w:r>
      <w:r>
        <w:rPr>
          <w:i/>
          <w:iCs/>
        </w:rPr>
        <w:t xml:space="preserve"> </w:t>
      </w:r>
      <w:r>
        <w:rPr>
          <w:i/>
          <w:iCs/>
          <w:lang w:val="en-US"/>
        </w:rPr>
        <w:t>Or</w:t>
      </w:r>
      <w:r>
        <w:rPr>
          <w:i/>
          <w:iCs/>
        </w:rPr>
        <w:t>ç</w:t>
      </w:r>
      <w:r>
        <w:rPr>
          <w:i/>
          <w:iCs/>
          <w:lang w:val="en-US"/>
        </w:rPr>
        <w:t>amentos</w:t>
      </w:r>
      <w:r>
        <w:rPr>
          <w:i/>
          <w:iCs/>
        </w:rPr>
        <w:t xml:space="preserve"> </w:t>
      </w:r>
      <w:r>
        <w:rPr>
          <w:i/>
          <w:iCs/>
          <w:lang w:val="en-US"/>
        </w:rPr>
        <w:t>P</w:t>
      </w:r>
      <w:r>
        <w:rPr>
          <w:i/>
          <w:iCs/>
        </w:rPr>
        <w:t>ú</w:t>
      </w:r>
      <w:r>
        <w:rPr>
          <w:i/>
          <w:iCs/>
          <w:lang w:val="en-US"/>
        </w:rPr>
        <w:t>blicos</w:t>
      </w:r>
      <w:r>
        <w:rPr>
          <w:i/>
          <w:iCs/>
        </w:rPr>
        <w:t xml:space="preserve"> </w:t>
      </w:r>
      <w:r>
        <w:rPr>
          <w:i/>
          <w:iCs/>
          <w:lang w:val="en-US"/>
        </w:rPr>
        <w:t>em</w:t>
      </w:r>
      <w:r>
        <w:rPr>
          <w:i/>
          <w:iCs/>
        </w:rPr>
        <w:t xml:space="preserve"> </w:t>
      </w:r>
      <w:r>
        <w:rPr>
          <w:i/>
          <w:iCs/>
          <w:lang w:val="en-US"/>
        </w:rPr>
        <w:t>Sa</w:t>
      </w:r>
      <w:r>
        <w:rPr>
          <w:i/>
          <w:iCs/>
        </w:rPr>
        <w:t>ú</w:t>
      </w:r>
      <w:r>
        <w:rPr>
          <w:i/>
          <w:iCs/>
          <w:lang w:val="en-US"/>
        </w:rPr>
        <w:t>de</w:t>
      </w:r>
      <w:r>
        <w:t>), свидетельствуют о том, что расходы министерства здравоохранения, управлений по делам здравоохранения штатов (прямая и непрямая гражданская служба) и муниципальных округов Бразилии в 1998 году составили 33,6 млрд. реалов, что соответствует 3,7% ВВП Бразилии.</w:t>
      </w:r>
    </w:p>
    <w:p w:rsidR="00000000" w:rsidRDefault="00000000"/>
    <w:p w:rsidR="00000000" w:rsidRDefault="00000000">
      <w:r>
        <w:t>624.</w:t>
      </w:r>
      <w:r>
        <w:tab/>
        <w:t>На министерство здравоохранения, расходы которого составляли около 19,3 млрд. реалов, приходилось 57,5% от этого общего показателя;  на управления по делам здравоохранения штатов - 5,6 млрд. реалов, или 16,5% общих расходов на здравоохранение;  на муниципальные округа, являющиеся столицами штатов, - 2,1 млрд. реалов, или 6,3% общих расходов на здравоохранение, а на другие муниципальные округа Бразилии - 6,3 млрд. реалов, или 19,7% соответствующих расходов.  В целом на муниципальные округа приходилось 26% расходов (порядка 8,8 млрд. реалов).</w:t>
      </w:r>
    </w:p>
    <w:p w:rsidR="00000000" w:rsidRDefault="00000000">
      <w:pPr>
        <w:spacing w:line="240" w:lineRule="auto"/>
        <w:rPr>
          <w:sz w:val="16"/>
        </w:rPr>
      </w:pPr>
    </w:p>
    <w:p w:rsidR="00000000" w:rsidRDefault="00000000">
      <w:pPr>
        <w:spacing w:line="240" w:lineRule="auto"/>
        <w:jc w:val="center"/>
        <w:rPr>
          <w:b/>
          <w:bCs/>
        </w:rPr>
      </w:pPr>
      <w:r>
        <w:rPr>
          <w:b/>
          <w:bCs/>
        </w:rPr>
        <w:t>Таблица 76.   Государственные расходы на здравоохранение</w:t>
      </w:r>
    </w:p>
    <w:p w:rsidR="00000000" w:rsidRDefault="00000000">
      <w:pPr>
        <w:spacing w:line="240" w:lineRule="auto"/>
        <w:rPr>
          <w:sz w:val="16"/>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5049"/>
        <w:gridCol w:w="2057"/>
        <w:gridCol w:w="2057"/>
      </w:tblGrid>
      <w:tr w:rsidR="00000000">
        <w:trPr>
          <w:trHeight w:val="258"/>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Уровень органов государственной власти</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 xml:space="preserve">Расходы на здравоохранение </w:t>
            </w:r>
          </w:p>
          <w:p w:rsidR="00000000" w:rsidRDefault="00000000">
            <w:pPr>
              <w:spacing w:line="240" w:lineRule="auto"/>
              <w:jc w:val="center"/>
            </w:pPr>
            <w:r>
              <w:t>(в млн. реалов)</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pPr>
            <w:r>
              <w:t>Процент от общих государственных расходов</w:t>
            </w:r>
          </w:p>
        </w:tc>
      </w:tr>
      <w:tr w:rsidR="00000000">
        <w:trPr>
          <w:trHeight w:val="200"/>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Министерство здравоохранения</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19 323,69</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57,47</w:t>
            </w:r>
          </w:p>
        </w:tc>
      </w:tr>
      <w:tr w:rsidR="00000000">
        <w:trPr>
          <w:trHeight w:val="200"/>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Управления по делам здравоохранения штатов</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5 550,50</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16,51</w:t>
            </w:r>
          </w:p>
        </w:tc>
      </w:tr>
      <w:tr w:rsidR="00000000">
        <w:trPr>
          <w:trHeight w:val="200"/>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Муниципальные округа</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8 746,89</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26,02</w:t>
            </w:r>
          </w:p>
        </w:tc>
      </w:tr>
      <w:tr w:rsidR="00000000">
        <w:trPr>
          <w:trHeight w:val="200"/>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Столицы штатов</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(2 110,19)</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6,28</w:t>
            </w:r>
          </w:p>
        </w:tc>
      </w:tr>
      <w:tr w:rsidR="00000000">
        <w:trPr>
          <w:trHeight w:val="200"/>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Другие муниципальные округа</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(6 636,70)</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19,74</w:t>
            </w:r>
          </w:p>
        </w:tc>
      </w:tr>
      <w:tr w:rsidR="00000000">
        <w:trPr>
          <w:trHeight w:val="200"/>
        </w:trPr>
        <w:tc>
          <w:tcPr>
            <w:tcW w:w="5049"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pPr>
            <w:r>
              <w:t>Итого</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33 621,08</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tabs>
                <w:tab w:val="clear" w:pos="1701"/>
              </w:tabs>
              <w:spacing w:line="240" w:lineRule="auto"/>
              <w:ind w:right="491"/>
              <w:jc w:val="right"/>
            </w:pPr>
            <w:r>
              <w:t>100,00</w:t>
            </w:r>
          </w:p>
        </w:tc>
      </w:tr>
    </w:tbl>
    <w:p w:rsidR="00000000" w:rsidRDefault="00000000">
      <w:pPr>
        <w:rPr>
          <w:sz w:val="16"/>
        </w:rPr>
      </w:pPr>
    </w:p>
    <w:p w:rsidR="00000000" w:rsidRDefault="00000000">
      <w:r>
        <w:t>625.</w:t>
      </w:r>
      <w:r>
        <w:tab/>
        <w:t>Что касается расходов на здравоохранение, связанных с мероприятиями по предоставлению основных медицинских услуг, то следует особо отметить, что в 1995</w:t>
      </w:r>
      <w:r>
        <w:noBreakHyphen/>
        <w:t>1999 годах объем выделяемых средств  увеличился на 65,2%, т.е. в среднем на 13,4% в год.  Более подробные данные приводятся в таблице 77 ниже.</w:t>
      </w:r>
    </w:p>
    <w:p w:rsidR="00000000" w:rsidRDefault="00000000">
      <w:pPr>
        <w:rPr>
          <w:sz w:val="16"/>
        </w:rPr>
      </w:pPr>
    </w:p>
    <w:p w:rsidR="00000000" w:rsidRDefault="00000000">
      <w:pPr>
        <w:jc w:val="center"/>
        <w:rPr>
          <w:b/>
          <w:bCs/>
        </w:rPr>
      </w:pPr>
      <w:r>
        <w:rPr>
          <w:b/>
          <w:bCs/>
        </w:rPr>
        <w:t>Таблица 77.  Расходы на основные социальные нужды - здравоохранение и санитарное обустройство, 1995</w:t>
      </w:r>
      <w:r>
        <w:rPr>
          <w:b/>
          <w:bCs/>
        </w:rPr>
        <w:noBreakHyphen/>
        <w:t>1999 годы (в млн. реалов)</w:t>
      </w:r>
    </w:p>
    <w:p w:rsidR="00000000" w:rsidRDefault="00000000">
      <w:pPr>
        <w:jc w:val="center"/>
        <w:rPr>
          <w:b/>
          <w:bCs/>
        </w:rPr>
      </w:pPr>
    </w:p>
    <w:tbl>
      <w:tblPr>
        <w:tblW w:w="0" w:type="auto"/>
        <w:tblInd w:w="30" w:type="dxa"/>
        <w:tblLayout w:type="fixed"/>
        <w:tblCellMar>
          <w:left w:w="30" w:type="dxa"/>
          <w:right w:w="30" w:type="dxa"/>
        </w:tblCellMar>
        <w:tblLook w:val="0000" w:firstRow="0" w:lastRow="0" w:firstColumn="0" w:lastColumn="0" w:noHBand="0" w:noVBand="0"/>
      </w:tblPr>
      <w:tblGrid>
        <w:gridCol w:w="4114"/>
        <w:gridCol w:w="1870"/>
        <w:gridCol w:w="1683"/>
        <w:gridCol w:w="1496"/>
      </w:tblGrid>
      <w:tr w:rsidR="00000000">
        <w:trPr>
          <w:trHeight w:val="142"/>
        </w:trPr>
        <w:tc>
          <w:tcPr>
            <w:tcW w:w="4114"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napToGrid w:val="0"/>
                <w:color w:val="000000"/>
                <w:lang w:eastAsia="pt-BR"/>
              </w:rPr>
            </w:pP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napToGrid w:val="0"/>
                <w:color w:val="000000"/>
                <w:lang w:eastAsia="pt-BR"/>
              </w:rPr>
            </w:pPr>
            <w:r>
              <w:rPr>
                <w:snapToGrid w:val="0"/>
                <w:color w:val="000000"/>
                <w:lang w:eastAsia="pt-BR"/>
              </w:rPr>
              <w:t>1995</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napToGrid w:val="0"/>
                <w:color w:val="000000"/>
                <w:lang w:eastAsia="pt-BR"/>
              </w:rPr>
            </w:pPr>
            <w:r>
              <w:rPr>
                <w:snapToGrid w:val="0"/>
                <w:color w:val="000000"/>
                <w:lang w:eastAsia="pt-BR"/>
              </w:rPr>
              <w:t>1999</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spacing w:line="240" w:lineRule="auto"/>
              <w:jc w:val="center"/>
              <w:rPr>
                <w:snapToGrid w:val="0"/>
                <w:color w:val="000000"/>
                <w:lang w:eastAsia="pt-BR"/>
              </w:rPr>
            </w:pPr>
            <w:r>
              <w:rPr>
                <w:snapToGrid w:val="0"/>
                <w:color w:val="000000"/>
                <w:lang w:eastAsia="pt-BR"/>
              </w:rPr>
              <w:t>Рост с 1995 по 1999 год в %</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eastAsia="pt-BR"/>
              </w:rPr>
            </w:pPr>
            <w:r>
              <w:rPr>
                <w:snapToGrid w:val="0"/>
                <w:color w:val="000000"/>
                <w:lang w:eastAsia="pt-BR"/>
              </w:rPr>
              <w:t>Здравоохранение</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5 360 186</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8 855 688</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65,2</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А.  Основные медицинские услуги</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1 194 271</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2 144 282</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79,5</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В.  Базовая инфраструктура</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1 003 021</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1 926 008</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92,0</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Санитарное обустройство</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64 443</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363 790</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464,5</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Капитальные затраты</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377 302</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785 786</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108,3</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Оплата расходов</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561 276</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776 432</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38,3</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С.  Борьба с болезнями</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228 668</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806 574</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252,7</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Вакцины</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83 152</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262 968</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216,2</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Борьба с эндемическими болезнями</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145 516</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543 606</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273,6</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D.  Лекарственные средства</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424 075</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960 406</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126,5</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Е.  Санитарный контроль</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3 118</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132 004</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4 133,6</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F.  Персонал</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2 507 033</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2 886 414</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15,1</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Санитарное обустройство</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158 505</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158 505</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0,0</w:t>
            </w:r>
          </w:p>
        </w:tc>
      </w:tr>
      <w:tr w:rsidR="00000000">
        <w:trPr>
          <w:trHeight w:val="250"/>
        </w:trPr>
        <w:tc>
          <w:tcPr>
            <w:tcW w:w="4114"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Итого</w:t>
            </w:r>
          </w:p>
        </w:tc>
        <w:tc>
          <w:tcPr>
            <w:tcW w:w="1870"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5 518 691</w:t>
            </w:r>
          </w:p>
        </w:tc>
        <w:tc>
          <w:tcPr>
            <w:tcW w:w="1683" w:type="dxa"/>
            <w:tcBorders>
              <w:top w:val="single" w:sz="6" w:space="0" w:color="auto"/>
              <w:left w:val="single" w:sz="6" w:space="0" w:color="auto"/>
              <w:bottom w:val="single" w:sz="6" w:space="0" w:color="auto"/>
              <w:right w:val="single" w:sz="6" w:space="0" w:color="auto"/>
            </w:tcBorders>
          </w:tcPr>
          <w:p w:rsidR="00000000" w:rsidRDefault="00000000">
            <w:pPr>
              <w:tabs>
                <w:tab w:val="clear" w:pos="1701"/>
              </w:tabs>
              <w:ind w:right="344"/>
              <w:jc w:val="right"/>
              <w:rPr>
                <w:snapToGrid w:val="0"/>
                <w:color w:val="000000"/>
                <w:lang w:eastAsia="pt-BR"/>
              </w:rPr>
            </w:pPr>
            <w:r>
              <w:rPr>
                <w:snapToGrid w:val="0"/>
                <w:color w:val="000000"/>
                <w:lang w:eastAsia="pt-BR"/>
              </w:rPr>
              <w:t>9 014 193</w:t>
            </w:r>
          </w:p>
        </w:tc>
        <w:tc>
          <w:tcPr>
            <w:tcW w:w="149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63,3</w:t>
            </w:r>
          </w:p>
        </w:tc>
      </w:tr>
    </w:tbl>
    <w:p w:rsidR="00000000" w:rsidRDefault="00000000">
      <w:pPr>
        <w:rPr>
          <w:snapToGrid w:val="0"/>
          <w:color w:val="000000"/>
          <w:sz w:val="16"/>
          <w:lang w:eastAsia="pt-BR"/>
        </w:rPr>
      </w:pPr>
    </w:p>
    <w:p w:rsidR="00000000" w:rsidRDefault="00000000">
      <w:pPr>
        <w:rPr>
          <w:snapToGrid w:val="0"/>
          <w:color w:val="000000"/>
          <w:lang w:eastAsia="pt-BR"/>
        </w:rPr>
      </w:pPr>
      <w:r>
        <w:rPr>
          <w:snapToGrid w:val="0"/>
          <w:color w:val="000000"/>
          <w:lang w:eastAsia="pt-BR"/>
        </w:rPr>
        <w:tab/>
      </w:r>
      <w:r>
        <w:rPr>
          <w:snapToGrid w:val="0"/>
          <w:color w:val="000000"/>
          <w:u w:val="single"/>
          <w:lang w:eastAsia="pt-BR"/>
        </w:rPr>
        <w:t>Источник</w:t>
      </w:r>
      <w:r>
        <w:rPr>
          <w:snapToGrid w:val="0"/>
          <w:color w:val="000000"/>
          <w:lang w:eastAsia="pt-BR"/>
        </w:rPr>
        <w:t>:  SIS/Министерство здравоохранения.</w:t>
      </w:r>
    </w:p>
    <w:p w:rsidR="00000000" w:rsidRDefault="00000000">
      <w:pPr>
        <w:rPr>
          <w:snapToGrid w:val="0"/>
          <w:color w:val="000000"/>
          <w:lang w:eastAsia="pt-BR"/>
        </w:rPr>
      </w:pPr>
    </w:p>
    <w:p w:rsidR="00000000" w:rsidRDefault="00000000">
      <w:pPr>
        <w:rPr>
          <w:snapToGrid w:val="0"/>
          <w:color w:val="000000"/>
          <w:lang w:eastAsia="pt-BR"/>
        </w:rPr>
      </w:pPr>
      <w:r>
        <w:rPr>
          <w:snapToGrid w:val="0"/>
          <w:color w:val="000000"/>
          <w:lang w:eastAsia="pt-BR"/>
        </w:rPr>
        <w:t>626.</w:t>
      </w:r>
      <w:r>
        <w:rPr>
          <w:snapToGrid w:val="0"/>
          <w:color w:val="000000"/>
          <w:lang w:eastAsia="pt-BR"/>
        </w:rPr>
        <w:tab/>
        <w:t>Из таблицы 78 следует, что объем бюджетных средств, выделяемых на основные медицинские услуги/здравоохранение, увеличился с 3,6% до 4,9%.</w:t>
      </w:r>
    </w:p>
    <w:p w:rsidR="00000000" w:rsidRDefault="00000000">
      <w:pPr>
        <w:rPr>
          <w:snapToGrid w:val="0"/>
          <w:color w:val="000000"/>
          <w:lang w:eastAsia="pt-BR"/>
        </w:rPr>
      </w:pPr>
    </w:p>
    <w:p w:rsidR="00000000" w:rsidRDefault="00000000">
      <w:pPr>
        <w:jc w:val="center"/>
        <w:rPr>
          <w:b/>
          <w:bCs/>
          <w:snapToGrid w:val="0"/>
          <w:color w:val="000000"/>
          <w:lang w:eastAsia="pt-BR"/>
        </w:rPr>
      </w:pPr>
      <w:r>
        <w:rPr>
          <w:b/>
          <w:bCs/>
          <w:snapToGrid w:val="0"/>
          <w:color w:val="000000"/>
          <w:lang w:eastAsia="pt-BR"/>
        </w:rPr>
        <w:t>Таблица 78.  Расходы на основные социальные нужды, 1995</w:t>
      </w:r>
      <w:r>
        <w:rPr>
          <w:b/>
          <w:bCs/>
          <w:snapToGrid w:val="0"/>
          <w:color w:val="000000"/>
          <w:lang w:eastAsia="pt-BR"/>
        </w:rPr>
        <w:noBreakHyphen/>
        <w:t>1999 годы</w:t>
      </w:r>
    </w:p>
    <w:p w:rsidR="00000000" w:rsidRDefault="00000000">
      <w:pPr>
        <w:jc w:val="center"/>
        <w:rPr>
          <w:b/>
          <w:bCs/>
          <w:snapToGrid w:val="0"/>
          <w:color w:val="000000"/>
          <w:lang w:eastAsia="pt-BR"/>
        </w:rPr>
      </w:pPr>
    </w:p>
    <w:tbl>
      <w:tblPr>
        <w:tblW w:w="0" w:type="auto"/>
        <w:tblInd w:w="217" w:type="dxa"/>
        <w:tblLayout w:type="fixed"/>
        <w:tblCellMar>
          <w:left w:w="30" w:type="dxa"/>
          <w:right w:w="30" w:type="dxa"/>
        </w:tblCellMar>
        <w:tblLook w:val="0000" w:firstRow="0" w:lastRow="0" w:firstColumn="0" w:lastColumn="0" w:noHBand="0" w:noVBand="0"/>
      </w:tblPr>
      <w:tblGrid>
        <w:gridCol w:w="6358"/>
        <w:gridCol w:w="1215"/>
        <w:gridCol w:w="1216"/>
      </w:tblGrid>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eastAsia="pt-BR"/>
              </w:rPr>
            </w:pPr>
            <w:r>
              <w:rPr>
                <w:snapToGrid w:val="0"/>
                <w:color w:val="000000"/>
                <w:lang w:eastAsia="pt-BR"/>
              </w:rPr>
              <w:t>1995</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jc w:val="center"/>
              <w:rPr>
                <w:snapToGrid w:val="0"/>
                <w:color w:val="000000"/>
                <w:lang w:eastAsia="pt-BR"/>
              </w:rPr>
            </w:pPr>
            <w:r>
              <w:rPr>
                <w:snapToGrid w:val="0"/>
                <w:color w:val="000000"/>
                <w:lang w:eastAsia="pt-BR"/>
              </w:rPr>
              <w:t>1999</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Здравоохранение (в млн. реалов)</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8 488</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14 024</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Федеральный уровень</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5 360</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8 856</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Штаты/муниципальные округа</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3 128</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5 168</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Расходы на базовые социальные услуги (в млн. реалов)</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25 150</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34 147</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Бюджет (в млн. реалов)</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239 038</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288 693</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ВВП (в млн. реалов)</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646 192</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1 010 068</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Здравоохранение/бюджет (в %)</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3,55</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4,86</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Здравоохранение/ВВП (в %)</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1,31</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1,39</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Базовые социальные услуги/бюджет (в %)</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10,52</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11,83</w:t>
            </w:r>
          </w:p>
        </w:tc>
      </w:tr>
      <w:tr w:rsidR="00000000">
        <w:trPr>
          <w:trHeight w:val="250"/>
        </w:trPr>
        <w:tc>
          <w:tcPr>
            <w:tcW w:w="6358" w:type="dxa"/>
            <w:tcBorders>
              <w:top w:val="single" w:sz="6" w:space="0" w:color="auto"/>
              <w:left w:val="single" w:sz="6" w:space="0" w:color="auto"/>
              <w:bottom w:val="single" w:sz="6" w:space="0" w:color="auto"/>
              <w:right w:val="single" w:sz="6" w:space="0" w:color="auto"/>
            </w:tcBorders>
          </w:tcPr>
          <w:p w:rsidR="00000000" w:rsidRDefault="00000000">
            <w:pPr>
              <w:rPr>
                <w:snapToGrid w:val="0"/>
                <w:color w:val="000000"/>
                <w:lang w:eastAsia="pt-BR"/>
              </w:rPr>
            </w:pPr>
            <w:r>
              <w:rPr>
                <w:snapToGrid w:val="0"/>
                <w:color w:val="000000"/>
                <w:lang w:eastAsia="pt-BR"/>
              </w:rPr>
              <w:t>Базовые социальные услуги/ВВП (в %)</w:t>
            </w:r>
          </w:p>
        </w:tc>
        <w:tc>
          <w:tcPr>
            <w:tcW w:w="1215"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250"/>
              <w:jc w:val="right"/>
              <w:rPr>
                <w:snapToGrid w:val="0"/>
                <w:color w:val="000000"/>
                <w:lang w:eastAsia="pt-BR"/>
              </w:rPr>
            </w:pPr>
            <w:r>
              <w:rPr>
                <w:snapToGrid w:val="0"/>
                <w:color w:val="000000"/>
                <w:lang w:eastAsia="pt-BR"/>
              </w:rPr>
              <w:t>3,89</w:t>
            </w:r>
          </w:p>
        </w:tc>
        <w:tc>
          <w:tcPr>
            <w:tcW w:w="1216" w:type="dxa"/>
            <w:tcBorders>
              <w:top w:val="single" w:sz="6" w:space="0" w:color="auto"/>
              <w:left w:val="single" w:sz="6" w:space="0" w:color="auto"/>
              <w:bottom w:val="single" w:sz="6" w:space="0" w:color="auto"/>
              <w:right w:val="single" w:sz="6" w:space="0" w:color="auto"/>
            </w:tcBorders>
          </w:tcPr>
          <w:p w:rsidR="00000000" w:rsidRDefault="00000000">
            <w:pPr>
              <w:tabs>
                <w:tab w:val="clear" w:pos="1134"/>
              </w:tabs>
              <w:ind w:right="157"/>
              <w:jc w:val="right"/>
              <w:rPr>
                <w:snapToGrid w:val="0"/>
                <w:color w:val="000000"/>
                <w:lang w:eastAsia="pt-BR"/>
              </w:rPr>
            </w:pPr>
            <w:r>
              <w:rPr>
                <w:snapToGrid w:val="0"/>
                <w:color w:val="000000"/>
                <w:lang w:eastAsia="pt-BR"/>
              </w:rPr>
              <w:t>3,38</w:t>
            </w:r>
          </w:p>
        </w:tc>
      </w:tr>
    </w:tbl>
    <w:p w:rsidR="00000000" w:rsidRDefault="00000000">
      <w:pPr>
        <w:rPr>
          <w:snapToGrid w:val="0"/>
          <w:color w:val="000000"/>
          <w:sz w:val="16"/>
          <w:lang w:eastAsia="pt-BR"/>
        </w:rPr>
      </w:pPr>
    </w:p>
    <w:p w:rsidR="00000000" w:rsidRDefault="00000000">
      <w:pPr>
        <w:rPr>
          <w:snapToGrid w:val="0"/>
          <w:color w:val="000000"/>
          <w:lang w:eastAsia="pt-BR"/>
        </w:rPr>
      </w:pPr>
      <w:r>
        <w:rPr>
          <w:snapToGrid w:val="0"/>
          <w:color w:val="000000"/>
          <w:lang w:eastAsia="pt-BR"/>
        </w:rPr>
        <w:tab/>
      </w:r>
      <w:r>
        <w:rPr>
          <w:snapToGrid w:val="0"/>
          <w:color w:val="000000"/>
          <w:u w:val="single"/>
          <w:lang w:eastAsia="pt-BR"/>
        </w:rPr>
        <w:t>Источник</w:t>
      </w:r>
      <w:r>
        <w:rPr>
          <w:snapToGrid w:val="0"/>
          <w:color w:val="000000"/>
          <w:lang w:eastAsia="pt-BR"/>
        </w:rPr>
        <w:t>:  SIS/Министерство здравоохранения.</w:t>
      </w:r>
    </w:p>
    <w:p w:rsidR="00000000" w:rsidRDefault="00000000">
      <w:pPr>
        <w:rPr>
          <w:snapToGrid w:val="0"/>
          <w:color w:val="000000"/>
          <w:sz w:val="16"/>
          <w:lang w:eastAsia="pt-BR"/>
        </w:rPr>
      </w:pPr>
    </w:p>
    <w:p w:rsidR="00000000" w:rsidRDefault="00000000">
      <w:pPr>
        <w:rPr>
          <w:snapToGrid w:val="0"/>
          <w:color w:val="000000"/>
          <w:lang w:eastAsia="pt-BR"/>
        </w:rPr>
      </w:pPr>
      <w:r>
        <w:rPr>
          <w:snapToGrid w:val="0"/>
          <w:color w:val="000000"/>
          <w:lang w:eastAsia="pt-BR"/>
        </w:rPr>
        <w:t>627.</w:t>
      </w:r>
      <w:r>
        <w:rPr>
          <w:snapToGrid w:val="0"/>
          <w:color w:val="000000"/>
          <w:lang w:eastAsia="pt-BR"/>
        </w:rPr>
        <w:tab/>
        <w:t>В нижеследующих статистических таблицах приводятся данные о доступе к услугам по удалению сточных вод, количества туалетов и санитарно-гигиенического оборудования, доступе к системам уборки мусора, а также об иммунизации детей и средней продолжительности предстоящей жизни при рождении.</w:t>
      </w:r>
    </w:p>
    <w:p w:rsidR="00000000" w:rsidRDefault="00000000">
      <w:pPr>
        <w:rPr>
          <w:snapToGrid w:val="0"/>
          <w:color w:val="000000"/>
          <w:sz w:val="16"/>
          <w:lang w:eastAsia="pt-BR"/>
        </w:rPr>
      </w:pPr>
    </w:p>
    <w:p w:rsidR="00000000" w:rsidRDefault="00000000">
      <w:pPr>
        <w:jc w:val="center"/>
        <w:rPr>
          <w:b/>
          <w:bCs/>
          <w:snapToGrid w:val="0"/>
          <w:color w:val="000000"/>
          <w:lang w:eastAsia="pt-BR"/>
        </w:rPr>
      </w:pPr>
      <w:r>
        <w:rPr>
          <w:b/>
          <w:bCs/>
          <w:snapToGrid w:val="0"/>
          <w:color w:val="000000"/>
          <w:lang w:eastAsia="pt-BR"/>
        </w:rPr>
        <w:t>Таблица 79.  Доступ к услугам по удалению сточных вод</w:t>
      </w:r>
    </w:p>
    <w:p w:rsidR="00000000" w:rsidRDefault="00000000">
      <w:pPr>
        <w:spacing w:line="240" w:lineRule="auto"/>
        <w:rPr>
          <w:snapToGrid w:val="0"/>
          <w:color w:val="000000"/>
          <w:sz w:val="16"/>
          <w:lang w:eastAsia="pt-BR"/>
        </w:rPr>
      </w:pPr>
    </w:p>
    <w:tbl>
      <w:tblPr>
        <w:tblW w:w="0" w:type="auto"/>
        <w:jc w:val="center"/>
        <w:tblInd w:w="-267" w:type="dxa"/>
        <w:tblLayout w:type="fixed"/>
        <w:tblCellMar>
          <w:left w:w="30" w:type="dxa"/>
          <w:right w:w="30" w:type="dxa"/>
        </w:tblCellMar>
        <w:tblLook w:val="0000" w:firstRow="0" w:lastRow="0" w:firstColumn="0" w:lastColumn="0" w:noHBand="0" w:noVBand="0"/>
      </w:tblPr>
      <w:tblGrid>
        <w:gridCol w:w="1146"/>
        <w:gridCol w:w="935"/>
        <w:gridCol w:w="935"/>
        <w:gridCol w:w="561"/>
        <w:gridCol w:w="935"/>
        <w:gridCol w:w="561"/>
        <w:gridCol w:w="935"/>
        <w:gridCol w:w="935"/>
        <w:gridCol w:w="561"/>
        <w:gridCol w:w="935"/>
        <w:gridCol w:w="590"/>
      </w:tblGrid>
      <w:tr w:rsidR="00000000">
        <w:trPr>
          <w:cantSplit/>
          <w:trHeight w:val="221"/>
          <w:jc w:val="center"/>
        </w:trPr>
        <w:tc>
          <w:tcPr>
            <w:tcW w:w="1146"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p>
        </w:tc>
        <w:tc>
          <w:tcPr>
            <w:tcW w:w="3927"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Домашние хозяйства</w:t>
            </w:r>
          </w:p>
        </w:tc>
        <w:tc>
          <w:tcPr>
            <w:tcW w:w="3956"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Жители</w:t>
            </w:r>
          </w:p>
        </w:tc>
      </w:tr>
      <w:tr w:rsidR="00000000">
        <w:trPr>
          <w:cantSplit/>
          <w:trHeight w:val="243"/>
          <w:jc w:val="center"/>
        </w:trPr>
        <w:tc>
          <w:tcPr>
            <w:tcW w:w="1146"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napToGrid w:val="0"/>
                <w:color w:val="000000"/>
                <w:lang w:eastAsia="pt-BR"/>
              </w:rPr>
            </w:pPr>
          </w:p>
        </w:tc>
        <w:tc>
          <w:tcPr>
            <w:tcW w:w="3927"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 млн. домашних хозяйств)</w:t>
            </w:r>
          </w:p>
        </w:tc>
        <w:tc>
          <w:tcPr>
            <w:tcW w:w="3956"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 млн. человек)</w:t>
            </w:r>
          </w:p>
        </w:tc>
      </w:tr>
      <w:tr w:rsidR="00000000">
        <w:trPr>
          <w:cantSplit/>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Место прожива-ния</w:t>
            </w:r>
          </w:p>
        </w:tc>
        <w:tc>
          <w:tcPr>
            <w:tcW w:w="935" w:type="dxa"/>
            <w:vMerge w:val="restart"/>
            <w:tcBorders>
              <w:top w:val="nil"/>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1496" w:type="dxa"/>
            <w:gridSpan w:val="2"/>
            <w:tcBorders>
              <w:top w:val="nil"/>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Охвачены услугами</w:t>
            </w:r>
          </w:p>
        </w:tc>
        <w:tc>
          <w:tcPr>
            <w:tcW w:w="1496" w:type="dxa"/>
            <w:gridSpan w:val="2"/>
            <w:tcBorders>
              <w:top w:val="nil"/>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Не охвачены услугами</w:t>
            </w:r>
          </w:p>
        </w:tc>
        <w:tc>
          <w:tcPr>
            <w:tcW w:w="935" w:type="dxa"/>
            <w:vMerge w:val="restart"/>
            <w:tcBorders>
              <w:top w:val="nil"/>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Охвачены услугами</w:t>
            </w:r>
          </w:p>
        </w:tc>
        <w:tc>
          <w:tcPr>
            <w:tcW w:w="152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Не охвачены услугами</w:t>
            </w:r>
          </w:p>
        </w:tc>
      </w:tr>
      <w:tr w:rsidR="00000000">
        <w:trPr>
          <w:cantSplit/>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p>
        </w:tc>
        <w:tc>
          <w:tcPr>
            <w:tcW w:w="935" w:type="dxa"/>
            <w:vMerge/>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rPr>
                <w:snapToGrid w:val="0"/>
                <w:color w:val="000000"/>
                <w:lang w:eastAsia="pt-BR"/>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c>
          <w:tcPr>
            <w:tcW w:w="935" w:type="dxa"/>
            <w:vMerge/>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rPr>
                <w:snapToGrid w:val="0"/>
                <w:color w:val="000000"/>
                <w:lang w:eastAsia="pt-BR"/>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r>
      <w:tr w:rsidR="00000000">
        <w:trPr>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Города</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34,0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17,4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51,2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right="170"/>
              <w:jc w:val="right"/>
              <w:rPr>
                <w:snapToGrid w:val="0"/>
                <w:color w:val="000000"/>
                <w:lang w:eastAsia="pt-BR"/>
              </w:rPr>
            </w:pPr>
            <w:r>
              <w:rPr>
                <w:snapToGrid w:val="0"/>
                <w:color w:val="000000"/>
                <w:lang w:eastAsia="pt-BR"/>
              </w:rPr>
              <w:t>16,6</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48,8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125,2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61,7</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49,3</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63,5</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50,7</w:t>
            </w:r>
          </w:p>
        </w:tc>
      </w:tr>
      <w:tr w:rsidR="00000000">
        <w:trPr>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Сельские районы</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7,8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0,4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5,1</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right="170"/>
              <w:jc w:val="right"/>
              <w:rPr>
                <w:snapToGrid w:val="0"/>
                <w:color w:val="000000"/>
                <w:lang w:eastAsia="pt-BR"/>
              </w:rPr>
            </w:pPr>
            <w:r>
              <w:rPr>
                <w:snapToGrid w:val="0"/>
                <w:color w:val="000000"/>
                <w:lang w:eastAsia="pt-BR"/>
              </w:rPr>
              <w:t>7,4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94,9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32,2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1,5</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4,7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30,7</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95,3</w:t>
            </w:r>
          </w:p>
        </w:tc>
      </w:tr>
      <w:tr w:rsidR="00000000">
        <w:trPr>
          <w:trHeight w:val="233"/>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Итого</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41,8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17,8</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42,6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tabs>
                <w:tab w:val="clear" w:pos="567"/>
              </w:tabs>
              <w:spacing w:line="240" w:lineRule="auto"/>
              <w:ind w:right="170"/>
              <w:jc w:val="right"/>
              <w:rPr>
                <w:snapToGrid w:val="0"/>
                <w:color w:val="000000"/>
                <w:lang w:eastAsia="pt-BR"/>
              </w:rPr>
            </w:pPr>
            <w:r>
              <w:rPr>
                <w:snapToGrid w:val="0"/>
                <w:color w:val="000000"/>
                <w:lang w:eastAsia="pt-BR"/>
              </w:rPr>
              <w:t>24,0</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57,4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157,4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63,2</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40,2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70"/>
              <w:jc w:val="right"/>
              <w:rPr>
                <w:snapToGrid w:val="0"/>
                <w:color w:val="000000"/>
                <w:lang w:eastAsia="pt-BR"/>
              </w:rPr>
            </w:pPr>
            <w:r>
              <w:rPr>
                <w:snapToGrid w:val="0"/>
                <w:color w:val="000000"/>
                <w:lang w:eastAsia="pt-BR"/>
              </w:rPr>
              <w:t>94,2</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59,8</w:t>
            </w:r>
          </w:p>
        </w:tc>
      </w:tr>
    </w:tbl>
    <w:p w:rsidR="00000000" w:rsidRDefault="00000000">
      <w:pPr>
        <w:spacing w:line="240" w:lineRule="auto"/>
        <w:rPr>
          <w:sz w:val="16"/>
        </w:rPr>
      </w:pPr>
    </w:p>
    <w:p w:rsidR="00000000" w:rsidRDefault="00000000">
      <w:r>
        <w:tab/>
      </w:r>
      <w:r>
        <w:rPr>
          <w:u w:val="single"/>
        </w:rPr>
        <w:t>Источник</w:t>
      </w:r>
      <w:r>
        <w:t>:  БИГС-НВОДХ – 1998 год.</w:t>
      </w:r>
    </w:p>
    <w:p w:rsidR="00000000" w:rsidRDefault="00000000">
      <w:pPr>
        <w:rPr>
          <w:sz w:val="16"/>
        </w:rPr>
      </w:pPr>
    </w:p>
    <w:p w:rsidR="00000000" w:rsidRDefault="00000000">
      <w:pPr>
        <w:jc w:val="center"/>
        <w:rPr>
          <w:b/>
          <w:bCs/>
        </w:rPr>
      </w:pPr>
      <w:r>
        <w:rPr>
          <w:b/>
          <w:bCs/>
        </w:rPr>
        <w:br w:type="page"/>
        <w:t>Таблица 80.  Туалеты или санитарно-гигиеническое оборудование</w:t>
      </w:r>
    </w:p>
    <w:p w:rsidR="00000000" w:rsidRDefault="00000000">
      <w:pPr>
        <w:spacing w:line="240" w:lineRule="auto"/>
        <w:jc w:val="center"/>
        <w:rPr>
          <w:b/>
          <w:bCs/>
          <w:sz w:val="16"/>
        </w:rPr>
      </w:pPr>
    </w:p>
    <w:tbl>
      <w:tblPr>
        <w:tblW w:w="0" w:type="auto"/>
        <w:jc w:val="center"/>
        <w:tblInd w:w="-267" w:type="dxa"/>
        <w:tblLayout w:type="fixed"/>
        <w:tblCellMar>
          <w:left w:w="30" w:type="dxa"/>
          <w:right w:w="30" w:type="dxa"/>
        </w:tblCellMar>
        <w:tblLook w:val="0000" w:firstRow="0" w:lastRow="0" w:firstColumn="0" w:lastColumn="0" w:noHBand="0" w:noVBand="0"/>
      </w:tblPr>
      <w:tblGrid>
        <w:gridCol w:w="1146"/>
        <w:gridCol w:w="935"/>
        <w:gridCol w:w="935"/>
        <w:gridCol w:w="561"/>
        <w:gridCol w:w="935"/>
        <w:gridCol w:w="561"/>
        <w:gridCol w:w="935"/>
        <w:gridCol w:w="935"/>
        <w:gridCol w:w="561"/>
        <w:gridCol w:w="935"/>
        <w:gridCol w:w="590"/>
      </w:tblGrid>
      <w:tr w:rsidR="00000000">
        <w:trPr>
          <w:cantSplit/>
          <w:trHeight w:val="221"/>
          <w:jc w:val="center"/>
        </w:trPr>
        <w:tc>
          <w:tcPr>
            <w:tcW w:w="1146"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p>
        </w:tc>
        <w:tc>
          <w:tcPr>
            <w:tcW w:w="3927"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Домашние хозяйства</w:t>
            </w:r>
          </w:p>
        </w:tc>
        <w:tc>
          <w:tcPr>
            <w:tcW w:w="3956"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Жители</w:t>
            </w:r>
          </w:p>
        </w:tc>
      </w:tr>
      <w:tr w:rsidR="00000000">
        <w:trPr>
          <w:cantSplit/>
          <w:trHeight w:val="243"/>
          <w:jc w:val="center"/>
        </w:trPr>
        <w:tc>
          <w:tcPr>
            <w:tcW w:w="1146"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napToGrid w:val="0"/>
                <w:color w:val="000000"/>
                <w:lang w:eastAsia="pt-BR"/>
              </w:rPr>
            </w:pPr>
          </w:p>
        </w:tc>
        <w:tc>
          <w:tcPr>
            <w:tcW w:w="3927"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 млн. домашних хозяйств)</w:t>
            </w:r>
          </w:p>
        </w:tc>
        <w:tc>
          <w:tcPr>
            <w:tcW w:w="3956" w:type="dxa"/>
            <w:gridSpan w:val="5"/>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 млн. человек)</w:t>
            </w:r>
          </w:p>
        </w:tc>
      </w:tr>
      <w:tr w:rsidR="00000000">
        <w:trPr>
          <w:cantSplit/>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Место прожива-ния</w:t>
            </w:r>
          </w:p>
        </w:tc>
        <w:tc>
          <w:tcPr>
            <w:tcW w:w="93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1496" w:type="dxa"/>
            <w:gridSpan w:val="2"/>
            <w:tcBorders>
              <w:top w:val="nil"/>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Охвачены услугами</w:t>
            </w:r>
          </w:p>
        </w:tc>
        <w:tc>
          <w:tcPr>
            <w:tcW w:w="1496" w:type="dxa"/>
            <w:gridSpan w:val="2"/>
            <w:tcBorders>
              <w:top w:val="nil"/>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Не охвачены услугами</w:t>
            </w:r>
          </w:p>
        </w:tc>
        <w:tc>
          <w:tcPr>
            <w:tcW w:w="935" w:type="dxa"/>
            <w:vMerge w:val="restart"/>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Охвачены услугами</w:t>
            </w:r>
          </w:p>
        </w:tc>
        <w:tc>
          <w:tcPr>
            <w:tcW w:w="1525" w:type="dxa"/>
            <w:gridSpan w:val="2"/>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Не охвачены услугами</w:t>
            </w:r>
          </w:p>
        </w:tc>
      </w:tr>
      <w:tr w:rsidR="00000000">
        <w:trPr>
          <w:cantSplit/>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p>
        </w:tc>
        <w:tc>
          <w:tcPr>
            <w:tcW w:w="935"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jc w:val="center"/>
              <w:rPr>
                <w:snapToGrid w:val="0"/>
                <w:color w:val="000000"/>
                <w:lang w:eastAsia="pt-BR"/>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c>
          <w:tcPr>
            <w:tcW w:w="935" w:type="dxa"/>
            <w:vMerge/>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rPr>
                <w:snapToGrid w:val="0"/>
                <w:color w:val="000000"/>
                <w:lang w:eastAsia="pt-BR"/>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Всего</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napToGrid w:val="0"/>
                <w:color w:val="000000"/>
                <w:lang w:eastAsia="pt-BR"/>
              </w:rPr>
            </w:pPr>
            <w:r>
              <w:rPr>
                <w:snapToGrid w:val="0"/>
                <w:color w:val="000000"/>
                <w:lang w:eastAsia="pt-BR"/>
              </w:rPr>
              <w:t>%</w:t>
            </w:r>
          </w:p>
        </w:tc>
      </w:tr>
      <w:tr w:rsidR="00000000">
        <w:trPr>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Города</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34,0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32,9</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96,8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1,1</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3,2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125,2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121,1</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96,7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4,1</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3,3</w:t>
            </w:r>
          </w:p>
        </w:tc>
      </w:tr>
      <w:tr w:rsidR="00000000">
        <w:trPr>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rPr>
                <w:snapToGrid w:val="0"/>
                <w:color w:val="000000"/>
                <w:lang w:eastAsia="pt-BR"/>
              </w:rPr>
            </w:pPr>
            <w:r>
              <w:rPr>
                <w:snapToGrid w:val="0"/>
                <w:color w:val="000000"/>
                <w:lang w:eastAsia="pt-BR"/>
              </w:rPr>
              <w:t>Сельские районы</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7,8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5,1</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65,4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2,7</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34,6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32,2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20,5</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63,7</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113"/>
              <w:jc w:val="right"/>
              <w:rPr>
                <w:snapToGrid w:val="0"/>
                <w:color w:val="000000"/>
                <w:lang w:eastAsia="pt-BR"/>
              </w:rPr>
            </w:pPr>
            <w:r>
              <w:rPr>
                <w:snapToGrid w:val="0"/>
                <w:color w:val="000000"/>
                <w:lang w:eastAsia="pt-BR"/>
              </w:rPr>
              <w:t>11,7</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ind w:right="57"/>
              <w:jc w:val="right"/>
              <w:rPr>
                <w:snapToGrid w:val="0"/>
                <w:color w:val="000000"/>
                <w:lang w:eastAsia="pt-BR"/>
              </w:rPr>
            </w:pPr>
            <w:r>
              <w:rPr>
                <w:snapToGrid w:val="0"/>
                <w:color w:val="000000"/>
                <w:lang w:eastAsia="pt-BR"/>
              </w:rPr>
              <w:t>36,3</w:t>
            </w:r>
          </w:p>
        </w:tc>
      </w:tr>
      <w:tr w:rsidR="00000000">
        <w:trPr>
          <w:trHeight w:val="233"/>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Итого</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41,8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38,0</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90,9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3,8</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9,1</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157,4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141,6</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90,0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15,8</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10,0</w:t>
            </w:r>
          </w:p>
        </w:tc>
      </w:tr>
    </w:tbl>
    <w:p w:rsidR="00000000" w:rsidRDefault="00000000">
      <w:pPr>
        <w:rPr>
          <w:sz w:val="16"/>
        </w:rPr>
      </w:pPr>
    </w:p>
    <w:p w:rsidR="00000000" w:rsidRDefault="00000000">
      <w:r>
        <w:tab/>
      </w:r>
      <w:r>
        <w:rPr>
          <w:u w:val="single"/>
        </w:rPr>
        <w:t>Источник</w:t>
      </w:r>
      <w:r>
        <w:t>:  БИГС-НВОДХ – 1998 год.</w:t>
      </w:r>
    </w:p>
    <w:p w:rsidR="00000000" w:rsidRDefault="00000000">
      <w:pPr>
        <w:rPr>
          <w:sz w:val="16"/>
        </w:rPr>
      </w:pPr>
    </w:p>
    <w:p w:rsidR="00000000" w:rsidRDefault="00000000">
      <w:pPr>
        <w:jc w:val="center"/>
        <w:rPr>
          <w:b/>
          <w:bCs/>
        </w:rPr>
      </w:pPr>
      <w:r>
        <w:rPr>
          <w:b/>
          <w:bCs/>
        </w:rPr>
        <w:t>Таблица 81.  Доступ к услугам по сбору мусора</w:t>
      </w:r>
    </w:p>
    <w:p w:rsidR="00000000" w:rsidRDefault="00000000">
      <w:pPr>
        <w:pStyle w:val="10"/>
        <w:rPr>
          <w:bCs/>
          <w:sz w:val="16"/>
        </w:rPr>
      </w:pPr>
    </w:p>
    <w:tbl>
      <w:tblPr>
        <w:tblW w:w="0" w:type="auto"/>
        <w:jc w:val="center"/>
        <w:tblInd w:w="-267" w:type="dxa"/>
        <w:tblLayout w:type="fixed"/>
        <w:tblCellMar>
          <w:left w:w="30" w:type="dxa"/>
          <w:right w:w="30" w:type="dxa"/>
        </w:tblCellMar>
        <w:tblLook w:val="0000" w:firstRow="0" w:lastRow="0" w:firstColumn="0" w:lastColumn="0" w:noHBand="0" w:noVBand="0"/>
      </w:tblPr>
      <w:tblGrid>
        <w:gridCol w:w="1146"/>
        <w:gridCol w:w="935"/>
        <w:gridCol w:w="935"/>
        <w:gridCol w:w="561"/>
        <w:gridCol w:w="935"/>
        <w:gridCol w:w="561"/>
        <w:gridCol w:w="935"/>
        <w:gridCol w:w="935"/>
        <w:gridCol w:w="561"/>
        <w:gridCol w:w="935"/>
        <w:gridCol w:w="590"/>
      </w:tblGrid>
      <w:tr w:rsidR="00000000">
        <w:trPr>
          <w:cantSplit/>
          <w:trHeight w:val="221"/>
          <w:jc w:val="center"/>
        </w:trPr>
        <w:tc>
          <w:tcPr>
            <w:tcW w:w="1146" w:type="dxa"/>
            <w:vMerge w:val="restart"/>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p>
        </w:tc>
        <w:tc>
          <w:tcPr>
            <w:tcW w:w="3927"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Домашние хозяйства</w:t>
            </w:r>
          </w:p>
        </w:tc>
        <w:tc>
          <w:tcPr>
            <w:tcW w:w="3956"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Жители</w:t>
            </w:r>
          </w:p>
        </w:tc>
      </w:tr>
      <w:tr w:rsidR="00000000">
        <w:trPr>
          <w:cantSplit/>
          <w:trHeight w:val="243"/>
          <w:jc w:val="center"/>
        </w:trPr>
        <w:tc>
          <w:tcPr>
            <w:tcW w:w="1146" w:type="dxa"/>
            <w:vMerge/>
            <w:tcBorders>
              <w:top w:val="single" w:sz="4" w:space="0" w:color="auto"/>
              <w:left w:val="single" w:sz="4" w:space="0" w:color="auto"/>
              <w:bottom w:val="single" w:sz="4" w:space="0" w:color="auto"/>
              <w:right w:val="single" w:sz="4" w:space="0" w:color="auto"/>
            </w:tcBorders>
            <w:vAlign w:val="center"/>
          </w:tcPr>
          <w:p w:rsidR="00000000" w:rsidRDefault="00000000">
            <w:pPr>
              <w:rPr>
                <w:snapToGrid w:val="0"/>
                <w:color w:val="000000"/>
                <w:lang w:eastAsia="pt-BR"/>
              </w:rPr>
            </w:pPr>
          </w:p>
        </w:tc>
        <w:tc>
          <w:tcPr>
            <w:tcW w:w="3927"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 млн. домашних хозяйств)</w:t>
            </w:r>
          </w:p>
        </w:tc>
        <w:tc>
          <w:tcPr>
            <w:tcW w:w="3956" w:type="dxa"/>
            <w:gridSpan w:val="5"/>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 млн. человек)</w:t>
            </w:r>
          </w:p>
        </w:tc>
      </w:tr>
      <w:tr w:rsidR="00000000">
        <w:trPr>
          <w:cantSplit/>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Место прожива-ния</w:t>
            </w:r>
          </w:p>
        </w:tc>
        <w:tc>
          <w:tcPr>
            <w:tcW w:w="935" w:type="dxa"/>
            <w:vMerge w:val="restart"/>
            <w:tcBorders>
              <w:top w:val="nil"/>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Всего</w:t>
            </w:r>
          </w:p>
        </w:tc>
        <w:tc>
          <w:tcPr>
            <w:tcW w:w="1496" w:type="dxa"/>
            <w:gridSpan w:val="2"/>
            <w:tcBorders>
              <w:top w:val="nil"/>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Охвачены услугами</w:t>
            </w:r>
          </w:p>
        </w:tc>
        <w:tc>
          <w:tcPr>
            <w:tcW w:w="1496" w:type="dxa"/>
            <w:gridSpan w:val="2"/>
            <w:tcBorders>
              <w:top w:val="nil"/>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Не охвачены услугами</w:t>
            </w:r>
          </w:p>
        </w:tc>
        <w:tc>
          <w:tcPr>
            <w:tcW w:w="935" w:type="dxa"/>
            <w:vMerge w:val="restart"/>
            <w:tcBorders>
              <w:top w:val="nil"/>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Всего</w:t>
            </w:r>
          </w:p>
        </w:tc>
        <w:tc>
          <w:tcPr>
            <w:tcW w:w="1496"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Охвачены услугами</w:t>
            </w:r>
          </w:p>
        </w:tc>
        <w:tc>
          <w:tcPr>
            <w:tcW w:w="1525"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Не охвачены услугами</w:t>
            </w:r>
          </w:p>
        </w:tc>
      </w:tr>
      <w:tr w:rsidR="00000000">
        <w:trPr>
          <w:cantSplit/>
          <w:trHeight w:val="698"/>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p>
        </w:tc>
        <w:tc>
          <w:tcPr>
            <w:tcW w:w="935" w:type="dxa"/>
            <w:vMerge/>
            <w:tcBorders>
              <w:top w:val="nil"/>
              <w:left w:val="single" w:sz="4" w:space="0" w:color="auto"/>
              <w:bottom w:val="single" w:sz="4" w:space="0" w:color="auto"/>
              <w:right w:val="single" w:sz="4" w:space="0" w:color="auto"/>
            </w:tcBorders>
            <w:vAlign w:val="center"/>
          </w:tcPr>
          <w:p w:rsidR="00000000" w:rsidRDefault="00000000">
            <w:pPr>
              <w:jc w:val="center"/>
              <w:rPr>
                <w:snapToGrid w:val="0"/>
                <w:color w:val="000000"/>
                <w:lang w:eastAsia="pt-BR"/>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w:t>
            </w:r>
          </w:p>
        </w:tc>
        <w:tc>
          <w:tcPr>
            <w:tcW w:w="935" w:type="dxa"/>
            <w:vMerge/>
            <w:tcBorders>
              <w:top w:val="nil"/>
              <w:left w:val="single" w:sz="4" w:space="0" w:color="auto"/>
              <w:bottom w:val="single" w:sz="4" w:space="0" w:color="auto"/>
              <w:right w:val="single" w:sz="4" w:space="0" w:color="auto"/>
            </w:tcBorders>
            <w:vAlign w:val="center"/>
          </w:tcPr>
          <w:p w:rsidR="00000000" w:rsidRDefault="00000000">
            <w:pPr>
              <w:jc w:val="center"/>
              <w:rPr>
                <w:snapToGrid w:val="0"/>
                <w:color w:val="000000"/>
                <w:lang w:eastAsia="pt-BR"/>
              </w:rPr>
            </w:pP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Всего</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Всего</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jc w:val="center"/>
              <w:rPr>
                <w:snapToGrid w:val="0"/>
                <w:color w:val="000000"/>
                <w:lang w:eastAsia="pt-BR"/>
              </w:rPr>
            </w:pPr>
            <w:r>
              <w:rPr>
                <w:snapToGrid w:val="0"/>
                <w:color w:val="000000"/>
                <w:lang w:eastAsia="pt-BR"/>
              </w:rPr>
              <w:t>%</w:t>
            </w:r>
          </w:p>
        </w:tc>
      </w:tr>
      <w:tr w:rsidR="00000000">
        <w:trPr>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Города</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34,0</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31,4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92,4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2,6</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7,6</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125,2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114,4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91,4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10,8</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8,6</w:t>
            </w:r>
          </w:p>
        </w:tc>
      </w:tr>
      <w:tr w:rsidR="00000000">
        <w:trPr>
          <w:trHeight w:val="221"/>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Сельские районы</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7,8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17,9</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6,4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82,1</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32,2</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5,4</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16,8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26,8</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83,2</w:t>
            </w:r>
          </w:p>
        </w:tc>
      </w:tr>
      <w:tr w:rsidR="00000000">
        <w:trPr>
          <w:trHeight w:val="233"/>
          <w:jc w:val="center"/>
        </w:trPr>
        <w:tc>
          <w:tcPr>
            <w:tcW w:w="1146" w:type="dxa"/>
            <w:tcBorders>
              <w:top w:val="single" w:sz="4" w:space="0" w:color="auto"/>
              <w:left w:val="single" w:sz="4" w:space="0" w:color="auto"/>
              <w:bottom w:val="single" w:sz="4" w:space="0" w:color="auto"/>
              <w:right w:val="single" w:sz="4" w:space="0" w:color="auto"/>
            </w:tcBorders>
          </w:tcPr>
          <w:p w:rsidR="00000000" w:rsidRDefault="00000000">
            <w:pPr>
              <w:rPr>
                <w:snapToGrid w:val="0"/>
                <w:color w:val="000000"/>
                <w:lang w:eastAsia="pt-BR"/>
              </w:rPr>
            </w:pPr>
            <w:r>
              <w:rPr>
                <w:snapToGrid w:val="0"/>
                <w:color w:val="000000"/>
                <w:lang w:eastAsia="pt-BR"/>
              </w:rPr>
              <w:t>Итого</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41,8</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32,8</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78,5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9,0</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21,5</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157,4</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119,8</w:t>
            </w:r>
          </w:p>
        </w:tc>
        <w:tc>
          <w:tcPr>
            <w:tcW w:w="561"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76,1</w:t>
            </w:r>
          </w:p>
        </w:tc>
        <w:tc>
          <w:tcPr>
            <w:tcW w:w="935"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napToGrid w:val="0"/>
                <w:color w:val="000000"/>
                <w:lang w:eastAsia="pt-BR"/>
              </w:rPr>
            </w:pPr>
            <w:r>
              <w:rPr>
                <w:snapToGrid w:val="0"/>
                <w:color w:val="000000"/>
                <w:lang w:eastAsia="pt-BR"/>
              </w:rPr>
              <w:t>37,6</w:t>
            </w:r>
          </w:p>
        </w:tc>
        <w:tc>
          <w:tcPr>
            <w:tcW w:w="590" w:type="dxa"/>
            <w:tcBorders>
              <w:top w:val="single" w:sz="4" w:space="0" w:color="auto"/>
              <w:left w:val="single" w:sz="4" w:space="0" w:color="auto"/>
              <w:bottom w:val="single" w:sz="4" w:space="0" w:color="auto"/>
              <w:right w:val="single" w:sz="4" w:space="0" w:color="auto"/>
            </w:tcBorders>
          </w:tcPr>
          <w:p w:rsidR="00000000" w:rsidRDefault="00000000">
            <w:pPr>
              <w:ind w:right="57"/>
              <w:jc w:val="right"/>
              <w:rPr>
                <w:snapToGrid w:val="0"/>
                <w:color w:val="000000"/>
                <w:lang w:eastAsia="pt-BR"/>
              </w:rPr>
            </w:pPr>
            <w:r>
              <w:rPr>
                <w:snapToGrid w:val="0"/>
                <w:color w:val="000000"/>
                <w:lang w:eastAsia="pt-BR"/>
              </w:rPr>
              <w:t>23,9</w:t>
            </w:r>
          </w:p>
        </w:tc>
      </w:tr>
    </w:tbl>
    <w:p w:rsidR="00000000" w:rsidRDefault="00000000">
      <w:pPr>
        <w:rPr>
          <w:b/>
          <w:bCs/>
          <w:sz w:val="16"/>
        </w:rPr>
      </w:pPr>
    </w:p>
    <w:p w:rsidR="00000000" w:rsidRDefault="00000000">
      <w:r>
        <w:tab/>
      </w:r>
      <w:r>
        <w:rPr>
          <w:u w:val="single"/>
        </w:rPr>
        <w:t>Источник</w:t>
      </w:r>
      <w:r>
        <w:t>:  БИГС-НВОДХ – 1998 год.</w:t>
      </w:r>
    </w:p>
    <w:p w:rsidR="00000000" w:rsidRDefault="00000000">
      <w:pPr>
        <w:rPr>
          <w:sz w:val="16"/>
        </w:rPr>
      </w:pPr>
    </w:p>
    <w:p w:rsidR="00000000" w:rsidRDefault="00000000">
      <w:pPr>
        <w:jc w:val="center"/>
        <w:rPr>
          <w:b/>
          <w:bCs/>
        </w:rPr>
      </w:pPr>
      <w:r>
        <w:rPr>
          <w:b/>
          <w:bCs/>
        </w:rPr>
        <w:t>Таблица 82.  Доля вакцинированных детей в разбивке по регионам, 1999 год</w:t>
      </w:r>
    </w:p>
    <w:p w:rsidR="00000000" w:rsidRDefault="00000000">
      <w:pPr>
        <w:rPr>
          <w:sz w:val="16"/>
        </w:rPr>
      </w:pPr>
    </w:p>
    <w:tbl>
      <w:tblPr>
        <w:tblW w:w="0" w:type="auto"/>
        <w:tblInd w:w="172" w:type="dxa"/>
        <w:tblBorders>
          <w:top w:val="single" w:sz="4" w:space="0" w:color="auto"/>
          <w:left w:val="single" w:sz="4" w:space="0" w:color="auto"/>
          <w:bottom w:val="single" w:sz="4" w:space="0" w:color="auto"/>
          <w:right w:val="single" w:sz="4" w:space="0" w:color="auto"/>
        </w:tblBorders>
        <w:tblLayout w:type="fixed"/>
        <w:tblCellMar>
          <w:left w:w="30" w:type="dxa"/>
          <w:right w:w="30" w:type="dxa"/>
        </w:tblCellMar>
        <w:tblLook w:val="0000" w:firstRow="0" w:lastRow="0" w:firstColumn="0" w:lastColumn="0" w:noHBand="0" w:noVBand="0"/>
      </w:tblPr>
      <w:tblGrid>
        <w:gridCol w:w="2850"/>
        <w:gridCol w:w="1159"/>
        <w:gridCol w:w="1159"/>
        <w:gridCol w:w="1160"/>
        <w:gridCol w:w="1159"/>
        <w:gridCol w:w="1160"/>
      </w:tblGrid>
      <w:tr w:rsidR="00000000">
        <w:trPr>
          <w:trHeight w:val="264"/>
        </w:trPr>
        <w:tc>
          <w:tcPr>
            <w:tcW w:w="2850" w:type="dxa"/>
            <w:tcBorders>
              <w:top w:val="single" w:sz="4" w:space="0" w:color="auto"/>
              <w:left w:val="single" w:sz="4" w:space="0" w:color="auto"/>
              <w:bottom w:val="single" w:sz="4" w:space="0" w:color="auto"/>
              <w:right w:val="single" w:sz="4" w:space="0" w:color="auto"/>
            </w:tcBorders>
          </w:tcPr>
          <w:p w:rsidR="00000000" w:rsidRDefault="00000000">
            <w:r>
              <w:t>Регион</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jc w:val="center"/>
            </w:pPr>
            <w:r>
              <w:t>Полио, 3</w:t>
            </w:r>
            <w:r>
              <w:noBreakHyphen/>
              <w:t>я доза</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jc w:val="center"/>
            </w:pPr>
            <w:r>
              <w:t>ДСП, 3</w:t>
            </w:r>
            <w:r>
              <w:noBreakHyphen/>
              <w:t>я доза</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jc w:val="center"/>
            </w:pPr>
            <w:r>
              <w:t>БЦЖ</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jc w:val="center"/>
            </w:pPr>
            <w:r>
              <w:t>Корь</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jc w:val="center"/>
            </w:pPr>
            <w:r>
              <w:t>Гепатит В</w:t>
            </w:r>
          </w:p>
        </w:tc>
      </w:tr>
      <w:tr w:rsidR="00000000">
        <w:trPr>
          <w:trHeight w:val="264"/>
        </w:trPr>
        <w:tc>
          <w:tcPr>
            <w:tcW w:w="2850" w:type="dxa"/>
            <w:tcBorders>
              <w:top w:val="single" w:sz="4" w:space="0" w:color="auto"/>
              <w:left w:val="single" w:sz="4" w:space="0" w:color="auto"/>
              <w:bottom w:val="single" w:sz="4" w:space="0" w:color="auto"/>
              <w:right w:val="single" w:sz="4" w:space="0" w:color="auto"/>
            </w:tcBorders>
          </w:tcPr>
          <w:p w:rsidR="00000000" w:rsidRDefault="00000000">
            <w:r>
              <w:t>Северный</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88,44</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75,64</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87,49</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73,45</w:t>
            </w:r>
          </w:p>
        </w:tc>
      </w:tr>
      <w:tr w:rsidR="00000000">
        <w:trPr>
          <w:trHeight w:val="250"/>
        </w:trPr>
        <w:tc>
          <w:tcPr>
            <w:tcW w:w="2850" w:type="dxa"/>
            <w:tcBorders>
              <w:top w:val="single" w:sz="4" w:space="0" w:color="auto"/>
              <w:left w:val="single" w:sz="4" w:space="0" w:color="auto"/>
              <w:bottom w:val="single" w:sz="4" w:space="0" w:color="auto"/>
              <w:right w:val="single" w:sz="4" w:space="0" w:color="auto"/>
            </w:tcBorders>
          </w:tcPr>
          <w:p w:rsidR="00000000" w:rsidRDefault="00000000">
            <w:r>
              <w:t>Северо-восточный</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93,86</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88,68</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97,84</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61,90</w:t>
            </w:r>
          </w:p>
        </w:tc>
      </w:tr>
      <w:tr w:rsidR="00000000">
        <w:trPr>
          <w:trHeight w:val="250"/>
        </w:trPr>
        <w:tc>
          <w:tcPr>
            <w:tcW w:w="2850" w:type="dxa"/>
            <w:tcBorders>
              <w:top w:val="single" w:sz="4" w:space="0" w:color="auto"/>
              <w:left w:val="single" w:sz="4" w:space="0" w:color="auto"/>
              <w:bottom w:val="single" w:sz="4" w:space="0" w:color="auto"/>
              <w:right w:val="single" w:sz="4" w:space="0" w:color="auto"/>
            </w:tcBorders>
          </w:tcPr>
          <w:p w:rsidR="00000000" w:rsidRDefault="00000000">
            <w:r>
              <w:t>Юго-восточный</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95,55</w:t>
            </w:r>
          </w:p>
        </w:tc>
      </w:tr>
      <w:tr w:rsidR="00000000">
        <w:trPr>
          <w:trHeight w:val="250"/>
        </w:trPr>
        <w:tc>
          <w:tcPr>
            <w:tcW w:w="2850" w:type="dxa"/>
            <w:tcBorders>
              <w:top w:val="single" w:sz="4" w:space="0" w:color="auto"/>
              <w:left w:val="single" w:sz="4" w:space="0" w:color="auto"/>
              <w:bottom w:val="single" w:sz="4" w:space="0" w:color="auto"/>
              <w:right w:val="single" w:sz="4" w:space="0" w:color="auto"/>
            </w:tcBorders>
          </w:tcPr>
          <w:p w:rsidR="00000000" w:rsidRDefault="00000000">
            <w:r>
              <w:t>Южный</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93,60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93,70</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95,71</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r>
      <w:tr w:rsidR="00000000">
        <w:trPr>
          <w:trHeight w:val="250"/>
        </w:trPr>
        <w:tc>
          <w:tcPr>
            <w:tcW w:w="2850" w:type="dxa"/>
            <w:tcBorders>
              <w:top w:val="single" w:sz="4" w:space="0" w:color="auto"/>
              <w:left w:val="single" w:sz="4" w:space="0" w:color="auto"/>
              <w:bottom w:val="single" w:sz="4" w:space="0" w:color="auto"/>
              <w:right w:val="single" w:sz="4" w:space="0" w:color="auto"/>
            </w:tcBorders>
          </w:tcPr>
          <w:p w:rsidR="00000000" w:rsidRDefault="00000000">
            <w:r>
              <w:t>Центрально-западный</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96,76</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81,82</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87,38</w:t>
            </w:r>
          </w:p>
        </w:tc>
      </w:tr>
      <w:tr w:rsidR="00000000">
        <w:trPr>
          <w:trHeight w:val="250"/>
        </w:trPr>
        <w:tc>
          <w:tcPr>
            <w:tcW w:w="2850" w:type="dxa"/>
            <w:tcBorders>
              <w:top w:val="single" w:sz="4" w:space="0" w:color="auto"/>
              <w:left w:val="single" w:sz="4" w:space="0" w:color="auto"/>
              <w:bottom w:val="single" w:sz="4" w:space="0" w:color="auto"/>
              <w:right w:val="single" w:sz="4" w:space="0" w:color="auto"/>
            </w:tcBorders>
          </w:tcPr>
          <w:p w:rsidR="00000000" w:rsidRDefault="00000000">
            <w:r>
              <w:t>Итого</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98,22</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93,61</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100,00</w:t>
            </w:r>
          </w:p>
        </w:tc>
        <w:tc>
          <w:tcPr>
            <w:tcW w:w="1159"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98,35</w:t>
            </w:r>
          </w:p>
        </w:tc>
        <w:tc>
          <w:tcPr>
            <w:tcW w:w="1160" w:type="dxa"/>
            <w:tcBorders>
              <w:top w:val="single" w:sz="4" w:space="0" w:color="auto"/>
              <w:left w:val="single" w:sz="4" w:space="0" w:color="auto"/>
              <w:bottom w:val="single" w:sz="4" w:space="0" w:color="auto"/>
              <w:right w:val="single" w:sz="4" w:space="0" w:color="auto"/>
            </w:tcBorders>
          </w:tcPr>
          <w:p w:rsidR="00000000" w:rsidRDefault="00000000">
            <w:pPr>
              <w:ind w:right="170"/>
              <w:jc w:val="right"/>
            </w:pPr>
            <w:r>
              <w:t>83,38</w:t>
            </w:r>
          </w:p>
        </w:tc>
      </w:tr>
    </w:tbl>
    <w:p w:rsidR="00000000" w:rsidRDefault="00000000">
      <w:pPr>
        <w:jc w:val="center"/>
        <w:rPr>
          <w:b/>
          <w:bCs/>
        </w:rPr>
      </w:pPr>
    </w:p>
    <w:p w:rsidR="00000000" w:rsidRDefault="00000000">
      <w:r>
        <w:tab/>
      </w:r>
      <w:r>
        <w:rPr>
          <w:u w:val="single"/>
        </w:rPr>
        <w:t>Источник</w:t>
      </w:r>
      <w:r>
        <w:t>:  КОПНИ/СЕНЕПИ/ФУНАСА/Министерство здравоохранения.</w:t>
      </w:r>
    </w:p>
    <w:p w:rsidR="00000000" w:rsidRDefault="00000000"/>
    <w:p w:rsidR="00000000" w:rsidRDefault="00000000">
      <w:r>
        <w:t>628.</w:t>
      </w:r>
      <w:r>
        <w:tab/>
        <w:t>Согласно ВОЗ, полностью вакцинированный ребенок должен иметь прививки БЦЖ, от кори, тройную прививку и прививку от полиомиелита.  Данные, опубликованные министерством здравоохранения, свидетельствуют о том, что в 1999 году прививки каждой из этих вакцин получило свыше 90% населения.</w:t>
      </w:r>
    </w:p>
    <w:p w:rsidR="00000000" w:rsidRDefault="00000000"/>
    <w:p w:rsidR="00000000" w:rsidRDefault="00000000">
      <w:pPr>
        <w:jc w:val="center"/>
        <w:rPr>
          <w:b/>
          <w:bCs/>
        </w:rPr>
      </w:pPr>
      <w:r>
        <w:rPr>
          <w:b/>
          <w:bCs/>
        </w:rPr>
        <w:t>Таблица 83.  Средняя продолжительность предстоящей жизни при рождении, 1998 год</w:t>
      </w:r>
    </w:p>
    <w:p w:rsidR="00000000" w:rsidRDefault="00000000"/>
    <w:tbl>
      <w:tblPr>
        <w:tblW w:w="0" w:type="auto"/>
        <w:jc w:val="center"/>
        <w:tblInd w:w="-1629" w:type="dxa"/>
        <w:tblLayout w:type="fixed"/>
        <w:tblCellMar>
          <w:left w:w="30" w:type="dxa"/>
          <w:right w:w="30" w:type="dxa"/>
        </w:tblCellMar>
        <w:tblLook w:val="0000" w:firstRow="0" w:lastRow="0" w:firstColumn="0" w:lastColumn="0" w:noHBand="0" w:noVBand="0"/>
      </w:tblPr>
      <w:tblGrid>
        <w:gridCol w:w="3614"/>
        <w:gridCol w:w="1370"/>
        <w:gridCol w:w="1370"/>
        <w:gridCol w:w="1371"/>
      </w:tblGrid>
      <w:tr w:rsidR="00000000">
        <w:trPr>
          <w:cantSplit/>
          <w:trHeight w:val="187"/>
          <w:jc w:val="center"/>
        </w:trPr>
        <w:tc>
          <w:tcPr>
            <w:tcW w:w="3614" w:type="dxa"/>
            <w:vMerge w:val="restart"/>
            <w:tcBorders>
              <w:top w:val="single" w:sz="6" w:space="0" w:color="auto"/>
              <w:left w:val="single" w:sz="6" w:space="0" w:color="auto"/>
              <w:bottom w:val="single" w:sz="6" w:space="0" w:color="auto"/>
              <w:right w:val="single" w:sz="6" w:space="0" w:color="auto"/>
            </w:tcBorders>
          </w:tcPr>
          <w:p w:rsidR="00000000" w:rsidRDefault="00000000"/>
        </w:tc>
        <w:tc>
          <w:tcPr>
            <w:tcW w:w="4111" w:type="dxa"/>
            <w:gridSpan w:val="3"/>
            <w:tcBorders>
              <w:top w:val="single" w:sz="6" w:space="0" w:color="auto"/>
              <w:left w:val="single" w:sz="6" w:space="0" w:color="auto"/>
              <w:bottom w:val="single" w:sz="6" w:space="0" w:color="auto"/>
              <w:right w:val="single" w:sz="6" w:space="0" w:color="auto"/>
            </w:tcBorders>
          </w:tcPr>
          <w:p w:rsidR="00000000" w:rsidRDefault="00000000">
            <w:pPr>
              <w:jc w:val="center"/>
            </w:pPr>
            <w:r>
              <w:t>Средняя продолжительность предстоящей жизни при рождении</w:t>
            </w:r>
          </w:p>
        </w:tc>
      </w:tr>
      <w:tr w:rsidR="00000000">
        <w:trPr>
          <w:cantSplit/>
          <w:trHeight w:val="187"/>
          <w:jc w:val="center"/>
        </w:trPr>
        <w:tc>
          <w:tcPr>
            <w:tcW w:w="3614" w:type="dxa"/>
            <w:vMerge/>
            <w:tcBorders>
              <w:top w:val="single" w:sz="6" w:space="0" w:color="auto"/>
              <w:left w:val="single" w:sz="6" w:space="0" w:color="auto"/>
              <w:bottom w:val="single" w:sz="6" w:space="0" w:color="auto"/>
              <w:right w:val="single" w:sz="6" w:space="0" w:color="auto"/>
            </w:tcBorders>
            <w:vAlign w:val="center"/>
          </w:tcPr>
          <w:p w:rsidR="00000000" w:rsidRDefault="00000000"/>
        </w:tc>
        <w:tc>
          <w:tcPr>
            <w:tcW w:w="1370" w:type="dxa"/>
            <w:tcBorders>
              <w:top w:val="single" w:sz="6" w:space="0" w:color="auto"/>
              <w:left w:val="single" w:sz="6" w:space="0" w:color="auto"/>
              <w:bottom w:val="single" w:sz="6" w:space="0" w:color="auto"/>
              <w:right w:val="single" w:sz="6" w:space="0" w:color="auto"/>
            </w:tcBorders>
          </w:tcPr>
          <w:p w:rsidR="00000000" w:rsidRDefault="00000000">
            <w:pPr>
              <w:jc w:val="center"/>
            </w:pPr>
            <w:r>
              <w:t>Мужчины/ женщины</w:t>
            </w:r>
          </w:p>
        </w:tc>
        <w:tc>
          <w:tcPr>
            <w:tcW w:w="1370" w:type="dxa"/>
            <w:tcBorders>
              <w:top w:val="single" w:sz="6" w:space="0" w:color="auto"/>
              <w:left w:val="single" w:sz="6" w:space="0" w:color="auto"/>
              <w:bottom w:val="single" w:sz="6" w:space="0" w:color="auto"/>
              <w:right w:val="single" w:sz="6" w:space="0" w:color="auto"/>
            </w:tcBorders>
          </w:tcPr>
          <w:p w:rsidR="00000000" w:rsidRDefault="00000000">
            <w:pPr>
              <w:jc w:val="center"/>
            </w:pPr>
            <w:r>
              <w:t>Мужчины</w:t>
            </w:r>
          </w:p>
        </w:tc>
        <w:tc>
          <w:tcPr>
            <w:tcW w:w="1371" w:type="dxa"/>
            <w:tcBorders>
              <w:top w:val="single" w:sz="6" w:space="0" w:color="auto"/>
              <w:left w:val="single" w:sz="6" w:space="0" w:color="auto"/>
              <w:bottom w:val="single" w:sz="6" w:space="0" w:color="auto"/>
              <w:right w:val="single" w:sz="6" w:space="0" w:color="auto"/>
            </w:tcBorders>
          </w:tcPr>
          <w:p w:rsidR="00000000" w:rsidRDefault="00000000">
            <w:pPr>
              <w:jc w:val="center"/>
            </w:pPr>
            <w:r>
              <w:t>Женщины</w:t>
            </w:r>
          </w:p>
        </w:tc>
      </w:tr>
      <w:tr w:rsidR="00000000">
        <w:trPr>
          <w:trHeight w:val="202"/>
          <w:jc w:val="center"/>
        </w:trPr>
        <w:tc>
          <w:tcPr>
            <w:tcW w:w="3614" w:type="dxa"/>
            <w:tcBorders>
              <w:top w:val="single" w:sz="6" w:space="0" w:color="auto"/>
              <w:left w:val="single" w:sz="6" w:space="0" w:color="000000"/>
              <w:bottom w:val="double" w:sz="6" w:space="0" w:color="auto"/>
              <w:right w:val="single" w:sz="6" w:space="0" w:color="000000"/>
            </w:tcBorders>
          </w:tcPr>
          <w:p w:rsidR="00000000" w:rsidRDefault="00000000">
            <w:r>
              <w:t>Бразилия в целом</w:t>
            </w:r>
          </w:p>
        </w:tc>
        <w:tc>
          <w:tcPr>
            <w:tcW w:w="1370" w:type="dxa"/>
            <w:tcBorders>
              <w:top w:val="single" w:sz="6" w:space="0" w:color="auto"/>
              <w:left w:val="single" w:sz="6" w:space="0" w:color="000000"/>
              <w:bottom w:val="double" w:sz="6" w:space="0" w:color="auto"/>
              <w:right w:val="single" w:sz="6" w:space="0" w:color="000000"/>
            </w:tcBorders>
          </w:tcPr>
          <w:p w:rsidR="00000000" w:rsidRDefault="00000000">
            <w:pPr>
              <w:ind w:right="227"/>
              <w:jc w:val="right"/>
            </w:pPr>
            <w:r>
              <w:t>68,1</w:t>
            </w:r>
          </w:p>
        </w:tc>
        <w:tc>
          <w:tcPr>
            <w:tcW w:w="1370" w:type="dxa"/>
            <w:tcBorders>
              <w:top w:val="single" w:sz="6" w:space="0" w:color="auto"/>
              <w:left w:val="single" w:sz="6" w:space="0" w:color="000000"/>
              <w:bottom w:val="double" w:sz="6" w:space="0" w:color="auto"/>
              <w:right w:val="single" w:sz="6" w:space="0" w:color="000000"/>
            </w:tcBorders>
          </w:tcPr>
          <w:p w:rsidR="00000000" w:rsidRDefault="00000000">
            <w:pPr>
              <w:ind w:right="227"/>
              <w:jc w:val="right"/>
            </w:pPr>
            <w:r>
              <w:t>64,3</w:t>
            </w:r>
          </w:p>
        </w:tc>
        <w:tc>
          <w:tcPr>
            <w:tcW w:w="1371" w:type="dxa"/>
            <w:tcBorders>
              <w:top w:val="single" w:sz="6" w:space="0" w:color="auto"/>
              <w:left w:val="single" w:sz="6" w:space="0" w:color="000000"/>
              <w:bottom w:val="double" w:sz="6" w:space="0" w:color="auto"/>
              <w:right w:val="single" w:sz="6" w:space="0" w:color="000000"/>
            </w:tcBorders>
          </w:tcPr>
          <w:p w:rsidR="00000000" w:rsidRDefault="00000000">
            <w:pPr>
              <w:ind w:right="227"/>
              <w:jc w:val="right"/>
            </w:pPr>
            <w:r>
              <w:t>72,1</w:t>
            </w:r>
          </w:p>
        </w:tc>
      </w:tr>
      <w:tr w:rsidR="00000000">
        <w:trPr>
          <w:trHeight w:val="202"/>
          <w:jc w:val="center"/>
        </w:trPr>
        <w:tc>
          <w:tcPr>
            <w:tcW w:w="3614" w:type="dxa"/>
            <w:tcBorders>
              <w:top w:val="double" w:sz="6" w:space="0" w:color="auto"/>
              <w:left w:val="single" w:sz="6" w:space="0" w:color="000000"/>
              <w:bottom w:val="single" w:sz="6" w:space="0" w:color="000000"/>
              <w:right w:val="single" w:sz="6" w:space="0" w:color="000000"/>
            </w:tcBorders>
          </w:tcPr>
          <w:p w:rsidR="00000000" w:rsidRDefault="00000000">
            <w:r>
              <w:t>Северный регион</w:t>
            </w:r>
          </w:p>
        </w:tc>
        <w:tc>
          <w:tcPr>
            <w:tcW w:w="1370" w:type="dxa"/>
            <w:tcBorders>
              <w:top w:val="double" w:sz="6" w:space="0" w:color="auto"/>
              <w:left w:val="single" w:sz="6" w:space="0" w:color="000000"/>
              <w:bottom w:val="single" w:sz="6" w:space="0" w:color="000000"/>
              <w:right w:val="single" w:sz="6" w:space="0" w:color="000000"/>
            </w:tcBorders>
          </w:tcPr>
          <w:p w:rsidR="00000000" w:rsidRDefault="00000000">
            <w:pPr>
              <w:ind w:right="227"/>
              <w:jc w:val="right"/>
            </w:pPr>
            <w:r>
              <w:t>67,9</w:t>
            </w:r>
          </w:p>
        </w:tc>
        <w:tc>
          <w:tcPr>
            <w:tcW w:w="1370" w:type="dxa"/>
            <w:tcBorders>
              <w:top w:val="double" w:sz="6" w:space="0" w:color="auto"/>
              <w:left w:val="single" w:sz="6" w:space="0" w:color="000000"/>
              <w:bottom w:val="single" w:sz="6" w:space="0" w:color="000000"/>
              <w:right w:val="single" w:sz="6" w:space="0" w:color="000000"/>
            </w:tcBorders>
          </w:tcPr>
          <w:p w:rsidR="00000000" w:rsidRDefault="00000000">
            <w:pPr>
              <w:ind w:right="227"/>
              <w:jc w:val="right"/>
            </w:pPr>
            <w:r>
              <w:t>65,1</w:t>
            </w:r>
          </w:p>
        </w:tc>
        <w:tc>
          <w:tcPr>
            <w:tcW w:w="1371" w:type="dxa"/>
            <w:tcBorders>
              <w:top w:val="double" w:sz="6" w:space="0" w:color="auto"/>
              <w:left w:val="single" w:sz="6" w:space="0" w:color="000000"/>
              <w:bottom w:val="single" w:sz="6" w:space="0" w:color="000000"/>
              <w:right w:val="single" w:sz="6" w:space="0" w:color="000000"/>
            </w:tcBorders>
          </w:tcPr>
          <w:p w:rsidR="00000000" w:rsidRDefault="00000000">
            <w:pPr>
              <w:ind w:right="227"/>
              <w:jc w:val="right"/>
            </w:pPr>
            <w:r>
              <w:t>71,1</w:t>
            </w:r>
          </w:p>
        </w:tc>
      </w:tr>
      <w:tr w:rsidR="00000000">
        <w:trPr>
          <w:trHeight w:val="187"/>
          <w:jc w:val="center"/>
        </w:trPr>
        <w:tc>
          <w:tcPr>
            <w:tcW w:w="3614" w:type="dxa"/>
            <w:tcBorders>
              <w:top w:val="single" w:sz="6" w:space="0" w:color="000000"/>
              <w:left w:val="single" w:sz="6" w:space="0" w:color="000000"/>
              <w:bottom w:val="single" w:sz="6" w:space="0" w:color="000000"/>
              <w:right w:val="single" w:sz="6" w:space="0" w:color="000000"/>
            </w:tcBorders>
          </w:tcPr>
          <w:p w:rsidR="00000000" w:rsidRDefault="00000000">
            <w:r>
              <w:t>Северо-восточный регион</w:t>
            </w:r>
          </w:p>
        </w:tc>
        <w:tc>
          <w:tcPr>
            <w:tcW w:w="1370"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65,1</w:t>
            </w:r>
          </w:p>
        </w:tc>
        <w:tc>
          <w:tcPr>
            <w:tcW w:w="1370"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62,1</w:t>
            </w:r>
          </w:p>
        </w:tc>
        <w:tc>
          <w:tcPr>
            <w:tcW w:w="1371"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68,2</w:t>
            </w:r>
          </w:p>
        </w:tc>
      </w:tr>
      <w:tr w:rsidR="00000000">
        <w:trPr>
          <w:trHeight w:val="187"/>
          <w:jc w:val="center"/>
        </w:trPr>
        <w:tc>
          <w:tcPr>
            <w:tcW w:w="3614" w:type="dxa"/>
            <w:tcBorders>
              <w:top w:val="single" w:sz="6" w:space="0" w:color="000000"/>
              <w:left w:val="single" w:sz="6" w:space="0" w:color="000000"/>
              <w:bottom w:val="single" w:sz="6" w:space="0" w:color="000000"/>
              <w:right w:val="single" w:sz="6" w:space="0" w:color="000000"/>
            </w:tcBorders>
          </w:tcPr>
          <w:p w:rsidR="00000000" w:rsidRDefault="00000000">
            <w:r>
              <w:t>Юго-восточный регион</w:t>
            </w:r>
          </w:p>
        </w:tc>
        <w:tc>
          <w:tcPr>
            <w:tcW w:w="1370"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69,2</w:t>
            </w:r>
          </w:p>
        </w:tc>
        <w:tc>
          <w:tcPr>
            <w:tcW w:w="1370"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64,8</w:t>
            </w:r>
          </w:p>
        </w:tc>
        <w:tc>
          <w:tcPr>
            <w:tcW w:w="1371"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73,8</w:t>
            </w:r>
          </w:p>
        </w:tc>
      </w:tr>
      <w:tr w:rsidR="00000000">
        <w:trPr>
          <w:trHeight w:val="187"/>
          <w:jc w:val="center"/>
        </w:trPr>
        <w:tc>
          <w:tcPr>
            <w:tcW w:w="3614" w:type="dxa"/>
            <w:tcBorders>
              <w:top w:val="single" w:sz="6" w:space="0" w:color="000000"/>
              <w:left w:val="single" w:sz="6" w:space="0" w:color="000000"/>
              <w:bottom w:val="single" w:sz="6" w:space="0" w:color="000000"/>
              <w:right w:val="single" w:sz="6" w:space="0" w:color="000000"/>
            </w:tcBorders>
          </w:tcPr>
          <w:p w:rsidR="00000000" w:rsidRDefault="00000000">
            <w:r>
              <w:t>Южный регион</w:t>
            </w:r>
          </w:p>
        </w:tc>
        <w:tc>
          <w:tcPr>
            <w:tcW w:w="1370"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70,6</w:t>
            </w:r>
          </w:p>
        </w:tc>
        <w:tc>
          <w:tcPr>
            <w:tcW w:w="1370"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66,9</w:t>
            </w:r>
          </w:p>
        </w:tc>
        <w:tc>
          <w:tcPr>
            <w:tcW w:w="1371" w:type="dxa"/>
            <w:tcBorders>
              <w:top w:val="single" w:sz="6" w:space="0" w:color="000000"/>
              <w:left w:val="single" w:sz="6" w:space="0" w:color="000000"/>
              <w:bottom w:val="single" w:sz="6" w:space="0" w:color="000000"/>
              <w:right w:val="single" w:sz="6" w:space="0" w:color="000000"/>
            </w:tcBorders>
          </w:tcPr>
          <w:p w:rsidR="00000000" w:rsidRDefault="00000000">
            <w:pPr>
              <w:ind w:right="227"/>
              <w:jc w:val="right"/>
            </w:pPr>
            <w:r>
              <w:t>74,5</w:t>
            </w:r>
          </w:p>
        </w:tc>
      </w:tr>
      <w:tr w:rsidR="00000000">
        <w:trPr>
          <w:trHeight w:val="202"/>
          <w:jc w:val="center"/>
        </w:trPr>
        <w:tc>
          <w:tcPr>
            <w:tcW w:w="3614" w:type="dxa"/>
            <w:tcBorders>
              <w:top w:val="single" w:sz="6" w:space="0" w:color="000000"/>
              <w:left w:val="single" w:sz="6" w:space="0" w:color="000000"/>
              <w:bottom w:val="single" w:sz="12" w:space="0" w:color="auto"/>
              <w:right w:val="single" w:sz="6" w:space="0" w:color="000000"/>
            </w:tcBorders>
          </w:tcPr>
          <w:p w:rsidR="00000000" w:rsidRDefault="00000000">
            <w:r>
              <w:t>Центрально-западный регион</w:t>
            </w:r>
          </w:p>
        </w:tc>
        <w:tc>
          <w:tcPr>
            <w:tcW w:w="1370" w:type="dxa"/>
            <w:tcBorders>
              <w:top w:val="single" w:sz="6" w:space="0" w:color="000000"/>
              <w:left w:val="single" w:sz="6" w:space="0" w:color="000000"/>
              <w:bottom w:val="single" w:sz="12" w:space="0" w:color="auto"/>
              <w:right w:val="single" w:sz="6" w:space="0" w:color="000000"/>
            </w:tcBorders>
          </w:tcPr>
          <w:p w:rsidR="00000000" w:rsidRDefault="00000000">
            <w:pPr>
              <w:ind w:right="227"/>
              <w:jc w:val="right"/>
            </w:pPr>
            <w:r>
              <w:t>68,9</w:t>
            </w:r>
          </w:p>
        </w:tc>
        <w:tc>
          <w:tcPr>
            <w:tcW w:w="1370" w:type="dxa"/>
            <w:tcBorders>
              <w:top w:val="single" w:sz="6" w:space="0" w:color="000000"/>
              <w:left w:val="single" w:sz="6" w:space="0" w:color="000000"/>
              <w:bottom w:val="single" w:sz="12" w:space="0" w:color="auto"/>
              <w:right w:val="single" w:sz="6" w:space="0" w:color="000000"/>
            </w:tcBorders>
          </w:tcPr>
          <w:p w:rsidR="00000000" w:rsidRDefault="00000000">
            <w:pPr>
              <w:ind w:right="227"/>
              <w:jc w:val="right"/>
            </w:pPr>
            <w:r>
              <w:t>65,8</w:t>
            </w:r>
          </w:p>
        </w:tc>
        <w:tc>
          <w:tcPr>
            <w:tcW w:w="1371" w:type="dxa"/>
            <w:tcBorders>
              <w:top w:val="single" w:sz="6" w:space="0" w:color="000000"/>
              <w:left w:val="single" w:sz="6" w:space="0" w:color="000000"/>
              <w:bottom w:val="single" w:sz="12" w:space="0" w:color="auto"/>
              <w:right w:val="single" w:sz="6" w:space="0" w:color="000000"/>
            </w:tcBorders>
          </w:tcPr>
          <w:p w:rsidR="00000000" w:rsidRDefault="00000000">
            <w:pPr>
              <w:ind w:right="227"/>
              <w:jc w:val="right"/>
            </w:pPr>
            <w:r>
              <w:t>72,4</w:t>
            </w:r>
          </w:p>
        </w:tc>
      </w:tr>
    </w:tbl>
    <w:p w:rsidR="00000000" w:rsidRDefault="00000000"/>
    <w:p w:rsidR="00000000" w:rsidRDefault="00000000">
      <w:r>
        <w:tab/>
      </w:r>
      <w:r>
        <w:rPr>
          <w:u w:val="single"/>
        </w:rPr>
        <w:t>Источник</w:t>
      </w:r>
      <w:r>
        <w:t>:  Сводка социальных показателей, БИГС, 1999 год.</w:t>
      </w:r>
    </w:p>
    <w:p w:rsidR="00000000" w:rsidRDefault="00000000"/>
    <w:p w:rsidR="00000000" w:rsidRDefault="00000000">
      <w:pPr>
        <w:jc w:val="center"/>
        <w:rPr>
          <w:b/>
          <w:bCs/>
        </w:rPr>
      </w:pPr>
      <w:r>
        <w:rPr>
          <w:b/>
          <w:bCs/>
        </w:rPr>
        <w:t>Таблица 84.   Средняя продолжительность предстоящей жизни при рождении </w:t>
      </w:r>
      <w:r>
        <w:rPr>
          <w:b/>
          <w:bCs/>
        </w:rPr>
        <w:sym w:font="Symbol" w:char="F02D"/>
      </w:r>
      <w:r>
        <w:rPr>
          <w:b/>
          <w:bCs/>
        </w:rPr>
        <w:t xml:space="preserve"> ожидаемая продолжительность жизни в разбивке по полу,</w:t>
      </w:r>
    </w:p>
    <w:p w:rsidR="00000000" w:rsidRDefault="00000000">
      <w:pPr>
        <w:jc w:val="center"/>
        <w:rPr>
          <w:b/>
          <w:bCs/>
        </w:rPr>
      </w:pPr>
      <w:r>
        <w:rPr>
          <w:b/>
          <w:bCs/>
        </w:rPr>
        <w:t>регионам и штатам, 1997 год</w:t>
      </w:r>
    </w:p>
    <w:p w:rsidR="00000000" w:rsidRDefault="00000000">
      <w:pPr>
        <w:jc w:val="center"/>
        <w:rPr>
          <w:b/>
          <w:bCs/>
        </w:rPr>
      </w:pPr>
    </w:p>
    <w:tbl>
      <w:tblPr>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bottom w:w="28" w:type="dxa"/>
          <w:right w:w="113" w:type="dxa"/>
        </w:tblCellMar>
        <w:tblLook w:val="0000" w:firstRow="0" w:lastRow="0" w:firstColumn="0" w:lastColumn="0" w:noHBand="0" w:noVBand="0"/>
      </w:tblPr>
      <w:tblGrid>
        <w:gridCol w:w="3686"/>
        <w:gridCol w:w="1418"/>
        <w:gridCol w:w="1418"/>
        <w:gridCol w:w="1418"/>
      </w:tblGrid>
      <w:tr w:rsidR="00000000">
        <w:trPr>
          <w:jc w:val="center"/>
        </w:trPr>
        <w:tc>
          <w:tcPr>
            <w:tcW w:w="3686" w:type="dxa"/>
            <w:shd w:val="clear" w:color="C0C0C0" w:fill="auto"/>
            <w:vAlign w:val="center"/>
          </w:tcPr>
          <w:p w:rsidR="00000000" w:rsidRDefault="00000000">
            <w:pPr>
              <w:pStyle w:val="FootnoteText"/>
              <w:spacing w:line="288" w:lineRule="auto"/>
              <w:rPr>
                <w:snapToGrid w:val="0"/>
                <w:lang w:eastAsia="pt-BR"/>
              </w:rPr>
            </w:pPr>
            <w:r>
              <w:rPr>
                <w:snapToGrid w:val="0"/>
                <w:lang w:eastAsia="pt-BR"/>
              </w:rPr>
              <w:t>Регионы и штаты</w:t>
            </w:r>
          </w:p>
        </w:tc>
        <w:tc>
          <w:tcPr>
            <w:tcW w:w="1418" w:type="dxa"/>
            <w:shd w:val="clear" w:color="C0C0C0" w:fill="auto"/>
            <w:vAlign w:val="center"/>
          </w:tcPr>
          <w:p w:rsidR="00000000" w:rsidRDefault="00000000">
            <w:pPr>
              <w:jc w:val="center"/>
              <w:rPr>
                <w:snapToGrid w:val="0"/>
                <w:lang w:eastAsia="pt-BR"/>
              </w:rPr>
            </w:pPr>
            <w:r>
              <w:rPr>
                <w:snapToGrid w:val="0"/>
                <w:lang w:eastAsia="pt-BR"/>
              </w:rPr>
              <w:t>Мужчины</w:t>
            </w:r>
          </w:p>
        </w:tc>
        <w:tc>
          <w:tcPr>
            <w:tcW w:w="1418" w:type="dxa"/>
            <w:shd w:val="clear" w:color="C0C0C0" w:fill="auto"/>
            <w:vAlign w:val="center"/>
          </w:tcPr>
          <w:p w:rsidR="00000000" w:rsidRDefault="00000000">
            <w:pPr>
              <w:jc w:val="center"/>
              <w:rPr>
                <w:snapToGrid w:val="0"/>
                <w:lang w:eastAsia="pt-BR"/>
              </w:rPr>
            </w:pPr>
            <w:r>
              <w:rPr>
                <w:snapToGrid w:val="0"/>
                <w:lang w:eastAsia="pt-BR"/>
              </w:rPr>
              <w:t>Женщины</w:t>
            </w:r>
          </w:p>
        </w:tc>
        <w:tc>
          <w:tcPr>
            <w:tcW w:w="1418" w:type="dxa"/>
            <w:shd w:val="clear" w:color="C0C0C0" w:fill="auto"/>
            <w:vAlign w:val="center"/>
          </w:tcPr>
          <w:p w:rsidR="00000000" w:rsidRDefault="00000000">
            <w:pPr>
              <w:pStyle w:val="16"/>
              <w:rPr>
                <w:snapToGrid w:val="0"/>
                <w:lang w:eastAsia="pt-BR"/>
              </w:rPr>
            </w:pPr>
            <w:r>
              <w:rPr>
                <w:snapToGrid w:val="0"/>
                <w:lang w:eastAsia="pt-BR"/>
              </w:rPr>
              <w:t>Всего</w:t>
            </w:r>
          </w:p>
        </w:tc>
      </w:tr>
      <w:tr w:rsidR="00000000">
        <w:trPr>
          <w:jc w:val="center"/>
        </w:trPr>
        <w:tc>
          <w:tcPr>
            <w:tcW w:w="3686" w:type="dxa"/>
            <w:vAlign w:val="center"/>
          </w:tcPr>
          <w:p w:rsidR="00000000" w:rsidRDefault="00000000">
            <w:pPr>
              <w:rPr>
                <w:snapToGrid w:val="0"/>
                <w:lang w:eastAsia="pt-BR"/>
              </w:rPr>
            </w:pPr>
            <w:r>
              <w:rPr>
                <w:snapToGrid w:val="0"/>
                <w:lang w:eastAsia="pt-BR"/>
              </w:rPr>
              <w:t>Северный регион</w:t>
            </w:r>
          </w:p>
        </w:tc>
        <w:tc>
          <w:tcPr>
            <w:tcW w:w="1418" w:type="dxa"/>
            <w:vAlign w:val="center"/>
          </w:tcPr>
          <w:p w:rsidR="00000000" w:rsidRDefault="00000000">
            <w:pPr>
              <w:jc w:val="center"/>
              <w:rPr>
                <w:snapToGrid w:val="0"/>
                <w:lang w:eastAsia="pt-BR"/>
              </w:rPr>
            </w:pPr>
            <w:r>
              <w:rPr>
                <w:snapToGrid w:val="0"/>
                <w:lang w:eastAsia="pt-BR"/>
              </w:rPr>
              <w:t>64,77</w:t>
            </w:r>
          </w:p>
        </w:tc>
        <w:tc>
          <w:tcPr>
            <w:tcW w:w="1418" w:type="dxa"/>
            <w:vAlign w:val="center"/>
          </w:tcPr>
          <w:p w:rsidR="00000000" w:rsidRDefault="00000000">
            <w:pPr>
              <w:jc w:val="center"/>
              <w:rPr>
                <w:snapToGrid w:val="0"/>
                <w:lang w:eastAsia="pt-BR"/>
              </w:rPr>
            </w:pPr>
            <w:r>
              <w:rPr>
                <w:snapToGrid w:val="0"/>
                <w:lang w:eastAsia="pt-BR"/>
              </w:rPr>
              <w:t>70,77</w:t>
            </w:r>
          </w:p>
        </w:tc>
        <w:tc>
          <w:tcPr>
            <w:tcW w:w="1418" w:type="dxa"/>
            <w:vAlign w:val="center"/>
          </w:tcPr>
          <w:p w:rsidR="00000000" w:rsidRDefault="00000000">
            <w:pPr>
              <w:jc w:val="center"/>
              <w:rPr>
                <w:snapToGrid w:val="0"/>
                <w:lang w:eastAsia="pt-BR"/>
              </w:rPr>
            </w:pPr>
            <w:r>
              <w:rPr>
                <w:snapToGrid w:val="0"/>
                <w:lang w:eastAsia="pt-BR"/>
              </w:rPr>
              <w:t>67,55</w:t>
            </w:r>
          </w:p>
        </w:tc>
      </w:tr>
      <w:tr w:rsidR="00000000">
        <w:trPr>
          <w:jc w:val="center"/>
        </w:trPr>
        <w:tc>
          <w:tcPr>
            <w:tcW w:w="3686" w:type="dxa"/>
            <w:vAlign w:val="center"/>
          </w:tcPr>
          <w:p w:rsidR="00000000" w:rsidRDefault="00000000">
            <w:pPr>
              <w:rPr>
                <w:snapToGrid w:val="0"/>
                <w:lang w:eastAsia="pt-BR"/>
              </w:rPr>
            </w:pPr>
            <w:r>
              <w:rPr>
                <w:snapToGrid w:val="0"/>
                <w:lang w:eastAsia="pt-BR"/>
              </w:rPr>
              <w:t>Рондония</w:t>
            </w:r>
          </w:p>
        </w:tc>
        <w:tc>
          <w:tcPr>
            <w:tcW w:w="1418" w:type="dxa"/>
            <w:vAlign w:val="center"/>
          </w:tcPr>
          <w:p w:rsidR="00000000" w:rsidRDefault="00000000">
            <w:pPr>
              <w:jc w:val="center"/>
              <w:rPr>
                <w:snapToGrid w:val="0"/>
                <w:lang w:eastAsia="pt-BR"/>
              </w:rPr>
            </w:pPr>
            <w:r>
              <w:rPr>
                <w:snapToGrid w:val="0"/>
                <w:lang w:eastAsia="pt-BR"/>
              </w:rPr>
              <w:t>64,41</w:t>
            </w:r>
          </w:p>
        </w:tc>
        <w:tc>
          <w:tcPr>
            <w:tcW w:w="1418" w:type="dxa"/>
            <w:vAlign w:val="center"/>
          </w:tcPr>
          <w:p w:rsidR="00000000" w:rsidRDefault="00000000">
            <w:pPr>
              <w:jc w:val="center"/>
              <w:rPr>
                <w:snapToGrid w:val="0"/>
                <w:lang w:eastAsia="pt-BR"/>
              </w:rPr>
            </w:pPr>
            <w:r>
              <w:rPr>
                <w:snapToGrid w:val="0"/>
                <w:lang w:eastAsia="pt-BR"/>
              </w:rPr>
              <w:t>70,41</w:t>
            </w:r>
          </w:p>
        </w:tc>
        <w:tc>
          <w:tcPr>
            <w:tcW w:w="1418" w:type="dxa"/>
            <w:vAlign w:val="center"/>
          </w:tcPr>
          <w:p w:rsidR="00000000" w:rsidRDefault="00000000">
            <w:pPr>
              <w:jc w:val="center"/>
              <w:rPr>
                <w:snapToGrid w:val="0"/>
                <w:lang w:eastAsia="pt-BR"/>
              </w:rPr>
            </w:pPr>
            <w:r>
              <w:rPr>
                <w:snapToGrid w:val="0"/>
                <w:lang w:eastAsia="pt-BR"/>
              </w:rPr>
              <w:t>67,35</w:t>
            </w:r>
          </w:p>
        </w:tc>
      </w:tr>
      <w:tr w:rsidR="00000000">
        <w:trPr>
          <w:jc w:val="center"/>
        </w:trPr>
        <w:tc>
          <w:tcPr>
            <w:tcW w:w="3686" w:type="dxa"/>
            <w:vAlign w:val="center"/>
          </w:tcPr>
          <w:p w:rsidR="00000000" w:rsidRDefault="00000000">
            <w:pPr>
              <w:rPr>
                <w:snapToGrid w:val="0"/>
                <w:lang w:eastAsia="pt-BR"/>
              </w:rPr>
            </w:pPr>
            <w:r>
              <w:rPr>
                <w:snapToGrid w:val="0"/>
                <w:lang w:eastAsia="pt-BR"/>
              </w:rPr>
              <w:t>Акри</w:t>
            </w:r>
          </w:p>
        </w:tc>
        <w:tc>
          <w:tcPr>
            <w:tcW w:w="1418" w:type="dxa"/>
            <w:vAlign w:val="center"/>
          </w:tcPr>
          <w:p w:rsidR="00000000" w:rsidRDefault="00000000">
            <w:pPr>
              <w:jc w:val="center"/>
              <w:rPr>
                <w:snapToGrid w:val="0"/>
                <w:lang w:eastAsia="pt-BR"/>
              </w:rPr>
            </w:pPr>
            <w:r>
              <w:rPr>
                <w:snapToGrid w:val="0"/>
                <w:lang w:eastAsia="pt-BR"/>
              </w:rPr>
              <w:t>64,49</w:t>
            </w:r>
          </w:p>
        </w:tc>
        <w:tc>
          <w:tcPr>
            <w:tcW w:w="1418" w:type="dxa"/>
            <w:vAlign w:val="center"/>
          </w:tcPr>
          <w:p w:rsidR="00000000" w:rsidRDefault="00000000">
            <w:pPr>
              <w:jc w:val="center"/>
              <w:rPr>
                <w:snapToGrid w:val="0"/>
                <w:lang w:eastAsia="pt-BR"/>
              </w:rPr>
            </w:pPr>
            <w:r>
              <w:rPr>
                <w:snapToGrid w:val="0"/>
                <w:lang w:eastAsia="pt-BR"/>
              </w:rPr>
              <w:t>70,33</w:t>
            </w:r>
          </w:p>
        </w:tc>
        <w:tc>
          <w:tcPr>
            <w:tcW w:w="1418" w:type="dxa"/>
            <w:vAlign w:val="center"/>
          </w:tcPr>
          <w:p w:rsidR="00000000" w:rsidRDefault="00000000">
            <w:pPr>
              <w:jc w:val="center"/>
              <w:rPr>
                <w:snapToGrid w:val="0"/>
                <w:lang w:eastAsia="pt-BR"/>
              </w:rPr>
            </w:pPr>
            <w:r>
              <w:rPr>
                <w:snapToGrid w:val="0"/>
                <w:lang w:eastAsia="pt-BR"/>
              </w:rPr>
              <w:t>67,35</w:t>
            </w:r>
          </w:p>
        </w:tc>
      </w:tr>
      <w:tr w:rsidR="00000000">
        <w:trPr>
          <w:jc w:val="center"/>
        </w:trPr>
        <w:tc>
          <w:tcPr>
            <w:tcW w:w="3686" w:type="dxa"/>
            <w:vAlign w:val="center"/>
          </w:tcPr>
          <w:p w:rsidR="00000000" w:rsidRDefault="00000000">
            <w:pPr>
              <w:rPr>
                <w:snapToGrid w:val="0"/>
                <w:lang w:eastAsia="pt-BR"/>
              </w:rPr>
            </w:pPr>
            <w:r>
              <w:rPr>
                <w:snapToGrid w:val="0"/>
                <w:lang w:eastAsia="pt-BR"/>
              </w:rPr>
              <w:t>Амазонас</w:t>
            </w:r>
          </w:p>
        </w:tc>
        <w:tc>
          <w:tcPr>
            <w:tcW w:w="1418" w:type="dxa"/>
            <w:vAlign w:val="center"/>
          </w:tcPr>
          <w:p w:rsidR="00000000" w:rsidRDefault="00000000">
            <w:pPr>
              <w:jc w:val="center"/>
              <w:rPr>
                <w:snapToGrid w:val="0"/>
                <w:lang w:eastAsia="pt-BR"/>
              </w:rPr>
            </w:pPr>
            <w:r>
              <w:rPr>
                <w:snapToGrid w:val="0"/>
                <w:lang w:eastAsia="pt-BR"/>
              </w:rPr>
              <w:t>65,11</w:t>
            </w:r>
          </w:p>
        </w:tc>
        <w:tc>
          <w:tcPr>
            <w:tcW w:w="1418" w:type="dxa"/>
            <w:vAlign w:val="center"/>
          </w:tcPr>
          <w:p w:rsidR="00000000" w:rsidRDefault="00000000">
            <w:pPr>
              <w:jc w:val="center"/>
              <w:rPr>
                <w:snapToGrid w:val="0"/>
                <w:lang w:eastAsia="pt-BR"/>
              </w:rPr>
            </w:pPr>
            <w:r>
              <w:rPr>
                <w:snapToGrid w:val="0"/>
                <w:lang w:eastAsia="pt-BR"/>
              </w:rPr>
              <w:t>70,89</w:t>
            </w:r>
          </w:p>
        </w:tc>
        <w:tc>
          <w:tcPr>
            <w:tcW w:w="1418" w:type="dxa"/>
            <w:vAlign w:val="center"/>
          </w:tcPr>
          <w:p w:rsidR="00000000" w:rsidRDefault="00000000">
            <w:pPr>
              <w:jc w:val="center"/>
              <w:rPr>
                <w:snapToGrid w:val="0"/>
                <w:lang w:eastAsia="pt-BR"/>
              </w:rPr>
            </w:pPr>
            <w:r>
              <w:rPr>
                <w:snapToGrid w:val="0"/>
                <w:lang w:eastAsia="pt-BR"/>
              </w:rPr>
              <w:t>67,94</w:t>
            </w:r>
          </w:p>
        </w:tc>
      </w:tr>
      <w:tr w:rsidR="00000000">
        <w:trPr>
          <w:jc w:val="center"/>
        </w:trPr>
        <w:tc>
          <w:tcPr>
            <w:tcW w:w="3686" w:type="dxa"/>
            <w:vAlign w:val="center"/>
          </w:tcPr>
          <w:p w:rsidR="00000000" w:rsidRDefault="00000000">
            <w:pPr>
              <w:rPr>
                <w:snapToGrid w:val="0"/>
                <w:lang w:eastAsia="pt-BR"/>
              </w:rPr>
            </w:pPr>
            <w:r>
              <w:rPr>
                <w:snapToGrid w:val="0"/>
                <w:lang w:eastAsia="pt-BR"/>
              </w:rPr>
              <w:t>Рорайма</w:t>
            </w:r>
          </w:p>
        </w:tc>
        <w:tc>
          <w:tcPr>
            <w:tcW w:w="1418" w:type="dxa"/>
            <w:vAlign w:val="center"/>
          </w:tcPr>
          <w:p w:rsidR="00000000" w:rsidRDefault="00000000">
            <w:pPr>
              <w:jc w:val="center"/>
              <w:rPr>
                <w:snapToGrid w:val="0"/>
                <w:lang w:eastAsia="pt-BR"/>
              </w:rPr>
            </w:pPr>
            <w:r>
              <w:rPr>
                <w:snapToGrid w:val="0"/>
                <w:lang w:eastAsia="pt-BR"/>
              </w:rPr>
              <w:t>63,58</w:t>
            </w:r>
          </w:p>
        </w:tc>
        <w:tc>
          <w:tcPr>
            <w:tcW w:w="1418" w:type="dxa"/>
            <w:vAlign w:val="center"/>
          </w:tcPr>
          <w:p w:rsidR="00000000" w:rsidRDefault="00000000">
            <w:pPr>
              <w:jc w:val="center"/>
              <w:rPr>
                <w:snapToGrid w:val="0"/>
                <w:lang w:eastAsia="pt-BR"/>
              </w:rPr>
            </w:pPr>
            <w:r>
              <w:rPr>
                <w:snapToGrid w:val="0"/>
                <w:lang w:eastAsia="pt-BR"/>
              </w:rPr>
              <w:t>69,72</w:t>
            </w:r>
          </w:p>
        </w:tc>
        <w:tc>
          <w:tcPr>
            <w:tcW w:w="1418" w:type="dxa"/>
            <w:vAlign w:val="center"/>
          </w:tcPr>
          <w:p w:rsidR="00000000" w:rsidRDefault="00000000">
            <w:pPr>
              <w:jc w:val="center"/>
              <w:rPr>
                <w:snapToGrid w:val="0"/>
                <w:lang w:eastAsia="pt-BR"/>
              </w:rPr>
            </w:pPr>
            <w:r>
              <w:rPr>
                <w:snapToGrid w:val="0"/>
                <w:lang w:eastAsia="pt-BR"/>
              </w:rPr>
              <w:t>66,59</w:t>
            </w:r>
          </w:p>
        </w:tc>
      </w:tr>
      <w:tr w:rsidR="00000000">
        <w:trPr>
          <w:jc w:val="center"/>
        </w:trPr>
        <w:tc>
          <w:tcPr>
            <w:tcW w:w="3686" w:type="dxa"/>
            <w:vAlign w:val="center"/>
          </w:tcPr>
          <w:p w:rsidR="00000000" w:rsidRDefault="00000000">
            <w:pPr>
              <w:rPr>
                <w:snapToGrid w:val="0"/>
                <w:lang w:eastAsia="pt-BR"/>
              </w:rPr>
            </w:pPr>
            <w:r>
              <w:rPr>
                <w:snapToGrid w:val="0"/>
                <w:lang w:eastAsia="pt-BR"/>
              </w:rPr>
              <w:t>Пара</w:t>
            </w:r>
          </w:p>
        </w:tc>
        <w:tc>
          <w:tcPr>
            <w:tcW w:w="1418" w:type="dxa"/>
            <w:vAlign w:val="center"/>
          </w:tcPr>
          <w:p w:rsidR="00000000" w:rsidRDefault="00000000">
            <w:pPr>
              <w:jc w:val="center"/>
              <w:rPr>
                <w:snapToGrid w:val="0"/>
                <w:lang w:eastAsia="pt-BR"/>
              </w:rPr>
            </w:pPr>
            <w:r>
              <w:rPr>
                <w:snapToGrid w:val="0"/>
                <w:lang w:eastAsia="pt-BR"/>
              </w:rPr>
              <w:t>64,83</w:t>
            </w:r>
          </w:p>
        </w:tc>
        <w:tc>
          <w:tcPr>
            <w:tcW w:w="1418" w:type="dxa"/>
            <w:vAlign w:val="center"/>
          </w:tcPr>
          <w:p w:rsidR="00000000" w:rsidRDefault="00000000">
            <w:pPr>
              <w:jc w:val="center"/>
              <w:rPr>
                <w:snapToGrid w:val="0"/>
                <w:lang w:eastAsia="pt-BR"/>
              </w:rPr>
            </w:pPr>
            <w:r>
              <w:rPr>
                <w:snapToGrid w:val="0"/>
                <w:lang w:eastAsia="pt-BR"/>
              </w:rPr>
              <w:t>70,99</w:t>
            </w:r>
          </w:p>
        </w:tc>
        <w:tc>
          <w:tcPr>
            <w:tcW w:w="1418" w:type="dxa"/>
            <w:vAlign w:val="center"/>
          </w:tcPr>
          <w:p w:rsidR="00000000" w:rsidRDefault="00000000">
            <w:pPr>
              <w:jc w:val="center"/>
              <w:rPr>
                <w:snapToGrid w:val="0"/>
                <w:lang w:eastAsia="pt-BR"/>
              </w:rPr>
            </w:pPr>
            <w:r>
              <w:rPr>
                <w:snapToGrid w:val="0"/>
                <w:lang w:eastAsia="pt-BR"/>
              </w:rPr>
              <w:t>67,85</w:t>
            </w:r>
          </w:p>
        </w:tc>
      </w:tr>
      <w:tr w:rsidR="00000000">
        <w:trPr>
          <w:jc w:val="center"/>
        </w:trPr>
        <w:tc>
          <w:tcPr>
            <w:tcW w:w="3686" w:type="dxa"/>
            <w:vAlign w:val="center"/>
          </w:tcPr>
          <w:p w:rsidR="00000000" w:rsidRDefault="00000000">
            <w:pPr>
              <w:rPr>
                <w:snapToGrid w:val="0"/>
                <w:lang w:eastAsia="pt-BR"/>
              </w:rPr>
            </w:pPr>
            <w:r>
              <w:rPr>
                <w:snapToGrid w:val="0"/>
                <w:lang w:eastAsia="pt-BR"/>
              </w:rPr>
              <w:t>Амапа</w:t>
            </w:r>
          </w:p>
        </w:tc>
        <w:tc>
          <w:tcPr>
            <w:tcW w:w="1418" w:type="dxa"/>
            <w:vAlign w:val="center"/>
          </w:tcPr>
          <w:p w:rsidR="00000000" w:rsidRDefault="00000000">
            <w:pPr>
              <w:jc w:val="center"/>
              <w:rPr>
                <w:snapToGrid w:val="0"/>
                <w:lang w:eastAsia="pt-BR"/>
              </w:rPr>
            </w:pPr>
            <w:r>
              <w:rPr>
                <w:snapToGrid w:val="0"/>
                <w:lang w:eastAsia="pt-BR"/>
              </w:rPr>
              <w:t>65,15</w:t>
            </w:r>
          </w:p>
        </w:tc>
        <w:tc>
          <w:tcPr>
            <w:tcW w:w="1418" w:type="dxa"/>
            <w:vAlign w:val="center"/>
          </w:tcPr>
          <w:p w:rsidR="00000000" w:rsidRDefault="00000000">
            <w:pPr>
              <w:jc w:val="center"/>
              <w:rPr>
                <w:snapToGrid w:val="0"/>
                <w:lang w:eastAsia="pt-BR"/>
              </w:rPr>
            </w:pPr>
            <w:r>
              <w:rPr>
                <w:snapToGrid w:val="0"/>
                <w:lang w:eastAsia="pt-BR"/>
              </w:rPr>
              <w:t>71,24</w:t>
            </w:r>
          </w:p>
        </w:tc>
        <w:tc>
          <w:tcPr>
            <w:tcW w:w="1418" w:type="dxa"/>
            <w:vAlign w:val="center"/>
          </w:tcPr>
          <w:p w:rsidR="00000000" w:rsidRDefault="00000000">
            <w:pPr>
              <w:jc w:val="center"/>
              <w:rPr>
                <w:snapToGrid w:val="0"/>
                <w:lang w:eastAsia="pt-BR"/>
              </w:rPr>
            </w:pPr>
            <w:r>
              <w:rPr>
                <w:snapToGrid w:val="0"/>
                <w:lang w:eastAsia="pt-BR"/>
              </w:rPr>
              <w:t>68,13</w:t>
            </w:r>
          </w:p>
        </w:tc>
      </w:tr>
      <w:tr w:rsidR="00000000">
        <w:trPr>
          <w:jc w:val="center"/>
        </w:trPr>
        <w:tc>
          <w:tcPr>
            <w:tcW w:w="3686" w:type="dxa"/>
            <w:vAlign w:val="center"/>
          </w:tcPr>
          <w:p w:rsidR="00000000" w:rsidRDefault="00000000">
            <w:pPr>
              <w:rPr>
                <w:snapToGrid w:val="0"/>
                <w:lang w:eastAsia="pt-BR"/>
              </w:rPr>
            </w:pPr>
            <w:r>
              <w:rPr>
                <w:snapToGrid w:val="0"/>
                <w:lang w:eastAsia="pt-BR"/>
              </w:rPr>
              <w:t>Токантинс</w:t>
            </w:r>
          </w:p>
        </w:tc>
        <w:tc>
          <w:tcPr>
            <w:tcW w:w="1418" w:type="dxa"/>
            <w:vAlign w:val="center"/>
          </w:tcPr>
          <w:p w:rsidR="00000000" w:rsidRDefault="00000000">
            <w:pPr>
              <w:jc w:val="center"/>
              <w:rPr>
                <w:snapToGrid w:val="0"/>
                <w:lang w:eastAsia="pt-BR"/>
              </w:rPr>
            </w:pPr>
            <w:r>
              <w:rPr>
                <w:snapToGrid w:val="0"/>
                <w:lang w:eastAsia="pt-BR"/>
              </w:rPr>
              <w:t>64,71</w:t>
            </w:r>
          </w:p>
        </w:tc>
        <w:tc>
          <w:tcPr>
            <w:tcW w:w="1418" w:type="dxa"/>
            <w:vAlign w:val="center"/>
          </w:tcPr>
          <w:p w:rsidR="00000000" w:rsidRDefault="00000000">
            <w:pPr>
              <w:jc w:val="center"/>
              <w:rPr>
                <w:snapToGrid w:val="0"/>
                <w:lang w:eastAsia="pt-BR"/>
              </w:rPr>
            </w:pPr>
            <w:r>
              <w:rPr>
                <w:snapToGrid w:val="0"/>
                <w:lang w:eastAsia="pt-BR"/>
              </w:rPr>
              <w:t>70,38</w:t>
            </w:r>
          </w:p>
        </w:tc>
        <w:tc>
          <w:tcPr>
            <w:tcW w:w="1418" w:type="dxa"/>
            <w:vAlign w:val="center"/>
          </w:tcPr>
          <w:p w:rsidR="00000000" w:rsidRDefault="00000000">
            <w:pPr>
              <w:jc w:val="center"/>
              <w:rPr>
                <w:snapToGrid w:val="0"/>
                <w:lang w:eastAsia="pt-BR"/>
              </w:rPr>
            </w:pPr>
            <w:r>
              <w:rPr>
                <w:snapToGrid w:val="0"/>
                <w:lang w:eastAsia="pt-BR"/>
              </w:rPr>
              <w:t>67,49</w:t>
            </w:r>
          </w:p>
        </w:tc>
      </w:tr>
      <w:tr w:rsidR="00000000">
        <w:trPr>
          <w:jc w:val="center"/>
        </w:trPr>
        <w:tc>
          <w:tcPr>
            <w:tcW w:w="3686" w:type="dxa"/>
            <w:vAlign w:val="center"/>
          </w:tcPr>
          <w:p w:rsidR="00000000" w:rsidRDefault="00000000">
            <w:pPr>
              <w:rPr>
                <w:snapToGrid w:val="0"/>
                <w:lang w:eastAsia="pt-BR"/>
              </w:rPr>
            </w:pPr>
            <w:r>
              <w:rPr>
                <w:snapToGrid w:val="0"/>
                <w:lang w:eastAsia="pt-BR"/>
              </w:rPr>
              <w:t>Северо-восточный регион</w:t>
            </w:r>
          </w:p>
        </w:tc>
        <w:tc>
          <w:tcPr>
            <w:tcW w:w="1418" w:type="dxa"/>
            <w:vAlign w:val="center"/>
          </w:tcPr>
          <w:p w:rsidR="00000000" w:rsidRDefault="00000000">
            <w:pPr>
              <w:jc w:val="center"/>
              <w:rPr>
                <w:snapToGrid w:val="0"/>
                <w:lang w:eastAsia="pt-BR"/>
              </w:rPr>
            </w:pPr>
            <w:r>
              <w:rPr>
                <w:snapToGrid w:val="0"/>
                <w:lang w:eastAsia="pt-BR"/>
              </w:rPr>
              <w:t>61,81</w:t>
            </w:r>
          </w:p>
        </w:tc>
        <w:tc>
          <w:tcPr>
            <w:tcW w:w="1418" w:type="dxa"/>
            <w:vAlign w:val="center"/>
          </w:tcPr>
          <w:p w:rsidR="00000000" w:rsidRDefault="00000000">
            <w:pPr>
              <w:jc w:val="center"/>
              <w:rPr>
                <w:snapToGrid w:val="0"/>
                <w:lang w:eastAsia="pt-BR"/>
              </w:rPr>
            </w:pPr>
            <w:r>
              <w:rPr>
                <w:snapToGrid w:val="0"/>
                <w:lang w:eastAsia="pt-BR"/>
              </w:rPr>
              <w:t>67,89</w:t>
            </w:r>
          </w:p>
        </w:tc>
        <w:tc>
          <w:tcPr>
            <w:tcW w:w="1418" w:type="dxa"/>
            <w:vAlign w:val="center"/>
          </w:tcPr>
          <w:p w:rsidR="00000000" w:rsidRDefault="00000000">
            <w:pPr>
              <w:jc w:val="center"/>
              <w:rPr>
                <w:snapToGrid w:val="0"/>
                <w:lang w:eastAsia="pt-BR"/>
              </w:rPr>
            </w:pPr>
            <w:r>
              <w:rPr>
                <w:snapToGrid w:val="0"/>
                <w:lang w:eastAsia="pt-BR"/>
              </w:rPr>
              <w:t>64,83</w:t>
            </w:r>
          </w:p>
        </w:tc>
      </w:tr>
      <w:tr w:rsidR="00000000">
        <w:trPr>
          <w:jc w:val="center"/>
        </w:trPr>
        <w:tc>
          <w:tcPr>
            <w:tcW w:w="3686" w:type="dxa"/>
            <w:vAlign w:val="center"/>
          </w:tcPr>
          <w:p w:rsidR="00000000" w:rsidRDefault="00000000">
            <w:pPr>
              <w:rPr>
                <w:snapToGrid w:val="0"/>
                <w:lang w:eastAsia="pt-BR"/>
              </w:rPr>
            </w:pPr>
            <w:r>
              <w:rPr>
                <w:snapToGrid w:val="0"/>
                <w:lang w:eastAsia="pt-BR"/>
              </w:rPr>
              <w:t>Мараньян</w:t>
            </w:r>
          </w:p>
        </w:tc>
        <w:tc>
          <w:tcPr>
            <w:tcW w:w="1418" w:type="dxa"/>
            <w:vAlign w:val="center"/>
          </w:tcPr>
          <w:p w:rsidR="00000000" w:rsidRDefault="00000000">
            <w:pPr>
              <w:jc w:val="center"/>
              <w:rPr>
                <w:snapToGrid w:val="0"/>
                <w:lang w:eastAsia="pt-BR"/>
              </w:rPr>
            </w:pPr>
            <w:r>
              <w:rPr>
                <w:snapToGrid w:val="0"/>
                <w:lang w:eastAsia="pt-BR"/>
              </w:rPr>
              <w:t>60,45</w:t>
            </w:r>
          </w:p>
        </w:tc>
        <w:tc>
          <w:tcPr>
            <w:tcW w:w="1418" w:type="dxa"/>
            <w:vAlign w:val="center"/>
          </w:tcPr>
          <w:p w:rsidR="00000000" w:rsidRDefault="00000000">
            <w:pPr>
              <w:jc w:val="center"/>
              <w:rPr>
                <w:snapToGrid w:val="0"/>
                <w:lang w:eastAsia="pt-BR"/>
              </w:rPr>
            </w:pPr>
            <w:r>
              <w:rPr>
                <w:snapToGrid w:val="0"/>
                <w:lang w:eastAsia="pt-BR"/>
              </w:rPr>
              <w:t>67,55</w:t>
            </w:r>
          </w:p>
        </w:tc>
        <w:tc>
          <w:tcPr>
            <w:tcW w:w="1418" w:type="dxa"/>
            <w:vAlign w:val="center"/>
          </w:tcPr>
          <w:p w:rsidR="00000000" w:rsidRDefault="00000000">
            <w:pPr>
              <w:jc w:val="center"/>
              <w:rPr>
                <w:snapToGrid w:val="0"/>
                <w:lang w:eastAsia="pt-BR"/>
              </w:rPr>
            </w:pPr>
            <w:r>
              <w:rPr>
                <w:snapToGrid w:val="0"/>
                <w:lang w:eastAsia="pt-BR"/>
              </w:rPr>
              <w:t>63,93</w:t>
            </w:r>
          </w:p>
        </w:tc>
      </w:tr>
      <w:tr w:rsidR="00000000">
        <w:trPr>
          <w:jc w:val="center"/>
        </w:trPr>
        <w:tc>
          <w:tcPr>
            <w:tcW w:w="3686" w:type="dxa"/>
            <w:vAlign w:val="center"/>
          </w:tcPr>
          <w:p w:rsidR="00000000" w:rsidRDefault="00000000">
            <w:pPr>
              <w:rPr>
                <w:snapToGrid w:val="0"/>
                <w:lang w:eastAsia="pt-BR"/>
              </w:rPr>
            </w:pPr>
            <w:r>
              <w:rPr>
                <w:snapToGrid w:val="0"/>
                <w:lang w:eastAsia="pt-BR"/>
              </w:rPr>
              <w:t>Пиауи</w:t>
            </w:r>
          </w:p>
        </w:tc>
        <w:tc>
          <w:tcPr>
            <w:tcW w:w="1418" w:type="dxa"/>
            <w:vAlign w:val="center"/>
          </w:tcPr>
          <w:p w:rsidR="00000000" w:rsidRDefault="00000000">
            <w:pPr>
              <w:jc w:val="center"/>
              <w:rPr>
                <w:snapToGrid w:val="0"/>
                <w:lang w:eastAsia="pt-BR"/>
              </w:rPr>
            </w:pPr>
            <w:r>
              <w:rPr>
                <w:snapToGrid w:val="0"/>
                <w:lang w:eastAsia="pt-BR"/>
              </w:rPr>
              <w:t>61,49</w:t>
            </w:r>
          </w:p>
        </w:tc>
        <w:tc>
          <w:tcPr>
            <w:tcW w:w="1418" w:type="dxa"/>
            <w:vAlign w:val="center"/>
          </w:tcPr>
          <w:p w:rsidR="00000000" w:rsidRDefault="00000000">
            <w:pPr>
              <w:jc w:val="center"/>
              <w:rPr>
                <w:snapToGrid w:val="0"/>
                <w:lang w:eastAsia="pt-BR"/>
              </w:rPr>
            </w:pPr>
            <w:r>
              <w:rPr>
                <w:snapToGrid w:val="0"/>
                <w:lang w:eastAsia="pt-BR"/>
              </w:rPr>
              <w:t>68,11</w:t>
            </w:r>
          </w:p>
        </w:tc>
        <w:tc>
          <w:tcPr>
            <w:tcW w:w="1418" w:type="dxa"/>
            <w:vAlign w:val="center"/>
          </w:tcPr>
          <w:p w:rsidR="00000000" w:rsidRDefault="00000000">
            <w:pPr>
              <w:jc w:val="center"/>
              <w:rPr>
                <w:snapToGrid w:val="0"/>
                <w:lang w:eastAsia="pt-BR"/>
              </w:rPr>
            </w:pPr>
            <w:r>
              <w:rPr>
                <w:snapToGrid w:val="0"/>
                <w:lang w:eastAsia="pt-BR"/>
              </w:rPr>
              <w:t>64,72</w:t>
            </w:r>
          </w:p>
        </w:tc>
      </w:tr>
      <w:tr w:rsidR="00000000">
        <w:trPr>
          <w:jc w:val="center"/>
        </w:trPr>
        <w:tc>
          <w:tcPr>
            <w:tcW w:w="3686" w:type="dxa"/>
            <w:vAlign w:val="center"/>
          </w:tcPr>
          <w:p w:rsidR="00000000" w:rsidRDefault="00000000">
            <w:pPr>
              <w:rPr>
                <w:snapToGrid w:val="0"/>
                <w:lang w:eastAsia="pt-BR"/>
              </w:rPr>
            </w:pPr>
            <w:r>
              <w:rPr>
                <w:snapToGrid w:val="0"/>
                <w:lang w:eastAsia="pt-BR"/>
              </w:rPr>
              <w:t>Сеара</w:t>
            </w:r>
          </w:p>
        </w:tc>
        <w:tc>
          <w:tcPr>
            <w:tcW w:w="1418" w:type="dxa"/>
            <w:vAlign w:val="center"/>
          </w:tcPr>
          <w:p w:rsidR="00000000" w:rsidRDefault="00000000">
            <w:pPr>
              <w:jc w:val="center"/>
              <w:rPr>
                <w:snapToGrid w:val="0"/>
                <w:lang w:eastAsia="pt-BR"/>
              </w:rPr>
            </w:pPr>
            <w:r>
              <w:rPr>
                <w:snapToGrid w:val="0"/>
                <w:lang w:eastAsia="pt-BR"/>
              </w:rPr>
              <w:t>62,24</w:t>
            </w:r>
          </w:p>
        </w:tc>
        <w:tc>
          <w:tcPr>
            <w:tcW w:w="1418" w:type="dxa"/>
            <w:vAlign w:val="center"/>
          </w:tcPr>
          <w:p w:rsidR="00000000" w:rsidRDefault="00000000">
            <w:pPr>
              <w:jc w:val="center"/>
              <w:rPr>
                <w:snapToGrid w:val="0"/>
                <w:lang w:eastAsia="pt-BR"/>
              </w:rPr>
            </w:pPr>
            <w:r>
              <w:rPr>
                <w:snapToGrid w:val="0"/>
                <w:lang w:eastAsia="pt-BR"/>
              </w:rPr>
              <w:t>68,78</w:t>
            </w:r>
          </w:p>
        </w:tc>
        <w:tc>
          <w:tcPr>
            <w:tcW w:w="1418" w:type="dxa"/>
            <w:vAlign w:val="center"/>
          </w:tcPr>
          <w:p w:rsidR="00000000" w:rsidRDefault="00000000">
            <w:pPr>
              <w:jc w:val="center"/>
              <w:rPr>
                <w:snapToGrid w:val="0"/>
                <w:lang w:eastAsia="pt-BR"/>
              </w:rPr>
            </w:pPr>
            <w:r>
              <w:rPr>
                <w:snapToGrid w:val="0"/>
                <w:lang w:eastAsia="pt-BR"/>
              </w:rPr>
              <w:t>65,44</w:t>
            </w:r>
          </w:p>
        </w:tc>
      </w:tr>
      <w:tr w:rsidR="00000000">
        <w:trPr>
          <w:jc w:val="center"/>
        </w:trPr>
        <w:tc>
          <w:tcPr>
            <w:tcW w:w="3686" w:type="dxa"/>
            <w:vAlign w:val="center"/>
          </w:tcPr>
          <w:p w:rsidR="00000000" w:rsidRDefault="00000000">
            <w:pPr>
              <w:rPr>
                <w:snapToGrid w:val="0"/>
                <w:lang w:eastAsia="pt-BR"/>
              </w:rPr>
            </w:pPr>
            <w:r>
              <w:rPr>
                <w:snapToGrid w:val="0"/>
                <w:lang w:eastAsia="pt-BR"/>
              </w:rPr>
              <w:t>Риу-Гранди-ду-Норти</w:t>
            </w:r>
          </w:p>
        </w:tc>
        <w:tc>
          <w:tcPr>
            <w:tcW w:w="1418" w:type="dxa"/>
            <w:vAlign w:val="center"/>
          </w:tcPr>
          <w:p w:rsidR="00000000" w:rsidRDefault="00000000">
            <w:pPr>
              <w:jc w:val="center"/>
              <w:rPr>
                <w:snapToGrid w:val="0"/>
                <w:lang w:eastAsia="pt-BR"/>
              </w:rPr>
            </w:pPr>
            <w:r>
              <w:rPr>
                <w:snapToGrid w:val="0"/>
                <w:lang w:eastAsia="pt-BR"/>
              </w:rPr>
              <w:t>62,36</w:t>
            </w:r>
          </w:p>
        </w:tc>
        <w:tc>
          <w:tcPr>
            <w:tcW w:w="1418" w:type="dxa"/>
            <w:vAlign w:val="center"/>
          </w:tcPr>
          <w:p w:rsidR="00000000" w:rsidRDefault="00000000">
            <w:pPr>
              <w:jc w:val="center"/>
              <w:rPr>
                <w:snapToGrid w:val="0"/>
                <w:lang w:eastAsia="pt-BR"/>
              </w:rPr>
            </w:pPr>
            <w:r>
              <w:rPr>
                <w:snapToGrid w:val="0"/>
                <w:lang w:eastAsia="pt-BR"/>
              </w:rPr>
              <w:t>68,73</w:t>
            </w:r>
          </w:p>
        </w:tc>
        <w:tc>
          <w:tcPr>
            <w:tcW w:w="1418" w:type="dxa"/>
            <w:vAlign w:val="center"/>
          </w:tcPr>
          <w:p w:rsidR="00000000" w:rsidRDefault="00000000">
            <w:pPr>
              <w:jc w:val="center"/>
              <w:rPr>
                <w:snapToGrid w:val="0"/>
                <w:lang w:eastAsia="pt-BR"/>
              </w:rPr>
            </w:pPr>
            <w:r>
              <w:rPr>
                <w:snapToGrid w:val="0"/>
                <w:lang w:eastAsia="pt-BR"/>
              </w:rPr>
              <w:t>65,49</w:t>
            </w:r>
          </w:p>
        </w:tc>
      </w:tr>
      <w:tr w:rsidR="00000000">
        <w:trPr>
          <w:jc w:val="center"/>
        </w:trPr>
        <w:tc>
          <w:tcPr>
            <w:tcW w:w="3686" w:type="dxa"/>
            <w:vAlign w:val="center"/>
          </w:tcPr>
          <w:p w:rsidR="00000000" w:rsidRDefault="00000000">
            <w:pPr>
              <w:rPr>
                <w:snapToGrid w:val="0"/>
                <w:lang w:eastAsia="pt-BR"/>
              </w:rPr>
            </w:pPr>
            <w:r>
              <w:rPr>
                <w:snapToGrid w:val="0"/>
                <w:lang w:eastAsia="pt-BR"/>
              </w:rPr>
              <w:t>Парайба</w:t>
            </w:r>
          </w:p>
        </w:tc>
        <w:tc>
          <w:tcPr>
            <w:tcW w:w="1418" w:type="dxa"/>
            <w:vAlign w:val="center"/>
          </w:tcPr>
          <w:p w:rsidR="00000000" w:rsidRDefault="00000000">
            <w:pPr>
              <w:jc w:val="center"/>
              <w:rPr>
                <w:snapToGrid w:val="0"/>
                <w:lang w:eastAsia="pt-BR"/>
              </w:rPr>
            </w:pPr>
            <w:r>
              <w:rPr>
                <w:snapToGrid w:val="0"/>
                <w:lang w:eastAsia="pt-BR"/>
              </w:rPr>
              <w:t>60,71</w:t>
            </w:r>
          </w:p>
        </w:tc>
        <w:tc>
          <w:tcPr>
            <w:tcW w:w="1418" w:type="dxa"/>
            <w:vAlign w:val="center"/>
          </w:tcPr>
          <w:p w:rsidR="00000000" w:rsidRDefault="00000000">
            <w:pPr>
              <w:jc w:val="center"/>
              <w:rPr>
                <w:snapToGrid w:val="0"/>
                <w:lang w:eastAsia="pt-BR"/>
              </w:rPr>
            </w:pPr>
            <w:r>
              <w:rPr>
                <w:snapToGrid w:val="0"/>
                <w:lang w:eastAsia="pt-BR"/>
              </w:rPr>
              <w:t>66,36</w:t>
            </w:r>
          </w:p>
        </w:tc>
        <w:tc>
          <w:tcPr>
            <w:tcW w:w="1418" w:type="dxa"/>
            <w:vAlign w:val="center"/>
          </w:tcPr>
          <w:p w:rsidR="00000000" w:rsidRDefault="00000000">
            <w:pPr>
              <w:jc w:val="center"/>
              <w:rPr>
                <w:snapToGrid w:val="0"/>
                <w:lang w:eastAsia="pt-BR"/>
              </w:rPr>
            </w:pPr>
            <w:r>
              <w:rPr>
                <w:snapToGrid w:val="0"/>
                <w:lang w:eastAsia="pt-BR"/>
              </w:rPr>
              <w:t>63,48</w:t>
            </w:r>
          </w:p>
        </w:tc>
      </w:tr>
      <w:tr w:rsidR="00000000">
        <w:trPr>
          <w:jc w:val="center"/>
        </w:trPr>
        <w:tc>
          <w:tcPr>
            <w:tcW w:w="3686" w:type="dxa"/>
            <w:vAlign w:val="center"/>
          </w:tcPr>
          <w:p w:rsidR="00000000" w:rsidRDefault="00000000">
            <w:pPr>
              <w:rPr>
                <w:snapToGrid w:val="0"/>
                <w:lang w:eastAsia="pt-BR"/>
              </w:rPr>
            </w:pPr>
            <w:r>
              <w:rPr>
                <w:snapToGrid w:val="0"/>
                <w:lang w:eastAsia="pt-BR"/>
              </w:rPr>
              <w:t>Пернамбуку</w:t>
            </w:r>
          </w:p>
        </w:tc>
        <w:tc>
          <w:tcPr>
            <w:tcW w:w="1418" w:type="dxa"/>
            <w:vAlign w:val="center"/>
          </w:tcPr>
          <w:p w:rsidR="00000000" w:rsidRDefault="00000000">
            <w:pPr>
              <w:jc w:val="center"/>
              <w:rPr>
                <w:snapToGrid w:val="0"/>
                <w:lang w:eastAsia="pt-BR"/>
              </w:rPr>
            </w:pPr>
            <w:r>
              <w:rPr>
                <w:snapToGrid w:val="0"/>
                <w:lang w:eastAsia="pt-BR"/>
              </w:rPr>
              <w:t>60,1</w:t>
            </w:r>
          </w:p>
        </w:tc>
        <w:tc>
          <w:tcPr>
            <w:tcW w:w="1418" w:type="dxa"/>
            <w:vAlign w:val="center"/>
          </w:tcPr>
          <w:p w:rsidR="00000000" w:rsidRDefault="00000000">
            <w:pPr>
              <w:jc w:val="center"/>
              <w:rPr>
                <w:snapToGrid w:val="0"/>
                <w:lang w:eastAsia="pt-BR"/>
              </w:rPr>
            </w:pPr>
            <w:r>
              <w:rPr>
                <w:snapToGrid w:val="0"/>
                <w:lang w:eastAsia="pt-BR"/>
              </w:rPr>
              <w:t>65,45</w:t>
            </w:r>
          </w:p>
        </w:tc>
        <w:tc>
          <w:tcPr>
            <w:tcW w:w="1418" w:type="dxa"/>
            <w:vAlign w:val="center"/>
          </w:tcPr>
          <w:p w:rsidR="00000000" w:rsidRDefault="00000000">
            <w:pPr>
              <w:jc w:val="center"/>
              <w:rPr>
                <w:snapToGrid w:val="0"/>
                <w:lang w:eastAsia="pt-BR"/>
              </w:rPr>
            </w:pPr>
            <w:r>
              <w:rPr>
                <w:snapToGrid w:val="0"/>
                <w:lang w:eastAsia="pt-BR"/>
              </w:rPr>
              <w:t>62,72</w:t>
            </w:r>
          </w:p>
        </w:tc>
      </w:tr>
      <w:tr w:rsidR="00000000">
        <w:trPr>
          <w:jc w:val="center"/>
        </w:trPr>
        <w:tc>
          <w:tcPr>
            <w:tcW w:w="3686" w:type="dxa"/>
            <w:vAlign w:val="center"/>
          </w:tcPr>
          <w:p w:rsidR="00000000" w:rsidRDefault="00000000">
            <w:pPr>
              <w:rPr>
                <w:snapToGrid w:val="0"/>
                <w:lang w:eastAsia="pt-BR"/>
              </w:rPr>
            </w:pPr>
            <w:r>
              <w:rPr>
                <w:snapToGrid w:val="0"/>
                <w:lang w:eastAsia="pt-BR"/>
              </w:rPr>
              <w:t>Алагоас</w:t>
            </w:r>
          </w:p>
        </w:tc>
        <w:tc>
          <w:tcPr>
            <w:tcW w:w="1418" w:type="dxa"/>
            <w:vAlign w:val="center"/>
          </w:tcPr>
          <w:p w:rsidR="00000000" w:rsidRDefault="00000000">
            <w:pPr>
              <w:jc w:val="center"/>
              <w:rPr>
                <w:snapToGrid w:val="0"/>
                <w:lang w:eastAsia="pt-BR"/>
              </w:rPr>
            </w:pPr>
            <w:r>
              <w:rPr>
                <w:snapToGrid w:val="0"/>
                <w:lang w:eastAsia="pt-BR"/>
              </w:rPr>
              <w:t>59,32</w:t>
            </w:r>
          </w:p>
        </w:tc>
        <w:tc>
          <w:tcPr>
            <w:tcW w:w="1418" w:type="dxa"/>
            <w:vAlign w:val="center"/>
          </w:tcPr>
          <w:p w:rsidR="00000000" w:rsidRDefault="00000000">
            <w:pPr>
              <w:jc w:val="center"/>
              <w:rPr>
                <w:snapToGrid w:val="0"/>
                <w:lang w:eastAsia="pt-BR"/>
              </w:rPr>
            </w:pPr>
            <w:r>
              <w:rPr>
                <w:snapToGrid w:val="0"/>
                <w:lang w:eastAsia="pt-BR"/>
              </w:rPr>
              <w:t>65,2</w:t>
            </w:r>
          </w:p>
        </w:tc>
        <w:tc>
          <w:tcPr>
            <w:tcW w:w="1418" w:type="dxa"/>
            <w:vAlign w:val="center"/>
          </w:tcPr>
          <w:p w:rsidR="00000000" w:rsidRDefault="00000000">
            <w:pPr>
              <w:jc w:val="center"/>
              <w:rPr>
                <w:snapToGrid w:val="0"/>
                <w:lang w:eastAsia="pt-BR"/>
              </w:rPr>
            </w:pPr>
            <w:r>
              <w:rPr>
                <w:snapToGrid w:val="0"/>
                <w:lang w:eastAsia="pt-BR"/>
              </w:rPr>
              <w:t>62,2</w:t>
            </w:r>
          </w:p>
        </w:tc>
      </w:tr>
      <w:tr w:rsidR="00000000">
        <w:trPr>
          <w:jc w:val="center"/>
        </w:trPr>
        <w:tc>
          <w:tcPr>
            <w:tcW w:w="3686" w:type="dxa"/>
            <w:vAlign w:val="center"/>
          </w:tcPr>
          <w:p w:rsidR="00000000" w:rsidRDefault="00000000">
            <w:pPr>
              <w:rPr>
                <w:snapToGrid w:val="0"/>
                <w:lang w:eastAsia="pt-BR"/>
              </w:rPr>
            </w:pPr>
            <w:r>
              <w:rPr>
                <w:snapToGrid w:val="0"/>
                <w:lang w:eastAsia="pt-BR"/>
              </w:rPr>
              <w:t>Сержипи</w:t>
            </w:r>
          </w:p>
        </w:tc>
        <w:tc>
          <w:tcPr>
            <w:tcW w:w="1418" w:type="dxa"/>
            <w:vAlign w:val="center"/>
          </w:tcPr>
          <w:p w:rsidR="00000000" w:rsidRDefault="00000000">
            <w:pPr>
              <w:jc w:val="center"/>
              <w:rPr>
                <w:snapToGrid w:val="0"/>
                <w:lang w:eastAsia="pt-BR"/>
              </w:rPr>
            </w:pPr>
            <w:r>
              <w:rPr>
                <w:snapToGrid w:val="0"/>
                <w:lang w:eastAsia="pt-BR"/>
              </w:rPr>
              <w:t>63,4</w:t>
            </w:r>
          </w:p>
        </w:tc>
        <w:tc>
          <w:tcPr>
            <w:tcW w:w="1418" w:type="dxa"/>
            <w:vAlign w:val="center"/>
          </w:tcPr>
          <w:p w:rsidR="00000000" w:rsidRDefault="00000000">
            <w:pPr>
              <w:jc w:val="center"/>
              <w:rPr>
                <w:snapToGrid w:val="0"/>
                <w:lang w:eastAsia="pt-BR"/>
              </w:rPr>
            </w:pPr>
            <w:r>
              <w:rPr>
                <w:snapToGrid w:val="0"/>
                <w:lang w:eastAsia="pt-BR"/>
              </w:rPr>
              <w:t>69,3</w:t>
            </w:r>
          </w:p>
        </w:tc>
        <w:tc>
          <w:tcPr>
            <w:tcW w:w="1418" w:type="dxa"/>
            <w:vAlign w:val="center"/>
          </w:tcPr>
          <w:p w:rsidR="00000000" w:rsidRDefault="00000000">
            <w:pPr>
              <w:jc w:val="center"/>
              <w:rPr>
                <w:snapToGrid w:val="0"/>
                <w:lang w:eastAsia="pt-BR"/>
              </w:rPr>
            </w:pPr>
            <w:r>
              <w:rPr>
                <w:snapToGrid w:val="0"/>
                <w:lang w:eastAsia="pt-BR"/>
              </w:rPr>
              <w:t>66,29</w:t>
            </w:r>
          </w:p>
        </w:tc>
      </w:tr>
      <w:tr w:rsidR="00000000">
        <w:trPr>
          <w:jc w:val="center"/>
        </w:trPr>
        <w:tc>
          <w:tcPr>
            <w:tcW w:w="3686" w:type="dxa"/>
            <w:vAlign w:val="center"/>
          </w:tcPr>
          <w:p w:rsidR="00000000" w:rsidRDefault="00000000">
            <w:pPr>
              <w:rPr>
                <w:snapToGrid w:val="0"/>
                <w:lang w:eastAsia="pt-BR"/>
              </w:rPr>
            </w:pPr>
            <w:r>
              <w:rPr>
                <w:snapToGrid w:val="0"/>
                <w:lang w:eastAsia="pt-BR"/>
              </w:rPr>
              <w:t>Баия</w:t>
            </w:r>
          </w:p>
        </w:tc>
        <w:tc>
          <w:tcPr>
            <w:tcW w:w="1418" w:type="dxa"/>
            <w:vAlign w:val="center"/>
          </w:tcPr>
          <w:p w:rsidR="00000000" w:rsidRDefault="00000000">
            <w:pPr>
              <w:jc w:val="center"/>
              <w:rPr>
                <w:snapToGrid w:val="0"/>
                <w:lang w:eastAsia="pt-BR"/>
              </w:rPr>
            </w:pPr>
            <w:r>
              <w:rPr>
                <w:snapToGrid w:val="0"/>
                <w:lang w:eastAsia="pt-BR"/>
              </w:rPr>
              <w:t>63,82</w:t>
            </w:r>
          </w:p>
        </w:tc>
        <w:tc>
          <w:tcPr>
            <w:tcW w:w="1418" w:type="dxa"/>
            <w:vAlign w:val="center"/>
          </w:tcPr>
          <w:p w:rsidR="00000000" w:rsidRDefault="00000000">
            <w:pPr>
              <w:jc w:val="center"/>
              <w:rPr>
                <w:snapToGrid w:val="0"/>
                <w:lang w:eastAsia="pt-BR"/>
              </w:rPr>
            </w:pPr>
            <w:r>
              <w:rPr>
                <w:snapToGrid w:val="0"/>
                <w:lang w:eastAsia="pt-BR"/>
              </w:rPr>
              <w:t>69,82</w:t>
            </w:r>
          </w:p>
        </w:tc>
        <w:tc>
          <w:tcPr>
            <w:tcW w:w="1418" w:type="dxa"/>
            <w:vAlign w:val="center"/>
          </w:tcPr>
          <w:p w:rsidR="00000000" w:rsidRDefault="00000000">
            <w:pPr>
              <w:jc w:val="center"/>
              <w:rPr>
                <w:snapToGrid w:val="0"/>
                <w:lang w:eastAsia="pt-BR"/>
              </w:rPr>
            </w:pPr>
            <w:r>
              <w:rPr>
                <w:snapToGrid w:val="0"/>
                <w:lang w:eastAsia="pt-BR"/>
              </w:rPr>
              <w:t>66,76</w:t>
            </w:r>
          </w:p>
        </w:tc>
      </w:tr>
      <w:tr w:rsidR="00000000">
        <w:trPr>
          <w:jc w:val="center"/>
        </w:trPr>
        <w:tc>
          <w:tcPr>
            <w:tcW w:w="3686" w:type="dxa"/>
            <w:vAlign w:val="center"/>
          </w:tcPr>
          <w:p w:rsidR="00000000" w:rsidRDefault="00000000">
            <w:pPr>
              <w:rPr>
                <w:snapToGrid w:val="0"/>
                <w:lang w:eastAsia="pt-BR"/>
              </w:rPr>
            </w:pPr>
            <w:r>
              <w:rPr>
                <w:snapToGrid w:val="0"/>
                <w:lang w:eastAsia="pt-BR"/>
              </w:rPr>
              <w:t>Юго-восточный регион</w:t>
            </w:r>
          </w:p>
        </w:tc>
        <w:tc>
          <w:tcPr>
            <w:tcW w:w="1418" w:type="dxa"/>
            <w:vAlign w:val="center"/>
          </w:tcPr>
          <w:p w:rsidR="00000000" w:rsidRDefault="00000000">
            <w:pPr>
              <w:jc w:val="center"/>
              <w:rPr>
                <w:snapToGrid w:val="0"/>
                <w:lang w:eastAsia="pt-BR"/>
              </w:rPr>
            </w:pPr>
            <w:r>
              <w:rPr>
                <w:snapToGrid w:val="0"/>
                <w:lang w:eastAsia="pt-BR"/>
              </w:rPr>
              <w:t>64,63</w:t>
            </w:r>
          </w:p>
        </w:tc>
        <w:tc>
          <w:tcPr>
            <w:tcW w:w="1418" w:type="dxa"/>
            <w:vAlign w:val="center"/>
          </w:tcPr>
          <w:p w:rsidR="00000000" w:rsidRDefault="00000000">
            <w:pPr>
              <w:jc w:val="center"/>
              <w:rPr>
                <w:snapToGrid w:val="0"/>
                <w:lang w:eastAsia="pt-BR"/>
              </w:rPr>
            </w:pPr>
            <w:r>
              <w:rPr>
                <w:snapToGrid w:val="0"/>
                <w:lang w:eastAsia="pt-BR"/>
              </w:rPr>
              <w:t>73,61</w:t>
            </w:r>
          </w:p>
        </w:tc>
        <w:tc>
          <w:tcPr>
            <w:tcW w:w="1418" w:type="dxa"/>
            <w:vAlign w:val="center"/>
          </w:tcPr>
          <w:p w:rsidR="00000000" w:rsidRDefault="00000000">
            <w:pPr>
              <w:jc w:val="center"/>
              <w:rPr>
                <w:snapToGrid w:val="0"/>
                <w:lang w:eastAsia="pt-BR"/>
              </w:rPr>
            </w:pPr>
            <w:r>
              <w:rPr>
                <w:snapToGrid w:val="0"/>
                <w:lang w:eastAsia="pt-BR"/>
              </w:rPr>
              <w:t>68,97</w:t>
            </w:r>
          </w:p>
        </w:tc>
      </w:tr>
      <w:tr w:rsidR="00000000">
        <w:trPr>
          <w:jc w:val="center"/>
        </w:trPr>
        <w:tc>
          <w:tcPr>
            <w:tcW w:w="3686" w:type="dxa"/>
            <w:vAlign w:val="center"/>
          </w:tcPr>
          <w:p w:rsidR="00000000" w:rsidRDefault="00000000">
            <w:pPr>
              <w:rPr>
                <w:snapToGrid w:val="0"/>
                <w:lang w:eastAsia="pt-BR"/>
              </w:rPr>
            </w:pPr>
            <w:r>
              <w:rPr>
                <w:snapToGrid w:val="0"/>
                <w:lang w:eastAsia="pt-BR"/>
              </w:rPr>
              <w:t>Минас-Жерайс</w:t>
            </w:r>
          </w:p>
        </w:tc>
        <w:tc>
          <w:tcPr>
            <w:tcW w:w="1418" w:type="dxa"/>
            <w:vAlign w:val="center"/>
          </w:tcPr>
          <w:p w:rsidR="00000000" w:rsidRDefault="00000000">
            <w:pPr>
              <w:jc w:val="center"/>
              <w:rPr>
                <w:snapToGrid w:val="0"/>
                <w:lang w:eastAsia="pt-BR"/>
              </w:rPr>
            </w:pPr>
            <w:r>
              <w:rPr>
                <w:snapToGrid w:val="0"/>
                <w:lang w:eastAsia="pt-BR"/>
              </w:rPr>
              <w:t>66,07</w:t>
            </w:r>
          </w:p>
        </w:tc>
        <w:tc>
          <w:tcPr>
            <w:tcW w:w="1418" w:type="dxa"/>
            <w:vAlign w:val="center"/>
          </w:tcPr>
          <w:p w:rsidR="00000000" w:rsidRDefault="00000000">
            <w:pPr>
              <w:jc w:val="center"/>
              <w:rPr>
                <w:snapToGrid w:val="0"/>
                <w:lang w:eastAsia="pt-BR"/>
              </w:rPr>
            </w:pPr>
            <w:r>
              <w:rPr>
                <w:snapToGrid w:val="0"/>
                <w:lang w:eastAsia="pt-BR"/>
              </w:rPr>
              <w:t>73,16</w:t>
            </w:r>
          </w:p>
        </w:tc>
        <w:tc>
          <w:tcPr>
            <w:tcW w:w="1418" w:type="dxa"/>
            <w:vAlign w:val="center"/>
          </w:tcPr>
          <w:p w:rsidR="00000000" w:rsidRDefault="00000000">
            <w:pPr>
              <w:jc w:val="center"/>
              <w:rPr>
                <w:snapToGrid w:val="0"/>
                <w:lang w:eastAsia="pt-BR"/>
              </w:rPr>
            </w:pPr>
            <w:r>
              <w:rPr>
                <w:snapToGrid w:val="0"/>
                <w:lang w:eastAsia="pt-BR"/>
              </w:rPr>
              <w:t>69,55</w:t>
            </w:r>
          </w:p>
        </w:tc>
      </w:tr>
      <w:tr w:rsidR="00000000">
        <w:trPr>
          <w:jc w:val="center"/>
        </w:trPr>
        <w:tc>
          <w:tcPr>
            <w:tcW w:w="3686" w:type="dxa"/>
            <w:vAlign w:val="center"/>
          </w:tcPr>
          <w:p w:rsidR="00000000" w:rsidRDefault="00000000">
            <w:pPr>
              <w:rPr>
                <w:snapToGrid w:val="0"/>
                <w:lang w:eastAsia="pt-BR"/>
              </w:rPr>
            </w:pPr>
            <w:r>
              <w:rPr>
                <w:snapToGrid w:val="0"/>
                <w:lang w:eastAsia="pt-BR"/>
              </w:rPr>
              <w:t>Эспириту-Санту</w:t>
            </w:r>
          </w:p>
        </w:tc>
        <w:tc>
          <w:tcPr>
            <w:tcW w:w="1418" w:type="dxa"/>
            <w:vAlign w:val="center"/>
          </w:tcPr>
          <w:p w:rsidR="00000000" w:rsidRDefault="00000000">
            <w:pPr>
              <w:jc w:val="center"/>
              <w:rPr>
                <w:snapToGrid w:val="0"/>
                <w:lang w:eastAsia="pt-BR"/>
              </w:rPr>
            </w:pPr>
            <w:r>
              <w:rPr>
                <w:snapToGrid w:val="0"/>
                <w:lang w:eastAsia="pt-BR"/>
              </w:rPr>
              <w:t>65,73</w:t>
            </w:r>
          </w:p>
        </w:tc>
        <w:tc>
          <w:tcPr>
            <w:tcW w:w="1418" w:type="dxa"/>
            <w:vAlign w:val="center"/>
          </w:tcPr>
          <w:p w:rsidR="00000000" w:rsidRDefault="00000000">
            <w:pPr>
              <w:jc w:val="center"/>
              <w:rPr>
                <w:snapToGrid w:val="0"/>
                <w:lang w:eastAsia="pt-BR"/>
              </w:rPr>
            </w:pPr>
            <w:r>
              <w:rPr>
                <w:snapToGrid w:val="0"/>
                <w:lang w:eastAsia="pt-BR"/>
              </w:rPr>
              <w:t>73,36</w:t>
            </w:r>
          </w:p>
        </w:tc>
        <w:tc>
          <w:tcPr>
            <w:tcW w:w="1418" w:type="dxa"/>
            <w:vAlign w:val="center"/>
          </w:tcPr>
          <w:p w:rsidR="00000000" w:rsidRDefault="00000000">
            <w:pPr>
              <w:jc w:val="center"/>
              <w:rPr>
                <w:snapToGrid w:val="0"/>
                <w:lang w:eastAsia="pt-BR"/>
              </w:rPr>
            </w:pPr>
            <w:r>
              <w:rPr>
                <w:snapToGrid w:val="0"/>
                <w:lang w:eastAsia="pt-BR"/>
              </w:rPr>
              <w:t>69,47</w:t>
            </w:r>
          </w:p>
        </w:tc>
      </w:tr>
      <w:tr w:rsidR="00000000">
        <w:trPr>
          <w:jc w:val="center"/>
        </w:trPr>
        <w:tc>
          <w:tcPr>
            <w:tcW w:w="3686" w:type="dxa"/>
            <w:vAlign w:val="center"/>
          </w:tcPr>
          <w:p w:rsidR="00000000" w:rsidRDefault="00000000">
            <w:pPr>
              <w:rPr>
                <w:snapToGrid w:val="0"/>
                <w:lang w:eastAsia="pt-BR"/>
              </w:rPr>
            </w:pPr>
            <w:r>
              <w:rPr>
                <w:snapToGrid w:val="0"/>
                <w:lang w:eastAsia="pt-BR"/>
              </w:rPr>
              <w:t>Рио-де-Жанейро</w:t>
            </w:r>
          </w:p>
        </w:tc>
        <w:tc>
          <w:tcPr>
            <w:tcW w:w="1418" w:type="dxa"/>
            <w:vAlign w:val="center"/>
          </w:tcPr>
          <w:p w:rsidR="00000000" w:rsidRDefault="00000000">
            <w:pPr>
              <w:jc w:val="center"/>
              <w:rPr>
                <w:snapToGrid w:val="0"/>
                <w:lang w:eastAsia="pt-BR"/>
              </w:rPr>
            </w:pPr>
            <w:r>
              <w:rPr>
                <w:snapToGrid w:val="0"/>
                <w:lang w:eastAsia="pt-BR"/>
              </w:rPr>
              <w:t>61,71</w:t>
            </w:r>
          </w:p>
        </w:tc>
        <w:tc>
          <w:tcPr>
            <w:tcW w:w="1418" w:type="dxa"/>
            <w:vAlign w:val="center"/>
          </w:tcPr>
          <w:p w:rsidR="00000000" w:rsidRDefault="00000000">
            <w:pPr>
              <w:jc w:val="center"/>
              <w:rPr>
                <w:snapToGrid w:val="0"/>
                <w:lang w:eastAsia="pt-BR"/>
              </w:rPr>
            </w:pPr>
            <w:r>
              <w:rPr>
                <w:snapToGrid w:val="0"/>
                <w:lang w:eastAsia="pt-BR"/>
              </w:rPr>
              <w:t>72,78</w:t>
            </w:r>
          </w:p>
        </w:tc>
        <w:tc>
          <w:tcPr>
            <w:tcW w:w="1418" w:type="dxa"/>
            <w:vAlign w:val="center"/>
          </w:tcPr>
          <w:p w:rsidR="00000000" w:rsidRDefault="00000000">
            <w:pPr>
              <w:jc w:val="center"/>
              <w:rPr>
                <w:snapToGrid w:val="0"/>
                <w:lang w:eastAsia="pt-BR"/>
              </w:rPr>
            </w:pPr>
            <w:r>
              <w:rPr>
                <w:snapToGrid w:val="0"/>
                <w:lang w:eastAsia="pt-BR"/>
              </w:rPr>
              <w:t>67,14</w:t>
            </w:r>
          </w:p>
        </w:tc>
      </w:tr>
      <w:tr w:rsidR="00000000">
        <w:trPr>
          <w:jc w:val="center"/>
        </w:trPr>
        <w:tc>
          <w:tcPr>
            <w:tcW w:w="3686" w:type="dxa"/>
            <w:vAlign w:val="center"/>
          </w:tcPr>
          <w:p w:rsidR="00000000" w:rsidRDefault="00000000">
            <w:pPr>
              <w:rPr>
                <w:snapToGrid w:val="0"/>
                <w:lang w:eastAsia="pt-BR"/>
              </w:rPr>
            </w:pPr>
            <w:r>
              <w:rPr>
                <w:snapToGrid w:val="0"/>
                <w:lang w:eastAsia="pt-BR"/>
              </w:rPr>
              <w:t>Сан-Паулу</w:t>
            </w:r>
          </w:p>
        </w:tc>
        <w:tc>
          <w:tcPr>
            <w:tcW w:w="1418" w:type="dxa"/>
            <w:vAlign w:val="center"/>
          </w:tcPr>
          <w:p w:rsidR="00000000" w:rsidRDefault="00000000">
            <w:pPr>
              <w:jc w:val="center"/>
              <w:rPr>
                <w:snapToGrid w:val="0"/>
                <w:lang w:eastAsia="pt-BR"/>
              </w:rPr>
            </w:pPr>
            <w:r>
              <w:rPr>
                <w:snapToGrid w:val="0"/>
                <w:lang w:eastAsia="pt-BR"/>
              </w:rPr>
              <w:t>65,07</w:t>
            </w:r>
          </w:p>
        </w:tc>
        <w:tc>
          <w:tcPr>
            <w:tcW w:w="1418" w:type="dxa"/>
            <w:vAlign w:val="center"/>
          </w:tcPr>
          <w:p w:rsidR="00000000" w:rsidRDefault="00000000">
            <w:pPr>
              <w:jc w:val="center"/>
              <w:rPr>
                <w:snapToGrid w:val="0"/>
                <w:lang w:eastAsia="pt-BR"/>
              </w:rPr>
            </w:pPr>
            <w:r>
              <w:rPr>
                <w:snapToGrid w:val="0"/>
                <w:lang w:eastAsia="pt-BR"/>
              </w:rPr>
              <w:t>74,21</w:t>
            </w:r>
          </w:p>
        </w:tc>
        <w:tc>
          <w:tcPr>
            <w:tcW w:w="1418" w:type="dxa"/>
            <w:vAlign w:val="center"/>
          </w:tcPr>
          <w:p w:rsidR="00000000" w:rsidRDefault="00000000">
            <w:pPr>
              <w:jc w:val="center"/>
              <w:rPr>
                <w:snapToGrid w:val="0"/>
                <w:lang w:eastAsia="pt-BR"/>
              </w:rPr>
            </w:pPr>
            <w:r>
              <w:rPr>
                <w:snapToGrid w:val="0"/>
                <w:lang w:eastAsia="pt-BR"/>
              </w:rPr>
              <w:t>69,55</w:t>
            </w:r>
          </w:p>
        </w:tc>
      </w:tr>
      <w:tr w:rsidR="00000000">
        <w:trPr>
          <w:jc w:val="center"/>
        </w:trPr>
        <w:tc>
          <w:tcPr>
            <w:tcW w:w="3686" w:type="dxa"/>
            <w:vAlign w:val="center"/>
          </w:tcPr>
          <w:p w:rsidR="00000000" w:rsidRDefault="00000000">
            <w:pPr>
              <w:rPr>
                <w:snapToGrid w:val="0"/>
                <w:lang w:eastAsia="pt-BR"/>
              </w:rPr>
            </w:pPr>
            <w:r>
              <w:rPr>
                <w:snapToGrid w:val="0"/>
                <w:lang w:eastAsia="pt-BR"/>
              </w:rPr>
              <w:t>Южный регион</w:t>
            </w:r>
          </w:p>
        </w:tc>
        <w:tc>
          <w:tcPr>
            <w:tcW w:w="1418" w:type="dxa"/>
            <w:vAlign w:val="center"/>
          </w:tcPr>
          <w:p w:rsidR="00000000" w:rsidRDefault="00000000">
            <w:pPr>
              <w:jc w:val="center"/>
              <w:rPr>
                <w:snapToGrid w:val="0"/>
                <w:lang w:eastAsia="pt-BR"/>
              </w:rPr>
            </w:pPr>
            <w:r>
              <w:rPr>
                <w:snapToGrid w:val="0"/>
                <w:lang w:eastAsia="pt-BR"/>
              </w:rPr>
              <w:t>66,67</w:t>
            </w:r>
          </w:p>
        </w:tc>
        <w:tc>
          <w:tcPr>
            <w:tcW w:w="1418" w:type="dxa"/>
            <w:vAlign w:val="center"/>
          </w:tcPr>
          <w:p w:rsidR="00000000" w:rsidRDefault="00000000">
            <w:pPr>
              <w:jc w:val="center"/>
              <w:rPr>
                <w:snapToGrid w:val="0"/>
                <w:lang w:eastAsia="pt-BR"/>
              </w:rPr>
            </w:pPr>
            <w:r>
              <w:rPr>
                <w:snapToGrid w:val="0"/>
                <w:lang w:eastAsia="pt-BR"/>
              </w:rPr>
              <w:t>74,27</w:t>
            </w:r>
          </w:p>
        </w:tc>
        <w:tc>
          <w:tcPr>
            <w:tcW w:w="1418" w:type="dxa"/>
            <w:vAlign w:val="center"/>
          </w:tcPr>
          <w:p w:rsidR="00000000" w:rsidRDefault="00000000">
            <w:pPr>
              <w:jc w:val="center"/>
              <w:rPr>
                <w:snapToGrid w:val="0"/>
                <w:lang w:eastAsia="pt-BR"/>
              </w:rPr>
            </w:pPr>
            <w:r>
              <w:rPr>
                <w:snapToGrid w:val="0"/>
                <w:lang w:eastAsia="pt-BR"/>
              </w:rPr>
              <w:t>70,34</w:t>
            </w:r>
          </w:p>
        </w:tc>
      </w:tr>
      <w:tr w:rsidR="00000000">
        <w:trPr>
          <w:jc w:val="center"/>
        </w:trPr>
        <w:tc>
          <w:tcPr>
            <w:tcW w:w="3686" w:type="dxa"/>
            <w:vAlign w:val="center"/>
          </w:tcPr>
          <w:p w:rsidR="00000000" w:rsidRDefault="00000000">
            <w:pPr>
              <w:rPr>
                <w:snapToGrid w:val="0"/>
                <w:lang w:eastAsia="pt-BR"/>
              </w:rPr>
            </w:pPr>
            <w:r>
              <w:rPr>
                <w:snapToGrid w:val="0"/>
                <w:lang w:eastAsia="pt-BR"/>
              </w:rPr>
              <w:t>Парана</w:t>
            </w:r>
          </w:p>
        </w:tc>
        <w:tc>
          <w:tcPr>
            <w:tcW w:w="1418" w:type="dxa"/>
            <w:vAlign w:val="center"/>
          </w:tcPr>
          <w:p w:rsidR="00000000" w:rsidRDefault="00000000">
            <w:pPr>
              <w:jc w:val="center"/>
              <w:rPr>
                <w:snapToGrid w:val="0"/>
                <w:lang w:eastAsia="pt-BR"/>
              </w:rPr>
            </w:pPr>
            <w:r>
              <w:rPr>
                <w:snapToGrid w:val="0"/>
                <w:lang w:eastAsia="pt-BR"/>
              </w:rPr>
              <w:t>66,18</w:t>
            </w:r>
          </w:p>
        </w:tc>
        <w:tc>
          <w:tcPr>
            <w:tcW w:w="1418" w:type="dxa"/>
            <w:vAlign w:val="center"/>
          </w:tcPr>
          <w:p w:rsidR="00000000" w:rsidRDefault="00000000">
            <w:pPr>
              <w:jc w:val="center"/>
              <w:rPr>
                <w:snapToGrid w:val="0"/>
                <w:lang w:eastAsia="pt-BR"/>
              </w:rPr>
            </w:pPr>
            <w:r>
              <w:rPr>
                <w:snapToGrid w:val="0"/>
                <w:lang w:eastAsia="pt-BR"/>
              </w:rPr>
              <w:t>72,93</w:t>
            </w:r>
          </w:p>
        </w:tc>
        <w:tc>
          <w:tcPr>
            <w:tcW w:w="1418" w:type="dxa"/>
            <w:vAlign w:val="center"/>
          </w:tcPr>
          <w:p w:rsidR="00000000" w:rsidRDefault="00000000">
            <w:pPr>
              <w:jc w:val="center"/>
              <w:rPr>
                <w:snapToGrid w:val="0"/>
                <w:lang w:eastAsia="pt-BR"/>
              </w:rPr>
            </w:pPr>
            <w:r>
              <w:rPr>
                <w:snapToGrid w:val="0"/>
                <w:lang w:eastAsia="pt-BR"/>
              </w:rPr>
              <w:t>69,49</w:t>
            </w:r>
          </w:p>
        </w:tc>
      </w:tr>
      <w:tr w:rsidR="00000000">
        <w:trPr>
          <w:jc w:val="center"/>
        </w:trPr>
        <w:tc>
          <w:tcPr>
            <w:tcW w:w="3686" w:type="dxa"/>
            <w:vAlign w:val="center"/>
          </w:tcPr>
          <w:p w:rsidR="00000000" w:rsidRDefault="00000000">
            <w:pPr>
              <w:rPr>
                <w:snapToGrid w:val="0"/>
                <w:lang w:eastAsia="pt-BR"/>
              </w:rPr>
            </w:pPr>
            <w:r>
              <w:rPr>
                <w:snapToGrid w:val="0"/>
                <w:lang w:eastAsia="pt-BR"/>
              </w:rPr>
              <w:t>Санта-Катарина</w:t>
            </w:r>
          </w:p>
        </w:tc>
        <w:tc>
          <w:tcPr>
            <w:tcW w:w="1418" w:type="dxa"/>
            <w:vAlign w:val="center"/>
          </w:tcPr>
          <w:p w:rsidR="00000000" w:rsidRDefault="00000000">
            <w:pPr>
              <w:jc w:val="center"/>
              <w:rPr>
                <w:snapToGrid w:val="0"/>
                <w:lang w:eastAsia="pt-BR"/>
              </w:rPr>
            </w:pPr>
            <w:r>
              <w:rPr>
                <w:snapToGrid w:val="0"/>
                <w:lang w:eastAsia="pt-BR"/>
              </w:rPr>
              <w:t>66,98</w:t>
            </w:r>
          </w:p>
        </w:tc>
        <w:tc>
          <w:tcPr>
            <w:tcW w:w="1418" w:type="dxa"/>
            <w:vAlign w:val="center"/>
          </w:tcPr>
          <w:p w:rsidR="00000000" w:rsidRDefault="00000000">
            <w:pPr>
              <w:jc w:val="center"/>
              <w:rPr>
                <w:snapToGrid w:val="0"/>
                <w:lang w:eastAsia="pt-BR"/>
              </w:rPr>
            </w:pPr>
            <w:r>
              <w:rPr>
                <w:snapToGrid w:val="0"/>
                <w:lang w:eastAsia="pt-BR"/>
              </w:rPr>
              <w:t>74,58</w:t>
            </w:r>
          </w:p>
        </w:tc>
        <w:tc>
          <w:tcPr>
            <w:tcW w:w="1418" w:type="dxa"/>
            <w:vAlign w:val="center"/>
          </w:tcPr>
          <w:p w:rsidR="00000000" w:rsidRDefault="00000000">
            <w:pPr>
              <w:jc w:val="center"/>
              <w:rPr>
                <w:snapToGrid w:val="0"/>
                <w:lang w:eastAsia="pt-BR"/>
              </w:rPr>
            </w:pPr>
            <w:r>
              <w:rPr>
                <w:snapToGrid w:val="0"/>
                <w:lang w:eastAsia="pt-BR"/>
              </w:rPr>
              <w:t>70,7</w:t>
            </w:r>
          </w:p>
        </w:tc>
      </w:tr>
      <w:tr w:rsidR="00000000">
        <w:trPr>
          <w:jc w:val="center"/>
        </w:trPr>
        <w:tc>
          <w:tcPr>
            <w:tcW w:w="3686" w:type="dxa"/>
            <w:vAlign w:val="center"/>
          </w:tcPr>
          <w:p w:rsidR="00000000" w:rsidRDefault="00000000">
            <w:pPr>
              <w:rPr>
                <w:snapToGrid w:val="0"/>
                <w:lang w:eastAsia="pt-BR"/>
              </w:rPr>
            </w:pPr>
            <w:r>
              <w:rPr>
                <w:snapToGrid w:val="0"/>
                <w:lang w:eastAsia="pt-BR"/>
              </w:rPr>
              <w:t>Риу-Гранди-ду-Сул</w:t>
            </w:r>
          </w:p>
        </w:tc>
        <w:tc>
          <w:tcPr>
            <w:tcW w:w="1418" w:type="dxa"/>
            <w:vAlign w:val="center"/>
          </w:tcPr>
          <w:p w:rsidR="00000000" w:rsidRDefault="00000000">
            <w:pPr>
              <w:jc w:val="center"/>
              <w:rPr>
                <w:snapToGrid w:val="0"/>
                <w:lang w:eastAsia="pt-BR"/>
              </w:rPr>
            </w:pPr>
            <w:r>
              <w:rPr>
                <w:snapToGrid w:val="0"/>
                <w:lang w:eastAsia="pt-BR"/>
              </w:rPr>
              <w:t>66,98</w:t>
            </w:r>
          </w:p>
        </w:tc>
        <w:tc>
          <w:tcPr>
            <w:tcW w:w="1418" w:type="dxa"/>
            <w:vAlign w:val="center"/>
          </w:tcPr>
          <w:p w:rsidR="00000000" w:rsidRDefault="00000000">
            <w:pPr>
              <w:jc w:val="center"/>
              <w:rPr>
                <w:snapToGrid w:val="0"/>
                <w:lang w:eastAsia="pt-BR"/>
              </w:rPr>
            </w:pPr>
            <w:r>
              <w:rPr>
                <w:snapToGrid w:val="0"/>
                <w:lang w:eastAsia="pt-BR"/>
              </w:rPr>
              <w:t>75,24</w:t>
            </w:r>
          </w:p>
        </w:tc>
        <w:tc>
          <w:tcPr>
            <w:tcW w:w="1418" w:type="dxa"/>
            <w:vAlign w:val="center"/>
          </w:tcPr>
          <w:p w:rsidR="00000000" w:rsidRDefault="00000000">
            <w:pPr>
              <w:jc w:val="center"/>
              <w:rPr>
                <w:snapToGrid w:val="0"/>
                <w:lang w:eastAsia="pt-BR"/>
              </w:rPr>
            </w:pPr>
            <w:r>
              <w:rPr>
                <w:snapToGrid w:val="0"/>
                <w:lang w:eastAsia="pt-BR"/>
              </w:rPr>
              <w:t>71,03</w:t>
            </w:r>
          </w:p>
        </w:tc>
      </w:tr>
      <w:tr w:rsidR="00000000">
        <w:trPr>
          <w:trHeight w:val="199"/>
          <w:jc w:val="center"/>
        </w:trPr>
        <w:tc>
          <w:tcPr>
            <w:tcW w:w="3686" w:type="dxa"/>
            <w:vAlign w:val="center"/>
          </w:tcPr>
          <w:p w:rsidR="00000000" w:rsidRDefault="00000000">
            <w:pPr>
              <w:rPr>
                <w:snapToGrid w:val="0"/>
                <w:lang w:eastAsia="pt-BR"/>
              </w:rPr>
            </w:pPr>
            <w:r>
              <w:rPr>
                <w:snapToGrid w:val="0"/>
                <w:lang w:eastAsia="pt-BR"/>
              </w:rPr>
              <w:t>Центрально-западный регион</w:t>
            </w:r>
          </w:p>
        </w:tc>
        <w:tc>
          <w:tcPr>
            <w:tcW w:w="1418" w:type="dxa"/>
            <w:vAlign w:val="center"/>
          </w:tcPr>
          <w:p w:rsidR="00000000" w:rsidRDefault="00000000">
            <w:pPr>
              <w:jc w:val="center"/>
              <w:rPr>
                <w:snapToGrid w:val="0"/>
                <w:lang w:eastAsia="pt-BR"/>
              </w:rPr>
            </w:pPr>
            <w:r>
              <w:rPr>
                <w:snapToGrid w:val="0"/>
                <w:lang w:eastAsia="pt-BR"/>
              </w:rPr>
              <w:t>65,56</w:t>
            </w:r>
          </w:p>
        </w:tc>
        <w:tc>
          <w:tcPr>
            <w:tcW w:w="1418" w:type="dxa"/>
            <w:vAlign w:val="center"/>
          </w:tcPr>
          <w:p w:rsidR="00000000" w:rsidRDefault="00000000">
            <w:pPr>
              <w:jc w:val="center"/>
              <w:rPr>
                <w:snapToGrid w:val="0"/>
                <w:lang w:eastAsia="pt-BR"/>
              </w:rPr>
            </w:pPr>
            <w:r>
              <w:rPr>
                <w:snapToGrid w:val="0"/>
                <w:lang w:eastAsia="pt-BR"/>
              </w:rPr>
              <w:t>72,18</w:t>
            </w:r>
          </w:p>
        </w:tc>
        <w:tc>
          <w:tcPr>
            <w:tcW w:w="1418" w:type="dxa"/>
            <w:vAlign w:val="center"/>
          </w:tcPr>
          <w:p w:rsidR="00000000" w:rsidRDefault="00000000">
            <w:pPr>
              <w:jc w:val="center"/>
              <w:rPr>
                <w:snapToGrid w:val="0"/>
                <w:lang w:eastAsia="pt-BR"/>
              </w:rPr>
            </w:pPr>
            <w:r>
              <w:rPr>
                <w:snapToGrid w:val="0"/>
                <w:lang w:eastAsia="pt-BR"/>
              </w:rPr>
              <w:t>68,67</w:t>
            </w:r>
          </w:p>
        </w:tc>
      </w:tr>
      <w:tr w:rsidR="00000000">
        <w:trPr>
          <w:jc w:val="center"/>
        </w:trPr>
        <w:tc>
          <w:tcPr>
            <w:tcW w:w="3686" w:type="dxa"/>
            <w:vAlign w:val="center"/>
          </w:tcPr>
          <w:p w:rsidR="00000000" w:rsidRDefault="00000000">
            <w:pPr>
              <w:rPr>
                <w:snapToGrid w:val="0"/>
                <w:lang w:eastAsia="pt-BR"/>
              </w:rPr>
            </w:pPr>
            <w:r>
              <w:rPr>
                <w:snapToGrid w:val="0"/>
                <w:lang w:eastAsia="pt-BR"/>
              </w:rPr>
              <w:t>Мату-Гросу-ду-Сул</w:t>
            </w:r>
          </w:p>
        </w:tc>
        <w:tc>
          <w:tcPr>
            <w:tcW w:w="1418" w:type="dxa"/>
            <w:vAlign w:val="center"/>
          </w:tcPr>
          <w:p w:rsidR="00000000" w:rsidRDefault="00000000">
            <w:pPr>
              <w:jc w:val="center"/>
              <w:rPr>
                <w:snapToGrid w:val="0"/>
                <w:lang w:eastAsia="pt-BR"/>
              </w:rPr>
            </w:pPr>
            <w:r>
              <w:rPr>
                <w:snapToGrid w:val="0"/>
                <w:lang w:eastAsia="pt-BR"/>
              </w:rPr>
              <w:t>66,46</w:t>
            </w:r>
          </w:p>
        </w:tc>
        <w:tc>
          <w:tcPr>
            <w:tcW w:w="1418" w:type="dxa"/>
            <w:vAlign w:val="center"/>
          </w:tcPr>
          <w:p w:rsidR="00000000" w:rsidRDefault="00000000">
            <w:pPr>
              <w:jc w:val="center"/>
              <w:rPr>
                <w:snapToGrid w:val="0"/>
                <w:lang w:eastAsia="pt-BR"/>
              </w:rPr>
            </w:pPr>
            <w:r>
              <w:rPr>
                <w:snapToGrid w:val="0"/>
                <w:lang w:eastAsia="pt-BR"/>
              </w:rPr>
              <w:t>72,73</w:t>
            </w:r>
          </w:p>
        </w:tc>
        <w:tc>
          <w:tcPr>
            <w:tcW w:w="1418" w:type="dxa"/>
            <w:vAlign w:val="center"/>
          </w:tcPr>
          <w:p w:rsidR="00000000" w:rsidRDefault="00000000">
            <w:pPr>
              <w:jc w:val="center"/>
              <w:rPr>
                <w:snapToGrid w:val="0"/>
                <w:lang w:eastAsia="pt-BR"/>
              </w:rPr>
            </w:pPr>
            <w:r>
              <w:rPr>
                <w:snapToGrid w:val="0"/>
                <w:lang w:eastAsia="pt-BR"/>
              </w:rPr>
              <w:t>69,53</w:t>
            </w:r>
          </w:p>
        </w:tc>
      </w:tr>
      <w:tr w:rsidR="00000000">
        <w:trPr>
          <w:jc w:val="center"/>
        </w:trPr>
        <w:tc>
          <w:tcPr>
            <w:tcW w:w="3686" w:type="dxa"/>
            <w:vAlign w:val="center"/>
          </w:tcPr>
          <w:p w:rsidR="00000000" w:rsidRDefault="00000000">
            <w:pPr>
              <w:rPr>
                <w:snapToGrid w:val="0"/>
                <w:lang w:eastAsia="pt-BR"/>
              </w:rPr>
            </w:pPr>
            <w:r>
              <w:rPr>
                <w:snapToGrid w:val="0"/>
                <w:lang w:eastAsia="pt-BR"/>
              </w:rPr>
              <w:t>Мату-Гросу</w:t>
            </w:r>
          </w:p>
        </w:tc>
        <w:tc>
          <w:tcPr>
            <w:tcW w:w="1418" w:type="dxa"/>
            <w:vAlign w:val="center"/>
          </w:tcPr>
          <w:p w:rsidR="00000000" w:rsidRDefault="00000000">
            <w:pPr>
              <w:jc w:val="center"/>
              <w:rPr>
                <w:snapToGrid w:val="0"/>
                <w:lang w:eastAsia="pt-BR"/>
              </w:rPr>
            </w:pPr>
            <w:r>
              <w:rPr>
                <w:snapToGrid w:val="0"/>
                <w:lang w:eastAsia="pt-BR"/>
              </w:rPr>
              <w:t>65,28</w:t>
            </w:r>
          </w:p>
        </w:tc>
        <w:tc>
          <w:tcPr>
            <w:tcW w:w="1418" w:type="dxa"/>
            <w:vAlign w:val="center"/>
          </w:tcPr>
          <w:p w:rsidR="00000000" w:rsidRDefault="00000000">
            <w:pPr>
              <w:jc w:val="center"/>
              <w:rPr>
                <w:snapToGrid w:val="0"/>
                <w:lang w:eastAsia="pt-BR"/>
              </w:rPr>
            </w:pPr>
            <w:r>
              <w:rPr>
                <w:snapToGrid w:val="0"/>
                <w:lang w:eastAsia="pt-BR"/>
              </w:rPr>
              <w:t>71,42</w:t>
            </w:r>
          </w:p>
        </w:tc>
        <w:tc>
          <w:tcPr>
            <w:tcW w:w="1418" w:type="dxa"/>
            <w:vAlign w:val="center"/>
          </w:tcPr>
          <w:p w:rsidR="00000000" w:rsidRDefault="00000000">
            <w:pPr>
              <w:jc w:val="center"/>
              <w:rPr>
                <w:snapToGrid w:val="0"/>
                <w:lang w:eastAsia="pt-BR"/>
              </w:rPr>
            </w:pPr>
            <w:r>
              <w:rPr>
                <w:snapToGrid w:val="0"/>
                <w:lang w:eastAsia="pt-BR"/>
              </w:rPr>
              <w:t>68,29</w:t>
            </w:r>
          </w:p>
        </w:tc>
      </w:tr>
      <w:tr w:rsidR="00000000">
        <w:trPr>
          <w:jc w:val="center"/>
        </w:trPr>
        <w:tc>
          <w:tcPr>
            <w:tcW w:w="3686" w:type="dxa"/>
            <w:vAlign w:val="center"/>
          </w:tcPr>
          <w:p w:rsidR="00000000" w:rsidRDefault="00000000">
            <w:pPr>
              <w:rPr>
                <w:snapToGrid w:val="0"/>
                <w:lang w:eastAsia="pt-BR"/>
              </w:rPr>
            </w:pPr>
            <w:r>
              <w:rPr>
                <w:snapToGrid w:val="0"/>
                <w:lang w:eastAsia="pt-BR"/>
              </w:rPr>
              <w:t>Гояс</w:t>
            </w:r>
          </w:p>
        </w:tc>
        <w:tc>
          <w:tcPr>
            <w:tcW w:w="1418" w:type="dxa"/>
            <w:vAlign w:val="center"/>
          </w:tcPr>
          <w:p w:rsidR="00000000" w:rsidRDefault="00000000">
            <w:pPr>
              <w:jc w:val="center"/>
              <w:rPr>
                <w:snapToGrid w:val="0"/>
                <w:lang w:eastAsia="pt-BR"/>
              </w:rPr>
            </w:pPr>
            <w:r>
              <w:rPr>
                <w:snapToGrid w:val="0"/>
                <w:lang w:eastAsia="pt-BR"/>
              </w:rPr>
              <w:t>65,66</w:t>
            </w:r>
          </w:p>
        </w:tc>
        <w:tc>
          <w:tcPr>
            <w:tcW w:w="1418" w:type="dxa"/>
            <w:vAlign w:val="center"/>
          </w:tcPr>
          <w:p w:rsidR="00000000" w:rsidRDefault="00000000">
            <w:pPr>
              <w:jc w:val="center"/>
              <w:rPr>
                <w:snapToGrid w:val="0"/>
                <w:lang w:eastAsia="pt-BR"/>
              </w:rPr>
            </w:pPr>
            <w:r>
              <w:rPr>
                <w:snapToGrid w:val="0"/>
                <w:lang w:eastAsia="pt-BR"/>
              </w:rPr>
              <w:t>72,14</w:t>
            </w:r>
          </w:p>
        </w:tc>
        <w:tc>
          <w:tcPr>
            <w:tcW w:w="1418" w:type="dxa"/>
            <w:vAlign w:val="center"/>
          </w:tcPr>
          <w:p w:rsidR="00000000" w:rsidRDefault="00000000">
            <w:pPr>
              <w:jc w:val="center"/>
              <w:rPr>
                <w:snapToGrid w:val="0"/>
                <w:lang w:eastAsia="pt-BR"/>
              </w:rPr>
            </w:pPr>
            <w:r>
              <w:rPr>
                <w:snapToGrid w:val="0"/>
                <w:lang w:eastAsia="pt-BR"/>
              </w:rPr>
              <w:t>68,84</w:t>
            </w:r>
          </w:p>
        </w:tc>
      </w:tr>
      <w:tr w:rsidR="00000000">
        <w:trPr>
          <w:jc w:val="center"/>
        </w:trPr>
        <w:tc>
          <w:tcPr>
            <w:tcW w:w="3686" w:type="dxa"/>
            <w:vAlign w:val="center"/>
          </w:tcPr>
          <w:p w:rsidR="00000000" w:rsidRDefault="00000000">
            <w:pPr>
              <w:pStyle w:val="FootnoteText"/>
              <w:spacing w:line="288" w:lineRule="auto"/>
              <w:rPr>
                <w:snapToGrid w:val="0"/>
                <w:lang w:eastAsia="pt-BR"/>
              </w:rPr>
            </w:pPr>
            <w:r>
              <w:rPr>
                <w:snapToGrid w:val="0"/>
                <w:lang w:eastAsia="pt-BR"/>
              </w:rPr>
              <w:t>Федеральный округ</w:t>
            </w:r>
          </w:p>
        </w:tc>
        <w:tc>
          <w:tcPr>
            <w:tcW w:w="1418" w:type="dxa"/>
            <w:vAlign w:val="center"/>
          </w:tcPr>
          <w:p w:rsidR="00000000" w:rsidRDefault="00000000">
            <w:pPr>
              <w:jc w:val="center"/>
              <w:rPr>
                <w:snapToGrid w:val="0"/>
                <w:lang w:eastAsia="pt-BR"/>
              </w:rPr>
            </w:pPr>
            <w:r>
              <w:rPr>
                <w:snapToGrid w:val="0"/>
                <w:lang w:eastAsia="pt-BR"/>
              </w:rPr>
              <w:t>64,61</w:t>
            </w:r>
          </w:p>
        </w:tc>
        <w:tc>
          <w:tcPr>
            <w:tcW w:w="1418" w:type="dxa"/>
            <w:vAlign w:val="center"/>
          </w:tcPr>
          <w:p w:rsidR="00000000" w:rsidRDefault="00000000">
            <w:pPr>
              <w:jc w:val="center"/>
              <w:rPr>
                <w:snapToGrid w:val="0"/>
                <w:lang w:eastAsia="pt-BR"/>
              </w:rPr>
            </w:pPr>
            <w:r>
              <w:rPr>
                <w:snapToGrid w:val="0"/>
                <w:lang w:eastAsia="pt-BR"/>
              </w:rPr>
              <w:t>72,61</w:t>
            </w:r>
          </w:p>
        </w:tc>
        <w:tc>
          <w:tcPr>
            <w:tcW w:w="1418" w:type="dxa"/>
            <w:vAlign w:val="center"/>
          </w:tcPr>
          <w:p w:rsidR="00000000" w:rsidRDefault="00000000">
            <w:pPr>
              <w:jc w:val="center"/>
              <w:rPr>
                <w:snapToGrid w:val="0"/>
                <w:lang w:eastAsia="pt-BR"/>
              </w:rPr>
            </w:pPr>
            <w:r>
              <w:rPr>
                <w:snapToGrid w:val="0"/>
                <w:lang w:eastAsia="pt-BR"/>
              </w:rPr>
              <w:t>68,53</w:t>
            </w:r>
          </w:p>
        </w:tc>
      </w:tr>
      <w:tr w:rsidR="00000000">
        <w:trPr>
          <w:jc w:val="center"/>
        </w:trPr>
        <w:tc>
          <w:tcPr>
            <w:tcW w:w="3686" w:type="dxa"/>
            <w:shd w:val="clear" w:color="C0C0C0" w:fill="auto"/>
            <w:vAlign w:val="center"/>
          </w:tcPr>
          <w:p w:rsidR="00000000" w:rsidRDefault="00000000">
            <w:pPr>
              <w:jc w:val="center"/>
              <w:rPr>
                <w:snapToGrid w:val="0"/>
                <w:lang w:eastAsia="pt-BR"/>
              </w:rPr>
            </w:pPr>
            <w:r>
              <w:rPr>
                <w:snapToGrid w:val="0"/>
                <w:lang w:eastAsia="pt-BR"/>
              </w:rPr>
              <w:t>Итого</w:t>
            </w:r>
          </w:p>
        </w:tc>
        <w:tc>
          <w:tcPr>
            <w:tcW w:w="1418" w:type="dxa"/>
            <w:shd w:val="clear" w:color="C0C0C0" w:fill="auto"/>
            <w:vAlign w:val="center"/>
          </w:tcPr>
          <w:p w:rsidR="00000000" w:rsidRDefault="00000000">
            <w:pPr>
              <w:jc w:val="center"/>
              <w:rPr>
                <w:snapToGrid w:val="0"/>
                <w:lang w:eastAsia="pt-BR"/>
              </w:rPr>
            </w:pPr>
            <w:r>
              <w:rPr>
                <w:snapToGrid w:val="0"/>
                <w:lang w:eastAsia="pt-BR"/>
              </w:rPr>
              <w:t>64,09</w:t>
            </w:r>
          </w:p>
        </w:tc>
        <w:tc>
          <w:tcPr>
            <w:tcW w:w="1418" w:type="dxa"/>
            <w:shd w:val="clear" w:color="C0C0C0" w:fill="auto"/>
            <w:vAlign w:val="center"/>
          </w:tcPr>
          <w:p w:rsidR="00000000" w:rsidRDefault="00000000">
            <w:pPr>
              <w:jc w:val="center"/>
              <w:rPr>
                <w:snapToGrid w:val="0"/>
                <w:lang w:eastAsia="pt-BR"/>
              </w:rPr>
            </w:pPr>
            <w:r>
              <w:rPr>
                <w:snapToGrid w:val="0"/>
                <w:lang w:eastAsia="pt-BR"/>
              </w:rPr>
              <w:t>71,7</w:t>
            </w:r>
          </w:p>
        </w:tc>
        <w:tc>
          <w:tcPr>
            <w:tcW w:w="1418" w:type="dxa"/>
            <w:shd w:val="clear" w:color="C0C0C0" w:fill="auto"/>
            <w:vAlign w:val="center"/>
          </w:tcPr>
          <w:p w:rsidR="00000000" w:rsidRDefault="00000000">
            <w:pPr>
              <w:jc w:val="center"/>
              <w:rPr>
                <w:snapToGrid w:val="0"/>
                <w:lang w:eastAsia="pt-BR"/>
              </w:rPr>
            </w:pPr>
            <w:r>
              <w:rPr>
                <w:snapToGrid w:val="0"/>
                <w:lang w:eastAsia="pt-BR"/>
              </w:rPr>
              <w:t>67,78</w:t>
            </w:r>
          </w:p>
        </w:tc>
      </w:tr>
    </w:tbl>
    <w:p w:rsidR="00000000" w:rsidRDefault="00000000">
      <w:pPr>
        <w:tabs>
          <w:tab w:val="clear" w:pos="2268"/>
          <w:tab w:val="left" w:pos="2495"/>
        </w:tabs>
        <w:ind w:left="2495" w:hanging="1361"/>
        <w:rPr>
          <w:u w:val="single"/>
        </w:rPr>
      </w:pPr>
    </w:p>
    <w:p w:rsidR="00000000" w:rsidRDefault="00000000">
      <w:pPr>
        <w:tabs>
          <w:tab w:val="clear" w:pos="2268"/>
          <w:tab w:val="left" w:pos="2495"/>
        </w:tabs>
        <w:ind w:left="567" w:firstLine="567"/>
      </w:pPr>
      <w:r>
        <w:rPr>
          <w:u w:val="single"/>
        </w:rPr>
        <w:t>Источник</w:t>
      </w:r>
      <w:r>
        <w:t>:  БИГС/подсчет населения и предварительные демографические прогнозы.</w:t>
      </w:r>
    </w:p>
    <w:p w:rsidR="00000000" w:rsidRDefault="00000000">
      <w:pPr>
        <w:tabs>
          <w:tab w:val="clear" w:pos="2268"/>
          <w:tab w:val="left" w:pos="2495"/>
        </w:tabs>
        <w:ind w:left="2495" w:hanging="1361"/>
      </w:pPr>
    </w:p>
    <w:p w:rsidR="00000000" w:rsidRDefault="00000000">
      <w:r>
        <w:t>629.</w:t>
      </w:r>
      <w:r>
        <w:tab/>
        <w:t>Бразилия пока еще не располагает общенациональной информацией о доступе населения к практикующим врачам, специализирующимся на лечении болезней и травм и регулярно получающих 20 основных лекарственных препаратов.</w:t>
      </w:r>
    </w:p>
    <w:p w:rsidR="00000000" w:rsidRDefault="00000000"/>
    <w:p w:rsidR="00000000" w:rsidRDefault="00000000">
      <w:r>
        <w:t>630.</w:t>
      </w:r>
      <w:r>
        <w:tab/>
        <w:t>Несмотря на все еще сохраняющиеся значительные различия по регионам, было расширено оказание помощи беременным женщинам.  В течение первой половины 90</w:t>
      </w:r>
      <w:r>
        <w:noBreakHyphen/>
        <w:t>х годов специализированными услугами по наблюдению за беременностью были охвачены 81% женщин, 48% женщин свыше семи раз обращались к врачу во время беременности, а около 66% начинали проходить наблюдение в течение первых трех месяцев беременности.  Согласно PNDS/1996, доля женщин в сельских районах, не наблюдавшихся у врача во время беременности, составила 31%, что значительно выше соответствующего показателя в отношении женщин, проживающих в городах (8,6%).  Деятельность по передаче федеральных средств в расчете на душу населения в муниципальные округа для финансирования первичной медико-санитарной помощи, которая начала осуществляться в 1997 году, привела к значительному улучшению положения в области наблюдения за состоянием здоровья беременных женщин, вследствие чего число консультаций в 1998 году по линии Единой системы здравоохранения (ЕСЗ) увеличилось на 78%.  Хотя эти данные не позволяют судить о широте охвата населения, имеются я все основания полагать, что такой охват расширился.</w:t>
      </w:r>
    </w:p>
    <w:p w:rsidR="00000000" w:rsidRDefault="00000000"/>
    <w:p w:rsidR="00000000" w:rsidRDefault="00000000">
      <w:r>
        <w:t>631.</w:t>
      </w:r>
      <w:r>
        <w:tab/>
        <w:t>Материнская смертность по</w:t>
      </w:r>
      <w:r>
        <w:noBreakHyphen/>
        <w:t>прежнему высока.  По данным PNDS/1996, за последние десять лет коэффициент смертности при родах составлял в среднем 8  на каждые 1 000 женщин репродуктивного возраста.  Согласно косвенным расчетам, в 1980 году материнская смертность составила 207 на 100 000 живорождений, а в 1990 году наблюдалось резкое падение этого показателя до почти 100 на 100 000 живорождений.</w:t>
      </w:r>
    </w:p>
    <w:p w:rsidR="00000000" w:rsidRDefault="00000000"/>
    <w:p w:rsidR="00000000" w:rsidRDefault="00000000">
      <w:r>
        <w:t>632.</w:t>
      </w:r>
      <w:r>
        <w:tab/>
        <w:t>В целях снижения показателей материнской смертности министерство здравоохранения начиная с 1998 года вкладывает средства в модернизацию учреждений по родовспоможению, придавая большее значение этим вопросам в рамках Единой системы здравоохранения и не допуская чрезмерного применения кесарева сечения, которое широко распространено в Бразилии, и постепенно вводя в масштабах всей страны систему ухода за беременными женщинами из группы повышенного риска.</w:t>
      </w:r>
    </w:p>
    <w:p w:rsidR="00000000" w:rsidRDefault="00000000"/>
    <w:p w:rsidR="00000000" w:rsidRDefault="00000000">
      <w:r>
        <w:t>633.</w:t>
      </w:r>
      <w:r>
        <w:tab/>
        <w:t>В июне этого года была учреждена Национальная программа помощи по беременности и родам (</w:t>
      </w:r>
      <w:r>
        <w:rPr>
          <w:i/>
          <w:iCs/>
        </w:rPr>
        <w:t>Programa Nacional de Нumanização dо Pré</w:t>
      </w:r>
      <w:r>
        <w:rPr>
          <w:i/>
          <w:iCs/>
        </w:rPr>
        <w:noBreakHyphen/>
        <w:t>Natal e Nascimento</w:t>
      </w:r>
      <w:r>
        <w:t>), в рамках которой были выделены дополнительные средства всем муниципальным округам, вводящим систему предоставления базовых услуг по оказанию эффективной помощи во время беременности и родов.</w:t>
      </w:r>
    </w:p>
    <w:p w:rsidR="00000000" w:rsidRDefault="00000000"/>
    <w:p w:rsidR="00000000" w:rsidRDefault="00000000">
      <w:r>
        <w:t>634.</w:t>
      </w:r>
      <w:r>
        <w:tab/>
        <w:t>Ниже излагается информация об уязвимых группах, особенно престарелых и инвалидах.  В настоящее время во всем мире наблюдается значительный рост численности престарелых, что ложится тяжелым бременем на деятельность государственной больничной сети.  За последние несколько лет был принят ряд законов и практических мер, направленных на повышение эффективности медицинских услуг, предоставляемых престарелым.</w:t>
      </w:r>
    </w:p>
    <w:p w:rsidR="00000000" w:rsidRDefault="00000000"/>
    <w:p w:rsidR="00000000" w:rsidRDefault="00000000">
      <w:pPr>
        <w:pStyle w:val="FootnoteText"/>
        <w:spacing w:line="288" w:lineRule="auto"/>
      </w:pPr>
      <w:r>
        <w:t>635.</w:t>
      </w:r>
      <w:r>
        <w:tab/>
        <w:t>В Федеральном законе № 8842, обнародованном в январе 1994 года, была провозглашена национальная политика в отношении престарелых (</w:t>
      </w:r>
      <w:r>
        <w:rPr>
          <w:i/>
          <w:iCs/>
        </w:rPr>
        <w:t>Política Nacional do Idoso</w:t>
      </w:r>
      <w:r>
        <w:t>).  В соответствии с этим Законом сектор здравоохранения обязан:</w:t>
      </w:r>
    </w:p>
    <w:p w:rsidR="00000000" w:rsidRDefault="00000000">
      <w:pPr>
        <w:pStyle w:val="FootnoteText"/>
        <w:spacing w:line="288" w:lineRule="auto"/>
      </w:pPr>
    </w:p>
    <w:p w:rsidR="00000000" w:rsidRDefault="00000000">
      <w:pPr>
        <w:pStyle w:val="FootnoteText"/>
        <w:numPr>
          <w:ilvl w:val="0"/>
          <w:numId w:val="761"/>
        </w:numPr>
        <w:tabs>
          <w:tab w:val="clear" w:pos="1134"/>
          <w:tab w:val="num" w:pos="1209"/>
        </w:tabs>
        <w:spacing w:line="288" w:lineRule="auto"/>
        <w:ind w:left="0" w:firstLine="567"/>
      </w:pPr>
      <w:r>
        <w:t>обеспечивать медико-санитарную помощь престарелым на различных уровнях Единой системы здравоохранения;</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заниматься профилактикой, поощрять здоровый образ жизни, охранять и восстанавливать здоровье престарелых с помощью профилактических мер и программ;</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разрабатывать и применять стандарты деятельности в отношении гериатрических и аналогичных учреждений под контролем руководителей Единой системы здравоохранения;</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разрабатывать стандарты обслуживания в гериатрических отделениях больниц;</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разрабатывать формы сотрудничества между управлениями по делам здравоохранения штатов, федерального округа и муниципальных округов и гериатрическими и геронтологическими центрами в целях подготовки групп специалистов различного профиля;</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включить гериатрию в число специальных медицинских дисциплин, по которым проводятся государственные экзамены на федеральном уровне, уровне штатов, муниципальных округов и федерального округа;</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проводить исследования по выявлению эпидемиологического характера некоторых болезней, от которых страдают престарелые, в целях профилактики, лечения и реабилитации, а также</w:t>
      </w:r>
    </w:p>
    <w:p w:rsidR="00000000" w:rsidRDefault="00000000">
      <w:pPr>
        <w:pStyle w:val="FootnoteText"/>
        <w:tabs>
          <w:tab w:val="clear" w:pos="1134"/>
          <w:tab w:val="left" w:pos="1122"/>
        </w:tabs>
        <w:spacing w:line="288" w:lineRule="auto"/>
        <w:ind w:firstLine="567"/>
      </w:pPr>
    </w:p>
    <w:p w:rsidR="00000000" w:rsidRDefault="00000000">
      <w:pPr>
        <w:pStyle w:val="FootnoteText"/>
        <w:numPr>
          <w:ilvl w:val="0"/>
          <w:numId w:val="761"/>
        </w:numPr>
        <w:tabs>
          <w:tab w:val="clear" w:pos="1134"/>
          <w:tab w:val="num" w:pos="1209"/>
        </w:tabs>
        <w:spacing w:line="288" w:lineRule="auto"/>
        <w:ind w:left="0" w:firstLine="567"/>
      </w:pPr>
      <w:r>
        <w:t>ввести альтернативное медико-санитарное обслуживание для престарелых.</w:t>
      </w:r>
    </w:p>
    <w:p w:rsidR="00000000" w:rsidRDefault="00000000">
      <w:pPr>
        <w:pStyle w:val="FootnoteText"/>
        <w:tabs>
          <w:tab w:val="clear" w:pos="1134"/>
        </w:tabs>
        <w:spacing w:line="288" w:lineRule="auto"/>
        <w:ind w:left="567"/>
      </w:pPr>
    </w:p>
    <w:p w:rsidR="00000000" w:rsidRDefault="00000000">
      <w:pPr>
        <w:pStyle w:val="FootnoteText"/>
        <w:spacing w:line="288" w:lineRule="auto"/>
      </w:pPr>
      <w:r>
        <w:t>636.</w:t>
      </w:r>
      <w:r>
        <w:tab/>
        <w:t>В июне 1996 года в Закон № 8842 были внесены поправки, потребовавшие специальных совместных действий семи министерств.  Была принята Национальная политика в области охраны здоровья престарелых (</w:t>
      </w:r>
      <w:r>
        <w:rPr>
          <w:i/>
          <w:iCs/>
        </w:rPr>
        <w:t>Política Nacional de Saúde do Idoso</w:t>
      </w:r>
      <w:r>
        <w:t>).  Ее основная цель состоит в содействии здоровому процессу старения, максимальном поддержании и повышении жизненной активности пожилых людей, профилактике болезней и лечении больных, а также в реабилитации лиц с ограниченной функциональной активностью, с тем чтобы они имели возможность жить в привычном окружении и самостоятельно выполнять свои функции в обществе.</w:t>
      </w:r>
    </w:p>
    <w:p w:rsidR="00000000" w:rsidRDefault="00000000">
      <w:pPr>
        <w:pStyle w:val="FootnoteText"/>
        <w:spacing w:line="288" w:lineRule="auto"/>
      </w:pPr>
    </w:p>
    <w:p w:rsidR="00000000" w:rsidRDefault="00000000">
      <w:pPr>
        <w:pStyle w:val="FootnoteText"/>
        <w:spacing w:line="288" w:lineRule="auto"/>
      </w:pPr>
      <w:r>
        <w:t>637.</w:t>
      </w:r>
      <w:r>
        <w:tab/>
        <w:t>Для улучшения физического и психического состояния престарелых Национальный план охраны здоровья престарелых (декабрь 1999 года) предусматривает меры по содействию здоровому процессу старения, сохранению функциональной активности, содействию в удовлетворении потребностей престарелых в медико-санитарной помощи, восстановлению жизнедеятельности стареющего организма, подготовке специалистов, оказанию поддержки развитию системы альтернативного ухода, а также содействию проведению соответствующих исследований.</w:t>
      </w:r>
    </w:p>
    <w:p w:rsidR="00000000" w:rsidRDefault="00000000">
      <w:pPr>
        <w:pStyle w:val="FootnoteText"/>
        <w:spacing w:line="288" w:lineRule="auto"/>
      </w:pPr>
    </w:p>
    <w:p w:rsidR="00000000" w:rsidRDefault="00000000">
      <w:pPr>
        <w:pStyle w:val="FootnoteText"/>
        <w:spacing w:line="288" w:lineRule="auto"/>
      </w:pPr>
      <w:r>
        <w:t>638.</w:t>
      </w:r>
      <w:r>
        <w:tab/>
        <w:t>К числу уже принятых или принимаемых мер относятся:</w:t>
      </w:r>
    </w:p>
    <w:p w:rsidR="00000000" w:rsidRDefault="00000000">
      <w:pPr>
        <w:pStyle w:val="FootnoteText"/>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a</w:t>
      </w:r>
      <w:r>
        <w:t>)</w:t>
      </w:r>
      <w:r>
        <w:tab/>
        <w:t>ежегодная противогриппозная вакцинация престарелых в течение двух последних недель апреля (в апреле 1999 года была проведена вакцинация лиц в возрасте 65 лет и старше, а начиная с апреля 2000 года проводится вакцинация лиц в возрасте 60 лет и старше);  показатели:  данные о госпитализации вследствие респираторных заболеваний;</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b</w:t>
      </w:r>
      <w:r>
        <w:t>)</w:t>
      </w:r>
      <w:r>
        <w:tab/>
        <w:t>противостолбнячная вакцинация престарелых (каждые 10 лет);  показатели:  данные о госпитализации больных столбняком и смертности от этой болезни;</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c</w:t>
      </w:r>
      <w:r>
        <w:t>)</w:t>
      </w:r>
      <w:r>
        <w:tab/>
        <w:t>проведение с 1999 года ежегодных кампаний по ликвидации листа ожидания на проведение операции по удалению катаракты;</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d</w:t>
      </w:r>
      <w:r>
        <w:t>)</w:t>
      </w:r>
      <w:r>
        <w:tab/>
        <w:t>проведение с 1999 года ежегодных кампаний по ликвидации листа ожидания на проведение операции простаты;</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e</w:t>
      </w:r>
      <w:r>
        <w:t>)</w:t>
      </w:r>
      <w:r>
        <w:tab/>
        <w:t>проведение с 1999 года ежегодных кампаний по ликвидации листа ожидания на проведение операции по поводу лечения грыжи;</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f</w:t>
      </w:r>
      <w:r>
        <w:t>)</w:t>
      </w:r>
      <w:r>
        <w:tab/>
        <w:t xml:space="preserve">подготовка видеофильма под названием </w:t>
      </w:r>
      <w:r>
        <w:rPr>
          <w:i/>
          <w:iCs/>
        </w:rPr>
        <w:t>"Velhice não é doença</w:t>
      </w:r>
      <w:r>
        <w:t>" ("Старость </w:t>
      </w:r>
      <w:r>
        <w:sym w:font="Symbol" w:char="F02D"/>
      </w:r>
      <w:r>
        <w:t xml:space="preserve"> это не болезнь"), распространяемого среди групп охраны здоровья семьи в качестве дискуссионных материалов для обсуждения среди работников здравоохранения на уровне общины.  Этот видеофильм был также показан в Бразилии по учебному телевизионному каналу и по каналу Canal Futura;</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g</w:t>
      </w:r>
      <w:r>
        <w:t>)</w:t>
      </w:r>
      <w:r>
        <w:tab/>
        <w:t xml:space="preserve">специальный выпуск издания под названием </w:t>
      </w:r>
      <w:r>
        <w:rPr>
          <w:i/>
          <w:iCs/>
        </w:rPr>
        <w:t xml:space="preserve">"Em tempo de…", </w:t>
      </w:r>
      <w:r>
        <w:t>предназначенного для работников здравоохранения на уровне общины и посвященного главным образом мероприятиям по формированию системы медико-санитарного обслуживания;</w:t>
      </w:r>
    </w:p>
    <w:p w:rsidR="00000000" w:rsidRDefault="00000000">
      <w:pPr>
        <w:pStyle w:val="FootnoteText"/>
        <w:tabs>
          <w:tab w:val="clear" w:pos="567"/>
          <w:tab w:val="clear" w:pos="1134"/>
          <w:tab w:val="left" w:pos="0"/>
          <w:tab w:val="left" w:pos="561"/>
          <w:tab w:val="left" w:pos="1122"/>
        </w:tabs>
        <w:spacing w:line="288" w:lineRule="auto"/>
      </w:pPr>
    </w:p>
    <w:p w:rsidR="00000000" w:rsidRDefault="00000000">
      <w:pPr>
        <w:pStyle w:val="FootnoteText"/>
        <w:tabs>
          <w:tab w:val="clear" w:pos="567"/>
          <w:tab w:val="clear" w:pos="1134"/>
          <w:tab w:val="left" w:pos="0"/>
          <w:tab w:val="left" w:pos="561"/>
          <w:tab w:val="left" w:pos="1122"/>
        </w:tabs>
        <w:spacing w:line="288" w:lineRule="auto"/>
      </w:pPr>
      <w:r>
        <w:tab/>
      </w:r>
      <w:r>
        <w:rPr>
          <w:lang w:val="en-US"/>
        </w:rPr>
        <w:t>h</w:t>
      </w:r>
      <w:r>
        <w:t>)</w:t>
      </w:r>
      <w:r>
        <w:tab/>
        <w:t>специальный выпуск издания, предназначенного для групп охраны здоровья семьи и посвященного охране здоровья престарелых;</w:t>
      </w:r>
    </w:p>
    <w:p w:rsidR="00000000" w:rsidRDefault="00000000"/>
    <w:p w:rsidR="00000000" w:rsidRDefault="00000000">
      <w:r>
        <w:tab/>
        <w:t xml:space="preserve">i) </w:t>
      </w:r>
      <w:r>
        <w:tab/>
        <w:t xml:space="preserve">подготовка видеофильма в рамках программы </w:t>
      </w:r>
      <w:r>
        <w:rPr>
          <w:i/>
          <w:iCs/>
        </w:rPr>
        <w:t>Viva Legal</w:t>
      </w:r>
      <w:r>
        <w:t xml:space="preserve"> с информацией о медико-санитарной помощи престарелым, предназначенного для престарелых, их семей и общин, который был показан по телевидению по каналу "Future";</w:t>
      </w:r>
    </w:p>
    <w:p w:rsidR="00000000" w:rsidRDefault="00000000"/>
    <w:p w:rsidR="00000000" w:rsidRDefault="00000000">
      <w:r>
        <w:tab/>
        <w:t xml:space="preserve">j) </w:t>
      </w:r>
      <w:r>
        <w:tab/>
        <w:t xml:space="preserve">подготовка трехминутного видеофильма в рамках серии </w:t>
      </w:r>
      <w:r>
        <w:rPr>
          <w:i/>
          <w:iCs/>
        </w:rPr>
        <w:t>"Pergunte ao Doutor"</w:t>
      </w:r>
      <w:r>
        <w:t xml:space="preserve"> ("Спросите врача"), посвященного вопросам питания, физической нагрузки и старения, который был показан по учебным телевизионным каналам по всей Бразилии;</w:t>
      </w:r>
    </w:p>
    <w:p w:rsidR="00000000" w:rsidRDefault="00000000"/>
    <w:p w:rsidR="00000000" w:rsidRDefault="00000000">
      <w:r>
        <w:tab/>
        <w:t xml:space="preserve">k) </w:t>
      </w:r>
      <w:r>
        <w:tab/>
        <w:t xml:space="preserve">подготовка трехминутного видеофильма в рамках серии </w:t>
      </w:r>
      <w:r>
        <w:rPr>
          <w:i/>
          <w:iCs/>
        </w:rPr>
        <w:t>"Pergunte ao Doutor"</w:t>
      </w:r>
      <w:r>
        <w:t xml:space="preserve"> ("Спросите врача"), посвященного сохранению и улучшению познавательной способности и памяти, который был показан по общенациональным учебным телевизионным каналам;</w:t>
      </w:r>
    </w:p>
    <w:p w:rsidR="00000000" w:rsidRDefault="00000000"/>
    <w:p w:rsidR="00000000" w:rsidRDefault="00000000">
      <w:r>
        <w:tab/>
        <w:t xml:space="preserve">l) </w:t>
      </w:r>
      <w:r>
        <w:tab/>
        <w:t xml:space="preserve">подготовка в общей сложности 8 450 000 брошюр под названием </w:t>
      </w:r>
      <w:r>
        <w:rPr>
          <w:i/>
          <w:iCs/>
        </w:rPr>
        <w:t xml:space="preserve">"Viva </w:t>
      </w:r>
      <w:r>
        <w:rPr>
          <w:i/>
          <w:iCs/>
          <w:lang w:val="en-US"/>
        </w:rPr>
        <w:t>m</w:t>
      </w:r>
      <w:r>
        <w:rPr>
          <w:i/>
          <w:iCs/>
        </w:rPr>
        <w:t>ais e melhor"</w:t>
      </w:r>
      <w:r>
        <w:t xml:space="preserve"> ("Жить дольше и лучше"), распространенных среди престарелых, прошедших вакцинацию;</w:t>
      </w:r>
    </w:p>
    <w:p w:rsidR="00000000" w:rsidRDefault="00000000"/>
    <w:p w:rsidR="00000000" w:rsidRDefault="00000000">
      <w:r>
        <w:tab/>
        <w:t>m)</w:t>
      </w:r>
      <w:r>
        <w:tab/>
        <w:t xml:space="preserve">использование адресованного престарелым видеофильма, пропагандирующего необходимость вакцинации, в котором подчеркивается необходимость ведения активного образа жизни.  </w:t>
      </w:r>
    </w:p>
    <w:p w:rsidR="00000000" w:rsidRDefault="00000000"/>
    <w:p w:rsidR="00000000" w:rsidRDefault="00000000">
      <w:r>
        <w:t>639.</w:t>
      </w:r>
      <w:r>
        <w:tab/>
        <w:t>Ниже перечисляются меры, принятые бразильским правительством в целях улучшения состояния окружающей среды.</w:t>
      </w:r>
    </w:p>
    <w:p w:rsidR="00000000" w:rsidRDefault="00000000"/>
    <w:p w:rsidR="00000000" w:rsidRDefault="00000000">
      <w:r>
        <w:t>640.</w:t>
      </w:r>
      <w:r>
        <w:tab/>
        <w:t>Надзор и контроль.  Для деятельности в области охраны окружающей среды в стране характерен традиционный подход применения санкций и контроля.  Вместе с тем достигнутые результаты оставляют желать лучшего, поскольку учреждения по надзору плохо оснащены и не имеют достаточных людских ресурсов для предотвращения или смягчения негативных последствий антропогенной деятельности для окружающей среды.  В рамках наблюдения и контроля за портами, аэропортами, национальными границами, таможенными пунктами и терминалами проводятся такие мероприятия, как контроль за ликвидацией твердых и жидких отходов и удалением мусора, кондиционированием воздуха и снижением опасности со стороны токсичных и опасных веществ.  Меры по охране окружающей среды стали приниматься частным сектором в рамках подхода к охране окружающей среды, к которому их подталкивает конкуренция в международной торговле.</w:t>
      </w:r>
    </w:p>
    <w:p w:rsidR="00000000" w:rsidRDefault="00000000"/>
    <w:p w:rsidR="00000000" w:rsidRDefault="00000000">
      <w:r>
        <w:t>641.</w:t>
      </w:r>
      <w:r>
        <w:tab/>
        <w:t>Ниже излагаются ключевые меры, принятые в этой области:</w:t>
      </w:r>
    </w:p>
    <w:p w:rsidR="00000000" w:rsidRDefault="00000000"/>
    <w:p w:rsidR="00000000" w:rsidRDefault="00000000">
      <w:r>
        <w:tab/>
        <w:t>а)</w:t>
      </w:r>
      <w:r>
        <w:tab/>
        <w:t>в Законе об экологических преступлениях, введенном в действие Указом № 3179 от 21 сентября 1999 года, оговариваются административные санкции, в том числе штраф в размере до 50 млн. реалов и запрет на загрязнение, а также тюремное заключение за более тяжкие преступления.  Предполагается, что взимание крупных штрафов вполне может уменьшить объем деятельности, наносящей ущерб окружающей среде;</w:t>
      </w:r>
    </w:p>
    <w:p w:rsidR="00000000" w:rsidRDefault="00000000"/>
    <w:p w:rsidR="00000000" w:rsidRDefault="00000000">
      <w:r>
        <w:tab/>
        <w:t xml:space="preserve">b) </w:t>
      </w:r>
      <w:r>
        <w:tab/>
        <w:t>в проекте закона № 255/98 (еще не утвержденном), в котором предусматривается создание общенациональной системы, упорядоченного использования водных ресурсов, в том числе системы взимания платы за пользование водой, даются рекомендации и излагаются основания для разработки генеральных планов использования водных ресурсов для различных речных бассейнов под руководством консорциумов по делам водных ресурсов с участием представителей различных муниципалитетов и штатов;</w:t>
      </w:r>
    </w:p>
    <w:p w:rsidR="00000000" w:rsidRDefault="00000000"/>
    <w:p w:rsidR="00000000" w:rsidRDefault="00000000">
      <w:r>
        <w:tab/>
        <w:t>с)</w:t>
      </w:r>
      <w:r>
        <w:tab/>
        <w:t>укрепление бразильской системы национальных медицинских лабораторий через посредство Проекта ВИЖИСУС министерства здравоохранения в целях содействия проведению мероприятий по эпидемиологическому контролю, а также наблюдению за санитарно-гигиенической обстановкой.  Национальное агентство по наблюдению за санитарно-гигиенической обстановкой осуществляет лабораторный контроль импортируемых продуктов в целях предотвращения санитарной опасности непригодных для потребления продуктов и гарантирует качество продуктов и услуг для населения.  Проектом ВИЖИСУС также предусматривается разработка методологии экологического контроля с упором на привлечение к этой деятельности общин, проживающих в неблагоприятных с экологической точки зрения районах.</w:t>
      </w:r>
    </w:p>
    <w:p w:rsidR="00000000" w:rsidRDefault="00000000"/>
    <w:p w:rsidR="00000000" w:rsidRDefault="00000000">
      <w:r>
        <w:t>642.</w:t>
      </w:r>
      <w:r>
        <w:tab/>
        <w:t xml:space="preserve">Что касается деятельности на региональном уровне, а также в масштабах Южной Америки и Южного полушария, то следует подчеркнуть, что в рамках МЕРКОСУР Бразилия подписала Дополнительный протокол к Асунсьонскому договору об окружающей среде, в котором предусматривается согласование законов в области охраны окружающей среды, активизация регионального сотрудничества, обмен информацией и содействие проведению политики, направленной на предотвращение деградации окружающей среды, а также согласование стандартов в области лицензирования и оценки воздействия на окружающую среду.  В рамках Рабочей подгруппы 11 по вопросам здравоохранения обсуждаются такие вопросы, как санитарный контроль в отношении транспортных средств, импорта и экспорта продукции с соответствующей оценкой рисков для здоровья населения, а также в отношении лиц и учреждений, предоставляющих услуги и товары;  создание систем информации между государствами-участниками и согласование процедур надзора;  а также введение норм по обеспечению санитарных условий при удалении твердых отходов, мусора и сточных вод в портах, аэропортах и на пограничных пунктах в целях выполнения Базельской конвенции о контроле за трансграничной перевозкой опасных отходов и их удалением. </w:t>
      </w:r>
    </w:p>
    <w:p w:rsidR="00000000" w:rsidRDefault="00000000"/>
    <w:p w:rsidR="00000000" w:rsidRDefault="00000000">
      <w:r>
        <w:t>643.</w:t>
      </w:r>
      <w:r>
        <w:tab/>
        <w:t>В этой связи бразильское правительство хотело бы упомянуть о мерах по улучшению санитарно-гигиенической обстановки в общинах, где были обнаружены болезни, вызванные неадекватными санитарно-гигиеническими условиями или полным отсутствием таковых.</w:t>
      </w:r>
    </w:p>
    <w:p w:rsidR="00000000" w:rsidRDefault="00000000"/>
    <w:p w:rsidR="00000000" w:rsidRDefault="00000000">
      <w:r>
        <w:t>644.</w:t>
      </w:r>
      <w:r>
        <w:tab/>
        <w:t xml:space="preserve">Действующий в рамках министерства здравоохранения Национальный фонд здравоохранения обеспечивает техническую и/или финансовую поддержку санитарно-гигиенических мероприятий в муниципальных округах с учетом эпидемиологических и экологических критериев.  Их цель состоит в содействии налаживанию медико-санитарной помощи, профилактике заболеваний и борьбе с ними и, в частности, сокращению младенческой смертности.  Работая в тесном сотрудничестве с правительственными учреждениями и организациями, Фонд предоставляет консультативные услуги и оказывает техническую и/или финансовую поддержку осуществлению мероприятий в области создания надлежащих санитарно-гигиенических условий.  </w:t>
      </w:r>
    </w:p>
    <w:p w:rsidR="00000000" w:rsidRDefault="00000000"/>
    <w:p w:rsidR="00000000" w:rsidRDefault="00000000">
      <w:r>
        <w:t>645.</w:t>
      </w:r>
      <w:r>
        <w:tab/>
        <w:t>В 1995-1999 годах Национальный фонд здравоохранения (ФУНАСА) выделил 890 640 000 реалов на нужды улучшения санитарно-гигиенической обстановки в Бразилии, благодаря чему мероприятиями по этой линии удалось охватить 11 430 000 жителей 3 500 муниципальных округов, численность населения 80% из которых составляет менее 30 000 человек.  В общей сложности было осуществлено 7 523 проекта.</w:t>
      </w:r>
    </w:p>
    <w:p w:rsidR="00000000" w:rsidRDefault="00000000"/>
    <w:p w:rsidR="00000000" w:rsidRDefault="00000000">
      <w:r>
        <w:t>646.</w:t>
      </w:r>
      <w:r>
        <w:tab/>
        <w:t>Ниже приводится ряд примеров благоприятного воздействия деятельности по улучшению санитарно-гигиенической обстановки на уровень здоровья населения:</w:t>
      </w:r>
    </w:p>
    <w:p w:rsidR="00000000" w:rsidRDefault="00000000"/>
    <w:p w:rsidR="00000000" w:rsidRDefault="00000000">
      <w:r>
        <w:tab/>
        <w:t>а)</w:t>
      </w:r>
      <w:r>
        <w:tab/>
        <w:t>организация стабильного снабжения людей безопасной питьевой водой гарантирует снижение случаев заболевания диареей, холерой, лихорадкой денге, желтой лихорадкой, трахомой, гепатитом, конъюнктивитом, полиомиелитом, чесоткой, лептоспирозом, тифом, шистосомозом и другими болезнями, вызываемыми гельминтами, и позволяет вести борьбу с этими заболеваниями;</w:t>
      </w:r>
    </w:p>
    <w:p w:rsidR="00000000" w:rsidRDefault="00000000"/>
    <w:p w:rsidR="00000000" w:rsidRDefault="00000000">
      <w:r>
        <w:tab/>
        <w:t>b)</w:t>
      </w:r>
      <w:r>
        <w:tab/>
        <w:t>регулярный сбор, переработка и удаление мусора сокращает число заболеваний чумой, желтой лихорадкой, лихорадкой денге, токсоплазмозом, лейшманиозом, цистицеркозом, сальмонеллезом, тениозом, лептоспирозом, холерой и тифом;</w:t>
      </w:r>
    </w:p>
    <w:p w:rsidR="00000000" w:rsidRDefault="00000000"/>
    <w:p w:rsidR="00000000" w:rsidRDefault="00000000">
      <w:r>
        <w:tab/>
        <w:t>с)</w:t>
      </w:r>
      <w:r>
        <w:tab/>
        <w:t xml:space="preserve">дренаж помогает уничтожать, сокращать или изменять места размножения переносчиков малярии, что снижает уровень заболеваемости этой болезнью и ее распространенность;  </w:t>
      </w:r>
    </w:p>
    <w:p w:rsidR="00000000" w:rsidRDefault="00000000"/>
    <w:p w:rsidR="00000000" w:rsidRDefault="00000000">
      <w:r>
        <w:tab/>
        <w:t>d)</w:t>
      </w:r>
      <w:r>
        <w:tab/>
        <w:t>санитарное обустройство содействует сокращению или ликвидации шистосомоза, других болезней, вызываемых гельминтами, диареи, холеры, тифа, цистицеркоза, тениоза и гепатита;</w:t>
      </w:r>
    </w:p>
    <w:p w:rsidR="00000000" w:rsidRDefault="00000000"/>
    <w:p w:rsidR="00000000" w:rsidRDefault="00000000">
      <w:r>
        <w:tab/>
        <w:t>е)</w:t>
      </w:r>
      <w:r>
        <w:tab/>
        <w:t>санитарное обустройство домашних хозяйств приводит к сокращению числа случаев заболевания шистосомозом, другими болезнями, вызываемыми гельминтами, чесоткой, трахомой, конъюнктивитом, холерой, диареей, тифом и гепатитом;</w:t>
      </w:r>
    </w:p>
    <w:p w:rsidR="00000000" w:rsidRDefault="00000000"/>
    <w:p w:rsidR="00000000" w:rsidRDefault="00000000">
      <w:r>
        <w:tab/>
        <w:t>f)</w:t>
      </w:r>
      <w:r>
        <w:tab/>
        <w:t>в домах улучшенного типа отсутствуют щели и проломы, создающие условия для развития колоний возбудителей болезни Шагаса.</w:t>
      </w:r>
    </w:p>
    <w:p w:rsidR="00000000" w:rsidRDefault="00000000"/>
    <w:p w:rsidR="00000000" w:rsidRDefault="00000000">
      <w:r>
        <w:t>647.</w:t>
      </w:r>
      <w:r>
        <w:tab/>
        <w:t>Как указывалось выше, меры по борьбе с малярией регулируются Планом активизации мер по борьбе с малярией в Амазонии (</w:t>
      </w:r>
      <w:r>
        <w:rPr>
          <w:i/>
          <w:iCs/>
          <w:lang w:val="en-US"/>
        </w:rPr>
        <w:t>Plano</w:t>
      </w:r>
      <w:r>
        <w:rPr>
          <w:i/>
          <w:iCs/>
        </w:rPr>
        <w:t xml:space="preserve"> </w:t>
      </w:r>
      <w:r>
        <w:rPr>
          <w:i/>
          <w:iCs/>
          <w:lang w:val="en-US"/>
        </w:rPr>
        <w:t>de</w:t>
      </w:r>
      <w:r>
        <w:rPr>
          <w:i/>
          <w:iCs/>
        </w:rPr>
        <w:t xml:space="preserve"> </w:t>
      </w:r>
      <w:r>
        <w:rPr>
          <w:i/>
          <w:iCs/>
          <w:lang w:val="en-US"/>
        </w:rPr>
        <w:t>Internsifica</w:t>
      </w:r>
      <w:r>
        <w:rPr>
          <w:i/>
          <w:iCs/>
        </w:rPr>
        <w:t>çã</w:t>
      </w:r>
      <w:r>
        <w:rPr>
          <w:i/>
          <w:iCs/>
          <w:lang w:val="en-US"/>
        </w:rPr>
        <w:t>o</w:t>
      </w:r>
      <w:r>
        <w:rPr>
          <w:i/>
          <w:iCs/>
        </w:rPr>
        <w:t xml:space="preserve"> </w:t>
      </w:r>
      <w:r>
        <w:rPr>
          <w:i/>
          <w:iCs/>
          <w:lang w:val="en-US"/>
        </w:rPr>
        <w:t>das</w:t>
      </w:r>
      <w:r>
        <w:rPr>
          <w:i/>
          <w:iCs/>
        </w:rPr>
        <w:t xml:space="preserve"> </w:t>
      </w:r>
      <w:r>
        <w:rPr>
          <w:i/>
          <w:iCs/>
          <w:lang w:val="en-US"/>
        </w:rPr>
        <w:t>A</w:t>
      </w:r>
      <w:r>
        <w:rPr>
          <w:i/>
          <w:iCs/>
        </w:rPr>
        <w:t>çõ</w:t>
      </w:r>
      <w:r>
        <w:rPr>
          <w:i/>
          <w:iCs/>
          <w:lang w:val="en-US"/>
        </w:rPr>
        <w:t>es</w:t>
      </w:r>
      <w:r>
        <w:rPr>
          <w:i/>
          <w:iCs/>
        </w:rPr>
        <w:t xml:space="preserve"> </w:t>
      </w:r>
      <w:r>
        <w:rPr>
          <w:i/>
          <w:iCs/>
          <w:lang w:val="en-US"/>
        </w:rPr>
        <w:t>de</w:t>
      </w:r>
      <w:r>
        <w:rPr>
          <w:i/>
          <w:iCs/>
        </w:rPr>
        <w:t xml:space="preserve"> </w:t>
      </w:r>
      <w:r>
        <w:rPr>
          <w:i/>
          <w:iCs/>
          <w:lang w:val="en-US"/>
        </w:rPr>
        <w:t>Controle</w:t>
      </w:r>
      <w:r>
        <w:rPr>
          <w:i/>
          <w:iCs/>
        </w:rPr>
        <w:t xml:space="preserve"> </w:t>
      </w:r>
      <w:r>
        <w:rPr>
          <w:i/>
          <w:iCs/>
          <w:lang w:val="en-US"/>
        </w:rPr>
        <w:t>da</w:t>
      </w:r>
      <w:r>
        <w:rPr>
          <w:i/>
          <w:iCs/>
        </w:rPr>
        <w:t xml:space="preserve"> </w:t>
      </w:r>
      <w:r>
        <w:rPr>
          <w:i/>
          <w:iCs/>
          <w:lang w:val="en-US"/>
        </w:rPr>
        <w:t>Malaria</w:t>
      </w:r>
      <w:r>
        <w:rPr>
          <w:i/>
          <w:iCs/>
        </w:rPr>
        <w:t xml:space="preserve"> </w:t>
      </w:r>
      <w:r>
        <w:rPr>
          <w:i/>
          <w:iCs/>
          <w:lang w:val="en-US"/>
        </w:rPr>
        <w:t>na</w:t>
      </w:r>
      <w:r>
        <w:rPr>
          <w:i/>
          <w:iCs/>
        </w:rPr>
        <w:t xml:space="preserve"> </w:t>
      </w:r>
      <w:r>
        <w:rPr>
          <w:i/>
          <w:iCs/>
          <w:lang w:val="en-US"/>
        </w:rPr>
        <w:t>Amaz</w:t>
      </w:r>
      <w:r>
        <w:rPr>
          <w:i/>
          <w:iCs/>
        </w:rPr>
        <w:t>ô</w:t>
      </w:r>
      <w:r>
        <w:rPr>
          <w:i/>
          <w:iCs/>
          <w:lang w:val="en-US"/>
        </w:rPr>
        <w:t>nia</w:t>
      </w:r>
      <w:r>
        <w:rPr>
          <w:i/>
          <w:iCs/>
        </w:rPr>
        <w:t xml:space="preserve"> </w:t>
      </w:r>
      <w:r>
        <w:rPr>
          <w:i/>
          <w:iCs/>
          <w:lang w:val="en-US"/>
        </w:rPr>
        <w:t>Legal</w:t>
      </w:r>
      <w:r>
        <w:t>).  Его цель состоит в распространении мер по борьбе с малярией на весь район Амазонии, сокращении заболеваемости и смертности до уровней, позволяющих осуществлять устойчивый контроль, а также в предупреждении локальных эпидемий, снижении их интенсивности и в последующем сокращении числа госпитализаций и смертельных случаев.  Этот план начал осуществляться в 254 муниципальных округах Амазонии в целях налаживания работы местных систем медико-санитарной помощи при участии всех трех уровней управления, создания возможностей для координации и осуществления ими мероприятий, предусмотренных Программой борьбы с малярией, что способствует укреплению процесса децентрализации и придает ему устойчивый характер.</w:t>
      </w:r>
    </w:p>
    <w:p w:rsidR="00000000" w:rsidRDefault="00000000"/>
    <w:p w:rsidR="00000000" w:rsidRDefault="00000000">
      <w:r>
        <w:t>648.</w:t>
      </w:r>
      <w:r>
        <w:tab/>
        <w:t>Включение этих мероприятий в Программу охраны здоровья семьи и Программу работников здравоохранения на уровне общин также, как ожидается, будет способствовать налаживанию работы по оказанию основных услуг в области здравоохранения муниципальными округами района Амазонии, где малярия является наиболее распространенной болезнью.  В силу ее большой распространенности малярия превратилась в серьезную проблему в районах проживания коренного населения Амазонии, где подавляющее большинство населения проживает в муниципальных округах, считающихся зонами высокого риска.  В результате в Плане предусматривается проведение соответствующих мер в тесном контакте с местными санитарными округами (</w:t>
      </w:r>
      <w:r>
        <w:rPr>
          <w:i/>
          <w:iCs/>
          <w:lang w:val="en-US"/>
        </w:rPr>
        <w:t>Distritos</w:t>
      </w:r>
      <w:r>
        <w:rPr>
          <w:i/>
          <w:iCs/>
        </w:rPr>
        <w:t xml:space="preserve"> </w:t>
      </w:r>
      <w:r>
        <w:rPr>
          <w:i/>
          <w:iCs/>
          <w:lang w:val="en-US"/>
        </w:rPr>
        <w:t>Sanit</w:t>
      </w:r>
      <w:r>
        <w:rPr>
          <w:i/>
          <w:iCs/>
        </w:rPr>
        <w:t>á</w:t>
      </w:r>
      <w:r>
        <w:rPr>
          <w:i/>
          <w:iCs/>
          <w:lang w:val="en-US"/>
        </w:rPr>
        <w:t>rios</w:t>
      </w:r>
      <w:r>
        <w:rPr>
          <w:i/>
          <w:iCs/>
        </w:rPr>
        <w:t xml:space="preserve"> </w:t>
      </w:r>
      <w:r>
        <w:rPr>
          <w:i/>
          <w:iCs/>
          <w:lang w:val="en-US"/>
        </w:rPr>
        <w:t>Indigenas</w:t>
      </w:r>
      <w:r>
        <w:t xml:space="preserve">), что обеспечивает более эффективную координацию деятельности на местах и более непосредственную отдачу в том, что касается борьбы с этой эндемичной болезнью.  Этот План осуществляется также в тесном взаимодействии с Управлением по материально-техническому обеспечению деятельности в области здравоохранения (ДЕНСП - </w:t>
      </w:r>
      <w:r>
        <w:rPr>
          <w:i/>
          <w:iCs/>
          <w:lang w:val="en-US"/>
        </w:rPr>
        <w:t>Departamento</w:t>
      </w:r>
      <w:r>
        <w:rPr>
          <w:i/>
          <w:iCs/>
        </w:rPr>
        <w:t xml:space="preserve"> </w:t>
      </w:r>
      <w:r>
        <w:rPr>
          <w:i/>
          <w:iCs/>
          <w:lang w:val="en-US"/>
        </w:rPr>
        <w:t>de</w:t>
      </w:r>
      <w:r>
        <w:rPr>
          <w:i/>
          <w:iCs/>
        </w:rPr>
        <w:t xml:space="preserve"> </w:t>
      </w:r>
      <w:r>
        <w:rPr>
          <w:i/>
          <w:iCs/>
          <w:lang w:val="en-US"/>
        </w:rPr>
        <w:t>Engenharia</w:t>
      </w:r>
      <w:r>
        <w:rPr>
          <w:i/>
          <w:iCs/>
        </w:rPr>
        <w:t xml:space="preserve"> </w:t>
      </w:r>
      <w:r>
        <w:rPr>
          <w:i/>
          <w:iCs/>
          <w:lang w:val="en-US"/>
        </w:rPr>
        <w:t>de</w:t>
      </w:r>
      <w:r>
        <w:rPr>
          <w:i/>
          <w:iCs/>
        </w:rPr>
        <w:t xml:space="preserve"> </w:t>
      </w:r>
      <w:r>
        <w:rPr>
          <w:i/>
          <w:iCs/>
          <w:lang w:val="en-US"/>
        </w:rPr>
        <w:t>Sa</w:t>
      </w:r>
      <w:r>
        <w:rPr>
          <w:i/>
          <w:iCs/>
        </w:rPr>
        <w:t>ú</w:t>
      </w:r>
      <w:r>
        <w:rPr>
          <w:i/>
          <w:iCs/>
          <w:lang w:val="en-US"/>
        </w:rPr>
        <w:t>de</w:t>
      </w:r>
      <w:r>
        <w:rPr>
          <w:i/>
          <w:iCs/>
        </w:rPr>
        <w:t xml:space="preserve"> </w:t>
      </w:r>
      <w:r>
        <w:rPr>
          <w:i/>
          <w:iCs/>
          <w:lang w:val="en-US"/>
        </w:rPr>
        <w:t>P</w:t>
      </w:r>
      <w:r>
        <w:rPr>
          <w:i/>
          <w:iCs/>
        </w:rPr>
        <w:t>ú</w:t>
      </w:r>
      <w:r>
        <w:rPr>
          <w:i/>
          <w:iCs/>
          <w:lang w:val="en-US"/>
        </w:rPr>
        <w:t>blica</w:t>
      </w:r>
      <w:r>
        <w:t xml:space="preserve">) ФУНАСА, поскольку это подразделение имеет налаженную связь с другими секторами, работающими в этой области, и располагает техническими средствами для поддержки штатов и муниципальных округов с использованием эпидемиологических критериев при отборе соответствующих районов и подлежащих применению мер.  </w:t>
      </w:r>
    </w:p>
    <w:p w:rsidR="00000000" w:rsidRDefault="00000000"/>
    <w:p w:rsidR="00000000" w:rsidRDefault="00000000">
      <w:r>
        <w:t>649.</w:t>
      </w:r>
      <w:r>
        <w:tab/>
        <w:t xml:space="preserve">В Плане также предусматривается использование стратегии селективной борьбы с переносчиками болезней, предусматривающей проведение заранее намеченных мероприятий, включающих применение инсектицидов, осуществление проектов оздоровления окружающей среды и т.д.  </w:t>
      </w:r>
    </w:p>
    <w:p w:rsidR="00000000" w:rsidRDefault="00000000"/>
    <w:p w:rsidR="00000000" w:rsidRDefault="00000000">
      <w:r>
        <w:t>650.</w:t>
      </w:r>
      <w:r>
        <w:tab/>
        <w:t xml:space="preserve">Предполагается также осуществить меры по расширению сети диагностирования и лечения с целью неуклонного снижения времени между взятием анализа крови и диагностированием для надлежащего и оперативного лечения.  Кроме того, важной мерой, направленной на уменьшение числа госпитализаций и снижение уровня смертности, является сохранение и расширение программы подготовки врачей и младшего медицинского персонала для лечения больных с тяжелыми формами малярии.  </w:t>
      </w:r>
    </w:p>
    <w:p w:rsidR="00000000" w:rsidRDefault="00000000"/>
    <w:p w:rsidR="00000000" w:rsidRDefault="00000000">
      <w:r>
        <w:t>651.</w:t>
      </w:r>
      <w:r>
        <w:tab/>
        <w:t xml:space="preserve">Еще одним важным направлением работы является модернизация и расширение Системы информации о малярии (СИСМАЛ - </w:t>
      </w:r>
      <w:r>
        <w:rPr>
          <w:i/>
          <w:iCs/>
          <w:lang w:val="en-US"/>
        </w:rPr>
        <w:t>Sistema</w:t>
      </w:r>
      <w:r>
        <w:rPr>
          <w:i/>
          <w:iCs/>
        </w:rPr>
        <w:t xml:space="preserve"> </w:t>
      </w:r>
      <w:r>
        <w:rPr>
          <w:i/>
          <w:iCs/>
          <w:lang w:val="en-US"/>
        </w:rPr>
        <w:t>de</w:t>
      </w:r>
      <w:r>
        <w:rPr>
          <w:i/>
          <w:iCs/>
        </w:rPr>
        <w:t xml:space="preserve"> </w:t>
      </w:r>
      <w:r>
        <w:rPr>
          <w:i/>
          <w:iCs/>
          <w:lang w:val="en-US"/>
        </w:rPr>
        <w:t>Informa</w:t>
      </w:r>
      <w:r>
        <w:rPr>
          <w:i/>
          <w:iCs/>
        </w:rPr>
        <w:t>çã</w:t>
      </w:r>
      <w:r>
        <w:rPr>
          <w:i/>
          <w:iCs/>
          <w:lang w:val="en-US"/>
        </w:rPr>
        <w:t>o</w:t>
      </w:r>
      <w:r>
        <w:rPr>
          <w:i/>
          <w:iCs/>
        </w:rPr>
        <w:t xml:space="preserve"> </w:t>
      </w:r>
      <w:r>
        <w:rPr>
          <w:i/>
          <w:iCs/>
          <w:lang w:val="en-US"/>
        </w:rPr>
        <w:t>em</w:t>
      </w:r>
      <w:r>
        <w:rPr>
          <w:i/>
          <w:iCs/>
        </w:rPr>
        <w:t xml:space="preserve"> </w:t>
      </w:r>
      <w:r>
        <w:rPr>
          <w:i/>
          <w:iCs/>
          <w:lang w:val="en-US"/>
        </w:rPr>
        <w:t>Malaria</w:t>
      </w:r>
      <w:r>
        <w:t>).  Наличие надлежащей базы данных жизненно необходимо для успеха деятельности по борьбе с этим заболеванием.  Располагая оперативной и надежной информацией, лица, занимающиеся осуществлением Плана, смогут принимать решения, направленные на снижение заболеваемости этой эндемичной болезнью.  В настоящее время Система информации о малярии (СИСМАЛ) является важным инструментом, частично отвечающим управленческим и практическим потребностям Программы борьбы с малярией.  Реорганизация и модернизация данной системы позволят повысить ее эффективность при проведении соответствующих мероприятий.</w:t>
      </w:r>
    </w:p>
    <w:p w:rsidR="00000000" w:rsidRDefault="00000000"/>
    <w:p w:rsidR="00000000" w:rsidRDefault="00000000">
      <w:r>
        <w:t>652.</w:t>
      </w:r>
      <w:r>
        <w:tab/>
        <w:t xml:space="preserve">На основе инициатив, предпринятых в рамках Плана, предполагается ввести в действие систему наблюдения и мониторинга под названием "Географическая информационная система" (ГИС - </w:t>
      </w:r>
      <w:r>
        <w:rPr>
          <w:i/>
          <w:iCs/>
          <w:lang w:val="en-US"/>
        </w:rPr>
        <w:t>Sistema</w:t>
      </w:r>
      <w:r>
        <w:rPr>
          <w:i/>
          <w:iCs/>
        </w:rPr>
        <w:t xml:space="preserve"> </w:t>
      </w:r>
      <w:r>
        <w:rPr>
          <w:i/>
          <w:iCs/>
          <w:lang w:val="en-US"/>
        </w:rPr>
        <w:t>de</w:t>
      </w:r>
      <w:r>
        <w:rPr>
          <w:i/>
          <w:iCs/>
        </w:rPr>
        <w:t xml:space="preserve"> </w:t>
      </w:r>
      <w:r>
        <w:rPr>
          <w:i/>
          <w:iCs/>
          <w:lang w:val="en-US"/>
        </w:rPr>
        <w:t>Informa</w:t>
      </w:r>
      <w:r>
        <w:rPr>
          <w:i/>
          <w:iCs/>
        </w:rPr>
        <w:t xml:space="preserve">çãо </w:t>
      </w:r>
      <w:r>
        <w:rPr>
          <w:i/>
          <w:iCs/>
          <w:lang w:val="en-US"/>
        </w:rPr>
        <w:t>Geogr</w:t>
      </w:r>
      <w:r>
        <w:rPr>
          <w:i/>
          <w:iCs/>
        </w:rPr>
        <w:t>á</w:t>
      </w:r>
      <w:r>
        <w:rPr>
          <w:i/>
          <w:iCs/>
          <w:lang w:val="en-US"/>
        </w:rPr>
        <w:t>fica</w:t>
      </w:r>
      <w:r>
        <w:t xml:space="preserve">), что будет осуществлено в сотрудничестве с ПАОЗ, а также в партнерстве с другими учреждениями, поддерживающими практическую реализацию Комплексной программы борьбы с малярией.  Эта система предусматривает возможность электронного картирования, что будет способствовать разбивке информации на различные компоненты (эпидемиологические, экологические, оперативные, социальные и экономические), а также выявлению различных причин возникновения малярии.  Географическая информационная система, касающаяся малярии, позволит быстро и легко осуществлять наблюдение за факторами, способствующими возникновению малярии, особенно в районе Амазонки, обеспечивая также эффективный контроль за борьбой с этой болезнью.  Важно, чтобы эти системы смогли обеспечивать обратную связь для прогнозирования и мониторинга малярии и борьбы с ней на всех уровнях управления. </w:t>
      </w:r>
    </w:p>
    <w:p w:rsidR="00000000" w:rsidRDefault="00000000"/>
    <w:p w:rsidR="00000000" w:rsidRDefault="00000000">
      <w:r>
        <w:t>653.</w:t>
      </w:r>
      <w:r>
        <w:tab/>
        <w:t>К другим мерам по борьбе с инфекционными заболеваниями относятся:</w:t>
      </w:r>
    </w:p>
    <w:p w:rsidR="00000000" w:rsidRDefault="00000000"/>
    <w:p w:rsidR="00000000" w:rsidRDefault="00000000">
      <w:pPr>
        <w:tabs>
          <w:tab w:val="clear" w:pos="567"/>
          <w:tab w:val="left" w:pos="561"/>
        </w:tabs>
        <w:ind w:firstLine="567"/>
      </w:pPr>
      <w:r>
        <w:rPr>
          <w:lang w:val="en-US"/>
        </w:rPr>
        <w:t>a</w:t>
      </w:r>
      <w:r>
        <w:t>)</w:t>
      </w:r>
      <w:r>
        <w:tab/>
        <w:t>принятие Чрезвычайного плана искоренения кори в Бразилии к концу 2000 года;</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b</w:t>
      </w:r>
      <w:r>
        <w:t>)</w:t>
      </w:r>
      <w:r>
        <w:tab/>
        <w:t>закрепление успехов по ликвидации полиомиелита;</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c</w:t>
      </w:r>
      <w:r>
        <w:t>)</w:t>
      </w:r>
      <w:r>
        <w:tab/>
        <w:t>ликвидация столбняка новорожденных;</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d</w:t>
      </w:r>
      <w:r>
        <w:t>)</w:t>
      </w:r>
      <w:r>
        <w:tab/>
        <w:t>ликвидация случаев бешенства, передаваемого домашними животными;</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e</w:t>
      </w:r>
      <w:r>
        <w:t>)</w:t>
      </w:r>
      <w:r>
        <w:tab/>
        <w:t>модернизация программы эпидемиологического контроля за менингитом;</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f</w:t>
      </w:r>
      <w:r>
        <w:t>)</w:t>
      </w:r>
      <w:r>
        <w:tab/>
        <w:t>борьба с холерой;</w:t>
      </w:r>
    </w:p>
    <w:p w:rsidR="00000000" w:rsidRDefault="00000000">
      <w:pPr>
        <w:tabs>
          <w:tab w:val="clear" w:pos="567"/>
          <w:tab w:val="left" w:pos="561"/>
        </w:tabs>
        <w:ind w:left="1122" w:hanging="555"/>
      </w:pPr>
    </w:p>
    <w:p w:rsidR="00000000" w:rsidRDefault="00000000">
      <w:pPr>
        <w:tabs>
          <w:tab w:val="clear" w:pos="567"/>
          <w:tab w:val="left" w:pos="561"/>
        </w:tabs>
        <w:ind w:firstLine="567"/>
      </w:pPr>
      <w:r>
        <w:rPr>
          <w:lang w:val="en-US"/>
        </w:rPr>
        <w:t>g</w:t>
      </w:r>
      <w:r>
        <w:t>)</w:t>
      </w:r>
      <w:r>
        <w:tab/>
        <w:t>введение системы эпидемиологического контроля за болезнями, передаваемыми с продуктами питания;</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h</w:t>
      </w:r>
      <w:r>
        <w:t>)</w:t>
      </w:r>
      <w:r>
        <w:tab/>
        <w:t>применение вакцины против</w:t>
      </w:r>
      <w:r>
        <w:rPr>
          <w:i/>
          <w:iCs/>
        </w:rPr>
        <w:t xml:space="preserve"> </w:t>
      </w:r>
      <w:r>
        <w:rPr>
          <w:i/>
          <w:iCs/>
          <w:lang w:val="en-US"/>
        </w:rPr>
        <w:t>Haemophilus</w:t>
      </w:r>
      <w:r>
        <w:rPr>
          <w:i/>
          <w:iCs/>
        </w:rPr>
        <w:t xml:space="preserve"> </w:t>
      </w:r>
      <w:r>
        <w:rPr>
          <w:i/>
          <w:iCs/>
          <w:lang w:val="en-US"/>
        </w:rPr>
        <w:t>influenzae</w:t>
      </w:r>
      <w:r>
        <w:t xml:space="preserve"> типа В;</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i</w:t>
      </w:r>
      <w:r>
        <w:t>)</w:t>
      </w:r>
      <w:r>
        <w:tab/>
        <w:t>применение противогриппозной вакцины;</w:t>
      </w:r>
    </w:p>
    <w:p w:rsidR="00000000" w:rsidRDefault="00000000">
      <w:pPr>
        <w:tabs>
          <w:tab w:val="clear" w:pos="567"/>
          <w:tab w:val="left" w:pos="561"/>
        </w:tabs>
        <w:ind w:left="1122" w:hanging="555"/>
      </w:pPr>
    </w:p>
    <w:p w:rsidR="00000000" w:rsidRDefault="00000000">
      <w:pPr>
        <w:tabs>
          <w:tab w:val="clear" w:pos="567"/>
          <w:tab w:val="left" w:pos="561"/>
        </w:tabs>
        <w:ind w:left="1122" w:hanging="555"/>
      </w:pPr>
      <w:r>
        <w:rPr>
          <w:lang w:val="en-US"/>
        </w:rPr>
        <w:t>j</w:t>
      </w:r>
      <w:r>
        <w:t>)</w:t>
      </w:r>
      <w:r>
        <w:tab/>
        <w:t>равный охват вакцинацией всех муниципальных округов.</w:t>
      </w:r>
    </w:p>
    <w:p w:rsidR="00000000" w:rsidRDefault="00000000">
      <w:pPr>
        <w:tabs>
          <w:tab w:val="clear" w:pos="567"/>
          <w:tab w:val="left" w:pos="561"/>
        </w:tabs>
        <w:ind w:left="1122" w:hanging="555"/>
      </w:pPr>
    </w:p>
    <w:p w:rsidR="00000000" w:rsidRDefault="00000000">
      <w:pPr>
        <w:pStyle w:val="Heading1"/>
        <w:rPr>
          <w:bCs/>
        </w:rPr>
      </w:pPr>
      <w:r>
        <w:rPr>
          <w:bCs/>
        </w:rPr>
        <w:t>Заболеваемость корью и мероприятия по борьбе с этой болезнью в Бразилии</w:t>
      </w:r>
    </w:p>
    <w:p w:rsidR="00000000" w:rsidRDefault="00000000">
      <w:pPr>
        <w:jc w:val="center"/>
        <w:rPr>
          <w:u w:val="single"/>
        </w:rPr>
      </w:pPr>
    </w:p>
    <w:p w:rsidR="00000000" w:rsidRDefault="00000000">
      <w:r>
        <w:t>654.</w:t>
      </w:r>
      <w:r>
        <w:tab/>
        <w:t xml:space="preserve">До начала 90-х годов корь была эндемичной болезнью в Бразилии, причем эпидемии этой болезни возникали каждые два или три года.  Было отмечено, что среди инфекционных заболеваний, с которыми можно бороться путем вакцинации, корь вызывает наибольшее число смертельных случаев в силу осложнений, особенно среди малолетних детей, не получающих надлежащего питания.  </w:t>
      </w:r>
    </w:p>
    <w:p w:rsidR="00000000" w:rsidRDefault="00000000"/>
    <w:p w:rsidR="00000000" w:rsidRDefault="00000000">
      <w:r>
        <w:t>655.</w:t>
      </w:r>
      <w:r>
        <w:tab/>
        <w:t>В 1992 году эта эпидемиологическая ситуация привела к принятию бразильским правительством Национального плана ликвидации и контроля за распространением кори (</w:t>
      </w:r>
      <w:r>
        <w:rPr>
          <w:i/>
          <w:iCs/>
        </w:rPr>
        <w:t>Plano National de Controle e Eliminaçāo do Sarampo</w:t>
      </w:r>
      <w:r>
        <w:t>)</w:t>
      </w:r>
      <w:r>
        <w:rPr>
          <w:i/>
          <w:iCs/>
        </w:rPr>
        <w:t xml:space="preserve">.  </w:t>
      </w:r>
      <w:r>
        <w:t>Начало осуществлению этого плана было положено национальной кампанией по вакцинации, проведенной с 22 апреля по 25 мая 1992 года, в ходе которой вакцинацию прошли 48 млн. детей и подростков в возрасте от 9 месяцев до 15 лет (96% этой возрастной группы).  Эта кампания по вакцинации дала немедленные результаты, выразившиеся в сокращении на 81% числа случаев заболевания корью:  с 42 435 случаев в 1991 году до 7 934 случаев в 1992 году.</w:t>
      </w:r>
    </w:p>
    <w:p w:rsidR="00000000" w:rsidRDefault="00000000"/>
    <w:p w:rsidR="00000000" w:rsidRDefault="00000000">
      <w:r>
        <w:t>656.</w:t>
      </w:r>
      <w:r>
        <w:tab/>
        <w:t>Несмотря на все эти усилия и неуклонное уменьшение числа случаев заболевания до 1996 года включительно, в 1997 году наблюдалось значительная вспышка кори, которая охватила почти всю страну (свыше 53 000 подтвержденных случаев, главным образом в столице штата Сан-Паулу).  В наибольшей степени это затронуло детей в возрасте до одного года, и особенно грудных младенцев в возрасте до девяти месяцев, на долю которых пришлось 70% всех случаев этого заболевания.  Второй группой заболевших были молодые люди в возрасте от 20 до 29 лет.  Это повторное распространение кори показало, что данная болезнь по</w:t>
      </w:r>
      <w:r>
        <w:noBreakHyphen/>
        <w:t>прежнему сохраняет свою актуальность для здравоохранения Бразилии и требует принятия более энергичных действий по Плану искоренения кори.</w:t>
      </w:r>
    </w:p>
    <w:p w:rsidR="00000000" w:rsidRDefault="00000000"/>
    <w:p w:rsidR="00000000" w:rsidRDefault="00000000">
      <w:r>
        <w:t>657.</w:t>
      </w:r>
      <w:r>
        <w:tab/>
        <w:t>Важно подчеркнуть, что в отличие от оспы или полиомиелита, корь по своим эпидемиологическим характеристикам может быть ликвидирована:  ею болеют только люди;  против нее имеется эффективная вакцина;  отсутствуют бессимптомные случаи;  после вакцинации или болезни создается долгодействующий иммунитет.  В то же время опыт показал, что корь вряд ли можно "держать под контролем", избегая при этом циклических вспышек, вызванных быстрым появлением уязвимого контингента и большой скоростью передачи этой вирусной инфекции.  Вспышки кори имеют широкомасштабные эпидемиологические и социальные последствия, что обусловило необходимость принятия международных мер по ее искоренению.</w:t>
      </w:r>
    </w:p>
    <w:p w:rsidR="00000000" w:rsidRDefault="00000000"/>
    <w:p w:rsidR="00000000" w:rsidRDefault="00000000">
      <w:r>
        <w:t>658.</w:t>
      </w:r>
      <w:r>
        <w:tab/>
        <w:t>На ХХ</w:t>
      </w:r>
      <w:r>
        <w:rPr>
          <w:lang w:val="en-US"/>
        </w:rPr>
        <w:t>IV</w:t>
      </w:r>
      <w:r>
        <w:t xml:space="preserve"> Панамериканской санитарной конференции, состоявшейся в 1994 году в Вашингтоне, О.К., была поставлена цель ликвидировать корь к 2000 году.  В следующем году на ХХХ</w:t>
      </w:r>
      <w:r>
        <w:rPr>
          <w:lang w:val="en-US"/>
        </w:rPr>
        <w:t>V</w:t>
      </w:r>
      <w:r>
        <w:t xml:space="preserve">III Совещании Руководящего комитета ПАОЗ министры здравоохранения стран Северной и Южной Америки единодушно одобрили План действий по искоренению кори к 2000 году.  </w:t>
      </w:r>
    </w:p>
    <w:p w:rsidR="00000000" w:rsidRDefault="00000000"/>
    <w:p w:rsidR="00000000" w:rsidRDefault="00000000">
      <w:r>
        <w:t>659.</w:t>
      </w:r>
      <w:r>
        <w:tab/>
        <w:t xml:space="preserve">В 1999 году Бразилия в рамках мер по достижению указанной цели разработала Чрезвычайный план действий, создав специальную национальную группу для осуществления ряда мероприятий по эпидемиологическому контролю и борьбе с этой болезнью во всех 27 штатах Бразилии.  </w:t>
      </w:r>
    </w:p>
    <w:p w:rsidR="00000000" w:rsidRDefault="00000000"/>
    <w:p w:rsidR="00000000" w:rsidRDefault="00000000">
      <w:r>
        <w:t>660.</w:t>
      </w:r>
      <w:r>
        <w:tab/>
        <w:t>Общая цель состоит в искоренении автохтонной передачи вируса кори в Бразилии к 2000 году посредством 95-процентной вакцинации младенцев в возрасте до одного года во всех муниципальных округах и введения национальной системы эпидемиологического наблюдения для прекращения передачи вируса кори в Бразилии.  Поставлены также нелегкие долгосрочные цели:  обеспечить, чтобы в 100% муниципальных округов показатель охвата вакцинацией младенцев в возрасте до одного года составлял 95% и более и гарантировать, чтобы при повторной вакцинации против кори национальные кампании проводились на недискриминационной основе для детей в возрасте менее пяти лет с охватом не менее 95% детей во всех муниципальных округах к 2000 году;  обеспечить, чтобы по меньшей мере 80% групп извещения своевременно выполняли требования о еженедельном извещении (позитивная/негативная реакция);  обеспечить, чтобы не менее 80% выявленных случаев изучались в течение первых 48 часов (своевременное изучение);  обеспечить, чтобы по крайней мере в 80% отмеченных случаев отбирались надлежащие серологические пробы (на 1-28 день появления сыпи);  обеспечить, чтобы не менее 80% отмеченных случаев были классифицированы по лабораторным диагнозам и эпидемиологическим связям (подтвердились или не подтвердились);  обеспечить, чтобы результаты лабораторных исследований представлялись в течение семи дней после поступления проб от сертифицированной лаборатории по 80% случаев;  а также обеспечить, чтобы по меньшей мере в 80% отмеченных случаев весь объем соответствующей работы производился в течение 30 дней с даты извещения.</w:t>
      </w:r>
    </w:p>
    <w:p w:rsidR="00000000" w:rsidRDefault="00000000"/>
    <w:p w:rsidR="00000000" w:rsidRDefault="00000000">
      <w:r>
        <w:t>661.</w:t>
      </w:r>
      <w:r>
        <w:tab/>
        <w:t>Цели этих мер состоят в следующем:  обеспечить продолжение работы специальной группы по искоренению кори в штатах;  обеспечить дальнейшее оказание материально-технической поддержки сотрудникам на национальном уровне в целях надлежащего осуществления Плана искоренения кори;  провести на уровне штатов и муниципальных округов курсы подготовки для диагностики признаков, характерных для кори или  краснухи;  обеспечить более интенсивный технический контроль за штатами и муниципальными округами;  предоставлять специальные консультативные услуги штатам и муниципальным округам, нуждающимся в приоритетной помощи;  активнее выявлять случаи с подозрением на заболевание;  проводить специальные совещания по оценке данных системы эпидемиологического контроля за внешними признаками, характерными для кори или краснухи;  провести общенациональную кампанию в средствах массовой информации по преданию гласности намеченной на 2000 год цели искоренения кори;  обеспечить постоянную обратную связь для практических работников системы медико-санитарной помощи в различных подразделениях и на различных уровнях управления;  повысить информированность работников системы медико-санитарной помощи в различных подразделениях и на различных уровнях управления путем создания специальных информационных каналов и распространения информации о ходе осуществления Плана искоренения кори через специализированные отделения;  обеспечить надлежащие поставки оборудования для проведения серологических анализов;  ориентировать проводимые в настоящее время в Бразилии санитарно-просветительские мероприятия на достижение цели искоренения кори к 2000 году;  активизировать плановую вакцинацию;  обеспечить технические возможности для проведения вакцинации в амбулаторном порядке;  с помощью вакцинации создать санитарные кордоны для каждого подозрительного случая;  провести операции по всеобщей вакцинации при каждом подтвержденном случае заболевания;  обеспечить вакцинацию групп высокого риска (молодые взрослые и группы, находящиеся в специализированных учреждениях);  создать Национальную комиссию по искоренению кори.</w:t>
      </w:r>
    </w:p>
    <w:p w:rsidR="00000000" w:rsidRDefault="00000000"/>
    <w:p w:rsidR="00000000" w:rsidRDefault="00000000">
      <w:pPr>
        <w:pStyle w:val="Heading2"/>
        <w:rPr>
          <w:b/>
          <w:bCs/>
          <w:u w:val="none"/>
        </w:rPr>
      </w:pPr>
      <w:r>
        <w:rPr>
          <w:b/>
          <w:bCs/>
          <w:u w:val="none"/>
        </w:rPr>
        <w:t>Деятельность по искоренению полиомиелита в Бразилии</w:t>
      </w:r>
    </w:p>
    <w:p w:rsidR="00000000" w:rsidRDefault="00000000">
      <w:pPr>
        <w:pStyle w:val="Heading2"/>
      </w:pPr>
    </w:p>
    <w:p w:rsidR="00000000" w:rsidRDefault="00000000">
      <w:r>
        <w:t>662.</w:t>
      </w:r>
      <w:r>
        <w:tab/>
        <w:t>Последний случай полиомиелита, вызванный "диким" вирусом полиомиелита, был отмечен в Бразилии в 1989 году.  В 1994 году факт ликвидации полиомиелита в Бразилии был подтвержден ПАОЗ/ВОЗ.  Поскольку эта болезнь в мире еще полностью не ликвидирована, необходимо и далее проводить превентивные мероприятия, обеспечивая широкую вакцинацию с использованием энтеральной вакцины против полиомиелита при одновременном поддержании четко налаженной системы эпидемиологического контроля, способной выявить любые возможные случаи повторного появления этого вируса в стране.</w:t>
      </w:r>
    </w:p>
    <w:p w:rsidR="00000000" w:rsidRDefault="00000000"/>
    <w:p w:rsidR="00000000" w:rsidRDefault="00000000">
      <w:r>
        <w:t>663.</w:t>
      </w:r>
      <w:r>
        <w:tab/>
        <w:t>Бразилии удалось сохранить высокие показатели вакцинации населения с применением энтеральной вакцины против полиомиелита во время как специальных кампаний, так и плановых вакцинаций.  Вместе с тем с 1994 года стало наблюдаться ухудшение показателей острого периферического паралича.  В 1998 году эти показатели достигли 0,7% на 100 000 жителей, снизившись к 1999 году лишь до 0,2% на 100 000 жителей по сравнению с намеченным показателем в один случай на 100 000 жителей для лиц в возрасте до 15 лет.  Ложное чувство успокоенности, появившееся в результате ликвидации этой болезни, а также требования о выделении и без того скудных людских и материальных ресурсов на решение других более неотложных проблем эпидемиологического характера в штатах и муниципальных округах (вспышки лихорадки денге, СПИД, менингококковый менингит и т.д.), и передача полномочий в деле осуществления этих мероприятий муниципальным округам без выделения необходимых технических средств серьезно повлияли на ухудшение показателей в области острого периферического паралича.</w:t>
      </w:r>
    </w:p>
    <w:p w:rsidR="00000000" w:rsidRDefault="00000000"/>
    <w:p w:rsidR="00000000" w:rsidRDefault="00000000">
      <w:r>
        <w:t>664.</w:t>
      </w:r>
      <w:r>
        <w:tab/>
        <w:t>Крупная вспышка полиомиелита в 1999 году в Анголе - стране, имеющей тесные культурные и торговые связи с Бразилией, - подчеркивает необходимость сохранения системы контроля за случаями острого периферического паралича, чтобы обеспечить быстрое обнаружение любого повторного появления "дикого" вируса полиомиелита в будущем.</w:t>
      </w:r>
    </w:p>
    <w:p w:rsidR="00000000" w:rsidRDefault="00000000"/>
    <w:p w:rsidR="00000000" w:rsidRDefault="00000000">
      <w:r>
        <w:t>665.</w:t>
      </w:r>
      <w:r>
        <w:tab/>
        <w:t>Общая задача состоит в том, чтобы сохранить показатели заболеваемости полиомиелитом в Бразилии на нулевом уровне, что требует решения следующих конкретных задач:  сохранение высоких и равномерных показателей вакцинации детей в возрасте до пяти лет с использованием энтеральной вакцины полиомиелита во всех муниципальных округах Бразилии;  сохранение на достаточном уровне системы эпидемиологического оперативного контроля за случаями острого периферического паралича для достижения целевых показателей эффективности функционирования этой системы.</w:t>
      </w:r>
    </w:p>
    <w:p w:rsidR="00000000" w:rsidRDefault="00000000"/>
    <w:p w:rsidR="00000000" w:rsidRDefault="00000000">
      <w:r>
        <w:t>666.</w:t>
      </w:r>
      <w:r>
        <w:tab/>
        <w:t>Эти целевые показатели сводятся к следующему:  вакцинация свыше 90% соответствующих групп населения с использованием энтеральной вакцины полиомиелита во всех муниципальных округах Бразилии (см. конкретный проект);  достижение показателя, составляющего порядка одного случая острого периферического паралича на 100 000 детей в возрасте до 15 лет для каждого штата Бразилии;  диагностика не менее 80% случаев острого периферического паралича в течение 48 часов после обнаружения;  диагностика не менее 80% случаев острого периферического паралича путем взятия двух анализов кала;  не менее 80% групп извещения должны готовить негативные извещения на еженедельной основе.</w:t>
      </w:r>
    </w:p>
    <w:p w:rsidR="00000000" w:rsidRDefault="00000000"/>
    <w:p w:rsidR="00000000" w:rsidRDefault="00000000">
      <w:pPr>
        <w:pStyle w:val="Heading2"/>
        <w:rPr>
          <w:b/>
          <w:bCs/>
          <w:u w:val="none"/>
        </w:rPr>
      </w:pPr>
      <w:r>
        <w:rPr>
          <w:b/>
          <w:bCs/>
          <w:u w:val="none"/>
        </w:rPr>
        <w:t>Меры по ликвидации столбняка новорожденных</w:t>
      </w:r>
    </w:p>
    <w:p w:rsidR="00000000" w:rsidRDefault="00000000">
      <w:pPr>
        <w:pStyle w:val="Heading2"/>
      </w:pPr>
    </w:p>
    <w:p w:rsidR="00000000" w:rsidRDefault="00000000">
      <w:r>
        <w:t>667.</w:t>
      </w:r>
      <w:r>
        <w:tab/>
        <w:t xml:space="preserve">Ликвидировать столбняк новорожденных практически невозможно, поскольку его этиологический агент (бактерии </w:t>
      </w:r>
      <w:r>
        <w:rPr>
          <w:i/>
          <w:iCs/>
          <w:lang w:val="en-US"/>
        </w:rPr>
        <w:t>Clostridium</w:t>
      </w:r>
      <w:r>
        <w:rPr>
          <w:i/>
          <w:iCs/>
        </w:rPr>
        <w:t xml:space="preserve"> </w:t>
      </w:r>
      <w:r>
        <w:rPr>
          <w:i/>
          <w:iCs/>
          <w:lang w:val="en-US"/>
        </w:rPr>
        <w:t>tetani</w:t>
      </w:r>
      <w:r>
        <w:rPr>
          <w:i/>
          <w:iCs/>
        </w:rPr>
        <w:t>)</w:t>
      </w:r>
      <w:r>
        <w:t xml:space="preserve"> широко распространен в природе.  Однако заболевания столбняком новорожденных можно избежать путем вакцинации женщин фертильного возраста.</w:t>
      </w:r>
    </w:p>
    <w:p w:rsidR="00000000" w:rsidRDefault="00000000">
      <w:pPr>
        <w:pStyle w:val="FootnoteText"/>
        <w:spacing w:line="288" w:lineRule="auto"/>
      </w:pPr>
    </w:p>
    <w:p w:rsidR="00000000" w:rsidRDefault="00000000">
      <w:r>
        <w:t>668.</w:t>
      </w:r>
      <w:r>
        <w:tab/>
        <w:t>Наличие высокоэффективной и недорогостоящей вакцины является ключевым фактором в борьбе со столбняком новорожденных.  После перехода на программы широкой иммунизации заболеваемость столбняком новорожденных резко сократилась во всем мире;  в настоящее время эта болезнь встречается лишь в развивающихся странах.  Считается, что случаи возникновения этой болезни свидетельствуют о неблагоприятных жилищно-бытовых условиях и плохо налаженной медико-санитарной помощи.</w:t>
      </w:r>
    </w:p>
    <w:p w:rsidR="00000000" w:rsidRDefault="00000000"/>
    <w:p w:rsidR="00000000" w:rsidRDefault="00000000">
      <w:r>
        <w:t>669.</w:t>
      </w:r>
      <w:r>
        <w:tab/>
        <w:t>В 1989 году Всемирная ассамблея здравоохранения приняла резолюцию, в которой предлагалось искоренить столбняк новорожденных во всем мире к 1995 году.  Эта резолюция в 1991 году была ратифицирована Руководящим комитетом ПАОЗ и включена в четырехлетний план, разработанный министерством здравоохранения/Национальным фондом здравоохранения (ФУНАСА) в целях ликвидации столбняка новорожденных в Бразилии к 1995 году.  Претворение в практику Плана ликвидации столбняка новорожденных в Бразилии началось в 1992 году.</w:t>
      </w:r>
    </w:p>
    <w:p w:rsidR="00000000" w:rsidRDefault="00000000"/>
    <w:p w:rsidR="00000000" w:rsidRDefault="00000000">
      <w:r>
        <w:t>670.</w:t>
      </w:r>
      <w:r>
        <w:tab/>
        <w:t>С 1983 года в Бразилии отмечалось неуклонное снижение числа выявленных случаев и распространения столбняка новорожденных.  После начала Плана ликвидации это снижение приобрело более резкий характер.  Несмотря на этот спад, Бразилия не смогла добиться цели ликвидации столбняка новорожденных к 1995 году.  За прошедшие четыре года (1996-1999 годы) число выявленных случаев столбняка новорожденных в стране оставалось на уровне порядка 100 случаев в год.  Большинство случаев, выявленных за последние пять лет, имели место в северной и северо-восточной Бразилии, хотя столбняк новорожденных отмечался даже в столицах некоторых штатов.  Кроме того, спорадические случаи этого заболевания отмечались почти во всех частях Бразилии.</w:t>
      </w:r>
    </w:p>
    <w:p w:rsidR="00000000" w:rsidRDefault="00000000"/>
    <w:p w:rsidR="00000000" w:rsidRDefault="00000000">
      <w:r>
        <w:t>671.</w:t>
      </w:r>
      <w:r>
        <w:tab/>
        <w:t>Для полной ликвидации этого заболевания необходимо проводить более интенсивную вакцинацию женщин фертильного возраста и активизировать деятельность по эпидемиологическому контролю с уделением особого внимания тем штатам и муниципальным округам, которые хуже обеспечены вакцинами и где не отмечено случаев заболевания, а также тем округам, где случаи этого заболевания были отмечены за последние пять лет (муниципальным округам высокого риска).</w:t>
      </w:r>
    </w:p>
    <w:p w:rsidR="00000000" w:rsidRDefault="00000000"/>
    <w:p w:rsidR="00000000" w:rsidRDefault="00000000">
      <w:r>
        <w:t>672.</w:t>
      </w:r>
      <w:r>
        <w:tab/>
        <w:t>Для достижения цели ликвидации столбняка новорожденных проводится работа по расширению охвата вакцинацией женщин фертильного возраста, активизируются мероприятия по эпидемиологическому контролю, внимание уделяется штатам высокого риска и муниципальным округам, где не было отмечено случаев заболевания, проводится работа по более широкому распространению Плана ликвидации столбняка новорожденных, повышается качество услуг, предоставляемых до и во время родов, а также услуг по уходу за новорожденными.</w:t>
      </w:r>
    </w:p>
    <w:p w:rsidR="00000000" w:rsidRDefault="00000000"/>
    <w:p w:rsidR="00000000" w:rsidRDefault="00000000">
      <w:r>
        <w:t>673.</w:t>
      </w:r>
      <w:r>
        <w:tab/>
        <w:t>В число намеченных целевых показателей входит 90-процентный охват вакцинацией женщин фертильного возраста, обеспечение соответствующими специалистами всех муниципальных округов высокого риска и муниципальных округов, где не было отмечено ни одного случая заболевания, и выявление всех случаев заболевания столбняком новорожденных.  В число намеченных мер входит:  более интенсивная вакцинация женщин фертильного возраста;  повышение информированности работников здравоохранения и органов власти относительно важности ликвидации столбняка новорожденных и вакцинации женщин фертильного возраста;  обеспечение штатов и муниципальных округов специалистами в области эпидемиологического контроля;  обращение с настоятельным призывом к осуществлению мер по борьбе со столбняком новорожденных;  повышение информированности работников, занятых в Программе охраны здоровья семьи и Программе работников здравоохранения на уровне общин с подчеркиванием необходимости ликвидации столбняка новорожденных и вакцинации женщин фертильного возраста, а также повышение информированности работников системы социальных услуг с уделением особого внимания 10 детским больницам;  освещение в региональных и местных средствах массовой информации хода вакцинации женщин фертильного возраста во время проведения двух кампаний комплексной и плановой вакцинации.</w:t>
      </w:r>
    </w:p>
    <w:p w:rsidR="00000000" w:rsidRDefault="00000000"/>
    <w:p w:rsidR="00000000" w:rsidRDefault="00000000">
      <w:pPr>
        <w:pStyle w:val="Heading2"/>
        <w:rPr>
          <w:b/>
          <w:bCs/>
          <w:u w:val="none"/>
        </w:rPr>
      </w:pPr>
      <w:r>
        <w:rPr>
          <w:b/>
          <w:bCs/>
          <w:u w:val="none"/>
        </w:rPr>
        <w:t>Меры по ликвидации бешенства человека, передаваемого домашними животными</w:t>
      </w:r>
    </w:p>
    <w:p w:rsidR="00000000" w:rsidRDefault="00000000">
      <w:pPr>
        <w:pStyle w:val="Heading2"/>
      </w:pPr>
    </w:p>
    <w:p w:rsidR="00000000" w:rsidRDefault="00000000">
      <w:r>
        <w:t>674.</w:t>
      </w:r>
      <w:r>
        <w:tab/>
        <w:t>В 1973 году была создана Национальная программа профилактики бешенства (</w:t>
      </w:r>
      <w:r>
        <w:rPr>
          <w:lang w:val="en-US"/>
        </w:rPr>
        <w:t>Programa</w:t>
      </w:r>
      <w:r>
        <w:t xml:space="preserve"> </w:t>
      </w:r>
      <w:r>
        <w:rPr>
          <w:lang w:val="en-US"/>
        </w:rPr>
        <w:t>Nacional</w:t>
      </w:r>
      <w:r>
        <w:t xml:space="preserve"> </w:t>
      </w:r>
      <w:r>
        <w:rPr>
          <w:lang w:val="en-US"/>
        </w:rPr>
        <w:t>de</w:t>
      </w:r>
      <w:r>
        <w:t xml:space="preserve"> </w:t>
      </w:r>
      <w:r>
        <w:rPr>
          <w:lang w:val="en-US"/>
        </w:rPr>
        <w:t>Profilaxia</w:t>
      </w:r>
      <w:r>
        <w:t xml:space="preserve"> </w:t>
      </w:r>
      <w:r>
        <w:rPr>
          <w:lang w:val="en-US"/>
        </w:rPr>
        <w:t>da</w:t>
      </w:r>
      <w:r>
        <w:t xml:space="preserve"> </w:t>
      </w:r>
      <w:r>
        <w:rPr>
          <w:lang w:val="en-US"/>
        </w:rPr>
        <w:t>Raiva</w:t>
      </w:r>
      <w:r>
        <w:t>), цель которой состояла в ликвидации бешенства человека с помощью борьбы с бешенством собак, которое в то время являлось причиной 95% случаев этого заболевания у людей.</w:t>
      </w:r>
    </w:p>
    <w:p w:rsidR="00000000" w:rsidRDefault="00000000"/>
    <w:p w:rsidR="00000000" w:rsidRDefault="00000000">
      <w:r>
        <w:t>675.</w:t>
      </w:r>
      <w:r>
        <w:tab/>
        <w:t>В 80-е годы в Бразилии отмечалось в среднем 47 случаев бешенства в год, а в 1994</w:t>
      </w:r>
      <w:r>
        <w:noBreakHyphen/>
        <w:t>1998 годах этот показатель снизился до немногим более 26 случаев в год.  Несмотря на это 45-процентное сокращение, а также использование научно-технических достижений в этой области, децентрализацию деятельности и поставку специальных иммунобиологических препаратов, бешенство человека по</w:t>
      </w:r>
      <w:r>
        <w:noBreakHyphen/>
        <w:t>прежнему является проблемой для системы здравоохранения.  Основным способом передачи бешенства человеку (75% всех случаев с 1986 года) по</w:t>
      </w:r>
      <w:r>
        <w:noBreakHyphen/>
        <w:t>прежнему являются собаки.</w:t>
      </w:r>
    </w:p>
    <w:p w:rsidR="00000000" w:rsidRDefault="00000000"/>
    <w:p w:rsidR="00000000" w:rsidRDefault="00000000">
      <w:r>
        <w:t>676.</w:t>
      </w:r>
      <w:r>
        <w:tab/>
        <w:t>За прошедшие два года случаи бешенства отмечались главным образом в северном, северо-восточном и центрально-западном регионах Бразилии.  Продолжение передачи бешенства домашними животными человеку является совершенно нетерпимой ситуацией, тем более что во многих штатах и муниципальных округах это заболевание было полностью ликвидировано.</w:t>
      </w:r>
    </w:p>
    <w:p w:rsidR="00000000" w:rsidRDefault="00000000"/>
    <w:p w:rsidR="00000000" w:rsidRDefault="00000000">
      <w:r>
        <w:t>677.</w:t>
      </w:r>
      <w:r>
        <w:tab/>
        <w:t>Деятельность правительства была сосредоточена главным образом на выполнении следующих конкретных задач:  борьба с бешенством, передаваемым домашними животными;  профилактическое лечение людей, подвергнувшихся нападению бешеных животных;  эпидемиологическое наблюдение в целях обнаружения всех подозрительных случаев.</w:t>
      </w:r>
    </w:p>
    <w:p w:rsidR="00000000" w:rsidRDefault="00000000"/>
    <w:p w:rsidR="00000000" w:rsidRDefault="00000000">
      <w:r>
        <w:t>678.</w:t>
      </w:r>
      <w:r>
        <w:tab/>
        <w:t>Цели этой деятельности состоят в следующем:  охват прививками против бешенства не менее 80% популяции собак и кошек в каждом муниципальном округе;  профилактическое лечение всех лиц, подвергшихся нападению бешеных животных;  проведение лабораторных анализов 0,2% популяции собак и кошек в каждом муниципальном округе;  изоляция всех собак и/или кошек, являющихся носителями инфекции;  лабораторная диагностика всех пациентов, клинический или эпидемиологический диагноз смерти которых соответствует признакам бешенства;  сокращение не менее чем на 50% по сравнению с 1998 годом числа пациентов, которые не завершили полного профилактического курса прививок от бешенства.</w:t>
      </w:r>
    </w:p>
    <w:p w:rsidR="00000000" w:rsidRDefault="00000000"/>
    <w:p w:rsidR="00000000" w:rsidRDefault="00000000">
      <w:r>
        <w:t>679.</w:t>
      </w:r>
      <w:r>
        <w:tab/>
        <w:t>Для достижения этих целей принимаются следующие меры:  совместное проведение мероприятий с Отделением по координации эпидемиологического наблюдения (</w:t>
      </w:r>
      <w:r>
        <w:rPr>
          <w:i/>
          <w:iCs/>
          <w:lang w:val="en-US"/>
        </w:rPr>
        <w:t>Coord</w:t>
      </w:r>
      <w:r>
        <w:rPr>
          <w:i/>
          <w:iCs/>
        </w:rPr>
        <w:t>е</w:t>
      </w:r>
      <w:r>
        <w:rPr>
          <w:i/>
          <w:iCs/>
          <w:lang w:val="en-US"/>
        </w:rPr>
        <w:t>na</w:t>
      </w:r>
      <w:r>
        <w:rPr>
          <w:i/>
          <w:iCs/>
        </w:rPr>
        <w:t>çã</w:t>
      </w:r>
      <w:r>
        <w:rPr>
          <w:i/>
          <w:iCs/>
          <w:lang w:val="en-US"/>
        </w:rPr>
        <w:t>o</w:t>
      </w:r>
      <w:r>
        <w:rPr>
          <w:i/>
          <w:iCs/>
        </w:rPr>
        <w:t xml:space="preserve"> </w:t>
      </w:r>
      <w:r>
        <w:rPr>
          <w:i/>
          <w:iCs/>
          <w:lang w:val="en-US"/>
        </w:rPr>
        <w:t>de</w:t>
      </w:r>
      <w:r>
        <w:rPr>
          <w:i/>
          <w:iCs/>
        </w:rPr>
        <w:t xml:space="preserve"> </w:t>
      </w:r>
      <w:r>
        <w:rPr>
          <w:i/>
          <w:iCs/>
          <w:lang w:val="en-US"/>
        </w:rPr>
        <w:t>Vigil</w:t>
      </w:r>
      <w:r>
        <w:rPr>
          <w:i/>
          <w:iCs/>
        </w:rPr>
        <w:t>â</w:t>
      </w:r>
      <w:r>
        <w:rPr>
          <w:i/>
          <w:iCs/>
          <w:lang w:val="en-US"/>
        </w:rPr>
        <w:t>ncia</w:t>
      </w:r>
      <w:r>
        <w:rPr>
          <w:i/>
          <w:iCs/>
        </w:rPr>
        <w:t xml:space="preserve"> </w:t>
      </w:r>
      <w:r>
        <w:rPr>
          <w:i/>
          <w:iCs/>
          <w:lang w:val="en-US"/>
        </w:rPr>
        <w:t>Epidemiolo</w:t>
      </w:r>
      <w:r>
        <w:rPr>
          <w:rFonts w:ascii="Tahoma" w:hAnsi="Tahoma" w:cs="Tahoma"/>
          <w:i/>
          <w:iCs/>
          <w:lang w:val="en-US"/>
        </w:rPr>
        <w:t></w:t>
      </w:r>
      <w:r>
        <w:rPr>
          <w:i/>
          <w:iCs/>
          <w:lang w:val="en-US"/>
        </w:rPr>
        <w:t>gica</w:t>
      </w:r>
      <w:r>
        <w:t>) и Отделением по координации наблюдения за окружающей средой (</w:t>
      </w:r>
      <w:r>
        <w:rPr>
          <w:i/>
          <w:iCs/>
          <w:lang w:val="en-US"/>
        </w:rPr>
        <w:t>Coordina</w:t>
      </w:r>
      <w:r>
        <w:rPr>
          <w:i/>
          <w:iCs/>
        </w:rPr>
        <w:t>çã</w:t>
      </w:r>
      <w:r>
        <w:rPr>
          <w:i/>
          <w:iCs/>
          <w:lang w:val="en-US"/>
        </w:rPr>
        <w:t>o</w:t>
      </w:r>
      <w:r>
        <w:rPr>
          <w:i/>
          <w:iCs/>
        </w:rPr>
        <w:t xml:space="preserve"> </w:t>
      </w:r>
      <w:r>
        <w:rPr>
          <w:i/>
          <w:iCs/>
          <w:lang w:val="en-US"/>
        </w:rPr>
        <w:t>de</w:t>
      </w:r>
      <w:r>
        <w:rPr>
          <w:i/>
          <w:iCs/>
        </w:rPr>
        <w:t xml:space="preserve"> </w:t>
      </w:r>
      <w:r>
        <w:rPr>
          <w:i/>
          <w:iCs/>
          <w:lang w:val="en-US"/>
        </w:rPr>
        <w:t>Vigil</w:t>
      </w:r>
      <w:r>
        <w:rPr>
          <w:i/>
          <w:iCs/>
        </w:rPr>
        <w:t>â</w:t>
      </w:r>
      <w:r>
        <w:rPr>
          <w:i/>
          <w:iCs/>
          <w:lang w:val="en-US"/>
        </w:rPr>
        <w:t>ncia</w:t>
      </w:r>
      <w:r>
        <w:rPr>
          <w:i/>
          <w:iCs/>
        </w:rPr>
        <w:t xml:space="preserve"> </w:t>
      </w:r>
      <w:r>
        <w:rPr>
          <w:i/>
          <w:iCs/>
          <w:lang w:val="en-US"/>
        </w:rPr>
        <w:t>Ambiental</w:t>
      </w:r>
      <w:r>
        <w:t xml:space="preserve">) СЕНЕПИ;  стандартизация данных о предполагаемой популяции собак в штатах на основе вакцинации в ходе последних двух кампаний;  пересмотр технических стандартов профилактики бешенства человека;  введение системы лабораторной диагностики в штатах Токантинс, Рорайма, Амапа, Рондония, Риу-Гранди-ду-Норти, Пернамбуку, Сержипи и Алагоас;  подготовка практических работников медико-санитарной помощи по вопросам профилактики бешенства человека;  ознакомление с мерами профилактики бешенства персонала отделений медико-санитарной помощи в целях предупреждения этого заболевания у людей, подвергшихся нападению бешеных животных;  проведение общенациональной кампании в средствах массовой информации в целях информирования населения о необходимости вакцинации домашних животных против бешенства в качестве одного из способов достижения намеченных показателей плановой вакцинации;  обращение к муниципальным округам с настоятельным призывом о распространении вакцин против бешенства;  ознакомление владельцев домашних животных с информацией о профилактике бешенства с помощью специализированных торговых и промышленных предприятий;  проведение переписи собак и кошек в рамках следующей переписи населения, проводимой Бразильским институтом географии и статистики (БИГС - </w:t>
      </w:r>
      <w:r>
        <w:rPr>
          <w:i/>
          <w:iCs/>
        </w:rPr>
        <w:t>Instituto Brasileiro de Geografia e Estatística</w:t>
      </w:r>
      <w:r>
        <w:t xml:space="preserve">);  выявление путем классификации вирусов "дикого" вируса бешенства, а также первого случая бешенства среди животных в любом конкретном районе за последние шесть месяцев;  постепенный ввод клеточной культуры антирабической вакцины для человека начиная с 2000 года;  создание информационной системы для картирования и мониторинга бешенства человека и животных муниципальными округами на ежемесячной основе;  изоляция очагов инфекции наряду с контролем за популяцией животных и направлением соответствующих проб в лабораторию;  содействие проведению обзоров динамики популяции собак;  введение плановой вакцинации собак против бешенства во всех муниципальных округах;  проведение не менее двух кампаний по вакцинации в год в муниципальных округах, в которых отмечены случаи бешенства среди животных, а также распространение соответствующей информации через местные и региональные средства массовой информации;  укрепление сети центров контроля за зоонозами;  предоставление специальных консультационных и управленческих услуг штатам и муниципальным округам;  организация специальных и научных форумов и/или совещаний.  </w:t>
      </w:r>
    </w:p>
    <w:p w:rsidR="00000000" w:rsidRDefault="00000000"/>
    <w:p w:rsidR="00000000" w:rsidRDefault="00000000">
      <w:pPr>
        <w:pStyle w:val="Heading2"/>
        <w:rPr>
          <w:b/>
          <w:bCs/>
          <w:u w:val="none"/>
        </w:rPr>
      </w:pPr>
      <w:r>
        <w:rPr>
          <w:b/>
          <w:bCs/>
          <w:u w:val="none"/>
        </w:rPr>
        <w:t>Повышение эффективности эпидемиологического контроля за менингитом</w:t>
      </w:r>
    </w:p>
    <w:p w:rsidR="00000000" w:rsidRDefault="00000000">
      <w:pPr>
        <w:pStyle w:val="Heading2"/>
      </w:pPr>
    </w:p>
    <w:p w:rsidR="00000000" w:rsidRDefault="00000000">
      <w:r>
        <w:t>680.</w:t>
      </w:r>
      <w:r>
        <w:tab/>
        <w:t xml:space="preserve">Менингит представляет собой анатомическое, физическое и патологическое состояние, характеризующееся воспалением оболочек головного и спинного мозга и оболочек, окружающих структуры центральной нервной системы.  В клиническом смысле различные виды менингита имеют ряд самых различных симптомов - от олигосимптоматических ситуаций до тяжелых случаев, могущих привести к летальному исходу.  </w:t>
      </w:r>
    </w:p>
    <w:p w:rsidR="00000000" w:rsidRDefault="00000000"/>
    <w:p w:rsidR="00000000" w:rsidRDefault="00000000">
      <w:r>
        <w:t>681.</w:t>
      </w:r>
      <w:r>
        <w:tab/>
        <w:t>В этиологическом смысле различные виды менингита могут быть вызваны самыми разными возбудителями, причем не обязательно инфекционными.  Для здравоохранения, и в частности для служб эпидемиологического контроля, особое значение имеют инфекционные виды менингита, вызываемые заразными этиологическими возбудителями.</w:t>
      </w:r>
    </w:p>
    <w:p w:rsidR="00000000" w:rsidRDefault="00000000"/>
    <w:p w:rsidR="00000000" w:rsidRDefault="00000000">
      <w:r>
        <w:t>682.</w:t>
      </w:r>
      <w:r>
        <w:tab/>
        <w:t xml:space="preserve">Менингит может быть вызван самыми разными инфекционными возбудителями:  вирусами, бактериями, грибками и простейшими.  Наибольшее значение с точки зрения здравоохранения имеют бактериальные и вирусные виды менингита, что вызвано масштабами их распространения, возможностями передачи, патогенным характером и социальными последствиями.  Среди первых следует особо выделить менингококковый менингит, эпидемиологическими возбудителями которого являются различные виды бактерий </w:t>
      </w:r>
      <w:r>
        <w:rPr>
          <w:i/>
          <w:iCs/>
        </w:rPr>
        <w:t>Neisseria meningitid</w:t>
      </w:r>
      <w:r>
        <w:rPr>
          <w:i/>
          <w:iCs/>
          <w:lang w:val="en-US"/>
        </w:rPr>
        <w:t>i</w:t>
      </w:r>
      <w:r>
        <w:rPr>
          <w:i/>
          <w:iCs/>
        </w:rPr>
        <w:t>s,</w:t>
      </w:r>
      <w:r>
        <w:t xml:space="preserve"> а также менингит, вызываемый </w:t>
      </w:r>
      <w:r>
        <w:rPr>
          <w:i/>
          <w:iCs/>
        </w:rPr>
        <w:t>Haemophilus influenza</w:t>
      </w:r>
      <w:r>
        <w:t xml:space="preserve"> типа В, пневмококковый менингит (</w:t>
      </w:r>
      <w:r>
        <w:rPr>
          <w:i/>
          <w:iCs/>
        </w:rPr>
        <w:t>Streptococcus pneumoniae</w:t>
      </w:r>
      <w:r>
        <w:t>) и туберкулезный менингит (</w:t>
      </w:r>
      <w:r>
        <w:rPr>
          <w:i/>
          <w:iCs/>
        </w:rPr>
        <w:t>Mycobacterium tuberculosis</w:t>
      </w:r>
      <w:r>
        <w:t>).</w:t>
      </w:r>
    </w:p>
    <w:p w:rsidR="00000000" w:rsidRDefault="00000000">
      <w:pPr>
        <w:pStyle w:val="FootnoteText"/>
        <w:spacing w:line="288" w:lineRule="auto"/>
      </w:pPr>
    </w:p>
    <w:p w:rsidR="00000000" w:rsidRDefault="00000000">
      <w:r>
        <w:t>683.</w:t>
      </w:r>
      <w:r>
        <w:tab/>
        <w:t>В силу эндемического и эпидемического характера, особенно в таких менее развитых частях мира, как Африка и Латинская Америка, для которых характерны периодические вспышки крупных эпидемий, зачастую приводящие к большому количеству смертных случаев, менингококковые виды менингита имеют серьезные последствия для общества, вызывая панику среди населения и потребность в медицинском вмешательстве и предоставлении услуг социального характера.</w:t>
      </w:r>
    </w:p>
    <w:p w:rsidR="00000000" w:rsidRDefault="00000000"/>
    <w:p w:rsidR="00000000" w:rsidRDefault="00000000">
      <w:r>
        <w:t>684.</w:t>
      </w:r>
      <w:r>
        <w:tab/>
        <w:t>В Бразилии еще не забыта массовая вспышка менингококкового менингита в 70</w:t>
      </w:r>
      <w:r>
        <w:noBreakHyphen/>
        <w:t xml:space="preserve">е годы с эпицентром в Сан-Паулу, которая затем распространилась по всей стране.  Неадекватный подход к этой проблеме военного правительства того времени, которое рассматривало эпидемию как "вопрос национальной безопасности" и не делало ее достоянием гласности в течение нескольких лет, способствовал росту панических настроений среди населения и усиливал недоверие к действиям правительства.  После того как военное правительство, наконец, признало факт этой эпидемии, оно приняло меры, имевшие широкие последствия как в эпидемиологическом, так и в политическом отношении:  была организована общенациональная кампания вакцинации всего населения французской противоменингококковой вакциной типа </w:t>
      </w:r>
      <w:r>
        <w:rPr>
          <w:lang w:val="en-US"/>
        </w:rPr>
        <w:t>A</w:t>
      </w:r>
      <w:r>
        <w:t>+</w:t>
      </w:r>
      <w:r>
        <w:rPr>
          <w:lang w:val="en-US"/>
        </w:rPr>
        <w:t>C</w:t>
      </w:r>
      <w:r>
        <w:t>, которая до того времени не использовалась в таких широких масштабах и оказалась неэффективной.</w:t>
      </w:r>
    </w:p>
    <w:p w:rsidR="00000000" w:rsidRDefault="00000000"/>
    <w:p w:rsidR="00000000" w:rsidRDefault="00000000">
      <w:r>
        <w:t>685.</w:t>
      </w:r>
      <w:r>
        <w:tab/>
        <w:t>Возможно, в силу сочетания этих двух факторов - воздействия вакцины и ожидаемой продолжительности эпидемии, а также вследствие уменьшения числа людей, восприимчивых к этой болезни, ситуация была взята под контроль вскоре после проведения кампании по вакцинации.  Видимый "успех" этой вакцины имел серьезные политические и идеологические последствия для бразильского населения, решившего, что "менингит может быть побежден вакциной", причем эти настроения присутствуют даже сегодня - по прошествии почти четверти века.</w:t>
      </w:r>
    </w:p>
    <w:p w:rsidR="00000000" w:rsidRDefault="00000000"/>
    <w:p w:rsidR="00000000" w:rsidRDefault="00000000">
      <w:r>
        <w:t>686.</w:t>
      </w:r>
      <w:r>
        <w:tab/>
        <w:t xml:space="preserve">80-е годы вновь стали свидетелем эпидемии менингококкового менингита, хотя и имевшей меньшие масштабы и иные особенности:  на этот раз основным возбудителем был другой штамб бактерии </w:t>
      </w:r>
      <w:r>
        <w:rPr>
          <w:i/>
          <w:iCs/>
          <w:lang w:val="en-US"/>
        </w:rPr>
        <w:t>Neisseria</w:t>
      </w:r>
      <w:r>
        <w:rPr>
          <w:i/>
          <w:iCs/>
        </w:rPr>
        <w:t xml:space="preserve"> </w:t>
      </w:r>
      <w:r>
        <w:rPr>
          <w:i/>
          <w:iCs/>
          <w:lang w:val="en-US"/>
        </w:rPr>
        <w:t>meningitid</w:t>
      </w:r>
      <w:r>
        <w:rPr>
          <w:i/>
          <w:iCs/>
        </w:rPr>
        <w:t>i</w:t>
      </w:r>
      <w:r>
        <w:rPr>
          <w:i/>
          <w:iCs/>
          <w:lang w:val="en-US"/>
        </w:rPr>
        <w:t>s</w:t>
      </w:r>
      <w:r>
        <w:rPr>
          <w:i/>
          <w:iCs/>
        </w:rPr>
        <w:t xml:space="preserve"> </w:t>
      </w:r>
      <w:r>
        <w:t xml:space="preserve">- серологической бактерии группы В, в отношении которой существующая вакцина оказалась неэффективной. </w:t>
      </w:r>
    </w:p>
    <w:p w:rsidR="00000000" w:rsidRDefault="00000000"/>
    <w:p w:rsidR="00000000" w:rsidRDefault="00000000">
      <w:r>
        <w:t>687.</w:t>
      </w:r>
      <w:r>
        <w:tab/>
        <w:t>Проблема с вакциной вновь возникла в конце этого десятилетия, когда кубинская лаборатория разработала вакцину против менингококка типа В.  Хотя эффективность и действенность этой вакцины не была доказана, она - по соображениям политического характера - была поставлена в Бразилию и широко использовалась в 1990-1997 годах.  Ее эффективность действительно оказалась сомнительной.  Тем не менее даже сегодня она вызывает проблемы, выходящие за рамки чисто технических аспектов и затрагивающие сферы политики и идеологии, а также торговые и экономические интересы.</w:t>
      </w:r>
    </w:p>
    <w:p w:rsidR="00000000" w:rsidRDefault="00000000"/>
    <w:p w:rsidR="00000000" w:rsidRDefault="00000000">
      <w:r>
        <w:t>688.</w:t>
      </w:r>
      <w:r>
        <w:tab/>
        <w:t xml:space="preserve">Таким образом, разные виды менингита представляют собой многостороннюю и сложную проблему;  не следует забывать, что это - различные заболевания, требующие принятия каждый раз кардинально новых мер по борьбе с ними, хотя на обыденном уровне они считаются одним и тем же явлением.  </w:t>
      </w:r>
    </w:p>
    <w:p w:rsidR="00000000" w:rsidRDefault="00000000"/>
    <w:p w:rsidR="00000000" w:rsidRDefault="00000000">
      <w:r>
        <w:t>689.</w:t>
      </w:r>
      <w:r>
        <w:tab/>
        <w:t>Мероприятия по наблюдению и борьбе с этим заболеванием, как правило, зависят от правильности этиологического диагноза.  Это требует бесперебойного функционирования всех элементов системы:  медико-санитарной помощи, медицинских лабораторий и отделений по наблюдению и борьбе с этим заболеванием.</w:t>
      </w:r>
    </w:p>
    <w:p w:rsidR="00000000" w:rsidRDefault="00000000"/>
    <w:p w:rsidR="00000000" w:rsidRDefault="00000000">
      <w:r>
        <w:t>690.</w:t>
      </w:r>
      <w:r>
        <w:tab/>
        <w:t xml:space="preserve">Нынешняя ситуация в этой области не внушает особого оптимизма.  Предоставление надежной медико-санитарной помощи, особенно в наиболее отдаленных частях Бразилии, налажено крайне слабо.  Диагноз зачастую ставится неверно, поскольку врачи не имеют возможности сделать спинномозговую пункцию.  Даже когда возможность сделать поясничную пункцию имеется, полученную пробу трудно доставить в центральную лабораторию.  Но даже в том случае, если все эти трудности преодолены, информация о диагнозе, направляемая через больничную сеть, и результаты анализа поступают с опозданием, что снижает эффективность мер по борьбе с этим заболеванием.  В результате всех этих проблем в большинстве надлежащий этиологический диагноз не ставится.   Даже в наиболее оснащенных штатах процент этиологического диагностирования бактериального менингита с выделением  чистой культуры едва достигает 40%.  В некоторых штатах, особенно в Северной Бразилии, за целый год ни разу не ставится этиологический диагноз менингита.  Вместе с тем со стороны мэров городов, городских советов, законодательных собраний и даже судебных органов продолжают поступать требования о необходимости обеспечения населения противоменингитной вакциной. </w:t>
      </w:r>
    </w:p>
    <w:p w:rsidR="00000000" w:rsidRDefault="00000000"/>
    <w:p w:rsidR="00000000" w:rsidRDefault="00000000">
      <w:r>
        <w:t>691.</w:t>
      </w:r>
      <w:r>
        <w:tab/>
        <w:t xml:space="preserve">Наконец, в 1999 году началось применение вакцины против </w:t>
      </w:r>
      <w:r>
        <w:rPr>
          <w:i/>
          <w:iCs/>
          <w:lang w:val="en-US"/>
        </w:rPr>
        <w:t>Haemophilus</w:t>
      </w:r>
      <w:r>
        <w:rPr>
          <w:i/>
          <w:iCs/>
        </w:rPr>
        <w:t xml:space="preserve"> </w:t>
      </w:r>
      <w:r>
        <w:rPr>
          <w:i/>
          <w:iCs/>
          <w:lang w:val="en-US"/>
        </w:rPr>
        <w:t>influenzae</w:t>
      </w:r>
      <w:r>
        <w:t xml:space="preserve"> типа В для базовой вакцинации детей в возрасте до одного года.  Необходимо оценить, как это повлияло на распространенность случаев менингита, вызываемых этой бактерией.</w:t>
      </w:r>
    </w:p>
    <w:p w:rsidR="00000000" w:rsidRDefault="00000000"/>
    <w:p w:rsidR="00000000" w:rsidRDefault="00000000">
      <w:r>
        <w:t>692.</w:t>
      </w:r>
      <w:r>
        <w:tab/>
        <w:t xml:space="preserve">Конкретные задачи сводятся к следующему:  повысить качество медицинского обслуживания больных менингитом;  усовершенствовать методы лабораторной диагностики менингита;  повысить эффективность эпидемиологического исследования случаев менингита, обеспечив при этом своевременное осуществление мер по борьбе с этой болезнью;  а также разработать национальную политику в области научных исследований и использования вакцин против </w:t>
      </w:r>
      <w:r>
        <w:rPr>
          <w:i/>
          <w:iCs/>
          <w:lang w:val="en-US"/>
        </w:rPr>
        <w:t>Neisseria</w:t>
      </w:r>
      <w:r>
        <w:rPr>
          <w:i/>
          <w:iCs/>
        </w:rPr>
        <w:t xml:space="preserve"> </w:t>
      </w:r>
      <w:r>
        <w:rPr>
          <w:i/>
          <w:iCs/>
          <w:lang w:val="en-US"/>
        </w:rPr>
        <w:t>meningitidis</w:t>
      </w:r>
      <w:r>
        <w:t xml:space="preserve">. </w:t>
      </w:r>
      <w:r>
        <w:rPr>
          <w:i/>
          <w:iCs/>
        </w:rPr>
        <w:t xml:space="preserve"> </w:t>
      </w:r>
    </w:p>
    <w:p w:rsidR="00000000" w:rsidRDefault="00000000"/>
    <w:p w:rsidR="00000000" w:rsidRDefault="00000000">
      <w:pPr>
        <w:rPr>
          <w:i/>
          <w:iCs/>
        </w:rPr>
      </w:pPr>
      <w:r>
        <w:t>693.</w:t>
      </w:r>
      <w:r>
        <w:tab/>
        <w:t xml:space="preserve">Были намечены следующие цели:  организация совместных специальных выездных консультаций в штатах с охватом вопросов наблюдения, эпидемиологии, медико-санитарной помощи и лабораторной диагностики;  содействие интеграции медико-санитарной помощи, эпидемиологического наблюдения и лабораторной диагностики;  повышение до 80% доли случаев бактериального менингита, диагностированных с помощью выделения бактериологической культуры;  разработка национальной политики в области вакцинации против </w:t>
      </w:r>
      <w:r>
        <w:rPr>
          <w:i/>
          <w:iCs/>
          <w:lang w:val="en-US"/>
        </w:rPr>
        <w:t>Neisseria</w:t>
      </w:r>
      <w:r>
        <w:rPr>
          <w:i/>
          <w:iCs/>
        </w:rPr>
        <w:t xml:space="preserve"> </w:t>
      </w:r>
      <w:r>
        <w:rPr>
          <w:i/>
          <w:iCs/>
          <w:lang w:val="en-US"/>
        </w:rPr>
        <w:t>meningitidis</w:t>
      </w:r>
      <w:r>
        <w:t>.</w:t>
      </w:r>
    </w:p>
    <w:p w:rsidR="00000000" w:rsidRDefault="00000000">
      <w:pPr>
        <w:rPr>
          <w:i/>
          <w:iCs/>
        </w:rPr>
      </w:pPr>
    </w:p>
    <w:p w:rsidR="00000000" w:rsidRDefault="00000000">
      <w:r>
        <w:t>694.</w:t>
      </w:r>
      <w:r>
        <w:tab/>
        <w:t xml:space="preserve">Принимаемые меры сводятся к следующему:  организация специальных выездных консультаций в штатах;  воссоздание Технического консультативного комитета по менингиту;  проведение совещаний этого Комитета;  рассмотрение технических стандартов эпидемиологического контроля за распространением менингита;  обновление информации о случаях менингита;  стимулирование интеграции между службами, предоставляющими медико-санитарную помощь, осуществляющими лабораторную диагностику и эпидемиологическое наблюдение;  содействие проведению исследований в области использования вакцин для борьбы с менингитом;  оценка воздействия новой вакцины против </w:t>
      </w:r>
      <w:r>
        <w:rPr>
          <w:i/>
          <w:iCs/>
          <w:lang w:val="en-US"/>
        </w:rPr>
        <w:t>Haemophilus</w:t>
      </w:r>
      <w:r>
        <w:rPr>
          <w:i/>
          <w:iCs/>
        </w:rPr>
        <w:t xml:space="preserve"> </w:t>
      </w:r>
      <w:r>
        <w:rPr>
          <w:i/>
          <w:iCs/>
          <w:lang w:val="en-US"/>
        </w:rPr>
        <w:t>influenzae</w:t>
      </w:r>
      <w:r>
        <w:rPr>
          <w:i/>
          <w:iCs/>
        </w:rPr>
        <w:t xml:space="preserve"> </w:t>
      </w:r>
      <w:r>
        <w:t>типа В;  приглашение консультанта по ведению базы данных о случаях менингита;  организация соответствующих мероприятий с участием журналистов для обеспечения более широкого освещения вопросов, связанных с менингитом и потребностью в вакцинах;  реорганизация сети медико-санитарного просвещения с целью развенчание мифов о роли вакцин в профилактике этого заболевания и ознакомления общественности со сложностью ситуации и разницей между различными видами менингита.</w:t>
      </w:r>
    </w:p>
    <w:p w:rsidR="00000000" w:rsidRDefault="00000000"/>
    <w:p w:rsidR="00000000" w:rsidRDefault="00000000">
      <w:pPr>
        <w:pStyle w:val="Heading2"/>
        <w:rPr>
          <w:b/>
          <w:bCs/>
          <w:u w:val="none"/>
        </w:rPr>
      </w:pPr>
      <w:r>
        <w:rPr>
          <w:b/>
          <w:bCs/>
          <w:u w:val="none"/>
        </w:rPr>
        <w:t>Борьба с холерой</w:t>
      </w:r>
    </w:p>
    <w:p w:rsidR="00000000" w:rsidRDefault="00000000">
      <w:pPr>
        <w:pStyle w:val="Heading2"/>
      </w:pPr>
    </w:p>
    <w:p w:rsidR="00000000" w:rsidRDefault="00000000">
      <w:r>
        <w:t>695.</w:t>
      </w:r>
      <w:r>
        <w:tab/>
        <w:t>Холера вновь появилась в Бразилии в 1991 году в районе Амазонки после того, как она была занесена в Южную Америку через Перу.  В течение трех последующих лет эта болезнь распространилась в других частях страны, особенно на северо-востоке.  Пик эпидемии пришелся на 1993 год, когда было выявлено 60 340 случаев заболевания, причем свыше 90% приходилось на северо-восточный регион.  Начиная с 1995 года отмечалось значительное снижение числа выявленных случаев заболеваний, которые были характерны исключительно для некоторых штатов северо-востока Бразилии.  Однако в 1999 году холера вновь появилась в Бразилии, причем к октябрю этого года было отмечено 4 484 случая заболевания.  Две вспышки холеры наблюдались также за пределами северо-восточного региона:  в апреле и мае в Панагуа, штат Парана, - 467 случаев и в Педра Азул, штат Минас-Жерайс, - восемь случаев.</w:t>
      </w:r>
    </w:p>
    <w:p w:rsidR="00000000" w:rsidRDefault="00000000"/>
    <w:p w:rsidR="00000000" w:rsidRDefault="00000000">
      <w:r>
        <w:t>696.</w:t>
      </w:r>
      <w:r>
        <w:tab/>
        <w:t>Холера стала эндемичным заболеванием в северо-восточном регионе Бразилии в силу плохих условий жизни большей части его населения.  Повторное возникновение этой болезни может быть также вызвано последствиями засухи, в результате которой был затруднен доступ к безопасной питьевой воде, и увеличением контингента населения, уязвимого к этой болезни вследствие снижения иммунитета, созданного прежними эпидемиями.  Вспышка в Панагуа, которая, по всей вероятности, была связана с потреблением сырых морских продуктов, носила взрывной характер, но ситуация была быстро взята под контроль, и болезнь не распространилась на близлежащие муниципальные округа.  Вспышка в Педра Азул была незначительной по своим масштабам.</w:t>
      </w:r>
    </w:p>
    <w:p w:rsidR="00000000" w:rsidRDefault="00000000"/>
    <w:p w:rsidR="00000000" w:rsidRDefault="00000000">
      <w:r>
        <w:t>697.</w:t>
      </w:r>
      <w:r>
        <w:tab/>
        <w:t>В силу невозможности решения в краткосрочном плане основных проблем в сфере санитарии крайне необходимо начать осуществление совместных мероприятий по эпидемиологическому, экологическому и санитарному контролю, наладить диагностику и лечение этого заболевания на ранней стадии, а также принять меры по санитарному просвещению населения в целях снижения заболеваемости и смертности, а также уменьшения социально-экономических последствий этого заболевания.</w:t>
      </w:r>
    </w:p>
    <w:p w:rsidR="00000000" w:rsidRDefault="00000000"/>
    <w:p w:rsidR="00000000" w:rsidRDefault="00000000">
      <w:r>
        <w:t>698.</w:t>
      </w:r>
      <w:r>
        <w:tab/>
        <w:t xml:space="preserve">Задачи в этой области сводятся к следующему:  обнаружение изменений в эпидемиологии болезней, связанных с острой диареей, в целях своевременного принятия мер по борьбе с холерой;  быстрое выявление </w:t>
      </w:r>
      <w:r>
        <w:rPr>
          <w:i/>
          <w:iCs/>
          <w:lang w:val="en-US"/>
        </w:rPr>
        <w:t>Vibrio</w:t>
      </w:r>
      <w:r>
        <w:rPr>
          <w:i/>
          <w:iCs/>
        </w:rPr>
        <w:t xml:space="preserve"> </w:t>
      </w:r>
      <w:r>
        <w:rPr>
          <w:i/>
          <w:iCs/>
          <w:lang w:val="en-US"/>
        </w:rPr>
        <w:t>choleara</w:t>
      </w:r>
      <w:r>
        <w:rPr>
          <w:i/>
          <w:iCs/>
        </w:rPr>
        <w:t xml:space="preserve"> </w:t>
      </w:r>
      <w:r>
        <w:t>в водоемах в целях проведения экстренных мероприятий по предупреждению холеры и борьбе с ней;  поощрение совместных действий по эпидемиологическому, экологическому и санитарному контролю и лабораторной диагностике;  проведение санитарно-просветительных мероприятий в целях борьбы с распространением этой болезни, сокращения уровня заболеваемости и смертности.</w:t>
      </w:r>
    </w:p>
    <w:p w:rsidR="00000000" w:rsidRDefault="00000000"/>
    <w:p w:rsidR="00000000" w:rsidRDefault="00000000">
      <w:r>
        <w:t>699.</w:t>
      </w:r>
      <w:r>
        <w:tab/>
        <w:t xml:space="preserve">Намеченные цели:  осуществление Программы мониторинга острой диареи (ПМОД - </w:t>
      </w:r>
      <w:r>
        <w:rPr>
          <w:i/>
          <w:iCs/>
          <w:lang w:val="en-US"/>
        </w:rPr>
        <w:t>Programa</w:t>
      </w:r>
      <w:r>
        <w:rPr>
          <w:i/>
          <w:iCs/>
        </w:rPr>
        <w:t xml:space="preserve"> </w:t>
      </w:r>
      <w:r>
        <w:rPr>
          <w:i/>
          <w:iCs/>
          <w:lang w:val="en-US"/>
        </w:rPr>
        <w:t>de</w:t>
      </w:r>
      <w:r>
        <w:rPr>
          <w:i/>
          <w:iCs/>
        </w:rPr>
        <w:t xml:space="preserve"> </w:t>
      </w:r>
      <w:r>
        <w:rPr>
          <w:i/>
          <w:iCs/>
          <w:lang w:val="en-US"/>
        </w:rPr>
        <w:t>Monitoriza</w:t>
      </w:r>
      <w:r>
        <w:rPr>
          <w:i/>
          <w:iCs/>
        </w:rPr>
        <w:t>çã</w:t>
      </w:r>
      <w:r>
        <w:rPr>
          <w:i/>
          <w:iCs/>
          <w:lang w:val="en-US"/>
        </w:rPr>
        <w:t>o</w:t>
      </w:r>
      <w:r>
        <w:rPr>
          <w:i/>
          <w:iCs/>
        </w:rPr>
        <w:t xml:space="preserve"> </w:t>
      </w:r>
      <w:r>
        <w:rPr>
          <w:i/>
          <w:iCs/>
          <w:lang w:val="en-US"/>
        </w:rPr>
        <w:t>das</w:t>
      </w:r>
      <w:r>
        <w:rPr>
          <w:i/>
          <w:iCs/>
        </w:rPr>
        <w:t xml:space="preserve"> </w:t>
      </w:r>
      <w:r>
        <w:rPr>
          <w:i/>
          <w:iCs/>
          <w:lang w:val="en-US"/>
        </w:rPr>
        <w:t>Doen</w:t>
      </w:r>
      <w:r>
        <w:rPr>
          <w:i/>
          <w:iCs/>
        </w:rPr>
        <w:t>ças Diarréicas Ag</w:t>
      </w:r>
      <w:r>
        <w:rPr>
          <w:i/>
          <w:iCs/>
          <w:lang w:val="en-US"/>
        </w:rPr>
        <w:t>u</w:t>
      </w:r>
      <w:r>
        <w:rPr>
          <w:i/>
          <w:iCs/>
        </w:rPr>
        <w:t xml:space="preserve">das) </w:t>
      </w:r>
      <w:r>
        <w:t xml:space="preserve">во всех 27 штатах Бразилии с уделением первоочередного внимания северу и северо-востоку, а также районам высокого риска в других частях страны;  быстрое обнаружение и надлежащее исследование всех вспышек холеры;  выявление случаев возникновения </w:t>
      </w:r>
      <w:r>
        <w:rPr>
          <w:i/>
          <w:iCs/>
          <w:lang w:val="en-US"/>
        </w:rPr>
        <w:t>V</w:t>
      </w:r>
      <w:r>
        <w:rPr>
          <w:i/>
          <w:iCs/>
        </w:rPr>
        <w:t xml:space="preserve">. </w:t>
      </w:r>
      <w:r>
        <w:rPr>
          <w:i/>
          <w:iCs/>
          <w:lang w:val="en-US"/>
        </w:rPr>
        <w:t>cholerae</w:t>
      </w:r>
      <w:r>
        <w:t xml:space="preserve"> путем экологического наблюдения и проверки качества питьевой воды.</w:t>
      </w:r>
    </w:p>
    <w:p w:rsidR="00000000" w:rsidRDefault="00000000">
      <w:pPr>
        <w:pStyle w:val="FootnoteText"/>
        <w:spacing w:line="288" w:lineRule="auto"/>
      </w:pPr>
    </w:p>
    <w:p w:rsidR="00000000" w:rsidRDefault="00000000">
      <w:r>
        <w:t>700.</w:t>
      </w:r>
      <w:r>
        <w:tab/>
        <w:t>Принимаемые меры предусматривают направление в штаты и муниципальные округа специалистов по осуществлению Программы мониторинга острой диареи (ПМОД);  оказание прямой технической поддержки штатам и муниципальным округам в исследовании вспышек холеры;  пересмотр Комплексного пособия по профилактике холеры и борьбе с ней (</w:t>
      </w:r>
      <w:r>
        <w:rPr>
          <w:i/>
          <w:iCs/>
          <w:lang w:val="en-US"/>
        </w:rPr>
        <w:t>Manual</w:t>
      </w:r>
      <w:r>
        <w:rPr>
          <w:i/>
          <w:iCs/>
        </w:rPr>
        <w:t xml:space="preserve"> </w:t>
      </w:r>
      <w:r>
        <w:rPr>
          <w:i/>
          <w:iCs/>
          <w:lang w:val="en-US"/>
        </w:rPr>
        <w:t>Integrado</w:t>
      </w:r>
      <w:r>
        <w:rPr>
          <w:i/>
          <w:iCs/>
        </w:rPr>
        <w:t xml:space="preserve"> </w:t>
      </w:r>
      <w:r>
        <w:rPr>
          <w:i/>
          <w:iCs/>
          <w:lang w:val="en-US"/>
        </w:rPr>
        <w:t>de</w:t>
      </w:r>
      <w:r>
        <w:rPr>
          <w:i/>
          <w:iCs/>
        </w:rPr>
        <w:t xml:space="preserve"> </w:t>
      </w:r>
      <w:r>
        <w:rPr>
          <w:i/>
          <w:iCs/>
          <w:lang w:val="en-US"/>
        </w:rPr>
        <w:t>Preven</w:t>
      </w:r>
      <w:r>
        <w:rPr>
          <w:i/>
          <w:iCs/>
        </w:rPr>
        <w:t>çã</w:t>
      </w:r>
      <w:r>
        <w:rPr>
          <w:i/>
          <w:iCs/>
          <w:lang w:val="en-US"/>
        </w:rPr>
        <w:t>o</w:t>
      </w:r>
      <w:r>
        <w:rPr>
          <w:i/>
          <w:iCs/>
        </w:rPr>
        <w:t xml:space="preserve"> </w:t>
      </w:r>
      <w:r>
        <w:rPr>
          <w:i/>
          <w:iCs/>
          <w:lang w:val="en-US"/>
        </w:rPr>
        <w:t>e</w:t>
      </w:r>
      <w:r>
        <w:rPr>
          <w:i/>
          <w:iCs/>
        </w:rPr>
        <w:t xml:space="preserve"> </w:t>
      </w:r>
      <w:r>
        <w:rPr>
          <w:i/>
          <w:iCs/>
          <w:lang w:val="en-US"/>
        </w:rPr>
        <w:t>Controle</w:t>
      </w:r>
      <w:r>
        <w:rPr>
          <w:i/>
          <w:iCs/>
        </w:rPr>
        <w:t xml:space="preserve"> </w:t>
      </w:r>
      <w:r>
        <w:rPr>
          <w:i/>
          <w:iCs/>
          <w:lang w:val="en-US"/>
        </w:rPr>
        <w:t>de</w:t>
      </w:r>
      <w:r>
        <w:rPr>
          <w:i/>
          <w:iCs/>
        </w:rPr>
        <w:t xml:space="preserve"> </w:t>
      </w:r>
      <w:r>
        <w:rPr>
          <w:i/>
          <w:iCs/>
          <w:lang w:val="en-US"/>
        </w:rPr>
        <w:t>C</w:t>
      </w:r>
      <w:r>
        <w:rPr>
          <w:i/>
          <w:iCs/>
        </w:rPr>
        <w:t>ó</w:t>
      </w:r>
      <w:r>
        <w:rPr>
          <w:i/>
          <w:iCs/>
          <w:lang w:val="en-US"/>
        </w:rPr>
        <w:t>lera</w:t>
      </w:r>
      <w:r>
        <w:t>);  пересмотр инструкций по укреплению потенциала в области мониторинга острой диареи;  выделение средств в соответствии с соглашениями, заключенными с управлениями по делам здравоохранения штатов северо-восточной Бразилии, которые гарантируют осуществление мероприятий согласно Чрезвычайному плану профилактики холеры и борьбы с ней в северо-восточной Бразилии (</w:t>
      </w:r>
      <w:r>
        <w:rPr>
          <w:i/>
          <w:iCs/>
          <w:lang w:val="en-US"/>
        </w:rPr>
        <w:t>Plano</w:t>
      </w:r>
      <w:r>
        <w:rPr>
          <w:i/>
          <w:iCs/>
        </w:rPr>
        <w:t xml:space="preserve"> </w:t>
      </w:r>
      <w:r>
        <w:rPr>
          <w:i/>
          <w:iCs/>
          <w:lang w:val="en-US"/>
        </w:rPr>
        <w:t>Emergencial</w:t>
      </w:r>
      <w:r>
        <w:rPr>
          <w:i/>
          <w:iCs/>
        </w:rPr>
        <w:t xml:space="preserve"> </w:t>
      </w:r>
      <w:r>
        <w:rPr>
          <w:i/>
          <w:iCs/>
          <w:lang w:val="en-US"/>
        </w:rPr>
        <w:t>de</w:t>
      </w:r>
      <w:r>
        <w:rPr>
          <w:i/>
          <w:iCs/>
        </w:rPr>
        <w:t xml:space="preserve"> </w:t>
      </w:r>
      <w:r>
        <w:rPr>
          <w:i/>
          <w:iCs/>
          <w:lang w:val="en-US"/>
        </w:rPr>
        <w:t>Preven</w:t>
      </w:r>
      <w:r>
        <w:rPr>
          <w:i/>
          <w:iCs/>
        </w:rPr>
        <w:t>çã</w:t>
      </w:r>
      <w:r>
        <w:rPr>
          <w:i/>
          <w:iCs/>
          <w:lang w:val="en-US"/>
        </w:rPr>
        <w:t>o</w:t>
      </w:r>
      <w:r>
        <w:rPr>
          <w:i/>
          <w:iCs/>
        </w:rPr>
        <w:t xml:space="preserve"> </w:t>
      </w:r>
      <w:r>
        <w:rPr>
          <w:i/>
          <w:iCs/>
          <w:lang w:val="en-US"/>
        </w:rPr>
        <w:t>e</w:t>
      </w:r>
      <w:r>
        <w:rPr>
          <w:i/>
          <w:iCs/>
        </w:rPr>
        <w:t xml:space="preserve"> </w:t>
      </w:r>
      <w:r>
        <w:rPr>
          <w:i/>
          <w:iCs/>
          <w:lang w:val="en-US"/>
        </w:rPr>
        <w:t>Controle</w:t>
      </w:r>
      <w:r>
        <w:rPr>
          <w:i/>
          <w:iCs/>
        </w:rPr>
        <w:t xml:space="preserve"> </w:t>
      </w:r>
      <w:r>
        <w:rPr>
          <w:i/>
          <w:iCs/>
          <w:lang w:val="en-US"/>
        </w:rPr>
        <w:t>da</w:t>
      </w:r>
      <w:r>
        <w:rPr>
          <w:i/>
          <w:iCs/>
        </w:rPr>
        <w:t xml:space="preserve"> </w:t>
      </w:r>
      <w:r>
        <w:rPr>
          <w:i/>
          <w:iCs/>
          <w:lang w:val="en-US"/>
        </w:rPr>
        <w:t>C</w:t>
      </w:r>
      <w:r>
        <w:rPr>
          <w:i/>
          <w:iCs/>
        </w:rPr>
        <w:t>ó</w:t>
      </w:r>
      <w:r>
        <w:rPr>
          <w:i/>
          <w:iCs/>
          <w:lang w:val="en-US"/>
        </w:rPr>
        <w:t>lera</w:t>
      </w:r>
      <w:r>
        <w:rPr>
          <w:i/>
          <w:iCs/>
        </w:rPr>
        <w:t xml:space="preserve"> </w:t>
      </w:r>
      <w:r>
        <w:rPr>
          <w:i/>
          <w:iCs/>
          <w:lang w:val="en-US"/>
        </w:rPr>
        <w:t>no</w:t>
      </w:r>
      <w:r>
        <w:rPr>
          <w:i/>
          <w:iCs/>
        </w:rPr>
        <w:t xml:space="preserve"> </w:t>
      </w:r>
      <w:r>
        <w:rPr>
          <w:i/>
          <w:iCs/>
          <w:lang w:val="en-US"/>
        </w:rPr>
        <w:t>NORTHEAST</w:t>
      </w:r>
      <w:r>
        <w:t>);  выделение средств в соответствии с соглашениями о проведении мероприятий в рамках Чрезвычайного плана профилактики холеры и борьбы с ней в Паране (</w:t>
      </w:r>
      <w:r>
        <w:rPr>
          <w:i/>
          <w:iCs/>
          <w:lang w:val="en-US"/>
        </w:rPr>
        <w:t>Plano</w:t>
      </w:r>
      <w:r>
        <w:rPr>
          <w:i/>
          <w:iCs/>
        </w:rPr>
        <w:t xml:space="preserve"> </w:t>
      </w:r>
      <w:r>
        <w:rPr>
          <w:i/>
          <w:iCs/>
          <w:lang w:val="en-US"/>
        </w:rPr>
        <w:t>Emergencial</w:t>
      </w:r>
      <w:r>
        <w:rPr>
          <w:i/>
          <w:iCs/>
        </w:rPr>
        <w:t xml:space="preserve"> </w:t>
      </w:r>
      <w:r>
        <w:rPr>
          <w:i/>
          <w:iCs/>
          <w:lang w:val="en-US"/>
        </w:rPr>
        <w:t>de</w:t>
      </w:r>
      <w:r>
        <w:rPr>
          <w:i/>
          <w:iCs/>
        </w:rPr>
        <w:t xml:space="preserve"> </w:t>
      </w:r>
      <w:r>
        <w:rPr>
          <w:i/>
          <w:iCs/>
          <w:lang w:val="en-US"/>
        </w:rPr>
        <w:t>Preven</w:t>
      </w:r>
      <w:r>
        <w:rPr>
          <w:i/>
          <w:iCs/>
        </w:rPr>
        <w:t>çã</w:t>
      </w:r>
      <w:r>
        <w:rPr>
          <w:i/>
          <w:iCs/>
          <w:lang w:val="en-US"/>
        </w:rPr>
        <w:t>o</w:t>
      </w:r>
      <w:r>
        <w:rPr>
          <w:i/>
          <w:iCs/>
        </w:rPr>
        <w:t xml:space="preserve"> </w:t>
      </w:r>
      <w:r>
        <w:rPr>
          <w:i/>
          <w:iCs/>
          <w:lang w:val="en-US"/>
        </w:rPr>
        <w:t>e</w:t>
      </w:r>
      <w:r>
        <w:rPr>
          <w:i/>
          <w:iCs/>
        </w:rPr>
        <w:t xml:space="preserve"> </w:t>
      </w:r>
      <w:r>
        <w:rPr>
          <w:i/>
          <w:iCs/>
          <w:lang w:val="en-US"/>
        </w:rPr>
        <w:t>Controle</w:t>
      </w:r>
      <w:r>
        <w:rPr>
          <w:i/>
          <w:iCs/>
        </w:rPr>
        <w:t xml:space="preserve"> </w:t>
      </w:r>
      <w:r>
        <w:rPr>
          <w:i/>
          <w:iCs/>
          <w:lang w:val="en-US"/>
        </w:rPr>
        <w:t>da</w:t>
      </w:r>
      <w:r>
        <w:rPr>
          <w:i/>
          <w:iCs/>
        </w:rPr>
        <w:t xml:space="preserve"> </w:t>
      </w:r>
      <w:r>
        <w:rPr>
          <w:i/>
          <w:iCs/>
          <w:lang w:val="en-US"/>
        </w:rPr>
        <w:t>C</w:t>
      </w:r>
      <w:r>
        <w:rPr>
          <w:i/>
          <w:iCs/>
        </w:rPr>
        <w:t>ó</w:t>
      </w:r>
      <w:r>
        <w:rPr>
          <w:i/>
          <w:iCs/>
          <w:lang w:val="en-US"/>
        </w:rPr>
        <w:t>lera</w:t>
      </w:r>
      <w:r>
        <w:rPr>
          <w:i/>
          <w:iCs/>
        </w:rPr>
        <w:t xml:space="preserve"> </w:t>
      </w:r>
      <w:r>
        <w:rPr>
          <w:i/>
          <w:iCs/>
          <w:lang w:val="en-US"/>
        </w:rPr>
        <w:t>no</w:t>
      </w:r>
      <w:r>
        <w:rPr>
          <w:i/>
          <w:iCs/>
        </w:rPr>
        <w:t xml:space="preserve"> </w:t>
      </w:r>
      <w:r>
        <w:rPr>
          <w:i/>
          <w:iCs/>
          <w:lang w:val="en-US"/>
        </w:rPr>
        <w:t>Paran</w:t>
      </w:r>
      <w:r>
        <w:rPr>
          <w:i/>
          <w:iCs/>
        </w:rPr>
        <w:t>á</w:t>
      </w:r>
      <w:r>
        <w:t>);  подготовка учебных материалов и организация курсов подготовки специалистов для осуществления Программы мониторинга острой диареи в районах проживания коренных народов;  разработка графика распределения гипохлорита натрия в 2,5% из 27 штатов Бразилии, ответственность за которую возложена на КОДАМЕД/министерство здравоохранения;  создание во всех штатах через посредство государственных и медицинских лабораторий потенциала для проведения этиологической диагностики вспышек острой диареи;  более активное ознакомление населения с существующими средствами борьбы с этой болезнью через региональные и местные средства массовой информации муниципальных округов, отнесенных к категории приоритетных в рамках Чрезвычайного плана профилактики холеры и борьбы с ней в северо-восточной Бразилии;  активизация мероприятий по санитарному просвещению населения в муниципальных округах, которым отдается приоритет в рамках Чрезвычайного плана профилактики холеры и борьбы с ней в северо-восточной Бразилии;  активизация мер по профилактике холеры через посредство Программы охраны здоровья семьи, работников здравоохранения на уровне общины и активистов Движения сельской молодежи (</w:t>
      </w:r>
      <w:r>
        <w:rPr>
          <w:i/>
          <w:iCs/>
          <w:lang w:val="en-US"/>
        </w:rPr>
        <w:t>Pastoral</w:t>
      </w:r>
      <w:r>
        <w:rPr>
          <w:i/>
          <w:iCs/>
        </w:rPr>
        <w:t xml:space="preserve"> </w:t>
      </w:r>
      <w:r>
        <w:rPr>
          <w:i/>
          <w:iCs/>
          <w:lang w:val="en-US"/>
        </w:rPr>
        <w:t>de</w:t>
      </w:r>
      <w:r>
        <w:rPr>
          <w:i/>
          <w:iCs/>
        </w:rPr>
        <w:t xml:space="preserve"> </w:t>
      </w:r>
      <w:r>
        <w:rPr>
          <w:i/>
          <w:iCs/>
          <w:lang w:val="en-US"/>
        </w:rPr>
        <w:t>Crian</w:t>
      </w:r>
      <w:r>
        <w:rPr>
          <w:i/>
          <w:iCs/>
        </w:rPr>
        <w:t>ça</w:t>
      </w:r>
      <w:r>
        <w:t>);  налаживание мероприятий по профилактике холеры по линии Транспортных пассажирских компаний;  оповещение населения о мерах по выявлению и диагностике холеры через посредство сети медико-санитарной помощи в целях обеспечения быстрого обнаружения этой болезни.</w:t>
      </w:r>
    </w:p>
    <w:p w:rsidR="00000000" w:rsidRDefault="00000000"/>
    <w:p w:rsidR="00000000" w:rsidRDefault="00000000">
      <w:pPr>
        <w:pStyle w:val="Heading2"/>
        <w:rPr>
          <w:b/>
          <w:bCs/>
          <w:u w:val="none"/>
        </w:rPr>
      </w:pPr>
      <w:r>
        <w:rPr>
          <w:b/>
          <w:bCs/>
          <w:u w:val="none"/>
        </w:rPr>
        <w:t>Эпидемиологический контроль за болезнями, передаваемыми через продукты питания</w:t>
      </w:r>
    </w:p>
    <w:p w:rsidR="00000000" w:rsidRDefault="00000000">
      <w:pPr>
        <w:pStyle w:val="Heading2"/>
      </w:pPr>
    </w:p>
    <w:p w:rsidR="00000000" w:rsidRDefault="00000000">
      <w:r>
        <w:t>701.</w:t>
      </w:r>
      <w:r>
        <w:tab/>
        <w:t>В последние годы во всем мире отмечается значительное увеличение числа заболеваний, передаваемых через продукты питания, что обусловлено самыми различными факторами, в том числе ростом численности населения и быстрыми темпами урбанизации, особенно в развивающихся странах.  Это приводит к необходимости увеличения объемов сельскохозяйственного производства, в частности путем более интенсивного использования пестицидов при отсутствии эффективного контроля;  данное явление также обусловлено характерной для городского населения тенденцией покупать готовые к употреблению продукты (быстрого приготовления);  увеличением числа предприятий общепита;  ростом потребления пищевых продуктов на улице.  Все эти факторы приводят к росту потребления и предварительно обработанных пищевых продуктов с большим количеством добавок, потреблению свежих продуктов (овощей в виде салатов и корнеплодов, а также фруктов) без необходимой гигиенической обработки и дезинфекции, а также глобализации и рационализации международной торговли, что позволяет быстро отправлять продукты питания по самым различным направлениям.</w:t>
      </w:r>
    </w:p>
    <w:p w:rsidR="00000000" w:rsidRDefault="00000000"/>
    <w:p w:rsidR="00000000" w:rsidRDefault="00000000">
      <w:r>
        <w:t>702.</w:t>
      </w:r>
      <w:r>
        <w:tab/>
        <w:t xml:space="preserve">Страны, располагающие системами эпидемиологического контроля за болезнями, передающимися через продукты питания, отмечают увеличение числа вспышек этих заболеваний, затрагивающих все большее число людей.  Растет число микроорганизмов и химических загрязнителей, вызывающих болезни, передающиеся через пищевую цепочку.  Вспышки таких заболеваний все в меньшей степени связаны с классическим типом пищевых отравлений и все чаще представляют собой сравнительно размытую клиническую картину заболевания большого числа людей в различных городах и даже странах.  Эта проблема становится все более серьезной и требует принятия все более сложных и многоплановых мер по исследованию этих болезней и борьбе с ними.  </w:t>
      </w:r>
    </w:p>
    <w:p w:rsidR="00000000" w:rsidRDefault="00000000"/>
    <w:p w:rsidR="00000000" w:rsidRDefault="00000000">
      <w:r>
        <w:t>703.</w:t>
      </w:r>
      <w:r>
        <w:tab/>
        <w:t xml:space="preserve">До этой инициативы, осуществляемой СЕНЕПИ/Национальным фондом здравоохранения (ФУНАСА), в Бразилии не было общенациональной системы эпидемиологического контроля за болезнями, передающимися через продукты питания.  Задачи этой инициативы сводятся к следующему:  сокращению заболеваемости подобными болезнями, изучению эпидемиологии болезней, передающихся через продукты питания, среди бразильского населения;  выявлению тех видов перевозки и технологий производства пищевых продуктов, а также услуг в области питания, которые связаны с более высоким риском появления таких болезней;  выявлению мест, видов продуктов и этиологических агентов, с которыми в большей степени связана вероятность вспышек подобных заболеваний;  обеспечению обратной связи для подготовки и осуществления предложений, направленных на профилактику болезней, передающихся через продукты питания;  налаживанию постоянной системы просвещения практических работников здравоохранения, производителей продуктов питания, поставщиков соответствующих услуг и потребителей, что будет способствовать внедрению надлежащей практики хранения, обработки и подготовки пищевых продуктов.  </w:t>
      </w:r>
    </w:p>
    <w:p w:rsidR="00000000" w:rsidRDefault="00000000"/>
    <w:p w:rsidR="00000000" w:rsidRDefault="00000000">
      <w:r>
        <w:t>704.</w:t>
      </w:r>
      <w:r>
        <w:tab/>
        <w:t>Намеченные цели:  подготовка и распространение стандартов и руководящих принципов эпидемиологического контроля за болезнями, передающимися через продукты питания;  укрепление потенциала специалистов в области эпидемиологического контроля и ключевых лабораторий в столицах штатов, муниципальных округах и самих штатах в целях налаживания системы эпидемиологического контроля за болезнями, передающимися через продукты питания;  повышение информированности работников системы здравоохранения и населения в целом о важности сообщения о вспышках болезней, передающихся через продукты питания;  организация национального справочного центра по проблеме ботулизма.</w:t>
      </w:r>
    </w:p>
    <w:p w:rsidR="00000000" w:rsidRDefault="00000000"/>
    <w:p w:rsidR="00000000" w:rsidRDefault="00000000">
      <w:r>
        <w:t>705.</w:t>
      </w:r>
      <w:r>
        <w:tab/>
        <w:t>Стратегические направления деятельности:  подготовка Комплексного пособия по профилактике и борьбе с болезнями, передающимися через продукты питания (</w:t>
      </w:r>
      <w:r>
        <w:rPr>
          <w:i/>
          <w:iCs/>
          <w:lang w:val="en-US"/>
        </w:rPr>
        <w:t>Manual</w:t>
      </w:r>
      <w:r>
        <w:rPr>
          <w:i/>
          <w:iCs/>
        </w:rPr>
        <w:t xml:space="preserve"> </w:t>
      </w:r>
      <w:r>
        <w:rPr>
          <w:i/>
          <w:iCs/>
          <w:lang w:val="en-US"/>
        </w:rPr>
        <w:t>Integrado</w:t>
      </w:r>
      <w:r>
        <w:rPr>
          <w:i/>
          <w:iCs/>
        </w:rPr>
        <w:t xml:space="preserve"> </w:t>
      </w:r>
      <w:r>
        <w:rPr>
          <w:i/>
          <w:iCs/>
          <w:lang w:val="en-US"/>
        </w:rPr>
        <w:t>de</w:t>
      </w:r>
      <w:r>
        <w:rPr>
          <w:i/>
          <w:iCs/>
        </w:rPr>
        <w:t xml:space="preserve"> </w:t>
      </w:r>
      <w:r>
        <w:rPr>
          <w:i/>
          <w:iCs/>
          <w:lang w:val="en-US"/>
        </w:rPr>
        <w:t>Preven</w:t>
      </w:r>
      <w:r>
        <w:rPr>
          <w:i/>
          <w:iCs/>
        </w:rPr>
        <w:t>çã</w:t>
      </w:r>
      <w:r>
        <w:rPr>
          <w:i/>
          <w:iCs/>
          <w:lang w:val="en-US"/>
        </w:rPr>
        <w:t>o</w:t>
      </w:r>
      <w:r>
        <w:rPr>
          <w:i/>
          <w:iCs/>
        </w:rPr>
        <w:t xml:space="preserve"> </w:t>
      </w:r>
      <w:r>
        <w:rPr>
          <w:i/>
          <w:iCs/>
          <w:lang w:val="en-US"/>
        </w:rPr>
        <w:t>e</w:t>
      </w:r>
      <w:r>
        <w:rPr>
          <w:i/>
          <w:iCs/>
        </w:rPr>
        <w:t xml:space="preserve"> </w:t>
      </w:r>
      <w:r>
        <w:rPr>
          <w:i/>
          <w:iCs/>
          <w:lang w:val="en-US"/>
        </w:rPr>
        <w:t>Controle</w:t>
      </w:r>
      <w:r>
        <w:rPr>
          <w:i/>
          <w:iCs/>
        </w:rPr>
        <w:t xml:space="preserve"> </w:t>
      </w:r>
      <w:r>
        <w:rPr>
          <w:i/>
          <w:iCs/>
          <w:lang w:val="en-US"/>
        </w:rPr>
        <w:t>das</w:t>
      </w:r>
      <w:r>
        <w:rPr>
          <w:i/>
          <w:iCs/>
        </w:rPr>
        <w:t xml:space="preserve"> </w:t>
      </w:r>
      <w:r>
        <w:rPr>
          <w:i/>
          <w:iCs/>
          <w:lang w:val="en-US"/>
        </w:rPr>
        <w:t>DTA</w:t>
      </w:r>
      <w:r>
        <w:t>);  проведение ежегодных общенациональных семинаров по вопросам эпидемиологического контроля за болезнями, передающимися через продукты питания;  организация курсов повышения квалификации специалистов по эпидемиологическому контролю за подобными болезнями;  ознакомление студентов университетов и учащихся пищевых техникумов с практикой эпидемиологического контроля за болезнями, передающимися через продукты питания;  содействие установлению партнерских отношений с организациями по защите потребителей в качестве средства информирования населения о болезнях, передающихся через продукты питания;  внедрение постоянно действующих механизмов консультирования туристов о пищевых заболеваниях;  ознакомление с мерами профилактики болезней, передающихся через пищу, работников общепита, супермаркетов, составителей и ведущих телевизионных передач о кулинарных рецептах, сотрудников школьных столовых и пр.;  осуществление проекта эпидемиологического контроля за болезнями, передающимися через продукты питания, во всех управлениях по делам здравоохранения штатов и муниципальных округов в столицах штатов;  оснащение ключевых лабораторий оборудованием для этиологического диагноза болезней, передающихся через продукты питания, и проведение броматологического анализа, необходимого для изучения этих заболеваний.</w:t>
      </w:r>
    </w:p>
    <w:p w:rsidR="00000000" w:rsidRDefault="00000000"/>
    <w:p w:rsidR="00000000" w:rsidRDefault="00000000">
      <w:pPr>
        <w:rPr>
          <w:b/>
          <w:bCs/>
        </w:rPr>
      </w:pPr>
      <w:r>
        <w:rPr>
          <w:b/>
          <w:bCs/>
        </w:rPr>
        <w:t xml:space="preserve">Интродукция вакцины против </w:t>
      </w:r>
      <w:r>
        <w:rPr>
          <w:b/>
          <w:bCs/>
          <w:i/>
          <w:iCs/>
          <w:lang w:val="en-US"/>
        </w:rPr>
        <w:t>Hae</w:t>
      </w:r>
      <w:r>
        <w:rPr>
          <w:b/>
          <w:bCs/>
          <w:i/>
          <w:iCs/>
        </w:rPr>
        <w:t>m</w:t>
      </w:r>
      <w:r>
        <w:rPr>
          <w:b/>
          <w:bCs/>
          <w:i/>
          <w:iCs/>
          <w:lang w:val="en-US"/>
        </w:rPr>
        <w:t>ophilus</w:t>
      </w:r>
      <w:r>
        <w:rPr>
          <w:b/>
          <w:bCs/>
          <w:i/>
          <w:iCs/>
        </w:rPr>
        <w:t xml:space="preserve"> </w:t>
      </w:r>
      <w:r>
        <w:rPr>
          <w:b/>
          <w:bCs/>
          <w:i/>
          <w:iCs/>
          <w:lang w:val="en-US"/>
        </w:rPr>
        <w:t>influenzae</w:t>
      </w:r>
      <w:r>
        <w:rPr>
          <w:b/>
          <w:bCs/>
          <w:i/>
          <w:iCs/>
        </w:rPr>
        <w:t xml:space="preserve"> (Н</w:t>
      </w:r>
      <w:r>
        <w:rPr>
          <w:b/>
          <w:bCs/>
          <w:i/>
          <w:iCs/>
          <w:lang w:val="en-US"/>
        </w:rPr>
        <w:t>IB</w:t>
      </w:r>
      <w:r>
        <w:rPr>
          <w:b/>
          <w:bCs/>
          <w:i/>
          <w:iCs/>
        </w:rPr>
        <w:t>)</w:t>
      </w:r>
      <w:r>
        <w:rPr>
          <w:b/>
          <w:bCs/>
        </w:rPr>
        <w:t xml:space="preserve"> типа В</w:t>
      </w:r>
    </w:p>
    <w:p w:rsidR="00000000" w:rsidRDefault="00000000">
      <w:pPr>
        <w:pStyle w:val="FootnoteText"/>
        <w:spacing w:line="288" w:lineRule="auto"/>
      </w:pPr>
    </w:p>
    <w:p w:rsidR="00000000" w:rsidRDefault="00000000">
      <w:r>
        <w:t>706.</w:t>
      </w:r>
      <w:r>
        <w:tab/>
        <w:t>В рамках политики по обеспечению иммунизации населения по линии Национальной программы иммунизации Бразилии (</w:t>
      </w:r>
      <w:r>
        <w:rPr>
          <w:i/>
          <w:iCs/>
          <w:lang w:val="en-US"/>
        </w:rPr>
        <w:t>Programa</w:t>
      </w:r>
      <w:r>
        <w:rPr>
          <w:i/>
          <w:iCs/>
        </w:rPr>
        <w:t xml:space="preserve"> </w:t>
      </w:r>
      <w:r>
        <w:rPr>
          <w:i/>
          <w:iCs/>
          <w:lang w:val="en-US"/>
        </w:rPr>
        <w:t>Nacional</w:t>
      </w:r>
      <w:r>
        <w:rPr>
          <w:i/>
          <w:iCs/>
        </w:rPr>
        <w:t xml:space="preserve"> </w:t>
      </w:r>
      <w:r>
        <w:rPr>
          <w:i/>
          <w:iCs/>
          <w:lang w:val="en-US"/>
        </w:rPr>
        <w:t>de</w:t>
      </w:r>
      <w:r>
        <w:rPr>
          <w:i/>
          <w:iCs/>
        </w:rPr>
        <w:t> </w:t>
      </w:r>
      <w:r>
        <w:rPr>
          <w:i/>
          <w:iCs/>
          <w:lang w:val="en-US"/>
        </w:rPr>
        <w:t>Imuniza</w:t>
      </w:r>
      <w:r>
        <w:rPr>
          <w:i/>
          <w:iCs/>
        </w:rPr>
        <w:t>çõе</w:t>
      </w:r>
      <w:r>
        <w:rPr>
          <w:i/>
          <w:iCs/>
          <w:lang w:val="en-US"/>
        </w:rPr>
        <w:t>s</w:t>
      </w:r>
      <w:r>
        <w:t xml:space="preserve">) в 1999-2000 годах стала использоваться вакцина против </w:t>
      </w:r>
      <w:r>
        <w:rPr>
          <w:i/>
          <w:iCs/>
          <w:lang w:val="en-US"/>
        </w:rPr>
        <w:t>Haemophilus</w:t>
      </w:r>
      <w:r>
        <w:rPr>
          <w:i/>
          <w:iCs/>
        </w:rPr>
        <w:t xml:space="preserve"> </w:t>
      </w:r>
      <w:r>
        <w:rPr>
          <w:i/>
          <w:iCs/>
          <w:lang w:val="en-US"/>
        </w:rPr>
        <w:t>influenzae</w:t>
      </w:r>
      <w:r>
        <w:t xml:space="preserve"> типа В для детей в возрасте до двух лет.</w:t>
      </w:r>
    </w:p>
    <w:p w:rsidR="00000000" w:rsidRDefault="00000000"/>
    <w:p w:rsidR="00000000" w:rsidRDefault="00000000">
      <w:r>
        <w:t>707.</w:t>
      </w:r>
      <w:r>
        <w:tab/>
        <w:t xml:space="preserve">В ряде международных публикаций указывается, что две трети случаев серьезных заболеваний, вызванных </w:t>
      </w:r>
      <w:r>
        <w:rPr>
          <w:i/>
          <w:iCs/>
          <w:lang w:val="en-US"/>
        </w:rPr>
        <w:t>Haemophilus</w:t>
      </w:r>
      <w:r>
        <w:rPr>
          <w:i/>
          <w:iCs/>
        </w:rPr>
        <w:t xml:space="preserve"> </w:t>
      </w:r>
      <w:r>
        <w:rPr>
          <w:i/>
          <w:iCs/>
          <w:lang w:val="en-US"/>
        </w:rPr>
        <w:t>influenzae</w:t>
      </w:r>
      <w:r>
        <w:t xml:space="preserve"> типа В, приходятся на младенцев в возрасте до 18 месяцев.  В развитых странах до введения системы вакцинации распространенность инвазивной инфекции составляла 40-130 случаев на 100 000 детей в возрасте до пяти лет.  С 80-х годов </w:t>
      </w:r>
      <w:r>
        <w:rPr>
          <w:i/>
          <w:iCs/>
          <w:lang w:val="en-US"/>
        </w:rPr>
        <w:t>Haemophilus</w:t>
      </w:r>
      <w:r>
        <w:rPr>
          <w:i/>
          <w:iCs/>
        </w:rPr>
        <w:t xml:space="preserve"> </w:t>
      </w:r>
      <w:r>
        <w:rPr>
          <w:i/>
          <w:iCs/>
          <w:lang w:val="en-US"/>
        </w:rPr>
        <w:t>influenzae</w:t>
      </w:r>
      <w:r>
        <w:t xml:space="preserve"> типа В стал основной причиной появления менингита среди детей этой возрастной группы, в наибольшей степени поражая младенцев в возрасте 6-9 месяцев, но при этом затрагивая и другие уязвимые группы.  Смерть от этих видов менингита в развитых странах достигает 1-5%, причем 15</w:t>
      </w:r>
      <w:r>
        <w:noBreakHyphen/>
        <w:t xml:space="preserve">30% выживших страдают от таких постоянных неврологических последствий, таких, как конвульсии и умственная отсталость.  </w:t>
      </w:r>
    </w:p>
    <w:p w:rsidR="00000000" w:rsidRDefault="00000000"/>
    <w:p w:rsidR="00000000" w:rsidRDefault="00000000">
      <w:r>
        <w:t>708.</w:t>
      </w:r>
      <w:r>
        <w:tab/>
        <w:t xml:space="preserve">Анализ данных, представленных в мае 1999 года КОВЕПИ на основании материалов Национального эпидемиологического центра/Национального фонда здравоохранения/ министерства здравоохранения, свидетельствует о том, что в Бразилии в 1983-1996 годах было отмечено 15 927 случаев заболевания менингитом, вызванным </w:t>
      </w:r>
      <w:r>
        <w:rPr>
          <w:i/>
          <w:iCs/>
          <w:lang w:val="en-US"/>
        </w:rPr>
        <w:t>Haemophilus</w:t>
      </w:r>
      <w:r>
        <w:rPr>
          <w:i/>
          <w:iCs/>
        </w:rPr>
        <w:t xml:space="preserve"> </w:t>
      </w:r>
      <w:r>
        <w:rPr>
          <w:i/>
          <w:iCs/>
          <w:lang w:val="en-US"/>
        </w:rPr>
        <w:t>influenzae</w:t>
      </w:r>
      <w:r>
        <w:t xml:space="preserve"> типа В, из общего числа 326 022 случаев менингита;  при этом 7 607 случаев (47,8%) касались малолетних детей в возрасте до одного года и 14 243 случаев (89,43%) </w:t>
      </w:r>
      <w:r>
        <w:noBreakHyphen/>
        <w:t xml:space="preserve"> детей в возрасте до пяти лет.  Менингит, вызываемый </w:t>
      </w:r>
      <w:r>
        <w:rPr>
          <w:i/>
          <w:iCs/>
          <w:lang w:val="en-US"/>
        </w:rPr>
        <w:t>Haemophilus</w:t>
      </w:r>
      <w:r>
        <w:rPr>
          <w:i/>
          <w:iCs/>
        </w:rPr>
        <w:t xml:space="preserve"> </w:t>
      </w:r>
      <w:r>
        <w:rPr>
          <w:i/>
          <w:iCs/>
          <w:lang w:val="en-US"/>
        </w:rPr>
        <w:t>influenzae</w:t>
      </w:r>
      <w:r>
        <w:t xml:space="preserve"> типа В, является эндемичным во всей Бразилии с различными показателями заболеваемости по отдельным штатам.</w:t>
      </w:r>
    </w:p>
    <w:p w:rsidR="00000000" w:rsidRDefault="00000000"/>
    <w:p w:rsidR="00000000" w:rsidRDefault="00000000">
      <w:r>
        <w:t>709.</w:t>
      </w:r>
      <w:r>
        <w:tab/>
        <w:t>В состав используемой в Бразилии вакцины входят смешанные полисахариды, обеспечивающие хороший иммуногенез у вакцинируемого контингента.</w:t>
      </w:r>
    </w:p>
    <w:p w:rsidR="00000000" w:rsidRDefault="00000000"/>
    <w:p w:rsidR="00000000" w:rsidRDefault="00000000">
      <w:r>
        <w:t>710.</w:t>
      </w:r>
      <w:r>
        <w:tab/>
        <w:t>В 1999 году во всех штатах Бразилии, за исключение Акри, Мату-Гроссу-ду-Су и Мараньян, была проведена плановая вакцинация, которая оказалась весьма результативной.  Ожидается, что в ближайшее время это может привести к обновлению основных программ вакцинации младенцев, поскольку по времени ее использование совпадает с вакцинацией против ДСП (дифтерия/столбняк/полиомиелит).  Таким образом, это позволит сократить число лиц, не охваченных процессом иммунизации.  Данную кампанию предполагается провести в течение 2000 года одновременно с исследованием эпидемиологического воздействия данной вакцины.</w:t>
      </w:r>
    </w:p>
    <w:p w:rsidR="00000000" w:rsidRDefault="00000000"/>
    <w:p w:rsidR="00000000" w:rsidRDefault="00000000">
      <w:r>
        <w:t>711.</w:t>
      </w:r>
      <w:r>
        <w:tab/>
        <w:t>Плановыми вакцинациями после их введения в каждом штате должны быть охвачены все младенцы в возрасте до одного года.</w:t>
      </w:r>
    </w:p>
    <w:p w:rsidR="00000000" w:rsidRDefault="00000000"/>
    <w:p w:rsidR="00000000" w:rsidRDefault="00000000">
      <w:r>
        <w:t>712.</w:t>
      </w:r>
      <w:r>
        <w:tab/>
        <w:t>Данная вакцина предоставляется бесплатно во время плановой вакцинации в специальных центрах штатов для лиц с особыми клиническими показаниями:  детей в возрасте от двух месяцев до 18 лет с функциональной или анатомической аспленией;  детей с врожденным или приобретенным иммунодефицитом, в том числе симптоматическим или асимптоматическим СПИДом;  детей в возрасте до 5 лет с сердечно-сосудистыми заболеваниями или тяжелыми формами хронической пневмонии;  а также лиц с пересаженным костным мозгом.</w:t>
      </w:r>
    </w:p>
    <w:p w:rsidR="00000000" w:rsidRDefault="00000000"/>
    <w:p w:rsidR="00000000" w:rsidRDefault="00000000">
      <w:r>
        <w:t>713.</w:t>
      </w:r>
      <w:r>
        <w:tab/>
        <w:t xml:space="preserve">В 1999 году было вакцинировано около 4,5 млн. детей, в результате чего невакцинированными остаются порядка 2 млн. детей в возрасте до двух лет, иммунизация которых намечена на 2000 год.  Три штата, которые пока еще не ввели в практику вакцинацию против </w:t>
      </w:r>
      <w:r>
        <w:rPr>
          <w:i/>
          <w:iCs/>
          <w:lang w:val="en-US"/>
        </w:rPr>
        <w:t>Haemophilus</w:t>
      </w:r>
      <w:r>
        <w:rPr>
          <w:i/>
          <w:iCs/>
        </w:rPr>
        <w:t xml:space="preserve"> </w:t>
      </w:r>
      <w:r>
        <w:rPr>
          <w:i/>
          <w:iCs/>
          <w:lang w:val="en-US"/>
        </w:rPr>
        <w:t>influenzae</w:t>
      </w:r>
      <w:r>
        <w:t xml:space="preserve"> типа В в 1999 году (Акри, Мараньян и Мату-Гроссу-ду-Су), начнут проводить соответствующую работу с января 2000 года.</w:t>
      </w:r>
    </w:p>
    <w:p w:rsidR="00000000" w:rsidRDefault="00000000"/>
    <w:p w:rsidR="00000000" w:rsidRDefault="00000000">
      <w:r>
        <w:t>714.</w:t>
      </w:r>
      <w:r>
        <w:tab/>
        <w:t xml:space="preserve">В 2000 году КОПНИ/СЕНЕПИ проведет оценку эпидемиологических последствий применения этой вакцины в Бразилии.  Общая задача состоит в сокращении младенческой заболеваемости и смертности от инфекций, вызываемых </w:t>
      </w:r>
      <w:r>
        <w:rPr>
          <w:i/>
          <w:iCs/>
          <w:lang w:val="en-US"/>
        </w:rPr>
        <w:t>Haemophilus</w:t>
      </w:r>
      <w:r>
        <w:rPr>
          <w:i/>
          <w:iCs/>
        </w:rPr>
        <w:t xml:space="preserve"> </w:t>
      </w:r>
      <w:r>
        <w:rPr>
          <w:i/>
          <w:iCs/>
          <w:lang w:val="en-US"/>
        </w:rPr>
        <w:t>influenzae</w:t>
      </w:r>
      <w:r>
        <w:t xml:space="preserve"> типа В, путем использования соответствующей вакцины для детей в возрасте до двух лет и последующего улучшения качества жизни бразильского населения этой возрастной группы.</w:t>
      </w:r>
    </w:p>
    <w:p w:rsidR="00000000" w:rsidRDefault="00000000"/>
    <w:p w:rsidR="00000000" w:rsidRDefault="00000000">
      <w:r>
        <w:t>715.</w:t>
      </w:r>
      <w:r>
        <w:tab/>
        <w:t xml:space="preserve">Более конкретные задачи включают:  увеличение запасов вакцины и обеспечение контроля за инфекциями, вызываемыми </w:t>
      </w:r>
      <w:r>
        <w:rPr>
          <w:i/>
          <w:iCs/>
          <w:lang w:val="en-US"/>
        </w:rPr>
        <w:t>Haemophilus</w:t>
      </w:r>
      <w:r>
        <w:rPr>
          <w:i/>
          <w:iCs/>
        </w:rPr>
        <w:t xml:space="preserve"> </w:t>
      </w:r>
      <w:r>
        <w:rPr>
          <w:i/>
          <w:iCs/>
          <w:lang w:val="en-US"/>
        </w:rPr>
        <w:t>influenzae</w:t>
      </w:r>
      <w:r>
        <w:t xml:space="preserve"> типа В, в раннем детском возрасте;  иммунизация всех детей в возрасте до двух лет вакциной </w:t>
      </w:r>
      <w:r>
        <w:rPr>
          <w:i/>
          <w:iCs/>
          <w:lang w:val="en-US"/>
        </w:rPr>
        <w:t>Haemophilus</w:t>
      </w:r>
      <w:r>
        <w:rPr>
          <w:i/>
          <w:iCs/>
        </w:rPr>
        <w:t xml:space="preserve"> </w:t>
      </w:r>
      <w:r>
        <w:rPr>
          <w:i/>
          <w:iCs/>
          <w:lang w:val="en-US"/>
        </w:rPr>
        <w:t>influenzae</w:t>
      </w:r>
      <w:r>
        <w:t xml:space="preserve"> типа В в течение 1999 и 2000 годов с последующей вакцинацией младенцев в возрасте до одного года;  достижение и поддержание высоких и равных показателей охвата вакцинацией;  повышение значения вакцинации детей в возрасте до двух лет путем распределения соответствующих доз вакцины против </w:t>
      </w:r>
      <w:r>
        <w:rPr>
          <w:i/>
          <w:iCs/>
          <w:lang w:val="en-US"/>
        </w:rPr>
        <w:t>Haemophilus</w:t>
      </w:r>
      <w:r>
        <w:rPr>
          <w:i/>
          <w:iCs/>
        </w:rPr>
        <w:t xml:space="preserve"> </w:t>
      </w:r>
      <w:r>
        <w:rPr>
          <w:i/>
          <w:iCs/>
          <w:lang w:val="en-US"/>
        </w:rPr>
        <w:t>influenzae</w:t>
      </w:r>
      <w:r>
        <w:t xml:space="preserve"> типа В, и в частности вакцин против полиомиелита и ДСП;  содействие проведению соответствующих обследований, в частности стимулирование исследований эпидемиологических последствий применения этой вакцины в Бразилии.</w:t>
      </w:r>
    </w:p>
    <w:p w:rsidR="00000000" w:rsidRDefault="00000000"/>
    <w:p w:rsidR="00000000" w:rsidRDefault="00000000">
      <w:r>
        <w:t>716.</w:t>
      </w:r>
      <w:r>
        <w:tab/>
        <w:t xml:space="preserve">Основной намеченной целью является вакцинация против </w:t>
      </w:r>
      <w:r>
        <w:rPr>
          <w:i/>
          <w:iCs/>
        </w:rPr>
        <w:t>Haemophilus influenzae</w:t>
      </w:r>
      <w:r>
        <w:t xml:space="preserve"> типа В при поддержке управлений по делам здравоохранения штатов и муниципальных округов с охватом всех детей в возрасте до двух лет в течение 1999</w:t>
      </w:r>
      <w:r>
        <w:noBreakHyphen/>
        <w:t xml:space="preserve">2000 годов во всех муниципальных округах Бразилии с соблюдением стандартов НПИ.  Принимаемые меры:  гарантии приобретения и поставок вакцины для обеспечения полного охвата целевого контингента;  обсуждение с координаторами программы иммунизации, создание условий и проведение соответствующего инструктажа в связи с введением этой вакцины (декабрь 1998 года);  запрашивание у штатов их планов по осуществлению вакцинации;  организация курсов повышения квалификации специалистов в ходе вакцинации и в целях обеспечения эффективности групповой работы;  налаживание обратной связи со штатами путем подготовки технического доклада по новой вакцине;  консультирование и помощь штатам, сталкивающимся с серьезными проблемами при проведении вакцинации;  содействие проведению исследований для оценки последствий применения этой вакцины в Бразилии;  оповещение населения через средства массовой информации о вакцинации против </w:t>
      </w:r>
      <w:r>
        <w:rPr>
          <w:i/>
          <w:iCs/>
        </w:rPr>
        <w:t>Haemophilus influenzae</w:t>
      </w:r>
      <w:r>
        <w:t xml:space="preserve"> типа В в ходе кампании по комплексной вакцинации.</w:t>
      </w:r>
    </w:p>
    <w:p w:rsidR="00000000" w:rsidRDefault="00000000"/>
    <w:p w:rsidR="00000000" w:rsidRDefault="00000000">
      <w:pPr>
        <w:pStyle w:val="Heading2"/>
        <w:rPr>
          <w:b/>
          <w:bCs/>
          <w:u w:val="none"/>
        </w:rPr>
      </w:pPr>
      <w:r>
        <w:rPr>
          <w:b/>
          <w:bCs/>
          <w:u w:val="none"/>
        </w:rPr>
        <w:t>Инструкция противогриппозной вакцины</w:t>
      </w:r>
    </w:p>
    <w:p w:rsidR="00000000" w:rsidRDefault="00000000">
      <w:pPr>
        <w:pStyle w:val="Heading2"/>
      </w:pPr>
    </w:p>
    <w:p w:rsidR="00000000" w:rsidRDefault="00000000">
      <w:r>
        <w:t>717.</w:t>
      </w:r>
      <w:r>
        <w:tab/>
        <w:t>За последние несколько десятилетий нозологическая ситуация в стране коренным образом изменилась, - что является новым аспектом здравоохранения Бразилии - в результате систематического проведения кампаний иммунизации более молодых групп населения страны.  Эти меры содействовали обеспечению контроля, ликвидации и/или искоренению болезней, которые могут быть предупреждены с помощью иммунизации, что выразилось в падении показателей заболеваемости и смертности от этих болезней в соответствующих возрастных группах.</w:t>
      </w:r>
    </w:p>
    <w:p w:rsidR="00000000" w:rsidRDefault="00000000"/>
    <w:p w:rsidR="00000000" w:rsidRDefault="00000000">
      <w:r>
        <w:t>718.</w:t>
      </w:r>
      <w:r>
        <w:tab/>
        <w:t>Наглядным примером может служить Национальная программа иммунизации (</w:t>
      </w:r>
      <w:r>
        <w:rPr>
          <w:i/>
          <w:iCs/>
        </w:rPr>
        <w:t>Programa Nacional de Imunizações</w:t>
      </w:r>
      <w:r>
        <w:t>), которая была проведена в 1999 и 2000 годах и перед которой в настоящее время стоит новая задача:  охватить соответствующими мероприятиями престарелых и добиться прогресса на пути охвата услугами в этой области всего населения Бразилии.</w:t>
      </w:r>
    </w:p>
    <w:p w:rsidR="00000000" w:rsidRDefault="00000000"/>
    <w:p w:rsidR="00000000" w:rsidRDefault="00000000">
      <w:r>
        <w:t>719.</w:t>
      </w:r>
      <w:r>
        <w:tab/>
        <w:t xml:space="preserve">В рамках мероприятий по проведению Года престарелых, провозглашенного министерством здравоохранения в 1999 году, были выделены средства на организацию противогриппозной вакцинации этой возрастной группы, в которой, согласно информации Бразильского института географии и статистики (БИГС - </w:t>
      </w:r>
      <w:r>
        <w:rPr>
          <w:i/>
          <w:iCs/>
        </w:rPr>
        <w:t>Instituto Brasileiro de Geografia e Estatística)</w:t>
      </w:r>
      <w:r>
        <w:t>, наблюдался значительный рост заболеваемости этой болезнью на 18% среди лиц в возрасте свыше 60 лет в 1992-1997 годах).</w:t>
      </w:r>
    </w:p>
    <w:p w:rsidR="00000000" w:rsidRDefault="00000000"/>
    <w:p w:rsidR="00000000" w:rsidRDefault="00000000">
      <w:r>
        <w:t>720.</w:t>
      </w:r>
      <w:r>
        <w:tab/>
        <w:t>Число инфекционных заболеваний, вызываемых вирусом гриппа, возрастает по мере увеличения доли людей пожилого возраста в общей численности населения страны.  Для престарелых и лиц, страдающих хроническими заболеваниями, более высок риск получения послеинфекционных осложнений.  Грипп опасен прежде всего в силу скорости распространения эпидемии, высоких показателей заболеваемости и возможности тяжелых осложнений для престарелых.  Согласно исследованиям, проведенным в странах, где применяется противогриппозная вакцина, снижение уровня госпитализации достигает 70%, а смертность среди престарелых, проживающих дома, уменьшается до 85%.</w:t>
      </w:r>
    </w:p>
    <w:p w:rsidR="00000000" w:rsidRDefault="00000000"/>
    <w:p w:rsidR="00000000" w:rsidRDefault="00000000">
      <w:r>
        <w:t>721.</w:t>
      </w:r>
      <w:r>
        <w:tab/>
        <w:t>Противогриппозные вакцины, приобретенные и распространенные в Бразилии, соответствовали рекомендациям ВОЗ.  В их состав входит штамм вируса гриппа, ежегодно циркулирующего в северном и южном полушариях.</w:t>
      </w:r>
    </w:p>
    <w:p w:rsidR="00000000" w:rsidRDefault="00000000"/>
    <w:p w:rsidR="00000000" w:rsidRDefault="00000000">
      <w:r>
        <w:t>722.</w:t>
      </w:r>
      <w:r>
        <w:tab/>
        <w:t>По данным бразильских органов эпидемиологического контроля, период с марта по август является для этого вируса наиболее уязвимым.  В результате соответствующая кампания по вакцинации была проведена 12-30 апреля 1999 года с охватом лиц в возрасте свыше 65 лет и с одновременным обновлением вакцинации от дифтерии и столбняка (за последние несколько лет столбняк стал чаще наблюдаться в более старших возрастных группах);  для госпитализированных больных, лиц, проживающих в приютах и домах для престарелых, пациентов, страдающих хронической пневмопатией, кардиопатией и нефропатией, неоплазией, метаболическими расстройствами и иммунодепрессией, была проведена вакцинация против пневмококка.</w:t>
      </w:r>
    </w:p>
    <w:p w:rsidR="00000000" w:rsidRDefault="00000000"/>
    <w:p w:rsidR="00000000" w:rsidRDefault="00000000">
      <w:r>
        <w:t>723.</w:t>
      </w:r>
      <w:r>
        <w:tab/>
        <w:t>Распространенной причиной смерти является пневмококковая инфекция, в наибольшей степени поражающая престарелых, страдающих хроническими заболеваниями или имеющих нарушения в иммунной системе.  Еще более серьезные последствия эта инфекция имеет для неблагополучных в экономическом и социальном плане групп населения.  Во всем мире отмечается высокая и постоянно растущая резистентность к антибиотикам, подтверждая тот факт, что наилучшим методом является вакцинация.  В 2000 году намечено провести исследование ожидаемого воздействия и эпидемиологических последствий противогриппозной вакцинации среди населения в возрасте свыше 60 лет.</w:t>
      </w:r>
    </w:p>
    <w:p w:rsidR="00000000" w:rsidRDefault="00000000"/>
    <w:p w:rsidR="00000000" w:rsidRDefault="00000000">
      <w:r>
        <w:t>724.</w:t>
      </w:r>
      <w:r>
        <w:tab/>
        <w:t xml:space="preserve">Важно отметить, что в ходе плановой вакцинации государственная система здравоохранения обеспечивает бесплатное предоставление противогриппозной вакцины, а также проводит бесплатную вакцинацию против пневмококка в специальных медицинских центрах на уровне штатов для лиц с особым клиническим состоянием.  Противогриппозная вакцинация проводится для лиц с хронической кардиопатией и пневмопатией, муковисцидозом, синдромом Дауна, дважды перенесших пневмонию, и ВИЧ-инфицированных;  вакцинация против пневмококка проводится для взрослых и детей в возрасте свыше двух лет с анатомической или функциональной аспленией, циррозом печени, врожденным или приобретенным иммунодефицитом, гнойным свищем свищом, пересадками костного мозга, для пациентов, страдающих хроническими легочными или сердечно-сосудистыми болезнями, и больных сахарным диабетом, получающих инсулин. </w:t>
      </w:r>
    </w:p>
    <w:p w:rsidR="00000000" w:rsidRDefault="00000000"/>
    <w:p w:rsidR="00000000" w:rsidRDefault="00000000">
      <w:r>
        <w:t>725.</w:t>
      </w:r>
      <w:r>
        <w:tab/>
        <w:t>В 1999 году кампанией противогриппозной вакцинации в Бразилии было охвачено 87,3% населения в возрасте 65 лет и старше (5,32% от общей численности населения Бразилии), или 7 519 114 престарелых, что свидетельствует о положительном восприятии новой вакцины.  Что касается муниципальных округов, то в 88,43% из них были достигнуты целевые показатели охвата вакцинацией.  Прививки были сделаны более 70% населения (северная Бразилия - 83,52%;  северо-восток - 80,19%;  юго-восток - 91,66%;  юг - 97,58% и центрально-западный регион - 90,58%).</w:t>
      </w:r>
    </w:p>
    <w:p w:rsidR="00000000" w:rsidRDefault="00000000"/>
    <w:p w:rsidR="00000000" w:rsidRDefault="00000000">
      <w:r>
        <w:t>726.</w:t>
      </w:r>
      <w:r>
        <w:tab/>
        <w:t>Вакцинацией против пневмококка, которая проводилась одновременно с противогриппозной вакцинацией, было охвачено 871 913 престарелых (данные подлежат уточнению) в больницах, домах для престарелых и приютах, клиническое состояние которых делало их предрасположенными к инфекции и последующим осложнениям.</w:t>
      </w:r>
    </w:p>
    <w:p w:rsidR="00000000" w:rsidRDefault="00000000"/>
    <w:p w:rsidR="00000000" w:rsidRDefault="00000000">
      <w:pPr>
        <w:rPr>
          <w:iCs/>
        </w:rPr>
      </w:pPr>
      <w:r>
        <w:t>727.</w:t>
      </w:r>
      <w:r>
        <w:tab/>
        <w:t>В 2000 году в рамках кампании по вакцинации престарелых (</w:t>
      </w:r>
      <w:r>
        <w:rPr>
          <w:i/>
          <w:lang w:val="en-US"/>
        </w:rPr>
        <w:t>Campanha</w:t>
      </w:r>
      <w:r>
        <w:rPr>
          <w:i/>
        </w:rPr>
        <w:t xml:space="preserve"> </w:t>
      </w:r>
      <w:r>
        <w:rPr>
          <w:i/>
          <w:lang w:val="en-US"/>
        </w:rPr>
        <w:t>de</w:t>
      </w:r>
      <w:r>
        <w:rPr>
          <w:i/>
        </w:rPr>
        <w:t xml:space="preserve"> </w:t>
      </w:r>
      <w:r>
        <w:rPr>
          <w:i/>
          <w:lang w:val="en-US"/>
        </w:rPr>
        <w:t>Vacina</w:t>
      </w:r>
      <w:r>
        <w:rPr>
          <w:i/>
        </w:rPr>
        <w:t>çã</w:t>
      </w:r>
      <w:r>
        <w:rPr>
          <w:i/>
          <w:lang w:val="en-US"/>
        </w:rPr>
        <w:t>o</w:t>
      </w:r>
      <w:r>
        <w:rPr>
          <w:i/>
        </w:rPr>
        <w:t xml:space="preserve"> </w:t>
      </w:r>
      <w:r>
        <w:rPr>
          <w:i/>
          <w:lang w:val="en-US"/>
        </w:rPr>
        <w:t>dos</w:t>
      </w:r>
      <w:r>
        <w:rPr>
          <w:i/>
        </w:rPr>
        <w:t xml:space="preserve"> </w:t>
      </w:r>
      <w:r>
        <w:rPr>
          <w:i/>
          <w:lang w:val="en-US"/>
        </w:rPr>
        <w:t>Idosos</w:t>
      </w:r>
      <w:r>
        <w:rPr>
          <w:iCs/>
        </w:rPr>
        <w:t>) иммунобиологическая вакцина была использована для иммунизации лиц в возрасте 60 лет и старше.  17-29 апреля планируется провести новую ежегодную разовую противогриппозную вакцинацию всего населения, а также вакцинацию против пневмококка госпитализированных больных и лиц, находящихся в приютах и домах для престарелых, которые не получили эту прививку в 1999 году.  Вакцинация против пневмококка предполагает одноразовую прививку с повторной иммунизацией каждые пять лет.</w:t>
      </w:r>
    </w:p>
    <w:p w:rsidR="00000000" w:rsidRDefault="00000000">
      <w:pPr>
        <w:rPr>
          <w:iCs/>
        </w:rPr>
      </w:pPr>
    </w:p>
    <w:p w:rsidR="00000000" w:rsidRDefault="00000000">
      <w:pPr>
        <w:rPr>
          <w:iCs/>
        </w:rPr>
      </w:pPr>
      <w:r>
        <w:rPr>
          <w:iCs/>
        </w:rPr>
        <w:t>728.</w:t>
      </w:r>
      <w:r>
        <w:rPr>
          <w:iCs/>
        </w:rPr>
        <w:tab/>
        <w:t>Снижение заболеваемости и смертности, вызванное гриппом и пневмонией, среди престарелых поможет повысить качество жизни этой возрастной группы.  Конкретные задачи, намеченные в рамках запланированной правительством кампании, включают увеличение поставок вакцин для широкого охвата престарелых;  проведение в 1999 году противогриппозной вакцинации всех престарелых в возрасте 65 лет и старше и распространение в 2000 году этой вакцинации на лиц в возрасте 60 лет и старше;  параллельную противогриппозную вакцинацию престарелых той же возрастной группы, находящихся в больницах или проживающих в приютах и домах для престарелых;  приведение в соответствие с современными требованиями положения в области вакцинации престарелых против дифтерии и столбняка;  повышение ответственности за свое здоровье среди престарелого населения страны;  поощрение обращения семей в отделения по вакцинации в целях иммунизации всех групп населения;  оказание поддержки проведению обзоров и исследований в соответствующих областях, и в частности проведению исследования эпидемиологических последствий этой вакцины в Бразилии.</w:t>
      </w:r>
    </w:p>
    <w:p w:rsidR="00000000" w:rsidRDefault="00000000">
      <w:pPr>
        <w:rPr>
          <w:iCs/>
        </w:rPr>
      </w:pPr>
    </w:p>
    <w:p w:rsidR="00000000" w:rsidRDefault="00000000">
      <w:pPr>
        <w:rPr>
          <w:iCs/>
        </w:rPr>
      </w:pPr>
      <w:r>
        <w:rPr>
          <w:iCs/>
        </w:rPr>
        <w:t>729.</w:t>
      </w:r>
      <w:r>
        <w:rPr>
          <w:iCs/>
        </w:rPr>
        <w:tab/>
        <w:t>В 1999 и 2000 годах была поставлена цель охватить единоразовой годовой противогриппозной вакцинацией 70% населения в возрасте 60 лет и старше, а также единоразовой вакцинацией против пневмококка всех лиц в возрасте 60 лет и старше, находящихся в больницах или проживающих в приютах и домах для престарелых, которые не прошли иммунизацию в течение последних пяти лет;  проведение новой вакцинации против дифтерии и столбняка 70% населения в возрасте 65 лет и старше;  а также обеспечение минимальных показателей охвата вакцинацией всех муниципальных округов.</w:t>
      </w:r>
    </w:p>
    <w:p w:rsidR="00000000" w:rsidRDefault="00000000"/>
    <w:p w:rsidR="00000000" w:rsidRDefault="00000000">
      <w:r>
        <w:t>730.</w:t>
      </w:r>
      <w:r>
        <w:tab/>
        <w:t>Для достижения этих целей принимаются следующие меры:  гарантированное приобретение и поставки вакцины для предоставления всего объема услуг целевому контингенту;  обеспечение возможности проведения курсов повышения квалификации в отделениях по вакцинации для усиления эффективности групп медицинского персонала при применении нового препарата;  налаживание обратной связи в интересах групп, занимающихся иммунизацией в государственном секторе, в целях обеспечения эффективности и действенности предоставляемых услуг;  организация совещаний с Координационной группой граждан пожилого возраста (</w:t>
      </w:r>
      <w:r>
        <w:rPr>
          <w:lang w:val="en-US"/>
        </w:rPr>
        <w:t>Coordena</w:t>
      </w:r>
      <w:r>
        <w:t xml:space="preserve">çãо </w:t>
      </w:r>
      <w:r>
        <w:rPr>
          <w:lang w:val="en-US"/>
        </w:rPr>
        <w:t>do</w:t>
      </w:r>
      <w:r>
        <w:t xml:space="preserve"> </w:t>
      </w:r>
      <w:r>
        <w:rPr>
          <w:lang w:val="en-US"/>
        </w:rPr>
        <w:t>Idoso</w:t>
      </w:r>
      <w:r>
        <w:t>) в рамках министерства здравоохранения для обсуждения хода кампании по вакцинации;  распространение информации о проведении кампании по вакцинации престарелых и мобилизации в этой связи административных работников различного уровня (федерального, на уровне штатов и муниципального), а также использование карты вакцинации взрослых;  повышение информированности средств массовой информации (радио, телевидения, журналов, газет и т.д.) в целях освещения этой новой программы вакцинации, предназначенной для лиц в возрасте 60 лет и старше;  организация общенациональной кампании в средствах массовой информации для освещения мероприятий по вакцинации престарелых;  организация двух общенациональных совещаний по планированию и оценке проведенной кампании;  обращение к штатам с просьбой о направлении своих планов проведения вакцинации;  обеспечение обратной связи в интересах штатов путем подготовки технического доклада по новой вакцине;  предоставление консультативных услуг и помощи штатам, сталкивающимся с повышенными трудностями в деле проведении кампании вакцинации;  содействие проведению исследований для оценки эпидемиологического воздействия новой вакцины, выразившегося в снижении числа осложнений, вызванных гриппом и пневмонией.</w:t>
      </w:r>
    </w:p>
    <w:p w:rsidR="00000000" w:rsidRDefault="00000000"/>
    <w:p w:rsidR="00000000" w:rsidRDefault="00000000">
      <w:pPr>
        <w:pStyle w:val="Heading2"/>
        <w:rPr>
          <w:b/>
          <w:bCs/>
          <w:u w:val="none"/>
        </w:rPr>
      </w:pPr>
      <w:r>
        <w:rPr>
          <w:b/>
          <w:bCs/>
          <w:u w:val="none"/>
        </w:rPr>
        <w:t>Одинаковый охват вакцинацией всех муниципальных округов</w:t>
      </w:r>
    </w:p>
    <w:p w:rsidR="00000000" w:rsidRDefault="00000000">
      <w:pPr>
        <w:pStyle w:val="Heading2"/>
      </w:pPr>
    </w:p>
    <w:p w:rsidR="00000000" w:rsidRDefault="00000000">
      <w:r>
        <w:t>731.</w:t>
      </w:r>
      <w:r>
        <w:tab/>
        <w:t xml:space="preserve">Прогресс, достигнутый во всем мире в 90-е годы в области иммунологии и эпидемиологии, особенно в том, что касается борьбы с болезнями, которые могут быть предупреждены с помощью иммунизации, коснулся и Бразилии, где наблюдалось резкое падение соответствующих показателей заболеваемости и смертности.  В результате поддержки и укрепления служб эпидемиологического контроля за этими болезнями иммунизация закрепила достигнутые успехи в искоренении полиомиелита, способствовала ликвидации кори и столбняка новорожденных к 2000 году, борьбе с дифтерией, коклюшем и столбняком, а также с тяжелыми формами туберкулеза, гепатита В, желтой лихорадки, синдрома врожденной краснухи, инфекций, вызываемых </w:t>
      </w:r>
      <w:r>
        <w:rPr>
          <w:i/>
          <w:iCs/>
          <w:lang w:val="en-US"/>
        </w:rPr>
        <w:t>Haemophilus</w:t>
      </w:r>
      <w:r>
        <w:rPr>
          <w:i/>
          <w:iCs/>
        </w:rPr>
        <w:t xml:space="preserve"> </w:t>
      </w:r>
      <w:r>
        <w:rPr>
          <w:i/>
          <w:iCs/>
          <w:lang w:val="en-US"/>
        </w:rPr>
        <w:t>influenzae</w:t>
      </w:r>
      <w:r>
        <w:t xml:space="preserve"> типа В, и ветряной оспой путем плановой вакцинации, проводившейся в соответствии с основным графиком прививок в отделениях медико-санитарной помощи сети здравоохранения, охватывающей все население Бразилии.  Кроме того, в рамках бразильской Национальной программы вакцинации (НПВ – </w:t>
      </w:r>
      <w:r>
        <w:rPr>
          <w:i/>
          <w:iCs/>
          <w:lang w:val="en-US"/>
        </w:rPr>
        <w:t>Programa</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Imuniza</w:t>
      </w:r>
      <w:r>
        <w:rPr>
          <w:i/>
          <w:iCs/>
        </w:rPr>
        <w:t>çõ</w:t>
      </w:r>
      <w:r>
        <w:rPr>
          <w:i/>
          <w:iCs/>
          <w:lang w:val="en-US"/>
        </w:rPr>
        <w:t>es</w:t>
      </w:r>
      <w:r>
        <w:t xml:space="preserve">) той части населения, которая не может воспользоваться плановой вакцинацией в государственных отделениях системы здравоохранения в силу имеющихся у них противопоказаний, предоставляются специальные иммунобиологические препараты через государственную сеть медико-санитарной помощи в специальных центрах штатов.  </w:t>
      </w:r>
    </w:p>
    <w:p w:rsidR="00000000" w:rsidRDefault="00000000"/>
    <w:p w:rsidR="00000000" w:rsidRDefault="00000000">
      <w:r>
        <w:t>732.</w:t>
      </w:r>
      <w:r>
        <w:tab/>
        <w:t>Основная задача, которая в настоящее время стоит перед Координационной группой НПВ, состоит в том, чтобы в ходе проводимой в настоящее время децентрализации пригласить представителей муниципальных советников по делам здравоохранения для участия в обсуждениях, имеющих целью оказание необходимых технических и управленческих услуг для надлежащего проведения программы иммунизации.</w:t>
      </w:r>
    </w:p>
    <w:p w:rsidR="00000000" w:rsidRDefault="00000000"/>
    <w:p w:rsidR="00000000" w:rsidRDefault="00000000">
      <w:r>
        <w:t>733.</w:t>
      </w:r>
      <w:r>
        <w:tab/>
        <w:t>Процентные показатели охвата вакцинацией за последние несколько лет в среднем по стране возросли, хотя, как следует из анализа, проведенного на муниципальном уровне, этот рост весьма неравномерен.  Это чревато возникновением эпидемиологических проблем, которые могут привести к формированию и увеличению численности уязвимых групп населения.  Учитывая эту опасность и строя свою деятельность в соответствии с бразильской Конституцией 1988 года, в которой провозглашены принципы обеспечения всеобщего доступа к полному объему услуг и равного обращения при осуществлении мероприятий в рамках Единой системы здравоохранения, НПВ выделяет необходимые средства и обеспечивает принятие мер, направленных на содействие и всемерную поддержку программы децентрализации путем укрепления управленческого потенциала на всех уровнях в целях эффективного проведения иммунизации;  устанавливает новые и укрепляет существующие партнерские отношения;  поддерживает проведение обследований уровня охвата населения вакцинацией;  а также содействует работе по освещению предоставляемых услуг.</w:t>
      </w:r>
    </w:p>
    <w:p w:rsidR="00000000" w:rsidRDefault="00000000"/>
    <w:p w:rsidR="00000000" w:rsidRDefault="00000000">
      <w:r>
        <w:t>734.</w:t>
      </w:r>
      <w:r>
        <w:tab/>
        <w:t>В рамках НПВ были проведены форумы по вопросам децентрализации мероприятий в сфере иммунизации, в работе которых приняли участие координационные группы по иммунизации, представляющие советы по делам здравоохранения на федеральном уровне, уровне штатов и муниципальных округов, а также самые различные слои общества.  Цель этих форумов состояла в достижении наилучших  результатов в ходе данного процесса.  В 1999 году во время обсуждений основное внимание уделялось новым функциям директоров на федеральном уровне, уровне штатов и муниципальных округов в деятельности по децентрализации мероприятий по линии НПВ.</w:t>
      </w:r>
    </w:p>
    <w:p w:rsidR="00000000" w:rsidRDefault="00000000"/>
    <w:p w:rsidR="00000000" w:rsidRDefault="00000000">
      <w:r>
        <w:t>735.</w:t>
      </w:r>
      <w:r>
        <w:tab/>
        <w:t>В том же году координационные группы штатов по иммунизации и представители КОСЕМС провели активную работу по децентрализации мероприятий, проводимых под эгидой Программы иммунизации.  В 1992-1999 годах в муниципальных округах был отмечен рост показателей иммунизации примерно на 28%, причем эти показатели соответствовали рекомендованным или превышали их.  В ходе второй общенациональной кампании против полиомиелита охват населения составил 90% (55,0% в 1992 году и 83,0% в 1999 году).</w:t>
      </w:r>
    </w:p>
    <w:p w:rsidR="00000000" w:rsidRDefault="00000000"/>
    <w:p w:rsidR="00000000" w:rsidRDefault="00000000">
      <w:r>
        <w:t>736.</w:t>
      </w:r>
      <w:r>
        <w:tab/>
        <w:t>В общей сложности 88,43% муниципальных округов Бразилии достигли целевого показателя охвата противогриппозной вакцинацией не менее 70% соответствующего контингента в ходе кампании по вакцинации престарелых в апреле 1999 года (северный регион - 83,52%;  северо-восточный регион - 80,19%;  юго-восточный регион - 91,66%;  южный регион - 97,58%;  центрально-западный регион - 90,58%).</w:t>
      </w:r>
    </w:p>
    <w:p w:rsidR="00000000" w:rsidRDefault="00000000"/>
    <w:p w:rsidR="00000000" w:rsidRDefault="00000000">
      <w:r>
        <w:t>737.</w:t>
      </w:r>
      <w:r>
        <w:tab/>
        <w:t>На основе согласованного комплексного графика (</w:t>
      </w:r>
      <w:r>
        <w:rPr>
          <w:i/>
          <w:iCs/>
          <w:lang w:val="en-US"/>
        </w:rPr>
        <w:t>Programa</w:t>
      </w:r>
      <w:r>
        <w:rPr>
          <w:i/>
          <w:iCs/>
        </w:rPr>
        <w:t>çã</w:t>
      </w:r>
      <w:r>
        <w:rPr>
          <w:i/>
          <w:iCs/>
          <w:lang w:val="en-US"/>
        </w:rPr>
        <w:t>o</w:t>
      </w:r>
      <w:r>
        <w:rPr>
          <w:i/>
          <w:iCs/>
        </w:rPr>
        <w:t xml:space="preserve"> </w:t>
      </w:r>
      <w:r>
        <w:rPr>
          <w:i/>
          <w:iCs/>
          <w:lang w:val="en-US"/>
        </w:rPr>
        <w:t>Pactuada</w:t>
      </w:r>
      <w:r>
        <w:rPr>
          <w:i/>
          <w:iCs/>
        </w:rPr>
        <w:t xml:space="preserve"> </w:t>
      </w:r>
      <w:r>
        <w:rPr>
          <w:i/>
          <w:iCs/>
          <w:lang w:val="en-US"/>
        </w:rPr>
        <w:t>Integrada</w:t>
      </w:r>
      <w:r>
        <w:rPr>
          <w:i/>
          <w:iCs/>
        </w:rPr>
        <w:t>)</w:t>
      </w:r>
      <w:r>
        <w:t xml:space="preserve"> этот процесс децентрализации получил дальнейшее развитие в 2000 году, что представляется существенно важным для достижения рекомендованных показателей вакцинации в муниципальных округах при равномерном распределении этих показателей по всей стране.</w:t>
      </w:r>
    </w:p>
    <w:p w:rsidR="00000000" w:rsidRDefault="00000000"/>
    <w:p w:rsidR="00000000" w:rsidRDefault="00000000">
      <w:r>
        <w:t>738.</w:t>
      </w:r>
      <w:r>
        <w:tab/>
        <w:t>В задачи этих мероприятий входят:  достижение и поддержание надлежащих показателей охвата вакцинацией населения всеми препаратами, перечисленными в основном графике иммунизации, при одновременном выполнении целей НПВ во всех муниципальных округах Бразилии, обеспечивая тем самым защиту бразильского населения как в индивидуальном порядке, так и на уровне общины;  достижение высоких и равномерных показателей охвата населения вакцинацией в ходе кампаний по вакцинации, проводимых Национальным эпидемиологическим центром/Национальным фондом здравоохранения (ФУНАСА)/министерством здравоохранения в целях борьбы с болезнями, которые поддаются профилактике с помощью иммунизации.</w:t>
      </w:r>
    </w:p>
    <w:p w:rsidR="00000000" w:rsidRDefault="00000000"/>
    <w:p w:rsidR="00000000" w:rsidRDefault="00000000">
      <w:r>
        <w:t>739.</w:t>
      </w:r>
      <w:r>
        <w:tab/>
        <w:t>Была поставлена цель добиться не менее 90-процентного охвата населения 5 507 муниципальных округов Бразилии соответствующими показателями вакцинации всеми вакцинами, предусмотренными НПВ, в ходе плановых вакцинаций или специально проводимых кампаний.  Для достижения этой цели были разработаны следующие стратегии:  гарантированное приобретение и поставки иммунобиологических препаратов, предусмотренных в Основном графике иммунизации, в целях обеспечения полного охвата целевого контингента, а также приобретение и поставки вакцин для использования в ходе кампаний;  содействие проведению обсуждений между координаторами программ иммунизации на уровне штатов, обеспечивая мониторинг и оценку соответствующих показателей равномерного охвата населения в каждом штате при гарантированном участии муниципальных органов;  проведение соответствующей компьютеризации на национальном уровне;  подготовка руководства по проведению децентрализации под эгидой НПВ;  выявление штатов с неравномерными показателями охвата населения с помощью консультативно-наблюдательной группы, состоящей из технических экспертов, назначенных НПВ;  обеспечение широкого участия правительственных и неправительственных организаций, а также представителей гражданского общества;  проведение работы по установлению партнерских отношений и созданию механизма общего руководства в Бразилии;  оценка и принятие решений по проблемам, связанным с механизмом общего руководства, возникающим на уровне штатов;  введение Системы наблюдения за неблагоприятными последствиями вакцинации (</w:t>
      </w:r>
      <w:r>
        <w:rPr>
          <w:i/>
          <w:iCs/>
        </w:rPr>
        <w:t>Sistema de Vigilância de Eventos Adversos Pόs</w:t>
      </w:r>
      <w:r>
        <w:rPr>
          <w:i/>
          <w:iCs/>
        </w:rPr>
        <w:noBreakHyphen/>
        <w:t>Vacinais)</w:t>
      </w:r>
      <w:r>
        <w:t>;  повышение информированности средств массовой информации (радио, телевидения, журналов, газет и т.д.) о важности освещения мероприятий по плановой вакцинации в соответствии с Основным графиком иммунизации, рекомендованным министерством здравоохранения, а также других мероприятий по иммунизации населения;  повышение информированности министров штатов по делам здравоохранения и городских советников о важности проведения вакцинации во входящих в их ведение муниципальных округах с учетом Основного графика иммунизации, а также плановой вакцинации детей, подростков и престарелых;  содействие проведению научных исследований, могущих способствовать достижению намеченных целей, в том числе анализа показателей охвата населения вакцинацией, проведению обзоров хода вакцинации, исследований упущенных возможностей в области вакцинации и т.д.</w:t>
      </w:r>
    </w:p>
    <w:p w:rsidR="00000000" w:rsidRDefault="00000000"/>
    <w:p w:rsidR="00000000" w:rsidRDefault="00000000">
      <w:r>
        <w:t>740.</w:t>
      </w:r>
      <w:r>
        <w:tab/>
        <w:t>Распространение информации о правах, провозглашенных в статье 12 Международного пакта об экономических, социальных и культурных правах, проводилось с помощью самых различных механизмов.  Правительство Бразилии, в частности, хотело бы особо отметить один из этих механизмов:  канал (</w:t>
      </w:r>
      <w:r>
        <w:rPr>
          <w:i/>
          <w:iCs/>
        </w:rPr>
        <w:t xml:space="preserve">Canal </w:t>
      </w:r>
      <w:r>
        <w:rPr>
          <w:i/>
          <w:iCs/>
          <w:lang w:val="en-US"/>
        </w:rPr>
        <w:t>Sa</w:t>
      </w:r>
      <w:r>
        <w:rPr>
          <w:i/>
          <w:iCs/>
        </w:rPr>
        <w:t>ú</w:t>
      </w:r>
      <w:r>
        <w:rPr>
          <w:i/>
          <w:iCs/>
          <w:lang w:val="en-US"/>
        </w:rPr>
        <w:t>de</w:t>
      </w:r>
      <w:r>
        <w:t>) по вопросам здравоохранения, по которому в течение последних шести лет распространялась надлежащая информация в общенациональном масштабе в соответствии с общемировыми руководящими принципами уделения первоочередного внимания вопросам укрепления здоровья в качестве процесса расширения возможностей общин в деле улучшения качества их жизни.  Он был создан во исполнение решения, принятого на Национальной конференции по вопросам здравоохранения, в котором информация, просвещение и связь были названы стратегическими средствами претворения в практику Единой системы здравоохранения, а также важнейшими аспектами полноценного осуществления прав гражданина.  Основной задачей является расширение доступа к высококачественной информации.</w:t>
      </w:r>
    </w:p>
    <w:p w:rsidR="00000000" w:rsidRDefault="00000000"/>
    <w:p w:rsidR="00000000" w:rsidRDefault="00000000">
      <w:r>
        <w:t>741.</w:t>
      </w:r>
      <w:r>
        <w:tab/>
        <w:t>Одна из важнейших задач состояла в пересмотре концепции здоровья и включении в него понятия качества жизни.  Для эффективного решения этой задачи были разработаны программы самого различного формата, ориентированные на различные слои населения.  Наиболее значимыми из них являются:</w:t>
      </w:r>
    </w:p>
    <w:p w:rsidR="00000000" w:rsidRDefault="00000000"/>
    <w:p w:rsidR="00000000" w:rsidRDefault="00000000">
      <w:r>
        <w:tab/>
      </w:r>
      <w:r>
        <w:rPr>
          <w:i/>
          <w:iCs/>
        </w:rPr>
        <w:t>Canal Saúde/TVE</w:t>
      </w:r>
      <w:r>
        <w:t>:  обсуждение социальных, политических, культурных и экономических вопросов с упором на  их значимость для укрепления здоровья;</w:t>
      </w:r>
    </w:p>
    <w:p w:rsidR="00000000" w:rsidRDefault="00000000"/>
    <w:p w:rsidR="00000000" w:rsidRDefault="00000000">
      <w:r>
        <w:tab/>
      </w:r>
      <w:r>
        <w:rPr>
          <w:i/>
          <w:iCs/>
        </w:rPr>
        <w:t xml:space="preserve">Acervo:  </w:t>
      </w:r>
      <w:r>
        <w:t>показ видеофильмов, снятых по всей Бразилии;</w:t>
      </w:r>
    </w:p>
    <w:p w:rsidR="00000000" w:rsidRDefault="00000000"/>
    <w:p w:rsidR="00000000" w:rsidRDefault="00000000">
      <w:r>
        <w:tab/>
      </w:r>
      <w:r>
        <w:rPr>
          <w:i/>
          <w:iCs/>
        </w:rPr>
        <w:t>Bate</w:t>
      </w:r>
      <w:r>
        <w:rPr>
          <w:i/>
          <w:iCs/>
        </w:rPr>
        <w:noBreakHyphen/>
        <w:t>Papo</w:t>
      </w:r>
      <w:r>
        <w:t>:  дискуссионная передача, посвященная государственной политике в области здравоохранения;</w:t>
      </w:r>
    </w:p>
    <w:p w:rsidR="00000000" w:rsidRDefault="00000000"/>
    <w:p w:rsidR="00000000" w:rsidRDefault="00000000">
      <w:r>
        <w:tab/>
      </w:r>
      <w:r>
        <w:rPr>
          <w:i/>
          <w:iCs/>
        </w:rPr>
        <w:t>Canal Aberto</w:t>
      </w:r>
      <w:r>
        <w:t>:  освещение конференций, конгрессов, семинаров и других мероприятий в области здравоохранения;</w:t>
      </w:r>
    </w:p>
    <w:p w:rsidR="00000000" w:rsidRDefault="00000000"/>
    <w:p w:rsidR="00000000" w:rsidRDefault="00000000">
      <w:r>
        <w:tab/>
      </w:r>
      <w:r>
        <w:rPr>
          <w:i/>
          <w:iCs/>
        </w:rPr>
        <w:t>Comunidade em Cena</w:t>
      </w:r>
      <w:r>
        <w:t>:  документальные фильмы об успешных экспериментах и проектах, подготовленные в партнерстве с телестанциями на уровне общин;</w:t>
      </w:r>
    </w:p>
    <w:p w:rsidR="00000000" w:rsidRDefault="00000000"/>
    <w:p w:rsidR="00000000" w:rsidRDefault="00000000">
      <w:r>
        <w:tab/>
      </w:r>
      <w:r>
        <w:rPr>
          <w:i/>
          <w:iCs/>
        </w:rPr>
        <w:t>E Com Você Cidadão:</w:t>
      </w:r>
      <w:r>
        <w:t xml:space="preserve">  развитие гражданственности и повышение информированности о правах и обязанностях;</w:t>
      </w:r>
    </w:p>
    <w:p w:rsidR="00000000" w:rsidRDefault="00000000"/>
    <w:p w:rsidR="00000000" w:rsidRDefault="00000000">
      <w:r>
        <w:tab/>
      </w:r>
      <w:r>
        <w:rPr>
          <w:i/>
          <w:iCs/>
        </w:rPr>
        <w:t xml:space="preserve">Ligado em Saúde: </w:t>
      </w:r>
      <w:r>
        <w:t xml:space="preserve"> ответы на вопросы телезрителей;</w:t>
      </w:r>
    </w:p>
    <w:p w:rsidR="00000000" w:rsidRDefault="00000000"/>
    <w:p w:rsidR="00000000" w:rsidRDefault="00000000">
      <w:r>
        <w:tab/>
      </w:r>
      <w:r>
        <w:rPr>
          <w:i/>
          <w:iCs/>
        </w:rPr>
        <w:t>Mesa</w:t>
      </w:r>
      <w:r>
        <w:rPr>
          <w:i/>
          <w:iCs/>
        </w:rPr>
        <w:noBreakHyphen/>
        <w:t xml:space="preserve">Redonda:  </w:t>
      </w:r>
      <w:r>
        <w:t>обсуждения "за круглым столом" с ведущими специалистами по болезням, передающимся половым путем,</w:t>
      </w:r>
      <w:r>
        <w:rPr>
          <w:i/>
          <w:iCs/>
        </w:rPr>
        <w:t xml:space="preserve"> </w:t>
      </w:r>
      <w:r>
        <w:t>и СПИДу, посвященные успешным начинаниям в области профилактики и лечения, которые могли бы быть использованы в общенациональном масштабе;</w:t>
      </w:r>
    </w:p>
    <w:p w:rsidR="00000000" w:rsidRDefault="00000000"/>
    <w:p w:rsidR="00000000" w:rsidRDefault="00000000">
      <w:r>
        <w:tab/>
      </w:r>
      <w:r>
        <w:rPr>
          <w:i/>
          <w:iCs/>
        </w:rPr>
        <w:t>Papo Sauável</w:t>
      </w:r>
      <w:r>
        <w:t>:  подростки и их взгляды на различные вопросы, касающиеся здоровья;</w:t>
      </w:r>
    </w:p>
    <w:p w:rsidR="00000000" w:rsidRDefault="00000000"/>
    <w:p w:rsidR="00000000" w:rsidRDefault="00000000">
      <w:r>
        <w:tab/>
      </w:r>
      <w:r>
        <w:rPr>
          <w:i/>
          <w:iCs/>
        </w:rPr>
        <w:t>Se Liga</w:t>
      </w:r>
      <w:r>
        <w:t>:  видеофильмы различных авторов, посвященные вопросам профилактики и ликвидации болезней, передающихся половым путем, и СПИДа и вопросам секса, наркотиков и насилия;</w:t>
      </w:r>
    </w:p>
    <w:p w:rsidR="00000000" w:rsidRDefault="00000000"/>
    <w:p w:rsidR="00000000" w:rsidRDefault="00000000">
      <w:r>
        <w:tab/>
      </w:r>
      <w:r>
        <w:rPr>
          <w:i/>
          <w:iCs/>
        </w:rPr>
        <w:t>Teleconferência</w:t>
      </w:r>
      <w:r>
        <w:t>:  обсуждение под руководством ведущего вопросов разработки общенациональных проектов и мероприятий в Бразилии, ответы на вопросы телезрителей и специалистов из всех частей Бразилии, прямая трансляция;</w:t>
      </w:r>
    </w:p>
    <w:p w:rsidR="00000000" w:rsidRDefault="00000000"/>
    <w:p w:rsidR="00000000" w:rsidRDefault="00000000">
      <w:r>
        <w:tab/>
      </w:r>
      <w:r>
        <w:rPr>
          <w:i/>
          <w:iCs/>
        </w:rPr>
        <w:t>Telelap</w:t>
      </w:r>
      <w:r>
        <w:t>:  программа заочного обучения для практических работников лабораторий, которую ведет Национальная координационная группа по БППП/СПИДу;</w:t>
      </w:r>
    </w:p>
    <w:p w:rsidR="00000000" w:rsidRDefault="00000000"/>
    <w:p w:rsidR="00000000" w:rsidRDefault="00000000">
      <w:r>
        <w:tab/>
      </w:r>
      <w:r>
        <w:rPr>
          <w:i/>
          <w:iCs/>
        </w:rPr>
        <w:t>Uni</w:t>
      </w:r>
      <w:r>
        <w:rPr>
          <w:i/>
          <w:iCs/>
        </w:rPr>
        <w:noBreakHyphen/>
        <w:t>Diversidade</w:t>
      </w:r>
      <w:r>
        <w:t>:  в этой программе, основанной на мнениях и утверждениях студентов университетов, рассказывается о взглядах и подходах будущих специалистов в области здравоохранения в Бразилии.</w:t>
      </w:r>
    </w:p>
    <w:p w:rsidR="00000000" w:rsidRDefault="00000000"/>
    <w:p w:rsidR="00000000" w:rsidRDefault="00000000">
      <w:r>
        <w:t>742.</w:t>
      </w:r>
      <w:r>
        <w:tab/>
        <w:t>В 2000</w:t>
      </w:r>
      <w:r>
        <w:rPr>
          <w:lang w:val="en-US"/>
        </w:rPr>
        <w:t> </w:t>
      </w:r>
      <w:r>
        <w:t xml:space="preserve">году </w:t>
      </w:r>
      <w:r>
        <w:rPr>
          <w:i/>
          <w:iCs/>
          <w:lang w:val="en-US"/>
        </w:rPr>
        <w:t>Canal</w:t>
      </w:r>
      <w:r>
        <w:rPr>
          <w:i/>
          <w:iCs/>
        </w:rPr>
        <w:t xml:space="preserve"> </w:t>
      </w:r>
      <w:r>
        <w:rPr>
          <w:i/>
          <w:iCs/>
          <w:lang w:val="en-US"/>
        </w:rPr>
        <w:t>Sau</w:t>
      </w:r>
      <w:r>
        <w:rPr>
          <w:rFonts w:ascii="Tahoma" w:hAnsi="Tahoma" w:cs="Tahoma"/>
          <w:i/>
          <w:iCs/>
          <w:lang w:val="en-US"/>
        </w:rPr>
        <w:t></w:t>
      </w:r>
      <w:r>
        <w:rPr>
          <w:i/>
          <w:iCs/>
          <w:lang w:val="en-US"/>
        </w:rPr>
        <w:t>de</w:t>
      </w:r>
      <w:r>
        <w:rPr>
          <w:i/>
          <w:iCs/>
        </w:rPr>
        <w:t xml:space="preserve">, </w:t>
      </w:r>
      <w:r>
        <w:t>посвященный вопросам здравоохранения, планирует подготовить 304  видеопрограммы по часу каждая для трансляции по открытому каналу и кабельному телевидению, а также 1 160 одночасовых программ для показа по закрытому (спутниковому) каналу.</w:t>
      </w:r>
    </w:p>
    <w:p w:rsidR="00000000" w:rsidRDefault="00000000"/>
    <w:p w:rsidR="00000000" w:rsidRDefault="00000000">
      <w:r>
        <w:t>743.</w:t>
      </w:r>
      <w:r>
        <w:tab/>
        <w:t xml:space="preserve">Передачи </w:t>
      </w:r>
      <w:r>
        <w:rPr>
          <w:i/>
          <w:iCs/>
          <w:lang w:val="en-US"/>
        </w:rPr>
        <w:t>Canal</w:t>
      </w:r>
      <w:r>
        <w:rPr>
          <w:i/>
          <w:iCs/>
        </w:rPr>
        <w:t xml:space="preserve"> </w:t>
      </w:r>
      <w:r>
        <w:rPr>
          <w:i/>
          <w:iCs/>
          <w:lang w:val="en-US"/>
        </w:rPr>
        <w:t>Sau</w:t>
      </w:r>
      <w:r>
        <w:rPr>
          <w:rFonts w:ascii="Tahoma" w:hAnsi="Tahoma" w:cs="Tahoma"/>
          <w:i/>
          <w:iCs/>
          <w:lang w:val="en-US"/>
        </w:rPr>
        <w:t></w:t>
      </w:r>
      <w:r>
        <w:rPr>
          <w:i/>
          <w:iCs/>
          <w:lang w:val="en-US"/>
        </w:rPr>
        <w:t>de</w:t>
      </w:r>
      <w:r>
        <w:t xml:space="preserve"> транслируются по национальной сети учебного телевидения (</w:t>
      </w:r>
      <w:r>
        <w:rPr>
          <w:i/>
          <w:iCs/>
          <w:lang w:val="en-US"/>
        </w:rPr>
        <w:t>Rede</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TVs</w:t>
      </w:r>
      <w:r>
        <w:rPr>
          <w:i/>
          <w:iCs/>
        </w:rPr>
        <w:t xml:space="preserve"> </w:t>
      </w:r>
      <w:r>
        <w:rPr>
          <w:i/>
          <w:iCs/>
          <w:lang w:val="en-US"/>
        </w:rPr>
        <w:t>Educativas</w:t>
      </w:r>
      <w:r>
        <w:rPr>
          <w:i/>
          <w:iCs/>
        </w:rPr>
        <w:t>)</w:t>
      </w:r>
      <w:r>
        <w:t xml:space="preserve">, имеющей 800 трансляционных и ретрансляционных станций по всей Бразилии;  государственному каналу "Эмбратель";  Амазонской телевизионной сети (АМАЗОН САТ);  работающей по подписке телевизионной системе </w:t>
      </w:r>
      <w:r>
        <w:rPr>
          <w:lang w:val="en-US"/>
        </w:rPr>
        <w:t>NET</w:t>
      </w:r>
      <w:r>
        <w:t xml:space="preserve">, по которой транслируются передачи учебного канала ТВЕ в Рио-де-Жанейро;  системе </w:t>
      </w:r>
      <w:r>
        <w:rPr>
          <w:lang w:val="en-US"/>
        </w:rPr>
        <w:t>SKY</w:t>
      </w:r>
      <w:r>
        <w:t xml:space="preserve">, по которой транслируются передачи учебного канала </w:t>
      </w:r>
      <w:r>
        <w:rPr>
          <w:lang w:val="en-US"/>
        </w:rPr>
        <w:t>TBE</w:t>
      </w:r>
      <w:r>
        <w:t xml:space="preserve"> в Рио-де-Жанейро;  У</w:t>
      </w:r>
      <w:r>
        <w:rPr>
          <w:lang w:val="en-US"/>
        </w:rPr>
        <w:t>T</w:t>
      </w:r>
      <w:r>
        <w:t>В (Университетское телевидение в Рио-де-Жанейро);  Университетскому телевидению в Висоса, штат Минас-Жерайс, и каналу "</w:t>
      </w:r>
      <w:r>
        <w:rPr>
          <w:lang w:val="en-US"/>
        </w:rPr>
        <w:t>NBR</w:t>
      </w:r>
      <w:r>
        <w:t xml:space="preserve"> - </w:t>
      </w:r>
      <w:r>
        <w:rPr>
          <w:lang w:val="en-US"/>
        </w:rPr>
        <w:t>Radiobr</w:t>
      </w:r>
      <w:r>
        <w:t>á</w:t>
      </w:r>
      <w:r>
        <w:rPr>
          <w:lang w:val="en-US"/>
        </w:rPr>
        <w:t>s</w:t>
      </w:r>
      <w:r>
        <w:t>" в Бразилии.  В целях производства и показа этих передач была налажена тесная координация между Программой Организации Объединенных Наций по международному контролю над наркотиками (ЮНДКП) и Национальной координационной группой по БППП/СПИДу, действующей в рамках министерства здравоохранения.</w:t>
      </w:r>
    </w:p>
    <w:p w:rsidR="00000000" w:rsidRDefault="00000000"/>
    <w:p w:rsidR="00000000" w:rsidRDefault="00000000">
      <w:r>
        <w:t>744.</w:t>
      </w:r>
      <w:r>
        <w:tab/>
        <w:t>Что касается международной помощи в области здравоохранения, то в приводимой ниже таблице перечислены финансируемые из иностранных источников проекты, касающиеся предоставления основных услуг в области здравоохранения.</w:t>
      </w:r>
    </w:p>
    <w:p w:rsidR="00000000" w:rsidRDefault="00000000"/>
    <w:p w:rsidR="00000000" w:rsidRDefault="00000000">
      <w:pPr>
        <w:pStyle w:val="16"/>
        <w:tabs>
          <w:tab w:val="left" w:pos="2057"/>
        </w:tabs>
        <w:rPr>
          <w:b/>
          <w:bCs/>
        </w:rPr>
      </w:pPr>
      <w:r>
        <w:rPr>
          <w:b/>
          <w:bCs/>
        </w:rPr>
        <w:t>Таблица 85.   Проекты в области здравоохранения, осуществляемые министерством</w:t>
      </w:r>
    </w:p>
    <w:p w:rsidR="00000000" w:rsidRDefault="00000000">
      <w:pPr>
        <w:jc w:val="center"/>
        <w:rPr>
          <w:b/>
          <w:bCs/>
        </w:rPr>
      </w:pPr>
      <w:r>
        <w:rPr>
          <w:b/>
          <w:bCs/>
        </w:rPr>
        <w:t>здравоохранения на средства, полученные из иностранных источников</w:t>
      </w:r>
    </w:p>
    <w:p w:rsidR="00000000" w:rsidRDefault="00000000">
      <w:pPr>
        <w:jc w:val="center"/>
        <w:rPr>
          <w:b/>
          <w:bCs/>
        </w:rPr>
      </w:pPr>
      <w:r>
        <w:rPr>
          <w:b/>
          <w:bCs/>
        </w:rPr>
        <w:t>(завершенные и в стадии осуществления)</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8"/>
        <w:gridCol w:w="3179"/>
        <w:gridCol w:w="2431"/>
        <w:gridCol w:w="1983"/>
      </w:tblGrid>
      <w:tr w:rsidR="00000000">
        <w:tblPrEx>
          <w:tblCellMar>
            <w:top w:w="0" w:type="dxa"/>
            <w:bottom w:w="0" w:type="dxa"/>
          </w:tblCellMar>
        </w:tblPrEx>
        <w:tc>
          <w:tcPr>
            <w:tcW w:w="1978" w:type="dxa"/>
          </w:tcPr>
          <w:p w:rsidR="00000000" w:rsidRDefault="00000000">
            <w:pPr>
              <w:pStyle w:val="FootnoteText"/>
              <w:spacing w:line="288" w:lineRule="auto"/>
              <w:jc w:val="center"/>
            </w:pPr>
            <w:r>
              <w:t>Финансирующее учреждение</w:t>
            </w:r>
          </w:p>
        </w:tc>
        <w:tc>
          <w:tcPr>
            <w:tcW w:w="3179" w:type="dxa"/>
          </w:tcPr>
          <w:p w:rsidR="00000000" w:rsidRDefault="00000000">
            <w:pPr>
              <w:jc w:val="center"/>
            </w:pPr>
            <w:r>
              <w:t>Проект</w:t>
            </w:r>
          </w:p>
        </w:tc>
        <w:tc>
          <w:tcPr>
            <w:tcW w:w="2431" w:type="dxa"/>
          </w:tcPr>
          <w:p w:rsidR="00000000" w:rsidRDefault="00000000">
            <w:pPr>
              <w:jc w:val="center"/>
            </w:pPr>
            <w:r>
              <w:t>Сумма</w:t>
            </w:r>
          </w:p>
          <w:p w:rsidR="00000000" w:rsidRDefault="00000000">
            <w:pPr>
              <w:jc w:val="center"/>
            </w:pPr>
            <w:r>
              <w:t>(в млн. долл. США)</w:t>
            </w:r>
          </w:p>
        </w:tc>
        <w:tc>
          <w:tcPr>
            <w:tcW w:w="1983" w:type="dxa"/>
          </w:tcPr>
          <w:p w:rsidR="00000000" w:rsidRDefault="00000000">
            <w:pPr>
              <w:jc w:val="center"/>
            </w:pPr>
            <w:r>
              <w:t>Стадия</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Предоставление основных услуг в области здравоохранения на северо-востоке - Северо-восток I</w:t>
            </w:r>
          </w:p>
        </w:tc>
        <w:tc>
          <w:tcPr>
            <w:tcW w:w="2431" w:type="dxa"/>
          </w:tcPr>
          <w:p w:rsidR="00000000" w:rsidRDefault="00000000">
            <w:pPr>
              <w:pStyle w:val="16"/>
            </w:pPr>
            <w:r>
              <w:t>59,5</w:t>
            </w:r>
          </w:p>
        </w:tc>
        <w:tc>
          <w:tcPr>
            <w:tcW w:w="1983" w:type="dxa"/>
          </w:tcPr>
          <w:p w:rsidR="00000000" w:rsidRDefault="00000000">
            <w:r>
              <w:t>Завершен</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Северо-восток II</w:t>
            </w:r>
          </w:p>
        </w:tc>
        <w:tc>
          <w:tcPr>
            <w:tcW w:w="2431" w:type="dxa"/>
          </w:tcPr>
          <w:p w:rsidR="00000000" w:rsidRDefault="00000000">
            <w:pPr>
              <w:jc w:val="center"/>
            </w:pPr>
            <w:r>
              <w:t>217</w:t>
            </w:r>
          </w:p>
        </w:tc>
        <w:tc>
          <w:tcPr>
            <w:tcW w:w="1983" w:type="dxa"/>
          </w:tcPr>
          <w:p w:rsidR="00000000" w:rsidRDefault="00000000">
            <w:r>
              <w:t>Завершен</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 xml:space="preserve">Борьба с малярией в бассейне Амазонки - </w:t>
            </w:r>
            <w:r>
              <w:rPr>
                <w:lang w:val="en-US"/>
              </w:rPr>
              <w:t>PCMAM</w:t>
            </w:r>
          </w:p>
        </w:tc>
        <w:tc>
          <w:tcPr>
            <w:tcW w:w="2431" w:type="dxa"/>
          </w:tcPr>
          <w:p w:rsidR="00000000" w:rsidRDefault="00000000">
            <w:pPr>
              <w:jc w:val="center"/>
            </w:pPr>
            <w:r>
              <w:t>72,9</w:t>
            </w:r>
          </w:p>
        </w:tc>
        <w:tc>
          <w:tcPr>
            <w:tcW w:w="1983" w:type="dxa"/>
          </w:tcPr>
          <w:p w:rsidR="00000000" w:rsidRDefault="00000000">
            <w:r>
              <w:t>Завершен</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 xml:space="preserve">Борьба с эндемичными болезнями на северо-востоке - </w:t>
            </w:r>
            <w:r>
              <w:rPr>
                <w:lang w:val="en-US"/>
              </w:rPr>
              <w:t>PCDEN</w:t>
            </w:r>
          </w:p>
        </w:tc>
        <w:tc>
          <w:tcPr>
            <w:tcW w:w="2431" w:type="dxa"/>
          </w:tcPr>
          <w:p w:rsidR="00000000" w:rsidRDefault="00000000">
            <w:pPr>
              <w:pStyle w:val="16"/>
            </w:pPr>
            <w:r>
              <w:t>82</w:t>
            </w:r>
          </w:p>
        </w:tc>
        <w:tc>
          <w:tcPr>
            <w:tcW w:w="1983" w:type="dxa"/>
          </w:tcPr>
          <w:p w:rsidR="00000000" w:rsidRDefault="00000000">
            <w:r>
              <w:t>Завершен</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Борьба с БППП/СПИДом I</w:t>
            </w:r>
          </w:p>
        </w:tc>
        <w:tc>
          <w:tcPr>
            <w:tcW w:w="2431" w:type="dxa"/>
          </w:tcPr>
          <w:p w:rsidR="00000000" w:rsidRDefault="00000000">
            <w:pPr>
              <w:jc w:val="center"/>
            </w:pPr>
            <w:r>
              <w:t>160</w:t>
            </w:r>
          </w:p>
        </w:tc>
        <w:tc>
          <w:tcPr>
            <w:tcW w:w="1983" w:type="dxa"/>
          </w:tcPr>
          <w:p w:rsidR="00000000" w:rsidRDefault="00000000">
            <w:r>
              <w:t>Завершен</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Борьба с БППП/СПИДом II</w:t>
            </w:r>
          </w:p>
        </w:tc>
        <w:tc>
          <w:tcPr>
            <w:tcW w:w="2431" w:type="dxa"/>
          </w:tcPr>
          <w:p w:rsidR="00000000" w:rsidRDefault="00000000">
            <w:pPr>
              <w:jc w:val="center"/>
            </w:pPr>
            <w:r>
              <w:t>165</w:t>
            </w:r>
          </w:p>
        </w:tc>
        <w:tc>
          <w:tcPr>
            <w:tcW w:w="1983" w:type="dxa"/>
          </w:tcPr>
          <w:p w:rsidR="00000000" w:rsidRDefault="00000000">
            <w:r>
              <w:t>Осуществление</w:t>
            </w:r>
          </w:p>
        </w:tc>
      </w:tr>
      <w:tr w:rsidR="00000000">
        <w:tblPrEx>
          <w:tblCellMar>
            <w:top w:w="0" w:type="dxa"/>
            <w:bottom w:w="0" w:type="dxa"/>
          </w:tblCellMar>
        </w:tblPrEx>
        <w:tc>
          <w:tcPr>
            <w:tcW w:w="1978" w:type="dxa"/>
          </w:tcPr>
          <w:p w:rsidR="00000000" w:rsidRDefault="00000000">
            <w:r>
              <w:t>Всемирный банк</w:t>
            </w:r>
          </w:p>
          <w:p w:rsidR="00000000" w:rsidRDefault="00000000"/>
          <w:p w:rsidR="00000000" w:rsidRDefault="00000000">
            <w:r>
              <w:t>МБР</w:t>
            </w:r>
          </w:p>
          <w:p w:rsidR="00000000" w:rsidRDefault="00000000"/>
          <w:p w:rsidR="00000000" w:rsidRDefault="00000000"/>
        </w:tc>
        <w:tc>
          <w:tcPr>
            <w:tcW w:w="3179" w:type="dxa"/>
          </w:tcPr>
          <w:p w:rsidR="00000000" w:rsidRDefault="00000000">
            <w:r>
              <w:t>Реорганизация Единой системы здравоохранения (ЕСЗ) - РЕФОРСУС</w:t>
            </w:r>
          </w:p>
        </w:tc>
        <w:tc>
          <w:tcPr>
            <w:tcW w:w="2431" w:type="dxa"/>
          </w:tcPr>
          <w:p w:rsidR="00000000" w:rsidRDefault="00000000">
            <w:pPr>
              <w:jc w:val="center"/>
            </w:pPr>
            <w:r>
              <w:t>300</w:t>
            </w:r>
          </w:p>
          <w:p w:rsidR="00000000" w:rsidRDefault="00000000">
            <w:pPr>
              <w:jc w:val="center"/>
            </w:pPr>
          </w:p>
          <w:p w:rsidR="00000000" w:rsidRDefault="00000000">
            <w:pPr>
              <w:jc w:val="center"/>
            </w:pPr>
            <w:r>
              <w:t>350</w:t>
            </w:r>
          </w:p>
        </w:tc>
        <w:tc>
          <w:tcPr>
            <w:tcW w:w="1983" w:type="dxa"/>
          </w:tcPr>
          <w:p w:rsidR="00000000" w:rsidRDefault="00000000">
            <w:r>
              <w:t>Осуществление</w:t>
            </w:r>
          </w:p>
        </w:tc>
      </w:tr>
      <w:tr w:rsidR="00000000">
        <w:tblPrEx>
          <w:tblCellMar>
            <w:top w:w="0" w:type="dxa"/>
            <w:bottom w:w="0" w:type="dxa"/>
          </w:tblCellMar>
        </w:tblPrEx>
        <w:tc>
          <w:tcPr>
            <w:tcW w:w="1978" w:type="dxa"/>
          </w:tcPr>
          <w:p w:rsidR="00000000" w:rsidRDefault="00000000">
            <w:r>
              <w:t>Всемирный банк</w:t>
            </w:r>
          </w:p>
        </w:tc>
        <w:tc>
          <w:tcPr>
            <w:tcW w:w="3179" w:type="dxa"/>
          </w:tcPr>
          <w:p w:rsidR="00000000" w:rsidRDefault="00000000">
            <w:r>
              <w:t>Национальная система наблюдения в области здравоохранения - ВИЖИСУС</w:t>
            </w:r>
          </w:p>
        </w:tc>
        <w:tc>
          <w:tcPr>
            <w:tcW w:w="2431" w:type="dxa"/>
          </w:tcPr>
          <w:p w:rsidR="00000000" w:rsidRDefault="00000000">
            <w:pPr>
              <w:jc w:val="center"/>
            </w:pPr>
            <w:r>
              <w:t>100</w:t>
            </w:r>
          </w:p>
        </w:tc>
        <w:tc>
          <w:tcPr>
            <w:tcW w:w="1983" w:type="dxa"/>
          </w:tcPr>
          <w:p w:rsidR="00000000" w:rsidRDefault="00000000">
            <w:r>
              <w:t>Осуществление</w:t>
            </w:r>
          </w:p>
        </w:tc>
      </w:tr>
      <w:tr w:rsidR="00000000">
        <w:tblPrEx>
          <w:tblCellMar>
            <w:top w:w="0" w:type="dxa"/>
            <w:bottom w:w="0" w:type="dxa"/>
          </w:tblCellMar>
        </w:tblPrEx>
        <w:tc>
          <w:tcPr>
            <w:tcW w:w="1978" w:type="dxa"/>
          </w:tcPr>
          <w:p w:rsidR="00000000" w:rsidRDefault="00000000">
            <w:r>
              <w:rPr>
                <w:lang w:val="en-US"/>
              </w:rPr>
              <w:t>KfW</w:t>
            </w:r>
          </w:p>
        </w:tc>
        <w:tc>
          <w:tcPr>
            <w:tcW w:w="3179" w:type="dxa"/>
          </w:tcPr>
          <w:p w:rsidR="00000000" w:rsidRDefault="00000000">
            <w:r>
              <w:t>Предоставление базовых услуг в области здравоохранения - штат Сеара</w:t>
            </w:r>
          </w:p>
        </w:tc>
        <w:tc>
          <w:tcPr>
            <w:tcW w:w="2431" w:type="dxa"/>
          </w:tcPr>
          <w:p w:rsidR="00000000" w:rsidRDefault="00000000">
            <w:pPr>
              <w:pStyle w:val="16"/>
            </w:pPr>
            <w:r>
              <w:t>8,020</w:t>
            </w:r>
          </w:p>
        </w:tc>
        <w:tc>
          <w:tcPr>
            <w:tcW w:w="1983" w:type="dxa"/>
          </w:tcPr>
          <w:p w:rsidR="00000000" w:rsidRDefault="00000000">
            <w:r>
              <w:t>Осуществление</w:t>
            </w:r>
          </w:p>
        </w:tc>
      </w:tr>
      <w:tr w:rsidR="00000000">
        <w:tblPrEx>
          <w:tblCellMar>
            <w:top w:w="0" w:type="dxa"/>
            <w:bottom w:w="0" w:type="dxa"/>
          </w:tblCellMar>
        </w:tblPrEx>
        <w:tc>
          <w:tcPr>
            <w:tcW w:w="1978" w:type="dxa"/>
          </w:tcPr>
          <w:p w:rsidR="00000000" w:rsidRDefault="00000000">
            <w:r>
              <w:rPr>
                <w:lang w:val="en-US"/>
              </w:rPr>
              <w:t>KfW</w:t>
            </w:r>
          </w:p>
        </w:tc>
        <w:tc>
          <w:tcPr>
            <w:tcW w:w="3179" w:type="dxa"/>
          </w:tcPr>
          <w:p w:rsidR="00000000" w:rsidRDefault="00000000">
            <w:r>
              <w:t>Здравоохранение и санитарное обустройство в сельских районах штата Пиауи</w:t>
            </w:r>
          </w:p>
        </w:tc>
        <w:tc>
          <w:tcPr>
            <w:tcW w:w="2431" w:type="dxa"/>
          </w:tcPr>
          <w:p w:rsidR="00000000" w:rsidRDefault="00000000">
            <w:pPr>
              <w:jc w:val="center"/>
            </w:pPr>
            <w:r>
              <w:t>10,025</w:t>
            </w:r>
          </w:p>
        </w:tc>
        <w:tc>
          <w:tcPr>
            <w:tcW w:w="1983" w:type="dxa"/>
          </w:tcPr>
          <w:p w:rsidR="00000000" w:rsidRDefault="00000000">
            <w:r>
              <w:t>Осуществление</w:t>
            </w:r>
          </w:p>
        </w:tc>
      </w:tr>
      <w:tr w:rsidR="00000000">
        <w:tblPrEx>
          <w:tblCellMar>
            <w:top w:w="0" w:type="dxa"/>
            <w:bottom w:w="0" w:type="dxa"/>
          </w:tblCellMar>
        </w:tblPrEx>
        <w:tc>
          <w:tcPr>
            <w:tcW w:w="1978" w:type="dxa"/>
            <w:tcBorders>
              <w:bottom w:val="single" w:sz="4" w:space="0" w:color="auto"/>
            </w:tcBorders>
          </w:tcPr>
          <w:p w:rsidR="00000000" w:rsidRDefault="00000000">
            <w:r>
              <w:t>МБР</w:t>
            </w:r>
          </w:p>
        </w:tc>
        <w:tc>
          <w:tcPr>
            <w:tcW w:w="3179" w:type="dxa"/>
            <w:tcBorders>
              <w:bottom w:val="single" w:sz="4" w:space="0" w:color="auto"/>
            </w:tcBorders>
          </w:tcPr>
          <w:p w:rsidR="00000000" w:rsidRDefault="00000000">
            <w:r>
              <w:t>Проект профессиональной подготовки медсестер - ПРОФАЕ</w:t>
            </w:r>
          </w:p>
        </w:tc>
        <w:tc>
          <w:tcPr>
            <w:tcW w:w="2431" w:type="dxa"/>
          </w:tcPr>
          <w:p w:rsidR="00000000" w:rsidRDefault="00000000">
            <w:pPr>
              <w:jc w:val="center"/>
            </w:pPr>
            <w:r>
              <w:t>85</w:t>
            </w:r>
          </w:p>
        </w:tc>
        <w:tc>
          <w:tcPr>
            <w:tcW w:w="1983" w:type="dxa"/>
          </w:tcPr>
          <w:p w:rsidR="00000000" w:rsidRDefault="00000000">
            <w:r>
              <w:t>Подписание</w:t>
            </w:r>
          </w:p>
        </w:tc>
      </w:tr>
      <w:tr w:rsidR="00000000">
        <w:tblPrEx>
          <w:tblCellMar>
            <w:top w:w="0" w:type="dxa"/>
            <w:bottom w:w="0" w:type="dxa"/>
          </w:tblCellMar>
        </w:tblPrEx>
        <w:tc>
          <w:tcPr>
            <w:tcW w:w="1978" w:type="dxa"/>
            <w:tcBorders>
              <w:right w:val="nil"/>
            </w:tcBorders>
          </w:tcPr>
          <w:p w:rsidR="00000000" w:rsidRDefault="00000000">
            <w:r>
              <w:t>Итого</w:t>
            </w:r>
          </w:p>
        </w:tc>
        <w:tc>
          <w:tcPr>
            <w:tcW w:w="3179" w:type="dxa"/>
            <w:tcBorders>
              <w:left w:val="nil"/>
            </w:tcBorders>
          </w:tcPr>
          <w:p w:rsidR="00000000" w:rsidRDefault="00000000"/>
        </w:tc>
        <w:tc>
          <w:tcPr>
            <w:tcW w:w="2431" w:type="dxa"/>
          </w:tcPr>
          <w:p w:rsidR="00000000" w:rsidRDefault="00000000">
            <w:pPr>
              <w:pStyle w:val="16"/>
            </w:pPr>
            <w:r>
              <w:t>1 609 445</w:t>
            </w:r>
          </w:p>
        </w:tc>
        <w:tc>
          <w:tcPr>
            <w:tcW w:w="1983" w:type="dxa"/>
          </w:tcPr>
          <w:p w:rsidR="00000000" w:rsidRDefault="00000000"/>
        </w:tc>
      </w:tr>
    </w:tbl>
    <w:p w:rsidR="00000000" w:rsidRDefault="00000000"/>
    <w:p w:rsidR="00000000" w:rsidRDefault="00000000">
      <w:pPr>
        <w:pStyle w:val="16"/>
        <w:rPr>
          <w:b/>
          <w:bCs/>
        </w:rPr>
      </w:pPr>
      <w:r>
        <w:rPr>
          <w:b/>
          <w:bCs/>
        </w:rPr>
        <w:t>Статьи 13 и 14</w:t>
      </w:r>
    </w:p>
    <w:p w:rsidR="00000000" w:rsidRDefault="00000000">
      <w:pPr>
        <w:pStyle w:val="16"/>
      </w:pPr>
    </w:p>
    <w:p w:rsidR="00000000" w:rsidRDefault="00000000">
      <w:r>
        <w:t>745.</w:t>
      </w:r>
      <w:r>
        <w:tab/>
        <w:t>Статьи 13 и 14 Международного пакта об экономических, социальных и культурных правах касаются образования.  Исходя из этого бразильское правительство представляет комментарии по обеим статьям в целях обеспечения системного подхода к рассматриваемым аспектам.</w:t>
      </w:r>
    </w:p>
    <w:p w:rsidR="00000000" w:rsidRDefault="00000000"/>
    <w:p w:rsidR="00000000" w:rsidRDefault="00000000">
      <w:r>
        <w:t>746.</w:t>
      </w:r>
      <w:r>
        <w:tab/>
        <w:t>Общее положение в области образования в Бразилии за последние несколько десятилетий существенно улучшилось, что нашло свое отражение в резком сокращении неграмотности, значительном увеличении числа зарегистрированных учащихся и студентов на всех ступенях образования и постепенном росте среднего образовательного уровня населения.  Однако эти достижения не означают отсутствия необходимости в проведении критического анализа проблем в области образования, которые по</w:t>
      </w:r>
      <w:r>
        <w:noBreakHyphen/>
        <w:t>прежнему существуют в Бразилии и которые должны быть решены, с тем чтобы восполнить исторически сложившиеся пробелы в области образования.</w:t>
      </w:r>
    </w:p>
    <w:p w:rsidR="00000000" w:rsidRDefault="00000000"/>
    <w:p w:rsidR="00000000" w:rsidRDefault="00000000">
      <w:r>
        <w:t>747.</w:t>
      </w:r>
      <w:r>
        <w:tab/>
        <w:t>В то время как система образования Бразилии достигла неплохих количественных показателей даже по сравнению с международными стандартами, этого пока еще нельзя сказать в отношении качества и равномерного охвата населения системой образования.  Следует также отметить, что при постепенном улучшении показателей в области образования в различных штатах и регионах Бразилии эти изменения сопровождаются различными проблемами и осуществляются с разными темпами, что свидетельствует о весьма существенных различиях в том, что касается спроса и предложения на образовательные услуги в различных районах страны.</w:t>
      </w:r>
    </w:p>
    <w:p w:rsidR="00000000" w:rsidRDefault="00000000"/>
    <w:p w:rsidR="00000000" w:rsidRDefault="00000000">
      <w:r>
        <w:t>748.</w:t>
      </w:r>
      <w:r>
        <w:tab/>
        <w:t>Ликвидация неграмотности, безусловно, является первым шагом на пути к созданию комплексной системы образования, создающей широкие предпосылки для социально-экономического развития.  В Бразилии по</w:t>
      </w:r>
      <w:r>
        <w:noBreakHyphen/>
        <w:t>прежнему высок уровень неграмотность среди населения в возрасте 15 лет и выше (13,3%), что в абсолютном выражении составляет значительный контингент, превышающий 15 млн. человек</w:t>
      </w:r>
      <w:r>
        <w:rPr>
          <w:b/>
          <w:bCs/>
          <w:vertAlign w:val="superscript"/>
        </w:rPr>
        <w:t>21</w:t>
      </w:r>
      <w:r>
        <w:t>.</w:t>
      </w:r>
    </w:p>
    <w:p w:rsidR="00000000" w:rsidRDefault="00000000"/>
    <w:p w:rsidR="00000000" w:rsidRDefault="00000000">
      <w:r>
        <w:t>749.</w:t>
      </w:r>
      <w:r>
        <w:tab/>
        <w:t>Эти цифры выглядят несколько менее пугающими лишь при изучении динамики соответствующих показателей за прошедшие три десятилетия.  Уровень неграмотности в Бразилии снизился с 39,5% в 1960 году до 20,1% в 1991 году при сравнительно невысоких темпах снижения в 0,63% в год.  Однако в 90-е годы уровень неграмотности снижался гораздо быстрее - в среднем на 1,08% в год.  Другой позитивной тенденцией является уменьшение числа неграмотных в возрастной группе лиц старше 15 лет.</w:t>
      </w:r>
    </w:p>
    <w:p w:rsidR="00000000" w:rsidRDefault="00000000"/>
    <w:p w:rsidR="00000000" w:rsidRDefault="00000000">
      <w:r>
        <w:t>750.</w:t>
      </w:r>
      <w:r>
        <w:tab/>
        <w:t>В приводимой ниже таблице показано число неграмотных среди населения в возрасте 15 лет и старше в абсолютных цифрах и процентах за период 1920-1999 годов.</w:t>
      </w:r>
    </w:p>
    <w:p w:rsidR="00000000" w:rsidRDefault="00000000"/>
    <w:p w:rsidR="00000000" w:rsidRDefault="00000000">
      <w:pPr>
        <w:pStyle w:val="10"/>
        <w:rPr>
          <w:bCs/>
        </w:rPr>
      </w:pPr>
      <w:r>
        <w:rPr>
          <w:bCs/>
        </w:rPr>
        <w:t>Таблица 86.   Неграмотность в Бразилии*, 1920-1999 годы</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9"/>
        <w:gridCol w:w="3190"/>
        <w:gridCol w:w="3191"/>
      </w:tblGrid>
      <w:tr w:rsidR="00000000">
        <w:tblPrEx>
          <w:tblCellMar>
            <w:top w:w="0" w:type="dxa"/>
            <w:bottom w:w="0" w:type="dxa"/>
          </w:tblCellMar>
        </w:tblPrEx>
        <w:tc>
          <w:tcPr>
            <w:tcW w:w="3190" w:type="dxa"/>
          </w:tcPr>
          <w:p w:rsidR="00000000" w:rsidRDefault="00000000">
            <w:pPr>
              <w:pStyle w:val="FootnoteText"/>
              <w:spacing w:line="288" w:lineRule="auto"/>
              <w:jc w:val="center"/>
            </w:pPr>
            <w:r>
              <w:t>Годы</w:t>
            </w:r>
          </w:p>
        </w:tc>
        <w:tc>
          <w:tcPr>
            <w:tcW w:w="3190" w:type="dxa"/>
          </w:tcPr>
          <w:p w:rsidR="00000000" w:rsidRDefault="00000000">
            <w:pPr>
              <w:jc w:val="center"/>
            </w:pPr>
            <w:r>
              <w:t>Абсолютные показатели (в тыс. чел.)</w:t>
            </w:r>
          </w:p>
        </w:tc>
        <w:tc>
          <w:tcPr>
            <w:tcW w:w="3191" w:type="dxa"/>
          </w:tcPr>
          <w:p w:rsidR="00000000" w:rsidRDefault="00000000">
            <w:pPr>
              <w:jc w:val="center"/>
            </w:pPr>
            <w:r>
              <w:t>%</w:t>
            </w:r>
          </w:p>
        </w:tc>
      </w:tr>
      <w:tr w:rsidR="00000000">
        <w:tblPrEx>
          <w:tblCellMar>
            <w:top w:w="0" w:type="dxa"/>
            <w:bottom w:w="0" w:type="dxa"/>
          </w:tblCellMar>
        </w:tblPrEx>
        <w:tc>
          <w:tcPr>
            <w:tcW w:w="3190" w:type="dxa"/>
          </w:tcPr>
          <w:p w:rsidR="00000000" w:rsidRDefault="00000000">
            <w:pPr>
              <w:jc w:val="center"/>
            </w:pPr>
            <w:r>
              <w:t>1920</w:t>
            </w:r>
          </w:p>
        </w:tc>
        <w:tc>
          <w:tcPr>
            <w:tcW w:w="3190" w:type="dxa"/>
          </w:tcPr>
          <w:p w:rsidR="00000000" w:rsidRDefault="00000000">
            <w:pPr>
              <w:jc w:val="center"/>
            </w:pPr>
            <w:r>
              <w:t>11 401,7</w:t>
            </w:r>
          </w:p>
        </w:tc>
        <w:tc>
          <w:tcPr>
            <w:tcW w:w="3191" w:type="dxa"/>
          </w:tcPr>
          <w:p w:rsidR="00000000" w:rsidRDefault="00000000">
            <w:pPr>
              <w:jc w:val="center"/>
            </w:pPr>
            <w:r>
              <w:t>64,9</w:t>
            </w:r>
          </w:p>
        </w:tc>
      </w:tr>
      <w:tr w:rsidR="00000000">
        <w:tblPrEx>
          <w:tblCellMar>
            <w:top w:w="0" w:type="dxa"/>
            <w:bottom w:w="0" w:type="dxa"/>
          </w:tblCellMar>
        </w:tblPrEx>
        <w:tc>
          <w:tcPr>
            <w:tcW w:w="3190" w:type="dxa"/>
          </w:tcPr>
          <w:p w:rsidR="00000000" w:rsidRDefault="00000000">
            <w:pPr>
              <w:jc w:val="center"/>
            </w:pPr>
            <w:r>
              <w:t>1940</w:t>
            </w:r>
          </w:p>
        </w:tc>
        <w:tc>
          <w:tcPr>
            <w:tcW w:w="3190" w:type="dxa"/>
          </w:tcPr>
          <w:p w:rsidR="00000000" w:rsidRDefault="00000000">
            <w:pPr>
              <w:jc w:val="center"/>
            </w:pPr>
            <w:r>
              <w:t>13 269,4</w:t>
            </w:r>
          </w:p>
        </w:tc>
        <w:tc>
          <w:tcPr>
            <w:tcW w:w="3191" w:type="dxa"/>
          </w:tcPr>
          <w:p w:rsidR="00000000" w:rsidRDefault="00000000">
            <w:pPr>
              <w:jc w:val="center"/>
            </w:pPr>
            <w:r>
              <w:t>56,0</w:t>
            </w:r>
          </w:p>
        </w:tc>
      </w:tr>
      <w:tr w:rsidR="00000000">
        <w:tblPrEx>
          <w:tblCellMar>
            <w:top w:w="0" w:type="dxa"/>
            <w:bottom w:w="0" w:type="dxa"/>
          </w:tblCellMar>
        </w:tblPrEx>
        <w:tc>
          <w:tcPr>
            <w:tcW w:w="3190" w:type="dxa"/>
          </w:tcPr>
          <w:p w:rsidR="00000000" w:rsidRDefault="00000000">
            <w:pPr>
              <w:jc w:val="center"/>
            </w:pPr>
            <w:r>
              <w:t>1950</w:t>
            </w:r>
          </w:p>
        </w:tc>
        <w:tc>
          <w:tcPr>
            <w:tcW w:w="3190" w:type="dxa"/>
          </w:tcPr>
          <w:p w:rsidR="00000000" w:rsidRDefault="00000000">
            <w:pPr>
              <w:jc w:val="center"/>
            </w:pPr>
            <w:r>
              <w:t>15 272,6</w:t>
            </w:r>
          </w:p>
        </w:tc>
        <w:tc>
          <w:tcPr>
            <w:tcW w:w="3191" w:type="dxa"/>
          </w:tcPr>
          <w:p w:rsidR="00000000" w:rsidRDefault="00000000">
            <w:pPr>
              <w:jc w:val="center"/>
            </w:pPr>
            <w:r>
              <w:t>50,5</w:t>
            </w:r>
          </w:p>
        </w:tc>
      </w:tr>
      <w:tr w:rsidR="00000000">
        <w:tblPrEx>
          <w:tblCellMar>
            <w:top w:w="0" w:type="dxa"/>
            <w:bottom w:w="0" w:type="dxa"/>
          </w:tblCellMar>
        </w:tblPrEx>
        <w:tc>
          <w:tcPr>
            <w:tcW w:w="3190" w:type="dxa"/>
          </w:tcPr>
          <w:p w:rsidR="00000000" w:rsidRDefault="00000000">
            <w:pPr>
              <w:jc w:val="center"/>
            </w:pPr>
            <w:r>
              <w:t>1960</w:t>
            </w:r>
          </w:p>
        </w:tc>
        <w:tc>
          <w:tcPr>
            <w:tcW w:w="3190" w:type="dxa"/>
          </w:tcPr>
          <w:p w:rsidR="00000000" w:rsidRDefault="00000000">
            <w:pPr>
              <w:jc w:val="center"/>
            </w:pPr>
            <w:r>
              <w:t>15 964,9</w:t>
            </w:r>
          </w:p>
        </w:tc>
        <w:tc>
          <w:tcPr>
            <w:tcW w:w="3191" w:type="dxa"/>
          </w:tcPr>
          <w:p w:rsidR="00000000" w:rsidRDefault="00000000">
            <w:pPr>
              <w:jc w:val="center"/>
            </w:pPr>
            <w:r>
              <w:t>39,6</w:t>
            </w:r>
          </w:p>
        </w:tc>
      </w:tr>
      <w:tr w:rsidR="00000000">
        <w:tblPrEx>
          <w:tblCellMar>
            <w:top w:w="0" w:type="dxa"/>
            <w:bottom w:w="0" w:type="dxa"/>
          </w:tblCellMar>
        </w:tblPrEx>
        <w:tc>
          <w:tcPr>
            <w:tcW w:w="3190" w:type="dxa"/>
          </w:tcPr>
          <w:p w:rsidR="00000000" w:rsidRDefault="00000000">
            <w:pPr>
              <w:jc w:val="center"/>
            </w:pPr>
            <w:r>
              <w:t>1970</w:t>
            </w:r>
          </w:p>
        </w:tc>
        <w:tc>
          <w:tcPr>
            <w:tcW w:w="3190" w:type="dxa"/>
          </w:tcPr>
          <w:p w:rsidR="00000000" w:rsidRDefault="00000000">
            <w:pPr>
              <w:jc w:val="center"/>
            </w:pPr>
            <w:r>
              <w:t>18 147,0</w:t>
            </w:r>
          </w:p>
        </w:tc>
        <w:tc>
          <w:tcPr>
            <w:tcW w:w="3191" w:type="dxa"/>
          </w:tcPr>
          <w:p w:rsidR="00000000" w:rsidRDefault="00000000">
            <w:pPr>
              <w:jc w:val="center"/>
            </w:pPr>
            <w:r>
              <w:t>33,6</w:t>
            </w:r>
          </w:p>
        </w:tc>
      </w:tr>
      <w:tr w:rsidR="00000000">
        <w:tblPrEx>
          <w:tblCellMar>
            <w:top w:w="0" w:type="dxa"/>
            <w:bottom w:w="0" w:type="dxa"/>
          </w:tblCellMar>
        </w:tblPrEx>
        <w:tc>
          <w:tcPr>
            <w:tcW w:w="3190" w:type="dxa"/>
          </w:tcPr>
          <w:p w:rsidR="00000000" w:rsidRDefault="00000000">
            <w:pPr>
              <w:jc w:val="center"/>
            </w:pPr>
            <w:r>
              <w:t>1980</w:t>
            </w:r>
          </w:p>
        </w:tc>
        <w:tc>
          <w:tcPr>
            <w:tcW w:w="3190" w:type="dxa"/>
          </w:tcPr>
          <w:p w:rsidR="00000000" w:rsidRDefault="00000000">
            <w:pPr>
              <w:jc w:val="center"/>
            </w:pPr>
            <w:r>
              <w:t>18 651,8</w:t>
            </w:r>
          </w:p>
        </w:tc>
        <w:tc>
          <w:tcPr>
            <w:tcW w:w="3191" w:type="dxa"/>
          </w:tcPr>
          <w:p w:rsidR="00000000" w:rsidRDefault="00000000">
            <w:pPr>
              <w:jc w:val="center"/>
            </w:pPr>
            <w:r>
              <w:t>25,4</w:t>
            </w:r>
          </w:p>
        </w:tc>
      </w:tr>
      <w:tr w:rsidR="00000000">
        <w:tblPrEx>
          <w:tblCellMar>
            <w:top w:w="0" w:type="dxa"/>
            <w:bottom w:w="0" w:type="dxa"/>
          </w:tblCellMar>
        </w:tblPrEx>
        <w:tc>
          <w:tcPr>
            <w:tcW w:w="3190" w:type="dxa"/>
          </w:tcPr>
          <w:p w:rsidR="00000000" w:rsidRDefault="00000000">
            <w:pPr>
              <w:jc w:val="center"/>
            </w:pPr>
            <w:r>
              <w:t>1991</w:t>
            </w:r>
          </w:p>
        </w:tc>
        <w:tc>
          <w:tcPr>
            <w:tcW w:w="3190" w:type="dxa"/>
          </w:tcPr>
          <w:p w:rsidR="00000000" w:rsidRDefault="00000000">
            <w:pPr>
              <w:jc w:val="center"/>
            </w:pPr>
            <w:r>
              <w:t>19 233,2</w:t>
            </w:r>
          </w:p>
        </w:tc>
        <w:tc>
          <w:tcPr>
            <w:tcW w:w="3191" w:type="dxa"/>
          </w:tcPr>
          <w:p w:rsidR="00000000" w:rsidRDefault="00000000">
            <w:pPr>
              <w:jc w:val="center"/>
            </w:pPr>
            <w:r>
              <w:t>20,1</w:t>
            </w:r>
          </w:p>
        </w:tc>
      </w:tr>
      <w:tr w:rsidR="00000000">
        <w:tblPrEx>
          <w:tblCellMar>
            <w:top w:w="0" w:type="dxa"/>
            <w:bottom w:w="0" w:type="dxa"/>
          </w:tblCellMar>
        </w:tblPrEx>
        <w:tc>
          <w:tcPr>
            <w:tcW w:w="3190" w:type="dxa"/>
          </w:tcPr>
          <w:p w:rsidR="00000000" w:rsidRDefault="00000000">
            <w:pPr>
              <w:jc w:val="center"/>
            </w:pPr>
            <w:r>
              <w:t>1996</w:t>
            </w:r>
          </w:p>
        </w:tc>
        <w:tc>
          <w:tcPr>
            <w:tcW w:w="3190" w:type="dxa"/>
          </w:tcPr>
          <w:p w:rsidR="00000000" w:rsidRDefault="00000000">
            <w:pPr>
              <w:jc w:val="center"/>
            </w:pPr>
            <w:r>
              <w:t>15 560,3</w:t>
            </w:r>
          </w:p>
        </w:tc>
        <w:tc>
          <w:tcPr>
            <w:tcW w:w="3191" w:type="dxa"/>
          </w:tcPr>
          <w:p w:rsidR="00000000" w:rsidRDefault="00000000">
            <w:pPr>
              <w:jc w:val="center"/>
            </w:pPr>
            <w:r>
              <w:t>14,7</w:t>
            </w:r>
          </w:p>
        </w:tc>
      </w:tr>
      <w:tr w:rsidR="00000000">
        <w:tblPrEx>
          <w:tblCellMar>
            <w:top w:w="0" w:type="dxa"/>
            <w:bottom w:w="0" w:type="dxa"/>
          </w:tblCellMar>
        </w:tblPrEx>
        <w:tc>
          <w:tcPr>
            <w:tcW w:w="3190" w:type="dxa"/>
          </w:tcPr>
          <w:p w:rsidR="00000000" w:rsidRDefault="00000000">
            <w:pPr>
              <w:jc w:val="center"/>
            </w:pPr>
            <w:r>
              <w:t>1998</w:t>
            </w:r>
          </w:p>
        </w:tc>
        <w:tc>
          <w:tcPr>
            <w:tcW w:w="3190" w:type="dxa"/>
          </w:tcPr>
          <w:p w:rsidR="00000000" w:rsidRDefault="00000000">
            <w:pPr>
              <w:jc w:val="center"/>
            </w:pPr>
            <w:r>
              <w:t>15 262,7</w:t>
            </w:r>
          </w:p>
        </w:tc>
        <w:tc>
          <w:tcPr>
            <w:tcW w:w="3191" w:type="dxa"/>
          </w:tcPr>
          <w:p w:rsidR="00000000" w:rsidRDefault="00000000">
            <w:pPr>
              <w:jc w:val="center"/>
            </w:pPr>
            <w:r>
              <w:t>13,8</w:t>
            </w:r>
          </w:p>
        </w:tc>
      </w:tr>
      <w:tr w:rsidR="00000000">
        <w:tblPrEx>
          <w:tblCellMar>
            <w:top w:w="0" w:type="dxa"/>
            <w:bottom w:w="0" w:type="dxa"/>
          </w:tblCellMar>
        </w:tblPrEx>
        <w:tc>
          <w:tcPr>
            <w:tcW w:w="3190" w:type="dxa"/>
          </w:tcPr>
          <w:p w:rsidR="00000000" w:rsidRDefault="00000000">
            <w:pPr>
              <w:jc w:val="center"/>
            </w:pPr>
            <w:r>
              <w:t>1999</w:t>
            </w:r>
          </w:p>
        </w:tc>
        <w:tc>
          <w:tcPr>
            <w:tcW w:w="3190" w:type="dxa"/>
          </w:tcPr>
          <w:p w:rsidR="00000000" w:rsidRDefault="00000000">
            <w:pPr>
              <w:jc w:val="center"/>
            </w:pPr>
            <w:r>
              <w:t>15 073,0</w:t>
            </w:r>
          </w:p>
        </w:tc>
        <w:tc>
          <w:tcPr>
            <w:tcW w:w="3191" w:type="dxa"/>
          </w:tcPr>
          <w:p w:rsidR="00000000" w:rsidRDefault="00000000">
            <w:pPr>
              <w:jc w:val="center"/>
            </w:pPr>
            <w:r>
              <w:t>13,3</w:t>
            </w:r>
          </w:p>
        </w:tc>
      </w:tr>
    </w:tbl>
    <w:p w:rsidR="00000000" w:rsidRDefault="00000000">
      <w:pPr>
        <w:pStyle w:val="FootnoteText"/>
        <w:spacing w:line="288" w:lineRule="auto"/>
        <w:rPr>
          <w:sz w:val="16"/>
        </w:rPr>
      </w:pPr>
    </w:p>
    <w:p w:rsidR="00000000" w:rsidRDefault="00000000">
      <w:r>
        <w:tab/>
      </w:r>
      <w:r>
        <w:rPr>
          <w:u w:val="single"/>
        </w:rPr>
        <w:t>Источник</w:t>
      </w:r>
      <w:r>
        <w:t>:  Перепись населения, БИГС:  1920, 1940, 1950, 1960, 1970, 1980, 1991 годы.  Общенациональное выборочное обследование домашних хозяйств (ОВОДХ/БИГС) за 1996, 1998 и 1999 годы.</w:t>
      </w:r>
    </w:p>
    <w:p w:rsidR="00000000" w:rsidRDefault="00000000">
      <w:pPr>
        <w:rPr>
          <w:sz w:val="16"/>
        </w:rPr>
      </w:pPr>
    </w:p>
    <w:p w:rsidR="00000000" w:rsidRDefault="00000000">
      <w:pPr>
        <w:pStyle w:val="BodyTextIndent"/>
        <w:ind w:firstLine="0"/>
      </w:pPr>
      <w:r>
        <w:t>*</w:t>
      </w:r>
      <w:r>
        <w:tab/>
        <w:t>За исключением сельского населения штатов Рондония, Акри, Амазонас, Рорайма, Пара и Амапа.</w:t>
      </w:r>
    </w:p>
    <w:p w:rsidR="00000000" w:rsidRDefault="00000000">
      <w:pPr>
        <w:pStyle w:val="BodyTextIndent"/>
        <w:rPr>
          <w:b w:val="0"/>
          <w:bCs w:val="0"/>
          <w:sz w:val="16"/>
        </w:rPr>
      </w:pPr>
    </w:p>
    <w:p w:rsidR="00000000" w:rsidRDefault="00000000">
      <w:pPr>
        <w:tabs>
          <w:tab w:val="clear" w:pos="1701"/>
          <w:tab w:val="left" w:pos="1683"/>
        </w:tabs>
      </w:pPr>
      <w:r>
        <w:t>751.</w:t>
      </w:r>
      <w:r>
        <w:tab/>
        <w:t>Это резкое падение уровня неграмотности в Бразилии, особенно среди более молодых возрастных групп, непосредственно связано с обеспечением всеобщего доступа населения к базовому образованию, что оказалось наиболее эффективной мерой правительства и других организаций гражданского общества, стремящихся изменить положение в области образования в стране.</w:t>
      </w:r>
    </w:p>
    <w:p w:rsidR="00000000" w:rsidRDefault="00000000">
      <w:pPr>
        <w:tabs>
          <w:tab w:val="clear" w:pos="1701"/>
          <w:tab w:val="left" w:pos="1683"/>
        </w:tabs>
        <w:rPr>
          <w:sz w:val="16"/>
        </w:rPr>
      </w:pPr>
    </w:p>
    <w:p w:rsidR="00000000" w:rsidRDefault="00000000">
      <w:pPr>
        <w:tabs>
          <w:tab w:val="clear" w:pos="1701"/>
          <w:tab w:val="left" w:pos="1683"/>
        </w:tabs>
      </w:pPr>
      <w:r>
        <w:t>752.</w:t>
      </w:r>
      <w:r>
        <w:tab/>
        <w:t xml:space="preserve">Данные последних нескольких обзоров, проведенных Бразильским институтом географии и статистики (БИГС - </w:t>
      </w:r>
      <w:r>
        <w:rPr>
          <w:i/>
          <w:iCs/>
          <w:lang w:val="en-US"/>
        </w:rPr>
        <w:t>Instituto</w:t>
      </w:r>
      <w:r>
        <w:rPr>
          <w:i/>
          <w:iCs/>
        </w:rPr>
        <w:t xml:space="preserve"> </w:t>
      </w:r>
      <w:r>
        <w:rPr>
          <w:i/>
          <w:iCs/>
          <w:lang w:val="en-US"/>
        </w:rPr>
        <w:t>Brasileiro</w:t>
      </w:r>
      <w:r>
        <w:rPr>
          <w:i/>
          <w:iCs/>
        </w:rPr>
        <w:t xml:space="preserve"> </w:t>
      </w:r>
      <w:r>
        <w:rPr>
          <w:i/>
          <w:iCs/>
          <w:lang w:val="en-US"/>
        </w:rPr>
        <w:t>de</w:t>
      </w:r>
      <w:r>
        <w:rPr>
          <w:i/>
          <w:iCs/>
        </w:rPr>
        <w:t xml:space="preserve"> </w:t>
      </w:r>
      <w:r>
        <w:rPr>
          <w:i/>
          <w:iCs/>
          <w:lang w:val="en-US"/>
        </w:rPr>
        <w:t>Geografia</w:t>
      </w:r>
      <w:r>
        <w:rPr>
          <w:i/>
          <w:iCs/>
        </w:rPr>
        <w:t xml:space="preserve"> </w:t>
      </w:r>
      <w:r>
        <w:rPr>
          <w:i/>
          <w:iCs/>
          <w:lang w:val="en-US"/>
        </w:rPr>
        <w:t>e</w:t>
      </w:r>
      <w:r>
        <w:rPr>
          <w:i/>
          <w:iCs/>
        </w:rPr>
        <w:t xml:space="preserve"> </w:t>
      </w:r>
      <w:r>
        <w:rPr>
          <w:i/>
          <w:iCs/>
          <w:lang w:val="en-US"/>
        </w:rPr>
        <w:t>Estat</w:t>
      </w:r>
      <w:r>
        <w:rPr>
          <w:i/>
          <w:iCs/>
        </w:rPr>
        <w:t>í</w:t>
      </w:r>
      <w:r>
        <w:rPr>
          <w:i/>
          <w:iCs/>
          <w:lang w:val="en-US"/>
        </w:rPr>
        <w:t>stica</w:t>
      </w:r>
      <w:r>
        <w:t>), показывают, что наибольшая доля неграмотных все в большей степени приходится на лиц более старшего возраста</w:t>
      </w:r>
      <w:r>
        <w:rPr>
          <w:b/>
          <w:bCs/>
          <w:vertAlign w:val="superscript"/>
        </w:rPr>
        <w:t>22</w:t>
      </w:r>
      <w:r>
        <w:t>, что следует из приводимой ниже таблицы 87.</w:t>
      </w:r>
    </w:p>
    <w:p w:rsidR="00000000" w:rsidRDefault="00000000">
      <w:pPr>
        <w:tabs>
          <w:tab w:val="clear" w:pos="1701"/>
          <w:tab w:val="left" w:pos="1683"/>
        </w:tabs>
        <w:rPr>
          <w:sz w:val="16"/>
        </w:rPr>
      </w:pPr>
    </w:p>
    <w:p w:rsidR="00000000" w:rsidRDefault="00000000">
      <w:pPr>
        <w:pStyle w:val="10"/>
        <w:tabs>
          <w:tab w:val="clear" w:pos="1701"/>
          <w:tab w:val="left" w:pos="1683"/>
        </w:tabs>
        <w:rPr>
          <w:bCs/>
        </w:rPr>
      </w:pPr>
      <w:r>
        <w:rPr>
          <w:bCs/>
        </w:rPr>
        <w:t>Таблица 87.   Уровень неграмотности лиц в возрасте 15 лет и старше, в разбивке по возрастным группам* (1970-1999 годы)</w:t>
      </w:r>
    </w:p>
    <w:p w:rsidR="00000000" w:rsidRDefault="00000000">
      <w:pPr>
        <w:pStyle w:val="10"/>
        <w:tabs>
          <w:tab w:val="clear" w:pos="1701"/>
          <w:tab w:val="left" w:pos="1683"/>
        </w:tabs>
        <w:spacing w:line="240" w:lineRule="auto"/>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2"/>
        <w:gridCol w:w="1122"/>
        <w:gridCol w:w="1309"/>
        <w:gridCol w:w="1310"/>
        <w:gridCol w:w="1196"/>
        <w:gridCol w:w="1234"/>
        <w:gridCol w:w="1309"/>
        <w:gridCol w:w="1048"/>
      </w:tblGrid>
      <w:tr w:rsidR="00000000">
        <w:tblPrEx>
          <w:tblCellMar>
            <w:top w:w="0" w:type="dxa"/>
            <w:bottom w:w="0" w:type="dxa"/>
          </w:tblCellMar>
        </w:tblPrEx>
        <w:trPr>
          <w:cantSplit/>
        </w:trPr>
        <w:tc>
          <w:tcPr>
            <w:tcW w:w="1043" w:type="dxa"/>
            <w:tcBorders>
              <w:bottom w:val="nil"/>
            </w:tcBorders>
          </w:tcPr>
          <w:p w:rsidR="00000000" w:rsidRDefault="00000000">
            <w:pPr>
              <w:pStyle w:val="10"/>
              <w:tabs>
                <w:tab w:val="clear" w:pos="1701"/>
                <w:tab w:val="left" w:pos="1683"/>
              </w:tabs>
              <w:spacing w:line="240" w:lineRule="auto"/>
              <w:rPr>
                <w:b w:val="0"/>
              </w:rPr>
            </w:pPr>
          </w:p>
        </w:tc>
        <w:tc>
          <w:tcPr>
            <w:tcW w:w="8528" w:type="dxa"/>
            <w:gridSpan w:val="7"/>
          </w:tcPr>
          <w:p w:rsidR="00000000" w:rsidRDefault="00000000">
            <w:pPr>
              <w:pStyle w:val="10"/>
              <w:tabs>
                <w:tab w:val="clear" w:pos="1701"/>
                <w:tab w:val="left" w:pos="1683"/>
              </w:tabs>
              <w:spacing w:line="240" w:lineRule="auto"/>
              <w:rPr>
                <w:b w:val="0"/>
              </w:rPr>
            </w:pPr>
            <w:r>
              <w:rPr>
                <w:b w:val="0"/>
              </w:rPr>
              <w:t>Уровень неграмотности (в %)</w:t>
            </w:r>
          </w:p>
        </w:tc>
      </w:tr>
      <w:tr w:rsidR="00000000">
        <w:tblPrEx>
          <w:tblCellMar>
            <w:top w:w="0" w:type="dxa"/>
            <w:bottom w:w="0" w:type="dxa"/>
          </w:tblCellMar>
        </w:tblPrEx>
        <w:tc>
          <w:tcPr>
            <w:tcW w:w="1043" w:type="dxa"/>
            <w:tcBorders>
              <w:top w:val="nil"/>
            </w:tcBorders>
          </w:tcPr>
          <w:p w:rsidR="00000000" w:rsidRDefault="00000000">
            <w:pPr>
              <w:pStyle w:val="10"/>
              <w:tabs>
                <w:tab w:val="clear" w:pos="1701"/>
                <w:tab w:val="left" w:pos="1683"/>
              </w:tabs>
              <w:spacing w:line="240" w:lineRule="auto"/>
              <w:rPr>
                <w:b w:val="0"/>
              </w:rPr>
            </w:pPr>
            <w:r>
              <w:rPr>
                <w:b w:val="0"/>
              </w:rPr>
              <w:t>Годы</w:t>
            </w:r>
          </w:p>
        </w:tc>
        <w:tc>
          <w:tcPr>
            <w:tcW w:w="1122" w:type="dxa"/>
          </w:tcPr>
          <w:p w:rsidR="00000000" w:rsidRDefault="00000000">
            <w:pPr>
              <w:pStyle w:val="10"/>
              <w:tabs>
                <w:tab w:val="clear" w:pos="1701"/>
                <w:tab w:val="left" w:pos="1683"/>
              </w:tabs>
              <w:spacing w:line="240" w:lineRule="auto"/>
              <w:rPr>
                <w:b w:val="0"/>
              </w:rPr>
            </w:pPr>
            <w:r>
              <w:rPr>
                <w:b w:val="0"/>
              </w:rPr>
              <w:t>15 лет и старше</w:t>
            </w:r>
          </w:p>
        </w:tc>
        <w:tc>
          <w:tcPr>
            <w:tcW w:w="1309" w:type="dxa"/>
          </w:tcPr>
          <w:p w:rsidR="00000000" w:rsidRDefault="00000000">
            <w:pPr>
              <w:pStyle w:val="10"/>
              <w:tabs>
                <w:tab w:val="clear" w:pos="1701"/>
                <w:tab w:val="left" w:pos="1683"/>
              </w:tabs>
              <w:spacing w:line="240" w:lineRule="auto"/>
              <w:rPr>
                <w:b w:val="0"/>
              </w:rPr>
            </w:pPr>
            <w:r>
              <w:rPr>
                <w:b w:val="0"/>
              </w:rPr>
              <w:t>15-19 лет</w:t>
            </w:r>
          </w:p>
        </w:tc>
        <w:tc>
          <w:tcPr>
            <w:tcW w:w="1310" w:type="dxa"/>
          </w:tcPr>
          <w:p w:rsidR="00000000" w:rsidRDefault="00000000">
            <w:pPr>
              <w:pStyle w:val="10"/>
              <w:tabs>
                <w:tab w:val="clear" w:pos="1701"/>
                <w:tab w:val="left" w:pos="1683"/>
              </w:tabs>
              <w:spacing w:line="240" w:lineRule="auto"/>
              <w:rPr>
                <w:b w:val="0"/>
              </w:rPr>
            </w:pPr>
            <w:r>
              <w:rPr>
                <w:b w:val="0"/>
              </w:rPr>
              <w:t>20-24 года</w:t>
            </w:r>
          </w:p>
        </w:tc>
        <w:tc>
          <w:tcPr>
            <w:tcW w:w="1196" w:type="dxa"/>
          </w:tcPr>
          <w:p w:rsidR="00000000" w:rsidRDefault="00000000">
            <w:pPr>
              <w:pStyle w:val="10"/>
              <w:tabs>
                <w:tab w:val="clear" w:pos="1701"/>
                <w:tab w:val="left" w:pos="1683"/>
              </w:tabs>
              <w:spacing w:line="240" w:lineRule="auto"/>
              <w:rPr>
                <w:b w:val="0"/>
              </w:rPr>
            </w:pPr>
            <w:r>
              <w:rPr>
                <w:b w:val="0"/>
              </w:rPr>
              <w:t>25-29 лет</w:t>
            </w:r>
          </w:p>
        </w:tc>
        <w:tc>
          <w:tcPr>
            <w:tcW w:w="1234" w:type="dxa"/>
          </w:tcPr>
          <w:p w:rsidR="00000000" w:rsidRDefault="00000000">
            <w:pPr>
              <w:pStyle w:val="10"/>
              <w:tabs>
                <w:tab w:val="clear" w:pos="1701"/>
                <w:tab w:val="left" w:pos="1683"/>
              </w:tabs>
              <w:spacing w:line="240" w:lineRule="auto"/>
              <w:rPr>
                <w:b w:val="0"/>
              </w:rPr>
            </w:pPr>
            <w:r>
              <w:rPr>
                <w:b w:val="0"/>
              </w:rPr>
              <w:t>20-39 лет</w:t>
            </w:r>
          </w:p>
        </w:tc>
        <w:tc>
          <w:tcPr>
            <w:tcW w:w="1309" w:type="dxa"/>
          </w:tcPr>
          <w:p w:rsidR="00000000" w:rsidRDefault="00000000">
            <w:pPr>
              <w:pStyle w:val="10"/>
              <w:tabs>
                <w:tab w:val="clear" w:pos="1701"/>
                <w:tab w:val="left" w:pos="1683"/>
              </w:tabs>
              <w:spacing w:line="240" w:lineRule="auto"/>
              <w:rPr>
                <w:b w:val="0"/>
              </w:rPr>
            </w:pPr>
            <w:r>
              <w:rPr>
                <w:b w:val="0"/>
              </w:rPr>
              <w:t>40-49 лет</w:t>
            </w:r>
          </w:p>
        </w:tc>
        <w:tc>
          <w:tcPr>
            <w:tcW w:w="1048" w:type="dxa"/>
          </w:tcPr>
          <w:p w:rsidR="00000000" w:rsidRDefault="00000000">
            <w:pPr>
              <w:pStyle w:val="10"/>
              <w:tabs>
                <w:tab w:val="clear" w:pos="1701"/>
                <w:tab w:val="left" w:pos="1683"/>
              </w:tabs>
              <w:spacing w:line="240" w:lineRule="auto"/>
              <w:rPr>
                <w:b w:val="0"/>
              </w:rPr>
            </w:pPr>
            <w:r>
              <w:rPr>
                <w:b w:val="0"/>
              </w:rPr>
              <w:t>50 лет и старше</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1970</w:t>
            </w:r>
          </w:p>
        </w:tc>
        <w:tc>
          <w:tcPr>
            <w:tcW w:w="1122" w:type="dxa"/>
          </w:tcPr>
          <w:p w:rsidR="00000000" w:rsidRDefault="00000000">
            <w:pPr>
              <w:pStyle w:val="10"/>
              <w:tabs>
                <w:tab w:val="clear" w:pos="1701"/>
                <w:tab w:val="left" w:pos="1683"/>
              </w:tabs>
              <w:spacing w:line="240" w:lineRule="auto"/>
              <w:rPr>
                <w:b w:val="0"/>
              </w:rPr>
            </w:pPr>
            <w:r>
              <w:rPr>
                <w:b w:val="0"/>
              </w:rPr>
              <w:t>33,6</w:t>
            </w:r>
          </w:p>
        </w:tc>
        <w:tc>
          <w:tcPr>
            <w:tcW w:w="1309" w:type="dxa"/>
          </w:tcPr>
          <w:p w:rsidR="00000000" w:rsidRDefault="00000000">
            <w:pPr>
              <w:pStyle w:val="10"/>
              <w:tabs>
                <w:tab w:val="clear" w:pos="1701"/>
                <w:tab w:val="left" w:pos="1683"/>
              </w:tabs>
              <w:spacing w:line="240" w:lineRule="auto"/>
              <w:rPr>
                <w:b w:val="0"/>
              </w:rPr>
            </w:pPr>
            <w:r>
              <w:rPr>
                <w:b w:val="0"/>
              </w:rPr>
              <w:t>24,3</w:t>
            </w:r>
          </w:p>
        </w:tc>
        <w:tc>
          <w:tcPr>
            <w:tcW w:w="1310" w:type="dxa"/>
          </w:tcPr>
          <w:p w:rsidR="00000000" w:rsidRDefault="00000000">
            <w:pPr>
              <w:pStyle w:val="10"/>
              <w:tabs>
                <w:tab w:val="clear" w:pos="1701"/>
                <w:tab w:val="left" w:pos="1683"/>
              </w:tabs>
              <w:spacing w:line="240" w:lineRule="auto"/>
              <w:rPr>
                <w:b w:val="0"/>
              </w:rPr>
            </w:pPr>
            <w:r>
              <w:rPr>
                <w:b w:val="0"/>
              </w:rPr>
              <w:t>26,5</w:t>
            </w:r>
          </w:p>
        </w:tc>
        <w:tc>
          <w:tcPr>
            <w:tcW w:w="1196" w:type="dxa"/>
          </w:tcPr>
          <w:p w:rsidR="00000000" w:rsidRDefault="00000000">
            <w:pPr>
              <w:pStyle w:val="10"/>
              <w:tabs>
                <w:tab w:val="clear" w:pos="1701"/>
                <w:tab w:val="left" w:pos="1683"/>
              </w:tabs>
              <w:spacing w:line="240" w:lineRule="auto"/>
              <w:rPr>
                <w:b w:val="0"/>
              </w:rPr>
            </w:pPr>
            <w:r>
              <w:rPr>
                <w:b w:val="0"/>
              </w:rPr>
              <w:t>29,9</w:t>
            </w:r>
          </w:p>
        </w:tc>
        <w:tc>
          <w:tcPr>
            <w:tcW w:w="1234" w:type="dxa"/>
          </w:tcPr>
          <w:p w:rsidR="00000000" w:rsidRDefault="00000000">
            <w:pPr>
              <w:pStyle w:val="10"/>
              <w:tabs>
                <w:tab w:val="clear" w:pos="1701"/>
                <w:tab w:val="left" w:pos="1683"/>
              </w:tabs>
              <w:spacing w:line="240" w:lineRule="auto"/>
              <w:rPr>
                <w:b w:val="0"/>
              </w:rPr>
            </w:pPr>
            <w:r>
              <w:rPr>
                <w:b w:val="0"/>
              </w:rPr>
              <w:t>32,9</w:t>
            </w:r>
          </w:p>
        </w:tc>
        <w:tc>
          <w:tcPr>
            <w:tcW w:w="1309" w:type="dxa"/>
          </w:tcPr>
          <w:p w:rsidR="00000000" w:rsidRDefault="00000000">
            <w:pPr>
              <w:pStyle w:val="10"/>
              <w:tabs>
                <w:tab w:val="clear" w:pos="1701"/>
                <w:tab w:val="left" w:pos="1683"/>
              </w:tabs>
              <w:spacing w:line="240" w:lineRule="auto"/>
              <w:rPr>
                <w:b w:val="0"/>
              </w:rPr>
            </w:pPr>
            <w:r>
              <w:rPr>
                <w:b w:val="0"/>
              </w:rPr>
              <w:t>38,5</w:t>
            </w:r>
          </w:p>
        </w:tc>
        <w:tc>
          <w:tcPr>
            <w:tcW w:w="1048" w:type="dxa"/>
          </w:tcPr>
          <w:p w:rsidR="00000000" w:rsidRDefault="00000000">
            <w:pPr>
              <w:pStyle w:val="10"/>
              <w:tabs>
                <w:tab w:val="clear" w:pos="1701"/>
                <w:tab w:val="left" w:pos="1683"/>
              </w:tabs>
              <w:spacing w:line="240" w:lineRule="auto"/>
              <w:rPr>
                <w:b w:val="0"/>
              </w:rPr>
            </w:pPr>
            <w:r>
              <w:rPr>
                <w:b w:val="0"/>
              </w:rPr>
              <w:t>48,4</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1980</w:t>
            </w:r>
          </w:p>
        </w:tc>
        <w:tc>
          <w:tcPr>
            <w:tcW w:w="1122" w:type="dxa"/>
          </w:tcPr>
          <w:p w:rsidR="00000000" w:rsidRDefault="00000000">
            <w:pPr>
              <w:pStyle w:val="10"/>
              <w:tabs>
                <w:tab w:val="clear" w:pos="1701"/>
                <w:tab w:val="left" w:pos="1683"/>
              </w:tabs>
              <w:spacing w:line="240" w:lineRule="auto"/>
              <w:rPr>
                <w:b w:val="0"/>
              </w:rPr>
            </w:pPr>
            <w:r>
              <w:rPr>
                <w:b w:val="0"/>
              </w:rPr>
              <w:t>25,4</w:t>
            </w:r>
          </w:p>
        </w:tc>
        <w:tc>
          <w:tcPr>
            <w:tcW w:w="1309" w:type="dxa"/>
          </w:tcPr>
          <w:p w:rsidR="00000000" w:rsidRDefault="00000000">
            <w:pPr>
              <w:pStyle w:val="10"/>
              <w:tabs>
                <w:tab w:val="clear" w:pos="1701"/>
                <w:tab w:val="left" w:pos="1683"/>
              </w:tabs>
              <w:spacing w:line="240" w:lineRule="auto"/>
              <w:rPr>
                <w:b w:val="0"/>
              </w:rPr>
            </w:pPr>
            <w:r>
              <w:rPr>
                <w:b w:val="0"/>
              </w:rPr>
              <w:t>16,5</w:t>
            </w:r>
          </w:p>
        </w:tc>
        <w:tc>
          <w:tcPr>
            <w:tcW w:w="1310" w:type="dxa"/>
          </w:tcPr>
          <w:p w:rsidR="00000000" w:rsidRDefault="00000000">
            <w:pPr>
              <w:pStyle w:val="10"/>
              <w:tabs>
                <w:tab w:val="clear" w:pos="1701"/>
                <w:tab w:val="left" w:pos="1683"/>
              </w:tabs>
              <w:spacing w:line="240" w:lineRule="auto"/>
              <w:rPr>
                <w:b w:val="0"/>
              </w:rPr>
            </w:pPr>
            <w:r>
              <w:rPr>
                <w:b w:val="0"/>
              </w:rPr>
              <w:t>15,6</w:t>
            </w:r>
          </w:p>
        </w:tc>
        <w:tc>
          <w:tcPr>
            <w:tcW w:w="1196" w:type="dxa"/>
          </w:tcPr>
          <w:p w:rsidR="00000000" w:rsidRDefault="00000000">
            <w:pPr>
              <w:pStyle w:val="10"/>
              <w:tabs>
                <w:tab w:val="clear" w:pos="1701"/>
                <w:tab w:val="left" w:pos="1683"/>
              </w:tabs>
              <w:spacing w:line="240" w:lineRule="auto"/>
              <w:rPr>
                <w:b w:val="0"/>
              </w:rPr>
            </w:pPr>
            <w:r>
              <w:rPr>
                <w:b w:val="0"/>
              </w:rPr>
              <w:t>18,0</w:t>
            </w:r>
          </w:p>
        </w:tc>
        <w:tc>
          <w:tcPr>
            <w:tcW w:w="1234" w:type="dxa"/>
          </w:tcPr>
          <w:p w:rsidR="00000000" w:rsidRDefault="00000000">
            <w:pPr>
              <w:pStyle w:val="10"/>
              <w:tabs>
                <w:tab w:val="clear" w:pos="1701"/>
                <w:tab w:val="left" w:pos="1683"/>
              </w:tabs>
              <w:spacing w:line="240" w:lineRule="auto"/>
              <w:rPr>
                <w:b w:val="0"/>
              </w:rPr>
            </w:pPr>
            <w:r>
              <w:rPr>
                <w:b w:val="0"/>
              </w:rPr>
              <w:t>24,0</w:t>
            </w:r>
          </w:p>
        </w:tc>
        <w:tc>
          <w:tcPr>
            <w:tcW w:w="1309" w:type="dxa"/>
          </w:tcPr>
          <w:p w:rsidR="00000000" w:rsidRDefault="00000000">
            <w:pPr>
              <w:pStyle w:val="10"/>
              <w:tabs>
                <w:tab w:val="clear" w:pos="1701"/>
                <w:tab w:val="left" w:pos="1683"/>
              </w:tabs>
              <w:spacing w:line="240" w:lineRule="auto"/>
              <w:rPr>
                <w:b w:val="0"/>
              </w:rPr>
            </w:pPr>
            <w:r>
              <w:rPr>
                <w:b w:val="0"/>
              </w:rPr>
              <w:t>30,8</w:t>
            </w:r>
          </w:p>
        </w:tc>
        <w:tc>
          <w:tcPr>
            <w:tcW w:w="1048" w:type="dxa"/>
          </w:tcPr>
          <w:p w:rsidR="00000000" w:rsidRDefault="00000000">
            <w:pPr>
              <w:pStyle w:val="10"/>
              <w:tabs>
                <w:tab w:val="clear" w:pos="1701"/>
                <w:tab w:val="left" w:pos="1683"/>
              </w:tabs>
              <w:spacing w:line="240" w:lineRule="auto"/>
              <w:rPr>
                <w:b w:val="0"/>
              </w:rPr>
            </w:pPr>
            <w:r>
              <w:rPr>
                <w:b w:val="0"/>
              </w:rPr>
              <w:t>43,9</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1991</w:t>
            </w:r>
          </w:p>
        </w:tc>
        <w:tc>
          <w:tcPr>
            <w:tcW w:w="1122" w:type="dxa"/>
          </w:tcPr>
          <w:p w:rsidR="00000000" w:rsidRDefault="00000000">
            <w:pPr>
              <w:pStyle w:val="10"/>
              <w:tabs>
                <w:tab w:val="clear" w:pos="1701"/>
                <w:tab w:val="left" w:pos="1683"/>
              </w:tabs>
              <w:spacing w:line="240" w:lineRule="auto"/>
              <w:rPr>
                <w:b w:val="0"/>
              </w:rPr>
            </w:pPr>
            <w:r>
              <w:rPr>
                <w:b w:val="0"/>
              </w:rPr>
              <w:t>20,1</w:t>
            </w:r>
          </w:p>
        </w:tc>
        <w:tc>
          <w:tcPr>
            <w:tcW w:w="1309" w:type="dxa"/>
          </w:tcPr>
          <w:p w:rsidR="00000000" w:rsidRDefault="00000000">
            <w:pPr>
              <w:pStyle w:val="10"/>
              <w:tabs>
                <w:tab w:val="clear" w:pos="1701"/>
                <w:tab w:val="left" w:pos="1683"/>
              </w:tabs>
              <w:spacing w:line="240" w:lineRule="auto"/>
              <w:rPr>
                <w:b w:val="0"/>
              </w:rPr>
            </w:pPr>
            <w:r>
              <w:rPr>
                <w:b w:val="0"/>
              </w:rPr>
              <w:t>12,1</w:t>
            </w:r>
          </w:p>
        </w:tc>
        <w:tc>
          <w:tcPr>
            <w:tcW w:w="1310" w:type="dxa"/>
          </w:tcPr>
          <w:p w:rsidR="00000000" w:rsidRDefault="00000000">
            <w:pPr>
              <w:pStyle w:val="10"/>
              <w:tabs>
                <w:tab w:val="clear" w:pos="1701"/>
                <w:tab w:val="left" w:pos="1683"/>
              </w:tabs>
              <w:spacing w:line="240" w:lineRule="auto"/>
              <w:rPr>
                <w:b w:val="0"/>
              </w:rPr>
            </w:pPr>
            <w:r>
              <w:rPr>
                <w:b w:val="0"/>
              </w:rPr>
              <w:t>12,2</w:t>
            </w:r>
          </w:p>
        </w:tc>
        <w:tc>
          <w:tcPr>
            <w:tcW w:w="1196" w:type="dxa"/>
          </w:tcPr>
          <w:p w:rsidR="00000000" w:rsidRDefault="00000000">
            <w:pPr>
              <w:pStyle w:val="10"/>
              <w:tabs>
                <w:tab w:val="clear" w:pos="1701"/>
                <w:tab w:val="left" w:pos="1683"/>
              </w:tabs>
              <w:spacing w:line="240" w:lineRule="auto"/>
              <w:rPr>
                <w:b w:val="0"/>
              </w:rPr>
            </w:pPr>
            <w:r>
              <w:rPr>
                <w:b w:val="0"/>
              </w:rPr>
              <w:t>12,7</w:t>
            </w:r>
          </w:p>
        </w:tc>
        <w:tc>
          <w:tcPr>
            <w:tcW w:w="1234" w:type="dxa"/>
          </w:tcPr>
          <w:p w:rsidR="00000000" w:rsidRDefault="00000000">
            <w:pPr>
              <w:pStyle w:val="10"/>
              <w:tabs>
                <w:tab w:val="clear" w:pos="1701"/>
                <w:tab w:val="left" w:pos="1683"/>
              </w:tabs>
              <w:spacing w:line="240" w:lineRule="auto"/>
              <w:rPr>
                <w:b w:val="0"/>
              </w:rPr>
            </w:pPr>
            <w:r>
              <w:rPr>
                <w:b w:val="0"/>
              </w:rPr>
              <w:t>15,3</w:t>
            </w:r>
          </w:p>
        </w:tc>
        <w:tc>
          <w:tcPr>
            <w:tcW w:w="1309" w:type="dxa"/>
          </w:tcPr>
          <w:p w:rsidR="00000000" w:rsidRDefault="00000000">
            <w:pPr>
              <w:pStyle w:val="10"/>
              <w:tabs>
                <w:tab w:val="clear" w:pos="1701"/>
                <w:tab w:val="left" w:pos="1683"/>
              </w:tabs>
              <w:spacing w:line="240" w:lineRule="auto"/>
              <w:rPr>
                <w:b w:val="0"/>
              </w:rPr>
            </w:pPr>
            <w:r>
              <w:rPr>
                <w:b w:val="0"/>
              </w:rPr>
              <w:t>23,8</w:t>
            </w:r>
          </w:p>
        </w:tc>
        <w:tc>
          <w:tcPr>
            <w:tcW w:w="1048" w:type="dxa"/>
          </w:tcPr>
          <w:p w:rsidR="00000000" w:rsidRDefault="00000000">
            <w:pPr>
              <w:pStyle w:val="10"/>
              <w:tabs>
                <w:tab w:val="clear" w:pos="1701"/>
                <w:tab w:val="left" w:pos="1683"/>
              </w:tabs>
              <w:spacing w:line="240" w:lineRule="auto"/>
              <w:rPr>
                <w:b w:val="0"/>
              </w:rPr>
            </w:pPr>
            <w:r>
              <w:rPr>
                <w:b w:val="0"/>
              </w:rPr>
              <w:t>38,3</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1995</w:t>
            </w:r>
          </w:p>
        </w:tc>
        <w:tc>
          <w:tcPr>
            <w:tcW w:w="1122" w:type="dxa"/>
          </w:tcPr>
          <w:p w:rsidR="00000000" w:rsidRDefault="00000000">
            <w:pPr>
              <w:pStyle w:val="10"/>
              <w:tabs>
                <w:tab w:val="clear" w:pos="1701"/>
                <w:tab w:val="left" w:pos="1683"/>
              </w:tabs>
              <w:spacing w:line="240" w:lineRule="auto"/>
              <w:rPr>
                <w:b w:val="0"/>
              </w:rPr>
            </w:pPr>
            <w:r>
              <w:rPr>
                <w:b w:val="0"/>
              </w:rPr>
              <w:t>15,6</w:t>
            </w:r>
          </w:p>
        </w:tc>
        <w:tc>
          <w:tcPr>
            <w:tcW w:w="1309" w:type="dxa"/>
          </w:tcPr>
          <w:p w:rsidR="00000000" w:rsidRDefault="00000000">
            <w:pPr>
              <w:pStyle w:val="10"/>
              <w:tabs>
                <w:tab w:val="clear" w:pos="1701"/>
                <w:tab w:val="left" w:pos="1683"/>
              </w:tabs>
              <w:spacing w:line="240" w:lineRule="auto"/>
              <w:rPr>
                <w:b w:val="0"/>
              </w:rPr>
            </w:pPr>
            <w:r>
              <w:rPr>
                <w:b w:val="0"/>
              </w:rPr>
              <w:t xml:space="preserve"> 6,8</w:t>
            </w:r>
          </w:p>
        </w:tc>
        <w:tc>
          <w:tcPr>
            <w:tcW w:w="1310" w:type="dxa"/>
          </w:tcPr>
          <w:p w:rsidR="00000000" w:rsidRDefault="00000000">
            <w:pPr>
              <w:pStyle w:val="10"/>
              <w:tabs>
                <w:tab w:val="clear" w:pos="1701"/>
                <w:tab w:val="left" w:pos="1683"/>
              </w:tabs>
              <w:spacing w:line="240" w:lineRule="auto"/>
              <w:rPr>
                <w:b w:val="0"/>
              </w:rPr>
            </w:pPr>
            <w:r>
              <w:rPr>
                <w:b w:val="0"/>
              </w:rPr>
              <w:t xml:space="preserve"> 7,5</w:t>
            </w:r>
          </w:p>
        </w:tc>
        <w:tc>
          <w:tcPr>
            <w:tcW w:w="1196" w:type="dxa"/>
          </w:tcPr>
          <w:p w:rsidR="00000000" w:rsidRDefault="00000000">
            <w:pPr>
              <w:pStyle w:val="10"/>
              <w:tabs>
                <w:tab w:val="clear" w:pos="1701"/>
                <w:tab w:val="left" w:pos="1683"/>
              </w:tabs>
              <w:spacing w:line="240" w:lineRule="auto"/>
              <w:rPr>
                <w:b w:val="0"/>
              </w:rPr>
            </w:pPr>
            <w:r>
              <w:rPr>
                <w:b w:val="0"/>
              </w:rPr>
              <w:t xml:space="preserve"> 9,3</w:t>
            </w:r>
          </w:p>
        </w:tc>
        <w:tc>
          <w:tcPr>
            <w:tcW w:w="1234" w:type="dxa"/>
          </w:tcPr>
          <w:p w:rsidR="00000000" w:rsidRDefault="00000000">
            <w:pPr>
              <w:pStyle w:val="10"/>
              <w:tabs>
                <w:tab w:val="clear" w:pos="1701"/>
                <w:tab w:val="left" w:pos="1683"/>
              </w:tabs>
              <w:spacing w:line="240" w:lineRule="auto"/>
              <w:rPr>
                <w:b w:val="0"/>
              </w:rPr>
            </w:pPr>
            <w:r>
              <w:rPr>
                <w:b w:val="0"/>
              </w:rPr>
              <w:t>11,0</w:t>
            </w:r>
          </w:p>
        </w:tc>
        <w:tc>
          <w:tcPr>
            <w:tcW w:w="1309" w:type="dxa"/>
          </w:tcPr>
          <w:p w:rsidR="00000000" w:rsidRDefault="00000000">
            <w:pPr>
              <w:pStyle w:val="10"/>
              <w:tabs>
                <w:tab w:val="clear" w:pos="1701"/>
                <w:tab w:val="left" w:pos="1683"/>
              </w:tabs>
              <w:spacing w:line="240" w:lineRule="auto"/>
              <w:rPr>
                <w:b w:val="0"/>
              </w:rPr>
            </w:pPr>
            <w:r>
              <w:rPr>
                <w:b w:val="0"/>
              </w:rPr>
              <w:t>16,7</w:t>
            </w:r>
          </w:p>
        </w:tc>
        <w:tc>
          <w:tcPr>
            <w:tcW w:w="1048" w:type="dxa"/>
          </w:tcPr>
          <w:p w:rsidR="00000000" w:rsidRDefault="00000000">
            <w:pPr>
              <w:pStyle w:val="10"/>
              <w:tabs>
                <w:tab w:val="clear" w:pos="1701"/>
                <w:tab w:val="left" w:pos="1683"/>
              </w:tabs>
              <w:spacing w:line="240" w:lineRule="auto"/>
              <w:rPr>
                <w:b w:val="0"/>
              </w:rPr>
            </w:pPr>
            <w:r>
              <w:rPr>
                <w:b w:val="0"/>
              </w:rPr>
              <w:t>32,7</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1996</w:t>
            </w:r>
          </w:p>
        </w:tc>
        <w:tc>
          <w:tcPr>
            <w:tcW w:w="1122" w:type="dxa"/>
          </w:tcPr>
          <w:p w:rsidR="00000000" w:rsidRDefault="00000000">
            <w:pPr>
              <w:pStyle w:val="10"/>
              <w:tabs>
                <w:tab w:val="clear" w:pos="1701"/>
                <w:tab w:val="left" w:pos="1683"/>
              </w:tabs>
              <w:spacing w:line="240" w:lineRule="auto"/>
              <w:rPr>
                <w:b w:val="0"/>
              </w:rPr>
            </w:pPr>
            <w:r>
              <w:rPr>
                <w:b w:val="0"/>
              </w:rPr>
              <w:t>14,7</w:t>
            </w:r>
          </w:p>
        </w:tc>
        <w:tc>
          <w:tcPr>
            <w:tcW w:w="1309" w:type="dxa"/>
          </w:tcPr>
          <w:p w:rsidR="00000000" w:rsidRDefault="00000000">
            <w:pPr>
              <w:pStyle w:val="10"/>
              <w:tabs>
                <w:tab w:val="clear" w:pos="1701"/>
                <w:tab w:val="left" w:pos="1683"/>
              </w:tabs>
              <w:spacing w:line="240" w:lineRule="auto"/>
              <w:rPr>
                <w:b w:val="0"/>
              </w:rPr>
            </w:pPr>
            <w:r>
              <w:rPr>
                <w:b w:val="0"/>
              </w:rPr>
              <w:t xml:space="preserve"> 6,0</w:t>
            </w:r>
          </w:p>
        </w:tc>
        <w:tc>
          <w:tcPr>
            <w:tcW w:w="1310" w:type="dxa"/>
          </w:tcPr>
          <w:p w:rsidR="00000000" w:rsidRDefault="00000000">
            <w:pPr>
              <w:pStyle w:val="10"/>
              <w:tabs>
                <w:tab w:val="clear" w:pos="1701"/>
                <w:tab w:val="left" w:pos="1683"/>
              </w:tabs>
              <w:spacing w:line="240" w:lineRule="auto"/>
              <w:rPr>
                <w:b w:val="0"/>
              </w:rPr>
            </w:pPr>
            <w:r>
              <w:rPr>
                <w:b w:val="0"/>
              </w:rPr>
              <w:t xml:space="preserve"> 7,1</w:t>
            </w:r>
          </w:p>
        </w:tc>
        <w:tc>
          <w:tcPr>
            <w:tcW w:w="1196" w:type="dxa"/>
          </w:tcPr>
          <w:p w:rsidR="00000000" w:rsidRDefault="00000000">
            <w:pPr>
              <w:pStyle w:val="10"/>
              <w:tabs>
                <w:tab w:val="clear" w:pos="1701"/>
                <w:tab w:val="left" w:pos="1683"/>
              </w:tabs>
              <w:spacing w:line="240" w:lineRule="auto"/>
              <w:rPr>
                <w:b w:val="0"/>
              </w:rPr>
            </w:pPr>
            <w:r>
              <w:rPr>
                <w:b w:val="0"/>
              </w:rPr>
              <w:t xml:space="preserve"> 8,1</w:t>
            </w:r>
          </w:p>
        </w:tc>
        <w:tc>
          <w:tcPr>
            <w:tcW w:w="1234" w:type="dxa"/>
          </w:tcPr>
          <w:p w:rsidR="00000000" w:rsidRDefault="00000000">
            <w:pPr>
              <w:pStyle w:val="10"/>
              <w:tabs>
                <w:tab w:val="clear" w:pos="1701"/>
                <w:tab w:val="left" w:pos="1683"/>
              </w:tabs>
              <w:spacing w:line="240" w:lineRule="auto"/>
              <w:rPr>
                <w:b w:val="0"/>
              </w:rPr>
            </w:pPr>
            <w:r>
              <w:rPr>
                <w:b w:val="0"/>
              </w:rPr>
              <w:t>10,2</w:t>
            </w:r>
          </w:p>
        </w:tc>
        <w:tc>
          <w:tcPr>
            <w:tcW w:w="1309" w:type="dxa"/>
          </w:tcPr>
          <w:p w:rsidR="00000000" w:rsidRDefault="00000000">
            <w:pPr>
              <w:pStyle w:val="10"/>
              <w:tabs>
                <w:tab w:val="clear" w:pos="1701"/>
                <w:tab w:val="left" w:pos="1683"/>
              </w:tabs>
              <w:spacing w:line="240" w:lineRule="auto"/>
              <w:rPr>
                <w:b w:val="0"/>
              </w:rPr>
            </w:pPr>
            <w:r>
              <w:rPr>
                <w:b w:val="0"/>
              </w:rPr>
              <w:t>15,5</w:t>
            </w:r>
          </w:p>
        </w:tc>
        <w:tc>
          <w:tcPr>
            <w:tcW w:w="1048" w:type="dxa"/>
          </w:tcPr>
          <w:p w:rsidR="00000000" w:rsidRDefault="00000000">
            <w:pPr>
              <w:pStyle w:val="10"/>
              <w:tabs>
                <w:tab w:val="clear" w:pos="1701"/>
                <w:tab w:val="left" w:pos="1683"/>
              </w:tabs>
              <w:spacing w:line="240" w:lineRule="auto"/>
              <w:rPr>
                <w:b w:val="0"/>
              </w:rPr>
            </w:pPr>
            <w:r>
              <w:rPr>
                <w:b w:val="0"/>
              </w:rPr>
              <w:t>31,5</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1998</w:t>
            </w:r>
          </w:p>
        </w:tc>
        <w:tc>
          <w:tcPr>
            <w:tcW w:w="1122" w:type="dxa"/>
          </w:tcPr>
          <w:p w:rsidR="00000000" w:rsidRDefault="00000000">
            <w:pPr>
              <w:pStyle w:val="10"/>
              <w:tabs>
                <w:tab w:val="clear" w:pos="1701"/>
                <w:tab w:val="left" w:pos="1683"/>
              </w:tabs>
              <w:spacing w:line="240" w:lineRule="auto"/>
              <w:rPr>
                <w:b w:val="0"/>
              </w:rPr>
            </w:pPr>
            <w:r>
              <w:rPr>
                <w:b w:val="0"/>
              </w:rPr>
              <w:t>13,8</w:t>
            </w:r>
          </w:p>
        </w:tc>
        <w:tc>
          <w:tcPr>
            <w:tcW w:w="1309" w:type="dxa"/>
          </w:tcPr>
          <w:p w:rsidR="00000000" w:rsidRDefault="00000000">
            <w:pPr>
              <w:pStyle w:val="10"/>
              <w:tabs>
                <w:tab w:val="clear" w:pos="1701"/>
                <w:tab w:val="left" w:pos="1683"/>
              </w:tabs>
              <w:spacing w:line="240" w:lineRule="auto"/>
              <w:rPr>
                <w:b w:val="0"/>
              </w:rPr>
            </w:pPr>
            <w:r>
              <w:rPr>
                <w:b w:val="0"/>
              </w:rPr>
              <w:t xml:space="preserve"> 4,8</w:t>
            </w:r>
          </w:p>
        </w:tc>
        <w:tc>
          <w:tcPr>
            <w:tcW w:w="1310" w:type="dxa"/>
          </w:tcPr>
          <w:p w:rsidR="00000000" w:rsidRDefault="00000000">
            <w:pPr>
              <w:pStyle w:val="10"/>
              <w:tabs>
                <w:tab w:val="clear" w:pos="1701"/>
                <w:tab w:val="left" w:pos="1683"/>
              </w:tabs>
              <w:spacing w:line="240" w:lineRule="auto"/>
              <w:rPr>
                <w:b w:val="0"/>
              </w:rPr>
            </w:pPr>
            <w:r>
              <w:rPr>
                <w:b w:val="0"/>
              </w:rPr>
              <w:t xml:space="preserve"> 6,2</w:t>
            </w:r>
          </w:p>
        </w:tc>
        <w:tc>
          <w:tcPr>
            <w:tcW w:w="1196" w:type="dxa"/>
          </w:tcPr>
          <w:p w:rsidR="00000000" w:rsidRDefault="00000000">
            <w:pPr>
              <w:pStyle w:val="10"/>
              <w:tabs>
                <w:tab w:val="clear" w:pos="1701"/>
                <w:tab w:val="left" w:pos="1683"/>
              </w:tabs>
              <w:spacing w:line="240" w:lineRule="auto"/>
              <w:rPr>
                <w:b w:val="0"/>
              </w:rPr>
            </w:pPr>
            <w:r>
              <w:rPr>
                <w:b w:val="0"/>
              </w:rPr>
              <w:t xml:space="preserve"> 7,7</w:t>
            </w:r>
          </w:p>
        </w:tc>
        <w:tc>
          <w:tcPr>
            <w:tcW w:w="1234" w:type="dxa"/>
          </w:tcPr>
          <w:p w:rsidR="00000000" w:rsidRDefault="00000000">
            <w:pPr>
              <w:pStyle w:val="10"/>
              <w:tabs>
                <w:tab w:val="clear" w:pos="1701"/>
                <w:tab w:val="left" w:pos="1683"/>
              </w:tabs>
              <w:spacing w:line="240" w:lineRule="auto"/>
              <w:rPr>
                <w:b w:val="0"/>
              </w:rPr>
            </w:pPr>
            <w:r>
              <w:rPr>
                <w:b w:val="0"/>
              </w:rPr>
              <w:t>10,1</w:t>
            </w:r>
          </w:p>
        </w:tc>
        <w:tc>
          <w:tcPr>
            <w:tcW w:w="1309" w:type="dxa"/>
          </w:tcPr>
          <w:p w:rsidR="00000000" w:rsidRDefault="00000000">
            <w:pPr>
              <w:pStyle w:val="10"/>
              <w:tabs>
                <w:tab w:val="clear" w:pos="1701"/>
                <w:tab w:val="left" w:pos="1683"/>
              </w:tabs>
              <w:spacing w:line="240" w:lineRule="auto"/>
              <w:rPr>
                <w:b w:val="0"/>
              </w:rPr>
            </w:pPr>
            <w:r>
              <w:rPr>
                <w:b w:val="0"/>
              </w:rPr>
              <w:t>14,0</w:t>
            </w:r>
          </w:p>
        </w:tc>
        <w:tc>
          <w:tcPr>
            <w:tcW w:w="1048" w:type="dxa"/>
          </w:tcPr>
          <w:p w:rsidR="00000000" w:rsidRDefault="00000000">
            <w:pPr>
              <w:pStyle w:val="10"/>
              <w:tabs>
                <w:tab w:val="clear" w:pos="1701"/>
                <w:tab w:val="left" w:pos="1683"/>
              </w:tabs>
              <w:spacing w:line="240" w:lineRule="auto"/>
              <w:rPr>
                <w:b w:val="0"/>
              </w:rPr>
            </w:pPr>
            <w:r>
              <w:rPr>
                <w:b w:val="0"/>
              </w:rPr>
              <w:t>29,9</w:t>
            </w:r>
          </w:p>
        </w:tc>
      </w:tr>
      <w:tr w:rsidR="00000000">
        <w:tblPrEx>
          <w:tblCellMar>
            <w:top w:w="0" w:type="dxa"/>
            <w:bottom w:w="0" w:type="dxa"/>
          </w:tblCellMar>
        </w:tblPrEx>
        <w:tc>
          <w:tcPr>
            <w:tcW w:w="1043" w:type="dxa"/>
          </w:tcPr>
          <w:p w:rsidR="00000000" w:rsidRDefault="00000000">
            <w:pPr>
              <w:pStyle w:val="10"/>
              <w:tabs>
                <w:tab w:val="clear" w:pos="1701"/>
                <w:tab w:val="left" w:pos="1683"/>
              </w:tabs>
              <w:spacing w:line="240" w:lineRule="auto"/>
              <w:rPr>
                <w:b w:val="0"/>
              </w:rPr>
            </w:pPr>
            <w:r>
              <w:rPr>
                <w:b w:val="0"/>
              </w:rPr>
              <w:t>1999</w:t>
            </w:r>
          </w:p>
        </w:tc>
        <w:tc>
          <w:tcPr>
            <w:tcW w:w="1122" w:type="dxa"/>
          </w:tcPr>
          <w:p w:rsidR="00000000" w:rsidRDefault="00000000">
            <w:pPr>
              <w:pStyle w:val="10"/>
              <w:tabs>
                <w:tab w:val="clear" w:pos="1701"/>
                <w:tab w:val="left" w:pos="1683"/>
              </w:tabs>
              <w:spacing w:line="240" w:lineRule="auto"/>
              <w:rPr>
                <w:b w:val="0"/>
              </w:rPr>
            </w:pPr>
            <w:r>
              <w:rPr>
                <w:b w:val="0"/>
              </w:rPr>
              <w:t>13,3</w:t>
            </w:r>
          </w:p>
        </w:tc>
        <w:tc>
          <w:tcPr>
            <w:tcW w:w="1309" w:type="dxa"/>
          </w:tcPr>
          <w:p w:rsidR="00000000" w:rsidRDefault="00000000">
            <w:pPr>
              <w:pStyle w:val="10"/>
              <w:tabs>
                <w:tab w:val="clear" w:pos="1701"/>
                <w:tab w:val="left" w:pos="1683"/>
              </w:tabs>
              <w:spacing w:line="240" w:lineRule="auto"/>
              <w:rPr>
                <w:b w:val="0"/>
              </w:rPr>
            </w:pPr>
            <w:r>
              <w:rPr>
                <w:b w:val="0"/>
              </w:rPr>
              <w:t xml:space="preserve"> 4,0</w:t>
            </w:r>
          </w:p>
        </w:tc>
        <w:tc>
          <w:tcPr>
            <w:tcW w:w="1310" w:type="dxa"/>
          </w:tcPr>
          <w:p w:rsidR="00000000" w:rsidRDefault="00000000">
            <w:pPr>
              <w:pStyle w:val="10"/>
              <w:tabs>
                <w:tab w:val="clear" w:pos="1701"/>
                <w:tab w:val="left" w:pos="1683"/>
              </w:tabs>
              <w:spacing w:line="240" w:lineRule="auto"/>
              <w:rPr>
                <w:b w:val="0"/>
              </w:rPr>
            </w:pPr>
            <w:r>
              <w:rPr>
                <w:b w:val="0"/>
              </w:rPr>
              <w:t xml:space="preserve"> 5,9</w:t>
            </w:r>
          </w:p>
        </w:tc>
        <w:tc>
          <w:tcPr>
            <w:tcW w:w="1196" w:type="dxa"/>
          </w:tcPr>
          <w:p w:rsidR="00000000" w:rsidRDefault="00000000">
            <w:pPr>
              <w:pStyle w:val="10"/>
              <w:tabs>
                <w:tab w:val="clear" w:pos="1701"/>
                <w:tab w:val="left" w:pos="1683"/>
              </w:tabs>
              <w:spacing w:line="240" w:lineRule="auto"/>
              <w:rPr>
                <w:b w:val="0"/>
              </w:rPr>
            </w:pPr>
            <w:r>
              <w:rPr>
                <w:b w:val="0"/>
              </w:rPr>
              <w:t xml:space="preserve"> 7,2</w:t>
            </w:r>
          </w:p>
        </w:tc>
        <w:tc>
          <w:tcPr>
            <w:tcW w:w="1234" w:type="dxa"/>
          </w:tcPr>
          <w:p w:rsidR="00000000" w:rsidRDefault="00000000">
            <w:pPr>
              <w:pStyle w:val="10"/>
              <w:tabs>
                <w:tab w:val="clear" w:pos="1701"/>
                <w:tab w:val="left" w:pos="1683"/>
              </w:tabs>
              <w:spacing w:line="240" w:lineRule="auto"/>
              <w:rPr>
                <w:b w:val="0"/>
              </w:rPr>
            </w:pPr>
            <w:r>
              <w:rPr>
                <w:b w:val="0"/>
              </w:rPr>
              <w:t xml:space="preserve"> 9,6</w:t>
            </w:r>
          </w:p>
        </w:tc>
        <w:tc>
          <w:tcPr>
            <w:tcW w:w="1309" w:type="dxa"/>
          </w:tcPr>
          <w:p w:rsidR="00000000" w:rsidRDefault="00000000">
            <w:pPr>
              <w:pStyle w:val="10"/>
              <w:tabs>
                <w:tab w:val="clear" w:pos="1701"/>
                <w:tab w:val="left" w:pos="1683"/>
              </w:tabs>
              <w:spacing w:line="240" w:lineRule="auto"/>
              <w:rPr>
                <w:b w:val="0"/>
              </w:rPr>
            </w:pPr>
            <w:r>
              <w:rPr>
                <w:b w:val="0"/>
              </w:rPr>
              <w:t>13,0</w:t>
            </w:r>
          </w:p>
        </w:tc>
        <w:tc>
          <w:tcPr>
            <w:tcW w:w="1048" w:type="dxa"/>
          </w:tcPr>
          <w:p w:rsidR="00000000" w:rsidRDefault="00000000">
            <w:pPr>
              <w:pStyle w:val="10"/>
              <w:tabs>
                <w:tab w:val="clear" w:pos="1701"/>
                <w:tab w:val="left" w:pos="1683"/>
              </w:tabs>
              <w:spacing w:line="240" w:lineRule="auto"/>
              <w:rPr>
                <w:b w:val="0"/>
              </w:rPr>
            </w:pPr>
            <w:r>
              <w:rPr>
                <w:b w:val="0"/>
              </w:rPr>
              <w:t>29,6</w:t>
            </w:r>
          </w:p>
        </w:tc>
      </w:tr>
    </w:tbl>
    <w:p w:rsidR="00000000" w:rsidRDefault="00000000">
      <w:pPr>
        <w:tabs>
          <w:tab w:val="clear" w:pos="1701"/>
          <w:tab w:val="left" w:pos="1683"/>
        </w:tabs>
        <w:spacing w:line="240" w:lineRule="auto"/>
        <w:rPr>
          <w:sz w:val="16"/>
        </w:rPr>
      </w:pPr>
    </w:p>
    <w:p w:rsidR="00000000" w:rsidRDefault="00000000">
      <w:pPr>
        <w:spacing w:line="240" w:lineRule="auto"/>
      </w:pPr>
      <w:r>
        <w:tab/>
      </w:r>
      <w:r>
        <w:rPr>
          <w:u w:val="single"/>
        </w:rPr>
        <w:t>Источник</w:t>
      </w:r>
      <w:r>
        <w:t>:  Общенациональное выборочное обследование домашних хозяйств (ОВОДХ/БИГС) за 1996, 1998 и 1999 годы.</w:t>
      </w:r>
    </w:p>
    <w:p w:rsidR="00000000" w:rsidRDefault="00000000">
      <w:pPr>
        <w:spacing w:line="240" w:lineRule="auto"/>
        <w:rPr>
          <w:sz w:val="16"/>
        </w:rPr>
      </w:pPr>
    </w:p>
    <w:p w:rsidR="00000000" w:rsidRDefault="00000000">
      <w:pPr>
        <w:pStyle w:val="BodyTextIndent"/>
        <w:tabs>
          <w:tab w:val="clear" w:pos="1701"/>
          <w:tab w:val="left" w:pos="1683"/>
        </w:tabs>
        <w:ind w:firstLine="0"/>
      </w:pPr>
      <w:r>
        <w:t>*</w:t>
      </w:r>
      <w:r>
        <w:tab/>
        <w:t>За исключение сельского населения штатов Рондония, Акри, Амазонас, Рорайма, Пара и Амапа в 1995, 1996, 1998 и 1999 годах.</w:t>
      </w:r>
    </w:p>
    <w:p w:rsidR="00000000" w:rsidRDefault="00000000">
      <w:pPr>
        <w:pStyle w:val="BodyTextIndent"/>
        <w:tabs>
          <w:tab w:val="clear" w:pos="1701"/>
          <w:tab w:val="left" w:pos="1683"/>
        </w:tabs>
        <w:ind w:left="1122" w:hanging="1122"/>
      </w:pPr>
    </w:p>
    <w:p w:rsidR="00000000" w:rsidRDefault="00000000">
      <w:pPr>
        <w:tabs>
          <w:tab w:val="clear" w:pos="1701"/>
          <w:tab w:val="left" w:pos="1683"/>
        </w:tabs>
      </w:pPr>
      <w:r>
        <w:t>753.</w:t>
      </w:r>
      <w:r>
        <w:tab/>
        <w:t>Вместе с тем следует отметить, что снижение уровня неграмотности наблюдалось во всех возрастных группах, хотя и в меньшей степени среди представителей более старшего поколения</w:t>
      </w:r>
      <w:r>
        <w:rPr>
          <w:b/>
          <w:bCs/>
          <w:vertAlign w:val="superscript"/>
        </w:rPr>
        <w:t>23</w:t>
      </w:r>
      <w:r>
        <w:t xml:space="preserve">.  Это означает, что, проводя адресную государственную политику, Бразилия сможет ликвидировать неграмотность в течение ближайших 10 лет, поскольку с этой возрастной группой в силу ее социально-экономических особенностей работать труднее всего.  Эта деятельность уже осуществляется через посредство образовательных программ для молодежи и взрослых, в том числе программы распространения грамотности на уровне общины </w:t>
      </w:r>
      <w:r>
        <w:rPr>
          <w:i/>
          <w:iCs/>
          <w:lang w:val="en-US"/>
        </w:rPr>
        <w:t>Alfabetiza</w:t>
      </w:r>
      <w:r>
        <w:rPr>
          <w:i/>
          <w:iCs/>
        </w:rPr>
        <w:t>çã</w:t>
      </w:r>
      <w:r>
        <w:rPr>
          <w:i/>
          <w:iCs/>
          <w:lang w:val="en-US"/>
        </w:rPr>
        <w:t>o</w:t>
      </w:r>
      <w:r>
        <w:rPr>
          <w:i/>
          <w:iCs/>
        </w:rPr>
        <w:t xml:space="preserve"> </w:t>
      </w:r>
      <w:r>
        <w:rPr>
          <w:i/>
          <w:iCs/>
          <w:lang w:val="en-US"/>
        </w:rPr>
        <w:t>Solid</w:t>
      </w:r>
      <w:r>
        <w:rPr>
          <w:i/>
          <w:iCs/>
        </w:rPr>
        <w:t>á</w:t>
      </w:r>
      <w:r>
        <w:rPr>
          <w:i/>
          <w:iCs/>
          <w:lang w:val="en-US"/>
        </w:rPr>
        <w:t>ria</w:t>
      </w:r>
      <w:r>
        <w:t>, а также других инициатив, осуществляемых правительствами штатов и муниципальных округов, коммерческими ассоциациями, а также религиозными и неправительственными организациями.</w:t>
      </w:r>
    </w:p>
    <w:p w:rsidR="00000000" w:rsidRDefault="00000000">
      <w:pPr>
        <w:tabs>
          <w:tab w:val="clear" w:pos="1701"/>
          <w:tab w:val="left" w:pos="1683"/>
        </w:tabs>
      </w:pPr>
    </w:p>
    <w:p w:rsidR="00000000" w:rsidRDefault="00000000">
      <w:r>
        <w:t>754.</w:t>
      </w:r>
      <w:r>
        <w:tab/>
        <w:t>Помимо того, что неграмотность все больше ограничивается лицами определенного возраста, в Бразилии она также весьма различна по регионам, что отражает все еще наблюдающееся межрегиональное социально-экономическое неравенство в стране.  С другой стороны, равенства по признаку пола уже удалось достичь.  Данные, полученные в ходе Общенационального выборочного обследования домашних хозяйств (ОВОДХ), проведенного в 1998 году, показали, что существовавшее до 1996 года включительно неравенство по признаку пола удалось преодолеть.  Эти изменения показывают, с какой скоростью сокращается неграмотность среди женщин более молодого возраста.</w:t>
      </w:r>
    </w:p>
    <w:p w:rsidR="00000000" w:rsidRDefault="00000000"/>
    <w:p w:rsidR="00000000" w:rsidRDefault="00000000">
      <w:r>
        <w:t>755.</w:t>
      </w:r>
      <w:r>
        <w:tab/>
        <w:t>Успехи в области охвата женщин образованием даже более очевидны при сравнении уровней образования населения в разбивке по признаку пола.  До второй половины 80</w:t>
      </w:r>
      <w:r>
        <w:noBreakHyphen/>
        <w:t>х годов сохранялось давно установившееся соотношение, согласно которому мужчины опережали женщин по показателю среднего числа лет обучения.  В течение 90-х годов, когда наблюдался ускоренный рост уровня образования среди женщин, это положение изменилось в обратную сторону.  С 1990 по 1996 год среднее число лет обучения выросло с 5,1 до 5,7 для мужчин и с 4,9 до 6,0 для женщин, из чего следует, что женщины прибавили свыше одного года, а мужчины - только полгода.  В 1990 году средний возраст прекращения обучения в школе составлял 13,3 года как для мужчин, так и для женщин.</w:t>
      </w:r>
    </w:p>
    <w:p w:rsidR="00000000" w:rsidRDefault="00000000"/>
    <w:p w:rsidR="00000000" w:rsidRDefault="00000000">
      <w:r>
        <w:t>756.</w:t>
      </w:r>
      <w:r>
        <w:tab/>
        <w:t xml:space="preserve">В целом можно отметить, что в 90-е годы уровень образования населения Бразилии существенно повысился.  С 1992 по 1996 год наблюдалось значительное увеличение охвата школьным образованием лиц в возрасте 10 лет и старше.  Доля лиц, имеющих как минимум восьмилетнее образование, за этот период возросла с 25,6% до 30%.  Кроме того, доля лиц с 11 и более годами обучения выросла с 14,4% до 16,5%.  Одновременно с этим доля людей совсем без образования или проучившихся менее одного года упала с 23,1% в 1981 году до 13,6% в 1996 году.  Это отражает постепенное увеличение сравнительной доли групп населения с более высоким уровнем образования, что предвещает улучшение показателей в предстоящем десятилетии.  </w:t>
      </w:r>
    </w:p>
    <w:p w:rsidR="00000000" w:rsidRDefault="00000000"/>
    <w:p w:rsidR="00000000" w:rsidRDefault="00000000">
      <w:r>
        <w:t>757.</w:t>
      </w:r>
      <w:r>
        <w:tab/>
        <w:t>В Конституции Бразилии зафиксирован принцип обязательного восьмилетнего образования детей в возрасте от 7 до 14 лет.  В настоящий момент государственным образованием на всех трех уровнях административного подчинения (муниципальном, на уровне штатов и на федеральном уровне) охвачен почти 91% всех учащихся, зарегистрированных в программе базового образования, в то время как в 1987 году этот показатель составлял 87%;  охват школьным обучением детей в возрасте от 7 до 14 лет в 1999 году составил 95,4%.</w:t>
      </w:r>
    </w:p>
    <w:p w:rsidR="00000000" w:rsidRDefault="00000000"/>
    <w:p w:rsidR="00000000" w:rsidRDefault="00000000">
      <w:r>
        <w:t>758.</w:t>
      </w:r>
      <w:r>
        <w:tab/>
        <w:t xml:space="preserve">Начиная с 1983 года средства на нужды образования выделялись административными органами в соответствии с законом:  13% по линии федерального правительства и 25% по линии штатов и муниципальных округов.  После принятия Конституции 1988 года доля государственного финансирования возросла до 18% на федеральном уровне и 25% на уровне штатов и муниципальных округов.  Недавно был создан Фонд развития и материального обеспечения образования (ФУНДЕФ - </w:t>
      </w:r>
      <w:r>
        <w:rPr>
          <w:i/>
          <w:iCs/>
          <w:lang w:val="en-US"/>
        </w:rPr>
        <w:t>Fundo</w:t>
      </w:r>
      <w:r>
        <w:rPr>
          <w:i/>
          <w:iCs/>
        </w:rPr>
        <w:t xml:space="preserve"> </w:t>
      </w:r>
      <w:r>
        <w:rPr>
          <w:i/>
          <w:iCs/>
          <w:lang w:val="en-US"/>
        </w:rPr>
        <w:t>de</w:t>
      </w:r>
      <w:r>
        <w:rPr>
          <w:i/>
          <w:iCs/>
        </w:rPr>
        <w:t xml:space="preserve"> </w:t>
      </w:r>
      <w:r>
        <w:rPr>
          <w:i/>
          <w:iCs/>
          <w:lang w:val="en-US"/>
        </w:rPr>
        <w:t>Manuten</w:t>
      </w:r>
      <w:r>
        <w:rPr>
          <w:i/>
          <w:iCs/>
        </w:rPr>
        <w:t>çã</w:t>
      </w:r>
      <w:r>
        <w:rPr>
          <w:i/>
          <w:iCs/>
          <w:lang w:val="en-US"/>
        </w:rPr>
        <w:t>o</w:t>
      </w:r>
      <w:r>
        <w:rPr>
          <w:i/>
          <w:iCs/>
        </w:rPr>
        <w:t xml:space="preserve"> </w:t>
      </w:r>
      <w:r>
        <w:rPr>
          <w:i/>
          <w:iCs/>
          <w:lang w:val="en-US"/>
        </w:rPr>
        <w:t>e</w:t>
      </w:r>
      <w:r>
        <w:rPr>
          <w:i/>
          <w:iCs/>
        </w:rPr>
        <w:t xml:space="preserve"> </w:t>
      </w:r>
      <w:r>
        <w:rPr>
          <w:i/>
          <w:iCs/>
          <w:lang w:val="en-US"/>
        </w:rPr>
        <w:t>Desenvolvimento</w:t>
      </w:r>
      <w:r>
        <w:rPr>
          <w:i/>
          <w:iCs/>
        </w:rPr>
        <w:t xml:space="preserve"> </w:t>
      </w:r>
      <w:r>
        <w:rPr>
          <w:i/>
          <w:iCs/>
          <w:lang w:val="en-US"/>
        </w:rPr>
        <w:t>do</w:t>
      </w:r>
      <w:r>
        <w:rPr>
          <w:i/>
          <w:iCs/>
        </w:rPr>
        <w:t xml:space="preserve"> </w:t>
      </w:r>
      <w:r>
        <w:rPr>
          <w:i/>
          <w:iCs/>
          <w:lang w:val="en-US"/>
        </w:rPr>
        <w:t>Ensino</w:t>
      </w:r>
      <w:r>
        <w:rPr>
          <w:i/>
          <w:iCs/>
        </w:rPr>
        <w:t xml:space="preserve"> </w:t>
      </w:r>
      <w:r>
        <w:rPr>
          <w:i/>
          <w:iCs/>
          <w:lang w:val="en-US"/>
        </w:rPr>
        <w:t>e</w:t>
      </w:r>
      <w:r>
        <w:rPr>
          <w:i/>
          <w:iCs/>
        </w:rPr>
        <w:t xml:space="preserve"> </w:t>
      </w:r>
      <w:r>
        <w:rPr>
          <w:i/>
          <w:iCs/>
          <w:lang w:val="en-US"/>
        </w:rPr>
        <w:t>Valoriza</w:t>
      </w:r>
      <w:r>
        <w:rPr>
          <w:i/>
          <w:iCs/>
        </w:rPr>
        <w:t>çã</w:t>
      </w:r>
      <w:r>
        <w:rPr>
          <w:i/>
          <w:iCs/>
          <w:lang w:val="en-US"/>
        </w:rPr>
        <w:t>o</w:t>
      </w:r>
      <w:r>
        <w:rPr>
          <w:i/>
          <w:iCs/>
        </w:rPr>
        <w:t xml:space="preserve"> </w:t>
      </w:r>
      <w:r>
        <w:rPr>
          <w:i/>
          <w:iCs/>
          <w:lang w:val="en-US"/>
        </w:rPr>
        <w:t>do</w:t>
      </w:r>
      <w:r>
        <w:rPr>
          <w:i/>
          <w:iCs/>
        </w:rPr>
        <w:t xml:space="preserve"> </w:t>
      </w:r>
      <w:r>
        <w:rPr>
          <w:i/>
          <w:iCs/>
          <w:lang w:val="en-US"/>
        </w:rPr>
        <w:t>Magist</w:t>
      </w:r>
      <w:r>
        <w:rPr>
          <w:i/>
          <w:iCs/>
        </w:rPr>
        <w:t>é</w:t>
      </w:r>
      <w:r>
        <w:rPr>
          <w:i/>
          <w:iCs/>
          <w:lang w:val="en-US"/>
        </w:rPr>
        <w:t>rio</w:t>
      </w:r>
      <w:r>
        <w:t>), непосредственные задачи которого заключаются в обеспечении минимального уровня расходов в расчете на одного учащегося и выплаты соответствующих минимальных окладов учителям.  Этот Фонд вновь подтвердил необходимость выполнения штатами, федеральным округом и муниципальными округами положений бразильской Конституции 1988 года, где указывается, что 25% их налоговых поступлений и других средств должны выделяться на обеспечение и развитие системы образования и что начиная с 1998 года штаты должны выделять 60% этих средств на нужды базового образования, обеспечивая также направление на эти нужды 15% налоговых поступлений.</w:t>
      </w:r>
    </w:p>
    <w:p w:rsidR="00000000" w:rsidRDefault="00000000"/>
    <w:p w:rsidR="00000000" w:rsidRDefault="00000000">
      <w:r>
        <w:t>759.</w:t>
      </w:r>
      <w:r>
        <w:tab/>
        <w:t>Это новое положение законодательства возлагало ответственность за выделение средств, необходимых для создания ФУНДЕФ, на штаты, федеральный округ и муниципальные округа.  Однако из</w:t>
      </w:r>
      <w:r>
        <w:noBreakHyphen/>
        <w:t>за большого различия в уровнях социально-экономического развития, вследствие которого некоторые районы, особенно на северо-востоке и севере Бразилии, выделяют незначительные средства в расчете на одного учащегося, федеральное правительство в соответствии с Указом № 14/96 взяло на себя ответственность за дополнительное финансирование сверх сумм, выделяемых ФУНДЕФ, в тех случаях, когда размер средств, выделяемых на одного учащегося, ниже минимального уровня по стране.</w:t>
      </w:r>
    </w:p>
    <w:p w:rsidR="00000000" w:rsidRDefault="00000000"/>
    <w:p w:rsidR="00000000" w:rsidRDefault="00000000">
      <w:r>
        <w:t>760.</w:t>
      </w:r>
      <w:r>
        <w:tab/>
        <w:t>Среднее образование в Бразилии предоставляется по линии общеобразовательных средних школ для юношей и девушек в возрасте от 15 до 17 лет и профессионально технических училищ, которые могут посещаться параллельно с общеобразовательной школой или после ее окончания и образование в которых предоставляется на базовом, техническом и инженерно-техническом уровнях.  Правительство Бразилии подчеркивает, что не все профессионально техническое обучение осуществляется на уровне средней школы.  Существуют базовые курсы, которые являются одним из видов неформального образования, открытого для всех, независимо от уровня подготовки.  Эти курсы имеют различную продолжительность обучения и имеют целью обучение профессии, повышение квалификации и переподготовку рабочих;  их учебная программа не регулируется.  Технические курсы имеют конкретные учебные программы, предназначенные для подготовки учащихся, которые еще посещают общеобразовательную школу или уже ее окончили.  Курсы инженерно-технической подготовки существуют на университетском уровне.  Согласно Конституции Бразилии, ответственность за организацию обучения в старших классах средней школы возложена на штаты и федеральный округ, и это обучение открыто для всех, кто получил базовое образование.  С 1990 по 1999 год количество учащихся старших классов средней школы увеличилось с 3,5 млн. человек до 7,8 млн. человека, т.е. удвоилось за какие-то восемь лет.  За последние четыре года среднегодовой прирост числа учащихся этих школ составлял около 10%.  Однако даже при таком росте в настоящее время этим уровнем обучения охвачено менее 30% подростков в возрасте от 15 до 17 лет.  Тем не менее следует подчеркнуть, что общий показатель охвата школьным обучением этой возрастной группы в 1999 году достиг 74,8%.  Из этого вытекает основная проблема системы базового образования Бразилии:  второгодничество, которое искажает соотношение между возрастом и годом обучения.  Число учащихся, закончивших базовое обучение, в этом десятилетии увеличилось вдвое:  с 658 000 в 1990 году до 1,5 млн. в 1998 году.</w:t>
      </w:r>
    </w:p>
    <w:p w:rsidR="00000000" w:rsidRDefault="00000000"/>
    <w:p w:rsidR="00000000" w:rsidRDefault="00000000">
      <w:r>
        <w:t>761.</w:t>
      </w:r>
      <w:r>
        <w:tab/>
        <w:t xml:space="preserve">Рост числа учащихся старших классов средней школы, наблюдавшийся в 90-е годы, происходил за счет сети государственного обучения, на которую сегодня приходится 79% учащихся этого уровня обучения.  Число учащихся частных школ упало с 46,5% в 1980 году до 15,8% в 1999 году.  Эти данные показывают, что данный уровень образования обеспечивается главным образом государством.  Для содействия расширению системы обучения в старших классах средней школы, обусловленному увеличением доступа к базовому образованию и программам повышения эффективности школьного обучения на федеральном уровне и уровне штатов, а также спросу на школьное образование среди экономически активного населения вследствие влияния рынка труда, федеральное правительство ведет переговоры о займе в 1 млрд. долл. США по линии Межамериканского банка развития (МБР).  Эта кредитная линия призвана обеспечить повышение эффективности системы образования Бразилии и увеличение школьных мест на этой ступени образования во всех штатах, а также в федеральном округе с использованием как традиционных, так и более диверсифицированных методов.  С целью соблюдения бразильского законодательства в области образования путем расширения учебной базы на федеральном уровне, уровне штатов и общин федеральное правительство в 1997 году разработало Программу совершенствования профессионального обучения (ПРОЕП - </w:t>
      </w:r>
      <w:r>
        <w:rPr>
          <w:i/>
          <w:iCs/>
        </w:rPr>
        <w:t>Programa de Eхpansão e Melhoria da Educação Profi</w:t>
      </w:r>
      <w:r>
        <w:rPr>
          <w:i/>
          <w:iCs/>
          <w:lang w:val="en-US"/>
        </w:rPr>
        <w:t>ss</w:t>
      </w:r>
      <w:r>
        <w:rPr>
          <w:i/>
          <w:iCs/>
        </w:rPr>
        <w:t>ional</w:t>
      </w:r>
      <w:r>
        <w:t>) общей стоимостью в 500 млн. долл. США, из которых 250 млн. долл. США будут выделены за счет займа МБР, а остальная часть - за счет параллельного финансирования из внутренних источников.</w:t>
      </w:r>
    </w:p>
    <w:p w:rsidR="00000000" w:rsidRDefault="00000000"/>
    <w:p w:rsidR="00000000" w:rsidRDefault="00000000">
      <w:r>
        <w:t>762.</w:t>
      </w:r>
      <w:r>
        <w:tab/>
        <w:t>Структурная перестройка системы профессионального обучения Бразилии осуществляется министерством образования совместно с управлениями по делам образования штатов и направлена на подготовку и обучение соответствующей профессии молодых людей и рабочих в условиях быстрой модернизации экономики, а также на формирование граждан, обладающих творческим потенциалом, которое позволит им найти свое место в условиях происходящих в обществе изменений.  Согласно статистическим данным о системе профессионального обучения, полученным в результате переписи, курсы, ориентированные на рынок труда, посещают 2,8 млн. студентов.  Эта перепись также показала, что в Бразилии существуют 33 000 курсов профессионального обучения, причем большая часть из них (83,5%) имеет базовый уровень.  В Бразилии действуют 5 000  курсов технического обучения и 433 технических курса инженерно-технического обучения.  Из этих трех уровней профессиональной подготовки наибольшее число учащихся - 71,5% от общего числа - зарегистрировано на базовых курсах.  Техническим и инженерно-техническим обучением охвачены соответственно 717 000 и 97 000 студентов.</w:t>
      </w:r>
    </w:p>
    <w:p w:rsidR="00000000" w:rsidRDefault="00000000">
      <w:r>
        <w:t xml:space="preserve"> </w:t>
      </w:r>
    </w:p>
    <w:p w:rsidR="00000000" w:rsidRDefault="00000000">
      <w:r>
        <w:t>763.</w:t>
      </w:r>
      <w:r>
        <w:tab/>
        <w:t>Университетским образованием в Бразилии по</w:t>
      </w:r>
      <w:r>
        <w:noBreakHyphen/>
        <w:t>прежнему охвачена лишь небольшая часть соответствующей возрастной группы.  В то время как в 1998 году в стране насчитывалось 21 580 000 человек в возрасте 18-24 лет</w:t>
      </w:r>
      <w:r>
        <w:rPr>
          <w:b/>
          <w:bCs/>
          <w:vertAlign w:val="superscript"/>
        </w:rPr>
        <w:t>24</w:t>
      </w:r>
      <w:r>
        <w:t>, в высшие учебные заведения поступало чуть менее 2,1 млн. человек</w:t>
      </w:r>
      <w:r>
        <w:rPr>
          <w:b/>
          <w:bCs/>
          <w:vertAlign w:val="superscript"/>
        </w:rPr>
        <w:t>25</w:t>
      </w:r>
      <w:r>
        <w:t xml:space="preserve">.  В результате этого в настоящее время профессиональным обучением на уровне высшей школы охвачено не более 10% населения, которое теоретически должно иметь доступ к этому виду образования.  С другой стороны, в 1994-1999 годах наблюдался значительный рост (на 55,8%) числа мест на университетских курсах.  В то же время количество мест в частных учебных заведениях превысило соответствующие показатели государственных заведений.  В 1994 году на частные учебные заведения приходилось 58,5% от общего числа лиц, поступивших в ВУЗы, а к 1999 году этот показатель возрос до 64,9%.  Хотя доля государственных учебных заведений в общем числе лиц, поступивших в ВУЗы, в абсолютном выражении падает, в 1994-1999 годах она выросла примерно на 23,3%;  однако это гораздо ниже соответствующего показателя для частных учебных заведений (около 70,4% за тот же период).  Это явление, которое не следует трактовать в качестве негативного, непосредственно связано с диверсификацией и повышением гибкости высшего образования в условиях все большего расширения спроса на выпускников высшей школы.  </w:t>
      </w:r>
    </w:p>
    <w:p w:rsidR="00000000" w:rsidRDefault="00000000"/>
    <w:p w:rsidR="00000000" w:rsidRDefault="00000000">
      <w:r>
        <w:t>764.</w:t>
      </w:r>
      <w:r>
        <w:tab/>
        <w:t xml:space="preserve">Кроме того, следует отметить, что министерство образования в 1999 году приступило к осуществлению Программы финансирования студентов (ФИЕС - </w:t>
      </w:r>
      <w:r>
        <w:rPr>
          <w:i/>
          <w:iCs/>
          <w:lang w:val="en-US"/>
        </w:rPr>
        <w:t>Programa</w:t>
      </w:r>
      <w:r>
        <w:rPr>
          <w:i/>
          <w:iCs/>
        </w:rPr>
        <w:t xml:space="preserve"> </w:t>
      </w:r>
      <w:r>
        <w:rPr>
          <w:i/>
          <w:iCs/>
          <w:lang w:val="en-US"/>
        </w:rPr>
        <w:t>de</w:t>
      </w:r>
      <w:r>
        <w:rPr>
          <w:i/>
          <w:iCs/>
        </w:rPr>
        <w:t xml:space="preserve"> </w:t>
      </w:r>
      <w:r>
        <w:rPr>
          <w:i/>
          <w:iCs/>
          <w:lang w:val="en-US"/>
        </w:rPr>
        <w:t>Financiamento</w:t>
      </w:r>
      <w:r>
        <w:rPr>
          <w:i/>
          <w:iCs/>
        </w:rPr>
        <w:t xml:space="preserve"> </w:t>
      </w:r>
      <w:r>
        <w:rPr>
          <w:i/>
          <w:iCs/>
          <w:lang w:val="en-US"/>
        </w:rPr>
        <w:t>Estudantil</w:t>
      </w:r>
      <w:r>
        <w:rPr>
          <w:i/>
          <w:iCs/>
        </w:rPr>
        <w:t>)</w:t>
      </w:r>
      <w:r>
        <w:t>, по линии которой в течение первого полугодия были предоставлены займы более 80 000 студентам на сумму свыше 150 млн. реалов.  По линии этой программы осуществляется временное финансирование студентов, позволяющее им оплачивать обучение в платных высших учебных заведениях.</w:t>
      </w:r>
    </w:p>
    <w:p w:rsidR="00000000" w:rsidRDefault="00000000"/>
    <w:p w:rsidR="00000000" w:rsidRDefault="00000000">
      <w:r>
        <w:t>765.</w:t>
      </w:r>
      <w:r>
        <w:tab/>
        <w:t xml:space="preserve">Молодые люди и взрослые, своевременно не прошедшие полную программу школьного обучения, могут продолжить образование на специальных бесплатных курсах со сдачей соответствующих экзаменов.  В течение нескольких лет министерство образования предоставляло техническую и финансовую поддержку правительственным и неправительственным проектам, направленным на ликвидацию неграмотности и расширение охвата обязательным школьным обучением молодых людей и взрослых.  В 1995-1998 годах средства, выделяемые федеральным правительством на цели обучения молодых людей и взрослых, возросли в три раза, достигнув в 1998 году 35,8 млн. реалов.  В тот же год специальными курсами было охвачено 2,9 млн. человек. </w:t>
      </w:r>
    </w:p>
    <w:p w:rsidR="00000000" w:rsidRDefault="00000000"/>
    <w:p w:rsidR="00000000" w:rsidRDefault="00000000">
      <w:r>
        <w:t>766.</w:t>
      </w:r>
      <w:r>
        <w:tab/>
        <w:t xml:space="preserve">Обучение молодых людей и взрослых строится с учетом особенностей, потребностей и интересов учащихся и направлено на создание надлежащих условий для того, чтобы работающие молодые люди могли поступить в школу и продолжить свое школьное обучение.  </w:t>
      </w:r>
    </w:p>
    <w:p w:rsidR="00000000" w:rsidRDefault="00000000"/>
    <w:p w:rsidR="00000000" w:rsidRDefault="00000000">
      <w:r>
        <w:t>767.</w:t>
      </w:r>
      <w:r>
        <w:tab/>
        <w:t xml:space="preserve">В новом Законе об основах и руководящих принципах образования (ЗОРП - </w:t>
      </w:r>
      <w:r>
        <w:rPr>
          <w:i/>
          <w:iCs/>
          <w:lang w:val="en-US"/>
        </w:rPr>
        <w:t>Lei</w:t>
      </w:r>
      <w:r>
        <w:rPr>
          <w:i/>
          <w:iCs/>
        </w:rPr>
        <w:t xml:space="preserve"> </w:t>
      </w:r>
      <w:r>
        <w:rPr>
          <w:i/>
          <w:iCs/>
          <w:lang w:val="en-US"/>
        </w:rPr>
        <w:t>de</w:t>
      </w:r>
      <w:r>
        <w:rPr>
          <w:i/>
          <w:iCs/>
        </w:rPr>
        <w:t xml:space="preserve"> </w:t>
      </w:r>
      <w:r>
        <w:rPr>
          <w:i/>
          <w:iCs/>
          <w:lang w:val="en-US"/>
        </w:rPr>
        <w:t>Diretrizes</w:t>
      </w:r>
      <w:r>
        <w:rPr>
          <w:i/>
          <w:iCs/>
        </w:rPr>
        <w:t xml:space="preserve"> </w:t>
      </w:r>
      <w:r>
        <w:rPr>
          <w:i/>
          <w:iCs/>
          <w:lang w:val="en-US"/>
        </w:rPr>
        <w:t>e</w:t>
      </w:r>
      <w:r>
        <w:rPr>
          <w:i/>
          <w:iCs/>
        </w:rPr>
        <w:t xml:space="preserve"> </w:t>
      </w:r>
      <w:r>
        <w:rPr>
          <w:i/>
          <w:iCs/>
          <w:lang w:val="en-US"/>
        </w:rPr>
        <w:t>Bases</w:t>
      </w:r>
      <w:r>
        <w:rPr>
          <w:i/>
          <w:iCs/>
        </w:rPr>
        <w:t xml:space="preserve"> </w:t>
      </w:r>
      <w:r>
        <w:rPr>
          <w:i/>
          <w:iCs/>
          <w:lang w:val="en-US"/>
        </w:rPr>
        <w:t>da</w:t>
      </w:r>
      <w:r>
        <w:rPr>
          <w:i/>
          <w:iCs/>
        </w:rPr>
        <w:t xml:space="preserve"> </w:t>
      </w:r>
      <w:r>
        <w:rPr>
          <w:i/>
          <w:iCs/>
          <w:lang w:val="en-US"/>
        </w:rPr>
        <w:t>Educa</w:t>
      </w:r>
      <w:r>
        <w:rPr>
          <w:i/>
          <w:iCs/>
        </w:rPr>
        <w:t>çã</w:t>
      </w:r>
      <w:r>
        <w:rPr>
          <w:i/>
          <w:iCs/>
          <w:lang w:val="en-US"/>
        </w:rPr>
        <w:t>o</w:t>
      </w:r>
      <w:r>
        <w:rPr>
          <w:i/>
          <w:iCs/>
        </w:rPr>
        <w:t>)</w:t>
      </w:r>
      <w:r>
        <w:t xml:space="preserve"> регулируется порядок зачисления молодых людей на специальные курсы, оговаривается минимальный возраст в 15 лет для сдачи экзаменов за базовый курс обучения и 18 лет для получения свидетельства об окончании средней школы.</w:t>
      </w:r>
    </w:p>
    <w:p w:rsidR="00000000" w:rsidRDefault="00000000"/>
    <w:p w:rsidR="00000000" w:rsidRDefault="00000000">
      <w:r>
        <w:t>768.</w:t>
      </w:r>
      <w:r>
        <w:tab/>
        <w:t>Правительство Бразилии считает целесообразным представить Комитету по экономическим, социальным и культурным правам информацию об организуемых им социальных и образовательных мероприятиях.</w:t>
      </w:r>
    </w:p>
    <w:p w:rsidR="00000000" w:rsidRDefault="00000000"/>
    <w:p w:rsidR="00000000" w:rsidRDefault="00000000">
      <w:r>
        <w:t>769.</w:t>
      </w:r>
      <w:r>
        <w:tab/>
        <w:t>Правительство пытается решить проблемы слабой успеваемости и высокого процента отсева, которые связанны с внутришкольными причинами, с помощью разных государственных программ</w:t>
      </w:r>
      <w:r>
        <w:rPr>
          <w:b/>
          <w:bCs/>
          <w:vertAlign w:val="superscript"/>
        </w:rPr>
        <w:t>26</w:t>
      </w:r>
      <w:r>
        <w:t>, но вполне возможно, что ключевое значение здесь имеют социально-экономические факторы, могущие оказать негативное воздействие на учащихся и способствовать их отсеву.  В этой связи некоторые органы власти на уровне ниже федерального приняли программы выделения средств малоимущим семьям при условии, что их дети будут ходить в школу.  Кроме того, в декабре 1997 года был принят федеральный закон, разрешающий федеральному правительству "оказывать финансовую поддержку муниципальным округам, принимающим программы гарантирования минимальных доходов в связи с деятельностью в социальной сфере в области образования".  В 1999 году по линии такой Программы (</w:t>
      </w:r>
      <w:r>
        <w:rPr>
          <w:i/>
          <w:iCs/>
          <w:lang w:val="en-US"/>
        </w:rPr>
        <w:t>Programa</w:t>
      </w:r>
      <w:r>
        <w:rPr>
          <w:i/>
          <w:iCs/>
        </w:rPr>
        <w:t xml:space="preserve"> </w:t>
      </w:r>
      <w:r>
        <w:rPr>
          <w:i/>
          <w:iCs/>
          <w:lang w:val="en-US"/>
        </w:rPr>
        <w:t>de</w:t>
      </w:r>
      <w:r>
        <w:rPr>
          <w:i/>
          <w:iCs/>
        </w:rPr>
        <w:t xml:space="preserve"> </w:t>
      </w:r>
      <w:r>
        <w:rPr>
          <w:i/>
          <w:iCs/>
          <w:lang w:val="en-US"/>
        </w:rPr>
        <w:t>Garantia</w:t>
      </w:r>
      <w:r>
        <w:rPr>
          <w:i/>
          <w:iCs/>
        </w:rPr>
        <w:t xml:space="preserve"> </w:t>
      </w:r>
      <w:r>
        <w:rPr>
          <w:i/>
          <w:iCs/>
          <w:lang w:val="en-US"/>
        </w:rPr>
        <w:t>de</w:t>
      </w:r>
      <w:r>
        <w:rPr>
          <w:i/>
          <w:iCs/>
        </w:rPr>
        <w:t xml:space="preserve"> </w:t>
      </w:r>
      <w:r>
        <w:rPr>
          <w:i/>
          <w:iCs/>
          <w:lang w:val="en-US"/>
        </w:rPr>
        <w:t>Renda</w:t>
      </w:r>
      <w:r>
        <w:rPr>
          <w:i/>
          <w:iCs/>
        </w:rPr>
        <w:t xml:space="preserve"> </w:t>
      </w:r>
      <w:r>
        <w:rPr>
          <w:i/>
          <w:iCs/>
          <w:lang w:val="en-US"/>
        </w:rPr>
        <w:t>M</w:t>
      </w:r>
      <w:r>
        <w:rPr>
          <w:i/>
          <w:iCs/>
        </w:rPr>
        <w:t>í</w:t>
      </w:r>
      <w:r>
        <w:rPr>
          <w:i/>
          <w:iCs/>
          <w:lang w:val="en-US"/>
        </w:rPr>
        <w:t>nima</w:t>
      </w:r>
      <w:r>
        <w:t>), осуществляемой федеральным правительством, было выделено около 226,6 млн. реалов 1 005 муниципальным округам для помощи 500 000 семей с доходом на душу населения менее половины минимального оклада.</w:t>
      </w:r>
    </w:p>
    <w:p w:rsidR="00000000" w:rsidRDefault="00000000"/>
    <w:p w:rsidR="00000000" w:rsidRDefault="00000000">
      <w:r>
        <w:t>770.</w:t>
      </w:r>
      <w:r>
        <w:tab/>
        <w:t>Как показано ниже, работа правительства, строящего свою деятельность в тесном сотрудничестве с представителями общественных организаций, приносит позитивные результаты.</w:t>
      </w:r>
    </w:p>
    <w:p w:rsidR="00000000" w:rsidRDefault="00000000"/>
    <w:p w:rsidR="00000000" w:rsidRDefault="00000000">
      <w:r>
        <w:t>771.</w:t>
      </w:r>
      <w:r>
        <w:tab/>
        <w:t>Уровень неграмотности в Бразилии среди лиц в возрасте 15 лет и выше снизился с 20,1% в 1991 году до 15,6% в 1995 году, а в 1999 году этот показатель достиг 13,3%.  Однако здесь требуется замечание методологического характера, поскольку глобальное статистическое обследование в Бразилии проводится на регулярной основе каждые десять лет (о чем упоминалось в другой части настоящего доклада), а в дополнение к нему периодически проводится Общенациональное выборочное обследование домашних хозяйств (ОВОДХ).  В связи с этим следует отметить, что приведенные выше данные за 1991 год были взяты из переписи всего населения Бразилии, а данные за последующие два года получены в результате Общенационального выборочного обследования домашних хозяйств (ОВОДХ), которое проводится только на выборочной основе и которым не охвачены сельские районы северной Бразилии.</w:t>
      </w:r>
    </w:p>
    <w:p w:rsidR="00000000" w:rsidRDefault="00000000"/>
    <w:p w:rsidR="00000000" w:rsidRDefault="00000000">
      <w:r>
        <w:t>772.</w:t>
      </w:r>
      <w:r>
        <w:tab/>
        <w:t>Если брать за точку отсчета динамику этого показателя за прошедшие два года с использованием той же базы данных, то при использовании критериев, аналогичных тем, что применялись в 1991 году, показатели неграмотности за 1995 год вполне могут быть занижены.  В 1994-1999 годах наблюдался значительный рост числа учащихся, впервые поступающих в начальную школу:  с 31 220 000 до 36 060 000 человек, что соответствует росту примерно на 14,6%.</w:t>
      </w:r>
    </w:p>
    <w:p w:rsidR="00000000" w:rsidRDefault="00000000"/>
    <w:p w:rsidR="00000000" w:rsidRDefault="00000000">
      <w:r>
        <w:t>773.</w:t>
      </w:r>
      <w:r>
        <w:tab/>
        <w:t>Анализ этих данных в разбивке показывает, что количество учащихся, зачисленных за тот же период в начальную школу в сельских районах, возросло с 5 480 000 человек до 6 660 000 человек, или на 21,6%, что значительно выше соответствующего показателя для городских районов.  Что касается обучения молодых людей и взрослых, то в этом случае показатель числа впервые зачисленных в школу лиц демонстрирует определенную стабильность (2 750 000 человек в 1995 году и 3 070 000 человек в 1999 году - рост на 11,6%).  Процент отсева за этот период уменьшился.  По данным министерства образования, за период с 1995 по 1997 год отсев на уровне базового образования снизился с 13,6% до 12,8%.  Отсев в старших классах средней школы за тот же период уменьшился с 21,7% до 16,0%.</w:t>
      </w:r>
    </w:p>
    <w:p w:rsidR="00000000" w:rsidRDefault="00000000"/>
    <w:p w:rsidR="00000000" w:rsidRDefault="00000000">
      <w:r>
        <w:t>774.</w:t>
      </w:r>
      <w:r>
        <w:tab/>
        <w:t>Что касается процента лиц, окончивших учебное заведение, в разбивке по уровням образования, то приводимые ниже цифры были получены по той же методологии, что и предыдущий показатель.  С методологической точки зрения следует подчеркнуть, что, хотя эти цифры являются точными, применяемый метод носит строго ограниченный характер.  Наилучшим показателем ожидаемого окончания начальной и средней школы, а также базового обучения в целом является показатель, рассчитанный ИНЕП.  В 1995</w:t>
      </w:r>
      <w:r>
        <w:noBreakHyphen/>
        <w:t>1997 годах показатель ожидаемого окончания начальной школы возрос с 51,9% до 65,8%, а средней школы - с 71,4% до 78,5%;  в области базового образования в целом он вырос с 32,5% до 47,7%.  Показатель ожидаемого окончания высшей школы рассчитать невозможно, поскольку в данном случае процесс перехода в высшую школу после окончания средней не является автоматическим.  Соотношение между выпускниками и лицами, поступившими в высшее учебное заведение, установить весьма сложно.  В качестве альтернативы, хотя и далеко не идеальной, можно было бы определить соотношение между выпускниками какого-либо конкретного года и лицами, зачисленными в высшие учебные заведения за четыре предыдущих года.</w:t>
      </w:r>
    </w:p>
    <w:p w:rsidR="00000000" w:rsidRDefault="00000000"/>
    <w:p w:rsidR="00000000" w:rsidRDefault="00000000">
      <w:r>
        <w:t>775.</w:t>
      </w:r>
      <w:r>
        <w:tab/>
        <w:t>Государственные расходы на образование всех трех уровней органов государственного управления в 1995 году составили в общей сложности 27 190 000 000 реалов.  Эта сумма соответствует 12,8% всех прямых нефинансовых затрат трех уровней государственной власти и 20,1% расхода сектора социальных услуг</w:t>
      </w:r>
      <w:r>
        <w:rPr>
          <w:b/>
          <w:bCs/>
          <w:vertAlign w:val="superscript"/>
        </w:rPr>
        <w:t>27</w:t>
      </w:r>
      <w:r>
        <w:t>.  Важность этой области продемонстрирована в приводимой ниже таблице, в которой расходы на образование приводятся наряду с расходами на социальное обеспечение, выплату пособий государственным гражданским служащим и здравоохранение - тремя столпами системы социальных услуг в Бразилии.</w:t>
      </w:r>
    </w:p>
    <w:p w:rsidR="00000000" w:rsidRDefault="00000000"/>
    <w:p w:rsidR="00000000" w:rsidRDefault="00000000">
      <w:pPr>
        <w:pStyle w:val="10"/>
        <w:rPr>
          <w:bCs/>
        </w:rPr>
      </w:pPr>
      <w:r>
        <w:rPr>
          <w:bCs/>
        </w:rPr>
        <w:br w:type="page"/>
        <w:t>Таблица 88.   Общие прямые расходы на социальные услуги и образование</w:t>
      </w:r>
    </w:p>
    <w:p w:rsidR="00000000" w:rsidRDefault="00000000">
      <w:pPr>
        <w:pStyle w:val="10"/>
        <w:rPr>
          <w:bCs/>
        </w:rPr>
      </w:pPr>
      <w:r>
        <w:rPr>
          <w:bCs/>
        </w:rPr>
        <w:t>по всем трем уровням управления, 1995 год</w:t>
      </w:r>
    </w:p>
    <w:p w:rsidR="00000000" w:rsidRDefault="00000000">
      <w:pPr>
        <w:pStyle w:val="10"/>
        <w:rPr>
          <w:bCs/>
        </w:rPr>
      </w:pPr>
    </w:p>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000" w:firstRow="0" w:lastRow="0" w:firstColumn="0" w:lastColumn="0" w:noHBand="0" w:noVBand="0"/>
      </w:tblPr>
      <w:tblGrid>
        <w:gridCol w:w="3825"/>
        <w:gridCol w:w="1683"/>
        <w:gridCol w:w="1122"/>
        <w:gridCol w:w="1870"/>
        <w:gridCol w:w="1041"/>
      </w:tblGrid>
      <w:tr w:rsidR="00000000">
        <w:tc>
          <w:tcPr>
            <w:tcW w:w="9541" w:type="dxa"/>
            <w:gridSpan w:val="5"/>
          </w:tcPr>
          <w:p w:rsidR="00000000" w:rsidRDefault="00000000">
            <w:pPr>
              <w:pStyle w:val="16"/>
              <w:spacing w:line="240" w:lineRule="auto"/>
              <w:rPr>
                <w:sz w:val="22"/>
              </w:rPr>
            </w:pPr>
            <w:r>
              <w:rPr>
                <w:sz w:val="22"/>
              </w:rPr>
              <w:t>В млн. реалов по текущим ценам</w:t>
            </w:r>
          </w:p>
        </w:tc>
      </w:tr>
      <w:tr w:rsidR="00000000">
        <w:tc>
          <w:tcPr>
            <w:tcW w:w="3825" w:type="dxa"/>
          </w:tcPr>
          <w:p w:rsidR="00000000" w:rsidRDefault="00000000">
            <w:pPr>
              <w:spacing w:line="240" w:lineRule="auto"/>
              <w:jc w:val="center"/>
              <w:rPr>
                <w:sz w:val="22"/>
              </w:rPr>
            </w:pPr>
            <w:r>
              <w:rPr>
                <w:sz w:val="22"/>
              </w:rPr>
              <w:t>Виды расходов</w:t>
            </w:r>
          </w:p>
        </w:tc>
        <w:tc>
          <w:tcPr>
            <w:tcW w:w="1683" w:type="dxa"/>
          </w:tcPr>
          <w:p w:rsidR="00000000" w:rsidRDefault="00000000">
            <w:pPr>
              <w:spacing w:line="240" w:lineRule="auto"/>
              <w:jc w:val="center"/>
              <w:rPr>
                <w:sz w:val="22"/>
              </w:rPr>
            </w:pPr>
            <w:r>
              <w:rPr>
                <w:sz w:val="22"/>
              </w:rPr>
              <w:t>Федеральные</w:t>
            </w:r>
            <w:r>
              <w:rPr>
                <w:b/>
                <w:bCs/>
                <w:sz w:val="22"/>
                <w:vertAlign w:val="superscript"/>
              </w:rPr>
              <w:t>а</w:t>
            </w:r>
          </w:p>
        </w:tc>
        <w:tc>
          <w:tcPr>
            <w:tcW w:w="1122" w:type="dxa"/>
          </w:tcPr>
          <w:p w:rsidR="00000000" w:rsidRDefault="00000000">
            <w:pPr>
              <w:spacing w:line="240" w:lineRule="auto"/>
              <w:jc w:val="center"/>
              <w:rPr>
                <w:sz w:val="22"/>
              </w:rPr>
            </w:pPr>
            <w:r>
              <w:rPr>
                <w:sz w:val="22"/>
              </w:rPr>
              <w:t>Штатов</w:t>
            </w:r>
          </w:p>
        </w:tc>
        <w:tc>
          <w:tcPr>
            <w:tcW w:w="1870" w:type="dxa"/>
          </w:tcPr>
          <w:p w:rsidR="00000000" w:rsidRDefault="00000000">
            <w:pPr>
              <w:spacing w:line="240" w:lineRule="auto"/>
              <w:jc w:val="center"/>
              <w:rPr>
                <w:sz w:val="22"/>
              </w:rPr>
            </w:pPr>
            <w:r>
              <w:rPr>
                <w:sz w:val="22"/>
              </w:rPr>
              <w:t>Муниципальные</w:t>
            </w:r>
          </w:p>
        </w:tc>
        <w:tc>
          <w:tcPr>
            <w:tcW w:w="1041" w:type="dxa"/>
          </w:tcPr>
          <w:p w:rsidR="00000000" w:rsidRDefault="00000000">
            <w:pPr>
              <w:spacing w:line="240" w:lineRule="auto"/>
              <w:jc w:val="center"/>
              <w:rPr>
                <w:sz w:val="22"/>
              </w:rPr>
            </w:pPr>
            <w:r>
              <w:rPr>
                <w:sz w:val="22"/>
              </w:rPr>
              <w:t>Всего</w:t>
            </w:r>
          </w:p>
        </w:tc>
      </w:tr>
      <w:tr w:rsidR="00000000">
        <w:tc>
          <w:tcPr>
            <w:tcW w:w="3825" w:type="dxa"/>
          </w:tcPr>
          <w:p w:rsidR="00000000" w:rsidRDefault="00000000">
            <w:pPr>
              <w:spacing w:line="240" w:lineRule="auto"/>
              <w:rPr>
                <w:sz w:val="22"/>
              </w:rPr>
            </w:pPr>
            <w:r>
              <w:rPr>
                <w:sz w:val="22"/>
              </w:rPr>
              <w:t>Прямые государственные расходы</w:t>
            </w:r>
          </w:p>
        </w:tc>
        <w:tc>
          <w:tcPr>
            <w:tcW w:w="1683" w:type="dxa"/>
          </w:tcPr>
          <w:p w:rsidR="00000000" w:rsidRDefault="00000000">
            <w:pPr>
              <w:pStyle w:val="FootnoteText"/>
              <w:jc w:val="center"/>
              <w:rPr>
                <w:sz w:val="22"/>
              </w:rPr>
            </w:pPr>
            <w:r>
              <w:rPr>
                <w:sz w:val="22"/>
              </w:rPr>
              <w:t>103 184</w:t>
            </w:r>
          </w:p>
        </w:tc>
        <w:tc>
          <w:tcPr>
            <w:tcW w:w="1122" w:type="dxa"/>
          </w:tcPr>
          <w:p w:rsidR="00000000" w:rsidRDefault="00000000">
            <w:pPr>
              <w:spacing w:line="240" w:lineRule="auto"/>
              <w:jc w:val="center"/>
              <w:rPr>
                <w:sz w:val="22"/>
              </w:rPr>
            </w:pPr>
            <w:r>
              <w:rPr>
                <w:sz w:val="22"/>
              </w:rPr>
              <w:t>68 199</w:t>
            </w:r>
          </w:p>
        </w:tc>
        <w:tc>
          <w:tcPr>
            <w:tcW w:w="1870" w:type="dxa"/>
          </w:tcPr>
          <w:p w:rsidR="00000000" w:rsidRDefault="00000000">
            <w:pPr>
              <w:spacing w:line="240" w:lineRule="auto"/>
              <w:jc w:val="center"/>
              <w:rPr>
                <w:sz w:val="22"/>
              </w:rPr>
            </w:pPr>
            <w:r>
              <w:rPr>
                <w:sz w:val="22"/>
              </w:rPr>
              <w:t>41 067</w:t>
            </w:r>
          </w:p>
        </w:tc>
        <w:tc>
          <w:tcPr>
            <w:tcW w:w="1041" w:type="dxa"/>
          </w:tcPr>
          <w:p w:rsidR="00000000" w:rsidRDefault="00000000">
            <w:pPr>
              <w:spacing w:line="240" w:lineRule="auto"/>
              <w:jc w:val="center"/>
              <w:rPr>
                <w:sz w:val="22"/>
              </w:rPr>
            </w:pPr>
            <w:r>
              <w:rPr>
                <w:sz w:val="22"/>
              </w:rPr>
              <w:t>212 450</w:t>
            </w:r>
          </w:p>
        </w:tc>
      </w:tr>
      <w:tr w:rsidR="00000000">
        <w:tc>
          <w:tcPr>
            <w:tcW w:w="3825" w:type="dxa"/>
          </w:tcPr>
          <w:p w:rsidR="00000000" w:rsidRDefault="00000000">
            <w:pPr>
              <w:spacing w:line="240" w:lineRule="auto"/>
              <w:rPr>
                <w:sz w:val="22"/>
              </w:rPr>
            </w:pPr>
            <w:r>
              <w:rPr>
                <w:sz w:val="22"/>
              </w:rPr>
              <w:t>Государственные расходы на социальные услуги (источник финансирования)</w:t>
            </w:r>
          </w:p>
        </w:tc>
        <w:tc>
          <w:tcPr>
            <w:tcW w:w="1683" w:type="dxa"/>
          </w:tcPr>
          <w:p w:rsidR="00000000" w:rsidRDefault="00000000">
            <w:pPr>
              <w:spacing w:line="240" w:lineRule="auto"/>
              <w:jc w:val="center"/>
              <w:rPr>
                <w:sz w:val="22"/>
              </w:rPr>
            </w:pPr>
            <w:r>
              <w:rPr>
                <w:sz w:val="22"/>
              </w:rPr>
              <w:t>80 550</w:t>
            </w:r>
          </w:p>
        </w:tc>
        <w:tc>
          <w:tcPr>
            <w:tcW w:w="1122" w:type="dxa"/>
          </w:tcPr>
          <w:p w:rsidR="00000000" w:rsidRDefault="00000000">
            <w:pPr>
              <w:spacing w:line="240" w:lineRule="auto"/>
              <w:jc w:val="center"/>
              <w:rPr>
                <w:sz w:val="22"/>
              </w:rPr>
            </w:pPr>
            <w:r>
              <w:rPr>
                <w:sz w:val="22"/>
              </w:rPr>
              <w:t>32 116</w:t>
            </w:r>
          </w:p>
        </w:tc>
        <w:tc>
          <w:tcPr>
            <w:tcW w:w="1870" w:type="dxa"/>
          </w:tcPr>
          <w:p w:rsidR="00000000" w:rsidRDefault="00000000">
            <w:pPr>
              <w:spacing w:line="240" w:lineRule="auto"/>
              <w:jc w:val="center"/>
              <w:rPr>
                <w:sz w:val="22"/>
              </w:rPr>
            </w:pPr>
            <w:r>
              <w:rPr>
                <w:sz w:val="22"/>
              </w:rPr>
              <w:t>22 619</w:t>
            </w:r>
          </w:p>
        </w:tc>
        <w:tc>
          <w:tcPr>
            <w:tcW w:w="1041" w:type="dxa"/>
          </w:tcPr>
          <w:p w:rsidR="00000000" w:rsidRDefault="00000000">
            <w:pPr>
              <w:spacing w:line="240" w:lineRule="auto"/>
              <w:jc w:val="center"/>
              <w:rPr>
                <w:sz w:val="22"/>
              </w:rPr>
            </w:pPr>
            <w:r>
              <w:rPr>
                <w:sz w:val="22"/>
              </w:rPr>
              <w:t>135 284</w:t>
            </w:r>
          </w:p>
        </w:tc>
      </w:tr>
      <w:tr w:rsidR="00000000">
        <w:tc>
          <w:tcPr>
            <w:tcW w:w="3825" w:type="dxa"/>
          </w:tcPr>
          <w:p w:rsidR="00000000" w:rsidRDefault="00000000">
            <w:pPr>
              <w:spacing w:line="240" w:lineRule="auto"/>
              <w:rPr>
                <w:sz w:val="22"/>
              </w:rPr>
            </w:pPr>
            <w:r>
              <w:rPr>
                <w:sz w:val="22"/>
              </w:rPr>
              <w:t>Государственные расходы на образование (источник финансирования)</w:t>
            </w:r>
          </w:p>
        </w:tc>
        <w:tc>
          <w:tcPr>
            <w:tcW w:w="1683" w:type="dxa"/>
          </w:tcPr>
          <w:p w:rsidR="00000000" w:rsidRDefault="00000000">
            <w:pPr>
              <w:spacing w:line="240" w:lineRule="auto"/>
              <w:jc w:val="center"/>
              <w:rPr>
                <w:sz w:val="22"/>
              </w:rPr>
            </w:pPr>
            <w:r>
              <w:rPr>
                <w:sz w:val="22"/>
              </w:rPr>
              <w:t>6 778</w:t>
            </w:r>
          </w:p>
        </w:tc>
        <w:tc>
          <w:tcPr>
            <w:tcW w:w="1122" w:type="dxa"/>
          </w:tcPr>
          <w:p w:rsidR="00000000" w:rsidRDefault="00000000">
            <w:pPr>
              <w:spacing w:line="240" w:lineRule="auto"/>
              <w:jc w:val="center"/>
              <w:rPr>
                <w:sz w:val="22"/>
              </w:rPr>
            </w:pPr>
            <w:r>
              <w:rPr>
                <w:sz w:val="22"/>
              </w:rPr>
              <w:t>12 981</w:t>
            </w:r>
          </w:p>
        </w:tc>
        <w:tc>
          <w:tcPr>
            <w:tcW w:w="1870" w:type="dxa"/>
          </w:tcPr>
          <w:p w:rsidR="00000000" w:rsidRDefault="00000000">
            <w:pPr>
              <w:spacing w:line="240" w:lineRule="auto"/>
              <w:jc w:val="center"/>
              <w:rPr>
                <w:sz w:val="22"/>
              </w:rPr>
            </w:pPr>
            <w:r>
              <w:rPr>
                <w:sz w:val="22"/>
              </w:rPr>
              <w:t>7 431</w:t>
            </w:r>
          </w:p>
        </w:tc>
        <w:tc>
          <w:tcPr>
            <w:tcW w:w="1041" w:type="dxa"/>
          </w:tcPr>
          <w:p w:rsidR="00000000" w:rsidRDefault="00000000">
            <w:pPr>
              <w:spacing w:line="240" w:lineRule="auto"/>
              <w:jc w:val="center"/>
              <w:rPr>
                <w:sz w:val="22"/>
              </w:rPr>
            </w:pPr>
            <w:r>
              <w:rPr>
                <w:sz w:val="22"/>
              </w:rPr>
              <w:t>27 190</w:t>
            </w:r>
          </w:p>
        </w:tc>
      </w:tr>
      <w:tr w:rsidR="00000000">
        <w:tc>
          <w:tcPr>
            <w:tcW w:w="3825" w:type="dxa"/>
          </w:tcPr>
          <w:p w:rsidR="00000000" w:rsidRDefault="00000000">
            <w:pPr>
              <w:spacing w:line="240" w:lineRule="auto"/>
              <w:rPr>
                <w:sz w:val="22"/>
              </w:rPr>
            </w:pPr>
            <w:r>
              <w:rPr>
                <w:sz w:val="22"/>
              </w:rPr>
              <w:t>Соотношение (в %)</w:t>
            </w:r>
          </w:p>
        </w:tc>
        <w:tc>
          <w:tcPr>
            <w:tcW w:w="5716" w:type="dxa"/>
            <w:gridSpan w:val="4"/>
          </w:tcPr>
          <w:p w:rsidR="00000000" w:rsidRDefault="00000000">
            <w:pPr>
              <w:spacing w:line="240" w:lineRule="auto"/>
              <w:rPr>
                <w:sz w:val="22"/>
              </w:rPr>
            </w:pPr>
          </w:p>
        </w:tc>
      </w:tr>
      <w:tr w:rsidR="00000000">
        <w:tc>
          <w:tcPr>
            <w:tcW w:w="3825" w:type="dxa"/>
          </w:tcPr>
          <w:p w:rsidR="00000000" w:rsidRDefault="00000000">
            <w:pPr>
              <w:spacing w:line="240" w:lineRule="auto"/>
              <w:rPr>
                <w:sz w:val="22"/>
              </w:rPr>
            </w:pPr>
            <w:r>
              <w:rPr>
                <w:sz w:val="22"/>
              </w:rPr>
              <w:t>Расходы на социальные услуги/прямые расходы</w:t>
            </w:r>
          </w:p>
        </w:tc>
        <w:tc>
          <w:tcPr>
            <w:tcW w:w="1683" w:type="dxa"/>
          </w:tcPr>
          <w:p w:rsidR="00000000" w:rsidRDefault="00000000">
            <w:pPr>
              <w:spacing w:line="240" w:lineRule="auto"/>
              <w:jc w:val="center"/>
              <w:rPr>
                <w:sz w:val="22"/>
              </w:rPr>
            </w:pPr>
            <w:r>
              <w:rPr>
                <w:sz w:val="22"/>
              </w:rPr>
              <w:t>78,1</w:t>
            </w:r>
          </w:p>
        </w:tc>
        <w:tc>
          <w:tcPr>
            <w:tcW w:w="1122" w:type="dxa"/>
          </w:tcPr>
          <w:p w:rsidR="00000000" w:rsidRDefault="00000000">
            <w:pPr>
              <w:spacing w:line="240" w:lineRule="auto"/>
              <w:jc w:val="center"/>
              <w:rPr>
                <w:sz w:val="22"/>
              </w:rPr>
            </w:pPr>
            <w:r>
              <w:rPr>
                <w:sz w:val="22"/>
              </w:rPr>
              <w:t>47,1</w:t>
            </w:r>
          </w:p>
        </w:tc>
        <w:tc>
          <w:tcPr>
            <w:tcW w:w="1870" w:type="dxa"/>
          </w:tcPr>
          <w:p w:rsidR="00000000" w:rsidRDefault="00000000">
            <w:pPr>
              <w:spacing w:line="240" w:lineRule="auto"/>
              <w:jc w:val="center"/>
              <w:rPr>
                <w:sz w:val="22"/>
              </w:rPr>
            </w:pPr>
            <w:r>
              <w:rPr>
                <w:sz w:val="22"/>
              </w:rPr>
              <w:t>55,1</w:t>
            </w:r>
          </w:p>
        </w:tc>
        <w:tc>
          <w:tcPr>
            <w:tcW w:w="1041" w:type="dxa"/>
          </w:tcPr>
          <w:p w:rsidR="00000000" w:rsidRDefault="00000000">
            <w:pPr>
              <w:spacing w:line="240" w:lineRule="auto"/>
              <w:jc w:val="center"/>
              <w:rPr>
                <w:sz w:val="22"/>
              </w:rPr>
            </w:pPr>
            <w:r>
              <w:rPr>
                <w:sz w:val="22"/>
              </w:rPr>
              <w:t>63,7</w:t>
            </w:r>
          </w:p>
        </w:tc>
      </w:tr>
      <w:tr w:rsidR="00000000">
        <w:tc>
          <w:tcPr>
            <w:tcW w:w="3825" w:type="dxa"/>
          </w:tcPr>
          <w:p w:rsidR="00000000" w:rsidRDefault="00000000">
            <w:pPr>
              <w:spacing w:line="240" w:lineRule="auto"/>
              <w:rPr>
                <w:sz w:val="22"/>
              </w:rPr>
            </w:pPr>
            <w:r>
              <w:rPr>
                <w:sz w:val="22"/>
              </w:rPr>
              <w:t>Расходы на образование/прямые расходы</w:t>
            </w:r>
          </w:p>
        </w:tc>
        <w:tc>
          <w:tcPr>
            <w:tcW w:w="1683" w:type="dxa"/>
          </w:tcPr>
          <w:p w:rsidR="00000000" w:rsidRDefault="00000000">
            <w:pPr>
              <w:spacing w:line="240" w:lineRule="auto"/>
              <w:jc w:val="center"/>
              <w:rPr>
                <w:sz w:val="22"/>
              </w:rPr>
            </w:pPr>
            <w:r>
              <w:rPr>
                <w:sz w:val="22"/>
              </w:rPr>
              <w:t>6,6</w:t>
            </w:r>
          </w:p>
        </w:tc>
        <w:tc>
          <w:tcPr>
            <w:tcW w:w="1122" w:type="dxa"/>
          </w:tcPr>
          <w:p w:rsidR="00000000" w:rsidRDefault="00000000">
            <w:pPr>
              <w:spacing w:line="240" w:lineRule="auto"/>
              <w:jc w:val="center"/>
              <w:rPr>
                <w:sz w:val="22"/>
              </w:rPr>
            </w:pPr>
            <w:r>
              <w:rPr>
                <w:sz w:val="22"/>
              </w:rPr>
              <w:t>19,0</w:t>
            </w:r>
          </w:p>
        </w:tc>
        <w:tc>
          <w:tcPr>
            <w:tcW w:w="1870" w:type="dxa"/>
          </w:tcPr>
          <w:p w:rsidR="00000000" w:rsidRDefault="00000000">
            <w:pPr>
              <w:spacing w:line="240" w:lineRule="auto"/>
              <w:jc w:val="center"/>
              <w:rPr>
                <w:sz w:val="22"/>
              </w:rPr>
            </w:pPr>
            <w:r>
              <w:rPr>
                <w:sz w:val="22"/>
              </w:rPr>
              <w:t>18,1</w:t>
            </w:r>
          </w:p>
        </w:tc>
        <w:tc>
          <w:tcPr>
            <w:tcW w:w="1041" w:type="dxa"/>
          </w:tcPr>
          <w:p w:rsidR="00000000" w:rsidRDefault="00000000">
            <w:pPr>
              <w:spacing w:line="240" w:lineRule="auto"/>
              <w:jc w:val="center"/>
              <w:rPr>
                <w:sz w:val="22"/>
              </w:rPr>
            </w:pPr>
            <w:r>
              <w:rPr>
                <w:sz w:val="22"/>
              </w:rPr>
              <w:t>12,8</w:t>
            </w:r>
          </w:p>
        </w:tc>
      </w:tr>
      <w:tr w:rsidR="00000000">
        <w:tc>
          <w:tcPr>
            <w:tcW w:w="3825" w:type="dxa"/>
          </w:tcPr>
          <w:p w:rsidR="00000000" w:rsidRDefault="00000000">
            <w:pPr>
              <w:spacing w:line="240" w:lineRule="auto"/>
              <w:rPr>
                <w:sz w:val="22"/>
              </w:rPr>
            </w:pPr>
            <w:r>
              <w:rPr>
                <w:sz w:val="22"/>
              </w:rPr>
              <w:t>Расходы на образование/расходы на социальные услуги</w:t>
            </w:r>
          </w:p>
        </w:tc>
        <w:tc>
          <w:tcPr>
            <w:tcW w:w="1683" w:type="dxa"/>
          </w:tcPr>
          <w:p w:rsidR="00000000" w:rsidRDefault="00000000">
            <w:pPr>
              <w:spacing w:line="240" w:lineRule="auto"/>
              <w:jc w:val="center"/>
              <w:rPr>
                <w:sz w:val="22"/>
                <w:lang w:val="en-US"/>
              </w:rPr>
            </w:pPr>
            <w:r>
              <w:rPr>
                <w:sz w:val="22"/>
                <w:lang w:val="en-US"/>
              </w:rPr>
              <w:t>8,4</w:t>
            </w:r>
          </w:p>
        </w:tc>
        <w:tc>
          <w:tcPr>
            <w:tcW w:w="1122" w:type="dxa"/>
          </w:tcPr>
          <w:p w:rsidR="00000000" w:rsidRDefault="00000000">
            <w:pPr>
              <w:spacing w:line="240" w:lineRule="auto"/>
              <w:jc w:val="center"/>
              <w:rPr>
                <w:sz w:val="22"/>
                <w:lang w:val="en-US"/>
              </w:rPr>
            </w:pPr>
            <w:r>
              <w:rPr>
                <w:sz w:val="22"/>
                <w:lang w:val="en-US"/>
              </w:rPr>
              <w:t>40,4</w:t>
            </w:r>
          </w:p>
        </w:tc>
        <w:tc>
          <w:tcPr>
            <w:tcW w:w="1870" w:type="dxa"/>
          </w:tcPr>
          <w:p w:rsidR="00000000" w:rsidRDefault="00000000">
            <w:pPr>
              <w:spacing w:line="240" w:lineRule="auto"/>
              <w:jc w:val="center"/>
              <w:rPr>
                <w:sz w:val="22"/>
                <w:lang w:val="en-US"/>
              </w:rPr>
            </w:pPr>
            <w:r>
              <w:rPr>
                <w:sz w:val="22"/>
                <w:lang w:val="en-US"/>
              </w:rPr>
              <w:t>32,9</w:t>
            </w:r>
          </w:p>
        </w:tc>
        <w:tc>
          <w:tcPr>
            <w:tcW w:w="1041" w:type="dxa"/>
          </w:tcPr>
          <w:p w:rsidR="00000000" w:rsidRDefault="00000000">
            <w:pPr>
              <w:spacing w:line="240" w:lineRule="auto"/>
              <w:jc w:val="center"/>
              <w:rPr>
                <w:sz w:val="22"/>
                <w:lang w:val="en-US"/>
              </w:rPr>
            </w:pPr>
            <w:r>
              <w:rPr>
                <w:sz w:val="22"/>
                <w:lang w:val="en-US"/>
              </w:rPr>
              <w:t>20,1</w:t>
            </w:r>
          </w:p>
        </w:tc>
      </w:tr>
    </w:tbl>
    <w:p w:rsidR="00000000" w:rsidRDefault="00000000">
      <w:pPr>
        <w:rPr>
          <w:lang w:val="en-US"/>
        </w:rPr>
      </w:pPr>
    </w:p>
    <w:p w:rsidR="00000000" w:rsidRDefault="00000000">
      <w:pPr>
        <w:spacing w:line="240" w:lineRule="auto"/>
        <w:rPr>
          <w:lang w:val="en-US"/>
        </w:rPr>
      </w:pPr>
      <w:r>
        <w:rPr>
          <w:lang w:val="en-US"/>
        </w:rPr>
        <w:tab/>
      </w:r>
      <w:r>
        <w:rPr>
          <w:u w:val="single"/>
        </w:rPr>
        <w:t>Источник</w:t>
      </w:r>
      <w:r>
        <w:rPr>
          <w:lang w:val="en-US"/>
        </w:rPr>
        <w:t>:  Fernandes et al.</w:t>
      </w:r>
    </w:p>
    <w:p w:rsidR="00000000" w:rsidRDefault="00000000">
      <w:pPr>
        <w:spacing w:line="240" w:lineRule="auto"/>
        <w:rPr>
          <w:b/>
          <w:bCs/>
          <w:vertAlign w:val="superscript"/>
          <w:lang w:val="en-US"/>
        </w:rPr>
      </w:pPr>
    </w:p>
    <w:p w:rsidR="00000000" w:rsidRDefault="00000000">
      <w:pPr>
        <w:spacing w:line="240" w:lineRule="auto"/>
      </w:pPr>
      <w:r>
        <w:rPr>
          <w:b/>
          <w:bCs/>
          <w:vertAlign w:val="superscript"/>
        </w:rPr>
        <w:t>а</w:t>
      </w:r>
      <w:r>
        <w:rPr>
          <w:b/>
          <w:bCs/>
          <w:vertAlign w:val="superscript"/>
        </w:rPr>
        <w:tab/>
      </w:r>
      <w:r>
        <w:t>Включая средства по линии Гарантийного фонда трудового стажа (ГФТС), которые не включены в общие федеральные балансовые ведомости.</w:t>
      </w:r>
    </w:p>
    <w:p w:rsidR="00000000" w:rsidRDefault="00000000"/>
    <w:p w:rsidR="00000000" w:rsidRDefault="00000000">
      <w:r>
        <w:t>776.</w:t>
      </w:r>
      <w:r>
        <w:tab/>
        <w:t>Распределение расходов между различными органами управления повторяет распределение налоговых поступлений на нужды образования</w:t>
      </w:r>
      <w:r>
        <w:rPr>
          <w:b/>
          <w:bCs/>
          <w:vertAlign w:val="superscript"/>
        </w:rPr>
        <w:t>28</w:t>
      </w:r>
      <w:r>
        <w:t>.  Данные, приводимые в вышеуказанной таблице, отражают децентрализованный характер управления в этой области, поскольку основными органами власти, отвечающими за эти вопросы, является администрация штатов и муниципальных округов, на которые приходится 75,2% всех расходов.  Это означает, что штаты и муниципальные округа выделяют на нужды образования около 20% своих прямых расходов.  В общих расходах правительства на социальные услуги, расходы на эту область составляют 41,1% расходов штатов и 34,6% расходов муниципальных округов.</w:t>
      </w:r>
    </w:p>
    <w:p w:rsidR="00000000" w:rsidRDefault="00000000"/>
    <w:p w:rsidR="00000000" w:rsidRDefault="00000000">
      <w:r>
        <w:t>777.</w:t>
      </w:r>
      <w:r>
        <w:tab/>
        <w:t>Одновременно федеральное правительство покрывает 28% расходов в этой области, что составляет лишь 6,7% его прямых нефинансовых затрат, включая договорный (неконституционный) перевод средств штатам и муниципальным округам.  Это вызвано тем обстоятельством, что в Конституции Бразилии ответственность за предоставление базового образования возлагается на штаты и муниципальные округа, а обучение на специальных курсах для получения требуемого уровня образования находится в ведении федерального правительства</w:t>
      </w:r>
      <w:r>
        <w:rPr>
          <w:b/>
          <w:bCs/>
          <w:vertAlign w:val="superscript"/>
        </w:rPr>
        <w:t>29</w:t>
      </w:r>
      <w:r>
        <w:t xml:space="preserve">.  В результате большинство средств, выделяемых федеральным правительством на нужды образования, предназначены для покрытия расходов федеральных высших учебных заведений, а также технических училищ.  </w:t>
      </w:r>
    </w:p>
    <w:p w:rsidR="00000000" w:rsidRDefault="00000000"/>
    <w:p w:rsidR="00000000" w:rsidRDefault="00000000">
      <w:r>
        <w:t>778.</w:t>
      </w:r>
      <w:r>
        <w:tab/>
        <w:t>Общий обзор расходов в области образования по основным категориям, который приводится ниже в таблице и диаграмме, показывает, что финансовая деятельность правительства в этой области включает прямые расходы на конкретные виды обучения и косвенные затраты.  В первой категории расходы распределяются по трем основным направлениям.  Во</w:t>
      </w:r>
      <w:r>
        <w:noBreakHyphen/>
        <w:t>первых, это - программы, требующие более значительной поддержки и предусматривающие более высокие расходы:  базовое образование (42,5%) и высшее образование (18,9%), на которые в совокупности приходится 61,4% расходов в этой области.  Во</w:t>
      </w:r>
      <w:r>
        <w:noBreakHyphen/>
        <w:t>вторых, это - дошкольное обучение (в возрасте до 6 лет) и старшие классы средней школы, на что в общей сложности приходится 10,3% этих расходов.  Последнее направление охватывает специальные курсы для получения требуемого уровня образования молодых людей и взрослых, физическую подготовку и спорт и специальное обучение, на что в общей сложности приходится лишь 2,9% расходов в области образования.</w:t>
      </w:r>
    </w:p>
    <w:p w:rsidR="00000000" w:rsidRDefault="00000000"/>
    <w:p w:rsidR="00000000" w:rsidRDefault="00000000">
      <w:r>
        <w:t>779.</w:t>
      </w:r>
      <w:r>
        <w:tab/>
        <w:t>Другие расходы на деятельность, косвенно связанную с образованием, включают расходы на административную деятельность, составлявшие 23,0% всех расходов, и на оказание помощи учащимся и студентам (около 2,3% всех расходов).</w:t>
      </w:r>
    </w:p>
    <w:p w:rsidR="00000000" w:rsidRDefault="00000000"/>
    <w:p w:rsidR="00000000" w:rsidRDefault="00000000">
      <w:pPr>
        <w:pStyle w:val="10"/>
        <w:tabs>
          <w:tab w:val="clear" w:pos="1701"/>
          <w:tab w:val="left" w:pos="1496"/>
        </w:tabs>
        <w:ind w:left="567"/>
        <w:jc w:val="left"/>
        <w:rPr>
          <w:bCs/>
        </w:rPr>
      </w:pPr>
      <w:r>
        <w:rPr>
          <w:bCs/>
        </w:rPr>
        <w:t>Таблица 89.</w:t>
      </w:r>
      <w:r>
        <w:rPr>
          <w:bCs/>
        </w:rPr>
        <w:tab/>
        <w:t xml:space="preserve">Распределение расходов по уровню образования и видам </w:t>
      </w:r>
    </w:p>
    <w:p w:rsidR="00000000" w:rsidRDefault="00000000">
      <w:pPr>
        <w:pStyle w:val="10"/>
        <w:tabs>
          <w:tab w:val="clear" w:pos="1701"/>
          <w:tab w:val="left" w:pos="1496"/>
        </w:tabs>
        <w:ind w:left="567"/>
        <w:jc w:val="left"/>
        <w:rPr>
          <w:bCs/>
        </w:rPr>
      </w:pPr>
      <w:r>
        <w:rPr>
          <w:bCs/>
        </w:rPr>
        <w:tab/>
      </w:r>
      <w:r>
        <w:rPr>
          <w:bCs/>
        </w:rPr>
        <w:tab/>
      </w:r>
      <w:r>
        <w:rPr>
          <w:bCs/>
        </w:rPr>
        <w:tab/>
        <w:t>деятельности в области образования в разбивке по уровням</w:t>
      </w:r>
    </w:p>
    <w:p w:rsidR="00000000" w:rsidRDefault="00000000">
      <w:pPr>
        <w:pStyle w:val="10"/>
        <w:tabs>
          <w:tab w:val="clear" w:pos="1701"/>
          <w:tab w:val="left" w:pos="1496"/>
        </w:tabs>
        <w:ind w:left="567"/>
        <w:jc w:val="left"/>
        <w:rPr>
          <w:bCs/>
        </w:rPr>
      </w:pPr>
      <w:r>
        <w:rPr>
          <w:bCs/>
        </w:rPr>
        <w:tab/>
      </w:r>
      <w:r>
        <w:rPr>
          <w:bCs/>
        </w:rPr>
        <w:tab/>
      </w:r>
      <w:r>
        <w:rPr>
          <w:bCs/>
        </w:rPr>
        <w:tab/>
        <w:t>управления, 1995 год</w:t>
      </w:r>
    </w:p>
    <w:p w:rsidR="00000000" w:rsidRDefault="00000000">
      <w:pPr>
        <w:pStyle w:val="10"/>
        <w:tabs>
          <w:tab w:val="clear" w:pos="1701"/>
          <w:tab w:val="left" w:pos="1496"/>
        </w:tabs>
        <w:jc w:val="left"/>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25"/>
        <w:gridCol w:w="856"/>
        <w:gridCol w:w="631"/>
        <w:gridCol w:w="936"/>
        <w:gridCol w:w="631"/>
        <w:gridCol w:w="856"/>
        <w:gridCol w:w="633"/>
        <w:gridCol w:w="936"/>
        <w:gridCol w:w="632"/>
        <w:gridCol w:w="643"/>
        <w:gridCol w:w="648"/>
        <w:gridCol w:w="643"/>
      </w:tblGrid>
      <w:tr w:rsidR="00000000">
        <w:tblPrEx>
          <w:tblCellMar>
            <w:top w:w="0" w:type="dxa"/>
            <w:bottom w:w="0" w:type="dxa"/>
          </w:tblCellMar>
        </w:tblPrEx>
        <w:trPr>
          <w:cantSplit/>
        </w:trPr>
        <w:tc>
          <w:tcPr>
            <w:tcW w:w="9571" w:type="dxa"/>
            <w:gridSpan w:val="12"/>
          </w:tcPr>
          <w:p w:rsidR="00000000" w:rsidRDefault="00000000">
            <w:pPr>
              <w:pStyle w:val="16"/>
              <w:rPr>
                <w:sz w:val="16"/>
              </w:rPr>
            </w:pPr>
            <w:r>
              <w:rPr>
                <w:sz w:val="16"/>
              </w:rPr>
              <w:t>В тыс. реалах в номинальном исчислении</w:t>
            </w:r>
          </w:p>
        </w:tc>
      </w:tr>
      <w:tr w:rsidR="00000000">
        <w:tblPrEx>
          <w:tblCellMar>
            <w:top w:w="0" w:type="dxa"/>
            <w:bottom w:w="0" w:type="dxa"/>
          </w:tblCellMar>
        </w:tblPrEx>
        <w:trPr>
          <w:cantSplit/>
        </w:trPr>
        <w:tc>
          <w:tcPr>
            <w:tcW w:w="1128" w:type="dxa"/>
          </w:tcPr>
          <w:p w:rsidR="00000000" w:rsidRDefault="00000000">
            <w:pPr>
              <w:jc w:val="center"/>
              <w:rPr>
                <w:sz w:val="16"/>
              </w:rPr>
            </w:pPr>
            <w:r>
              <w:rPr>
                <w:sz w:val="16"/>
              </w:rPr>
              <w:t>Уровни образования и виды деятельности в этой области</w:t>
            </w:r>
          </w:p>
        </w:tc>
        <w:tc>
          <w:tcPr>
            <w:tcW w:w="1533" w:type="dxa"/>
            <w:gridSpan w:val="2"/>
          </w:tcPr>
          <w:p w:rsidR="00000000" w:rsidRDefault="00000000">
            <w:pPr>
              <w:jc w:val="center"/>
              <w:rPr>
                <w:sz w:val="16"/>
              </w:rPr>
            </w:pPr>
            <w:r>
              <w:rPr>
                <w:sz w:val="16"/>
              </w:rPr>
              <w:t>Федеральный уровень</w:t>
            </w:r>
          </w:p>
        </w:tc>
        <w:tc>
          <w:tcPr>
            <w:tcW w:w="1534" w:type="dxa"/>
            <w:gridSpan w:val="2"/>
          </w:tcPr>
          <w:p w:rsidR="00000000" w:rsidRDefault="00000000">
            <w:pPr>
              <w:jc w:val="center"/>
              <w:rPr>
                <w:sz w:val="16"/>
              </w:rPr>
            </w:pPr>
            <w:r>
              <w:rPr>
                <w:sz w:val="16"/>
              </w:rPr>
              <w:t>Штаты</w:t>
            </w:r>
          </w:p>
        </w:tc>
        <w:tc>
          <w:tcPr>
            <w:tcW w:w="1536" w:type="dxa"/>
            <w:gridSpan w:val="2"/>
          </w:tcPr>
          <w:p w:rsidR="00000000" w:rsidRDefault="00000000">
            <w:pPr>
              <w:jc w:val="center"/>
              <w:rPr>
                <w:sz w:val="16"/>
              </w:rPr>
            </w:pPr>
            <w:r>
              <w:rPr>
                <w:sz w:val="16"/>
              </w:rPr>
              <w:t>Муниципальные округа</w:t>
            </w:r>
          </w:p>
        </w:tc>
        <w:tc>
          <w:tcPr>
            <w:tcW w:w="3840" w:type="dxa"/>
            <w:gridSpan w:val="5"/>
          </w:tcPr>
          <w:p w:rsidR="00000000" w:rsidRDefault="00000000">
            <w:pPr>
              <w:jc w:val="center"/>
              <w:rPr>
                <w:sz w:val="16"/>
              </w:rPr>
            </w:pPr>
            <w:r>
              <w:rPr>
                <w:sz w:val="16"/>
              </w:rPr>
              <w:t>Всего</w:t>
            </w:r>
          </w:p>
        </w:tc>
      </w:tr>
      <w:tr w:rsidR="00000000">
        <w:tblPrEx>
          <w:tblCellMar>
            <w:top w:w="0" w:type="dxa"/>
            <w:bottom w:w="0" w:type="dxa"/>
          </w:tblCellMar>
        </w:tblPrEx>
        <w:tc>
          <w:tcPr>
            <w:tcW w:w="1128" w:type="dxa"/>
          </w:tcPr>
          <w:p w:rsidR="00000000" w:rsidRDefault="00000000">
            <w:pPr>
              <w:rPr>
                <w:sz w:val="16"/>
              </w:rPr>
            </w:pPr>
          </w:p>
        </w:tc>
        <w:tc>
          <w:tcPr>
            <w:tcW w:w="766" w:type="dxa"/>
          </w:tcPr>
          <w:p w:rsidR="00000000" w:rsidRDefault="00000000">
            <w:pPr>
              <w:jc w:val="center"/>
              <w:rPr>
                <w:sz w:val="16"/>
                <w:lang w:val="en-US"/>
              </w:rPr>
            </w:pPr>
            <w:r>
              <w:rPr>
                <w:sz w:val="16"/>
                <w:lang w:val="en-US"/>
              </w:rPr>
              <w:t>a)</w:t>
            </w:r>
          </w:p>
        </w:tc>
        <w:tc>
          <w:tcPr>
            <w:tcW w:w="767" w:type="dxa"/>
          </w:tcPr>
          <w:p w:rsidR="00000000" w:rsidRDefault="00000000">
            <w:pPr>
              <w:jc w:val="center"/>
              <w:rPr>
                <w:sz w:val="16"/>
                <w:lang w:val="en-US"/>
              </w:rPr>
            </w:pPr>
            <w:r>
              <w:rPr>
                <w:sz w:val="16"/>
                <w:lang w:val="en-US"/>
              </w:rPr>
              <w:t>%</w:t>
            </w:r>
          </w:p>
        </w:tc>
        <w:tc>
          <w:tcPr>
            <w:tcW w:w="767" w:type="dxa"/>
          </w:tcPr>
          <w:p w:rsidR="00000000" w:rsidRDefault="00000000">
            <w:pPr>
              <w:jc w:val="center"/>
              <w:rPr>
                <w:sz w:val="16"/>
                <w:lang w:val="en-US"/>
              </w:rPr>
            </w:pPr>
            <w:r>
              <w:rPr>
                <w:sz w:val="16"/>
                <w:lang w:val="en-US"/>
              </w:rPr>
              <w:t>b)</w:t>
            </w:r>
          </w:p>
        </w:tc>
        <w:tc>
          <w:tcPr>
            <w:tcW w:w="767" w:type="dxa"/>
          </w:tcPr>
          <w:p w:rsidR="00000000" w:rsidRDefault="00000000">
            <w:pPr>
              <w:jc w:val="center"/>
              <w:rPr>
                <w:sz w:val="16"/>
                <w:lang w:val="en-US"/>
              </w:rPr>
            </w:pPr>
            <w:r>
              <w:rPr>
                <w:sz w:val="16"/>
                <w:lang w:val="en-US"/>
              </w:rPr>
              <w:t>%</w:t>
            </w:r>
          </w:p>
        </w:tc>
        <w:tc>
          <w:tcPr>
            <w:tcW w:w="768" w:type="dxa"/>
          </w:tcPr>
          <w:p w:rsidR="00000000" w:rsidRDefault="00000000">
            <w:pPr>
              <w:jc w:val="center"/>
              <w:rPr>
                <w:sz w:val="16"/>
                <w:lang w:val="en-US"/>
              </w:rPr>
            </w:pPr>
            <w:r>
              <w:rPr>
                <w:sz w:val="16"/>
              </w:rPr>
              <w:t>с</w:t>
            </w:r>
            <w:r>
              <w:rPr>
                <w:sz w:val="16"/>
                <w:lang w:val="en-US"/>
              </w:rPr>
              <w:t>)</w:t>
            </w:r>
          </w:p>
        </w:tc>
        <w:tc>
          <w:tcPr>
            <w:tcW w:w="768" w:type="dxa"/>
          </w:tcPr>
          <w:p w:rsidR="00000000" w:rsidRDefault="00000000">
            <w:pPr>
              <w:jc w:val="center"/>
              <w:rPr>
                <w:sz w:val="16"/>
                <w:lang w:val="en-US"/>
              </w:rPr>
            </w:pPr>
            <w:r>
              <w:rPr>
                <w:sz w:val="16"/>
                <w:lang w:val="en-US"/>
              </w:rPr>
              <w:t>%</w:t>
            </w:r>
          </w:p>
        </w:tc>
        <w:tc>
          <w:tcPr>
            <w:tcW w:w="768" w:type="dxa"/>
          </w:tcPr>
          <w:p w:rsidR="00000000" w:rsidRDefault="00000000">
            <w:pPr>
              <w:rPr>
                <w:sz w:val="16"/>
                <w:lang w:val="en-US"/>
              </w:rPr>
            </w:pPr>
            <w:r>
              <w:rPr>
                <w:sz w:val="16"/>
                <w:lang w:val="en-US"/>
              </w:rPr>
              <w:t>(d=a+b+c)</w:t>
            </w:r>
          </w:p>
        </w:tc>
        <w:tc>
          <w:tcPr>
            <w:tcW w:w="768" w:type="dxa"/>
          </w:tcPr>
          <w:p w:rsidR="00000000" w:rsidRDefault="00000000">
            <w:pPr>
              <w:jc w:val="center"/>
              <w:rPr>
                <w:sz w:val="16"/>
                <w:lang w:val="en-US"/>
              </w:rPr>
            </w:pPr>
            <w:r>
              <w:rPr>
                <w:sz w:val="16"/>
                <w:lang w:val="en-US"/>
              </w:rPr>
              <w:t>%</w:t>
            </w:r>
          </w:p>
        </w:tc>
        <w:tc>
          <w:tcPr>
            <w:tcW w:w="768" w:type="dxa"/>
          </w:tcPr>
          <w:p w:rsidR="00000000" w:rsidRDefault="00000000">
            <w:pPr>
              <w:jc w:val="center"/>
              <w:rPr>
                <w:sz w:val="16"/>
                <w:lang w:val="en-US"/>
              </w:rPr>
            </w:pPr>
            <w:r>
              <w:rPr>
                <w:sz w:val="16"/>
                <w:lang w:val="en-US"/>
              </w:rPr>
              <w:t>(a/d)</w:t>
            </w:r>
          </w:p>
        </w:tc>
        <w:tc>
          <w:tcPr>
            <w:tcW w:w="768" w:type="dxa"/>
          </w:tcPr>
          <w:p w:rsidR="00000000" w:rsidRDefault="00000000">
            <w:pPr>
              <w:jc w:val="center"/>
              <w:rPr>
                <w:sz w:val="16"/>
                <w:lang w:val="en-US"/>
              </w:rPr>
            </w:pPr>
            <w:r>
              <w:rPr>
                <w:sz w:val="16"/>
                <w:lang w:val="en-US"/>
              </w:rPr>
              <w:t>(d/b)</w:t>
            </w:r>
          </w:p>
        </w:tc>
        <w:tc>
          <w:tcPr>
            <w:tcW w:w="768" w:type="dxa"/>
          </w:tcPr>
          <w:p w:rsidR="00000000" w:rsidRDefault="00000000">
            <w:pPr>
              <w:jc w:val="center"/>
              <w:rPr>
                <w:sz w:val="16"/>
              </w:rPr>
            </w:pPr>
            <w:r>
              <w:rPr>
                <w:sz w:val="16"/>
              </w:rPr>
              <w:t>(</w:t>
            </w:r>
            <w:r>
              <w:rPr>
                <w:sz w:val="16"/>
                <w:lang w:val="en-US"/>
              </w:rPr>
              <w:t>c</w:t>
            </w:r>
            <w:r>
              <w:rPr>
                <w:sz w:val="16"/>
              </w:rPr>
              <w:t>/</w:t>
            </w:r>
            <w:r>
              <w:rPr>
                <w:sz w:val="16"/>
                <w:lang w:val="en-US"/>
              </w:rPr>
              <w:t>d</w:t>
            </w:r>
            <w:r>
              <w:rPr>
                <w:sz w:val="16"/>
              </w:rPr>
              <w:t>)</w:t>
            </w:r>
          </w:p>
        </w:tc>
      </w:tr>
      <w:tr w:rsidR="00000000">
        <w:tblPrEx>
          <w:tblCellMar>
            <w:top w:w="0" w:type="dxa"/>
            <w:bottom w:w="0" w:type="dxa"/>
          </w:tblCellMar>
        </w:tblPrEx>
        <w:tc>
          <w:tcPr>
            <w:tcW w:w="1128" w:type="dxa"/>
          </w:tcPr>
          <w:p w:rsidR="00000000" w:rsidRDefault="00000000">
            <w:pPr>
              <w:rPr>
                <w:sz w:val="16"/>
              </w:rPr>
            </w:pPr>
            <w:r>
              <w:rPr>
                <w:sz w:val="16"/>
              </w:rPr>
              <w:t>Обучение детей в возрасте до 6 лет</w:t>
            </w:r>
          </w:p>
        </w:tc>
        <w:tc>
          <w:tcPr>
            <w:tcW w:w="766" w:type="dxa"/>
          </w:tcPr>
          <w:p w:rsidR="00000000" w:rsidRDefault="00000000">
            <w:pPr>
              <w:jc w:val="right"/>
              <w:rPr>
                <w:sz w:val="16"/>
              </w:rPr>
            </w:pPr>
            <w:r>
              <w:rPr>
                <w:sz w:val="16"/>
              </w:rPr>
              <w:t>10,280</w:t>
            </w:r>
          </w:p>
        </w:tc>
        <w:tc>
          <w:tcPr>
            <w:tcW w:w="767" w:type="dxa"/>
          </w:tcPr>
          <w:p w:rsidR="00000000" w:rsidRDefault="00000000">
            <w:pPr>
              <w:jc w:val="right"/>
              <w:rPr>
                <w:sz w:val="16"/>
              </w:rPr>
            </w:pPr>
            <w:r>
              <w:rPr>
                <w:sz w:val="16"/>
              </w:rPr>
              <w:t>0,2</w:t>
            </w:r>
          </w:p>
        </w:tc>
        <w:tc>
          <w:tcPr>
            <w:tcW w:w="767" w:type="dxa"/>
          </w:tcPr>
          <w:p w:rsidR="00000000" w:rsidRDefault="00000000">
            <w:pPr>
              <w:jc w:val="right"/>
              <w:rPr>
                <w:sz w:val="16"/>
              </w:rPr>
            </w:pPr>
            <w:r>
              <w:rPr>
                <w:sz w:val="16"/>
              </w:rPr>
              <w:t>51,190</w:t>
            </w:r>
          </w:p>
        </w:tc>
        <w:tc>
          <w:tcPr>
            <w:tcW w:w="767" w:type="dxa"/>
          </w:tcPr>
          <w:p w:rsidR="00000000" w:rsidRDefault="00000000">
            <w:pPr>
              <w:jc w:val="right"/>
              <w:rPr>
                <w:sz w:val="16"/>
              </w:rPr>
            </w:pPr>
            <w:r>
              <w:rPr>
                <w:sz w:val="16"/>
              </w:rPr>
              <w:t>0,4</w:t>
            </w:r>
          </w:p>
        </w:tc>
        <w:tc>
          <w:tcPr>
            <w:tcW w:w="768" w:type="dxa"/>
          </w:tcPr>
          <w:p w:rsidR="00000000" w:rsidRDefault="00000000">
            <w:pPr>
              <w:jc w:val="right"/>
              <w:rPr>
                <w:sz w:val="16"/>
              </w:rPr>
            </w:pPr>
            <w:r>
              <w:rPr>
                <w:sz w:val="16"/>
              </w:rPr>
              <w:t>1</w:t>
            </w:r>
            <w:r>
              <w:rPr>
                <w:sz w:val="16"/>
                <w:lang w:val="en-US"/>
              </w:rPr>
              <w:t> </w:t>
            </w:r>
            <w:r>
              <w:rPr>
                <w:sz w:val="16"/>
              </w:rPr>
              <w:t>010</w:t>
            </w:r>
            <w:r>
              <w:rPr>
                <w:sz w:val="16"/>
                <w:lang w:val="en-US"/>
              </w:rPr>
              <w:t> </w:t>
            </w:r>
            <w:r>
              <w:rPr>
                <w:sz w:val="16"/>
              </w:rPr>
              <w:t>926</w:t>
            </w:r>
          </w:p>
        </w:tc>
        <w:tc>
          <w:tcPr>
            <w:tcW w:w="768" w:type="dxa"/>
          </w:tcPr>
          <w:p w:rsidR="00000000" w:rsidRDefault="00000000">
            <w:pPr>
              <w:jc w:val="right"/>
              <w:rPr>
                <w:sz w:val="16"/>
              </w:rPr>
            </w:pPr>
            <w:r>
              <w:rPr>
                <w:sz w:val="16"/>
              </w:rPr>
              <w:t>13,6</w:t>
            </w:r>
          </w:p>
        </w:tc>
        <w:tc>
          <w:tcPr>
            <w:tcW w:w="768" w:type="dxa"/>
          </w:tcPr>
          <w:p w:rsidR="00000000" w:rsidRDefault="00000000">
            <w:pPr>
              <w:jc w:val="right"/>
            </w:pPr>
            <w:r>
              <w:rPr>
                <w:sz w:val="16"/>
              </w:rPr>
              <w:t>1</w:t>
            </w:r>
            <w:r>
              <w:rPr>
                <w:sz w:val="16"/>
                <w:lang w:val="en-US"/>
              </w:rPr>
              <w:t> </w:t>
            </w:r>
            <w:r>
              <w:rPr>
                <w:sz w:val="16"/>
              </w:rPr>
              <w:t>072</w:t>
            </w:r>
            <w:r>
              <w:rPr>
                <w:sz w:val="16"/>
                <w:lang w:val="en-US"/>
              </w:rPr>
              <w:t> </w:t>
            </w:r>
            <w:r>
              <w:rPr>
                <w:sz w:val="16"/>
              </w:rPr>
              <w:t>396</w:t>
            </w:r>
          </w:p>
        </w:tc>
        <w:tc>
          <w:tcPr>
            <w:tcW w:w="768" w:type="dxa"/>
          </w:tcPr>
          <w:p w:rsidR="00000000" w:rsidRDefault="00000000">
            <w:pPr>
              <w:jc w:val="right"/>
              <w:rPr>
                <w:sz w:val="16"/>
              </w:rPr>
            </w:pPr>
            <w:r>
              <w:rPr>
                <w:sz w:val="16"/>
              </w:rPr>
              <w:t>3,9</w:t>
            </w:r>
          </w:p>
        </w:tc>
        <w:tc>
          <w:tcPr>
            <w:tcW w:w="768" w:type="dxa"/>
          </w:tcPr>
          <w:p w:rsidR="00000000" w:rsidRDefault="00000000">
            <w:pPr>
              <w:jc w:val="right"/>
              <w:rPr>
                <w:sz w:val="16"/>
              </w:rPr>
            </w:pPr>
            <w:r>
              <w:rPr>
                <w:sz w:val="16"/>
              </w:rPr>
              <w:t>1,0</w:t>
            </w:r>
          </w:p>
        </w:tc>
        <w:tc>
          <w:tcPr>
            <w:tcW w:w="768" w:type="dxa"/>
          </w:tcPr>
          <w:p w:rsidR="00000000" w:rsidRDefault="00000000">
            <w:pPr>
              <w:jc w:val="right"/>
              <w:rPr>
                <w:sz w:val="16"/>
              </w:rPr>
            </w:pPr>
            <w:r>
              <w:rPr>
                <w:sz w:val="16"/>
              </w:rPr>
              <w:t>4,8</w:t>
            </w:r>
          </w:p>
        </w:tc>
        <w:tc>
          <w:tcPr>
            <w:tcW w:w="768" w:type="dxa"/>
          </w:tcPr>
          <w:p w:rsidR="00000000" w:rsidRDefault="00000000">
            <w:pPr>
              <w:jc w:val="right"/>
              <w:rPr>
                <w:sz w:val="16"/>
              </w:rPr>
            </w:pPr>
            <w:r>
              <w:rPr>
                <w:sz w:val="16"/>
              </w:rPr>
              <w:t>94,3</w:t>
            </w:r>
          </w:p>
        </w:tc>
      </w:tr>
      <w:tr w:rsidR="00000000">
        <w:tblPrEx>
          <w:tblCellMar>
            <w:top w:w="0" w:type="dxa"/>
            <w:bottom w:w="0" w:type="dxa"/>
          </w:tblCellMar>
        </w:tblPrEx>
        <w:tc>
          <w:tcPr>
            <w:tcW w:w="1128" w:type="dxa"/>
          </w:tcPr>
          <w:p w:rsidR="00000000" w:rsidRDefault="00000000">
            <w:pPr>
              <w:rPr>
                <w:sz w:val="16"/>
              </w:rPr>
            </w:pPr>
            <w:r>
              <w:rPr>
                <w:sz w:val="16"/>
              </w:rPr>
              <w:t>Базовое образование</w:t>
            </w:r>
          </w:p>
        </w:tc>
        <w:tc>
          <w:tcPr>
            <w:tcW w:w="766" w:type="dxa"/>
          </w:tcPr>
          <w:p w:rsidR="00000000" w:rsidRDefault="00000000">
            <w:pPr>
              <w:jc w:val="right"/>
              <w:rPr>
                <w:sz w:val="16"/>
              </w:rPr>
            </w:pPr>
            <w:r>
              <w:rPr>
                <w:sz w:val="16"/>
              </w:rPr>
              <w:t>1</w:t>
            </w:r>
            <w:r>
              <w:rPr>
                <w:sz w:val="16"/>
                <w:lang w:val="en-US"/>
              </w:rPr>
              <w:t> </w:t>
            </w:r>
            <w:r>
              <w:rPr>
                <w:sz w:val="16"/>
              </w:rPr>
              <w:t>194</w:t>
            </w:r>
            <w:r>
              <w:rPr>
                <w:sz w:val="16"/>
                <w:lang w:val="en-US"/>
              </w:rPr>
              <w:t> </w:t>
            </w:r>
            <w:r>
              <w:rPr>
                <w:sz w:val="16"/>
              </w:rPr>
              <w:t>692</w:t>
            </w:r>
          </w:p>
        </w:tc>
        <w:tc>
          <w:tcPr>
            <w:tcW w:w="767" w:type="dxa"/>
          </w:tcPr>
          <w:p w:rsidR="00000000" w:rsidRDefault="00000000">
            <w:pPr>
              <w:jc w:val="right"/>
              <w:rPr>
                <w:sz w:val="16"/>
              </w:rPr>
            </w:pPr>
            <w:r>
              <w:rPr>
                <w:sz w:val="16"/>
              </w:rPr>
              <w:t>17,6</w:t>
            </w:r>
          </w:p>
        </w:tc>
        <w:tc>
          <w:tcPr>
            <w:tcW w:w="767" w:type="dxa"/>
          </w:tcPr>
          <w:p w:rsidR="00000000" w:rsidRDefault="00000000">
            <w:pPr>
              <w:jc w:val="right"/>
              <w:rPr>
                <w:sz w:val="16"/>
              </w:rPr>
            </w:pPr>
            <w:r>
              <w:rPr>
                <w:sz w:val="16"/>
              </w:rPr>
              <w:t>6</w:t>
            </w:r>
            <w:r>
              <w:rPr>
                <w:sz w:val="16"/>
                <w:lang w:val="en-US"/>
              </w:rPr>
              <w:t> </w:t>
            </w:r>
            <w:r>
              <w:rPr>
                <w:sz w:val="16"/>
              </w:rPr>
              <w:t>409</w:t>
            </w:r>
            <w:r>
              <w:rPr>
                <w:sz w:val="16"/>
                <w:lang w:val="en-US"/>
              </w:rPr>
              <w:t> </w:t>
            </w:r>
            <w:r>
              <w:rPr>
                <w:sz w:val="16"/>
              </w:rPr>
              <w:t>478</w:t>
            </w:r>
          </w:p>
        </w:tc>
        <w:tc>
          <w:tcPr>
            <w:tcW w:w="767" w:type="dxa"/>
          </w:tcPr>
          <w:p w:rsidR="00000000" w:rsidRDefault="00000000">
            <w:pPr>
              <w:jc w:val="right"/>
              <w:rPr>
                <w:sz w:val="16"/>
              </w:rPr>
            </w:pPr>
            <w:r>
              <w:rPr>
                <w:sz w:val="16"/>
              </w:rPr>
              <w:t>49,4</w:t>
            </w:r>
          </w:p>
        </w:tc>
        <w:tc>
          <w:tcPr>
            <w:tcW w:w="768" w:type="dxa"/>
          </w:tcPr>
          <w:p w:rsidR="00000000" w:rsidRDefault="00000000">
            <w:pPr>
              <w:jc w:val="right"/>
              <w:rPr>
                <w:sz w:val="16"/>
              </w:rPr>
            </w:pPr>
            <w:r>
              <w:rPr>
                <w:sz w:val="16"/>
              </w:rPr>
              <w:t>3</w:t>
            </w:r>
            <w:r>
              <w:rPr>
                <w:sz w:val="16"/>
                <w:lang w:val="en-US"/>
              </w:rPr>
              <w:t> </w:t>
            </w:r>
            <w:r>
              <w:rPr>
                <w:sz w:val="16"/>
              </w:rPr>
              <w:t>948</w:t>
            </w:r>
            <w:r>
              <w:rPr>
                <w:sz w:val="16"/>
                <w:lang w:val="en-US"/>
              </w:rPr>
              <w:t> </w:t>
            </w:r>
            <w:r>
              <w:rPr>
                <w:sz w:val="16"/>
              </w:rPr>
              <w:t>310</w:t>
            </w:r>
          </w:p>
        </w:tc>
        <w:tc>
          <w:tcPr>
            <w:tcW w:w="768" w:type="dxa"/>
          </w:tcPr>
          <w:p w:rsidR="00000000" w:rsidRDefault="00000000">
            <w:pPr>
              <w:jc w:val="right"/>
              <w:rPr>
                <w:sz w:val="16"/>
              </w:rPr>
            </w:pPr>
            <w:r>
              <w:rPr>
                <w:sz w:val="16"/>
              </w:rPr>
              <w:t>53,1</w:t>
            </w:r>
          </w:p>
        </w:tc>
        <w:tc>
          <w:tcPr>
            <w:tcW w:w="768" w:type="dxa"/>
          </w:tcPr>
          <w:p w:rsidR="00000000" w:rsidRDefault="00000000">
            <w:pPr>
              <w:jc w:val="right"/>
              <w:rPr>
                <w:sz w:val="16"/>
              </w:rPr>
            </w:pPr>
            <w:r>
              <w:rPr>
                <w:sz w:val="16"/>
              </w:rPr>
              <w:t>11</w:t>
            </w:r>
            <w:r>
              <w:rPr>
                <w:sz w:val="16"/>
                <w:lang w:val="en-US"/>
              </w:rPr>
              <w:t> </w:t>
            </w:r>
            <w:r>
              <w:rPr>
                <w:sz w:val="16"/>
              </w:rPr>
              <w:t>552</w:t>
            </w:r>
            <w:r>
              <w:rPr>
                <w:sz w:val="16"/>
                <w:lang w:val="en-US"/>
              </w:rPr>
              <w:t> </w:t>
            </w:r>
            <w:r>
              <w:rPr>
                <w:sz w:val="16"/>
              </w:rPr>
              <w:t>980</w:t>
            </w:r>
          </w:p>
        </w:tc>
        <w:tc>
          <w:tcPr>
            <w:tcW w:w="768" w:type="dxa"/>
          </w:tcPr>
          <w:p w:rsidR="00000000" w:rsidRDefault="00000000">
            <w:pPr>
              <w:jc w:val="right"/>
              <w:rPr>
                <w:sz w:val="16"/>
              </w:rPr>
            </w:pPr>
            <w:r>
              <w:rPr>
                <w:sz w:val="16"/>
              </w:rPr>
              <w:t>42,5</w:t>
            </w:r>
          </w:p>
        </w:tc>
        <w:tc>
          <w:tcPr>
            <w:tcW w:w="768" w:type="dxa"/>
          </w:tcPr>
          <w:p w:rsidR="00000000" w:rsidRDefault="00000000">
            <w:pPr>
              <w:jc w:val="right"/>
              <w:rPr>
                <w:sz w:val="16"/>
              </w:rPr>
            </w:pPr>
            <w:r>
              <w:rPr>
                <w:sz w:val="16"/>
              </w:rPr>
              <w:t>10,3</w:t>
            </w:r>
          </w:p>
        </w:tc>
        <w:tc>
          <w:tcPr>
            <w:tcW w:w="768" w:type="dxa"/>
          </w:tcPr>
          <w:p w:rsidR="00000000" w:rsidRDefault="00000000">
            <w:pPr>
              <w:jc w:val="right"/>
              <w:rPr>
                <w:sz w:val="16"/>
              </w:rPr>
            </w:pPr>
            <w:r>
              <w:rPr>
                <w:sz w:val="16"/>
              </w:rPr>
              <w:t>55,5</w:t>
            </w:r>
          </w:p>
        </w:tc>
        <w:tc>
          <w:tcPr>
            <w:tcW w:w="768" w:type="dxa"/>
          </w:tcPr>
          <w:p w:rsidR="00000000" w:rsidRDefault="00000000">
            <w:pPr>
              <w:jc w:val="right"/>
              <w:rPr>
                <w:sz w:val="16"/>
              </w:rPr>
            </w:pPr>
            <w:r>
              <w:rPr>
                <w:sz w:val="16"/>
              </w:rPr>
              <w:t>34,2</w:t>
            </w:r>
          </w:p>
        </w:tc>
      </w:tr>
      <w:tr w:rsidR="00000000">
        <w:tblPrEx>
          <w:tblCellMar>
            <w:top w:w="0" w:type="dxa"/>
            <w:bottom w:w="0" w:type="dxa"/>
          </w:tblCellMar>
        </w:tblPrEx>
        <w:tc>
          <w:tcPr>
            <w:tcW w:w="1128" w:type="dxa"/>
          </w:tcPr>
          <w:p w:rsidR="00000000" w:rsidRDefault="00000000">
            <w:pPr>
              <w:rPr>
                <w:sz w:val="16"/>
              </w:rPr>
            </w:pPr>
            <w:r>
              <w:rPr>
                <w:sz w:val="16"/>
              </w:rPr>
              <w:t>Старшие классы средней школы</w:t>
            </w:r>
          </w:p>
        </w:tc>
        <w:tc>
          <w:tcPr>
            <w:tcW w:w="766" w:type="dxa"/>
          </w:tcPr>
          <w:p w:rsidR="00000000" w:rsidRDefault="00000000">
            <w:pPr>
              <w:jc w:val="right"/>
              <w:rPr>
                <w:sz w:val="16"/>
              </w:rPr>
            </w:pPr>
            <w:r>
              <w:rPr>
                <w:sz w:val="16"/>
              </w:rPr>
              <w:t>509</w:t>
            </w:r>
            <w:r>
              <w:rPr>
                <w:sz w:val="16"/>
                <w:lang w:val="en-US"/>
              </w:rPr>
              <w:t> </w:t>
            </w:r>
            <w:r>
              <w:rPr>
                <w:sz w:val="16"/>
              </w:rPr>
              <w:t>642</w:t>
            </w:r>
          </w:p>
        </w:tc>
        <w:tc>
          <w:tcPr>
            <w:tcW w:w="767" w:type="dxa"/>
          </w:tcPr>
          <w:p w:rsidR="00000000" w:rsidRDefault="00000000">
            <w:pPr>
              <w:jc w:val="right"/>
              <w:rPr>
                <w:sz w:val="16"/>
              </w:rPr>
            </w:pPr>
            <w:r>
              <w:rPr>
                <w:sz w:val="16"/>
              </w:rPr>
              <w:t>7,5</w:t>
            </w:r>
          </w:p>
        </w:tc>
        <w:tc>
          <w:tcPr>
            <w:tcW w:w="767" w:type="dxa"/>
          </w:tcPr>
          <w:p w:rsidR="00000000" w:rsidRDefault="00000000">
            <w:pPr>
              <w:jc w:val="right"/>
              <w:rPr>
                <w:sz w:val="16"/>
              </w:rPr>
            </w:pPr>
            <w:r>
              <w:rPr>
                <w:sz w:val="16"/>
              </w:rPr>
              <w:t>851</w:t>
            </w:r>
            <w:r>
              <w:rPr>
                <w:sz w:val="16"/>
                <w:lang w:val="en-US"/>
              </w:rPr>
              <w:t> </w:t>
            </w:r>
            <w:r>
              <w:rPr>
                <w:sz w:val="16"/>
              </w:rPr>
              <w:t>986</w:t>
            </w:r>
          </w:p>
        </w:tc>
        <w:tc>
          <w:tcPr>
            <w:tcW w:w="767" w:type="dxa"/>
          </w:tcPr>
          <w:p w:rsidR="00000000" w:rsidRDefault="00000000">
            <w:pPr>
              <w:jc w:val="right"/>
              <w:rPr>
                <w:sz w:val="16"/>
              </w:rPr>
            </w:pPr>
            <w:r>
              <w:rPr>
                <w:sz w:val="16"/>
              </w:rPr>
              <w:t>6,6</w:t>
            </w:r>
          </w:p>
        </w:tc>
        <w:tc>
          <w:tcPr>
            <w:tcW w:w="768" w:type="dxa"/>
          </w:tcPr>
          <w:p w:rsidR="00000000" w:rsidRDefault="00000000">
            <w:pPr>
              <w:jc w:val="right"/>
              <w:rPr>
                <w:sz w:val="16"/>
              </w:rPr>
            </w:pPr>
            <w:r>
              <w:rPr>
                <w:sz w:val="16"/>
              </w:rPr>
              <w:t>375</w:t>
            </w:r>
            <w:r>
              <w:rPr>
                <w:sz w:val="16"/>
                <w:lang w:val="en-US"/>
              </w:rPr>
              <w:t> </w:t>
            </w:r>
            <w:r>
              <w:rPr>
                <w:sz w:val="16"/>
              </w:rPr>
              <w:t>096</w:t>
            </w:r>
          </w:p>
        </w:tc>
        <w:tc>
          <w:tcPr>
            <w:tcW w:w="768" w:type="dxa"/>
          </w:tcPr>
          <w:p w:rsidR="00000000" w:rsidRDefault="00000000">
            <w:pPr>
              <w:jc w:val="right"/>
              <w:rPr>
                <w:sz w:val="16"/>
              </w:rPr>
            </w:pPr>
            <w:r>
              <w:rPr>
                <w:sz w:val="16"/>
              </w:rPr>
              <w:t>5,0</w:t>
            </w:r>
          </w:p>
        </w:tc>
        <w:tc>
          <w:tcPr>
            <w:tcW w:w="768" w:type="dxa"/>
          </w:tcPr>
          <w:p w:rsidR="00000000" w:rsidRDefault="00000000">
            <w:pPr>
              <w:jc w:val="right"/>
              <w:rPr>
                <w:sz w:val="16"/>
              </w:rPr>
            </w:pPr>
            <w:r>
              <w:rPr>
                <w:sz w:val="16"/>
              </w:rPr>
              <w:t>1</w:t>
            </w:r>
            <w:r>
              <w:rPr>
                <w:sz w:val="16"/>
                <w:lang w:val="en-US"/>
              </w:rPr>
              <w:t> </w:t>
            </w:r>
            <w:r>
              <w:rPr>
                <w:sz w:val="16"/>
              </w:rPr>
              <w:t>736</w:t>
            </w:r>
            <w:r>
              <w:rPr>
                <w:sz w:val="16"/>
                <w:lang w:val="en-US"/>
              </w:rPr>
              <w:t> </w:t>
            </w:r>
            <w:r>
              <w:rPr>
                <w:sz w:val="16"/>
              </w:rPr>
              <w:t>725</w:t>
            </w:r>
          </w:p>
        </w:tc>
        <w:tc>
          <w:tcPr>
            <w:tcW w:w="768" w:type="dxa"/>
          </w:tcPr>
          <w:p w:rsidR="00000000" w:rsidRDefault="00000000">
            <w:pPr>
              <w:jc w:val="right"/>
              <w:rPr>
                <w:sz w:val="16"/>
              </w:rPr>
            </w:pPr>
            <w:r>
              <w:rPr>
                <w:sz w:val="16"/>
              </w:rPr>
              <w:t>6,4</w:t>
            </w:r>
          </w:p>
        </w:tc>
        <w:tc>
          <w:tcPr>
            <w:tcW w:w="768" w:type="dxa"/>
          </w:tcPr>
          <w:p w:rsidR="00000000" w:rsidRDefault="00000000">
            <w:pPr>
              <w:jc w:val="right"/>
              <w:rPr>
                <w:sz w:val="16"/>
              </w:rPr>
            </w:pPr>
            <w:r>
              <w:rPr>
                <w:sz w:val="16"/>
              </w:rPr>
              <w:t>29,3</w:t>
            </w:r>
          </w:p>
        </w:tc>
        <w:tc>
          <w:tcPr>
            <w:tcW w:w="768" w:type="dxa"/>
          </w:tcPr>
          <w:p w:rsidR="00000000" w:rsidRDefault="00000000">
            <w:pPr>
              <w:jc w:val="right"/>
              <w:rPr>
                <w:sz w:val="16"/>
              </w:rPr>
            </w:pPr>
            <w:r>
              <w:rPr>
                <w:sz w:val="16"/>
              </w:rPr>
              <w:t>9,1</w:t>
            </w:r>
          </w:p>
        </w:tc>
        <w:tc>
          <w:tcPr>
            <w:tcW w:w="768" w:type="dxa"/>
          </w:tcPr>
          <w:p w:rsidR="00000000" w:rsidRDefault="00000000">
            <w:pPr>
              <w:jc w:val="right"/>
              <w:rPr>
                <w:sz w:val="16"/>
              </w:rPr>
            </w:pPr>
            <w:r>
              <w:rPr>
                <w:sz w:val="16"/>
              </w:rPr>
              <w:t>21,6</w:t>
            </w:r>
          </w:p>
        </w:tc>
      </w:tr>
      <w:tr w:rsidR="00000000">
        <w:tblPrEx>
          <w:tblCellMar>
            <w:top w:w="0" w:type="dxa"/>
            <w:bottom w:w="0" w:type="dxa"/>
          </w:tblCellMar>
        </w:tblPrEx>
        <w:tc>
          <w:tcPr>
            <w:tcW w:w="1128" w:type="dxa"/>
          </w:tcPr>
          <w:p w:rsidR="00000000" w:rsidRDefault="00000000">
            <w:pPr>
              <w:rPr>
                <w:sz w:val="16"/>
              </w:rPr>
            </w:pPr>
            <w:r>
              <w:rPr>
                <w:sz w:val="16"/>
              </w:rPr>
              <w:t>Высшее образование</w:t>
            </w:r>
          </w:p>
        </w:tc>
        <w:tc>
          <w:tcPr>
            <w:tcW w:w="766" w:type="dxa"/>
          </w:tcPr>
          <w:p w:rsidR="00000000" w:rsidRDefault="00000000">
            <w:pPr>
              <w:jc w:val="right"/>
              <w:rPr>
                <w:sz w:val="16"/>
              </w:rPr>
            </w:pPr>
            <w:r>
              <w:rPr>
                <w:sz w:val="16"/>
              </w:rPr>
              <w:t>4</w:t>
            </w:r>
            <w:r>
              <w:rPr>
                <w:sz w:val="16"/>
                <w:lang w:val="en-US"/>
              </w:rPr>
              <w:t> </w:t>
            </w:r>
            <w:r>
              <w:rPr>
                <w:sz w:val="16"/>
              </w:rPr>
              <w:t>069</w:t>
            </w:r>
            <w:r>
              <w:rPr>
                <w:sz w:val="16"/>
                <w:lang w:val="en-US"/>
              </w:rPr>
              <w:t> </w:t>
            </w:r>
            <w:r>
              <w:rPr>
                <w:sz w:val="16"/>
              </w:rPr>
              <w:t>318</w:t>
            </w:r>
          </w:p>
        </w:tc>
        <w:tc>
          <w:tcPr>
            <w:tcW w:w="767" w:type="dxa"/>
          </w:tcPr>
          <w:p w:rsidR="00000000" w:rsidRDefault="00000000">
            <w:pPr>
              <w:jc w:val="right"/>
              <w:rPr>
                <w:sz w:val="16"/>
              </w:rPr>
            </w:pPr>
            <w:r>
              <w:rPr>
                <w:sz w:val="16"/>
              </w:rPr>
              <w:t>60,0</w:t>
            </w:r>
          </w:p>
        </w:tc>
        <w:tc>
          <w:tcPr>
            <w:tcW w:w="767" w:type="dxa"/>
          </w:tcPr>
          <w:p w:rsidR="00000000" w:rsidRDefault="00000000">
            <w:pPr>
              <w:jc w:val="right"/>
              <w:rPr>
                <w:sz w:val="16"/>
              </w:rPr>
            </w:pPr>
            <w:r>
              <w:rPr>
                <w:sz w:val="16"/>
              </w:rPr>
              <w:t>957</w:t>
            </w:r>
            <w:r>
              <w:rPr>
                <w:sz w:val="16"/>
                <w:lang w:val="en-US"/>
              </w:rPr>
              <w:t> </w:t>
            </w:r>
            <w:r>
              <w:rPr>
                <w:sz w:val="16"/>
              </w:rPr>
              <w:t>728</w:t>
            </w:r>
          </w:p>
        </w:tc>
        <w:tc>
          <w:tcPr>
            <w:tcW w:w="767" w:type="dxa"/>
          </w:tcPr>
          <w:p w:rsidR="00000000" w:rsidRDefault="00000000">
            <w:pPr>
              <w:jc w:val="right"/>
              <w:rPr>
                <w:sz w:val="16"/>
              </w:rPr>
            </w:pPr>
            <w:r>
              <w:rPr>
                <w:sz w:val="16"/>
              </w:rPr>
              <w:t>7,4</w:t>
            </w:r>
          </w:p>
        </w:tc>
        <w:tc>
          <w:tcPr>
            <w:tcW w:w="768" w:type="dxa"/>
          </w:tcPr>
          <w:p w:rsidR="00000000" w:rsidRDefault="00000000">
            <w:pPr>
              <w:jc w:val="right"/>
              <w:rPr>
                <w:sz w:val="16"/>
              </w:rPr>
            </w:pPr>
            <w:r>
              <w:rPr>
                <w:sz w:val="16"/>
              </w:rPr>
              <w:t>101</w:t>
            </w:r>
            <w:r>
              <w:rPr>
                <w:sz w:val="16"/>
                <w:lang w:val="en-US"/>
              </w:rPr>
              <w:t> </w:t>
            </w:r>
            <w:r>
              <w:rPr>
                <w:sz w:val="16"/>
              </w:rPr>
              <w:t>527</w:t>
            </w:r>
          </w:p>
        </w:tc>
        <w:tc>
          <w:tcPr>
            <w:tcW w:w="768" w:type="dxa"/>
          </w:tcPr>
          <w:p w:rsidR="00000000" w:rsidRDefault="00000000">
            <w:pPr>
              <w:jc w:val="right"/>
              <w:rPr>
                <w:sz w:val="16"/>
              </w:rPr>
            </w:pPr>
            <w:r>
              <w:rPr>
                <w:sz w:val="16"/>
              </w:rPr>
              <w:t>1,4</w:t>
            </w:r>
          </w:p>
        </w:tc>
        <w:tc>
          <w:tcPr>
            <w:tcW w:w="768" w:type="dxa"/>
          </w:tcPr>
          <w:p w:rsidR="00000000" w:rsidRDefault="00000000">
            <w:pPr>
              <w:jc w:val="right"/>
              <w:rPr>
                <w:sz w:val="16"/>
              </w:rPr>
            </w:pPr>
            <w:r>
              <w:rPr>
                <w:sz w:val="16"/>
              </w:rPr>
              <w:t>5</w:t>
            </w:r>
            <w:r>
              <w:rPr>
                <w:sz w:val="16"/>
                <w:lang w:val="en-US"/>
              </w:rPr>
              <w:t> </w:t>
            </w:r>
            <w:r>
              <w:rPr>
                <w:sz w:val="16"/>
              </w:rPr>
              <w:t>128</w:t>
            </w:r>
            <w:r>
              <w:rPr>
                <w:sz w:val="16"/>
                <w:lang w:val="en-US"/>
              </w:rPr>
              <w:t> </w:t>
            </w:r>
            <w:r>
              <w:rPr>
                <w:sz w:val="16"/>
              </w:rPr>
              <w:t>573</w:t>
            </w:r>
          </w:p>
        </w:tc>
        <w:tc>
          <w:tcPr>
            <w:tcW w:w="768" w:type="dxa"/>
          </w:tcPr>
          <w:p w:rsidR="00000000" w:rsidRDefault="00000000">
            <w:pPr>
              <w:jc w:val="right"/>
              <w:rPr>
                <w:sz w:val="16"/>
              </w:rPr>
            </w:pPr>
            <w:r>
              <w:rPr>
                <w:sz w:val="16"/>
              </w:rPr>
              <w:t>18,9</w:t>
            </w:r>
          </w:p>
        </w:tc>
        <w:tc>
          <w:tcPr>
            <w:tcW w:w="768" w:type="dxa"/>
          </w:tcPr>
          <w:p w:rsidR="00000000" w:rsidRDefault="00000000">
            <w:pPr>
              <w:jc w:val="right"/>
              <w:rPr>
                <w:sz w:val="16"/>
              </w:rPr>
            </w:pPr>
            <w:r>
              <w:rPr>
                <w:sz w:val="16"/>
              </w:rPr>
              <w:t>79,3</w:t>
            </w:r>
          </w:p>
        </w:tc>
        <w:tc>
          <w:tcPr>
            <w:tcW w:w="768" w:type="dxa"/>
          </w:tcPr>
          <w:p w:rsidR="00000000" w:rsidRDefault="00000000">
            <w:pPr>
              <w:jc w:val="right"/>
              <w:rPr>
                <w:sz w:val="16"/>
              </w:rPr>
            </w:pPr>
            <w:r>
              <w:rPr>
                <w:sz w:val="16"/>
              </w:rPr>
              <w:t>18,7</w:t>
            </w:r>
          </w:p>
        </w:tc>
        <w:tc>
          <w:tcPr>
            <w:tcW w:w="768" w:type="dxa"/>
          </w:tcPr>
          <w:p w:rsidR="00000000" w:rsidRDefault="00000000">
            <w:pPr>
              <w:jc w:val="right"/>
              <w:rPr>
                <w:sz w:val="16"/>
              </w:rPr>
            </w:pPr>
            <w:r>
              <w:rPr>
                <w:sz w:val="16"/>
              </w:rPr>
              <w:t>2,0</w:t>
            </w:r>
          </w:p>
        </w:tc>
      </w:tr>
      <w:tr w:rsidR="00000000">
        <w:tblPrEx>
          <w:tblCellMar>
            <w:top w:w="0" w:type="dxa"/>
            <w:bottom w:w="0" w:type="dxa"/>
          </w:tblCellMar>
        </w:tblPrEx>
        <w:tc>
          <w:tcPr>
            <w:tcW w:w="1128" w:type="dxa"/>
          </w:tcPr>
          <w:p w:rsidR="00000000" w:rsidRDefault="00000000">
            <w:pPr>
              <w:rPr>
                <w:sz w:val="16"/>
              </w:rPr>
            </w:pPr>
            <w:r>
              <w:rPr>
                <w:sz w:val="16"/>
              </w:rPr>
              <w:t>Специальные курсы для молодых людей и взрослых</w:t>
            </w:r>
          </w:p>
        </w:tc>
        <w:tc>
          <w:tcPr>
            <w:tcW w:w="766" w:type="dxa"/>
          </w:tcPr>
          <w:p w:rsidR="00000000" w:rsidRDefault="00000000">
            <w:pPr>
              <w:jc w:val="right"/>
              <w:rPr>
                <w:sz w:val="16"/>
              </w:rPr>
            </w:pPr>
            <w:r>
              <w:rPr>
                <w:sz w:val="16"/>
              </w:rPr>
              <w:t>11</w:t>
            </w:r>
            <w:r>
              <w:rPr>
                <w:sz w:val="16"/>
                <w:lang w:val="en-US"/>
              </w:rPr>
              <w:t> </w:t>
            </w:r>
            <w:r>
              <w:rPr>
                <w:sz w:val="16"/>
              </w:rPr>
              <w:t>140</w:t>
            </w:r>
          </w:p>
        </w:tc>
        <w:tc>
          <w:tcPr>
            <w:tcW w:w="767" w:type="dxa"/>
          </w:tcPr>
          <w:p w:rsidR="00000000" w:rsidRDefault="00000000">
            <w:pPr>
              <w:jc w:val="right"/>
              <w:rPr>
                <w:sz w:val="16"/>
              </w:rPr>
            </w:pPr>
            <w:r>
              <w:rPr>
                <w:sz w:val="16"/>
              </w:rPr>
              <w:t>0,2</w:t>
            </w:r>
          </w:p>
        </w:tc>
        <w:tc>
          <w:tcPr>
            <w:tcW w:w="767" w:type="dxa"/>
          </w:tcPr>
          <w:p w:rsidR="00000000" w:rsidRDefault="00000000">
            <w:pPr>
              <w:jc w:val="right"/>
              <w:rPr>
                <w:sz w:val="16"/>
              </w:rPr>
            </w:pPr>
            <w:r>
              <w:rPr>
                <w:sz w:val="16"/>
              </w:rPr>
              <w:t>59</w:t>
            </w:r>
            <w:r>
              <w:rPr>
                <w:sz w:val="16"/>
                <w:lang w:val="en-US"/>
              </w:rPr>
              <w:t> </w:t>
            </w:r>
            <w:r>
              <w:rPr>
                <w:sz w:val="16"/>
              </w:rPr>
              <w:t>599</w:t>
            </w:r>
          </w:p>
        </w:tc>
        <w:tc>
          <w:tcPr>
            <w:tcW w:w="767" w:type="dxa"/>
          </w:tcPr>
          <w:p w:rsidR="00000000" w:rsidRDefault="00000000">
            <w:pPr>
              <w:jc w:val="right"/>
              <w:rPr>
                <w:sz w:val="16"/>
              </w:rPr>
            </w:pPr>
            <w:r>
              <w:rPr>
                <w:sz w:val="16"/>
              </w:rPr>
              <w:t>0,5</w:t>
            </w:r>
          </w:p>
        </w:tc>
        <w:tc>
          <w:tcPr>
            <w:tcW w:w="768" w:type="dxa"/>
          </w:tcPr>
          <w:p w:rsidR="00000000" w:rsidRDefault="00000000">
            <w:pPr>
              <w:jc w:val="right"/>
              <w:rPr>
                <w:sz w:val="16"/>
              </w:rPr>
            </w:pPr>
            <w:r>
              <w:rPr>
                <w:sz w:val="16"/>
              </w:rPr>
              <w:t>22</w:t>
            </w:r>
            <w:r>
              <w:rPr>
                <w:sz w:val="16"/>
                <w:lang w:val="en-US"/>
              </w:rPr>
              <w:t> </w:t>
            </w:r>
            <w:r>
              <w:rPr>
                <w:sz w:val="16"/>
              </w:rPr>
              <w:t>977</w:t>
            </w:r>
          </w:p>
        </w:tc>
        <w:tc>
          <w:tcPr>
            <w:tcW w:w="768" w:type="dxa"/>
          </w:tcPr>
          <w:p w:rsidR="00000000" w:rsidRDefault="00000000">
            <w:pPr>
              <w:jc w:val="right"/>
              <w:rPr>
                <w:sz w:val="16"/>
              </w:rPr>
            </w:pPr>
            <w:r>
              <w:rPr>
                <w:sz w:val="16"/>
              </w:rPr>
              <w:t>0,3</w:t>
            </w:r>
          </w:p>
        </w:tc>
        <w:tc>
          <w:tcPr>
            <w:tcW w:w="768" w:type="dxa"/>
          </w:tcPr>
          <w:p w:rsidR="00000000" w:rsidRDefault="00000000">
            <w:pPr>
              <w:jc w:val="right"/>
              <w:rPr>
                <w:sz w:val="16"/>
              </w:rPr>
            </w:pPr>
            <w:r>
              <w:rPr>
                <w:sz w:val="16"/>
              </w:rPr>
              <w:t>93</w:t>
            </w:r>
            <w:r>
              <w:rPr>
                <w:sz w:val="16"/>
                <w:lang w:val="en-US"/>
              </w:rPr>
              <w:t> </w:t>
            </w:r>
            <w:r>
              <w:rPr>
                <w:sz w:val="16"/>
              </w:rPr>
              <w:t>716</w:t>
            </w:r>
          </w:p>
        </w:tc>
        <w:tc>
          <w:tcPr>
            <w:tcW w:w="768" w:type="dxa"/>
          </w:tcPr>
          <w:p w:rsidR="00000000" w:rsidRDefault="00000000">
            <w:pPr>
              <w:jc w:val="right"/>
              <w:rPr>
                <w:sz w:val="16"/>
              </w:rPr>
            </w:pPr>
            <w:r>
              <w:rPr>
                <w:sz w:val="16"/>
              </w:rPr>
              <w:t>0,3</w:t>
            </w:r>
          </w:p>
        </w:tc>
        <w:tc>
          <w:tcPr>
            <w:tcW w:w="768" w:type="dxa"/>
          </w:tcPr>
          <w:p w:rsidR="00000000" w:rsidRDefault="00000000">
            <w:pPr>
              <w:jc w:val="right"/>
              <w:rPr>
                <w:sz w:val="16"/>
              </w:rPr>
            </w:pPr>
            <w:r>
              <w:rPr>
                <w:sz w:val="16"/>
              </w:rPr>
              <w:t>11,9</w:t>
            </w:r>
          </w:p>
        </w:tc>
        <w:tc>
          <w:tcPr>
            <w:tcW w:w="768" w:type="dxa"/>
          </w:tcPr>
          <w:p w:rsidR="00000000" w:rsidRDefault="00000000">
            <w:pPr>
              <w:jc w:val="right"/>
              <w:rPr>
                <w:sz w:val="16"/>
              </w:rPr>
            </w:pPr>
            <w:r>
              <w:rPr>
                <w:sz w:val="16"/>
              </w:rPr>
              <w:t>63,6</w:t>
            </w:r>
          </w:p>
        </w:tc>
        <w:tc>
          <w:tcPr>
            <w:tcW w:w="768" w:type="dxa"/>
          </w:tcPr>
          <w:p w:rsidR="00000000" w:rsidRDefault="00000000">
            <w:pPr>
              <w:jc w:val="right"/>
              <w:rPr>
                <w:sz w:val="16"/>
              </w:rPr>
            </w:pPr>
            <w:r>
              <w:rPr>
                <w:sz w:val="16"/>
              </w:rPr>
              <w:t>24,5</w:t>
            </w:r>
          </w:p>
        </w:tc>
      </w:tr>
      <w:tr w:rsidR="00000000">
        <w:tblPrEx>
          <w:tblCellMar>
            <w:top w:w="0" w:type="dxa"/>
            <w:bottom w:w="0" w:type="dxa"/>
          </w:tblCellMar>
        </w:tblPrEx>
        <w:tc>
          <w:tcPr>
            <w:tcW w:w="1128" w:type="dxa"/>
          </w:tcPr>
          <w:p w:rsidR="00000000" w:rsidRDefault="00000000">
            <w:pPr>
              <w:rPr>
                <w:sz w:val="16"/>
              </w:rPr>
            </w:pPr>
            <w:r>
              <w:rPr>
                <w:sz w:val="16"/>
              </w:rPr>
              <w:t>Физическая подготовка и спорт</w:t>
            </w:r>
          </w:p>
        </w:tc>
        <w:tc>
          <w:tcPr>
            <w:tcW w:w="766" w:type="dxa"/>
          </w:tcPr>
          <w:p w:rsidR="00000000" w:rsidRDefault="00000000">
            <w:pPr>
              <w:jc w:val="right"/>
              <w:rPr>
                <w:sz w:val="16"/>
              </w:rPr>
            </w:pPr>
            <w:r>
              <w:rPr>
                <w:sz w:val="16"/>
              </w:rPr>
              <w:t>58</w:t>
            </w:r>
            <w:r>
              <w:rPr>
                <w:sz w:val="16"/>
                <w:lang w:val="en-US"/>
              </w:rPr>
              <w:t> </w:t>
            </w:r>
            <w:r>
              <w:rPr>
                <w:sz w:val="16"/>
              </w:rPr>
              <w:t>020</w:t>
            </w:r>
          </w:p>
        </w:tc>
        <w:tc>
          <w:tcPr>
            <w:tcW w:w="767" w:type="dxa"/>
          </w:tcPr>
          <w:p w:rsidR="00000000" w:rsidRDefault="00000000">
            <w:pPr>
              <w:jc w:val="right"/>
              <w:rPr>
                <w:sz w:val="16"/>
              </w:rPr>
            </w:pPr>
            <w:r>
              <w:rPr>
                <w:sz w:val="16"/>
              </w:rPr>
              <w:t>0,9</w:t>
            </w:r>
          </w:p>
        </w:tc>
        <w:tc>
          <w:tcPr>
            <w:tcW w:w="767" w:type="dxa"/>
          </w:tcPr>
          <w:p w:rsidR="00000000" w:rsidRDefault="00000000">
            <w:pPr>
              <w:jc w:val="right"/>
              <w:rPr>
                <w:sz w:val="16"/>
              </w:rPr>
            </w:pPr>
            <w:r>
              <w:rPr>
                <w:sz w:val="16"/>
              </w:rPr>
              <w:t>106</w:t>
            </w:r>
            <w:r>
              <w:rPr>
                <w:sz w:val="16"/>
                <w:lang w:val="en-US"/>
              </w:rPr>
              <w:t> </w:t>
            </w:r>
            <w:r>
              <w:rPr>
                <w:sz w:val="16"/>
              </w:rPr>
              <w:t>216</w:t>
            </w:r>
          </w:p>
        </w:tc>
        <w:tc>
          <w:tcPr>
            <w:tcW w:w="767" w:type="dxa"/>
          </w:tcPr>
          <w:p w:rsidR="00000000" w:rsidRDefault="00000000">
            <w:pPr>
              <w:jc w:val="right"/>
              <w:rPr>
                <w:sz w:val="16"/>
              </w:rPr>
            </w:pPr>
            <w:r>
              <w:rPr>
                <w:sz w:val="16"/>
              </w:rPr>
              <w:t>0,8</w:t>
            </w:r>
          </w:p>
        </w:tc>
        <w:tc>
          <w:tcPr>
            <w:tcW w:w="768" w:type="dxa"/>
          </w:tcPr>
          <w:p w:rsidR="00000000" w:rsidRDefault="00000000">
            <w:pPr>
              <w:jc w:val="right"/>
              <w:rPr>
                <w:sz w:val="16"/>
              </w:rPr>
            </w:pPr>
            <w:r>
              <w:rPr>
                <w:sz w:val="16"/>
              </w:rPr>
              <w:t>395,787</w:t>
            </w:r>
          </w:p>
        </w:tc>
        <w:tc>
          <w:tcPr>
            <w:tcW w:w="768" w:type="dxa"/>
          </w:tcPr>
          <w:p w:rsidR="00000000" w:rsidRDefault="00000000">
            <w:pPr>
              <w:jc w:val="right"/>
              <w:rPr>
                <w:sz w:val="16"/>
              </w:rPr>
            </w:pPr>
            <w:r>
              <w:rPr>
                <w:sz w:val="16"/>
              </w:rPr>
              <w:t>5,3</w:t>
            </w:r>
          </w:p>
        </w:tc>
        <w:tc>
          <w:tcPr>
            <w:tcW w:w="768" w:type="dxa"/>
          </w:tcPr>
          <w:p w:rsidR="00000000" w:rsidRDefault="00000000">
            <w:pPr>
              <w:jc w:val="right"/>
              <w:rPr>
                <w:sz w:val="16"/>
              </w:rPr>
            </w:pPr>
            <w:r>
              <w:rPr>
                <w:sz w:val="16"/>
              </w:rPr>
              <w:t>560</w:t>
            </w:r>
            <w:r>
              <w:rPr>
                <w:sz w:val="16"/>
                <w:lang w:val="en-US"/>
              </w:rPr>
              <w:t> </w:t>
            </w:r>
            <w:r>
              <w:rPr>
                <w:sz w:val="16"/>
              </w:rPr>
              <w:t>023</w:t>
            </w:r>
          </w:p>
        </w:tc>
        <w:tc>
          <w:tcPr>
            <w:tcW w:w="768" w:type="dxa"/>
          </w:tcPr>
          <w:p w:rsidR="00000000" w:rsidRDefault="00000000">
            <w:pPr>
              <w:jc w:val="right"/>
              <w:rPr>
                <w:sz w:val="16"/>
              </w:rPr>
            </w:pPr>
            <w:r>
              <w:rPr>
                <w:sz w:val="16"/>
              </w:rPr>
              <w:t>2,1</w:t>
            </w:r>
          </w:p>
        </w:tc>
        <w:tc>
          <w:tcPr>
            <w:tcW w:w="768" w:type="dxa"/>
          </w:tcPr>
          <w:p w:rsidR="00000000" w:rsidRDefault="00000000">
            <w:pPr>
              <w:jc w:val="right"/>
              <w:rPr>
                <w:sz w:val="16"/>
              </w:rPr>
            </w:pPr>
            <w:r>
              <w:rPr>
                <w:sz w:val="16"/>
              </w:rPr>
              <w:t>10,4</w:t>
            </w:r>
          </w:p>
        </w:tc>
        <w:tc>
          <w:tcPr>
            <w:tcW w:w="768" w:type="dxa"/>
          </w:tcPr>
          <w:p w:rsidR="00000000" w:rsidRDefault="00000000">
            <w:pPr>
              <w:jc w:val="right"/>
              <w:rPr>
                <w:sz w:val="16"/>
              </w:rPr>
            </w:pPr>
            <w:r>
              <w:rPr>
                <w:sz w:val="16"/>
              </w:rPr>
              <w:t>19,0</w:t>
            </w:r>
          </w:p>
        </w:tc>
        <w:tc>
          <w:tcPr>
            <w:tcW w:w="768" w:type="dxa"/>
          </w:tcPr>
          <w:p w:rsidR="00000000" w:rsidRDefault="00000000">
            <w:pPr>
              <w:jc w:val="right"/>
              <w:rPr>
                <w:sz w:val="16"/>
              </w:rPr>
            </w:pPr>
            <w:r>
              <w:rPr>
                <w:sz w:val="16"/>
              </w:rPr>
              <w:t>70,7</w:t>
            </w:r>
          </w:p>
        </w:tc>
      </w:tr>
      <w:tr w:rsidR="00000000">
        <w:tblPrEx>
          <w:tblCellMar>
            <w:top w:w="0" w:type="dxa"/>
            <w:bottom w:w="0" w:type="dxa"/>
          </w:tblCellMar>
        </w:tblPrEx>
        <w:tc>
          <w:tcPr>
            <w:tcW w:w="1128" w:type="dxa"/>
          </w:tcPr>
          <w:p w:rsidR="00000000" w:rsidRDefault="00000000">
            <w:pPr>
              <w:rPr>
                <w:sz w:val="16"/>
              </w:rPr>
            </w:pPr>
            <w:r>
              <w:rPr>
                <w:sz w:val="16"/>
              </w:rPr>
              <w:t>Специальное обучение</w:t>
            </w:r>
          </w:p>
        </w:tc>
        <w:tc>
          <w:tcPr>
            <w:tcW w:w="766" w:type="dxa"/>
          </w:tcPr>
          <w:p w:rsidR="00000000" w:rsidRDefault="00000000">
            <w:pPr>
              <w:jc w:val="right"/>
              <w:rPr>
                <w:sz w:val="16"/>
              </w:rPr>
            </w:pPr>
            <w:r>
              <w:rPr>
                <w:sz w:val="16"/>
              </w:rPr>
              <w:t>20</w:t>
            </w:r>
            <w:r>
              <w:rPr>
                <w:sz w:val="16"/>
                <w:lang w:val="en-US"/>
              </w:rPr>
              <w:t> </w:t>
            </w:r>
            <w:r>
              <w:rPr>
                <w:sz w:val="16"/>
              </w:rPr>
              <w:t>952</w:t>
            </w:r>
          </w:p>
        </w:tc>
        <w:tc>
          <w:tcPr>
            <w:tcW w:w="767" w:type="dxa"/>
          </w:tcPr>
          <w:p w:rsidR="00000000" w:rsidRDefault="00000000">
            <w:pPr>
              <w:jc w:val="right"/>
              <w:rPr>
                <w:sz w:val="16"/>
              </w:rPr>
            </w:pPr>
            <w:r>
              <w:rPr>
                <w:sz w:val="16"/>
              </w:rPr>
              <w:t>0,3</w:t>
            </w:r>
          </w:p>
        </w:tc>
        <w:tc>
          <w:tcPr>
            <w:tcW w:w="767" w:type="dxa"/>
          </w:tcPr>
          <w:p w:rsidR="00000000" w:rsidRDefault="00000000">
            <w:pPr>
              <w:jc w:val="right"/>
              <w:rPr>
                <w:sz w:val="16"/>
              </w:rPr>
            </w:pPr>
            <w:r>
              <w:rPr>
                <w:sz w:val="16"/>
              </w:rPr>
              <w:t>69</w:t>
            </w:r>
            <w:r>
              <w:rPr>
                <w:sz w:val="16"/>
                <w:lang w:val="en-US"/>
              </w:rPr>
              <w:t> </w:t>
            </w:r>
            <w:r>
              <w:rPr>
                <w:sz w:val="16"/>
              </w:rPr>
              <w:t>124</w:t>
            </w:r>
          </w:p>
        </w:tc>
        <w:tc>
          <w:tcPr>
            <w:tcW w:w="767" w:type="dxa"/>
          </w:tcPr>
          <w:p w:rsidR="00000000" w:rsidRDefault="00000000">
            <w:pPr>
              <w:jc w:val="right"/>
              <w:rPr>
                <w:sz w:val="16"/>
              </w:rPr>
            </w:pPr>
            <w:r>
              <w:rPr>
                <w:sz w:val="16"/>
              </w:rPr>
              <w:t>0,5</w:t>
            </w:r>
          </w:p>
        </w:tc>
        <w:tc>
          <w:tcPr>
            <w:tcW w:w="768" w:type="dxa"/>
          </w:tcPr>
          <w:p w:rsidR="00000000" w:rsidRDefault="00000000">
            <w:pPr>
              <w:jc w:val="right"/>
              <w:rPr>
                <w:sz w:val="16"/>
              </w:rPr>
            </w:pPr>
            <w:r>
              <w:rPr>
                <w:sz w:val="16"/>
              </w:rPr>
              <w:t>56</w:t>
            </w:r>
            <w:r>
              <w:rPr>
                <w:sz w:val="16"/>
                <w:lang w:val="en-US"/>
              </w:rPr>
              <w:t> </w:t>
            </w:r>
            <w:r>
              <w:rPr>
                <w:sz w:val="16"/>
              </w:rPr>
              <w:t>753</w:t>
            </w:r>
          </w:p>
        </w:tc>
        <w:tc>
          <w:tcPr>
            <w:tcW w:w="768" w:type="dxa"/>
          </w:tcPr>
          <w:p w:rsidR="00000000" w:rsidRDefault="00000000">
            <w:pPr>
              <w:jc w:val="right"/>
              <w:rPr>
                <w:sz w:val="16"/>
              </w:rPr>
            </w:pPr>
            <w:r>
              <w:rPr>
                <w:sz w:val="16"/>
              </w:rPr>
              <w:t>0,8</w:t>
            </w:r>
          </w:p>
        </w:tc>
        <w:tc>
          <w:tcPr>
            <w:tcW w:w="768" w:type="dxa"/>
          </w:tcPr>
          <w:p w:rsidR="00000000" w:rsidRDefault="00000000">
            <w:pPr>
              <w:jc w:val="right"/>
              <w:rPr>
                <w:sz w:val="16"/>
              </w:rPr>
            </w:pPr>
            <w:r>
              <w:rPr>
                <w:sz w:val="16"/>
              </w:rPr>
              <w:t>146</w:t>
            </w:r>
            <w:r>
              <w:rPr>
                <w:sz w:val="16"/>
                <w:lang w:val="en-US"/>
              </w:rPr>
              <w:t> </w:t>
            </w:r>
            <w:r>
              <w:rPr>
                <w:sz w:val="16"/>
              </w:rPr>
              <w:t>829</w:t>
            </w:r>
          </w:p>
        </w:tc>
        <w:tc>
          <w:tcPr>
            <w:tcW w:w="768" w:type="dxa"/>
          </w:tcPr>
          <w:p w:rsidR="00000000" w:rsidRDefault="00000000">
            <w:pPr>
              <w:jc w:val="right"/>
              <w:rPr>
                <w:sz w:val="16"/>
              </w:rPr>
            </w:pPr>
            <w:r>
              <w:rPr>
                <w:sz w:val="16"/>
              </w:rPr>
              <w:t>0,5</w:t>
            </w:r>
          </w:p>
        </w:tc>
        <w:tc>
          <w:tcPr>
            <w:tcW w:w="768" w:type="dxa"/>
          </w:tcPr>
          <w:p w:rsidR="00000000" w:rsidRDefault="00000000">
            <w:pPr>
              <w:jc w:val="right"/>
              <w:rPr>
                <w:sz w:val="16"/>
              </w:rPr>
            </w:pPr>
            <w:r>
              <w:rPr>
                <w:sz w:val="16"/>
              </w:rPr>
              <w:t>14,3</w:t>
            </w:r>
          </w:p>
        </w:tc>
        <w:tc>
          <w:tcPr>
            <w:tcW w:w="768" w:type="dxa"/>
          </w:tcPr>
          <w:p w:rsidR="00000000" w:rsidRDefault="00000000">
            <w:pPr>
              <w:jc w:val="right"/>
              <w:rPr>
                <w:sz w:val="16"/>
              </w:rPr>
            </w:pPr>
            <w:r>
              <w:rPr>
                <w:sz w:val="16"/>
              </w:rPr>
              <w:t>47,1</w:t>
            </w:r>
          </w:p>
        </w:tc>
        <w:tc>
          <w:tcPr>
            <w:tcW w:w="768" w:type="dxa"/>
          </w:tcPr>
          <w:p w:rsidR="00000000" w:rsidRDefault="00000000">
            <w:pPr>
              <w:jc w:val="right"/>
              <w:rPr>
                <w:sz w:val="16"/>
              </w:rPr>
            </w:pPr>
            <w:r>
              <w:rPr>
                <w:sz w:val="16"/>
              </w:rPr>
              <w:t>38,7</w:t>
            </w:r>
          </w:p>
        </w:tc>
      </w:tr>
      <w:tr w:rsidR="00000000">
        <w:tblPrEx>
          <w:tblCellMar>
            <w:top w:w="0" w:type="dxa"/>
            <w:bottom w:w="0" w:type="dxa"/>
          </w:tblCellMar>
        </w:tblPrEx>
        <w:tc>
          <w:tcPr>
            <w:tcW w:w="1128" w:type="dxa"/>
          </w:tcPr>
          <w:p w:rsidR="00000000" w:rsidRDefault="00000000">
            <w:pPr>
              <w:rPr>
                <w:sz w:val="16"/>
              </w:rPr>
            </w:pPr>
            <w:r>
              <w:rPr>
                <w:sz w:val="16"/>
              </w:rPr>
              <w:t>Помощь учащимся и студентам</w:t>
            </w:r>
          </w:p>
        </w:tc>
        <w:tc>
          <w:tcPr>
            <w:tcW w:w="766" w:type="dxa"/>
          </w:tcPr>
          <w:p w:rsidR="00000000" w:rsidRDefault="00000000">
            <w:pPr>
              <w:jc w:val="right"/>
              <w:rPr>
                <w:sz w:val="16"/>
              </w:rPr>
            </w:pPr>
            <w:r>
              <w:rPr>
                <w:sz w:val="16"/>
              </w:rPr>
              <w:t>199</w:t>
            </w:r>
            <w:r>
              <w:rPr>
                <w:sz w:val="16"/>
                <w:lang w:val="en-US"/>
              </w:rPr>
              <w:t> </w:t>
            </w:r>
            <w:r>
              <w:rPr>
                <w:sz w:val="16"/>
              </w:rPr>
              <w:t>873</w:t>
            </w:r>
          </w:p>
        </w:tc>
        <w:tc>
          <w:tcPr>
            <w:tcW w:w="767" w:type="dxa"/>
          </w:tcPr>
          <w:p w:rsidR="00000000" w:rsidRDefault="00000000">
            <w:pPr>
              <w:jc w:val="right"/>
              <w:rPr>
                <w:sz w:val="16"/>
              </w:rPr>
            </w:pPr>
            <w:r>
              <w:rPr>
                <w:sz w:val="16"/>
              </w:rPr>
              <w:t>2,9</w:t>
            </w:r>
          </w:p>
        </w:tc>
        <w:tc>
          <w:tcPr>
            <w:tcW w:w="767" w:type="dxa"/>
          </w:tcPr>
          <w:p w:rsidR="00000000" w:rsidRDefault="00000000">
            <w:pPr>
              <w:jc w:val="right"/>
              <w:rPr>
                <w:sz w:val="16"/>
              </w:rPr>
            </w:pPr>
            <w:r>
              <w:rPr>
                <w:sz w:val="16"/>
              </w:rPr>
              <w:t>250</w:t>
            </w:r>
            <w:r>
              <w:rPr>
                <w:sz w:val="16"/>
                <w:lang w:val="en-US"/>
              </w:rPr>
              <w:t> </w:t>
            </w:r>
            <w:r>
              <w:rPr>
                <w:sz w:val="16"/>
              </w:rPr>
              <w:t>794</w:t>
            </w:r>
          </w:p>
        </w:tc>
        <w:tc>
          <w:tcPr>
            <w:tcW w:w="767" w:type="dxa"/>
          </w:tcPr>
          <w:p w:rsidR="00000000" w:rsidRDefault="00000000">
            <w:pPr>
              <w:jc w:val="right"/>
              <w:rPr>
                <w:sz w:val="16"/>
              </w:rPr>
            </w:pPr>
            <w:r>
              <w:rPr>
                <w:sz w:val="16"/>
              </w:rPr>
              <w:t>1,9</w:t>
            </w:r>
          </w:p>
        </w:tc>
        <w:tc>
          <w:tcPr>
            <w:tcW w:w="768" w:type="dxa"/>
          </w:tcPr>
          <w:p w:rsidR="00000000" w:rsidRDefault="00000000">
            <w:pPr>
              <w:jc w:val="right"/>
              <w:rPr>
                <w:sz w:val="16"/>
              </w:rPr>
            </w:pPr>
            <w:r>
              <w:rPr>
                <w:sz w:val="16"/>
              </w:rPr>
              <w:t>188</w:t>
            </w:r>
            <w:r>
              <w:rPr>
                <w:sz w:val="16"/>
                <w:lang w:val="en-US"/>
              </w:rPr>
              <w:t> </w:t>
            </w:r>
            <w:r>
              <w:rPr>
                <w:sz w:val="16"/>
              </w:rPr>
              <w:t>086</w:t>
            </w:r>
          </w:p>
        </w:tc>
        <w:tc>
          <w:tcPr>
            <w:tcW w:w="768" w:type="dxa"/>
          </w:tcPr>
          <w:p w:rsidR="00000000" w:rsidRDefault="00000000">
            <w:pPr>
              <w:jc w:val="right"/>
              <w:rPr>
                <w:sz w:val="16"/>
              </w:rPr>
            </w:pPr>
            <w:r>
              <w:rPr>
                <w:sz w:val="16"/>
              </w:rPr>
              <w:t>2,5</w:t>
            </w:r>
          </w:p>
        </w:tc>
        <w:tc>
          <w:tcPr>
            <w:tcW w:w="768" w:type="dxa"/>
          </w:tcPr>
          <w:p w:rsidR="00000000" w:rsidRDefault="00000000">
            <w:pPr>
              <w:jc w:val="right"/>
              <w:rPr>
                <w:sz w:val="16"/>
              </w:rPr>
            </w:pPr>
            <w:r>
              <w:rPr>
                <w:sz w:val="16"/>
              </w:rPr>
              <w:t>638</w:t>
            </w:r>
            <w:r>
              <w:rPr>
                <w:sz w:val="16"/>
                <w:lang w:val="en-US"/>
              </w:rPr>
              <w:t> </w:t>
            </w:r>
            <w:r>
              <w:rPr>
                <w:sz w:val="16"/>
              </w:rPr>
              <w:t>753</w:t>
            </w:r>
          </w:p>
        </w:tc>
        <w:tc>
          <w:tcPr>
            <w:tcW w:w="768" w:type="dxa"/>
          </w:tcPr>
          <w:p w:rsidR="00000000" w:rsidRDefault="00000000">
            <w:pPr>
              <w:jc w:val="right"/>
              <w:rPr>
                <w:sz w:val="16"/>
              </w:rPr>
            </w:pPr>
            <w:r>
              <w:rPr>
                <w:sz w:val="16"/>
              </w:rPr>
              <w:t>2,3</w:t>
            </w:r>
          </w:p>
        </w:tc>
        <w:tc>
          <w:tcPr>
            <w:tcW w:w="768" w:type="dxa"/>
          </w:tcPr>
          <w:p w:rsidR="00000000" w:rsidRDefault="00000000">
            <w:pPr>
              <w:jc w:val="right"/>
              <w:rPr>
                <w:sz w:val="16"/>
              </w:rPr>
            </w:pPr>
            <w:r>
              <w:rPr>
                <w:sz w:val="16"/>
              </w:rPr>
              <w:t>31,3</w:t>
            </w:r>
          </w:p>
        </w:tc>
        <w:tc>
          <w:tcPr>
            <w:tcW w:w="768" w:type="dxa"/>
          </w:tcPr>
          <w:p w:rsidR="00000000" w:rsidRDefault="00000000">
            <w:pPr>
              <w:jc w:val="right"/>
              <w:rPr>
                <w:sz w:val="16"/>
              </w:rPr>
            </w:pPr>
            <w:r>
              <w:rPr>
                <w:sz w:val="16"/>
              </w:rPr>
              <w:t>39,3</w:t>
            </w:r>
          </w:p>
        </w:tc>
        <w:tc>
          <w:tcPr>
            <w:tcW w:w="768" w:type="dxa"/>
          </w:tcPr>
          <w:p w:rsidR="00000000" w:rsidRDefault="00000000">
            <w:pPr>
              <w:jc w:val="right"/>
              <w:rPr>
                <w:sz w:val="16"/>
              </w:rPr>
            </w:pPr>
            <w:r>
              <w:rPr>
                <w:sz w:val="16"/>
              </w:rPr>
              <w:t>29,4</w:t>
            </w:r>
          </w:p>
        </w:tc>
      </w:tr>
      <w:tr w:rsidR="00000000">
        <w:tblPrEx>
          <w:tblCellMar>
            <w:top w:w="0" w:type="dxa"/>
            <w:bottom w:w="0" w:type="dxa"/>
          </w:tblCellMar>
        </w:tblPrEx>
        <w:tc>
          <w:tcPr>
            <w:tcW w:w="1128" w:type="dxa"/>
          </w:tcPr>
          <w:p w:rsidR="00000000" w:rsidRDefault="00000000">
            <w:pPr>
              <w:rPr>
                <w:sz w:val="16"/>
              </w:rPr>
            </w:pPr>
            <w:r>
              <w:rPr>
                <w:sz w:val="16"/>
              </w:rPr>
              <w:t>Административная деятельность</w:t>
            </w:r>
          </w:p>
        </w:tc>
        <w:tc>
          <w:tcPr>
            <w:tcW w:w="766" w:type="dxa"/>
          </w:tcPr>
          <w:p w:rsidR="00000000" w:rsidRDefault="00000000">
            <w:pPr>
              <w:jc w:val="right"/>
              <w:rPr>
                <w:sz w:val="16"/>
              </w:rPr>
            </w:pPr>
            <w:r>
              <w:rPr>
                <w:sz w:val="16"/>
              </w:rPr>
              <w:t>703</w:t>
            </w:r>
            <w:r>
              <w:rPr>
                <w:sz w:val="16"/>
                <w:lang w:val="en-US"/>
              </w:rPr>
              <w:t> </w:t>
            </w:r>
            <w:r>
              <w:rPr>
                <w:sz w:val="16"/>
              </w:rPr>
              <w:t>670</w:t>
            </w:r>
          </w:p>
        </w:tc>
        <w:tc>
          <w:tcPr>
            <w:tcW w:w="767" w:type="dxa"/>
          </w:tcPr>
          <w:p w:rsidR="00000000" w:rsidRDefault="00000000">
            <w:pPr>
              <w:jc w:val="right"/>
              <w:rPr>
                <w:sz w:val="16"/>
              </w:rPr>
            </w:pPr>
            <w:r>
              <w:rPr>
                <w:sz w:val="16"/>
              </w:rPr>
              <w:t>10,4</w:t>
            </w:r>
          </w:p>
        </w:tc>
        <w:tc>
          <w:tcPr>
            <w:tcW w:w="767" w:type="dxa"/>
          </w:tcPr>
          <w:p w:rsidR="00000000" w:rsidRDefault="00000000">
            <w:pPr>
              <w:jc w:val="right"/>
              <w:rPr>
                <w:sz w:val="16"/>
              </w:rPr>
            </w:pPr>
            <w:r>
              <w:rPr>
                <w:sz w:val="16"/>
              </w:rPr>
              <w:t>4</w:t>
            </w:r>
            <w:r>
              <w:rPr>
                <w:sz w:val="16"/>
                <w:lang w:val="en-US"/>
              </w:rPr>
              <w:t> </w:t>
            </w:r>
            <w:r>
              <w:rPr>
                <w:sz w:val="16"/>
              </w:rPr>
              <w:t>225</w:t>
            </w:r>
            <w:r>
              <w:rPr>
                <w:sz w:val="16"/>
                <w:lang w:val="en-US"/>
              </w:rPr>
              <w:t> </w:t>
            </w:r>
            <w:r>
              <w:rPr>
                <w:sz w:val="16"/>
              </w:rPr>
              <w:t>283</w:t>
            </w:r>
          </w:p>
        </w:tc>
        <w:tc>
          <w:tcPr>
            <w:tcW w:w="767" w:type="dxa"/>
          </w:tcPr>
          <w:p w:rsidR="00000000" w:rsidRDefault="00000000">
            <w:pPr>
              <w:jc w:val="right"/>
              <w:rPr>
                <w:sz w:val="16"/>
              </w:rPr>
            </w:pPr>
            <w:r>
              <w:rPr>
                <w:sz w:val="16"/>
              </w:rPr>
              <w:t>32,5</w:t>
            </w:r>
          </w:p>
        </w:tc>
        <w:tc>
          <w:tcPr>
            <w:tcW w:w="768" w:type="dxa"/>
          </w:tcPr>
          <w:p w:rsidR="00000000" w:rsidRDefault="00000000">
            <w:pPr>
              <w:jc w:val="right"/>
              <w:rPr>
                <w:sz w:val="16"/>
              </w:rPr>
            </w:pPr>
            <w:r>
              <w:rPr>
                <w:sz w:val="16"/>
              </w:rPr>
              <w:t>1</w:t>
            </w:r>
            <w:r>
              <w:rPr>
                <w:sz w:val="16"/>
                <w:lang w:val="en-US"/>
              </w:rPr>
              <w:t> </w:t>
            </w:r>
            <w:r>
              <w:rPr>
                <w:sz w:val="16"/>
              </w:rPr>
              <w:t>331</w:t>
            </w:r>
            <w:r>
              <w:rPr>
                <w:sz w:val="16"/>
                <w:lang w:val="en-US"/>
              </w:rPr>
              <w:t> </w:t>
            </w:r>
            <w:r>
              <w:rPr>
                <w:sz w:val="16"/>
              </w:rPr>
              <w:t>592</w:t>
            </w:r>
          </w:p>
        </w:tc>
        <w:tc>
          <w:tcPr>
            <w:tcW w:w="768" w:type="dxa"/>
          </w:tcPr>
          <w:p w:rsidR="00000000" w:rsidRDefault="00000000">
            <w:pPr>
              <w:jc w:val="right"/>
              <w:rPr>
                <w:sz w:val="16"/>
              </w:rPr>
            </w:pPr>
            <w:r>
              <w:rPr>
                <w:sz w:val="16"/>
              </w:rPr>
              <w:t>17,9</w:t>
            </w:r>
          </w:p>
        </w:tc>
        <w:tc>
          <w:tcPr>
            <w:tcW w:w="768" w:type="dxa"/>
          </w:tcPr>
          <w:p w:rsidR="00000000" w:rsidRDefault="00000000">
            <w:pPr>
              <w:jc w:val="right"/>
              <w:rPr>
                <w:sz w:val="16"/>
              </w:rPr>
            </w:pPr>
            <w:r>
              <w:rPr>
                <w:sz w:val="16"/>
              </w:rPr>
              <w:t>6</w:t>
            </w:r>
            <w:r>
              <w:rPr>
                <w:sz w:val="16"/>
                <w:lang w:val="en-US"/>
              </w:rPr>
              <w:t> </w:t>
            </w:r>
            <w:r>
              <w:rPr>
                <w:sz w:val="16"/>
              </w:rPr>
              <w:t>260</w:t>
            </w:r>
            <w:r>
              <w:rPr>
                <w:sz w:val="16"/>
                <w:lang w:val="en-US"/>
              </w:rPr>
              <w:t> </w:t>
            </w:r>
            <w:r>
              <w:rPr>
                <w:sz w:val="16"/>
              </w:rPr>
              <w:t>546</w:t>
            </w:r>
          </w:p>
        </w:tc>
        <w:tc>
          <w:tcPr>
            <w:tcW w:w="768" w:type="dxa"/>
          </w:tcPr>
          <w:p w:rsidR="00000000" w:rsidRDefault="00000000">
            <w:pPr>
              <w:jc w:val="right"/>
              <w:rPr>
                <w:sz w:val="16"/>
              </w:rPr>
            </w:pPr>
            <w:r>
              <w:rPr>
                <w:sz w:val="16"/>
              </w:rPr>
              <w:t>23,0</w:t>
            </w:r>
          </w:p>
        </w:tc>
        <w:tc>
          <w:tcPr>
            <w:tcW w:w="768" w:type="dxa"/>
          </w:tcPr>
          <w:p w:rsidR="00000000" w:rsidRDefault="00000000">
            <w:pPr>
              <w:jc w:val="right"/>
              <w:rPr>
                <w:sz w:val="16"/>
              </w:rPr>
            </w:pPr>
            <w:r>
              <w:rPr>
                <w:sz w:val="16"/>
              </w:rPr>
              <w:t>11,2</w:t>
            </w:r>
          </w:p>
        </w:tc>
        <w:tc>
          <w:tcPr>
            <w:tcW w:w="768" w:type="dxa"/>
          </w:tcPr>
          <w:p w:rsidR="00000000" w:rsidRDefault="00000000">
            <w:pPr>
              <w:jc w:val="right"/>
              <w:rPr>
                <w:sz w:val="16"/>
              </w:rPr>
            </w:pPr>
            <w:r>
              <w:rPr>
                <w:sz w:val="16"/>
              </w:rPr>
              <w:t>67,5</w:t>
            </w:r>
          </w:p>
        </w:tc>
        <w:tc>
          <w:tcPr>
            <w:tcW w:w="768" w:type="dxa"/>
          </w:tcPr>
          <w:p w:rsidR="00000000" w:rsidRDefault="00000000">
            <w:pPr>
              <w:jc w:val="right"/>
              <w:rPr>
                <w:sz w:val="16"/>
              </w:rPr>
            </w:pPr>
            <w:r>
              <w:rPr>
                <w:sz w:val="16"/>
              </w:rPr>
              <w:t>21,3</w:t>
            </w:r>
          </w:p>
        </w:tc>
      </w:tr>
      <w:tr w:rsidR="00000000">
        <w:tblPrEx>
          <w:tblCellMar>
            <w:top w:w="0" w:type="dxa"/>
            <w:bottom w:w="0" w:type="dxa"/>
          </w:tblCellMar>
        </w:tblPrEx>
        <w:tc>
          <w:tcPr>
            <w:tcW w:w="1128" w:type="dxa"/>
          </w:tcPr>
          <w:p w:rsidR="00000000" w:rsidRDefault="00000000">
            <w:pPr>
              <w:rPr>
                <w:sz w:val="16"/>
              </w:rPr>
            </w:pPr>
            <w:r>
              <w:rPr>
                <w:sz w:val="16"/>
              </w:rPr>
              <w:t>Итого</w:t>
            </w:r>
          </w:p>
        </w:tc>
        <w:tc>
          <w:tcPr>
            <w:tcW w:w="766" w:type="dxa"/>
          </w:tcPr>
          <w:p w:rsidR="00000000" w:rsidRDefault="00000000">
            <w:pPr>
              <w:jc w:val="right"/>
              <w:rPr>
                <w:sz w:val="16"/>
              </w:rPr>
            </w:pPr>
            <w:r>
              <w:rPr>
                <w:sz w:val="16"/>
              </w:rPr>
              <w:t>6</w:t>
            </w:r>
            <w:r>
              <w:rPr>
                <w:sz w:val="16"/>
                <w:lang w:val="en-US"/>
              </w:rPr>
              <w:t> </w:t>
            </w:r>
            <w:r>
              <w:rPr>
                <w:sz w:val="16"/>
              </w:rPr>
              <w:t>777</w:t>
            </w:r>
            <w:r>
              <w:rPr>
                <w:sz w:val="16"/>
                <w:lang w:val="en-US"/>
              </w:rPr>
              <w:t> </w:t>
            </w:r>
            <w:r>
              <w:rPr>
                <w:sz w:val="16"/>
              </w:rPr>
              <w:t>587</w:t>
            </w:r>
          </w:p>
        </w:tc>
        <w:tc>
          <w:tcPr>
            <w:tcW w:w="767" w:type="dxa"/>
          </w:tcPr>
          <w:p w:rsidR="00000000" w:rsidRDefault="00000000">
            <w:pPr>
              <w:jc w:val="right"/>
              <w:rPr>
                <w:sz w:val="16"/>
              </w:rPr>
            </w:pPr>
            <w:r>
              <w:rPr>
                <w:sz w:val="16"/>
              </w:rPr>
              <w:t>100</w:t>
            </w:r>
          </w:p>
        </w:tc>
        <w:tc>
          <w:tcPr>
            <w:tcW w:w="767" w:type="dxa"/>
          </w:tcPr>
          <w:p w:rsidR="00000000" w:rsidRDefault="00000000">
            <w:pPr>
              <w:jc w:val="right"/>
              <w:rPr>
                <w:sz w:val="16"/>
              </w:rPr>
            </w:pPr>
            <w:r>
              <w:rPr>
                <w:sz w:val="16"/>
              </w:rPr>
              <w:t>12</w:t>
            </w:r>
            <w:r>
              <w:rPr>
                <w:sz w:val="16"/>
                <w:lang w:val="en-US"/>
              </w:rPr>
              <w:t> </w:t>
            </w:r>
            <w:r>
              <w:rPr>
                <w:sz w:val="16"/>
              </w:rPr>
              <w:t>981</w:t>
            </w:r>
            <w:r>
              <w:rPr>
                <w:sz w:val="16"/>
                <w:lang w:val="en-US"/>
              </w:rPr>
              <w:t> </w:t>
            </w:r>
            <w:r>
              <w:rPr>
                <w:sz w:val="16"/>
              </w:rPr>
              <w:t>398</w:t>
            </w:r>
          </w:p>
        </w:tc>
        <w:tc>
          <w:tcPr>
            <w:tcW w:w="767" w:type="dxa"/>
          </w:tcPr>
          <w:p w:rsidR="00000000" w:rsidRDefault="00000000">
            <w:pPr>
              <w:jc w:val="right"/>
              <w:rPr>
                <w:sz w:val="16"/>
              </w:rPr>
            </w:pPr>
            <w:r>
              <w:rPr>
                <w:sz w:val="16"/>
              </w:rPr>
              <w:t>100</w:t>
            </w:r>
          </w:p>
        </w:tc>
        <w:tc>
          <w:tcPr>
            <w:tcW w:w="768" w:type="dxa"/>
          </w:tcPr>
          <w:p w:rsidR="00000000" w:rsidRDefault="00000000">
            <w:pPr>
              <w:jc w:val="right"/>
              <w:rPr>
                <w:sz w:val="16"/>
              </w:rPr>
            </w:pPr>
            <w:r>
              <w:rPr>
                <w:sz w:val="16"/>
              </w:rPr>
              <w:t>7</w:t>
            </w:r>
            <w:r>
              <w:rPr>
                <w:sz w:val="16"/>
                <w:lang w:val="en-US"/>
              </w:rPr>
              <w:t> </w:t>
            </w:r>
            <w:r>
              <w:rPr>
                <w:sz w:val="16"/>
              </w:rPr>
              <w:t>431</w:t>
            </w:r>
            <w:r>
              <w:rPr>
                <w:sz w:val="16"/>
                <w:lang w:val="en-US"/>
              </w:rPr>
              <w:t> </w:t>
            </w:r>
            <w:r>
              <w:rPr>
                <w:sz w:val="16"/>
              </w:rPr>
              <w:t>554</w:t>
            </w:r>
          </w:p>
        </w:tc>
        <w:tc>
          <w:tcPr>
            <w:tcW w:w="768" w:type="dxa"/>
          </w:tcPr>
          <w:p w:rsidR="00000000" w:rsidRDefault="00000000">
            <w:pPr>
              <w:jc w:val="right"/>
              <w:rPr>
                <w:sz w:val="16"/>
              </w:rPr>
            </w:pPr>
            <w:r>
              <w:rPr>
                <w:sz w:val="16"/>
              </w:rPr>
              <w:t>100</w:t>
            </w:r>
          </w:p>
        </w:tc>
        <w:tc>
          <w:tcPr>
            <w:tcW w:w="768" w:type="dxa"/>
          </w:tcPr>
          <w:p w:rsidR="00000000" w:rsidRDefault="00000000">
            <w:pPr>
              <w:jc w:val="right"/>
              <w:rPr>
                <w:sz w:val="16"/>
              </w:rPr>
            </w:pPr>
            <w:r>
              <w:rPr>
                <w:sz w:val="16"/>
              </w:rPr>
              <w:t>27</w:t>
            </w:r>
            <w:r>
              <w:rPr>
                <w:sz w:val="16"/>
                <w:lang w:val="en-US"/>
              </w:rPr>
              <w:t> </w:t>
            </w:r>
            <w:r>
              <w:rPr>
                <w:sz w:val="16"/>
              </w:rPr>
              <w:t>190</w:t>
            </w:r>
            <w:r>
              <w:rPr>
                <w:sz w:val="16"/>
                <w:lang w:val="en-US"/>
              </w:rPr>
              <w:t> </w:t>
            </w:r>
            <w:r>
              <w:rPr>
                <w:sz w:val="16"/>
              </w:rPr>
              <w:t>539</w:t>
            </w:r>
          </w:p>
        </w:tc>
        <w:tc>
          <w:tcPr>
            <w:tcW w:w="768" w:type="dxa"/>
          </w:tcPr>
          <w:p w:rsidR="00000000" w:rsidRDefault="00000000">
            <w:pPr>
              <w:jc w:val="right"/>
              <w:rPr>
                <w:sz w:val="16"/>
              </w:rPr>
            </w:pPr>
            <w:r>
              <w:rPr>
                <w:sz w:val="16"/>
              </w:rPr>
              <w:t>100</w:t>
            </w:r>
          </w:p>
        </w:tc>
        <w:tc>
          <w:tcPr>
            <w:tcW w:w="768" w:type="dxa"/>
          </w:tcPr>
          <w:p w:rsidR="00000000" w:rsidRDefault="00000000">
            <w:pPr>
              <w:jc w:val="right"/>
              <w:rPr>
                <w:sz w:val="16"/>
              </w:rPr>
            </w:pPr>
            <w:r>
              <w:rPr>
                <w:sz w:val="16"/>
              </w:rPr>
              <w:t>24,9</w:t>
            </w:r>
          </w:p>
        </w:tc>
        <w:tc>
          <w:tcPr>
            <w:tcW w:w="768" w:type="dxa"/>
          </w:tcPr>
          <w:p w:rsidR="00000000" w:rsidRDefault="00000000">
            <w:pPr>
              <w:jc w:val="right"/>
              <w:rPr>
                <w:sz w:val="16"/>
              </w:rPr>
            </w:pPr>
            <w:r>
              <w:rPr>
                <w:sz w:val="16"/>
              </w:rPr>
              <w:t>47,7</w:t>
            </w:r>
          </w:p>
        </w:tc>
        <w:tc>
          <w:tcPr>
            <w:tcW w:w="768" w:type="dxa"/>
          </w:tcPr>
          <w:p w:rsidR="00000000" w:rsidRDefault="00000000">
            <w:pPr>
              <w:jc w:val="right"/>
              <w:rPr>
                <w:sz w:val="16"/>
              </w:rPr>
            </w:pPr>
            <w:r>
              <w:rPr>
                <w:sz w:val="16"/>
              </w:rPr>
              <w:t>27,3</w:t>
            </w:r>
          </w:p>
        </w:tc>
      </w:tr>
    </w:tbl>
    <w:p w:rsidR="00000000" w:rsidRDefault="00000000">
      <w:pPr>
        <w:rPr>
          <w:sz w:val="16"/>
        </w:rPr>
      </w:pPr>
    </w:p>
    <w:p w:rsidR="00000000" w:rsidRDefault="00000000">
      <w:pPr>
        <w:rPr>
          <w:sz w:val="16"/>
        </w:rPr>
      </w:pPr>
    </w:p>
    <w:p w:rsidR="00000000" w:rsidRDefault="00000000">
      <w:r>
        <w:tab/>
      </w:r>
      <w:r>
        <w:rPr>
          <w:u w:val="single"/>
        </w:rPr>
        <w:t>Источник</w:t>
      </w:r>
      <w:r>
        <w:t xml:space="preserve">:  </w:t>
      </w:r>
      <w:r>
        <w:rPr>
          <w:lang w:val="en-US"/>
        </w:rPr>
        <w:t>IPE</w:t>
      </w:r>
      <w:r>
        <w:t>А/</w:t>
      </w:r>
      <w:r>
        <w:rPr>
          <w:lang w:val="en-US"/>
        </w:rPr>
        <w:t>DISOC</w:t>
      </w:r>
      <w:r>
        <w:t>.</w:t>
      </w:r>
    </w:p>
    <w:p w:rsidR="00000000" w:rsidRDefault="00000000">
      <w:pPr>
        <w:jc w:val="center"/>
        <w:rPr>
          <w:b/>
          <w:bCs/>
          <w:sz w:val="20"/>
        </w:rPr>
      </w:pPr>
    </w:p>
    <w:p w:rsidR="00000000" w:rsidRDefault="00000000">
      <w:r>
        <w:t>780.</w:t>
      </w:r>
      <w:r>
        <w:tab/>
        <w:t>Структура расходов наглядно свидетельствует о распределении обязанностей в области образования между тремя уровнями управления.  Как следует из приведенной выше таблицы, высшее образование почти полностью находится в ведении федерального правительства, поскольку его расходы покрывают 79,3% расходов на этот вид образования, а расходы штатов - лишь 18,7%.  Почти все эти расходы приходятся на высшие учебные заведения штатов Сан-Паулу и Рио-де-Жанейро.</w:t>
      </w:r>
    </w:p>
    <w:p w:rsidR="00000000" w:rsidRDefault="00000000"/>
    <w:p w:rsidR="00000000" w:rsidRDefault="00000000">
      <w:pPr>
        <w:pStyle w:val="10"/>
        <w:rPr>
          <w:bCs/>
        </w:rPr>
      </w:pPr>
      <w:r>
        <w:rPr>
          <w:bCs/>
        </w:rPr>
        <w:t>Диаграмма 12.  Расходы в области образования по категориям расходов</w:t>
      </w:r>
    </w:p>
    <w:p w:rsidR="00000000" w:rsidRDefault="00000000">
      <w:pPr>
        <w:pStyle w:val="10"/>
        <w:rPr>
          <w:bCs/>
        </w:rPr>
      </w:pPr>
      <w:r>
        <w:rPr>
          <w:bCs/>
        </w:rPr>
        <w:t>и уровням управления, 1995 год</w:t>
      </w:r>
    </w:p>
    <w:p w:rsidR="00000000" w:rsidRDefault="00000000">
      <w:pPr>
        <w:pStyle w:val="10"/>
        <w:rPr>
          <w:bCs/>
        </w:rPr>
      </w:pPr>
    </w:p>
    <w:bookmarkStart w:id="32" w:name="_MON_1036076900"/>
    <w:bookmarkStart w:id="33" w:name="_MON_1044964429"/>
    <w:bookmarkStart w:id="34" w:name="_MON_1585035076"/>
    <w:bookmarkStart w:id="35" w:name="_MON_1068296735"/>
    <w:bookmarkStart w:id="36" w:name="_MON_1076134751"/>
    <w:bookmarkStart w:id="37" w:name="_MON_1076219322"/>
    <w:bookmarkStart w:id="38" w:name="_MON_1076220229"/>
    <w:bookmarkStart w:id="39" w:name="_MON_1076220515"/>
    <w:bookmarkStart w:id="40" w:name="_MON_1083744819"/>
    <w:bookmarkStart w:id="41" w:name="_MON_1083744888"/>
    <w:bookmarkStart w:id="42" w:name="_MON_1083744899"/>
    <w:bookmarkEnd w:id="32"/>
    <w:bookmarkEnd w:id="33"/>
    <w:bookmarkEnd w:id="34"/>
    <w:bookmarkEnd w:id="35"/>
    <w:bookmarkEnd w:id="36"/>
    <w:bookmarkEnd w:id="37"/>
    <w:bookmarkEnd w:id="38"/>
    <w:bookmarkEnd w:id="39"/>
    <w:bookmarkEnd w:id="40"/>
    <w:bookmarkEnd w:id="41"/>
    <w:bookmarkEnd w:id="42"/>
    <w:p w:rsidR="00000000" w:rsidRDefault="00000000">
      <w:pPr>
        <w:pStyle w:val="10"/>
        <w:rPr>
          <w:bCs/>
        </w:rPr>
      </w:pPr>
      <w:r>
        <w:rPr>
          <w:rFonts w:ascii="Verdana" w:hAnsi="Verdana"/>
          <w:spacing w:val="20"/>
          <w:kern w:val="2"/>
          <w:lang w:val="en-GB"/>
        </w:rPr>
        <w:object w:dxaOrig="8475" w:dyaOrig="5025">
          <v:shape id="_x0000_i1034" type="#_x0000_t75" style="width:397.5pt;height:251.25pt" o:ole="" fillcolor="window">
            <v:imagedata r:id="rId39" o:title=""/>
          </v:shape>
          <o:OLEObject Type="Embed" ProgID="Word.Picture.8" ShapeID="_x0000_i1034" DrawAspect="Content" ObjectID="_1394878302" r:id="rId40"/>
        </w:object>
      </w:r>
    </w:p>
    <w:p w:rsidR="00000000" w:rsidRDefault="00000000">
      <w:pPr>
        <w:pStyle w:val="16"/>
        <w:rPr>
          <w:sz w:val="16"/>
        </w:rPr>
      </w:pPr>
    </w:p>
    <w:p w:rsidR="00000000" w:rsidRDefault="00000000">
      <w:pPr>
        <w:pStyle w:val="16"/>
        <w:jc w:val="left"/>
      </w:pPr>
      <w:r>
        <w:tab/>
      </w:r>
      <w:r>
        <w:rPr>
          <w:u w:val="single"/>
        </w:rPr>
        <w:t>Источник</w:t>
      </w:r>
      <w:r>
        <w:t xml:space="preserve">:  </w:t>
      </w:r>
      <w:r>
        <w:rPr>
          <w:lang w:val="en-US"/>
        </w:rPr>
        <w:t>IPEA</w:t>
      </w:r>
      <w:r>
        <w:t>/</w:t>
      </w:r>
      <w:r>
        <w:rPr>
          <w:lang w:val="en-US"/>
        </w:rPr>
        <w:t>DISOC</w:t>
      </w:r>
      <w:r>
        <w:t>.</w:t>
      </w:r>
    </w:p>
    <w:p w:rsidR="00000000" w:rsidRDefault="00000000">
      <w:pPr>
        <w:pStyle w:val="16"/>
        <w:rPr>
          <w:sz w:val="20"/>
        </w:rPr>
      </w:pPr>
    </w:p>
    <w:p w:rsidR="00000000" w:rsidRDefault="00000000">
      <w:pPr>
        <w:pStyle w:val="16"/>
        <w:jc w:val="left"/>
      </w:pPr>
      <w:r>
        <w:t>781.</w:t>
      </w:r>
      <w:r>
        <w:tab/>
        <w:t xml:space="preserve">Большая часть ассигнований на нужды базового образования (55,5%) осуществляется по линии штатов, в то время как на муниципальные округа приходится 34,3%.  Федеральное правительство выделяет лишь 10,3%, главным образом на специальные курсы для молодежи и взрослых и на сотрудничество с другими сферами управления, что соответствует положениям бразильского законодательства.  </w:t>
      </w:r>
    </w:p>
    <w:p w:rsidR="00000000" w:rsidRDefault="00000000">
      <w:pPr>
        <w:pStyle w:val="16"/>
        <w:jc w:val="left"/>
      </w:pPr>
    </w:p>
    <w:p w:rsidR="00000000" w:rsidRDefault="00000000">
      <w:pPr>
        <w:pStyle w:val="16"/>
        <w:jc w:val="left"/>
      </w:pPr>
      <w:r>
        <w:t>782.</w:t>
      </w:r>
      <w:r>
        <w:tab/>
        <w:t>Эти положения действительны и для старших классов средней школы, хотя в этом случае федеральное правительство финансирует ряд технических училищ и сельскохозяйственных колледжей</w:t>
      </w:r>
      <w:r>
        <w:rPr>
          <w:b/>
          <w:bCs/>
          <w:vertAlign w:val="superscript"/>
        </w:rPr>
        <w:t>30</w:t>
      </w:r>
      <w:r>
        <w:t>, что доводит ее долю в расходах до 29,3%.  На штаты приходится около 49,1% всех расходов этой категории, а на муниципальные округа - лишь 21,6%, причем большая часть этих расходов финансируется муниципальными округами штата Минас-Жерайс.</w:t>
      </w:r>
    </w:p>
    <w:p w:rsidR="00000000" w:rsidRDefault="00000000">
      <w:pPr>
        <w:pStyle w:val="16"/>
        <w:jc w:val="left"/>
      </w:pPr>
    </w:p>
    <w:p w:rsidR="00000000" w:rsidRDefault="00000000">
      <w:pPr>
        <w:pStyle w:val="16"/>
        <w:jc w:val="left"/>
      </w:pPr>
      <w:r>
        <w:t>783.</w:t>
      </w:r>
      <w:r>
        <w:tab/>
        <w:t>В соответствии с обязанностями, установленными в Конституции 1998 года и подтвержденными в новом Законе о руководящих принципах и основах образования (ЗРПО), в котором ответственность за дошкольное образование возлагается на муниципальные округа, средства на дошкольное образование детей в возрасте до 6 лет на 94,3% выделялись по линии муниципальных округов и лишь на 4,9% - по линии других уровней управления (диаграмма 12).</w:t>
      </w:r>
    </w:p>
    <w:p w:rsidR="00000000" w:rsidRDefault="00000000">
      <w:pPr>
        <w:pStyle w:val="16"/>
        <w:jc w:val="left"/>
      </w:pPr>
    </w:p>
    <w:p w:rsidR="00000000" w:rsidRDefault="00000000">
      <w:pPr>
        <w:pStyle w:val="16"/>
        <w:jc w:val="left"/>
      </w:pPr>
      <w:r>
        <w:t>784.</w:t>
      </w:r>
      <w:r>
        <w:tab/>
        <w:t>В своих руководящих принципах Комитет по экономическим, социальным и культурным правам задает вопрос о существовании в стране уязвимых групп с точки зрения образования.  Ответ на этот вопрос является, безусловно, утвердительным.  В приводимой ниже таблице указываются данные по шести группам населения (в разбивке по признаку расы, пола, принадлежности к городскому и сельскому населения, к мигрантам, к малоимущему населению и районам проживания), которые были проанализированы по трем показателям:  чистая школьная посещаемость детей в возрасте от 7 до 14 лет, доля детей в возрасте от 10 до 14 лет, отстающих более чем на один год от соответствующей школьной программы, и среднее число лет школьного обучения для населения в возрасте от 15 до 25 лет.</w:t>
      </w:r>
    </w:p>
    <w:p w:rsidR="00000000" w:rsidRDefault="00000000">
      <w:pPr>
        <w:pStyle w:val="16"/>
        <w:jc w:val="left"/>
      </w:pPr>
    </w:p>
    <w:p w:rsidR="00000000" w:rsidRDefault="00000000">
      <w:pPr>
        <w:pStyle w:val="16"/>
        <w:rPr>
          <w:b/>
          <w:bCs/>
        </w:rPr>
      </w:pPr>
      <w:r>
        <w:rPr>
          <w:b/>
          <w:bCs/>
        </w:rPr>
        <w:t>Таблица 90.   Уязвимость в области образования в разбивке по шести категориям населения и трем показателям, касающимся образования (в процентах)</w:t>
      </w:r>
    </w:p>
    <w:p w:rsidR="00000000" w:rsidRDefault="00000000">
      <w:pPr>
        <w:pStyle w:val="16"/>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1367"/>
        <w:gridCol w:w="1367"/>
        <w:gridCol w:w="1367"/>
        <w:gridCol w:w="1367"/>
        <w:gridCol w:w="1368"/>
        <w:gridCol w:w="1368"/>
      </w:tblGrid>
      <w:tr w:rsidR="00000000">
        <w:tblPrEx>
          <w:tblCellMar>
            <w:top w:w="0" w:type="dxa"/>
            <w:bottom w:w="0" w:type="dxa"/>
          </w:tblCellMar>
        </w:tblPrEx>
        <w:trPr>
          <w:cantSplit/>
        </w:trPr>
        <w:tc>
          <w:tcPr>
            <w:tcW w:w="1367" w:type="dxa"/>
          </w:tcPr>
          <w:p w:rsidR="00000000" w:rsidRDefault="00000000">
            <w:pPr>
              <w:pStyle w:val="16"/>
              <w:rPr>
                <w:sz w:val="16"/>
              </w:rPr>
            </w:pPr>
          </w:p>
        </w:tc>
        <w:tc>
          <w:tcPr>
            <w:tcW w:w="2734" w:type="dxa"/>
            <w:gridSpan w:val="2"/>
          </w:tcPr>
          <w:p w:rsidR="00000000" w:rsidRDefault="00000000">
            <w:pPr>
              <w:pStyle w:val="16"/>
              <w:rPr>
                <w:sz w:val="16"/>
              </w:rPr>
            </w:pPr>
            <w:r>
              <w:rPr>
                <w:sz w:val="16"/>
              </w:rPr>
              <w:t>Чистый показатель охвата школьным образованием детей в возрасте от 7 до 14 лет</w:t>
            </w:r>
          </w:p>
        </w:tc>
        <w:tc>
          <w:tcPr>
            <w:tcW w:w="2734" w:type="dxa"/>
            <w:gridSpan w:val="2"/>
          </w:tcPr>
          <w:p w:rsidR="00000000" w:rsidRDefault="00000000">
            <w:pPr>
              <w:pStyle w:val="16"/>
              <w:rPr>
                <w:sz w:val="16"/>
              </w:rPr>
            </w:pPr>
            <w:r>
              <w:rPr>
                <w:sz w:val="16"/>
              </w:rPr>
              <w:t>Дети в возрасте 10-14 лет, более чем на один год отстающие от соответствующей школьной программы</w:t>
            </w:r>
          </w:p>
        </w:tc>
        <w:tc>
          <w:tcPr>
            <w:tcW w:w="2736" w:type="dxa"/>
            <w:gridSpan w:val="2"/>
          </w:tcPr>
          <w:p w:rsidR="00000000" w:rsidRDefault="00000000">
            <w:pPr>
              <w:pStyle w:val="16"/>
              <w:rPr>
                <w:sz w:val="16"/>
              </w:rPr>
            </w:pPr>
            <w:r>
              <w:rPr>
                <w:sz w:val="16"/>
              </w:rPr>
              <w:t>Среднее число лет школьного обучения людей в возрасте</w:t>
            </w:r>
          </w:p>
          <w:p w:rsidR="00000000" w:rsidRDefault="00000000">
            <w:pPr>
              <w:pStyle w:val="16"/>
              <w:rPr>
                <w:sz w:val="16"/>
              </w:rPr>
            </w:pPr>
          </w:p>
          <w:p w:rsidR="00000000" w:rsidRDefault="00000000">
            <w:pPr>
              <w:pStyle w:val="16"/>
              <w:rPr>
                <w:sz w:val="16"/>
              </w:rPr>
            </w:pPr>
            <w:r>
              <w:rPr>
                <w:sz w:val="16"/>
              </w:rPr>
              <w:t>15-25 лет</w:t>
            </w:r>
          </w:p>
        </w:tc>
      </w:tr>
      <w:tr w:rsidR="00000000">
        <w:tblPrEx>
          <w:tblCellMar>
            <w:top w:w="0" w:type="dxa"/>
            <w:bottom w:w="0" w:type="dxa"/>
          </w:tblCellMar>
        </w:tblPrEx>
        <w:tc>
          <w:tcPr>
            <w:tcW w:w="1367" w:type="dxa"/>
          </w:tcPr>
          <w:p w:rsidR="00000000" w:rsidRDefault="00000000">
            <w:pPr>
              <w:pStyle w:val="16"/>
              <w:rPr>
                <w:sz w:val="16"/>
              </w:rPr>
            </w:pPr>
          </w:p>
        </w:tc>
        <w:tc>
          <w:tcPr>
            <w:tcW w:w="1367" w:type="dxa"/>
          </w:tcPr>
          <w:p w:rsidR="00000000" w:rsidRDefault="00000000">
            <w:pPr>
              <w:pStyle w:val="16"/>
              <w:rPr>
                <w:sz w:val="16"/>
              </w:rPr>
            </w:pPr>
            <w:r>
              <w:rPr>
                <w:sz w:val="16"/>
              </w:rPr>
              <w:t>Доля</w:t>
            </w:r>
          </w:p>
        </w:tc>
        <w:tc>
          <w:tcPr>
            <w:tcW w:w="1367" w:type="dxa"/>
          </w:tcPr>
          <w:p w:rsidR="00000000" w:rsidRDefault="00000000">
            <w:pPr>
              <w:pStyle w:val="16"/>
              <w:rPr>
                <w:sz w:val="16"/>
              </w:rPr>
            </w:pPr>
            <w:r>
              <w:rPr>
                <w:sz w:val="16"/>
              </w:rPr>
              <w:t>Среднее квадратическое отклонение</w:t>
            </w:r>
          </w:p>
        </w:tc>
        <w:tc>
          <w:tcPr>
            <w:tcW w:w="1367" w:type="dxa"/>
          </w:tcPr>
          <w:p w:rsidR="00000000" w:rsidRDefault="00000000">
            <w:pPr>
              <w:pStyle w:val="16"/>
              <w:rPr>
                <w:sz w:val="16"/>
              </w:rPr>
            </w:pPr>
            <w:r>
              <w:rPr>
                <w:sz w:val="16"/>
              </w:rPr>
              <w:t>Доля</w:t>
            </w:r>
          </w:p>
        </w:tc>
        <w:tc>
          <w:tcPr>
            <w:tcW w:w="1367" w:type="dxa"/>
          </w:tcPr>
          <w:p w:rsidR="00000000" w:rsidRDefault="00000000">
            <w:pPr>
              <w:pStyle w:val="16"/>
              <w:rPr>
                <w:sz w:val="16"/>
              </w:rPr>
            </w:pPr>
            <w:r>
              <w:rPr>
                <w:sz w:val="16"/>
              </w:rPr>
              <w:t>Среднее квадратическое отклонение</w:t>
            </w:r>
          </w:p>
        </w:tc>
        <w:tc>
          <w:tcPr>
            <w:tcW w:w="1368" w:type="dxa"/>
          </w:tcPr>
          <w:p w:rsidR="00000000" w:rsidRDefault="00000000">
            <w:pPr>
              <w:pStyle w:val="16"/>
              <w:rPr>
                <w:sz w:val="16"/>
              </w:rPr>
            </w:pPr>
            <w:r>
              <w:rPr>
                <w:sz w:val="16"/>
              </w:rPr>
              <w:t>Средний показатель</w:t>
            </w:r>
          </w:p>
        </w:tc>
        <w:tc>
          <w:tcPr>
            <w:tcW w:w="1368" w:type="dxa"/>
          </w:tcPr>
          <w:p w:rsidR="00000000" w:rsidRDefault="00000000">
            <w:pPr>
              <w:pStyle w:val="16"/>
              <w:rPr>
                <w:sz w:val="16"/>
              </w:rPr>
            </w:pPr>
            <w:r>
              <w:rPr>
                <w:sz w:val="16"/>
              </w:rPr>
              <w:t>Среднее квадратическое отклонение</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Население в целом</w:t>
            </w:r>
          </w:p>
        </w:tc>
        <w:tc>
          <w:tcPr>
            <w:tcW w:w="1367" w:type="dxa"/>
          </w:tcPr>
          <w:p w:rsidR="00000000" w:rsidRDefault="00000000">
            <w:pPr>
              <w:pStyle w:val="16"/>
              <w:rPr>
                <w:sz w:val="16"/>
              </w:rPr>
            </w:pPr>
            <w:r>
              <w:rPr>
                <w:sz w:val="16"/>
              </w:rPr>
              <w:t>93,0</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29,8</w:t>
            </w:r>
          </w:p>
        </w:tc>
        <w:tc>
          <w:tcPr>
            <w:tcW w:w="1367" w:type="dxa"/>
          </w:tcPr>
          <w:p w:rsidR="00000000" w:rsidRDefault="00000000">
            <w:pPr>
              <w:pStyle w:val="16"/>
              <w:rPr>
                <w:sz w:val="16"/>
              </w:rPr>
            </w:pPr>
            <w:r>
              <w:rPr>
                <w:sz w:val="16"/>
              </w:rPr>
              <w:t>0,2</w:t>
            </w:r>
          </w:p>
        </w:tc>
        <w:tc>
          <w:tcPr>
            <w:tcW w:w="1368" w:type="dxa"/>
          </w:tcPr>
          <w:p w:rsidR="00000000" w:rsidRDefault="00000000">
            <w:pPr>
              <w:pStyle w:val="16"/>
              <w:rPr>
                <w:sz w:val="16"/>
              </w:rPr>
            </w:pPr>
            <w:r>
              <w:rPr>
                <w:sz w:val="16"/>
              </w:rPr>
              <w:t>6,77</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Коренное население</w:t>
            </w:r>
          </w:p>
        </w:tc>
        <w:tc>
          <w:tcPr>
            <w:tcW w:w="1367" w:type="dxa"/>
          </w:tcPr>
          <w:p w:rsidR="00000000" w:rsidRDefault="00000000">
            <w:pPr>
              <w:pStyle w:val="16"/>
              <w:rPr>
                <w:sz w:val="16"/>
              </w:rPr>
            </w:pPr>
            <w:r>
              <w:rPr>
                <w:sz w:val="16"/>
              </w:rPr>
              <w:t>85,0</w:t>
            </w:r>
          </w:p>
        </w:tc>
        <w:tc>
          <w:tcPr>
            <w:tcW w:w="1367" w:type="dxa"/>
          </w:tcPr>
          <w:p w:rsidR="00000000" w:rsidRDefault="00000000">
            <w:pPr>
              <w:pStyle w:val="16"/>
              <w:rPr>
                <w:sz w:val="16"/>
              </w:rPr>
            </w:pPr>
            <w:r>
              <w:rPr>
                <w:sz w:val="16"/>
              </w:rPr>
              <w:t>3,5</w:t>
            </w:r>
          </w:p>
        </w:tc>
        <w:tc>
          <w:tcPr>
            <w:tcW w:w="1367" w:type="dxa"/>
          </w:tcPr>
          <w:p w:rsidR="00000000" w:rsidRDefault="00000000">
            <w:pPr>
              <w:pStyle w:val="16"/>
              <w:rPr>
                <w:sz w:val="16"/>
              </w:rPr>
            </w:pPr>
            <w:r>
              <w:rPr>
                <w:sz w:val="16"/>
              </w:rPr>
              <w:t>52,9</w:t>
            </w:r>
          </w:p>
        </w:tc>
        <w:tc>
          <w:tcPr>
            <w:tcW w:w="1367" w:type="dxa"/>
          </w:tcPr>
          <w:p w:rsidR="00000000" w:rsidRDefault="00000000">
            <w:pPr>
              <w:pStyle w:val="16"/>
              <w:rPr>
                <w:sz w:val="16"/>
              </w:rPr>
            </w:pPr>
            <w:r>
              <w:rPr>
                <w:sz w:val="16"/>
              </w:rPr>
              <w:t>6,1</w:t>
            </w:r>
          </w:p>
        </w:tc>
        <w:tc>
          <w:tcPr>
            <w:tcW w:w="1368" w:type="dxa"/>
          </w:tcPr>
          <w:p w:rsidR="00000000" w:rsidRDefault="00000000">
            <w:pPr>
              <w:pStyle w:val="16"/>
              <w:rPr>
                <w:sz w:val="16"/>
              </w:rPr>
            </w:pPr>
            <w:r>
              <w:rPr>
                <w:sz w:val="16"/>
              </w:rPr>
              <w:t>4,14</w:t>
            </w:r>
          </w:p>
        </w:tc>
        <w:tc>
          <w:tcPr>
            <w:tcW w:w="1368" w:type="dxa"/>
          </w:tcPr>
          <w:p w:rsidR="00000000" w:rsidRDefault="00000000">
            <w:pPr>
              <w:pStyle w:val="16"/>
              <w:rPr>
                <w:sz w:val="16"/>
              </w:rPr>
            </w:pPr>
            <w:r>
              <w:rPr>
                <w:sz w:val="16"/>
              </w:rPr>
              <w:t>0,19</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Белокожие</w:t>
            </w:r>
          </w:p>
        </w:tc>
        <w:tc>
          <w:tcPr>
            <w:tcW w:w="1367" w:type="dxa"/>
          </w:tcPr>
          <w:p w:rsidR="00000000" w:rsidRDefault="00000000">
            <w:pPr>
              <w:pStyle w:val="16"/>
              <w:rPr>
                <w:sz w:val="16"/>
              </w:rPr>
            </w:pPr>
            <w:r>
              <w:rPr>
                <w:sz w:val="16"/>
              </w:rPr>
              <w:t>95,5</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16,8</w:t>
            </w:r>
          </w:p>
        </w:tc>
        <w:tc>
          <w:tcPr>
            <w:tcW w:w="1367" w:type="dxa"/>
          </w:tcPr>
          <w:p w:rsidR="00000000" w:rsidRDefault="00000000">
            <w:pPr>
              <w:pStyle w:val="16"/>
              <w:rPr>
                <w:sz w:val="16"/>
              </w:rPr>
            </w:pPr>
            <w:r>
              <w:rPr>
                <w:sz w:val="16"/>
              </w:rPr>
              <w:t>0,3</w:t>
            </w:r>
          </w:p>
        </w:tc>
        <w:tc>
          <w:tcPr>
            <w:tcW w:w="1368" w:type="dxa"/>
          </w:tcPr>
          <w:p w:rsidR="00000000" w:rsidRDefault="00000000">
            <w:pPr>
              <w:pStyle w:val="16"/>
              <w:rPr>
                <w:sz w:val="16"/>
              </w:rPr>
            </w:pPr>
            <w:r>
              <w:rPr>
                <w:sz w:val="16"/>
              </w:rPr>
              <w:t>7,82</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Чернокожие</w:t>
            </w:r>
          </w:p>
        </w:tc>
        <w:tc>
          <w:tcPr>
            <w:tcW w:w="1367" w:type="dxa"/>
          </w:tcPr>
          <w:p w:rsidR="00000000" w:rsidRDefault="00000000">
            <w:pPr>
              <w:pStyle w:val="16"/>
              <w:rPr>
                <w:sz w:val="16"/>
              </w:rPr>
            </w:pPr>
            <w:r>
              <w:rPr>
                <w:sz w:val="16"/>
              </w:rPr>
              <w:t>90,0</w:t>
            </w:r>
          </w:p>
        </w:tc>
        <w:tc>
          <w:tcPr>
            <w:tcW w:w="1367" w:type="dxa"/>
          </w:tcPr>
          <w:p w:rsidR="00000000" w:rsidRDefault="00000000">
            <w:pPr>
              <w:pStyle w:val="16"/>
              <w:rPr>
                <w:sz w:val="16"/>
              </w:rPr>
            </w:pPr>
            <w:r>
              <w:rPr>
                <w:sz w:val="16"/>
              </w:rPr>
              <w:t>0,6</w:t>
            </w:r>
          </w:p>
        </w:tc>
        <w:tc>
          <w:tcPr>
            <w:tcW w:w="1367" w:type="dxa"/>
          </w:tcPr>
          <w:p w:rsidR="00000000" w:rsidRDefault="00000000">
            <w:pPr>
              <w:pStyle w:val="16"/>
              <w:rPr>
                <w:sz w:val="16"/>
              </w:rPr>
            </w:pPr>
            <w:r>
              <w:rPr>
                <w:sz w:val="16"/>
              </w:rPr>
              <w:t>39,5</w:t>
            </w:r>
          </w:p>
        </w:tc>
        <w:tc>
          <w:tcPr>
            <w:tcW w:w="1367" w:type="dxa"/>
          </w:tcPr>
          <w:p w:rsidR="00000000" w:rsidRDefault="00000000">
            <w:pPr>
              <w:pStyle w:val="16"/>
              <w:rPr>
                <w:sz w:val="16"/>
              </w:rPr>
            </w:pPr>
            <w:r>
              <w:rPr>
                <w:sz w:val="16"/>
              </w:rPr>
              <w:t>1,1</w:t>
            </w:r>
          </w:p>
        </w:tc>
        <w:tc>
          <w:tcPr>
            <w:tcW w:w="1368" w:type="dxa"/>
          </w:tcPr>
          <w:p w:rsidR="00000000" w:rsidRDefault="00000000">
            <w:pPr>
              <w:pStyle w:val="16"/>
              <w:rPr>
                <w:sz w:val="16"/>
              </w:rPr>
            </w:pPr>
            <w:r>
              <w:rPr>
                <w:sz w:val="16"/>
              </w:rPr>
              <w:t>5,64</w:t>
            </w:r>
          </w:p>
        </w:tc>
        <w:tc>
          <w:tcPr>
            <w:tcW w:w="1368" w:type="dxa"/>
          </w:tcPr>
          <w:p w:rsidR="00000000" w:rsidRDefault="00000000">
            <w:pPr>
              <w:pStyle w:val="16"/>
              <w:rPr>
                <w:sz w:val="16"/>
              </w:rPr>
            </w:pPr>
            <w:r>
              <w:rPr>
                <w:sz w:val="16"/>
              </w:rPr>
              <w:t>0,04</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Желтокожие</w:t>
            </w:r>
          </w:p>
        </w:tc>
        <w:tc>
          <w:tcPr>
            <w:tcW w:w="1367" w:type="dxa"/>
          </w:tcPr>
          <w:p w:rsidR="00000000" w:rsidRDefault="00000000">
            <w:pPr>
              <w:pStyle w:val="16"/>
              <w:rPr>
                <w:sz w:val="16"/>
              </w:rPr>
            </w:pPr>
            <w:r>
              <w:rPr>
                <w:sz w:val="16"/>
              </w:rPr>
              <w:t>99,4</w:t>
            </w:r>
          </w:p>
        </w:tc>
        <w:tc>
          <w:tcPr>
            <w:tcW w:w="1367" w:type="dxa"/>
          </w:tcPr>
          <w:p w:rsidR="00000000" w:rsidRDefault="00000000">
            <w:pPr>
              <w:pStyle w:val="16"/>
              <w:rPr>
                <w:sz w:val="16"/>
              </w:rPr>
            </w:pPr>
            <w:r>
              <w:rPr>
                <w:sz w:val="16"/>
              </w:rPr>
              <w:t>0,6</w:t>
            </w:r>
          </w:p>
        </w:tc>
        <w:tc>
          <w:tcPr>
            <w:tcW w:w="1367" w:type="dxa"/>
          </w:tcPr>
          <w:p w:rsidR="00000000" w:rsidRDefault="00000000">
            <w:pPr>
              <w:pStyle w:val="16"/>
              <w:rPr>
                <w:sz w:val="16"/>
              </w:rPr>
            </w:pPr>
            <w:r>
              <w:rPr>
                <w:sz w:val="16"/>
              </w:rPr>
              <w:t>10,6</w:t>
            </w:r>
          </w:p>
        </w:tc>
        <w:tc>
          <w:tcPr>
            <w:tcW w:w="1367" w:type="dxa"/>
          </w:tcPr>
          <w:p w:rsidR="00000000" w:rsidRDefault="00000000">
            <w:pPr>
              <w:pStyle w:val="16"/>
              <w:rPr>
                <w:sz w:val="16"/>
              </w:rPr>
            </w:pPr>
            <w:r>
              <w:rPr>
                <w:sz w:val="16"/>
              </w:rPr>
              <w:t>3,1</w:t>
            </w:r>
          </w:p>
        </w:tc>
        <w:tc>
          <w:tcPr>
            <w:tcW w:w="1368" w:type="dxa"/>
          </w:tcPr>
          <w:p w:rsidR="00000000" w:rsidRDefault="00000000">
            <w:pPr>
              <w:pStyle w:val="16"/>
              <w:rPr>
                <w:sz w:val="16"/>
              </w:rPr>
            </w:pPr>
            <w:r>
              <w:rPr>
                <w:sz w:val="16"/>
              </w:rPr>
              <w:t>10,75</w:t>
            </w:r>
          </w:p>
        </w:tc>
        <w:tc>
          <w:tcPr>
            <w:tcW w:w="1368" w:type="dxa"/>
          </w:tcPr>
          <w:p w:rsidR="00000000" w:rsidRDefault="00000000">
            <w:pPr>
              <w:pStyle w:val="16"/>
              <w:rPr>
                <w:sz w:val="16"/>
              </w:rPr>
            </w:pPr>
            <w:r>
              <w:rPr>
                <w:sz w:val="16"/>
              </w:rPr>
              <w:t>0,25</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Мулаты и метисы</w:t>
            </w:r>
          </w:p>
        </w:tc>
        <w:tc>
          <w:tcPr>
            <w:tcW w:w="1367" w:type="dxa"/>
          </w:tcPr>
          <w:p w:rsidR="00000000" w:rsidRDefault="00000000">
            <w:pPr>
              <w:pStyle w:val="16"/>
              <w:rPr>
                <w:sz w:val="16"/>
              </w:rPr>
            </w:pPr>
            <w:r>
              <w:rPr>
                <w:sz w:val="16"/>
              </w:rPr>
              <w:t>90,7</w:t>
            </w:r>
          </w:p>
        </w:tc>
        <w:tc>
          <w:tcPr>
            <w:tcW w:w="1367" w:type="dxa"/>
          </w:tcPr>
          <w:p w:rsidR="00000000" w:rsidRDefault="00000000">
            <w:pPr>
              <w:pStyle w:val="16"/>
              <w:rPr>
                <w:sz w:val="16"/>
              </w:rPr>
            </w:pPr>
            <w:r>
              <w:rPr>
                <w:sz w:val="16"/>
              </w:rPr>
              <w:t>0,2</w:t>
            </w:r>
          </w:p>
        </w:tc>
        <w:tc>
          <w:tcPr>
            <w:tcW w:w="1367" w:type="dxa"/>
          </w:tcPr>
          <w:p w:rsidR="00000000" w:rsidRDefault="00000000">
            <w:pPr>
              <w:pStyle w:val="16"/>
              <w:rPr>
                <w:sz w:val="16"/>
              </w:rPr>
            </w:pPr>
            <w:r>
              <w:rPr>
                <w:sz w:val="16"/>
              </w:rPr>
              <w:t>42,7</w:t>
            </w:r>
          </w:p>
        </w:tc>
        <w:tc>
          <w:tcPr>
            <w:tcW w:w="1367" w:type="dxa"/>
          </w:tcPr>
          <w:p w:rsidR="00000000" w:rsidRDefault="00000000">
            <w:pPr>
              <w:pStyle w:val="16"/>
              <w:rPr>
                <w:sz w:val="16"/>
              </w:rPr>
            </w:pPr>
            <w:r>
              <w:rPr>
                <w:sz w:val="16"/>
              </w:rPr>
              <w:t>0,4</w:t>
            </w:r>
          </w:p>
        </w:tc>
        <w:tc>
          <w:tcPr>
            <w:tcW w:w="1368" w:type="dxa"/>
          </w:tcPr>
          <w:p w:rsidR="00000000" w:rsidRDefault="00000000">
            <w:pPr>
              <w:pStyle w:val="16"/>
              <w:rPr>
                <w:sz w:val="16"/>
              </w:rPr>
            </w:pPr>
            <w:r>
              <w:rPr>
                <w:sz w:val="16"/>
              </w:rPr>
              <w:t>5,62</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Мальчики</w:t>
            </w:r>
          </w:p>
        </w:tc>
        <w:tc>
          <w:tcPr>
            <w:tcW w:w="1367" w:type="dxa"/>
          </w:tcPr>
          <w:p w:rsidR="00000000" w:rsidRDefault="00000000">
            <w:pPr>
              <w:pStyle w:val="16"/>
              <w:rPr>
                <w:sz w:val="16"/>
              </w:rPr>
            </w:pPr>
            <w:r>
              <w:rPr>
                <w:sz w:val="16"/>
              </w:rPr>
              <w:t>92,5</w:t>
            </w:r>
          </w:p>
        </w:tc>
        <w:tc>
          <w:tcPr>
            <w:tcW w:w="1367" w:type="dxa"/>
          </w:tcPr>
          <w:p w:rsidR="00000000" w:rsidRDefault="00000000">
            <w:pPr>
              <w:pStyle w:val="16"/>
              <w:rPr>
                <w:sz w:val="16"/>
              </w:rPr>
            </w:pPr>
            <w:r>
              <w:rPr>
                <w:sz w:val="16"/>
              </w:rPr>
              <w:t>0,2</w:t>
            </w:r>
          </w:p>
        </w:tc>
        <w:tc>
          <w:tcPr>
            <w:tcW w:w="1367" w:type="dxa"/>
          </w:tcPr>
          <w:p w:rsidR="00000000" w:rsidRDefault="00000000">
            <w:pPr>
              <w:pStyle w:val="16"/>
              <w:rPr>
                <w:sz w:val="16"/>
              </w:rPr>
            </w:pPr>
            <w:r>
              <w:rPr>
                <w:sz w:val="16"/>
              </w:rPr>
              <w:t>34,0</w:t>
            </w:r>
          </w:p>
        </w:tc>
        <w:tc>
          <w:tcPr>
            <w:tcW w:w="1367" w:type="dxa"/>
          </w:tcPr>
          <w:p w:rsidR="00000000" w:rsidRDefault="00000000">
            <w:pPr>
              <w:pStyle w:val="16"/>
              <w:rPr>
                <w:sz w:val="16"/>
              </w:rPr>
            </w:pPr>
            <w:r>
              <w:rPr>
                <w:sz w:val="16"/>
              </w:rPr>
              <w:t>0,3</w:t>
            </w:r>
          </w:p>
        </w:tc>
        <w:tc>
          <w:tcPr>
            <w:tcW w:w="1368" w:type="dxa"/>
          </w:tcPr>
          <w:p w:rsidR="00000000" w:rsidRDefault="00000000">
            <w:pPr>
              <w:pStyle w:val="16"/>
              <w:rPr>
                <w:sz w:val="16"/>
              </w:rPr>
            </w:pPr>
            <w:r>
              <w:rPr>
                <w:sz w:val="16"/>
              </w:rPr>
              <w:t>6,34</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Девочки</w:t>
            </w:r>
          </w:p>
        </w:tc>
        <w:tc>
          <w:tcPr>
            <w:tcW w:w="1367" w:type="dxa"/>
          </w:tcPr>
          <w:p w:rsidR="00000000" w:rsidRDefault="00000000">
            <w:pPr>
              <w:pStyle w:val="16"/>
              <w:rPr>
                <w:sz w:val="16"/>
              </w:rPr>
            </w:pPr>
            <w:r>
              <w:rPr>
                <w:sz w:val="16"/>
              </w:rPr>
              <w:t>93,6</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25,6</w:t>
            </w:r>
          </w:p>
        </w:tc>
        <w:tc>
          <w:tcPr>
            <w:tcW w:w="1367" w:type="dxa"/>
          </w:tcPr>
          <w:p w:rsidR="00000000" w:rsidRDefault="00000000">
            <w:pPr>
              <w:pStyle w:val="16"/>
              <w:rPr>
                <w:sz w:val="16"/>
              </w:rPr>
            </w:pPr>
            <w:r>
              <w:rPr>
                <w:sz w:val="16"/>
              </w:rPr>
              <w:t>0,3</w:t>
            </w:r>
          </w:p>
        </w:tc>
        <w:tc>
          <w:tcPr>
            <w:tcW w:w="1368" w:type="dxa"/>
          </w:tcPr>
          <w:p w:rsidR="00000000" w:rsidRDefault="00000000">
            <w:pPr>
              <w:pStyle w:val="16"/>
              <w:rPr>
                <w:sz w:val="16"/>
              </w:rPr>
            </w:pPr>
            <w:r>
              <w:rPr>
                <w:sz w:val="16"/>
              </w:rPr>
              <w:t>7,19</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Городское население</w:t>
            </w:r>
          </w:p>
        </w:tc>
        <w:tc>
          <w:tcPr>
            <w:tcW w:w="1367" w:type="dxa"/>
          </w:tcPr>
          <w:p w:rsidR="00000000" w:rsidRDefault="00000000">
            <w:pPr>
              <w:pStyle w:val="16"/>
              <w:rPr>
                <w:sz w:val="16"/>
              </w:rPr>
            </w:pPr>
            <w:r>
              <w:rPr>
                <w:sz w:val="16"/>
              </w:rPr>
              <w:t>94,6</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23,0</w:t>
            </w:r>
          </w:p>
        </w:tc>
        <w:tc>
          <w:tcPr>
            <w:tcW w:w="1367" w:type="dxa"/>
          </w:tcPr>
          <w:p w:rsidR="00000000" w:rsidRDefault="00000000">
            <w:pPr>
              <w:pStyle w:val="16"/>
              <w:rPr>
                <w:sz w:val="16"/>
              </w:rPr>
            </w:pPr>
            <w:r>
              <w:rPr>
                <w:sz w:val="16"/>
              </w:rPr>
              <w:t>0,2</w:t>
            </w:r>
          </w:p>
        </w:tc>
        <w:tc>
          <w:tcPr>
            <w:tcW w:w="1368" w:type="dxa"/>
          </w:tcPr>
          <w:p w:rsidR="00000000" w:rsidRDefault="00000000">
            <w:pPr>
              <w:pStyle w:val="16"/>
              <w:rPr>
                <w:sz w:val="16"/>
              </w:rPr>
            </w:pPr>
            <w:r>
              <w:rPr>
                <w:sz w:val="16"/>
              </w:rPr>
              <w:t>7,36</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Сельское население</w:t>
            </w:r>
          </w:p>
        </w:tc>
        <w:tc>
          <w:tcPr>
            <w:tcW w:w="1367" w:type="dxa"/>
          </w:tcPr>
          <w:p w:rsidR="00000000" w:rsidRDefault="00000000">
            <w:pPr>
              <w:pStyle w:val="16"/>
              <w:rPr>
                <w:sz w:val="16"/>
              </w:rPr>
            </w:pPr>
            <w:r>
              <w:rPr>
                <w:sz w:val="16"/>
              </w:rPr>
              <w:t>88,0</w:t>
            </w:r>
          </w:p>
        </w:tc>
        <w:tc>
          <w:tcPr>
            <w:tcW w:w="1367" w:type="dxa"/>
          </w:tcPr>
          <w:p w:rsidR="00000000" w:rsidRDefault="00000000">
            <w:pPr>
              <w:pStyle w:val="16"/>
              <w:rPr>
                <w:sz w:val="16"/>
              </w:rPr>
            </w:pPr>
            <w:r>
              <w:rPr>
                <w:sz w:val="16"/>
              </w:rPr>
              <w:t>0,3</w:t>
            </w:r>
          </w:p>
        </w:tc>
        <w:tc>
          <w:tcPr>
            <w:tcW w:w="1367" w:type="dxa"/>
          </w:tcPr>
          <w:p w:rsidR="00000000" w:rsidRDefault="00000000">
            <w:pPr>
              <w:pStyle w:val="16"/>
              <w:rPr>
                <w:sz w:val="16"/>
              </w:rPr>
            </w:pPr>
            <w:r>
              <w:rPr>
                <w:sz w:val="16"/>
              </w:rPr>
              <w:t>52,3</w:t>
            </w:r>
          </w:p>
        </w:tc>
        <w:tc>
          <w:tcPr>
            <w:tcW w:w="1367" w:type="dxa"/>
          </w:tcPr>
          <w:p w:rsidR="00000000" w:rsidRDefault="00000000">
            <w:pPr>
              <w:pStyle w:val="16"/>
              <w:rPr>
                <w:sz w:val="16"/>
              </w:rPr>
            </w:pPr>
            <w:r>
              <w:rPr>
                <w:sz w:val="16"/>
              </w:rPr>
              <w:t>0,6</w:t>
            </w:r>
          </w:p>
        </w:tc>
        <w:tc>
          <w:tcPr>
            <w:tcW w:w="1368" w:type="dxa"/>
          </w:tcPr>
          <w:p w:rsidR="00000000" w:rsidRDefault="00000000">
            <w:pPr>
              <w:pStyle w:val="16"/>
              <w:rPr>
                <w:sz w:val="16"/>
              </w:rPr>
            </w:pPr>
            <w:r>
              <w:rPr>
                <w:sz w:val="16"/>
              </w:rPr>
              <w:t>4,36</w:t>
            </w:r>
          </w:p>
        </w:tc>
        <w:tc>
          <w:tcPr>
            <w:tcW w:w="1368" w:type="dxa"/>
          </w:tcPr>
          <w:p w:rsidR="00000000" w:rsidRDefault="00000000">
            <w:pPr>
              <w:pStyle w:val="16"/>
              <w:rPr>
                <w:sz w:val="16"/>
              </w:rPr>
            </w:pPr>
            <w:r>
              <w:rPr>
                <w:sz w:val="16"/>
              </w:rPr>
              <w:t>0,02</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Немигранты</w:t>
            </w:r>
          </w:p>
        </w:tc>
        <w:tc>
          <w:tcPr>
            <w:tcW w:w="1367" w:type="dxa"/>
          </w:tcPr>
          <w:p w:rsidR="00000000" w:rsidRDefault="00000000">
            <w:pPr>
              <w:pStyle w:val="16"/>
              <w:rPr>
                <w:sz w:val="16"/>
              </w:rPr>
            </w:pPr>
            <w:r>
              <w:rPr>
                <w:sz w:val="16"/>
              </w:rPr>
              <w:t>93,0</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30,0</w:t>
            </w:r>
          </w:p>
        </w:tc>
        <w:tc>
          <w:tcPr>
            <w:tcW w:w="1367" w:type="dxa"/>
          </w:tcPr>
          <w:p w:rsidR="00000000" w:rsidRDefault="00000000">
            <w:pPr>
              <w:pStyle w:val="16"/>
              <w:rPr>
                <w:sz w:val="16"/>
              </w:rPr>
            </w:pPr>
            <w:r>
              <w:rPr>
                <w:sz w:val="16"/>
              </w:rPr>
              <w:t>0,2</w:t>
            </w:r>
          </w:p>
        </w:tc>
        <w:tc>
          <w:tcPr>
            <w:tcW w:w="1368" w:type="dxa"/>
          </w:tcPr>
          <w:p w:rsidR="00000000" w:rsidRDefault="00000000">
            <w:pPr>
              <w:pStyle w:val="16"/>
              <w:rPr>
                <w:sz w:val="16"/>
              </w:rPr>
            </w:pPr>
            <w:r>
              <w:rPr>
                <w:sz w:val="16"/>
              </w:rPr>
              <w:t>6,76</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Мигранты</w:t>
            </w:r>
          </w:p>
        </w:tc>
        <w:tc>
          <w:tcPr>
            <w:tcW w:w="1367" w:type="dxa"/>
          </w:tcPr>
          <w:p w:rsidR="00000000" w:rsidRDefault="00000000">
            <w:pPr>
              <w:pStyle w:val="16"/>
              <w:rPr>
                <w:sz w:val="16"/>
              </w:rPr>
            </w:pPr>
            <w:r>
              <w:rPr>
                <w:sz w:val="16"/>
              </w:rPr>
              <w:t>93,1</w:t>
            </w:r>
          </w:p>
        </w:tc>
        <w:tc>
          <w:tcPr>
            <w:tcW w:w="1367" w:type="dxa"/>
          </w:tcPr>
          <w:p w:rsidR="00000000" w:rsidRDefault="00000000">
            <w:pPr>
              <w:pStyle w:val="16"/>
              <w:rPr>
                <w:sz w:val="16"/>
              </w:rPr>
            </w:pPr>
            <w:r>
              <w:rPr>
                <w:sz w:val="16"/>
              </w:rPr>
              <w:t>0,4</w:t>
            </w:r>
          </w:p>
        </w:tc>
        <w:tc>
          <w:tcPr>
            <w:tcW w:w="1367" w:type="dxa"/>
          </w:tcPr>
          <w:p w:rsidR="00000000" w:rsidRDefault="00000000">
            <w:pPr>
              <w:pStyle w:val="16"/>
              <w:rPr>
                <w:sz w:val="16"/>
              </w:rPr>
            </w:pPr>
            <w:r>
              <w:rPr>
                <w:sz w:val="16"/>
              </w:rPr>
              <w:t>27,8</w:t>
            </w:r>
          </w:p>
        </w:tc>
        <w:tc>
          <w:tcPr>
            <w:tcW w:w="1367" w:type="dxa"/>
          </w:tcPr>
          <w:p w:rsidR="00000000" w:rsidRDefault="00000000">
            <w:pPr>
              <w:pStyle w:val="16"/>
              <w:rPr>
                <w:sz w:val="16"/>
              </w:rPr>
            </w:pPr>
            <w:r>
              <w:rPr>
                <w:sz w:val="16"/>
              </w:rPr>
              <w:t>0,8</w:t>
            </w:r>
          </w:p>
        </w:tc>
        <w:tc>
          <w:tcPr>
            <w:tcW w:w="1368" w:type="dxa"/>
          </w:tcPr>
          <w:p w:rsidR="00000000" w:rsidRDefault="00000000">
            <w:pPr>
              <w:pStyle w:val="16"/>
              <w:rPr>
                <w:sz w:val="16"/>
              </w:rPr>
            </w:pPr>
            <w:r>
              <w:rPr>
                <w:sz w:val="16"/>
              </w:rPr>
              <w:t>6,81</w:t>
            </w:r>
          </w:p>
        </w:tc>
        <w:tc>
          <w:tcPr>
            <w:tcW w:w="1368" w:type="dxa"/>
          </w:tcPr>
          <w:p w:rsidR="00000000" w:rsidRDefault="00000000">
            <w:pPr>
              <w:pStyle w:val="16"/>
              <w:rPr>
                <w:sz w:val="16"/>
              </w:rPr>
            </w:pPr>
            <w:r>
              <w:rPr>
                <w:sz w:val="16"/>
              </w:rPr>
              <w:t>0,03</w:t>
            </w:r>
          </w:p>
        </w:tc>
      </w:tr>
      <w:tr w:rsidR="00000000">
        <w:tblPrEx>
          <w:tblCellMar>
            <w:top w:w="0" w:type="dxa"/>
            <w:bottom w:w="0" w:type="dxa"/>
          </w:tblCellMar>
        </w:tblPrEx>
        <w:tc>
          <w:tcPr>
            <w:tcW w:w="1367" w:type="dxa"/>
          </w:tcPr>
          <w:p w:rsidR="00000000" w:rsidRDefault="00000000">
            <w:pPr>
              <w:pStyle w:val="16"/>
              <w:jc w:val="left"/>
              <w:rPr>
                <w:sz w:val="16"/>
              </w:rPr>
            </w:pPr>
            <w:r>
              <w:rPr>
                <w:sz w:val="16"/>
              </w:rPr>
              <w:t>Небедное население*</w:t>
            </w:r>
          </w:p>
        </w:tc>
        <w:tc>
          <w:tcPr>
            <w:tcW w:w="1367" w:type="dxa"/>
          </w:tcPr>
          <w:p w:rsidR="00000000" w:rsidRDefault="00000000">
            <w:pPr>
              <w:pStyle w:val="16"/>
              <w:rPr>
                <w:sz w:val="16"/>
              </w:rPr>
            </w:pPr>
            <w:r>
              <w:rPr>
                <w:sz w:val="16"/>
              </w:rPr>
              <w:t>96,5</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14,8</w:t>
            </w:r>
          </w:p>
        </w:tc>
        <w:tc>
          <w:tcPr>
            <w:tcW w:w="1367" w:type="dxa"/>
          </w:tcPr>
          <w:p w:rsidR="00000000" w:rsidRDefault="00000000">
            <w:pPr>
              <w:pStyle w:val="16"/>
              <w:rPr>
                <w:sz w:val="16"/>
              </w:rPr>
            </w:pPr>
            <w:r>
              <w:rPr>
                <w:sz w:val="16"/>
              </w:rPr>
              <w:t>0,2</w:t>
            </w:r>
          </w:p>
        </w:tc>
        <w:tc>
          <w:tcPr>
            <w:tcW w:w="1368" w:type="dxa"/>
          </w:tcPr>
          <w:p w:rsidR="00000000" w:rsidRDefault="00000000">
            <w:pPr>
              <w:pStyle w:val="16"/>
              <w:rPr>
                <w:sz w:val="16"/>
              </w:rPr>
            </w:pPr>
          </w:p>
        </w:tc>
        <w:tc>
          <w:tcPr>
            <w:tcW w:w="1368" w:type="dxa"/>
          </w:tcPr>
          <w:p w:rsidR="00000000" w:rsidRDefault="00000000">
            <w:pPr>
              <w:pStyle w:val="16"/>
              <w:rPr>
                <w:sz w:val="16"/>
              </w:rPr>
            </w:pPr>
          </w:p>
        </w:tc>
      </w:tr>
      <w:tr w:rsidR="00000000">
        <w:tblPrEx>
          <w:tblCellMar>
            <w:top w:w="0" w:type="dxa"/>
            <w:bottom w:w="0" w:type="dxa"/>
          </w:tblCellMar>
        </w:tblPrEx>
        <w:tc>
          <w:tcPr>
            <w:tcW w:w="1367" w:type="dxa"/>
          </w:tcPr>
          <w:p w:rsidR="00000000" w:rsidRDefault="00000000">
            <w:pPr>
              <w:pStyle w:val="16"/>
              <w:jc w:val="left"/>
              <w:rPr>
                <w:sz w:val="16"/>
              </w:rPr>
            </w:pPr>
            <w:r>
              <w:rPr>
                <w:sz w:val="16"/>
              </w:rPr>
              <w:t>Малоимущее население*</w:t>
            </w:r>
          </w:p>
        </w:tc>
        <w:tc>
          <w:tcPr>
            <w:tcW w:w="1367" w:type="dxa"/>
          </w:tcPr>
          <w:p w:rsidR="00000000" w:rsidRDefault="00000000">
            <w:pPr>
              <w:pStyle w:val="16"/>
              <w:rPr>
                <w:sz w:val="16"/>
              </w:rPr>
            </w:pPr>
            <w:r>
              <w:rPr>
                <w:sz w:val="16"/>
              </w:rPr>
              <w:t>88,9</w:t>
            </w:r>
          </w:p>
        </w:tc>
        <w:tc>
          <w:tcPr>
            <w:tcW w:w="1367" w:type="dxa"/>
          </w:tcPr>
          <w:p w:rsidR="00000000" w:rsidRDefault="00000000">
            <w:pPr>
              <w:pStyle w:val="16"/>
              <w:rPr>
                <w:sz w:val="16"/>
              </w:rPr>
            </w:pPr>
            <w:r>
              <w:rPr>
                <w:sz w:val="16"/>
              </w:rPr>
              <w:t>0,2</w:t>
            </w:r>
          </w:p>
        </w:tc>
        <w:tc>
          <w:tcPr>
            <w:tcW w:w="1367" w:type="dxa"/>
          </w:tcPr>
          <w:p w:rsidR="00000000" w:rsidRDefault="00000000">
            <w:pPr>
              <w:pStyle w:val="16"/>
              <w:rPr>
                <w:sz w:val="16"/>
              </w:rPr>
            </w:pPr>
            <w:r>
              <w:rPr>
                <w:sz w:val="16"/>
              </w:rPr>
              <w:t>48,7</w:t>
            </w:r>
          </w:p>
        </w:tc>
        <w:tc>
          <w:tcPr>
            <w:tcW w:w="1367" w:type="dxa"/>
          </w:tcPr>
          <w:p w:rsidR="00000000" w:rsidRDefault="00000000">
            <w:pPr>
              <w:pStyle w:val="16"/>
              <w:rPr>
                <w:sz w:val="16"/>
              </w:rPr>
            </w:pPr>
            <w:r>
              <w:rPr>
                <w:sz w:val="16"/>
              </w:rPr>
              <w:t>0,4</w:t>
            </w:r>
          </w:p>
        </w:tc>
        <w:tc>
          <w:tcPr>
            <w:tcW w:w="1368" w:type="dxa"/>
          </w:tcPr>
          <w:p w:rsidR="00000000" w:rsidRDefault="00000000">
            <w:pPr>
              <w:pStyle w:val="16"/>
              <w:rPr>
                <w:sz w:val="16"/>
              </w:rPr>
            </w:pPr>
          </w:p>
        </w:tc>
        <w:tc>
          <w:tcPr>
            <w:tcW w:w="1368" w:type="dxa"/>
          </w:tcPr>
          <w:p w:rsidR="00000000" w:rsidRDefault="00000000">
            <w:pPr>
              <w:pStyle w:val="16"/>
              <w:rPr>
                <w:sz w:val="16"/>
              </w:rPr>
            </w:pPr>
          </w:p>
        </w:tc>
      </w:tr>
      <w:tr w:rsidR="00000000">
        <w:tblPrEx>
          <w:tblCellMar>
            <w:top w:w="0" w:type="dxa"/>
            <w:bottom w:w="0" w:type="dxa"/>
          </w:tblCellMar>
        </w:tblPrEx>
        <w:tc>
          <w:tcPr>
            <w:tcW w:w="1367" w:type="dxa"/>
          </w:tcPr>
          <w:p w:rsidR="00000000" w:rsidRDefault="00000000">
            <w:pPr>
              <w:pStyle w:val="16"/>
              <w:jc w:val="left"/>
              <w:rPr>
                <w:sz w:val="16"/>
              </w:rPr>
            </w:pPr>
            <w:r>
              <w:rPr>
                <w:sz w:val="16"/>
              </w:rPr>
              <w:t>Южный, юго-восточный и центрально-западный регионы</w:t>
            </w:r>
          </w:p>
        </w:tc>
        <w:tc>
          <w:tcPr>
            <w:tcW w:w="1367" w:type="dxa"/>
          </w:tcPr>
          <w:p w:rsidR="00000000" w:rsidRDefault="00000000">
            <w:pPr>
              <w:pStyle w:val="16"/>
              <w:rPr>
                <w:sz w:val="16"/>
              </w:rPr>
            </w:pPr>
            <w:r>
              <w:rPr>
                <w:sz w:val="16"/>
              </w:rPr>
              <w:t>95,1</w:t>
            </w:r>
          </w:p>
        </w:tc>
        <w:tc>
          <w:tcPr>
            <w:tcW w:w="1367" w:type="dxa"/>
          </w:tcPr>
          <w:p w:rsidR="00000000" w:rsidRDefault="00000000">
            <w:pPr>
              <w:pStyle w:val="16"/>
              <w:rPr>
                <w:sz w:val="16"/>
              </w:rPr>
            </w:pPr>
            <w:r>
              <w:rPr>
                <w:sz w:val="16"/>
              </w:rPr>
              <w:t>0,1</w:t>
            </w:r>
          </w:p>
        </w:tc>
        <w:tc>
          <w:tcPr>
            <w:tcW w:w="1367" w:type="dxa"/>
          </w:tcPr>
          <w:p w:rsidR="00000000" w:rsidRDefault="00000000">
            <w:pPr>
              <w:pStyle w:val="16"/>
              <w:rPr>
                <w:sz w:val="16"/>
              </w:rPr>
            </w:pPr>
            <w:r>
              <w:rPr>
                <w:sz w:val="16"/>
              </w:rPr>
              <w:t>16,2</w:t>
            </w:r>
          </w:p>
        </w:tc>
        <w:tc>
          <w:tcPr>
            <w:tcW w:w="1367" w:type="dxa"/>
          </w:tcPr>
          <w:p w:rsidR="00000000" w:rsidRDefault="00000000">
            <w:pPr>
              <w:pStyle w:val="16"/>
              <w:rPr>
                <w:sz w:val="16"/>
              </w:rPr>
            </w:pPr>
            <w:r>
              <w:rPr>
                <w:sz w:val="16"/>
              </w:rPr>
              <w:t>0,3</w:t>
            </w:r>
          </w:p>
        </w:tc>
        <w:tc>
          <w:tcPr>
            <w:tcW w:w="1368" w:type="dxa"/>
          </w:tcPr>
          <w:p w:rsidR="00000000" w:rsidRDefault="00000000">
            <w:pPr>
              <w:pStyle w:val="16"/>
              <w:rPr>
                <w:sz w:val="16"/>
              </w:rPr>
            </w:pPr>
            <w:r>
              <w:rPr>
                <w:sz w:val="16"/>
              </w:rPr>
              <w:t>7,54</w:t>
            </w:r>
          </w:p>
        </w:tc>
        <w:tc>
          <w:tcPr>
            <w:tcW w:w="1368" w:type="dxa"/>
          </w:tcPr>
          <w:p w:rsidR="00000000" w:rsidRDefault="00000000">
            <w:pPr>
              <w:pStyle w:val="16"/>
              <w:rPr>
                <w:sz w:val="16"/>
              </w:rPr>
            </w:pPr>
            <w:r>
              <w:rPr>
                <w:sz w:val="16"/>
              </w:rPr>
              <w:t>0,01</w:t>
            </w:r>
          </w:p>
        </w:tc>
      </w:tr>
      <w:tr w:rsidR="00000000">
        <w:tblPrEx>
          <w:tblCellMar>
            <w:top w:w="0" w:type="dxa"/>
            <w:bottom w:w="0" w:type="dxa"/>
          </w:tblCellMar>
        </w:tblPrEx>
        <w:tc>
          <w:tcPr>
            <w:tcW w:w="1367" w:type="dxa"/>
          </w:tcPr>
          <w:p w:rsidR="00000000" w:rsidRDefault="00000000">
            <w:pPr>
              <w:pStyle w:val="16"/>
              <w:jc w:val="left"/>
              <w:rPr>
                <w:sz w:val="16"/>
              </w:rPr>
            </w:pPr>
            <w:r>
              <w:rPr>
                <w:sz w:val="16"/>
              </w:rPr>
              <w:t>Северный и северо-восточный регионы</w:t>
            </w:r>
          </w:p>
        </w:tc>
        <w:tc>
          <w:tcPr>
            <w:tcW w:w="1367" w:type="dxa"/>
          </w:tcPr>
          <w:p w:rsidR="00000000" w:rsidRDefault="00000000">
            <w:pPr>
              <w:pStyle w:val="16"/>
              <w:rPr>
                <w:sz w:val="16"/>
              </w:rPr>
            </w:pPr>
            <w:r>
              <w:rPr>
                <w:sz w:val="16"/>
              </w:rPr>
              <w:t>89,8</w:t>
            </w:r>
          </w:p>
        </w:tc>
        <w:tc>
          <w:tcPr>
            <w:tcW w:w="1367" w:type="dxa"/>
          </w:tcPr>
          <w:p w:rsidR="00000000" w:rsidRDefault="00000000">
            <w:pPr>
              <w:pStyle w:val="16"/>
              <w:rPr>
                <w:sz w:val="16"/>
              </w:rPr>
            </w:pPr>
            <w:r>
              <w:rPr>
                <w:sz w:val="16"/>
              </w:rPr>
              <w:t>0,2</w:t>
            </w:r>
          </w:p>
        </w:tc>
        <w:tc>
          <w:tcPr>
            <w:tcW w:w="1367" w:type="dxa"/>
          </w:tcPr>
          <w:p w:rsidR="00000000" w:rsidRDefault="00000000">
            <w:pPr>
              <w:pStyle w:val="16"/>
              <w:rPr>
                <w:sz w:val="16"/>
              </w:rPr>
            </w:pPr>
            <w:r>
              <w:rPr>
                <w:sz w:val="16"/>
              </w:rPr>
              <w:t>50,8</w:t>
            </w:r>
          </w:p>
        </w:tc>
        <w:tc>
          <w:tcPr>
            <w:tcW w:w="1367" w:type="dxa"/>
          </w:tcPr>
          <w:p w:rsidR="00000000" w:rsidRDefault="00000000">
            <w:pPr>
              <w:pStyle w:val="16"/>
              <w:rPr>
                <w:sz w:val="16"/>
              </w:rPr>
            </w:pPr>
            <w:r>
              <w:rPr>
                <w:sz w:val="16"/>
              </w:rPr>
              <w:t>0,4</w:t>
            </w:r>
          </w:p>
        </w:tc>
        <w:tc>
          <w:tcPr>
            <w:tcW w:w="1368" w:type="dxa"/>
          </w:tcPr>
          <w:p w:rsidR="00000000" w:rsidRDefault="00000000">
            <w:pPr>
              <w:pStyle w:val="16"/>
              <w:rPr>
                <w:sz w:val="16"/>
              </w:rPr>
            </w:pPr>
            <w:r>
              <w:rPr>
                <w:sz w:val="16"/>
              </w:rPr>
              <w:t>5,39</w:t>
            </w:r>
          </w:p>
        </w:tc>
        <w:tc>
          <w:tcPr>
            <w:tcW w:w="1368" w:type="dxa"/>
          </w:tcPr>
          <w:p w:rsidR="00000000" w:rsidRDefault="00000000">
            <w:pPr>
              <w:pStyle w:val="16"/>
              <w:rPr>
                <w:sz w:val="16"/>
              </w:rPr>
            </w:pPr>
            <w:r>
              <w:rPr>
                <w:sz w:val="16"/>
              </w:rPr>
              <w:t>0,01</w:t>
            </w:r>
          </w:p>
        </w:tc>
      </w:tr>
    </w:tbl>
    <w:p w:rsidR="00000000" w:rsidRDefault="00000000">
      <w:pPr>
        <w:pStyle w:val="16"/>
        <w:tabs>
          <w:tab w:val="left" w:pos="5610"/>
        </w:tabs>
        <w:rPr>
          <w:b/>
          <w:bCs/>
          <w:sz w:val="20"/>
        </w:rPr>
      </w:pPr>
    </w:p>
    <w:p w:rsidR="00000000" w:rsidRDefault="00000000">
      <w:pPr>
        <w:pStyle w:val="16"/>
        <w:tabs>
          <w:tab w:val="left" w:pos="5610"/>
        </w:tabs>
        <w:jc w:val="left"/>
      </w:pPr>
      <w:r>
        <w:tab/>
      </w:r>
      <w:r>
        <w:rPr>
          <w:u w:val="single"/>
        </w:rPr>
        <w:t>Источник</w:t>
      </w:r>
      <w:r>
        <w:t>:  составлено на основе данных, взятых из общенационального выборочного обследования домашних хозяйств (ОВОДХ) 1997 года.</w:t>
      </w:r>
    </w:p>
    <w:p w:rsidR="00000000" w:rsidRDefault="00000000">
      <w:pPr>
        <w:pStyle w:val="16"/>
        <w:tabs>
          <w:tab w:val="left" w:pos="5610"/>
        </w:tabs>
        <w:rPr>
          <w:b/>
          <w:bCs/>
          <w:sz w:val="20"/>
        </w:rPr>
      </w:pPr>
    </w:p>
    <w:p w:rsidR="00000000" w:rsidRDefault="00000000">
      <w:pPr>
        <w:pStyle w:val="16"/>
        <w:tabs>
          <w:tab w:val="left" w:pos="5610"/>
        </w:tabs>
        <w:jc w:val="left"/>
      </w:pPr>
      <w:r>
        <w:tab/>
        <w:t>*</w:t>
      </w:r>
      <w:r>
        <w:tab/>
        <w:t>Под "малоимущим" населением понимаются лица с доходом на душу населения в семье по состоянию на сентябрь 1997 года менее 75 реалов;  под "мигрантами" понимаются лица, рожденные в другом государстве, нежели то государство, в котором они проживают в настоящее время;  выражение "среднее число лет школьного обучения" не используется в качестве фактора для определения имущественного положения, поскольку образование является важным фактором доходов и соответствующий показатель отражает обратную причинно-следственную связь.</w:t>
      </w:r>
    </w:p>
    <w:p w:rsidR="00000000" w:rsidRDefault="00000000">
      <w:pPr>
        <w:pStyle w:val="16"/>
        <w:tabs>
          <w:tab w:val="left" w:pos="5610"/>
        </w:tabs>
        <w:jc w:val="left"/>
      </w:pPr>
    </w:p>
    <w:p w:rsidR="00000000" w:rsidRDefault="00000000">
      <w:r>
        <w:t>785.</w:t>
      </w:r>
      <w:r>
        <w:tab/>
        <w:t>Из приведенной выше таблицы ясно следует, что к группам, находящимся в неблагоприятном с точки зрения образования положении, относятся следующие группы населения (в порядке убывания степени уязвимости):  малоимущее население, жители сельских районов, жители севера и северо-востока, общины коренных народов, чернокожие.  Мигранты - люди, проживающие не в том государстве, в котором они родились, - находятся в положении, которое, как это ни удивительно, в статистическом отношении не отличается от положения немигрантов.  Показатели, касающиеся мальчиков, хуже, чем по девочкам:  это различие в статистическом отношении существенно, хотя оно и меньше, чем в отношении других групп.</w:t>
      </w:r>
    </w:p>
    <w:p w:rsidR="00000000" w:rsidRDefault="00000000"/>
    <w:p w:rsidR="00000000" w:rsidRDefault="00000000">
      <w:r>
        <w:t>786.</w:t>
      </w:r>
      <w:r>
        <w:tab/>
        <w:t>Для решения этой проблемы в новых Национальных параметрах учебных программ Бразилии (</w:t>
      </w:r>
      <w:r>
        <w:rPr>
          <w:i/>
          <w:iCs/>
        </w:rPr>
        <w:t>Parâmetros Curriculares Nacionais</w:t>
      </w:r>
      <w:r>
        <w:t>) придается большое значение вопросу о культурном многообразии в целях ликвидации дискриминации, которой подвергаются вышеупомянутые группы населения.  Это предусматривает изучение и более глубокое осмысление этнических и культурных особенностей многочисленных социальных групп населения Бразилии.  Благодаря анализу различных условий, в которых они проживают, в том числе социально-экономического неравенства и дискриминации в социальных отношениях, которые по</w:t>
      </w:r>
      <w:r>
        <w:noBreakHyphen/>
        <w:t xml:space="preserve">прежнему характерны для бразильского общества, школьники и студенты получают возможность лучше узнать Бразилию, страну, отличающуюся сложностью и многообразием, носящими иногда парадоксальный характер.  В результате этого произнесенные на уроке слова о разнообразии становятся отражением ключевого фактора формирования национальной самобытности и свидетельствуют о приверженности бразильского правительства решению социальных вопросов.  Правительство также считает необходимым осуществление программ минимальных доходов с помощью инвестирования в наиболее нуждающиеся районы страны.  В качестве примера можно привести проект </w:t>
      </w:r>
      <w:r>
        <w:rPr>
          <w:i/>
          <w:iCs/>
        </w:rPr>
        <w:t>Projeto Nordeste,</w:t>
      </w:r>
      <w:r>
        <w:t xml:space="preserve"> предназначенный для севера-востока, и Фонд образования </w:t>
      </w:r>
      <w:r>
        <w:rPr>
          <w:i/>
          <w:iCs/>
        </w:rPr>
        <w:t>FUNDESCOLA.</w:t>
      </w:r>
      <w:r>
        <w:t xml:space="preserve">  При этом одновременно стимулируется развитие специального образования с охватом всех слоев населения и поддерживаются инициативы в сфере образования в общинах коренных народов.  За вышеупомянутыми примерами стоит политика правительства, направленная непосредственно на обеспечение доступа к образованию групп населения, находящихся в наиболее неблагоприятном положении.</w:t>
      </w:r>
    </w:p>
    <w:p w:rsidR="00000000" w:rsidRDefault="00000000"/>
    <w:p w:rsidR="00000000" w:rsidRDefault="00000000">
      <w:r>
        <w:t>787.</w:t>
      </w:r>
      <w:r>
        <w:tab/>
        <w:t xml:space="preserve">Правительство Бразилии также глубоко обеспокоено качеством начального образования, что нашло свое отражение в создании Фонда развития и материально-технического обеспечения базового образования (ФУНДЕФ).  Этот Фонд гарантирует выделение минимальных средств на одного учащегося в год, а само финансирование осуществляется в соответствии с Конституцией Бразилии.  Любой штат, не имеющий возможности выделить эти минимальные средства, получает дополнительное финансирование от федерального правительства. </w:t>
      </w:r>
    </w:p>
    <w:p w:rsidR="00000000" w:rsidRDefault="00000000"/>
    <w:p w:rsidR="00000000" w:rsidRDefault="00000000">
      <w:r>
        <w:t>788.</w:t>
      </w:r>
      <w:r>
        <w:tab/>
        <w:t xml:space="preserve">Другой мерой, предназначенной обеспечить стабильное выделение средств государственным школам, является программа министерства образования под названием </w:t>
      </w:r>
      <w:r>
        <w:rPr>
          <w:i/>
          <w:iCs/>
        </w:rPr>
        <w:t>Dinheiro na Escola.</w:t>
      </w:r>
      <w:r>
        <w:t xml:space="preserve">  По линии этой финансовой программы школам непосредственно выделяются средства для удовлетворения их насущных потребностей, которые относительно невелики, но зачастую являются весьма острыми.</w:t>
      </w:r>
    </w:p>
    <w:p w:rsidR="00000000" w:rsidRDefault="00000000"/>
    <w:p w:rsidR="00000000" w:rsidRDefault="00000000">
      <w:r>
        <w:t>789.</w:t>
      </w:r>
      <w:r>
        <w:tab/>
        <w:t>В новом Законе об основах и руководящих принципах образования, обнародованном в 1996 году, предусмотрен постепенный переход к обязательному среднему образованию.  Благодаря этому закону, а также растущему числу учащихся, получивших базовое образование, в 1994-1998 годах наблюдалось существенное увеличение количества учащихся, продолживших обучение в старших классах средней школы (65,4% в государственных школах по сравнению с 18,0% в частных средних школах).</w:t>
      </w:r>
    </w:p>
    <w:p w:rsidR="00000000" w:rsidRDefault="00000000"/>
    <w:p w:rsidR="00000000" w:rsidRDefault="00000000">
      <w:r>
        <w:t>790.</w:t>
      </w:r>
      <w:r>
        <w:tab/>
        <w:t>С 1975 года в Бразилии действует система кредитования лиц, желающих обучаться в частных высших учебных заведениях, под названием "Программа образовательного кредита" (</w:t>
      </w:r>
      <w:r>
        <w:rPr>
          <w:i/>
          <w:iCs/>
        </w:rPr>
        <w:t>Programa de Crédito Educativo</w:t>
      </w:r>
      <w:r>
        <w:t xml:space="preserve">).  В мае 1999 года на смену этой Программе пришел Фонд финансирования студентов высших учебных заведений (ФИЕС - </w:t>
      </w:r>
      <w:r>
        <w:rPr>
          <w:i/>
          <w:iCs/>
        </w:rPr>
        <w:t>Fundo de Financiamento ao Estudente de Ensino Superior</w:t>
      </w:r>
      <w:r>
        <w:t>), цель которого состоит в погашении 70% средств, взимаемых в качестве платы за обучение со студентов высших учебных заведений.</w:t>
      </w:r>
    </w:p>
    <w:p w:rsidR="00000000" w:rsidRDefault="00000000"/>
    <w:p w:rsidR="00000000" w:rsidRDefault="00000000">
      <w:r>
        <w:t>791.</w:t>
      </w:r>
      <w:r>
        <w:tab/>
        <w:t>Хотя официальным языком Бразилии является португальский язык, правительство принимает меры для расширения культурного многообразия страны, постепенно вводя в общинах коренных народов систему преподавания предметов на их родных языках.  Кроме того, насколько это возможно, делается попытка включить в учебные программы широкое многообразие языков коренных народов Бразилии.</w:t>
      </w:r>
    </w:p>
    <w:p w:rsidR="00000000" w:rsidRDefault="00000000"/>
    <w:p w:rsidR="00000000" w:rsidRDefault="00000000">
      <w:r>
        <w:t>792.</w:t>
      </w:r>
      <w:r>
        <w:tab/>
        <w:t>При поддержке правительства по всей стране проходят широкие и полезные дискуссии по вопросу об образовании, что является позитивным результатом укрепления прав граждан.  Этим дискуссиям в значительной степени способствовало выделение соответствующих средств правительством, стремящимся все полнее удовлетворять потребности населения и наилучшим образом использовать бюджетные ассигнования.  Право на образование относится бразильским правительством к числу основополагающих.</w:t>
      </w:r>
    </w:p>
    <w:p w:rsidR="00000000" w:rsidRDefault="00000000"/>
    <w:p w:rsidR="00000000" w:rsidRDefault="00000000">
      <w:r>
        <w:t>793.</w:t>
      </w:r>
      <w:r>
        <w:tab/>
        <w:t>Как уже говорилось, в 1998 году был создан Фонд развития и материально-технического обеспечения базового образования (ФУНДЕФ).  Этот Фонд состоит из 15% налоговых поступлений, в том числе средств, переводимых в соответствии с Конституцией, и предназначен для материально-технического обеспечения и развития базового образования.  В основе распределения средств на уровне каждого штата и федерального округа между правительством штата и администрацией муниципальных округов лежит долевой принцип, учитывающий количество учащихся, ежегодно регистрируемых в школах на уровне базового образования.  Федеральное правительство выделяет дополнительные средства в тех случаях, когда средства, выделяемые по линии Фонда, не покрывают общенационального минимума в расчете на каждого учащегося (в 1999 году эта минимальная сумма составляла 315 реалов).</w:t>
      </w:r>
    </w:p>
    <w:p w:rsidR="00000000" w:rsidRDefault="00000000"/>
    <w:p w:rsidR="00000000" w:rsidRDefault="00000000">
      <w:r>
        <w:t>794.</w:t>
      </w:r>
      <w:r>
        <w:tab/>
        <w:t xml:space="preserve">С помощью ФУНДЕФ, а также дополнительных средств, выделяемых, при необходимости, федеральным правительством, оплачивается 60% труда работников государственной системы базового образования.  В течение первых пяти лет действия этого закона часть средств Фонда может быть использована для подготовки преподавателей, не имеющих профессиональной квалификации.  Им дается пять лет на получение необходимой квалификации, после чего они могут быть приняты в штат работников системы базового образования. </w:t>
      </w:r>
    </w:p>
    <w:p w:rsidR="00000000" w:rsidRDefault="00000000"/>
    <w:p w:rsidR="00000000" w:rsidRDefault="00000000">
      <w:r>
        <w:t>795.</w:t>
      </w:r>
      <w:r>
        <w:tab/>
        <w:t>Согласно Закону о ФУНДЕФ, в течение шести лет после его вступления в силу штаты, федеральный округ и муниципальные округа обязаны подготовить новый План продвижения по службе и оплаты труда преподавателей (</w:t>
      </w:r>
      <w:r>
        <w:rPr>
          <w:i/>
          <w:iCs/>
          <w:lang w:val="en-US"/>
        </w:rPr>
        <w:t>Plano</w:t>
      </w:r>
      <w:r>
        <w:rPr>
          <w:i/>
          <w:iCs/>
        </w:rPr>
        <w:t xml:space="preserve"> </w:t>
      </w:r>
      <w:r>
        <w:rPr>
          <w:i/>
          <w:iCs/>
          <w:lang w:val="en-US"/>
        </w:rPr>
        <w:t>de</w:t>
      </w:r>
      <w:r>
        <w:rPr>
          <w:i/>
          <w:iCs/>
        </w:rPr>
        <w:t xml:space="preserve"> </w:t>
      </w:r>
      <w:r>
        <w:rPr>
          <w:i/>
          <w:iCs/>
          <w:lang w:val="en-US"/>
        </w:rPr>
        <w:t>Carreira</w:t>
      </w:r>
      <w:r>
        <w:rPr>
          <w:i/>
          <w:iCs/>
        </w:rPr>
        <w:t xml:space="preserve"> </w:t>
      </w:r>
      <w:r>
        <w:rPr>
          <w:i/>
          <w:iCs/>
          <w:lang w:val="en-US"/>
        </w:rPr>
        <w:t>e</w:t>
      </w:r>
      <w:r>
        <w:rPr>
          <w:i/>
          <w:iCs/>
        </w:rPr>
        <w:t xml:space="preserve"> </w:t>
      </w:r>
      <w:r>
        <w:rPr>
          <w:i/>
          <w:iCs/>
          <w:lang w:val="en-US"/>
        </w:rPr>
        <w:t>Remunera</w:t>
      </w:r>
      <w:r>
        <w:rPr>
          <w:i/>
          <w:iCs/>
        </w:rPr>
        <w:t xml:space="preserve">çãо </w:t>
      </w:r>
      <w:r>
        <w:rPr>
          <w:i/>
          <w:iCs/>
          <w:lang w:val="en-US"/>
        </w:rPr>
        <w:t>do</w:t>
      </w:r>
      <w:r>
        <w:rPr>
          <w:i/>
          <w:iCs/>
        </w:rPr>
        <w:t xml:space="preserve"> </w:t>
      </w:r>
      <w:r>
        <w:rPr>
          <w:i/>
          <w:iCs/>
          <w:lang w:val="en-US"/>
        </w:rPr>
        <w:t>Magist</w:t>
      </w:r>
      <w:r>
        <w:rPr>
          <w:i/>
          <w:iCs/>
        </w:rPr>
        <w:t>é</w:t>
      </w:r>
      <w:r>
        <w:rPr>
          <w:i/>
          <w:iCs/>
          <w:lang w:val="en-US"/>
        </w:rPr>
        <w:t>rio</w:t>
      </w:r>
      <w:r>
        <w:t xml:space="preserve">), исходя из руководящих принципов, принятых Национальным советом по вопросам образования (НСО - </w:t>
      </w:r>
      <w:r>
        <w:rPr>
          <w:i/>
          <w:iCs/>
          <w:lang w:val="en-US"/>
        </w:rPr>
        <w:t>Conselho</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Educa</w:t>
      </w:r>
      <w:r>
        <w:rPr>
          <w:i/>
          <w:iCs/>
        </w:rPr>
        <w:t>çã</w:t>
      </w:r>
      <w:r>
        <w:rPr>
          <w:i/>
          <w:iCs/>
          <w:lang w:val="en-US"/>
        </w:rPr>
        <w:t>o</w:t>
      </w:r>
      <w:r>
        <w:t>).  Это срок оговорен в положениях, законность которых была оспорена в иске, поданном в Федеральный верховный суд.  Другим негативным факторов является то обстоятельство, что эти положения были обнародованы Национальным советом по вопросам образования лишь в октябре 1997 года.</w:t>
      </w:r>
    </w:p>
    <w:p w:rsidR="00000000" w:rsidRDefault="00000000"/>
    <w:p w:rsidR="00000000" w:rsidRDefault="00000000">
      <w:r>
        <w:t>796.</w:t>
      </w:r>
      <w:r>
        <w:tab/>
        <w:t xml:space="preserve">Оплата труда преподавателей является еще одним непростым вопросом.  Создание Фонда положительно сказалось на заработной плате учителей.  Согласно Национальному индексу потребительских цен (НИПЦ - </w:t>
      </w:r>
      <w:r>
        <w:rPr>
          <w:i/>
          <w:iCs/>
        </w:rPr>
        <w:t>Ì</w:t>
      </w:r>
      <w:r>
        <w:rPr>
          <w:i/>
          <w:iCs/>
          <w:lang w:val="en-US"/>
        </w:rPr>
        <w:t>ndice</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Pre</w:t>
      </w:r>
      <w:r>
        <w:rPr>
          <w:i/>
          <w:iCs/>
        </w:rPr>
        <w:t>ç</w:t>
      </w:r>
      <w:r>
        <w:rPr>
          <w:i/>
          <w:iCs/>
          <w:lang w:val="en-US"/>
        </w:rPr>
        <w:t>os</w:t>
      </w:r>
      <w:r>
        <w:rPr>
          <w:i/>
          <w:iCs/>
        </w:rPr>
        <w:t xml:space="preserve"> </w:t>
      </w:r>
      <w:r>
        <w:rPr>
          <w:i/>
          <w:iCs/>
          <w:lang w:val="en-US"/>
        </w:rPr>
        <w:t>ao</w:t>
      </w:r>
      <w:r>
        <w:rPr>
          <w:i/>
          <w:iCs/>
        </w:rPr>
        <w:t xml:space="preserve"> </w:t>
      </w:r>
      <w:r>
        <w:rPr>
          <w:i/>
          <w:iCs/>
          <w:lang w:val="en-US"/>
        </w:rPr>
        <w:t>Consumidor</w:t>
      </w:r>
      <w:r>
        <w:t>), с декабря 1997 года по июнь 2000 года заработная плата учителей школ сети базового образования штатов и муниципальных округов возросла в среднем на 29,5% при уровне инфляции в 12%.  Средняя заработная плата выросла с 717 до 929 реалов, а наибольший рост, наблюдавшийся в муниципальной сети, составил 33,3%:  с 620 до 826 реалов.</w:t>
      </w:r>
    </w:p>
    <w:p w:rsidR="00000000" w:rsidRDefault="00000000"/>
    <w:p w:rsidR="00000000" w:rsidRDefault="00000000">
      <w:r>
        <w:t>797.</w:t>
      </w:r>
      <w:r>
        <w:tab/>
        <w:t>На севере и северо-востоке Бразилии наблюдался более высокий рост, нежели в среднем по стране.  На северо-востоке оплата труда учителей выросла на 59,7%, а в муниципальной сети - в среднем на 70,1%.  Средний рост в северной Бразилии составил 35%, причем в сети штатов он был несколько выше (37,9%).  В центрально-западном регионе Бразилии рост заработной платы составил 26,5%, на юго-востоке - 23,6% и на юге - 22,1%.</w:t>
      </w:r>
    </w:p>
    <w:p w:rsidR="00000000" w:rsidRDefault="00000000"/>
    <w:p w:rsidR="00000000" w:rsidRDefault="00000000">
      <w:r>
        <w:t>798.</w:t>
      </w:r>
      <w:r>
        <w:tab/>
        <w:t>Эти данные были получены в ходе Обзора процесса осуществления ФУНДЕФ (</w:t>
      </w:r>
      <w:r>
        <w:rPr>
          <w:i/>
          <w:iCs/>
          <w:lang w:val="en-US"/>
        </w:rPr>
        <w:t>Pesquisa</w:t>
      </w:r>
      <w:r>
        <w:rPr>
          <w:i/>
          <w:iCs/>
        </w:rPr>
        <w:t xml:space="preserve"> </w:t>
      </w:r>
      <w:r>
        <w:rPr>
          <w:i/>
          <w:iCs/>
          <w:lang w:val="en-US"/>
        </w:rPr>
        <w:t>sobre</w:t>
      </w:r>
      <w:r>
        <w:rPr>
          <w:i/>
          <w:iCs/>
        </w:rPr>
        <w:t xml:space="preserve"> </w:t>
      </w:r>
      <w:r>
        <w:rPr>
          <w:i/>
          <w:iCs/>
          <w:lang w:val="en-US"/>
        </w:rPr>
        <w:t>Avalia</w:t>
      </w:r>
      <w:r>
        <w:rPr>
          <w:i/>
          <w:iCs/>
        </w:rPr>
        <w:t xml:space="preserve">çãо </w:t>
      </w:r>
      <w:r>
        <w:rPr>
          <w:i/>
          <w:iCs/>
          <w:lang w:val="en-US"/>
        </w:rPr>
        <w:t>do</w:t>
      </w:r>
      <w:r>
        <w:rPr>
          <w:i/>
          <w:iCs/>
        </w:rPr>
        <w:t xml:space="preserve"> </w:t>
      </w:r>
      <w:r>
        <w:rPr>
          <w:i/>
          <w:iCs/>
          <w:lang w:val="en-US"/>
        </w:rPr>
        <w:t>Processo</w:t>
      </w:r>
      <w:r>
        <w:rPr>
          <w:i/>
          <w:iCs/>
        </w:rPr>
        <w:t xml:space="preserve"> </w:t>
      </w:r>
      <w:r>
        <w:rPr>
          <w:i/>
          <w:iCs/>
          <w:lang w:val="en-US"/>
        </w:rPr>
        <w:t>de</w:t>
      </w:r>
      <w:r>
        <w:rPr>
          <w:i/>
          <w:iCs/>
        </w:rPr>
        <w:t xml:space="preserve"> </w:t>
      </w:r>
      <w:r>
        <w:rPr>
          <w:i/>
          <w:iCs/>
          <w:lang w:val="en-US"/>
        </w:rPr>
        <w:t>Implanta</w:t>
      </w:r>
      <w:r>
        <w:rPr>
          <w:i/>
          <w:iCs/>
        </w:rPr>
        <w:t>çã</w:t>
      </w:r>
      <w:r>
        <w:rPr>
          <w:i/>
          <w:iCs/>
          <w:lang w:val="en-US"/>
        </w:rPr>
        <w:t>o</w:t>
      </w:r>
      <w:r>
        <w:rPr>
          <w:i/>
          <w:iCs/>
        </w:rPr>
        <w:t xml:space="preserve"> </w:t>
      </w:r>
      <w:r>
        <w:rPr>
          <w:i/>
          <w:iCs/>
          <w:lang w:val="en-US"/>
        </w:rPr>
        <w:t>do</w:t>
      </w:r>
      <w:r>
        <w:rPr>
          <w:i/>
          <w:iCs/>
        </w:rPr>
        <w:t xml:space="preserve"> </w:t>
      </w:r>
      <w:r>
        <w:rPr>
          <w:i/>
          <w:iCs/>
          <w:lang w:val="en-US"/>
        </w:rPr>
        <w:t>FUNDEF</w:t>
      </w:r>
      <w:r>
        <w:t xml:space="preserve">), который был проведен по просьбе министерства образования Фондом Института прикладных экономических исследований (ФИПЭ - </w:t>
      </w:r>
      <w:r>
        <w:rPr>
          <w:i/>
          <w:iCs/>
          <w:lang w:val="en-US"/>
        </w:rPr>
        <w:t>Funda</w:t>
      </w:r>
      <w:r>
        <w:rPr>
          <w:i/>
          <w:iCs/>
        </w:rPr>
        <w:t>çã</w:t>
      </w:r>
      <w:r>
        <w:rPr>
          <w:i/>
          <w:iCs/>
          <w:lang w:val="en-US"/>
        </w:rPr>
        <w:t>o</w:t>
      </w:r>
      <w:r>
        <w:rPr>
          <w:i/>
          <w:iCs/>
        </w:rPr>
        <w:t xml:space="preserve"> </w:t>
      </w:r>
      <w:r>
        <w:rPr>
          <w:i/>
          <w:iCs/>
          <w:lang w:val="en-US"/>
        </w:rPr>
        <w:t>Instituto</w:t>
      </w:r>
      <w:r>
        <w:rPr>
          <w:i/>
          <w:iCs/>
        </w:rPr>
        <w:t xml:space="preserve"> </w:t>
      </w:r>
      <w:r>
        <w:rPr>
          <w:i/>
          <w:iCs/>
          <w:lang w:val="en-US"/>
        </w:rPr>
        <w:t>de</w:t>
      </w:r>
      <w:r>
        <w:rPr>
          <w:i/>
          <w:iCs/>
        </w:rPr>
        <w:t xml:space="preserve"> </w:t>
      </w:r>
      <w:r>
        <w:rPr>
          <w:i/>
          <w:iCs/>
          <w:lang w:val="en-US"/>
        </w:rPr>
        <w:t>Pesquisas</w:t>
      </w:r>
      <w:r>
        <w:rPr>
          <w:i/>
          <w:iCs/>
        </w:rPr>
        <w:t xml:space="preserve"> </w:t>
      </w:r>
      <w:r>
        <w:rPr>
          <w:i/>
          <w:iCs/>
          <w:lang w:val="en-US"/>
        </w:rPr>
        <w:t>Econ</w:t>
      </w:r>
      <w:r>
        <w:rPr>
          <w:i/>
          <w:iCs/>
        </w:rPr>
        <w:t>ô</w:t>
      </w:r>
      <w:r>
        <w:rPr>
          <w:i/>
          <w:iCs/>
          <w:lang w:val="en-US"/>
        </w:rPr>
        <w:t>micas</w:t>
      </w:r>
      <w:r>
        <w:rPr>
          <w:i/>
          <w:iCs/>
        </w:rPr>
        <w:t xml:space="preserve"> </w:t>
      </w:r>
      <w:r>
        <w:rPr>
          <w:i/>
          <w:iCs/>
          <w:lang w:val="en-US"/>
        </w:rPr>
        <w:t>Aplicadas</w:t>
      </w:r>
      <w:r>
        <w:t>) Университета Сан-Паулу.  В результате проведения этого обзора была собрана информация о распределении средств между штатами и муниципальными округами, а также о повышении квалификации учителей.  За точку отсчета была принята средняя оплата труда преподавателей, работающих 40 часов в неделю.</w:t>
      </w:r>
    </w:p>
    <w:p w:rsidR="00000000" w:rsidRDefault="00000000"/>
    <w:p w:rsidR="00000000" w:rsidRDefault="00000000">
      <w:r>
        <w:t>799.</w:t>
      </w:r>
      <w:r>
        <w:tab/>
        <w:t>Увеличение размера окладов преподавателей является одной из ключевых задач ФУНДЕФ, который выделяет 60% своих средств на оплату труда учителей государственных школ в системе базового образования.  Из данных, полученных в ходе этого обзора, следует, что в 1997-2000 годах в 39% сетей базового образования рост оплаты труда превысил 50%.</w:t>
      </w:r>
    </w:p>
    <w:p w:rsidR="00000000" w:rsidRDefault="00000000"/>
    <w:p w:rsidR="00000000" w:rsidRDefault="00000000">
      <w:r>
        <w:t>800.</w:t>
      </w:r>
      <w:r>
        <w:tab/>
        <w:t>За исключением высшего образования, государственные учебные заведения опережают частные на всех уровнях образования с точки зрения количества учащихся и числа учебных заведений.  В 1994-1998 годах доля частной сети в общем количестве учебных заведений выросла с 16% до 25% (дошкольное обучение);  с 7% до 9% (базовое образование);  с 31% до 34% (старшие классы средней школы) и с 74% до 78% (высшее образование).</w:t>
      </w:r>
    </w:p>
    <w:p w:rsidR="00000000" w:rsidRDefault="00000000"/>
    <w:p w:rsidR="00000000" w:rsidRDefault="00000000">
      <w:r>
        <w:t>801.</w:t>
      </w:r>
      <w:r>
        <w:tab/>
        <w:t>Каких-либо серьезных трудностей для открытия частных школ не существует, хотя для этого требуется предварительная аккредитация соответствующим Советом штата по делам образования (</w:t>
      </w:r>
      <w:r>
        <w:rPr>
          <w:i/>
          <w:iCs/>
          <w:lang w:val="en-US"/>
        </w:rPr>
        <w:t>Conselho</w:t>
      </w:r>
      <w:r>
        <w:rPr>
          <w:i/>
          <w:iCs/>
        </w:rPr>
        <w:t xml:space="preserve"> </w:t>
      </w:r>
      <w:r>
        <w:rPr>
          <w:i/>
          <w:iCs/>
          <w:lang w:val="en-US"/>
        </w:rPr>
        <w:t>Estadual</w:t>
      </w:r>
      <w:r>
        <w:rPr>
          <w:i/>
          <w:iCs/>
        </w:rPr>
        <w:t xml:space="preserve"> </w:t>
      </w:r>
      <w:r>
        <w:rPr>
          <w:i/>
          <w:iCs/>
          <w:lang w:val="en-US"/>
        </w:rPr>
        <w:t>de</w:t>
      </w:r>
      <w:r>
        <w:rPr>
          <w:i/>
          <w:iCs/>
        </w:rPr>
        <w:t xml:space="preserve"> </w:t>
      </w:r>
      <w:r>
        <w:rPr>
          <w:i/>
          <w:iCs/>
          <w:lang w:val="en-US"/>
        </w:rPr>
        <w:t>Educa</w:t>
      </w:r>
      <w:r>
        <w:rPr>
          <w:i/>
          <w:iCs/>
        </w:rPr>
        <w:t>çã</w:t>
      </w:r>
      <w:r>
        <w:rPr>
          <w:i/>
          <w:iCs/>
          <w:lang w:val="en-US"/>
        </w:rPr>
        <w:t>o</w:t>
      </w:r>
      <w:r>
        <w:t>) для средней школы (до старших классов включительно) и Национальным советом по делам образования для высших учебных заведений.</w:t>
      </w:r>
    </w:p>
    <w:p w:rsidR="00000000" w:rsidRDefault="00000000"/>
    <w:p w:rsidR="00000000" w:rsidRDefault="00000000">
      <w:r>
        <w:t>802.</w:t>
      </w:r>
      <w:r>
        <w:tab/>
        <w:t xml:space="preserve">Надеемся, что правительству Бразилии удалось убедить Комитет по экономическим, социальным и культурным правам в своей приверженности осуществлению права на образование.  Усилия, предпринимаемые на всех трех уровнях управления и сопровождающиеся все более широким привлечением общества к делу реорганизации государственной школьной системы Бразилии, находят свое отражение в неуклонном расширении доступа к образованию на всех уровнях.  В основе этих мер лежит принцип децентрализации программ и государственного финансирования всех уровней образования путем принятия транспарентных и универсальных критериев.  Хотя в этой области еще многое предстоит сделать, достигнуто уже немало.  </w:t>
      </w:r>
    </w:p>
    <w:p w:rsidR="00000000" w:rsidRDefault="00000000"/>
    <w:p w:rsidR="00000000" w:rsidRDefault="00000000">
      <w:r>
        <w:t>803.</w:t>
      </w:r>
      <w:r>
        <w:tab/>
        <w:t>В своих усилиях содействовать по осуществлению в полной мере права на образование Бразилия прибегала к международной помощи, особенно для финансирования проектов и исследований в сфере социального обеспечения.  Особенно активная деятельность осуществлялась ЮНИСЕФ и Программой развития Организации Объединенных Наций (ПРООН), а также ЮНЕСКО.  Важным источником финансирования являются кредиты Межамериканского банка развития (МБР) и Всемирного банка, направляемые на осуществление проектов, основная цель которых состоит в повышении качества образования в Бразилии при обеспечении равномерного охвата ее населения системой образования.</w:t>
      </w:r>
    </w:p>
    <w:p w:rsidR="00000000" w:rsidRDefault="00000000"/>
    <w:p w:rsidR="00000000" w:rsidRDefault="00000000">
      <w:r>
        <w:t>804.</w:t>
      </w:r>
      <w:r>
        <w:tab/>
        <w:t xml:space="preserve">Основным проектом, на который направляются средства по линии иностранной помощи и иностранных займов, является </w:t>
      </w:r>
      <w:r>
        <w:rPr>
          <w:i/>
          <w:iCs/>
          <w:lang w:val="en-US"/>
        </w:rPr>
        <w:t>Projeto</w:t>
      </w:r>
      <w:r>
        <w:rPr>
          <w:i/>
          <w:iCs/>
        </w:rPr>
        <w:t xml:space="preserve"> </w:t>
      </w:r>
      <w:r>
        <w:rPr>
          <w:i/>
          <w:iCs/>
          <w:lang w:val="en-US"/>
        </w:rPr>
        <w:t>Nordeste</w:t>
      </w:r>
      <w:r>
        <w:t>, осуществляемый в самых бедных районах Бразилии, в частности в северо-восточном регионе.  В рамках этого проекта был реорганизован и расширен Фонд образования ФУНДЕСКОЛА, деятельность которого была распространена на северный и центрально-западный регионы Бразилии.  Не менее важной является Программа повышения квалификации и расширения профессионального обучения (ПРОЕП), на реализацию которой по линии МБР выделено в общей сложности 500 млн. долл. США.</w:t>
      </w:r>
    </w:p>
    <w:p w:rsidR="00000000" w:rsidRDefault="00000000"/>
    <w:p w:rsidR="00000000" w:rsidRDefault="00000000">
      <w:r>
        <w:t>805.</w:t>
      </w:r>
      <w:r>
        <w:tab/>
        <w:t xml:space="preserve">Не менее важно отметить и то, что Бразилия активно участвует в совместных международных инициативах в области образования, оказывая помощь странам, относящимся к Сообществу португалоязычных стран (СПС - </w:t>
      </w:r>
      <w:r>
        <w:rPr>
          <w:i/>
          <w:iCs/>
          <w:lang w:val="en-US"/>
        </w:rPr>
        <w:t>Comunidade</w:t>
      </w:r>
      <w:r>
        <w:rPr>
          <w:i/>
          <w:iCs/>
        </w:rPr>
        <w:t xml:space="preserve"> </w:t>
      </w:r>
      <w:r>
        <w:rPr>
          <w:i/>
          <w:iCs/>
          <w:lang w:val="en-US"/>
        </w:rPr>
        <w:t>de</w:t>
      </w:r>
      <w:r>
        <w:rPr>
          <w:i/>
          <w:iCs/>
        </w:rPr>
        <w:t xml:space="preserve"> </w:t>
      </w:r>
      <w:r>
        <w:rPr>
          <w:i/>
          <w:iCs/>
          <w:lang w:val="en-US"/>
        </w:rPr>
        <w:t>Pa</w:t>
      </w:r>
      <w:r>
        <w:rPr>
          <w:i/>
          <w:iCs/>
        </w:rPr>
        <w:t>í</w:t>
      </w:r>
      <w:r>
        <w:rPr>
          <w:i/>
          <w:iCs/>
          <w:lang w:val="en-US"/>
        </w:rPr>
        <w:t>ses</w:t>
      </w:r>
      <w:r>
        <w:rPr>
          <w:i/>
          <w:iCs/>
        </w:rPr>
        <w:t xml:space="preserve"> </w:t>
      </w:r>
      <w:r>
        <w:rPr>
          <w:i/>
          <w:iCs/>
          <w:lang w:val="en-US"/>
        </w:rPr>
        <w:t>da</w:t>
      </w:r>
      <w:r>
        <w:rPr>
          <w:i/>
          <w:iCs/>
        </w:rPr>
        <w:t xml:space="preserve"> </w:t>
      </w:r>
      <w:r>
        <w:rPr>
          <w:i/>
          <w:iCs/>
          <w:lang w:val="en-US"/>
        </w:rPr>
        <w:t>Lingua</w:t>
      </w:r>
      <w:r>
        <w:rPr>
          <w:i/>
          <w:iCs/>
        </w:rPr>
        <w:t xml:space="preserve"> </w:t>
      </w:r>
      <w:r>
        <w:rPr>
          <w:i/>
          <w:iCs/>
          <w:lang w:val="en-US"/>
        </w:rPr>
        <w:t>Portuguesa</w:t>
      </w:r>
      <w:r>
        <w:t>), а также Восточному Тимору.</w:t>
      </w:r>
    </w:p>
    <w:p w:rsidR="00000000" w:rsidRDefault="00000000"/>
    <w:p w:rsidR="00000000" w:rsidRDefault="00000000">
      <w:pPr>
        <w:pStyle w:val="13"/>
        <w:rPr>
          <w:bCs/>
          <w:iCs/>
        </w:rPr>
      </w:pPr>
      <w:r>
        <w:rPr>
          <w:bCs/>
          <w:iCs/>
        </w:rPr>
        <w:t>Статья 15</w:t>
      </w:r>
    </w:p>
    <w:p w:rsidR="00000000" w:rsidRDefault="00000000">
      <w:pPr>
        <w:pStyle w:val="13"/>
        <w:rPr>
          <w:bCs/>
          <w:iCs/>
        </w:rPr>
      </w:pPr>
    </w:p>
    <w:p w:rsidR="00000000" w:rsidRDefault="00000000">
      <w:r>
        <w:t>806.</w:t>
      </w:r>
      <w:r>
        <w:tab/>
        <w:t>В начале своих комментариев по статье 15 Международного пакта об экономических, социальных и культурных правах бразильское правительство хотело бы сослаться на комментарии к документу, озаглавленному "Доклад гражданского общества о соблюдении Бразилией Международного пакта об экономических, социальных и культурных правах", который недавно был направлен Комитету по экономическим, социальным и культурным правам после проведения широких консультаций с гражданским обществом и его интенсивного обсуждения.</w:t>
      </w:r>
    </w:p>
    <w:p w:rsidR="00000000" w:rsidRDefault="00000000"/>
    <w:p w:rsidR="00000000" w:rsidRDefault="00000000">
      <w:r>
        <w:t>807.</w:t>
      </w:r>
      <w:r>
        <w:tab/>
        <w:t>В этом документе отмечаются три позитивных момента, касающиеся поощрения и защиты права на участие в культурной жизни и пользование результатами научно-технического прогресса</w:t>
      </w:r>
      <w:r>
        <w:rPr>
          <w:b/>
          <w:bCs/>
          <w:vertAlign w:val="superscript"/>
        </w:rPr>
        <w:t>31</w:t>
      </w:r>
      <w:r>
        <w:t xml:space="preserve"> в Бразилии.  В частности, приводятся ссылки на тот факт, что </w:t>
      </w:r>
      <w:r>
        <w:rPr>
          <w:lang w:val="en-US"/>
        </w:rPr>
        <w:t>i</w:t>
      </w:r>
      <w:r>
        <w:t>)</w:t>
      </w:r>
      <w:r>
        <w:rPr>
          <w:lang w:val="en-US"/>
        </w:rPr>
        <w:t>  </w:t>
      </w:r>
      <w:r>
        <w:t>"…в настоящее время в Бразилии отмечается реальный прогресс в том, что касается создания правовых основ для реализации культурных прав…";  </w:t>
      </w:r>
      <w:r>
        <w:rPr>
          <w:lang w:val="en-US"/>
        </w:rPr>
        <w:t>ii</w:t>
      </w:r>
      <w:r>
        <w:t>)</w:t>
      </w:r>
      <w:r>
        <w:rPr>
          <w:lang w:val="en-US"/>
        </w:rPr>
        <w:t>  </w:t>
      </w:r>
      <w:r>
        <w:t>"…другие также не отстают от этого прогресса в законодательной области…";  </w:t>
      </w:r>
      <w:r>
        <w:rPr>
          <w:lang w:val="en-US"/>
        </w:rPr>
        <w:t>iii</w:t>
      </w:r>
      <w:r>
        <w:t>)</w:t>
      </w:r>
      <w:r>
        <w:rPr>
          <w:lang w:val="en-US"/>
        </w:rPr>
        <w:t>  </w:t>
      </w:r>
      <w:r>
        <w:t>"также заслуживают внимания два конкретных примера, отражающие благоприятные изменения в позиции органов управления в том, что касается инвестиций в культурную сферу.  Показательным примером является появление высокопрофессиональных официальных средств массовой информации, таких, как телевизионные каналы, посвященные образованию и культуре (</w:t>
      </w:r>
      <w:r>
        <w:rPr>
          <w:i/>
          <w:iCs/>
          <w:lang w:val="en-US"/>
        </w:rPr>
        <w:t>TV</w:t>
      </w:r>
      <w:r>
        <w:rPr>
          <w:i/>
          <w:iCs/>
        </w:rPr>
        <w:t xml:space="preserve"> </w:t>
      </w:r>
      <w:r>
        <w:rPr>
          <w:i/>
          <w:iCs/>
          <w:lang w:val="en-US"/>
        </w:rPr>
        <w:t>Educativa</w:t>
      </w:r>
      <w:r>
        <w:t xml:space="preserve"> и</w:t>
      </w:r>
      <w:r>
        <w:rPr>
          <w:i/>
          <w:iCs/>
        </w:rPr>
        <w:t xml:space="preserve"> </w:t>
      </w:r>
      <w:r>
        <w:rPr>
          <w:i/>
          <w:iCs/>
          <w:lang w:val="en-US"/>
        </w:rPr>
        <w:t>TV</w:t>
      </w:r>
      <w:r>
        <w:rPr>
          <w:i/>
          <w:iCs/>
        </w:rPr>
        <w:t xml:space="preserve"> </w:t>
      </w:r>
      <w:r>
        <w:rPr>
          <w:i/>
          <w:iCs/>
          <w:lang w:val="en-US"/>
        </w:rPr>
        <w:t>Cultura</w:t>
      </w:r>
      <w:r>
        <w:rPr>
          <w:i/>
          <w:iCs/>
        </w:rPr>
        <w:t>)</w:t>
      </w:r>
      <w:r>
        <w:t>, которым были присуждены международные премии и которые способствовали освещению самых различных культурных мероприятий, имевших место в Бразилии…".</w:t>
      </w:r>
    </w:p>
    <w:p w:rsidR="00000000" w:rsidRDefault="00000000"/>
    <w:p w:rsidR="00000000" w:rsidRDefault="00000000">
      <w:r>
        <w:t>808.</w:t>
      </w:r>
      <w:r>
        <w:tab/>
        <w:t>После этих важных замечаний правительство Бразилии хотело бы более конкретно остановиться на представляющих интерес вопросах в связи с руководящими принципами Комитета по экономическим, социальным и культурным правам применительно к статье 15 Международного пакта.</w:t>
      </w:r>
    </w:p>
    <w:p w:rsidR="00000000" w:rsidRDefault="00000000"/>
    <w:p w:rsidR="00000000" w:rsidRDefault="00000000">
      <w:r>
        <w:t>809.</w:t>
      </w:r>
      <w:r>
        <w:tab/>
        <w:t>Правительство Бразилии придает самое большое значение участию общества в целом в культурной жизни страны, не проводя каких-либо различий и поощряя культурную самобытность многочисленных этнических групп, населяющих страну.  Политика Бразилии в области культуры направлена на выполнение этих задач.</w:t>
      </w:r>
    </w:p>
    <w:p w:rsidR="00000000" w:rsidRDefault="00000000"/>
    <w:p w:rsidR="00000000" w:rsidRDefault="00000000">
      <w:r>
        <w:t>810.</w:t>
      </w:r>
      <w:r>
        <w:tab/>
        <w:t>Основой деятельности правительства является Конституция Бразилии, в которой культура признается в качестве социального права, гарантированного статьями 215 и 216.  В этих статьях отражена как ответственность общества за защиту и развитие различных культурных проявлений, так и ответственность государства за создание условий для их развития.</w:t>
      </w:r>
    </w:p>
    <w:p w:rsidR="00000000" w:rsidRDefault="00000000"/>
    <w:p w:rsidR="00000000" w:rsidRDefault="00000000">
      <w:r>
        <w:t>811.</w:t>
      </w:r>
      <w:r>
        <w:tab/>
        <w:t>Культура также рассматривается в качестве важного сектора с точки зрения экономических показателей страны.  Книгопечатание, театр, музыка, кино, изобразительное искусство, танцевальное искусство и телевидение динамично развиваются в качестве секторов, создающих рабочие места, что важно для развития страны.  В 1994 году в Бразилии в этой области было занято 510 000 человек и на ее долю приходилось около 1% ВВП страны.</w:t>
      </w:r>
    </w:p>
    <w:p w:rsidR="00000000" w:rsidRDefault="00000000"/>
    <w:p w:rsidR="00000000" w:rsidRDefault="00000000">
      <w:r>
        <w:t>812.</w:t>
      </w:r>
      <w:r>
        <w:tab/>
        <w:t>На период 2000-2003 годов в секторе культуры вводится новая система управления.  В Многолетнем плане (МЛП), разработанном федеральным правительством, предусматриваются количественные показатели в отношении мониторинга программ, осуществляемых министерством культуры и подведомственными ему учреждениями.  На следующие четыре года этим Планом предусматриваются основные направления тех видов деятельности в рамках сектора культуры, которые входят в ведение государства.  Основой Плана являются количественные показатели, с помощью которых оценивается функционирование всех учреждений, чья деятельность связана с изобразительным искусством, библиотеками и сохранением культурного наследия Бразилии.  Это призвано повысить отдачу средств, направляемых правительством в этот сектор, и обеспечить большую преемственность мероприятий правительства.</w:t>
      </w:r>
    </w:p>
    <w:p w:rsidR="00000000" w:rsidRDefault="00000000"/>
    <w:p w:rsidR="00000000" w:rsidRDefault="00000000">
      <w:r>
        <w:t>813.</w:t>
      </w:r>
      <w:r>
        <w:tab/>
        <w:t xml:space="preserve">Для целей развития и сохранения культуры используются самые различные виды финансирования.  Часть налоговых поступлений расходуется на нужды культуры через посредство министерства культуры Бразилии и управлений штатов и муниципальных округов по делам культуры.  Федеральным законом № 8 313 были введены следующие механизмы финансирования:  Национальный фонд культуры (НФК - </w:t>
      </w:r>
      <w:r>
        <w:rPr>
          <w:i/>
          <w:iCs/>
        </w:rPr>
        <w:t>Fundo Nacional de Cultura)</w:t>
      </w:r>
      <w:r>
        <w:t xml:space="preserve">, который выделяет средства на осуществление проектов в области культуры путем предоставления подлежащих погашению займов или грантов физическим лицам или некоммерческим юридическим лицам, а также государственным учреждениям культуры;  и Фонд инвестиций в сферу культуры (ФИКАРТ - </w:t>
      </w:r>
      <w:r>
        <w:rPr>
          <w:i/>
          <w:iCs/>
        </w:rPr>
        <w:t>Fundo de Investimento Cultural e Artístico)</w:t>
      </w:r>
      <w:r>
        <w:t>, который находится в ведении Комиссии по делам недвижимости и поощрения искусств (</w:t>
      </w:r>
      <w:r>
        <w:rPr>
          <w:i/>
          <w:iCs/>
        </w:rPr>
        <w:t>Comissão de Valores Imobiliários e o Mecenato</w:t>
      </w:r>
      <w:r>
        <w:t>) и занимается введением налоговых льгот для налогоплательщиков, желающих вложить средства в сферу культуры.  Эти финансовые механизмы дополняются Федеральным законом № 8 685 (1993 год) с поправками, внесенными Законом № 9 323 (1996 год).  Законом об аудиовизуальных средствах регулируется проведение мероприятий по содействию осуществлению аудиовизуальных и кинематографических проектов независимыми продюсерами, а также смежных проектов, связанных с организацией выставок, распределением и обеспечением технической инфрастуктуры.  Помимо этих федеральных законов, существует целая сеть нормативных актов штатов и муниципальных округов, разработанных на основе соответствующего Закона о федеральных стимулах.</w:t>
      </w:r>
    </w:p>
    <w:p w:rsidR="00000000" w:rsidRDefault="00000000"/>
    <w:p w:rsidR="00000000" w:rsidRDefault="00000000">
      <w:r>
        <w:t>814.</w:t>
      </w:r>
      <w:r>
        <w:tab/>
        <w:t>В приводимой ниже таблице указан объем инвестиций в сферу культуры за последние несколько лет, включая налоговые льготы.</w:t>
      </w:r>
    </w:p>
    <w:p w:rsidR="00000000" w:rsidRDefault="00000000"/>
    <w:p w:rsidR="00000000" w:rsidRDefault="00000000">
      <w:pPr>
        <w:jc w:val="center"/>
        <w:rPr>
          <w:b/>
          <w:bCs/>
        </w:rPr>
      </w:pPr>
      <w:r>
        <w:rPr>
          <w:b/>
          <w:bCs/>
        </w:rPr>
        <w:t xml:space="preserve">Таблица 91.   Инвестиции в культуру, включая предоставление </w:t>
      </w:r>
    </w:p>
    <w:p w:rsidR="00000000" w:rsidRDefault="00000000">
      <w:pPr>
        <w:jc w:val="center"/>
      </w:pPr>
      <w:r>
        <w:rPr>
          <w:b/>
          <w:bCs/>
        </w:rPr>
        <w:t>налоговых льгот, 1995-1999 годы</w:t>
      </w:r>
      <w:r>
        <w:t>*</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4"/>
        <w:gridCol w:w="4786"/>
      </w:tblGrid>
      <w:tr w:rsidR="00000000">
        <w:tblPrEx>
          <w:tblCellMar>
            <w:top w:w="0" w:type="dxa"/>
            <w:bottom w:w="0" w:type="dxa"/>
          </w:tblCellMar>
        </w:tblPrEx>
        <w:tc>
          <w:tcPr>
            <w:tcW w:w="4785" w:type="dxa"/>
          </w:tcPr>
          <w:p w:rsidR="00000000" w:rsidRDefault="00000000">
            <w:pPr>
              <w:jc w:val="center"/>
            </w:pPr>
            <w:r>
              <w:t>Годы</w:t>
            </w:r>
          </w:p>
        </w:tc>
        <w:tc>
          <w:tcPr>
            <w:tcW w:w="4786" w:type="dxa"/>
          </w:tcPr>
          <w:p w:rsidR="00000000" w:rsidRDefault="00000000">
            <w:pPr>
              <w:jc w:val="center"/>
            </w:pPr>
            <w:r>
              <w:t>В реалах</w:t>
            </w:r>
          </w:p>
        </w:tc>
      </w:tr>
      <w:tr w:rsidR="00000000">
        <w:tblPrEx>
          <w:tblCellMar>
            <w:top w:w="0" w:type="dxa"/>
            <w:bottom w:w="0" w:type="dxa"/>
          </w:tblCellMar>
        </w:tblPrEx>
        <w:tc>
          <w:tcPr>
            <w:tcW w:w="4785" w:type="dxa"/>
          </w:tcPr>
          <w:p w:rsidR="00000000" w:rsidRDefault="00000000">
            <w:pPr>
              <w:jc w:val="center"/>
            </w:pPr>
            <w:r>
              <w:t>1995</w:t>
            </w:r>
          </w:p>
        </w:tc>
        <w:tc>
          <w:tcPr>
            <w:tcW w:w="4786" w:type="dxa"/>
          </w:tcPr>
          <w:p w:rsidR="00000000" w:rsidRDefault="00000000">
            <w:pPr>
              <w:jc w:val="center"/>
            </w:pPr>
            <w:r>
              <w:t>163 923 850</w:t>
            </w:r>
          </w:p>
        </w:tc>
      </w:tr>
      <w:tr w:rsidR="00000000">
        <w:tblPrEx>
          <w:tblCellMar>
            <w:top w:w="0" w:type="dxa"/>
            <w:bottom w:w="0" w:type="dxa"/>
          </w:tblCellMar>
        </w:tblPrEx>
        <w:tc>
          <w:tcPr>
            <w:tcW w:w="4785" w:type="dxa"/>
          </w:tcPr>
          <w:p w:rsidR="00000000" w:rsidRDefault="00000000">
            <w:pPr>
              <w:jc w:val="center"/>
            </w:pPr>
            <w:r>
              <w:t>1996</w:t>
            </w:r>
          </w:p>
        </w:tc>
        <w:tc>
          <w:tcPr>
            <w:tcW w:w="4786" w:type="dxa"/>
          </w:tcPr>
          <w:p w:rsidR="00000000" w:rsidRDefault="00000000">
            <w:pPr>
              <w:jc w:val="center"/>
            </w:pPr>
            <w:r>
              <w:t>249 372 977</w:t>
            </w:r>
          </w:p>
        </w:tc>
      </w:tr>
      <w:tr w:rsidR="00000000">
        <w:tblPrEx>
          <w:tblCellMar>
            <w:top w:w="0" w:type="dxa"/>
            <w:bottom w:w="0" w:type="dxa"/>
          </w:tblCellMar>
        </w:tblPrEx>
        <w:tc>
          <w:tcPr>
            <w:tcW w:w="4785" w:type="dxa"/>
          </w:tcPr>
          <w:p w:rsidR="00000000" w:rsidRDefault="00000000">
            <w:pPr>
              <w:jc w:val="center"/>
            </w:pPr>
            <w:r>
              <w:t>1997</w:t>
            </w:r>
          </w:p>
        </w:tc>
        <w:tc>
          <w:tcPr>
            <w:tcW w:w="4786" w:type="dxa"/>
          </w:tcPr>
          <w:p w:rsidR="00000000" w:rsidRDefault="00000000">
            <w:pPr>
              <w:jc w:val="center"/>
            </w:pPr>
            <w:r>
              <w:t>382 108 002</w:t>
            </w:r>
          </w:p>
        </w:tc>
      </w:tr>
      <w:tr w:rsidR="00000000">
        <w:tblPrEx>
          <w:tblCellMar>
            <w:top w:w="0" w:type="dxa"/>
            <w:bottom w:w="0" w:type="dxa"/>
          </w:tblCellMar>
        </w:tblPrEx>
        <w:tc>
          <w:tcPr>
            <w:tcW w:w="4785" w:type="dxa"/>
          </w:tcPr>
          <w:p w:rsidR="00000000" w:rsidRDefault="00000000">
            <w:pPr>
              <w:jc w:val="center"/>
            </w:pPr>
            <w:r>
              <w:t>1998</w:t>
            </w:r>
          </w:p>
        </w:tc>
        <w:tc>
          <w:tcPr>
            <w:tcW w:w="4786" w:type="dxa"/>
          </w:tcPr>
          <w:p w:rsidR="00000000" w:rsidRDefault="00000000">
            <w:pPr>
              <w:jc w:val="center"/>
            </w:pPr>
            <w:r>
              <w:t>347 463 546</w:t>
            </w:r>
          </w:p>
        </w:tc>
      </w:tr>
      <w:tr w:rsidR="00000000">
        <w:tblPrEx>
          <w:tblCellMar>
            <w:top w:w="0" w:type="dxa"/>
            <w:bottom w:w="0" w:type="dxa"/>
          </w:tblCellMar>
        </w:tblPrEx>
        <w:tc>
          <w:tcPr>
            <w:tcW w:w="4785" w:type="dxa"/>
          </w:tcPr>
          <w:p w:rsidR="00000000" w:rsidRDefault="00000000">
            <w:pPr>
              <w:jc w:val="center"/>
            </w:pPr>
            <w:r>
              <w:t>1999</w:t>
            </w:r>
          </w:p>
        </w:tc>
        <w:tc>
          <w:tcPr>
            <w:tcW w:w="4786" w:type="dxa"/>
          </w:tcPr>
          <w:p w:rsidR="00000000" w:rsidRDefault="00000000">
            <w:pPr>
              <w:jc w:val="center"/>
            </w:pPr>
            <w:r>
              <w:t>331 274 011</w:t>
            </w:r>
          </w:p>
        </w:tc>
      </w:tr>
    </w:tbl>
    <w:p w:rsidR="00000000" w:rsidRDefault="00000000"/>
    <w:p w:rsidR="00000000" w:rsidRDefault="00000000">
      <w:r>
        <w:tab/>
        <w:t>*</w:t>
      </w:r>
      <w:r>
        <w:tab/>
        <w:t>За исключением расходов на персонал, пособия и административное обслуживание федеральных учреждений.</w:t>
      </w:r>
    </w:p>
    <w:p w:rsidR="00000000" w:rsidRDefault="00000000"/>
    <w:p w:rsidR="00000000" w:rsidRDefault="00000000">
      <w:r>
        <w:tab/>
      </w:r>
      <w:r>
        <w:rPr>
          <w:u w:val="single"/>
        </w:rPr>
        <w:t>Источник</w:t>
      </w:r>
      <w:r>
        <w:t>:  Министерство культуры.</w:t>
      </w:r>
    </w:p>
    <w:p w:rsidR="00000000" w:rsidRDefault="00000000"/>
    <w:p w:rsidR="00000000" w:rsidRDefault="00000000">
      <w:r>
        <w:t>815.</w:t>
      </w:r>
      <w:r>
        <w:tab/>
        <w:t>Инфраструктура, обеспечивающая поддержку развития культуры, является довольно сложной;  она представляет собой организационную сеть, охватывающую все 5 000 муниципальных округов Бразилии, имея большую плотность в штатах и регионах с более высоким ВВП.  В приводимой ниже таблице показано число учреждений культуры с работающими по контракту сотрудниками, в разбивке по регионам, по состоянию на 1996 год.</w:t>
      </w:r>
    </w:p>
    <w:p w:rsidR="00000000" w:rsidRDefault="00000000"/>
    <w:p w:rsidR="00000000" w:rsidRDefault="00000000">
      <w:pPr>
        <w:pStyle w:val="10"/>
        <w:rPr>
          <w:bCs/>
        </w:rPr>
      </w:pPr>
      <w:r>
        <w:rPr>
          <w:bCs/>
        </w:rPr>
        <w:t>Таблица 92.   Учреждения культуры в разбивке по регионам, 1996 год</w:t>
      </w:r>
    </w:p>
    <w:p w:rsidR="00000000" w:rsidRDefault="00000000">
      <w:pPr>
        <w:pStyle w:val="10"/>
        <w:rPr>
          <w:b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1" w:type="dxa"/>
          <w:right w:w="51" w:type="dxa"/>
        </w:tblCellMar>
        <w:tblLook w:val="0000" w:firstRow="0" w:lastRow="0" w:firstColumn="0" w:lastColumn="0" w:noHBand="0" w:noVBand="0"/>
      </w:tblPr>
      <w:tblGrid>
        <w:gridCol w:w="2413"/>
        <w:gridCol w:w="1564"/>
        <w:gridCol w:w="1870"/>
        <w:gridCol w:w="1702"/>
        <w:gridCol w:w="1907"/>
      </w:tblGrid>
      <w:tr w:rsidR="00000000">
        <w:tblPrEx>
          <w:tblCellMar>
            <w:top w:w="0" w:type="dxa"/>
            <w:bottom w:w="0" w:type="dxa"/>
          </w:tblCellMar>
        </w:tblPrEx>
        <w:tc>
          <w:tcPr>
            <w:tcW w:w="2414" w:type="dxa"/>
            <w:vAlign w:val="center"/>
          </w:tcPr>
          <w:p w:rsidR="00000000" w:rsidRDefault="00000000">
            <w:pPr>
              <w:pStyle w:val="Heading7"/>
              <w:jc w:val="center"/>
              <w:rPr>
                <w:sz w:val="22"/>
                <w:u w:val="none"/>
              </w:rPr>
            </w:pPr>
            <w:r>
              <w:rPr>
                <w:sz w:val="22"/>
                <w:u w:val="none"/>
              </w:rPr>
              <w:t>Регионы</w:t>
            </w:r>
          </w:p>
        </w:tc>
        <w:tc>
          <w:tcPr>
            <w:tcW w:w="1564" w:type="dxa"/>
            <w:vAlign w:val="center"/>
          </w:tcPr>
          <w:p w:rsidR="00000000" w:rsidRDefault="00000000">
            <w:pPr>
              <w:jc w:val="center"/>
              <w:rPr>
                <w:sz w:val="22"/>
              </w:rPr>
            </w:pPr>
            <w:r>
              <w:rPr>
                <w:sz w:val="22"/>
              </w:rPr>
              <w:t>Производство кино- и видеофильмов</w:t>
            </w:r>
          </w:p>
        </w:tc>
        <w:tc>
          <w:tcPr>
            <w:tcW w:w="1870" w:type="dxa"/>
            <w:vAlign w:val="center"/>
          </w:tcPr>
          <w:p w:rsidR="00000000" w:rsidRDefault="00000000">
            <w:pPr>
              <w:jc w:val="center"/>
              <w:rPr>
                <w:sz w:val="22"/>
              </w:rPr>
            </w:pPr>
            <w:r>
              <w:rPr>
                <w:sz w:val="22"/>
              </w:rPr>
              <w:t>Распределение кино- и видеофильмов</w:t>
            </w:r>
          </w:p>
        </w:tc>
        <w:tc>
          <w:tcPr>
            <w:tcW w:w="1702" w:type="dxa"/>
            <w:vAlign w:val="center"/>
          </w:tcPr>
          <w:p w:rsidR="00000000" w:rsidRDefault="00000000">
            <w:pPr>
              <w:jc w:val="center"/>
              <w:rPr>
                <w:sz w:val="22"/>
              </w:rPr>
            </w:pPr>
            <w:r>
              <w:rPr>
                <w:sz w:val="22"/>
              </w:rPr>
              <w:t>Показ кино- и видеофильмов</w:t>
            </w:r>
          </w:p>
        </w:tc>
        <w:tc>
          <w:tcPr>
            <w:tcW w:w="1907" w:type="dxa"/>
            <w:vAlign w:val="center"/>
          </w:tcPr>
          <w:p w:rsidR="00000000" w:rsidRDefault="00000000">
            <w:pPr>
              <w:jc w:val="center"/>
              <w:rPr>
                <w:sz w:val="22"/>
              </w:rPr>
            </w:pPr>
            <w:r>
              <w:rPr>
                <w:sz w:val="22"/>
              </w:rPr>
              <w:t>Театр, музыка и другие виды художественного творчества</w:t>
            </w:r>
          </w:p>
        </w:tc>
      </w:tr>
      <w:tr w:rsidR="00000000">
        <w:tblPrEx>
          <w:tblCellMar>
            <w:top w:w="0" w:type="dxa"/>
            <w:bottom w:w="0" w:type="dxa"/>
          </w:tblCellMar>
        </w:tblPrEx>
        <w:tc>
          <w:tcPr>
            <w:tcW w:w="2414" w:type="dxa"/>
          </w:tcPr>
          <w:p w:rsidR="00000000" w:rsidRDefault="00000000">
            <w:pPr>
              <w:pStyle w:val="Heading8"/>
              <w:rPr>
                <w:b w:val="0"/>
                <w:bCs w:val="0"/>
              </w:rPr>
            </w:pPr>
            <w:r>
              <w:rPr>
                <w:b w:val="0"/>
                <w:bCs w:val="0"/>
              </w:rPr>
              <w:t>Северный</w:t>
            </w:r>
          </w:p>
        </w:tc>
        <w:tc>
          <w:tcPr>
            <w:tcW w:w="1564" w:type="dxa"/>
          </w:tcPr>
          <w:p w:rsidR="00000000" w:rsidRDefault="00000000">
            <w:pPr>
              <w:tabs>
                <w:tab w:val="clear" w:pos="567"/>
                <w:tab w:val="clear" w:pos="1134"/>
                <w:tab w:val="clear" w:pos="1701"/>
              </w:tabs>
              <w:ind w:right="510"/>
              <w:jc w:val="right"/>
              <w:rPr>
                <w:sz w:val="22"/>
              </w:rPr>
            </w:pPr>
            <w:r>
              <w:rPr>
                <w:sz w:val="22"/>
              </w:rPr>
              <w:t>8</w:t>
            </w:r>
          </w:p>
        </w:tc>
        <w:tc>
          <w:tcPr>
            <w:tcW w:w="1870" w:type="dxa"/>
          </w:tcPr>
          <w:p w:rsidR="00000000" w:rsidRDefault="00000000">
            <w:pPr>
              <w:tabs>
                <w:tab w:val="clear" w:pos="567"/>
                <w:tab w:val="clear" w:pos="1134"/>
                <w:tab w:val="clear" w:pos="1701"/>
              </w:tabs>
              <w:ind w:right="510"/>
              <w:jc w:val="right"/>
              <w:rPr>
                <w:sz w:val="22"/>
              </w:rPr>
            </w:pPr>
            <w:r>
              <w:rPr>
                <w:sz w:val="22"/>
              </w:rPr>
              <w:t>59</w:t>
            </w:r>
          </w:p>
        </w:tc>
        <w:tc>
          <w:tcPr>
            <w:tcW w:w="1702" w:type="dxa"/>
          </w:tcPr>
          <w:p w:rsidR="00000000" w:rsidRDefault="00000000">
            <w:pPr>
              <w:tabs>
                <w:tab w:val="clear" w:pos="567"/>
                <w:tab w:val="clear" w:pos="1134"/>
                <w:tab w:val="clear" w:pos="1701"/>
              </w:tabs>
              <w:ind w:right="510"/>
              <w:jc w:val="right"/>
              <w:rPr>
                <w:sz w:val="22"/>
              </w:rPr>
            </w:pPr>
            <w:r>
              <w:rPr>
                <w:sz w:val="22"/>
              </w:rPr>
              <w:t>29</w:t>
            </w:r>
          </w:p>
        </w:tc>
        <w:tc>
          <w:tcPr>
            <w:tcW w:w="1907" w:type="dxa"/>
          </w:tcPr>
          <w:p w:rsidR="00000000" w:rsidRDefault="00000000">
            <w:pPr>
              <w:tabs>
                <w:tab w:val="clear" w:pos="567"/>
                <w:tab w:val="clear" w:pos="1134"/>
                <w:tab w:val="clear" w:pos="1701"/>
              </w:tabs>
              <w:ind w:right="510"/>
              <w:jc w:val="right"/>
              <w:rPr>
                <w:sz w:val="22"/>
              </w:rPr>
            </w:pPr>
            <w:r>
              <w:rPr>
                <w:sz w:val="22"/>
              </w:rPr>
              <w:t>12</w:t>
            </w:r>
          </w:p>
        </w:tc>
      </w:tr>
      <w:tr w:rsidR="00000000">
        <w:tblPrEx>
          <w:tblCellMar>
            <w:top w:w="0" w:type="dxa"/>
            <w:bottom w:w="0" w:type="dxa"/>
          </w:tblCellMar>
        </w:tblPrEx>
        <w:tc>
          <w:tcPr>
            <w:tcW w:w="2414" w:type="dxa"/>
          </w:tcPr>
          <w:p w:rsidR="00000000" w:rsidRDefault="00000000">
            <w:pPr>
              <w:pStyle w:val="Heading8"/>
              <w:rPr>
                <w:b w:val="0"/>
                <w:bCs w:val="0"/>
              </w:rPr>
            </w:pPr>
            <w:r>
              <w:rPr>
                <w:b w:val="0"/>
                <w:bCs w:val="0"/>
              </w:rPr>
              <w:t>Северо-восточный</w:t>
            </w:r>
          </w:p>
        </w:tc>
        <w:tc>
          <w:tcPr>
            <w:tcW w:w="1564" w:type="dxa"/>
          </w:tcPr>
          <w:p w:rsidR="00000000" w:rsidRDefault="00000000">
            <w:pPr>
              <w:tabs>
                <w:tab w:val="clear" w:pos="567"/>
                <w:tab w:val="clear" w:pos="1134"/>
                <w:tab w:val="clear" w:pos="1701"/>
              </w:tabs>
              <w:ind w:right="510"/>
              <w:jc w:val="right"/>
              <w:rPr>
                <w:sz w:val="22"/>
              </w:rPr>
            </w:pPr>
            <w:r>
              <w:rPr>
                <w:sz w:val="22"/>
              </w:rPr>
              <w:t>70</w:t>
            </w:r>
          </w:p>
        </w:tc>
        <w:tc>
          <w:tcPr>
            <w:tcW w:w="1870" w:type="dxa"/>
          </w:tcPr>
          <w:p w:rsidR="00000000" w:rsidRDefault="00000000">
            <w:pPr>
              <w:tabs>
                <w:tab w:val="clear" w:pos="567"/>
                <w:tab w:val="clear" w:pos="1134"/>
                <w:tab w:val="clear" w:pos="1701"/>
              </w:tabs>
              <w:ind w:right="510"/>
              <w:jc w:val="right"/>
              <w:rPr>
                <w:sz w:val="22"/>
              </w:rPr>
            </w:pPr>
            <w:r>
              <w:rPr>
                <w:sz w:val="22"/>
              </w:rPr>
              <w:t>301</w:t>
            </w:r>
          </w:p>
        </w:tc>
        <w:tc>
          <w:tcPr>
            <w:tcW w:w="1702" w:type="dxa"/>
          </w:tcPr>
          <w:p w:rsidR="00000000" w:rsidRDefault="00000000">
            <w:pPr>
              <w:tabs>
                <w:tab w:val="clear" w:pos="567"/>
                <w:tab w:val="clear" w:pos="1134"/>
                <w:tab w:val="clear" w:pos="1701"/>
              </w:tabs>
              <w:ind w:right="510"/>
              <w:jc w:val="right"/>
              <w:rPr>
                <w:sz w:val="22"/>
              </w:rPr>
            </w:pPr>
            <w:r>
              <w:rPr>
                <w:sz w:val="22"/>
              </w:rPr>
              <w:t>82</w:t>
            </w:r>
          </w:p>
        </w:tc>
        <w:tc>
          <w:tcPr>
            <w:tcW w:w="1907" w:type="dxa"/>
          </w:tcPr>
          <w:p w:rsidR="00000000" w:rsidRDefault="00000000">
            <w:pPr>
              <w:tabs>
                <w:tab w:val="clear" w:pos="567"/>
                <w:tab w:val="clear" w:pos="1134"/>
                <w:tab w:val="clear" w:pos="1701"/>
              </w:tabs>
              <w:ind w:right="510"/>
              <w:jc w:val="right"/>
              <w:rPr>
                <w:sz w:val="22"/>
              </w:rPr>
            </w:pPr>
            <w:r>
              <w:rPr>
                <w:sz w:val="22"/>
              </w:rPr>
              <w:t>125</w:t>
            </w:r>
          </w:p>
        </w:tc>
      </w:tr>
      <w:tr w:rsidR="00000000">
        <w:tblPrEx>
          <w:tblCellMar>
            <w:top w:w="0" w:type="dxa"/>
            <w:bottom w:w="0" w:type="dxa"/>
          </w:tblCellMar>
        </w:tblPrEx>
        <w:tc>
          <w:tcPr>
            <w:tcW w:w="2414" w:type="dxa"/>
          </w:tcPr>
          <w:p w:rsidR="00000000" w:rsidRDefault="00000000">
            <w:pPr>
              <w:pStyle w:val="Heading8"/>
              <w:rPr>
                <w:b w:val="0"/>
                <w:bCs w:val="0"/>
              </w:rPr>
            </w:pPr>
            <w:r>
              <w:rPr>
                <w:b w:val="0"/>
                <w:bCs w:val="0"/>
              </w:rPr>
              <w:t>Юго-восточный</w:t>
            </w:r>
          </w:p>
        </w:tc>
        <w:tc>
          <w:tcPr>
            <w:tcW w:w="1564" w:type="dxa"/>
          </w:tcPr>
          <w:p w:rsidR="00000000" w:rsidRDefault="00000000">
            <w:pPr>
              <w:tabs>
                <w:tab w:val="clear" w:pos="567"/>
                <w:tab w:val="clear" w:pos="1134"/>
                <w:tab w:val="clear" w:pos="1701"/>
              </w:tabs>
              <w:ind w:right="510"/>
              <w:jc w:val="right"/>
              <w:rPr>
                <w:sz w:val="22"/>
              </w:rPr>
            </w:pPr>
            <w:r>
              <w:rPr>
                <w:sz w:val="22"/>
              </w:rPr>
              <w:t>517</w:t>
            </w:r>
          </w:p>
        </w:tc>
        <w:tc>
          <w:tcPr>
            <w:tcW w:w="1870" w:type="dxa"/>
          </w:tcPr>
          <w:p w:rsidR="00000000" w:rsidRDefault="00000000">
            <w:pPr>
              <w:tabs>
                <w:tab w:val="clear" w:pos="567"/>
                <w:tab w:val="clear" w:pos="1134"/>
                <w:tab w:val="clear" w:pos="1701"/>
              </w:tabs>
              <w:ind w:right="510"/>
              <w:jc w:val="right"/>
              <w:rPr>
                <w:sz w:val="22"/>
              </w:rPr>
            </w:pPr>
            <w:r>
              <w:rPr>
                <w:sz w:val="22"/>
              </w:rPr>
              <w:t>1 562</w:t>
            </w:r>
          </w:p>
        </w:tc>
        <w:tc>
          <w:tcPr>
            <w:tcW w:w="1702" w:type="dxa"/>
          </w:tcPr>
          <w:p w:rsidR="00000000" w:rsidRDefault="00000000">
            <w:pPr>
              <w:tabs>
                <w:tab w:val="clear" w:pos="567"/>
                <w:tab w:val="clear" w:pos="1134"/>
                <w:tab w:val="clear" w:pos="1701"/>
              </w:tabs>
              <w:ind w:right="510"/>
              <w:jc w:val="right"/>
              <w:rPr>
                <w:sz w:val="22"/>
              </w:rPr>
            </w:pPr>
            <w:r>
              <w:rPr>
                <w:sz w:val="22"/>
              </w:rPr>
              <w:t>464</w:t>
            </w:r>
          </w:p>
        </w:tc>
        <w:tc>
          <w:tcPr>
            <w:tcW w:w="1907" w:type="dxa"/>
          </w:tcPr>
          <w:p w:rsidR="00000000" w:rsidRDefault="00000000">
            <w:pPr>
              <w:tabs>
                <w:tab w:val="clear" w:pos="567"/>
                <w:tab w:val="clear" w:pos="1134"/>
                <w:tab w:val="clear" w:pos="1701"/>
              </w:tabs>
              <w:ind w:right="510"/>
              <w:jc w:val="right"/>
              <w:rPr>
                <w:sz w:val="22"/>
              </w:rPr>
            </w:pPr>
            <w:r>
              <w:rPr>
                <w:sz w:val="22"/>
              </w:rPr>
              <w:t>562</w:t>
            </w:r>
          </w:p>
        </w:tc>
      </w:tr>
      <w:tr w:rsidR="00000000">
        <w:tblPrEx>
          <w:tblCellMar>
            <w:top w:w="0" w:type="dxa"/>
            <w:bottom w:w="0" w:type="dxa"/>
          </w:tblCellMar>
        </w:tblPrEx>
        <w:tc>
          <w:tcPr>
            <w:tcW w:w="2414" w:type="dxa"/>
          </w:tcPr>
          <w:p w:rsidR="00000000" w:rsidRDefault="00000000">
            <w:pPr>
              <w:pStyle w:val="Heading8"/>
              <w:rPr>
                <w:b w:val="0"/>
                <w:bCs w:val="0"/>
              </w:rPr>
            </w:pPr>
            <w:r>
              <w:rPr>
                <w:b w:val="0"/>
                <w:bCs w:val="0"/>
              </w:rPr>
              <w:t>Южный</w:t>
            </w:r>
          </w:p>
        </w:tc>
        <w:tc>
          <w:tcPr>
            <w:tcW w:w="1564" w:type="dxa"/>
          </w:tcPr>
          <w:p w:rsidR="00000000" w:rsidRDefault="00000000">
            <w:pPr>
              <w:tabs>
                <w:tab w:val="clear" w:pos="567"/>
                <w:tab w:val="clear" w:pos="1134"/>
                <w:tab w:val="clear" w:pos="1701"/>
              </w:tabs>
              <w:ind w:right="510"/>
              <w:jc w:val="right"/>
              <w:rPr>
                <w:sz w:val="22"/>
              </w:rPr>
            </w:pPr>
            <w:r>
              <w:rPr>
                <w:sz w:val="22"/>
              </w:rPr>
              <w:t>85</w:t>
            </w:r>
          </w:p>
        </w:tc>
        <w:tc>
          <w:tcPr>
            <w:tcW w:w="1870" w:type="dxa"/>
          </w:tcPr>
          <w:p w:rsidR="00000000" w:rsidRDefault="00000000">
            <w:pPr>
              <w:tabs>
                <w:tab w:val="clear" w:pos="567"/>
                <w:tab w:val="clear" w:pos="1134"/>
                <w:tab w:val="clear" w:pos="1701"/>
              </w:tabs>
              <w:ind w:right="510"/>
              <w:jc w:val="right"/>
              <w:rPr>
                <w:sz w:val="22"/>
              </w:rPr>
            </w:pPr>
            <w:r>
              <w:rPr>
                <w:sz w:val="22"/>
              </w:rPr>
              <w:t>469</w:t>
            </w:r>
          </w:p>
        </w:tc>
        <w:tc>
          <w:tcPr>
            <w:tcW w:w="1702" w:type="dxa"/>
          </w:tcPr>
          <w:p w:rsidR="00000000" w:rsidRDefault="00000000">
            <w:pPr>
              <w:tabs>
                <w:tab w:val="clear" w:pos="567"/>
                <w:tab w:val="clear" w:pos="1134"/>
                <w:tab w:val="clear" w:pos="1701"/>
              </w:tabs>
              <w:ind w:right="510"/>
              <w:jc w:val="right"/>
              <w:rPr>
                <w:sz w:val="22"/>
              </w:rPr>
            </w:pPr>
            <w:r>
              <w:rPr>
                <w:sz w:val="22"/>
              </w:rPr>
              <w:t>125</w:t>
            </w:r>
          </w:p>
        </w:tc>
        <w:tc>
          <w:tcPr>
            <w:tcW w:w="1907" w:type="dxa"/>
          </w:tcPr>
          <w:p w:rsidR="00000000" w:rsidRDefault="00000000">
            <w:pPr>
              <w:tabs>
                <w:tab w:val="clear" w:pos="567"/>
                <w:tab w:val="clear" w:pos="1134"/>
                <w:tab w:val="clear" w:pos="1701"/>
              </w:tabs>
              <w:ind w:right="510"/>
              <w:jc w:val="right"/>
              <w:rPr>
                <w:sz w:val="22"/>
              </w:rPr>
            </w:pPr>
            <w:r>
              <w:rPr>
                <w:sz w:val="22"/>
              </w:rPr>
              <w:t>142</w:t>
            </w:r>
          </w:p>
        </w:tc>
      </w:tr>
      <w:tr w:rsidR="00000000">
        <w:tblPrEx>
          <w:tblCellMar>
            <w:top w:w="0" w:type="dxa"/>
            <w:bottom w:w="0" w:type="dxa"/>
          </w:tblCellMar>
        </w:tblPrEx>
        <w:tc>
          <w:tcPr>
            <w:tcW w:w="2414" w:type="dxa"/>
          </w:tcPr>
          <w:p w:rsidR="00000000" w:rsidRDefault="00000000">
            <w:pPr>
              <w:pStyle w:val="Heading8"/>
              <w:rPr>
                <w:b w:val="0"/>
                <w:bCs w:val="0"/>
              </w:rPr>
            </w:pPr>
            <w:r>
              <w:rPr>
                <w:b w:val="0"/>
                <w:bCs w:val="0"/>
              </w:rPr>
              <w:t>Центральнозападный</w:t>
            </w:r>
          </w:p>
        </w:tc>
        <w:tc>
          <w:tcPr>
            <w:tcW w:w="1564" w:type="dxa"/>
          </w:tcPr>
          <w:p w:rsidR="00000000" w:rsidRDefault="00000000">
            <w:pPr>
              <w:tabs>
                <w:tab w:val="clear" w:pos="567"/>
                <w:tab w:val="clear" w:pos="1134"/>
                <w:tab w:val="clear" w:pos="1701"/>
              </w:tabs>
              <w:ind w:right="510"/>
              <w:jc w:val="right"/>
              <w:rPr>
                <w:sz w:val="22"/>
              </w:rPr>
            </w:pPr>
            <w:r>
              <w:rPr>
                <w:sz w:val="22"/>
              </w:rPr>
              <w:t>41</w:t>
            </w:r>
          </w:p>
        </w:tc>
        <w:tc>
          <w:tcPr>
            <w:tcW w:w="1870" w:type="dxa"/>
          </w:tcPr>
          <w:p w:rsidR="00000000" w:rsidRDefault="00000000">
            <w:pPr>
              <w:tabs>
                <w:tab w:val="clear" w:pos="567"/>
                <w:tab w:val="clear" w:pos="1134"/>
                <w:tab w:val="clear" w:pos="1701"/>
              </w:tabs>
              <w:ind w:right="510"/>
              <w:jc w:val="right"/>
              <w:rPr>
                <w:sz w:val="22"/>
              </w:rPr>
            </w:pPr>
            <w:r>
              <w:rPr>
                <w:sz w:val="22"/>
              </w:rPr>
              <w:t>168</w:t>
            </w:r>
          </w:p>
        </w:tc>
        <w:tc>
          <w:tcPr>
            <w:tcW w:w="1702" w:type="dxa"/>
          </w:tcPr>
          <w:p w:rsidR="00000000" w:rsidRDefault="00000000">
            <w:pPr>
              <w:tabs>
                <w:tab w:val="clear" w:pos="567"/>
                <w:tab w:val="clear" w:pos="1134"/>
                <w:tab w:val="clear" w:pos="1701"/>
              </w:tabs>
              <w:ind w:right="510"/>
              <w:jc w:val="right"/>
              <w:rPr>
                <w:sz w:val="22"/>
              </w:rPr>
            </w:pPr>
            <w:r>
              <w:rPr>
                <w:sz w:val="22"/>
              </w:rPr>
              <w:t>42</w:t>
            </w:r>
          </w:p>
        </w:tc>
        <w:tc>
          <w:tcPr>
            <w:tcW w:w="1907" w:type="dxa"/>
          </w:tcPr>
          <w:p w:rsidR="00000000" w:rsidRDefault="00000000">
            <w:pPr>
              <w:tabs>
                <w:tab w:val="clear" w:pos="567"/>
                <w:tab w:val="clear" w:pos="1134"/>
                <w:tab w:val="clear" w:pos="1701"/>
              </w:tabs>
              <w:ind w:right="510"/>
              <w:jc w:val="right"/>
              <w:rPr>
                <w:sz w:val="22"/>
              </w:rPr>
            </w:pPr>
            <w:r>
              <w:rPr>
                <w:sz w:val="22"/>
              </w:rPr>
              <w:t>50</w:t>
            </w:r>
          </w:p>
        </w:tc>
      </w:tr>
      <w:tr w:rsidR="00000000">
        <w:tblPrEx>
          <w:tblCellMar>
            <w:top w:w="0" w:type="dxa"/>
            <w:bottom w:w="0" w:type="dxa"/>
          </w:tblCellMar>
        </w:tblPrEx>
        <w:tc>
          <w:tcPr>
            <w:tcW w:w="2414" w:type="dxa"/>
          </w:tcPr>
          <w:p w:rsidR="00000000" w:rsidRDefault="00000000">
            <w:pPr>
              <w:pStyle w:val="Heading8"/>
              <w:rPr>
                <w:b w:val="0"/>
                <w:bCs w:val="0"/>
              </w:rPr>
            </w:pPr>
            <w:r>
              <w:rPr>
                <w:b w:val="0"/>
                <w:bCs w:val="0"/>
              </w:rPr>
              <w:tab/>
              <w:t>Итого</w:t>
            </w:r>
          </w:p>
        </w:tc>
        <w:tc>
          <w:tcPr>
            <w:tcW w:w="1564" w:type="dxa"/>
          </w:tcPr>
          <w:p w:rsidR="00000000" w:rsidRDefault="00000000">
            <w:pPr>
              <w:tabs>
                <w:tab w:val="clear" w:pos="567"/>
                <w:tab w:val="clear" w:pos="1134"/>
                <w:tab w:val="clear" w:pos="1701"/>
              </w:tabs>
              <w:ind w:right="510"/>
              <w:jc w:val="right"/>
              <w:rPr>
                <w:sz w:val="22"/>
              </w:rPr>
            </w:pPr>
            <w:r>
              <w:rPr>
                <w:sz w:val="22"/>
              </w:rPr>
              <w:t>721</w:t>
            </w:r>
          </w:p>
        </w:tc>
        <w:tc>
          <w:tcPr>
            <w:tcW w:w="1870" w:type="dxa"/>
          </w:tcPr>
          <w:p w:rsidR="00000000" w:rsidRDefault="00000000">
            <w:pPr>
              <w:tabs>
                <w:tab w:val="clear" w:pos="567"/>
                <w:tab w:val="clear" w:pos="1134"/>
                <w:tab w:val="clear" w:pos="1701"/>
              </w:tabs>
              <w:ind w:right="510"/>
              <w:jc w:val="right"/>
              <w:rPr>
                <w:sz w:val="22"/>
              </w:rPr>
            </w:pPr>
            <w:r>
              <w:rPr>
                <w:sz w:val="22"/>
              </w:rPr>
              <w:t>2 561</w:t>
            </w:r>
          </w:p>
        </w:tc>
        <w:tc>
          <w:tcPr>
            <w:tcW w:w="1702" w:type="dxa"/>
          </w:tcPr>
          <w:p w:rsidR="00000000" w:rsidRDefault="00000000">
            <w:pPr>
              <w:tabs>
                <w:tab w:val="clear" w:pos="567"/>
                <w:tab w:val="clear" w:pos="1134"/>
                <w:tab w:val="clear" w:pos="1701"/>
              </w:tabs>
              <w:ind w:right="510"/>
              <w:jc w:val="right"/>
              <w:rPr>
                <w:sz w:val="22"/>
              </w:rPr>
            </w:pPr>
            <w:r>
              <w:rPr>
                <w:sz w:val="22"/>
              </w:rPr>
              <w:t>742</w:t>
            </w:r>
          </w:p>
        </w:tc>
        <w:tc>
          <w:tcPr>
            <w:tcW w:w="1907" w:type="dxa"/>
          </w:tcPr>
          <w:p w:rsidR="00000000" w:rsidRDefault="00000000">
            <w:pPr>
              <w:tabs>
                <w:tab w:val="clear" w:pos="567"/>
                <w:tab w:val="clear" w:pos="1134"/>
                <w:tab w:val="clear" w:pos="1701"/>
              </w:tabs>
              <w:ind w:right="510"/>
              <w:jc w:val="right"/>
              <w:rPr>
                <w:sz w:val="22"/>
              </w:rPr>
            </w:pPr>
            <w:r>
              <w:rPr>
                <w:sz w:val="22"/>
              </w:rPr>
              <w:t>893</w:t>
            </w:r>
          </w:p>
        </w:tc>
      </w:tr>
    </w:tbl>
    <w:p w:rsidR="00000000" w:rsidRDefault="00000000"/>
    <w:p w:rsidR="00000000" w:rsidRDefault="00000000">
      <w:r>
        <w:tab/>
      </w:r>
      <w:r>
        <w:rPr>
          <w:u w:val="single"/>
        </w:rPr>
        <w:t>Источник</w:t>
      </w:r>
      <w:r>
        <w:t>:  РАИС/министерство труда, 1996 год.</w:t>
      </w:r>
    </w:p>
    <w:p w:rsidR="00000000" w:rsidRDefault="00000000"/>
    <w:p w:rsidR="00000000" w:rsidRDefault="00000000">
      <w:r>
        <w:t>816.</w:t>
      </w:r>
      <w:r>
        <w:tab/>
        <w:t xml:space="preserve">Другим аспектом деятельности, которому правительство Бразилии уделяет особое внимание, является поощрение чтения.  Министерство культуры придает особую социально-культурную значимость осуществлению Национальной программы развития культуры чтения (ПРОЛЕР - </w:t>
      </w:r>
      <w:r>
        <w:rPr>
          <w:i/>
          <w:iCs/>
        </w:rPr>
        <w:t>Programa Nacional de Incentivo à Leitura</w:t>
      </w:r>
      <w:r>
        <w:t>), принятую Указом № 519 в мае 1992 года.  Через посредство Национального фонда библиотек (</w:t>
      </w:r>
      <w:r>
        <w:rPr>
          <w:i/>
          <w:iCs/>
        </w:rPr>
        <w:t>Fundação Biblioteca Nacional</w:t>
      </w:r>
      <w:r>
        <w:t>) эта Программа объединяет инициативы самых различных учреждений, способствующих формированию культуры чтения путем создания читален и библиотек, а также подготовки соответствующих работников системы образования.</w:t>
      </w:r>
    </w:p>
    <w:p w:rsidR="00000000" w:rsidRDefault="00000000"/>
    <w:p w:rsidR="00000000" w:rsidRDefault="00000000">
      <w:r>
        <w:t>817.</w:t>
      </w:r>
      <w:r>
        <w:tab/>
        <w:t>Осуществление программы "Открытая книга" (</w:t>
      </w:r>
      <w:r>
        <w:rPr>
          <w:i/>
          <w:iCs/>
        </w:rPr>
        <w:t>Livro Aberto</w:t>
      </w:r>
      <w:r>
        <w:t xml:space="preserve">) будет продолжена до 2003 года включительно, в результате чего будет значительно увеличено число печатающихся в Бразилии книг, а доля муниципальных округов, располагающих публичными библиотеками, возрастет до 71%. </w:t>
      </w:r>
      <w:r>
        <w:rPr>
          <w:i/>
          <w:iCs/>
        </w:rPr>
        <w:t xml:space="preserve"> </w:t>
      </w:r>
      <w:r>
        <w:t>В 1996-1999 годах в стране была открыта 671 библиотека, при создании которых были затрачены средства на формирование постоянных коллекций, закупку оборудования, мебели и оснащения;  это отвечает интересам всех частей Бразилии, и в частности северо-восточного региона, где проживает 28,5% населения страны.</w:t>
      </w:r>
    </w:p>
    <w:p w:rsidR="00000000" w:rsidRDefault="00000000"/>
    <w:p w:rsidR="00000000" w:rsidRDefault="00000000">
      <w:r>
        <w:t>818.</w:t>
      </w:r>
      <w:r>
        <w:tab/>
        <w:t>Указом № 520, изданным в мае 1992 года, была создана Национальная система публичных библиотек (</w:t>
      </w:r>
      <w:r>
        <w:rPr>
          <w:i/>
          <w:iCs/>
          <w:lang w:val="en-US"/>
        </w:rPr>
        <w:t>Sistema</w:t>
      </w:r>
      <w:r>
        <w:rPr>
          <w:i/>
          <w:iCs/>
        </w:rPr>
        <w:t xml:space="preserve"> </w:t>
      </w:r>
      <w:r>
        <w:rPr>
          <w:i/>
          <w:iCs/>
          <w:lang w:val="en-US"/>
        </w:rPr>
        <w:t>Na</w:t>
      </w:r>
      <w:r>
        <w:rPr>
          <w:i/>
          <w:iCs/>
        </w:rPr>
        <w:t>с</w:t>
      </w:r>
      <w:r>
        <w:rPr>
          <w:i/>
          <w:iCs/>
          <w:lang w:val="en-US"/>
        </w:rPr>
        <w:t>ional</w:t>
      </w:r>
      <w:r>
        <w:rPr>
          <w:i/>
          <w:iCs/>
        </w:rPr>
        <w:t xml:space="preserve"> </w:t>
      </w:r>
      <w:r>
        <w:rPr>
          <w:i/>
          <w:iCs/>
          <w:lang w:val="en-US"/>
        </w:rPr>
        <w:t>de</w:t>
      </w:r>
      <w:r>
        <w:rPr>
          <w:i/>
          <w:iCs/>
        </w:rPr>
        <w:t xml:space="preserve"> </w:t>
      </w:r>
      <w:r>
        <w:rPr>
          <w:i/>
          <w:iCs/>
          <w:lang w:val="en-US"/>
        </w:rPr>
        <w:t>Bibliotecas</w:t>
      </w:r>
      <w:r>
        <w:rPr>
          <w:i/>
          <w:iCs/>
        </w:rPr>
        <w:t xml:space="preserve"> </w:t>
      </w:r>
      <w:r>
        <w:rPr>
          <w:i/>
          <w:iCs/>
          <w:lang w:val="en-US"/>
        </w:rPr>
        <w:t>P</w:t>
      </w:r>
      <w:r>
        <w:rPr>
          <w:i/>
          <w:iCs/>
        </w:rPr>
        <w:t>ú</w:t>
      </w:r>
      <w:r>
        <w:rPr>
          <w:i/>
          <w:iCs/>
          <w:lang w:val="en-US"/>
        </w:rPr>
        <w:t>blicas</w:t>
      </w:r>
      <w:r>
        <w:t>) в целях введения и развития системы библиотечного обслуживания населения всей Бразилии.  Соответствующая работа по управлению и координации возложена на Национальный библиотечный фонд при участии штатов, федерального округа и муниципальных округов.  Согласно данным, представленным министерством культуры, в Бразилии насчитывается 4 009 библиотек, 37% из которых приходится на юго-восток и 29% - на северо-восток страны.</w:t>
      </w:r>
    </w:p>
    <w:p w:rsidR="00000000" w:rsidRDefault="00000000"/>
    <w:p w:rsidR="00000000" w:rsidRDefault="00000000">
      <w:pPr>
        <w:pStyle w:val="10"/>
        <w:rPr>
          <w:bCs/>
        </w:rPr>
      </w:pPr>
      <w:r>
        <w:rPr>
          <w:bCs/>
        </w:rPr>
        <w:t>Диаграмма 13</w:t>
      </w:r>
    </w:p>
    <w:p w:rsidR="00000000" w:rsidRDefault="00000000">
      <w:pPr>
        <w:pStyle w:val="10"/>
        <w:rPr>
          <w:bCs/>
        </w:rPr>
      </w:pPr>
    </w:p>
    <w:p w:rsidR="00000000" w:rsidRDefault="00000000">
      <w:pPr>
        <w:pStyle w:val="10"/>
        <w:rPr>
          <w:bCs/>
        </w:rPr>
      </w:pPr>
      <w:r>
        <w:rPr>
          <w:bCs/>
        </w:rPr>
        <w:t>Бразилия - библиотеки по регионам</w:t>
      </w:r>
    </w:p>
    <w:p w:rsidR="00000000" w:rsidRDefault="00000000">
      <w:pPr>
        <w:jc w:val="center"/>
        <w:rPr>
          <w:b/>
          <w:bCs/>
        </w:rPr>
      </w:pPr>
    </w:p>
    <w:p w:rsidR="00000000" w:rsidRDefault="00000000">
      <w:pPr>
        <w:jc w:val="center"/>
      </w:pPr>
      <w:r>
        <w:object w:dxaOrig="6329" w:dyaOrig="2835">
          <v:shape id="_x0000_i1035" type="#_x0000_t75" style="width:278.25pt;height:132.75pt" o:ole="">
            <v:imagedata r:id="rId41" o:title=""/>
          </v:shape>
          <o:OLEObject Type="Embed" ProgID="PBrush" ShapeID="_x0000_i1035" DrawAspect="Content" ObjectID="_1394878303" r:id="rId42"/>
        </w:object>
      </w:r>
    </w:p>
    <w:p w:rsidR="00000000" w:rsidRDefault="00000000">
      <w:pPr>
        <w:pStyle w:val="FootnoteText"/>
        <w:spacing w:line="288" w:lineRule="auto"/>
        <w:rPr>
          <w:lang w:val="en-US"/>
        </w:rPr>
      </w:pPr>
    </w:p>
    <w:p w:rsidR="00000000" w:rsidRDefault="00000000">
      <w:pPr>
        <w:pStyle w:val="Heading1"/>
        <w:rPr>
          <w:b w:val="0"/>
        </w:rPr>
      </w:pPr>
      <w:r>
        <w:rPr>
          <w:bCs/>
        </w:rPr>
        <w:tab/>
      </w:r>
      <w:r>
        <w:rPr>
          <w:b w:val="0"/>
          <w:u w:val="single"/>
        </w:rPr>
        <w:t>Источник</w:t>
      </w:r>
      <w:r>
        <w:rPr>
          <w:b w:val="0"/>
        </w:rPr>
        <w:t>:  Министерство культуры.</w:t>
      </w:r>
    </w:p>
    <w:p w:rsidR="00000000" w:rsidRDefault="00000000">
      <w:pPr>
        <w:pStyle w:val="Heading1"/>
        <w:rPr>
          <w:bCs/>
        </w:rPr>
      </w:pPr>
    </w:p>
    <w:p w:rsidR="00000000" w:rsidRDefault="00000000">
      <w:r>
        <w:t>819.</w:t>
      </w:r>
      <w:r>
        <w:tab/>
        <w:t>Министерство культуры выделило средства на нужды публичных библиотек всем штатам Бразилии.  В 1995 году на цели развития культуры чтения было выделено 3 029 149 реалов, а в 1996-1999 годах - 34 203 705 реалов.  В рамках Программы "Библиотека </w:t>
      </w:r>
      <w:r>
        <w:noBreakHyphen/>
        <w:t xml:space="preserve"> каждому муниципальному округу" (</w:t>
      </w:r>
      <w:r>
        <w:rPr>
          <w:i/>
          <w:iCs/>
          <w:lang w:val="en-US"/>
        </w:rPr>
        <w:t>Uma</w:t>
      </w:r>
      <w:r>
        <w:rPr>
          <w:i/>
          <w:iCs/>
        </w:rPr>
        <w:t xml:space="preserve"> </w:t>
      </w:r>
      <w:r>
        <w:rPr>
          <w:i/>
          <w:iCs/>
          <w:lang w:val="en-US"/>
        </w:rPr>
        <w:t>Biblioteca</w:t>
      </w:r>
      <w:r>
        <w:rPr>
          <w:i/>
          <w:iCs/>
        </w:rPr>
        <w:t xml:space="preserve"> </w:t>
      </w:r>
      <w:r>
        <w:rPr>
          <w:i/>
          <w:iCs/>
          <w:lang w:val="en-US"/>
        </w:rPr>
        <w:t>Em</w:t>
      </w:r>
      <w:r>
        <w:rPr>
          <w:i/>
          <w:iCs/>
        </w:rPr>
        <w:t xml:space="preserve"> </w:t>
      </w:r>
      <w:r>
        <w:rPr>
          <w:i/>
          <w:iCs/>
          <w:lang w:val="en-US"/>
        </w:rPr>
        <w:t>Cada</w:t>
      </w:r>
      <w:r>
        <w:rPr>
          <w:i/>
          <w:iCs/>
        </w:rPr>
        <w:t xml:space="preserve"> </w:t>
      </w:r>
      <w:r>
        <w:rPr>
          <w:i/>
          <w:iCs/>
          <w:lang w:val="en-US"/>
        </w:rPr>
        <w:t>Munic</w:t>
      </w:r>
      <w:r>
        <w:rPr>
          <w:i/>
          <w:iCs/>
        </w:rPr>
        <w:t>í</w:t>
      </w:r>
      <w:r>
        <w:rPr>
          <w:i/>
          <w:iCs/>
          <w:lang w:val="en-US"/>
        </w:rPr>
        <w:t>pio</w:t>
      </w:r>
      <w:r>
        <w:t>) в 1999 году в соответствии с соглашением, подписанным с муниципальными округами, были открыты 354 публичные библиотеки.  Министерство культуры от имени федерального правительства закупило примерно 2 000 томов книг и все необходимое оборудование на сумму в 40 000 реалов.  Помимо открытия новых библиотек, министерство культуры также выделяет средства на восстановление и пополнение постоянных коллекций, обновление, приобретение оборудования, компьютеризацию читален и обеспечение сохранности существующего оборудования и материалов.</w:t>
      </w:r>
    </w:p>
    <w:p w:rsidR="00000000" w:rsidRDefault="00000000"/>
    <w:p w:rsidR="00000000" w:rsidRDefault="00000000">
      <w:r>
        <w:t>820.</w:t>
      </w:r>
      <w:r>
        <w:tab/>
        <w:t>На карте № 1 показано распределение библиотек, созданных или поддерживаемых министерством культуры в течение последних нескольких лет.</w:t>
      </w:r>
    </w:p>
    <w:p w:rsidR="00000000" w:rsidRDefault="00000000">
      <w:pPr>
        <w:pStyle w:val="10"/>
        <w:rPr>
          <w:bCs/>
        </w:rPr>
      </w:pPr>
      <w:r>
        <w:rPr>
          <w:bCs/>
        </w:rPr>
        <w:t>КАРТА № 1</w:t>
      </w:r>
    </w:p>
    <w:p w:rsidR="00000000" w:rsidRDefault="00000000">
      <w:pPr>
        <w:pStyle w:val="10"/>
        <w:rPr>
          <w:bCs/>
          <w:sz w:val="16"/>
        </w:rPr>
      </w:pPr>
    </w:p>
    <w:p w:rsidR="00000000" w:rsidRDefault="00000000">
      <w:pPr>
        <w:jc w:val="center"/>
        <w:rPr>
          <w:b/>
          <w:bCs/>
        </w:rPr>
      </w:pPr>
      <w:r>
        <w:rPr>
          <w:b/>
          <w:bCs/>
        </w:rPr>
        <w:t>ПУБЛИЧНЫЕ БИБЛИОТЕКИ</w:t>
      </w:r>
    </w:p>
    <w:p w:rsidR="00000000" w:rsidRDefault="00000000">
      <w:pPr>
        <w:jc w:val="center"/>
        <w:rPr>
          <w:b/>
          <w:bCs/>
          <w:sz w:val="16"/>
        </w:rPr>
      </w:pPr>
    </w:p>
    <w:p w:rsidR="00000000" w:rsidRDefault="00000000">
      <w:pPr>
        <w:pStyle w:val="Heading1"/>
        <w:rPr>
          <w:b w:val="0"/>
        </w:rPr>
      </w:pPr>
      <w:r>
        <w:rPr>
          <w:noProof/>
          <w:sz w:val="20"/>
          <w:lang w:eastAsia="ru-RU"/>
        </w:rPr>
        <w:pict>
          <v:shape id="_x0000_s1046" type="#_x0000_t202" style="position:absolute;margin-left:289.85pt;margin-top:396.6pt;width:140.25pt;height:44.45pt;z-index:17" stroked="f">
            <v:textbox style="mso-next-textbox:#_x0000_s1046">
              <w:txbxContent>
                <w:p w:rsidR="00000000" w:rsidRDefault="00000000">
                  <w:pPr>
                    <w:spacing w:line="216" w:lineRule="auto"/>
                    <w:rPr>
                      <w:b/>
                      <w:bCs/>
                      <w:sz w:val="18"/>
                    </w:rPr>
                  </w:pPr>
                  <w:r>
                    <w:rPr>
                      <w:b/>
                      <w:bCs/>
                      <w:sz w:val="18"/>
                    </w:rPr>
                    <w:t>Муниципальные библиотеки, получавшие поддержку министерства в 1996</w:t>
                  </w:r>
                  <w:r>
                    <w:rPr>
                      <w:b/>
                      <w:bCs/>
                      <w:sz w:val="18"/>
                    </w:rPr>
                    <w:noBreakHyphen/>
                    <w:t>1999 годах</w:t>
                  </w:r>
                </w:p>
                <w:p w:rsidR="00000000" w:rsidRDefault="00000000"/>
              </w:txbxContent>
            </v:textbox>
          </v:shape>
        </w:pict>
      </w:r>
      <w:r>
        <w:rPr>
          <w:noProof/>
          <w:sz w:val="20"/>
          <w:lang w:eastAsia="ru-RU"/>
        </w:rPr>
        <w:pict>
          <v:shape id="_x0000_s1045" type="#_x0000_t202" style="position:absolute;margin-left:242.95pt;margin-top:9.4pt;width:168.3pt;height:31.75pt;z-index:16" stroked="f">
            <v:textbox style="mso-next-textbox:#_x0000_s1045">
              <w:txbxContent>
                <w:p w:rsidR="00000000" w:rsidRDefault="00000000"/>
              </w:txbxContent>
            </v:textbox>
          </v:shape>
        </w:pict>
      </w:r>
      <w:r>
        <w:pict>
          <v:shape id="_x0000_s1041" type="#_x0000_t75" style="position:absolute;margin-left:0;margin-top:0;width:424.85pt;height:435.7pt;z-index:12" o:allowincell="f">
            <v:imagedata r:id="rId43" o:title=""/>
            <w10:wrap type="topAndBottom"/>
          </v:shape>
        </w:pict>
      </w:r>
    </w:p>
    <w:p w:rsidR="00000000" w:rsidRDefault="00000000">
      <w:pPr>
        <w:pStyle w:val="Heading1"/>
        <w:rPr>
          <w:b w:val="0"/>
        </w:rPr>
      </w:pPr>
      <w:r>
        <w:rPr>
          <w:bCs/>
        </w:rPr>
        <w:tab/>
      </w:r>
      <w:r>
        <w:rPr>
          <w:b w:val="0"/>
          <w:u w:val="single"/>
        </w:rPr>
        <w:t>Источник</w:t>
      </w:r>
      <w:r>
        <w:rPr>
          <w:b w:val="0"/>
        </w:rPr>
        <w:t>:  Министерство культуры.</w:t>
      </w:r>
    </w:p>
    <w:p w:rsidR="00000000" w:rsidRDefault="00000000">
      <w:pPr>
        <w:pStyle w:val="Heading1"/>
        <w:rPr>
          <w:bCs/>
        </w:rPr>
      </w:pPr>
    </w:p>
    <w:p w:rsidR="00000000" w:rsidRDefault="00000000">
      <w:r>
        <w:t>821.</w:t>
      </w:r>
      <w:r>
        <w:tab/>
        <w:t>Другой сферой культуры, поощряемой правительством, является деятельность музыкальных коллективов и оркестров.  За последние четыре года свыше 1 000 муниципальных округов по всей Бразилии получили средства по линии министерства культуры для создания или обновления своих оркестров.  За этот период министерство оказало поддержку 26 оркестрам и примерно 400 артистам и музыкантам, принимающим участие в бразильских и международных концертах.  В 1995 году на нужды четырех бразильских оркестров было выделено 918 797 реалов.  В 1996-1999 годах было выделено 17 550 037 реалов для закупки свыше 17 000 инструментов и для создания и возрождения оркестров (см. карту № 2 ниже).  Кроме того, министерство также оказывало поддержку выпуску компакт-дисков с фольклорной музыкой, а также организации музыкальных фестивалей и представлений.</w:t>
      </w:r>
    </w:p>
    <w:p w:rsidR="00000000" w:rsidRDefault="00000000">
      <w:pPr>
        <w:rPr>
          <w:sz w:val="16"/>
        </w:rPr>
      </w:pPr>
    </w:p>
    <w:p w:rsidR="00000000" w:rsidRDefault="00000000">
      <w:pPr>
        <w:pStyle w:val="10"/>
        <w:rPr>
          <w:bCs/>
        </w:rPr>
      </w:pPr>
      <w:r>
        <w:rPr>
          <w:bCs/>
        </w:rPr>
        <w:t>КАРТА № 2</w:t>
      </w:r>
    </w:p>
    <w:p w:rsidR="00000000" w:rsidRDefault="00000000">
      <w:pPr>
        <w:jc w:val="center"/>
        <w:rPr>
          <w:b/>
          <w:bCs/>
          <w:sz w:val="16"/>
        </w:rPr>
      </w:pPr>
    </w:p>
    <w:p w:rsidR="00000000" w:rsidRDefault="00000000">
      <w:pPr>
        <w:jc w:val="center"/>
        <w:rPr>
          <w:b/>
          <w:bCs/>
        </w:rPr>
      </w:pPr>
      <w:r>
        <w:rPr>
          <w:b/>
          <w:bCs/>
        </w:rPr>
        <w:t>МУЗЫКАЛЬНЫЕ КОЛЛЕКТИВЫ И ОРКЕСТРЫ</w:t>
      </w:r>
    </w:p>
    <w:p w:rsidR="00000000" w:rsidRDefault="00000000">
      <w:pPr>
        <w:jc w:val="center"/>
        <w:rPr>
          <w:b/>
          <w:bCs/>
          <w:sz w:val="16"/>
        </w:rPr>
      </w:pPr>
      <w:r>
        <w:rPr>
          <w:b/>
          <w:bCs/>
          <w:noProof/>
          <w:sz w:val="16"/>
          <w:lang w:eastAsia="ru-RU"/>
        </w:rPr>
        <w:pict>
          <v:shape id="_x0000_s1043" type="#_x0000_t202" style="position:absolute;left:0;text-align:left;margin-left:215.2pt;margin-top:33.2pt;width:196.35pt;height:31.75pt;z-index:14" stroked="f">
            <v:textbox style="mso-next-textbox:#_x0000_s1043">
              <w:txbxContent>
                <w:p w:rsidR="00000000" w:rsidRDefault="00000000"/>
              </w:txbxContent>
            </v:textbox>
          </v:shape>
        </w:pict>
      </w:r>
    </w:p>
    <w:p w:rsidR="00000000" w:rsidRDefault="00000000">
      <w:r>
        <w:rPr>
          <w:noProof/>
          <w:sz w:val="20"/>
          <w:lang w:eastAsia="ru-RU"/>
        </w:rPr>
        <w:pict>
          <v:shape id="_x0000_s1044" type="#_x0000_t202" style="position:absolute;margin-left:289.85pt;margin-top:397.65pt;width:130.9pt;height:44.45pt;z-index:15" stroked="f">
            <v:textbox style="mso-next-textbox:#_x0000_s1044">
              <w:txbxContent>
                <w:p w:rsidR="00000000" w:rsidRDefault="00000000">
                  <w:pPr>
                    <w:pStyle w:val="Heading1"/>
                    <w:spacing w:line="216" w:lineRule="auto"/>
                    <w:rPr>
                      <w:bCs/>
                      <w:sz w:val="18"/>
                    </w:rPr>
                  </w:pPr>
                  <w:r>
                    <w:rPr>
                      <w:bCs/>
                      <w:sz w:val="18"/>
                    </w:rPr>
                    <w:t>Музыкальные коллективы</w:t>
                  </w:r>
                </w:p>
                <w:p w:rsidR="00000000" w:rsidRDefault="00000000">
                  <w:pPr>
                    <w:pStyle w:val="Heading1"/>
                    <w:spacing w:line="216" w:lineRule="auto"/>
                    <w:rPr>
                      <w:sz w:val="18"/>
                    </w:rPr>
                  </w:pPr>
                  <w:r>
                    <w:rPr>
                      <w:bCs/>
                      <w:sz w:val="18"/>
                    </w:rPr>
                    <w:t xml:space="preserve">и оркестры, </w:t>
                  </w:r>
                  <w:r>
                    <w:rPr>
                      <w:sz w:val="18"/>
                    </w:rPr>
                    <w:t>получавшие поддержку министерства</w:t>
                  </w:r>
                </w:p>
                <w:p w:rsidR="00000000" w:rsidRDefault="00000000">
                  <w:pPr>
                    <w:pStyle w:val="Heading1"/>
                    <w:spacing w:line="216" w:lineRule="auto"/>
                    <w:rPr>
                      <w:b w:val="0"/>
                      <w:bCs/>
                      <w:sz w:val="18"/>
                    </w:rPr>
                  </w:pPr>
                  <w:r>
                    <w:rPr>
                      <w:sz w:val="18"/>
                    </w:rPr>
                    <w:t>в 1996-1999 годах</w:t>
                  </w:r>
                </w:p>
              </w:txbxContent>
            </v:textbox>
          </v:shape>
        </w:pict>
      </w:r>
    </w:p>
    <w:p w:rsidR="00000000" w:rsidRDefault="00000000">
      <w:r>
        <w:pict>
          <v:shape id="_x0000_s1042" type="#_x0000_t75" style="position:absolute;margin-left:0;margin-top:0;width:424.85pt;height:456.7pt;z-index:13" o:allowincell="f">
            <v:imagedata r:id="rId44" o:title=""/>
            <w10:wrap type="topAndBottom"/>
          </v:shape>
        </w:pict>
      </w:r>
      <w:r>
        <w:rPr>
          <w:bCs/>
        </w:rPr>
        <w:tab/>
      </w:r>
      <w:r>
        <w:rPr>
          <w:u w:val="single"/>
        </w:rPr>
        <w:t>Источник</w:t>
      </w:r>
      <w:r>
        <w:t>:  Министерство культуры.</w:t>
      </w:r>
    </w:p>
    <w:p w:rsidR="00000000" w:rsidRDefault="00000000">
      <w:pPr>
        <w:pStyle w:val="Heading1"/>
        <w:rPr>
          <w:bCs/>
        </w:rPr>
      </w:pPr>
    </w:p>
    <w:p w:rsidR="00000000" w:rsidRDefault="00000000">
      <w:r>
        <w:t>822.</w:t>
      </w:r>
      <w:r>
        <w:tab/>
        <w:t>В Бразилии насчитывается около 1 300 музейных учреждений, отличающихся широким разнообразием.  В их число входят национальные, региональные и местные, публичные и частные, исторические, художественные, антропологические и этнографические, научные и технические музеи.  В главных музеях Бразилии, находящихся в ведении министерства культуры, организуются экскурсии, а также учебно-развлекательные мероприятия для школьников.  Введение бесплатного входа по воскресеньям способствует расширению доступа в эти учреждения культуры всех граждан независимо от их финансовых возможностей.</w:t>
      </w:r>
    </w:p>
    <w:p w:rsidR="00000000" w:rsidRDefault="00000000"/>
    <w:p w:rsidR="00000000" w:rsidRDefault="00000000">
      <w:r>
        <w:t>823.</w:t>
      </w:r>
      <w:r>
        <w:tab/>
        <w:t>В культурной политике Бразилии особое внимание уделяется вопросам, связанным с утверждением национальной самобытности.  Кинематограф, историческое и художественное наследие страны, театр, изобразительное искусство и литература всегда вносили значительный вклад в воспитание чувства принадлежности к обществу, в котором живут граждане Бразилии.  Кроме того, особого внимания требуют этнические меньшинства как группы населения, чье участие в формировании бразильского общества имеет большое значение.  Исторические и археологические музеи и институты являются важнейшими средствами интерпретации истории, делающей упор на значение многообразия во всех его формах.  Министерство культуры также получает поддержку со стороны Фонда культуры "Пальмарес" (</w:t>
      </w:r>
      <w:r>
        <w:rPr>
          <w:lang w:val="en-US"/>
        </w:rPr>
        <w:t>Funda</w:t>
      </w:r>
      <w:r>
        <w:t>çã</w:t>
      </w:r>
      <w:r>
        <w:rPr>
          <w:lang w:val="en-US"/>
        </w:rPr>
        <w:t>o</w:t>
      </w:r>
      <w:r>
        <w:t xml:space="preserve"> </w:t>
      </w:r>
      <w:r>
        <w:rPr>
          <w:lang w:val="en-US"/>
        </w:rPr>
        <w:t>Cultural</w:t>
      </w:r>
      <w:r>
        <w:t xml:space="preserve"> </w:t>
      </w:r>
      <w:r>
        <w:rPr>
          <w:lang w:val="en-US"/>
        </w:rPr>
        <w:t>Palmares</w:t>
      </w:r>
      <w:r>
        <w:t>), основная цель которого состоит в содействии вовлечению чернокожего населения Бразилии во все процессы развития страны.  Руководствуясь этим принципом, Фонд организует и проводит мероприятия, направленные на повышение качества жизни и развитие культуры чернокожего населения.</w:t>
      </w:r>
    </w:p>
    <w:p w:rsidR="00000000" w:rsidRDefault="00000000"/>
    <w:p w:rsidR="00000000" w:rsidRDefault="00000000">
      <w:r>
        <w:t>824.</w:t>
      </w:r>
      <w:r>
        <w:tab/>
        <w:t xml:space="preserve">Фонд завершил составление карты сохранившихся </w:t>
      </w:r>
      <w:r>
        <w:rPr>
          <w:lang w:val="en-US"/>
        </w:rPr>
        <w:t>quilombos</w:t>
      </w:r>
      <w:r>
        <w:rPr>
          <w:b/>
          <w:bCs/>
          <w:vertAlign w:val="superscript"/>
        </w:rPr>
        <w:t>32</w:t>
      </w:r>
      <w:r>
        <w:t>, в которых раньше укрывались беглые рабы, способствуя укреплению связей с африканскими, европейскими, карибскими и североамериканскими странами, а также с Сообществом португалоязычных стран.  Он занимается строительством Национального справочно-информационного центра культуры чернокожего населения (НСИЦКЧ </w:t>
      </w:r>
      <w:r>
        <w:sym w:font="Symbol" w:char="F02D"/>
      </w:r>
      <w:r>
        <w:t xml:space="preserve"> С</w:t>
      </w:r>
      <w:r>
        <w:rPr>
          <w:lang w:val="en-US"/>
        </w:rPr>
        <w:t>entro</w:t>
      </w:r>
      <w:r>
        <w:t xml:space="preserve"> </w:t>
      </w:r>
      <w:r>
        <w:rPr>
          <w:lang w:val="en-US"/>
        </w:rPr>
        <w:t>Nacional</w:t>
      </w:r>
      <w:r>
        <w:t xml:space="preserve"> </w:t>
      </w:r>
      <w:r>
        <w:rPr>
          <w:lang w:val="en-US"/>
        </w:rPr>
        <w:t>de</w:t>
      </w:r>
      <w:r>
        <w:t xml:space="preserve"> </w:t>
      </w:r>
      <w:r>
        <w:rPr>
          <w:lang w:val="en-US"/>
        </w:rPr>
        <w:t>Informa</w:t>
      </w:r>
      <w:r>
        <w:t>çã</w:t>
      </w:r>
      <w:r>
        <w:rPr>
          <w:lang w:val="en-US"/>
        </w:rPr>
        <w:t>o</w:t>
      </w:r>
      <w:r>
        <w:t xml:space="preserve"> </w:t>
      </w:r>
      <w:r>
        <w:rPr>
          <w:lang w:val="en-US"/>
        </w:rPr>
        <w:t>e</w:t>
      </w:r>
      <w:r>
        <w:t xml:space="preserve"> </w:t>
      </w:r>
      <w:r>
        <w:rPr>
          <w:lang w:val="en-US"/>
        </w:rPr>
        <w:t>Refefer</w:t>
      </w:r>
      <w:r>
        <w:t>ê</w:t>
      </w:r>
      <w:r>
        <w:rPr>
          <w:lang w:val="en-US"/>
        </w:rPr>
        <w:t>ncia</w:t>
      </w:r>
      <w:r>
        <w:t xml:space="preserve"> </w:t>
      </w:r>
      <w:r>
        <w:rPr>
          <w:lang w:val="en-US"/>
        </w:rPr>
        <w:t>da</w:t>
      </w:r>
      <w:r>
        <w:t xml:space="preserve"> </w:t>
      </w:r>
      <w:r>
        <w:rPr>
          <w:lang w:val="en-US"/>
        </w:rPr>
        <w:t>Cultura</w:t>
      </w:r>
      <w:r>
        <w:t xml:space="preserve"> </w:t>
      </w:r>
      <w:r>
        <w:rPr>
          <w:lang w:val="en-US"/>
        </w:rPr>
        <w:t>Negra</w:t>
      </w:r>
      <w:r>
        <w:t>), который правительство намеревается открыть в 2001 году в качестве важного физического, символического и фактического места организации досуга, служащего цели интеграции и поддержки развития афробразильской культуры.</w:t>
      </w:r>
    </w:p>
    <w:p w:rsidR="00000000" w:rsidRDefault="00000000"/>
    <w:p w:rsidR="00000000" w:rsidRDefault="00000000">
      <w:r>
        <w:t>825.</w:t>
      </w:r>
      <w:r>
        <w:tab/>
        <w:t>Кроме того, через посредство Фонда "Пальмарес" бразильское правительство обеспечивает проведение мероприятий в самых различных частях Бразилии в целях утверждения культурной самобытности чернокожего населения в условиях плюралистического общества, подчеркивая динамизм, богатство и разнообразие многочисленных форм созидательного и выразительного характера, стремясь к сглаживанию территориальных и социальных различий и способствуя обмену опытом художественного творчества в различных областях и полному раскрытию возможностей представителей афробразильской культуры.  Работая в тесном сотрудничестве с правительственными учреждениями на федеральном уровне, уровня штатов и муниципальных округов, а также с неправительственными организациями, авторами и специалистами по афробразильской культуре, Фонд обеспечивает предоставление необходимых помещений и других возможностей для осуществления проектов, представляющих интерес для чернокожей общины, а также способствует сохранению фольклора, культуры чернокожего населения и бразильской культуры в целом как в самой стране, так и за рубежом.</w:t>
      </w:r>
    </w:p>
    <w:p w:rsidR="00000000" w:rsidRDefault="00000000"/>
    <w:p w:rsidR="00000000" w:rsidRDefault="00000000">
      <w:r>
        <w:t>826.</w:t>
      </w:r>
      <w:r>
        <w:tab/>
        <w:t>Бразильское правительство уделяет большое внимание пропаганде культурной самобытности страны с использованием аудиовизуальных средств, поскольку оно хорошо понимает, что полная свобода выражения мнений и художественного творчества не противоречит принципу свободы самовыражения традиционных культур Бразилии и сохранения многообразия их истоков.  Именно эти соображения лежат в основе статьи 29 Закона № 84501/1992, в котором оговаривается, что кинотеатры должны выделять определенное количество дней (которое ежегодно пересматривается) для демонстрации исключительно бразильских полнометражных фильмов.</w:t>
      </w:r>
    </w:p>
    <w:p w:rsidR="00000000" w:rsidRDefault="00000000"/>
    <w:p w:rsidR="00000000" w:rsidRDefault="00000000">
      <w:r>
        <w:t>827.</w:t>
      </w:r>
      <w:r>
        <w:tab/>
        <w:t>Вопросы, касающиеся коренных общин Бразилии, находятся в ведении Национального фонда индейцев (ФУНАИ </w:t>
      </w:r>
      <w:r>
        <w:sym w:font="Symbol" w:char="F02D"/>
      </w:r>
      <w:r>
        <w:t xml:space="preserve"> </w:t>
      </w:r>
      <w:r>
        <w:rPr>
          <w:i/>
          <w:iCs/>
          <w:lang w:val="en-US"/>
        </w:rPr>
        <w:t>Funda</w:t>
      </w:r>
      <w:r>
        <w:rPr>
          <w:i/>
          <w:iCs/>
        </w:rPr>
        <w:t>çã</w:t>
      </w:r>
      <w:r>
        <w:rPr>
          <w:i/>
          <w:iCs/>
          <w:lang w:val="en-US"/>
        </w:rPr>
        <w:t>o</w:t>
      </w:r>
      <w:r>
        <w:rPr>
          <w:i/>
          <w:iCs/>
        </w:rPr>
        <w:t xml:space="preserve"> </w:t>
      </w:r>
      <w:r>
        <w:rPr>
          <w:i/>
          <w:iCs/>
          <w:lang w:val="en-US"/>
        </w:rPr>
        <w:t>National</w:t>
      </w:r>
      <w:r>
        <w:rPr>
          <w:i/>
          <w:iCs/>
        </w:rPr>
        <w:t xml:space="preserve"> </w:t>
      </w:r>
      <w:r>
        <w:rPr>
          <w:i/>
          <w:iCs/>
          <w:lang w:val="en-US"/>
        </w:rPr>
        <w:t>do</w:t>
      </w:r>
      <w:r>
        <w:rPr>
          <w:i/>
          <w:iCs/>
        </w:rPr>
        <w:t xml:space="preserve"> Í</w:t>
      </w:r>
      <w:r>
        <w:rPr>
          <w:i/>
          <w:iCs/>
          <w:lang w:val="en-US"/>
        </w:rPr>
        <w:t>ndio</w:t>
      </w:r>
      <w:r>
        <w:rPr>
          <w:i/>
          <w:iCs/>
        </w:rPr>
        <w:t>)</w:t>
      </w:r>
      <w:r>
        <w:t>, подчиняющегося министерству юстиции, на который также возложена защита культуры этого населения.  Недавно в Бразилии была создана сеть музеев под открытым небом (</w:t>
      </w:r>
      <w:r>
        <w:rPr>
          <w:i/>
          <w:iCs/>
          <w:lang w:val="en-US"/>
        </w:rPr>
        <w:t>Museus</w:t>
      </w:r>
      <w:r>
        <w:rPr>
          <w:i/>
          <w:iCs/>
        </w:rPr>
        <w:t xml:space="preserve"> </w:t>
      </w:r>
      <w:r>
        <w:rPr>
          <w:i/>
          <w:iCs/>
          <w:lang w:val="en-US"/>
        </w:rPr>
        <w:t>Abertos</w:t>
      </w:r>
      <w:r>
        <w:rPr>
          <w:i/>
          <w:iCs/>
        </w:rPr>
        <w:t xml:space="preserve"> </w:t>
      </w:r>
      <w:r>
        <w:rPr>
          <w:i/>
          <w:iCs/>
          <w:lang w:val="en-US"/>
        </w:rPr>
        <w:t>do</w:t>
      </w:r>
      <w:r>
        <w:rPr>
          <w:i/>
          <w:iCs/>
        </w:rPr>
        <w:t xml:space="preserve"> </w:t>
      </w:r>
      <w:r>
        <w:rPr>
          <w:i/>
          <w:iCs/>
          <w:lang w:val="en-US"/>
        </w:rPr>
        <w:t>Descobrimento</w:t>
      </w:r>
      <w:r>
        <w:t>), чья концепция выходит за рамки традиционного формата аналогичных культурных учреждений.  К ним, в частности, относится природно-ландшафтный музей (</w:t>
      </w:r>
      <w:r>
        <w:rPr>
          <w:i/>
          <w:iCs/>
          <w:lang w:val="en-US"/>
        </w:rPr>
        <w:t>Quadril</w:t>
      </w:r>
      <w:r>
        <w:rPr>
          <w:i/>
          <w:iCs/>
        </w:rPr>
        <w:t>á</w:t>
      </w:r>
      <w:r>
        <w:rPr>
          <w:i/>
          <w:iCs/>
          <w:lang w:val="en-US"/>
        </w:rPr>
        <w:t>tero</w:t>
      </w:r>
      <w:r>
        <w:rPr>
          <w:i/>
          <w:iCs/>
        </w:rPr>
        <w:t xml:space="preserve"> </w:t>
      </w:r>
      <w:r>
        <w:rPr>
          <w:i/>
          <w:iCs/>
          <w:lang w:val="en-US"/>
        </w:rPr>
        <w:t>de</w:t>
      </w:r>
      <w:r>
        <w:rPr>
          <w:i/>
          <w:iCs/>
        </w:rPr>
        <w:t xml:space="preserve"> </w:t>
      </w:r>
      <w:r>
        <w:rPr>
          <w:i/>
          <w:iCs/>
          <w:lang w:val="en-US"/>
        </w:rPr>
        <w:t>Descobrimento</w:t>
      </w:r>
      <w:r>
        <w:t>), включающий также исторические городские комплексы</w:t>
      </w:r>
      <w:r>
        <w:rPr>
          <w:b/>
          <w:bCs/>
          <w:vertAlign w:val="superscript"/>
        </w:rPr>
        <w:t>33</w:t>
      </w:r>
      <w:r>
        <w:t>, который привлекает большое количество посетителей;  заповедники тропических лесов атлантического побережья (Вера-Крус, Парк Пау-Бразил);  природный парк в Монти-Паскоал, в котором находится важный исторический памятник и где по</w:t>
      </w:r>
      <w:r>
        <w:noBreakHyphen/>
        <w:t>прежнему проживает коренное население;  археологические памятники;  а также резерваты коренного населения (один их них, выделенный для племени короа вермелья, является городским районом, представляющим значительную историческую ценность).  Другим примером музея под открытым небом, выходящего за рамки традиционной концепции, является Культурный комплекс Патазо, находящийся в ведении Института национального исторического и художественного наследия (ИНИХН </w:t>
      </w:r>
      <w:r>
        <w:sym w:font="Symbol" w:char="F02D"/>
      </w:r>
      <w:r>
        <w:t xml:space="preserve"> </w:t>
      </w:r>
      <w:r>
        <w:rPr>
          <w:i/>
          <w:iCs/>
          <w:lang w:val="en-US"/>
        </w:rPr>
        <w:t>Instituto</w:t>
      </w:r>
      <w:r>
        <w:rPr>
          <w:i/>
          <w:iCs/>
        </w:rPr>
        <w:t xml:space="preserve"> </w:t>
      </w:r>
      <w:r>
        <w:rPr>
          <w:i/>
          <w:iCs/>
          <w:lang w:val="en-US"/>
        </w:rPr>
        <w:t>d</w:t>
      </w:r>
      <w:r>
        <w:rPr>
          <w:i/>
          <w:iCs/>
        </w:rPr>
        <w:t xml:space="preserve">о </w:t>
      </w:r>
      <w:r>
        <w:rPr>
          <w:i/>
          <w:iCs/>
          <w:lang w:val="en-US"/>
        </w:rPr>
        <w:t>Patrim</w:t>
      </w:r>
      <w:r>
        <w:rPr>
          <w:i/>
          <w:iCs/>
        </w:rPr>
        <w:t>ô</w:t>
      </w:r>
      <w:r>
        <w:rPr>
          <w:i/>
          <w:iCs/>
          <w:lang w:val="en-US"/>
        </w:rPr>
        <w:t>nio</w:t>
      </w:r>
      <w:r>
        <w:rPr>
          <w:i/>
          <w:iCs/>
        </w:rPr>
        <w:t xml:space="preserve"> </w:t>
      </w:r>
      <w:r>
        <w:rPr>
          <w:i/>
          <w:iCs/>
          <w:lang w:val="en-US"/>
        </w:rPr>
        <w:t>Hist</w:t>
      </w:r>
      <w:r>
        <w:rPr>
          <w:i/>
          <w:iCs/>
        </w:rPr>
        <w:t>ó</w:t>
      </w:r>
      <w:r>
        <w:rPr>
          <w:i/>
          <w:iCs/>
          <w:lang w:val="en-US"/>
        </w:rPr>
        <w:t>rico</w:t>
      </w:r>
      <w:r>
        <w:rPr>
          <w:i/>
          <w:iCs/>
        </w:rPr>
        <w:t xml:space="preserve"> </w:t>
      </w:r>
      <w:r>
        <w:rPr>
          <w:i/>
          <w:iCs/>
          <w:lang w:val="en-US"/>
        </w:rPr>
        <w:t>e</w:t>
      </w:r>
      <w:r>
        <w:rPr>
          <w:i/>
          <w:iCs/>
        </w:rPr>
        <w:t xml:space="preserve"> </w:t>
      </w:r>
      <w:r>
        <w:rPr>
          <w:i/>
          <w:iCs/>
          <w:lang w:val="en-US"/>
        </w:rPr>
        <w:t>Art</w:t>
      </w:r>
      <w:r>
        <w:rPr>
          <w:i/>
          <w:iCs/>
        </w:rPr>
        <w:t>í</w:t>
      </w:r>
      <w:r>
        <w:rPr>
          <w:i/>
          <w:iCs/>
          <w:lang w:val="en-US"/>
        </w:rPr>
        <w:t>stico</w:t>
      </w:r>
      <w:r>
        <w:rPr>
          <w:i/>
          <w:iCs/>
        </w:rPr>
        <w:t xml:space="preserve"> </w:t>
      </w:r>
      <w:r>
        <w:rPr>
          <w:i/>
          <w:iCs/>
          <w:lang w:val="en-US"/>
        </w:rPr>
        <w:t>National</w:t>
      </w:r>
      <w:r>
        <w:t>).  В состав этого комплекса входит больница, два цеха по изготовлению препаратов на основе лекарственных трав и магазин по их продаже, школа с шестью классными комнатами, рекреационный центр, а также столовая, служебные помещения и бани, которые были спроектированы при участии самой общины.</w:t>
      </w:r>
    </w:p>
    <w:p w:rsidR="00000000" w:rsidRDefault="00000000"/>
    <w:p w:rsidR="00000000" w:rsidRDefault="00000000">
      <w:r>
        <w:t>828.</w:t>
      </w:r>
      <w:r>
        <w:tab/>
        <w:t>В силу значения для культурного наследия Бразилии части береговой линии, где португальские мореплаватели основали первую столицу Бразилии, эта территория (</w:t>
      </w:r>
      <w:r>
        <w:rPr>
          <w:i/>
          <w:iCs/>
          <w:lang w:val="en-US"/>
        </w:rPr>
        <w:t>Costa</w:t>
      </w:r>
      <w:r>
        <w:rPr>
          <w:i/>
          <w:iCs/>
        </w:rPr>
        <w:t xml:space="preserve"> </w:t>
      </w:r>
      <w:r>
        <w:rPr>
          <w:i/>
          <w:iCs/>
          <w:lang w:val="en-US"/>
        </w:rPr>
        <w:t>do</w:t>
      </w:r>
      <w:r>
        <w:rPr>
          <w:i/>
          <w:iCs/>
        </w:rPr>
        <w:t xml:space="preserve"> </w:t>
      </w:r>
      <w:r>
        <w:rPr>
          <w:i/>
          <w:iCs/>
          <w:lang w:val="en-US"/>
        </w:rPr>
        <w:t>Descobrimento</w:t>
      </w:r>
      <w:r>
        <w:t>) была включена ЮНЕСКО в число объектов всемирного наследия.</w:t>
      </w:r>
    </w:p>
    <w:p w:rsidR="00000000" w:rsidRDefault="00000000">
      <w:pPr>
        <w:tabs>
          <w:tab w:val="clear" w:pos="567"/>
          <w:tab w:val="clear" w:pos="1134"/>
          <w:tab w:val="clear" w:pos="1701"/>
          <w:tab w:val="clear" w:pos="2268"/>
          <w:tab w:val="clear" w:pos="6237"/>
          <w:tab w:val="left" w:pos="3131"/>
        </w:tabs>
      </w:pPr>
      <w:r>
        <w:tab/>
      </w:r>
    </w:p>
    <w:p w:rsidR="00000000" w:rsidRDefault="00000000">
      <w:r>
        <w:t>829.</w:t>
      </w:r>
      <w:r>
        <w:tab/>
        <w:t>Находящиеся в собственности государства постоянные коллекции Бразилии переданы в ведение ИНИХН, в том числе 16 000 объектов культурного наследия, 61 исторический городской памятник и 11 000 зарегистрированных археологических объектов, все из которых открыты для посещения.  Он также несет ответственность за более чем 1 млн. экспонатов, включая постоянные музейные коллекции, около 245 000 книг и два километра архивной документации, фотографии, кино- и видеофильмы.</w:t>
      </w:r>
    </w:p>
    <w:p w:rsidR="00000000" w:rsidRDefault="00000000"/>
    <w:p w:rsidR="00000000" w:rsidRDefault="00000000">
      <w:r>
        <w:t>830.</w:t>
      </w:r>
      <w:r>
        <w:tab/>
        <w:t>ИНИХН, учрежденный в 1937 году и являющийся, таким образом, старейшим в Латинской Америке учреждением по охране культурных ценностей, имеет широкий круг обязанностей – от выявления, защиты, реставрации, сохранения и надзора за природными, археологическими и интеллектуальными ценностями и ландшафтами до административного управления библиотеками, архивами и музеями – и занимается многими важными вопросами культурной жизни Бразилии.  Он осуществляет свою деятельность через посредство 14 региональных и 19 субрегиональных отделений;  кроме того, в его ведении находятся Национальный музей изобразительных искусств, Национальный исторический музей, Музей империи, Музей Республики, Музей независимости (</w:t>
      </w:r>
      <w:r>
        <w:rPr>
          <w:i/>
          <w:iCs/>
          <w:lang w:val="en-US"/>
        </w:rPr>
        <w:t>In</w:t>
      </w:r>
      <w:r>
        <w:rPr>
          <w:i/>
          <w:iCs/>
        </w:rPr>
        <w:t>с</w:t>
      </w:r>
      <w:r>
        <w:rPr>
          <w:i/>
          <w:iCs/>
          <w:lang w:val="en-US"/>
        </w:rPr>
        <w:t>onfid</w:t>
      </w:r>
      <w:r>
        <w:rPr>
          <w:i/>
          <w:iCs/>
        </w:rPr>
        <w:t>ê</w:t>
      </w:r>
      <w:r>
        <w:rPr>
          <w:i/>
          <w:iCs/>
          <w:lang w:val="en-US"/>
        </w:rPr>
        <w:t>ncia</w:t>
      </w:r>
      <w:r>
        <w:rPr>
          <w:i/>
          <w:iCs/>
        </w:rPr>
        <w:t>)</w:t>
      </w:r>
      <w:r>
        <w:t>, музеи Лазар Сегалл, Вилла-Лобус, Кастру Майя и Меллу Лейтан, усадьба Роберту Бурли Маркса, императорский дворец Паку и синематека Бразилии, а также 18 региональных музеев, 9 исторических домов и 1 исторический парк.</w:t>
      </w:r>
    </w:p>
    <w:p w:rsidR="00000000" w:rsidRDefault="00000000"/>
    <w:p w:rsidR="00000000" w:rsidRDefault="00000000">
      <w:r>
        <w:t>831.</w:t>
      </w:r>
      <w:r>
        <w:tab/>
        <w:t>ИНИХН занимается также сохранением и пропагандой исторических и культурных ценностей.  Его деятельность по сохранению исторических, архитектурных и художественных ценностей Бразилии основана не только на их специфике;  сохранение ценностей, в том числе памятников, улучшает городскую среду в целом, а также способствует подъему экономики, содействуя прежде всего развитию самобытности соответствующих социальных групп и их ознакомлению с прошлым.  Это, в частности, относится к картинам, скульптурам и рукописям, изделиям прикладного искусства и таким предметам традиционного использования, как гончарные изделия и керамика, оружие и кухонная утварь, а также книги.  Сохранение личных вещей, мебели и других принадлежностей осуществляется с помощью правительственных субсидий, а также налоговых льгот.  С помощью этой системы федеральное правительство и правительства штатов увеличивают помощь частному сектору в сохранении наследия страны.</w:t>
      </w:r>
    </w:p>
    <w:p w:rsidR="00000000" w:rsidRDefault="00000000"/>
    <w:p w:rsidR="00000000" w:rsidRDefault="00000000">
      <w:r>
        <w:t>832.</w:t>
      </w:r>
      <w:r>
        <w:tab/>
        <w:t>Через ИНИХН бразильское правительство осуществляет деятельность по сохранению девяти мест, внесенных ЮНЕСКО в список объектов всемирного наследия:  городского и архитектурного комплекса в Ору-Прету, штат Минас-Жерайс;  исторического центра Олинда, штат Пернамбуку;  руин церкви Св. Михаила и иезуитских миссий в Гуарани, штат Риу-Гранди-ду-Сул;  исторического центра Салвадор, штат Баия;  святилища Бон-Жезус-ди-Матозиньюс, штат Минас-Жерайс;  археологических памятников в Сан-Раймунду-Нонату в Национальном парке Серра-ди-Капивара, штат Пиауи;  городского, архитектурного и ландшафтного комплекса Бразилии, федеральный округ;  Национального парка Игуасу, штат Парана;  исторического центра города Сан-Луис, штат Мараньян.  К этим памятникам недавно был добавлен город Диамантина, также включенный в список объектов всемирного наследия.</w:t>
      </w:r>
    </w:p>
    <w:p w:rsidR="00000000" w:rsidRDefault="00000000"/>
    <w:p w:rsidR="00000000" w:rsidRDefault="00000000">
      <w:r>
        <w:t>833.</w:t>
      </w:r>
      <w:r>
        <w:tab/>
        <w:t>Нынешняя политика бразильского министерства культуры в области сохранения культурного наследия направлена на сохранение наследия всех этнических групп, способствовавших становлению бразильской нации.  Наглядным примером этого служит поддержка, оказанная министерством проекту восстановления первой синагоги в Южной и Северной Америке, построенной в 1641 году в Ресифи еврейскими иммигрантами из Нидерландов и Иберийского полуострова.</w:t>
      </w:r>
    </w:p>
    <w:p w:rsidR="00000000" w:rsidRDefault="00000000"/>
    <w:p w:rsidR="00000000" w:rsidRDefault="00000000">
      <w:r>
        <w:t>834.</w:t>
      </w:r>
      <w:r>
        <w:tab/>
        <w:t xml:space="preserve">В 1996-1999 годах в области сохранения художественного, исторического и культурного наследия было осуществлено 687 проектов.  За этот период министерство культуры инвестировало 87 427 663 реала на создание культурных центров и сохранение и реставрацию церквей, театров и музеев.  В 1995 году было выделено около 6 500 000 реалов на проведение 60 мероприятий.  В прошлом году были выделены средства на строительство, расширение, реставрацию и реконструкцию 32 театров и сценических площадок, включая муниципальный театр "Тарауака" в штате Акри, театр "Тобиас Баррету" в Аракажу, штат Сержипи, муниципальный театр "Сан-Жоан-дель-Рей" в штате Минас-Жерайс и муниципальный театр "Ильеус" в штате Баия. </w:t>
      </w:r>
    </w:p>
    <w:p w:rsidR="00000000" w:rsidRDefault="00000000"/>
    <w:p w:rsidR="00000000" w:rsidRDefault="00000000">
      <w:r>
        <w:t>835.</w:t>
      </w:r>
      <w:r>
        <w:tab/>
        <w:t>На карте № 3 показано размещение инвестиций министерства культуры в 1996</w:t>
      </w:r>
      <w:r>
        <w:noBreakHyphen/>
        <w:t>1999 годах.</w:t>
      </w:r>
    </w:p>
    <w:p w:rsidR="00000000" w:rsidRDefault="00000000"/>
    <w:p w:rsidR="00000000" w:rsidRDefault="00000000">
      <w:pPr>
        <w:pStyle w:val="BodyText2"/>
        <w:suppressAutoHyphens w:val="0"/>
        <w:spacing w:line="288" w:lineRule="auto"/>
        <w:jc w:val="center"/>
        <w:rPr>
          <w:i w:val="0"/>
          <w:sz w:val="24"/>
          <w:lang w:val="ru-RU"/>
        </w:rPr>
      </w:pPr>
      <w:r>
        <w:rPr>
          <w:i w:val="0"/>
          <w:sz w:val="24"/>
          <w:lang w:val="ru-RU"/>
        </w:rPr>
        <w:br w:type="page"/>
      </w:r>
    </w:p>
    <w:p w:rsidR="00000000" w:rsidRDefault="00000000">
      <w:pPr>
        <w:pStyle w:val="BodyText2"/>
        <w:suppressAutoHyphens w:val="0"/>
        <w:spacing w:line="288" w:lineRule="auto"/>
        <w:jc w:val="center"/>
        <w:rPr>
          <w:i w:val="0"/>
          <w:sz w:val="24"/>
          <w:lang w:val="ru-RU"/>
        </w:rPr>
      </w:pPr>
      <w:r>
        <w:rPr>
          <w:i w:val="0"/>
          <w:sz w:val="24"/>
          <w:lang w:val="ru-RU"/>
        </w:rPr>
        <w:t>КАРТА № 3</w:t>
      </w:r>
    </w:p>
    <w:p w:rsidR="00000000" w:rsidRDefault="00000000">
      <w:pPr>
        <w:pStyle w:val="BodyText3"/>
        <w:spacing w:line="288" w:lineRule="auto"/>
        <w:jc w:val="center"/>
        <w:rPr>
          <w:b/>
          <w:snapToGrid w:val="0"/>
          <w:sz w:val="16"/>
          <w:lang w:val="ru-RU" w:eastAsia="pt-BR"/>
        </w:rPr>
      </w:pPr>
      <w:r>
        <w:rPr>
          <w:b/>
          <w:noProof/>
          <w:lang w:val="ru-RU" w:eastAsia="ru-RU"/>
        </w:rPr>
        <w:pict>
          <v:shape id="_x0000_s1049" type="#_x0000_t202" style="position:absolute;left:0;text-align:left;margin-left:299.2pt;margin-top:426.65pt;width:140.25pt;height:44.45pt;z-index:20">
            <v:textbox style="mso-next-textbox:#_x0000_s1049">
              <w:txbxContent>
                <w:p w:rsidR="00000000" w:rsidRDefault="00000000">
                  <w:pPr>
                    <w:spacing w:line="216" w:lineRule="auto"/>
                    <w:rPr>
                      <w:sz w:val="18"/>
                    </w:rPr>
                  </w:pPr>
                  <w:r>
                    <w:rPr>
                      <w:sz w:val="18"/>
                    </w:rPr>
                    <w:t>Объекты культурного наследия и учреждения культуры, получавшие поддержку от министерства в 1996-1999 годах</w:t>
                  </w:r>
                </w:p>
              </w:txbxContent>
            </v:textbox>
          </v:shape>
        </w:pict>
      </w:r>
      <w:r>
        <w:rPr>
          <w:b/>
        </w:rPr>
        <w:pict>
          <v:shape id="_x0000_s1047" type="#_x0000_t75" style="position:absolute;left:0;text-align:left;margin-left:0;margin-top:39.3pt;width:441.75pt;height:447.75pt;z-index:18">
            <v:imagedata r:id="rId45" o:title=""/>
            <w10:wrap type="topAndBottom"/>
          </v:shape>
        </w:pict>
      </w:r>
    </w:p>
    <w:p w:rsidR="00000000" w:rsidRDefault="00000000">
      <w:pPr>
        <w:pStyle w:val="BodyText3"/>
        <w:spacing w:line="288" w:lineRule="auto"/>
        <w:jc w:val="center"/>
        <w:rPr>
          <w:b/>
          <w:snapToGrid w:val="0"/>
          <w:sz w:val="16"/>
          <w:lang w:val="ru-RU" w:eastAsia="pt-BR"/>
        </w:rPr>
      </w:pPr>
    </w:p>
    <w:p w:rsidR="00000000" w:rsidRDefault="00000000">
      <w:pPr>
        <w:pStyle w:val="BodyText3"/>
        <w:spacing w:line="288" w:lineRule="auto"/>
        <w:jc w:val="center"/>
        <w:rPr>
          <w:b/>
          <w:snapToGrid w:val="0"/>
          <w:sz w:val="16"/>
          <w:lang w:val="ru-RU" w:eastAsia="pt-BR"/>
        </w:rPr>
      </w:pPr>
      <w:r>
        <w:rPr>
          <w:b/>
          <w:noProof/>
          <w:lang w:val="ru-RU" w:eastAsia="ru-RU"/>
        </w:rPr>
        <w:pict>
          <v:shape id="_x0000_s1048" type="#_x0000_t202" style="position:absolute;left:0;text-align:left;margin-left:46.75pt;margin-top:11.35pt;width:402.05pt;height:32.25pt;z-index:19" strokecolor="white">
            <v:textbox style="mso-next-textbox:#_x0000_s1048">
              <w:txbxContent>
                <w:p w:rsidR="00000000" w:rsidRDefault="00000000">
                  <w:pPr>
                    <w:pStyle w:val="BodyText3"/>
                    <w:spacing w:after="360" w:line="216" w:lineRule="auto"/>
                    <w:jc w:val="center"/>
                    <w:rPr>
                      <w:b/>
                      <w:bCs/>
                      <w:snapToGrid w:val="0"/>
                      <w:sz w:val="28"/>
                      <w:lang w:val="ru-RU" w:eastAsia="pt-BR"/>
                    </w:rPr>
                  </w:pPr>
                  <w:r>
                    <w:rPr>
                      <w:b/>
                      <w:bCs/>
                      <w:snapToGrid w:val="0"/>
                      <w:sz w:val="28"/>
                      <w:lang w:val="ru-RU" w:eastAsia="pt-BR"/>
                    </w:rPr>
                    <w:t>Объекты культурного наследия и учреждения культуры</w:t>
                  </w:r>
                </w:p>
              </w:txbxContent>
            </v:textbox>
          </v:shape>
        </w:pict>
      </w:r>
    </w:p>
    <w:p w:rsidR="00000000" w:rsidRDefault="00000000">
      <w:pPr>
        <w:pStyle w:val="BodyText3"/>
        <w:spacing w:line="288" w:lineRule="auto"/>
        <w:jc w:val="center"/>
        <w:rPr>
          <w:b/>
          <w:snapToGrid w:val="0"/>
          <w:sz w:val="16"/>
          <w:lang w:val="ru-RU" w:eastAsia="pt-BR"/>
        </w:rPr>
      </w:pPr>
    </w:p>
    <w:p w:rsidR="00000000" w:rsidRDefault="00000000">
      <w:pPr>
        <w:pStyle w:val="BodyText3"/>
        <w:spacing w:line="288" w:lineRule="auto"/>
        <w:ind w:firstLine="567"/>
        <w:jc w:val="left"/>
        <w:rPr>
          <w:bCs/>
          <w:snapToGrid w:val="0"/>
          <w:lang w:val="ru-RU" w:eastAsia="pt-BR"/>
        </w:rPr>
      </w:pPr>
      <w:r>
        <w:rPr>
          <w:bCs/>
          <w:snapToGrid w:val="0"/>
          <w:u w:val="single"/>
          <w:lang w:val="ru-RU" w:eastAsia="pt-BR"/>
        </w:rPr>
        <w:t>Источник</w:t>
      </w:r>
      <w:r>
        <w:rPr>
          <w:bCs/>
          <w:snapToGrid w:val="0"/>
          <w:lang w:val="ru-RU" w:eastAsia="pt-BR"/>
        </w:rPr>
        <w:t>:  министерство культуры</w:t>
      </w:r>
    </w:p>
    <w:p w:rsidR="00000000" w:rsidRDefault="00000000">
      <w:pPr>
        <w:pStyle w:val="BodyText3"/>
        <w:spacing w:line="288" w:lineRule="auto"/>
        <w:jc w:val="center"/>
        <w:rPr>
          <w:bCs/>
          <w:snapToGrid w:val="0"/>
          <w:lang w:val="ru-RU" w:eastAsia="pt-BR"/>
        </w:rPr>
      </w:pPr>
    </w:p>
    <w:p w:rsidR="00000000" w:rsidRDefault="00000000"/>
    <w:p w:rsidR="00000000" w:rsidRDefault="00000000">
      <w:r>
        <w:t>836.</w:t>
      </w:r>
      <w:r>
        <w:tab/>
        <w:t>Широкое освещение в средствах массовой информации и в других источниках является наиболее важным способом обеспечения доступа к культурным ценностям, гуманитарным и естественным наукам.  Законодательство должно создавать условия для диверсификации электронных средств массовой информации, расширения различных видов художественного выражения, обогащения содержания и приумножения культурных ценностей, доступных для общества.  В самых различных учебных программах эти средства массовой информации умело используются для распространения знаний, а также для занятий в школах.</w:t>
      </w:r>
    </w:p>
    <w:p w:rsidR="00000000" w:rsidRDefault="00000000"/>
    <w:p w:rsidR="00000000" w:rsidRDefault="00000000">
      <w:r>
        <w:t>837</w:t>
      </w:r>
      <w:r>
        <w:tab/>
        <w:t>Расширение масштаба культурных мероприятий и информации, распространяемых с помощью аудиовизуальных и графических средств, требует определенных мер предосторожности.  Законодательство должно предусматривать систему мер контроля, обеспечивающих функционирование механизмов демократизации в целях формирования общества, способного устанавливать активные и творческие отношения со средствами массовой информации.</w:t>
      </w:r>
    </w:p>
    <w:p w:rsidR="00000000" w:rsidRDefault="00000000"/>
    <w:p w:rsidR="00000000" w:rsidRDefault="00000000">
      <w:r>
        <w:t>838.</w:t>
      </w:r>
      <w:r>
        <w:tab/>
        <w:t>В этой связи бразильское правительство обновляет свою правовую базу в соответствии с технологическими и социальными изменениями.  Законом № 8977 и Указом № 2206 от 14 апреля 1997 года была регламентирована работа кабельного телевидения для содействия развитию национальной и мировой культуры, расширения источников информации и форм проведения досуга и утверждения политического плюрализма.</w:t>
      </w:r>
    </w:p>
    <w:p w:rsidR="00000000" w:rsidRDefault="00000000"/>
    <w:p w:rsidR="00000000" w:rsidRDefault="00000000">
      <w:r>
        <w:t>839.</w:t>
      </w:r>
      <w:r>
        <w:tab/>
        <w:t>В таблице 93 указана доля домашних хозяйств, имеющих радиоприемники и телевизоры, в разбивке по регионам.</w:t>
      </w:r>
    </w:p>
    <w:p w:rsidR="00000000" w:rsidRDefault="00000000"/>
    <w:p w:rsidR="00000000" w:rsidRDefault="00000000">
      <w:pPr>
        <w:pStyle w:val="10"/>
        <w:rPr>
          <w:bCs/>
        </w:rPr>
      </w:pPr>
      <w:r>
        <w:rPr>
          <w:bCs/>
        </w:rPr>
        <w:t xml:space="preserve">Таблица 93.   Домашние хозяйства, имеющие радиоприемники </w:t>
      </w:r>
    </w:p>
    <w:p w:rsidR="00000000" w:rsidRDefault="00000000">
      <w:pPr>
        <w:jc w:val="center"/>
        <w:rPr>
          <w:b/>
          <w:bCs/>
        </w:rPr>
      </w:pPr>
      <w:r>
        <w:rPr>
          <w:b/>
          <w:bCs/>
        </w:rPr>
        <w:t>и телевизоры, 1996 год (в %)</w:t>
      </w:r>
    </w:p>
    <w:p w:rsidR="00000000" w:rsidRDefault="00000000">
      <w:pPr>
        <w:jc w:val="center"/>
        <w:rPr>
          <w:b/>
          <w:bCs/>
        </w:rPr>
      </w:pPr>
    </w:p>
    <w:tbl>
      <w:tblPr>
        <w:tblW w:w="0" w:type="auto"/>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805"/>
        <w:gridCol w:w="1496"/>
        <w:gridCol w:w="1870"/>
        <w:gridCol w:w="1870"/>
      </w:tblGrid>
      <w:tr w:rsidR="00000000">
        <w:tblPrEx>
          <w:tblCellMar>
            <w:top w:w="0" w:type="dxa"/>
            <w:bottom w:w="0" w:type="dxa"/>
          </w:tblCellMar>
        </w:tblPrEx>
        <w:trPr>
          <w:cantSplit/>
          <w:trHeight w:val="264"/>
        </w:trPr>
        <w:tc>
          <w:tcPr>
            <w:tcW w:w="2805" w:type="dxa"/>
            <w:shd w:val="solid" w:color="FFFFFF" w:fill="auto"/>
          </w:tcPr>
          <w:p w:rsidR="00000000" w:rsidRDefault="00000000">
            <w:pPr>
              <w:pStyle w:val="16"/>
              <w:spacing w:line="240" w:lineRule="auto"/>
              <w:rPr>
                <w:kern w:val="20"/>
              </w:rPr>
            </w:pPr>
            <w:r>
              <w:rPr>
                <w:kern w:val="20"/>
              </w:rPr>
              <w:t>Регионы</w:t>
            </w:r>
          </w:p>
        </w:tc>
        <w:tc>
          <w:tcPr>
            <w:tcW w:w="1496" w:type="dxa"/>
            <w:shd w:val="solid" w:color="FFFFFF" w:fill="auto"/>
          </w:tcPr>
          <w:p w:rsidR="00000000" w:rsidRDefault="00000000">
            <w:pPr>
              <w:spacing w:line="240" w:lineRule="auto"/>
              <w:jc w:val="center"/>
              <w:rPr>
                <w:kern w:val="20"/>
              </w:rPr>
            </w:pPr>
            <w:r>
              <w:rPr>
                <w:kern w:val="20"/>
              </w:rPr>
              <w:t>Радио-приемники</w:t>
            </w:r>
          </w:p>
        </w:tc>
        <w:tc>
          <w:tcPr>
            <w:tcW w:w="1870" w:type="dxa"/>
            <w:shd w:val="solid" w:color="FFFFFF" w:fill="auto"/>
          </w:tcPr>
          <w:p w:rsidR="00000000" w:rsidRDefault="00000000">
            <w:pPr>
              <w:spacing w:line="240" w:lineRule="auto"/>
              <w:jc w:val="center"/>
              <w:rPr>
                <w:kern w:val="20"/>
              </w:rPr>
            </w:pPr>
            <w:r>
              <w:rPr>
                <w:kern w:val="20"/>
              </w:rPr>
              <w:t>Черно-белые телевизоры</w:t>
            </w:r>
          </w:p>
        </w:tc>
        <w:tc>
          <w:tcPr>
            <w:tcW w:w="1870" w:type="dxa"/>
            <w:shd w:val="solid" w:color="FFFFFF" w:fill="auto"/>
          </w:tcPr>
          <w:p w:rsidR="00000000" w:rsidRDefault="00000000">
            <w:pPr>
              <w:spacing w:line="240" w:lineRule="auto"/>
              <w:jc w:val="center"/>
              <w:rPr>
                <w:kern w:val="20"/>
              </w:rPr>
            </w:pPr>
            <w:r>
              <w:rPr>
                <w:kern w:val="20"/>
              </w:rPr>
              <w:t>Цветные телевизоры</w:t>
            </w:r>
          </w:p>
        </w:tc>
      </w:tr>
      <w:tr w:rsidR="00000000">
        <w:tblPrEx>
          <w:tblCellMar>
            <w:top w:w="0" w:type="dxa"/>
            <w:bottom w:w="0" w:type="dxa"/>
          </w:tblCellMar>
        </w:tblPrEx>
        <w:trPr>
          <w:cantSplit/>
          <w:trHeight w:val="250"/>
        </w:trPr>
        <w:tc>
          <w:tcPr>
            <w:tcW w:w="2805" w:type="dxa"/>
            <w:shd w:val="solid" w:color="FFFFFF" w:fill="auto"/>
          </w:tcPr>
          <w:p w:rsidR="00000000" w:rsidRDefault="00000000">
            <w:pPr>
              <w:rPr>
                <w:kern w:val="20"/>
              </w:rPr>
            </w:pPr>
            <w:r>
              <w:rPr>
                <w:kern w:val="20"/>
              </w:rPr>
              <w:t>Северный</w:t>
            </w:r>
          </w:p>
        </w:tc>
        <w:tc>
          <w:tcPr>
            <w:tcW w:w="1496" w:type="dxa"/>
            <w:shd w:val="solid" w:color="FFFFFF" w:fill="auto"/>
          </w:tcPr>
          <w:p w:rsidR="00000000" w:rsidRDefault="00000000">
            <w:pPr>
              <w:jc w:val="center"/>
              <w:rPr>
                <w:kern w:val="20"/>
              </w:rPr>
            </w:pPr>
            <w:r>
              <w:rPr>
                <w:kern w:val="20"/>
              </w:rPr>
              <w:t>79,02</w:t>
            </w:r>
          </w:p>
        </w:tc>
        <w:tc>
          <w:tcPr>
            <w:tcW w:w="1870" w:type="dxa"/>
            <w:shd w:val="solid" w:color="FFFFFF" w:fill="auto"/>
          </w:tcPr>
          <w:p w:rsidR="00000000" w:rsidRDefault="00000000">
            <w:pPr>
              <w:jc w:val="center"/>
              <w:rPr>
                <w:kern w:val="20"/>
              </w:rPr>
            </w:pPr>
            <w:r>
              <w:rPr>
                <w:kern w:val="20"/>
              </w:rPr>
              <w:t>48,82</w:t>
            </w:r>
          </w:p>
        </w:tc>
        <w:tc>
          <w:tcPr>
            <w:tcW w:w="1870" w:type="dxa"/>
            <w:shd w:val="solid" w:color="FFFFFF" w:fill="auto"/>
          </w:tcPr>
          <w:p w:rsidR="00000000" w:rsidRDefault="00000000">
            <w:pPr>
              <w:jc w:val="center"/>
              <w:rPr>
                <w:kern w:val="20"/>
              </w:rPr>
            </w:pPr>
            <w:r>
              <w:rPr>
                <w:kern w:val="20"/>
              </w:rPr>
              <w:t>66,30</w:t>
            </w:r>
          </w:p>
        </w:tc>
      </w:tr>
      <w:tr w:rsidR="00000000">
        <w:tblPrEx>
          <w:tblCellMar>
            <w:top w:w="0" w:type="dxa"/>
            <w:bottom w:w="0" w:type="dxa"/>
          </w:tblCellMar>
        </w:tblPrEx>
        <w:trPr>
          <w:cantSplit/>
          <w:trHeight w:val="250"/>
        </w:trPr>
        <w:tc>
          <w:tcPr>
            <w:tcW w:w="2805" w:type="dxa"/>
            <w:shd w:val="solid" w:color="FFFFFF" w:fill="auto"/>
          </w:tcPr>
          <w:p w:rsidR="00000000" w:rsidRDefault="00000000">
            <w:pPr>
              <w:rPr>
                <w:kern w:val="20"/>
              </w:rPr>
            </w:pPr>
            <w:r>
              <w:rPr>
                <w:kern w:val="20"/>
              </w:rPr>
              <w:t xml:space="preserve">Северо-восточный </w:t>
            </w:r>
          </w:p>
        </w:tc>
        <w:tc>
          <w:tcPr>
            <w:tcW w:w="1496" w:type="dxa"/>
            <w:shd w:val="solid" w:color="FFFFFF" w:fill="auto"/>
          </w:tcPr>
          <w:p w:rsidR="00000000" w:rsidRDefault="00000000">
            <w:pPr>
              <w:jc w:val="center"/>
              <w:rPr>
                <w:kern w:val="20"/>
              </w:rPr>
            </w:pPr>
            <w:r>
              <w:rPr>
                <w:kern w:val="20"/>
              </w:rPr>
              <w:t>83,29</w:t>
            </w:r>
          </w:p>
        </w:tc>
        <w:tc>
          <w:tcPr>
            <w:tcW w:w="1870" w:type="dxa"/>
            <w:shd w:val="solid" w:color="FFFFFF" w:fill="auto"/>
          </w:tcPr>
          <w:p w:rsidR="00000000" w:rsidRDefault="00000000">
            <w:pPr>
              <w:jc w:val="center"/>
              <w:rPr>
                <w:kern w:val="20"/>
              </w:rPr>
            </w:pPr>
            <w:r>
              <w:rPr>
                <w:kern w:val="20"/>
              </w:rPr>
              <w:t>41,14</w:t>
            </w:r>
          </w:p>
        </w:tc>
        <w:tc>
          <w:tcPr>
            <w:tcW w:w="1870" w:type="dxa"/>
            <w:shd w:val="solid" w:color="FFFFFF" w:fill="auto"/>
          </w:tcPr>
          <w:p w:rsidR="00000000" w:rsidRDefault="00000000">
            <w:pPr>
              <w:jc w:val="center"/>
              <w:rPr>
                <w:kern w:val="20"/>
              </w:rPr>
            </w:pPr>
            <w:r>
              <w:rPr>
                <w:kern w:val="20"/>
              </w:rPr>
              <w:t>52,93</w:t>
            </w:r>
          </w:p>
        </w:tc>
      </w:tr>
      <w:tr w:rsidR="00000000">
        <w:tblPrEx>
          <w:tblCellMar>
            <w:top w:w="0" w:type="dxa"/>
            <w:bottom w:w="0" w:type="dxa"/>
          </w:tblCellMar>
        </w:tblPrEx>
        <w:trPr>
          <w:cantSplit/>
          <w:trHeight w:val="250"/>
        </w:trPr>
        <w:tc>
          <w:tcPr>
            <w:tcW w:w="2805" w:type="dxa"/>
            <w:shd w:val="solid" w:color="FFFFFF" w:fill="auto"/>
          </w:tcPr>
          <w:p w:rsidR="00000000" w:rsidRDefault="00000000">
            <w:pPr>
              <w:rPr>
                <w:kern w:val="20"/>
              </w:rPr>
            </w:pPr>
            <w:r>
              <w:rPr>
                <w:kern w:val="20"/>
              </w:rPr>
              <w:t>Юго-восточный</w:t>
            </w:r>
          </w:p>
        </w:tc>
        <w:tc>
          <w:tcPr>
            <w:tcW w:w="1496" w:type="dxa"/>
            <w:shd w:val="solid" w:color="FFFFFF" w:fill="auto"/>
          </w:tcPr>
          <w:p w:rsidR="00000000" w:rsidRDefault="00000000">
            <w:pPr>
              <w:jc w:val="center"/>
              <w:rPr>
                <w:kern w:val="20"/>
              </w:rPr>
            </w:pPr>
            <w:r>
              <w:rPr>
                <w:kern w:val="20"/>
              </w:rPr>
              <w:t>94,30</w:t>
            </w:r>
          </w:p>
        </w:tc>
        <w:tc>
          <w:tcPr>
            <w:tcW w:w="1870" w:type="dxa"/>
            <w:shd w:val="solid" w:color="FFFFFF" w:fill="auto"/>
          </w:tcPr>
          <w:p w:rsidR="00000000" w:rsidRDefault="00000000">
            <w:pPr>
              <w:jc w:val="center"/>
              <w:rPr>
                <w:kern w:val="20"/>
              </w:rPr>
            </w:pPr>
            <w:r>
              <w:rPr>
                <w:kern w:val="20"/>
              </w:rPr>
              <w:t>51,50</w:t>
            </w:r>
          </w:p>
        </w:tc>
        <w:tc>
          <w:tcPr>
            <w:tcW w:w="1870" w:type="dxa"/>
            <w:shd w:val="solid" w:color="FFFFFF" w:fill="auto"/>
          </w:tcPr>
          <w:p w:rsidR="00000000" w:rsidRDefault="00000000">
            <w:pPr>
              <w:jc w:val="center"/>
              <w:rPr>
                <w:kern w:val="20"/>
              </w:rPr>
            </w:pPr>
            <w:r>
              <w:rPr>
                <w:kern w:val="20"/>
              </w:rPr>
              <w:t>85,98</w:t>
            </w:r>
          </w:p>
        </w:tc>
      </w:tr>
      <w:tr w:rsidR="00000000">
        <w:tblPrEx>
          <w:tblCellMar>
            <w:top w:w="0" w:type="dxa"/>
            <w:bottom w:w="0" w:type="dxa"/>
          </w:tblCellMar>
        </w:tblPrEx>
        <w:trPr>
          <w:cantSplit/>
          <w:trHeight w:val="250"/>
        </w:trPr>
        <w:tc>
          <w:tcPr>
            <w:tcW w:w="2805" w:type="dxa"/>
            <w:shd w:val="solid" w:color="FFFFFF" w:fill="auto"/>
          </w:tcPr>
          <w:p w:rsidR="00000000" w:rsidRDefault="00000000">
            <w:pPr>
              <w:rPr>
                <w:kern w:val="20"/>
              </w:rPr>
            </w:pPr>
            <w:r>
              <w:rPr>
                <w:kern w:val="20"/>
              </w:rPr>
              <w:t>Южный</w:t>
            </w:r>
          </w:p>
        </w:tc>
        <w:tc>
          <w:tcPr>
            <w:tcW w:w="1496" w:type="dxa"/>
            <w:shd w:val="solid" w:color="FFFFFF" w:fill="auto"/>
          </w:tcPr>
          <w:p w:rsidR="00000000" w:rsidRDefault="00000000">
            <w:pPr>
              <w:jc w:val="center"/>
              <w:rPr>
                <w:kern w:val="20"/>
              </w:rPr>
            </w:pPr>
            <w:r>
              <w:rPr>
                <w:kern w:val="20"/>
              </w:rPr>
              <w:t>94,77</w:t>
            </w:r>
          </w:p>
        </w:tc>
        <w:tc>
          <w:tcPr>
            <w:tcW w:w="1870" w:type="dxa"/>
            <w:shd w:val="solid" w:color="FFFFFF" w:fill="auto"/>
          </w:tcPr>
          <w:p w:rsidR="00000000" w:rsidRDefault="00000000">
            <w:pPr>
              <w:jc w:val="center"/>
              <w:rPr>
                <w:kern w:val="20"/>
              </w:rPr>
            </w:pPr>
            <w:r>
              <w:rPr>
                <w:kern w:val="20"/>
              </w:rPr>
              <w:t>58,76</w:t>
            </w:r>
          </w:p>
        </w:tc>
        <w:tc>
          <w:tcPr>
            <w:tcW w:w="1870" w:type="dxa"/>
            <w:shd w:val="solid" w:color="FFFFFF" w:fill="auto"/>
          </w:tcPr>
          <w:p w:rsidR="00000000" w:rsidRDefault="00000000">
            <w:pPr>
              <w:jc w:val="center"/>
              <w:rPr>
                <w:kern w:val="20"/>
              </w:rPr>
            </w:pPr>
            <w:r>
              <w:rPr>
                <w:kern w:val="20"/>
              </w:rPr>
              <w:t>77,32</w:t>
            </w:r>
          </w:p>
        </w:tc>
      </w:tr>
      <w:tr w:rsidR="00000000">
        <w:tblPrEx>
          <w:tblCellMar>
            <w:top w:w="0" w:type="dxa"/>
            <w:bottom w:w="0" w:type="dxa"/>
          </w:tblCellMar>
        </w:tblPrEx>
        <w:trPr>
          <w:cantSplit/>
          <w:trHeight w:val="250"/>
        </w:trPr>
        <w:tc>
          <w:tcPr>
            <w:tcW w:w="2805" w:type="dxa"/>
            <w:shd w:val="solid" w:color="FFFFFF" w:fill="auto"/>
          </w:tcPr>
          <w:p w:rsidR="00000000" w:rsidRDefault="00000000">
            <w:pPr>
              <w:rPr>
                <w:kern w:val="20"/>
              </w:rPr>
            </w:pPr>
            <w:r>
              <w:rPr>
                <w:kern w:val="20"/>
              </w:rPr>
              <w:t>Центрально-западный</w:t>
            </w:r>
          </w:p>
        </w:tc>
        <w:tc>
          <w:tcPr>
            <w:tcW w:w="1496" w:type="dxa"/>
            <w:shd w:val="solid" w:color="FFFFFF" w:fill="auto"/>
          </w:tcPr>
          <w:p w:rsidR="00000000" w:rsidRDefault="00000000">
            <w:pPr>
              <w:jc w:val="center"/>
              <w:rPr>
                <w:kern w:val="20"/>
              </w:rPr>
            </w:pPr>
            <w:r>
              <w:rPr>
                <w:kern w:val="20"/>
              </w:rPr>
              <w:t>87,21</w:t>
            </w:r>
          </w:p>
        </w:tc>
        <w:tc>
          <w:tcPr>
            <w:tcW w:w="1870" w:type="dxa"/>
            <w:shd w:val="solid" w:color="FFFFFF" w:fill="auto"/>
          </w:tcPr>
          <w:p w:rsidR="00000000" w:rsidRDefault="00000000">
            <w:pPr>
              <w:jc w:val="center"/>
              <w:rPr>
                <w:kern w:val="20"/>
              </w:rPr>
            </w:pPr>
            <w:r>
              <w:rPr>
                <w:kern w:val="20"/>
              </w:rPr>
              <w:t>42,06</w:t>
            </w:r>
          </w:p>
        </w:tc>
        <w:tc>
          <w:tcPr>
            <w:tcW w:w="1870" w:type="dxa"/>
            <w:shd w:val="solid" w:color="FFFFFF" w:fill="auto"/>
          </w:tcPr>
          <w:p w:rsidR="00000000" w:rsidRDefault="00000000">
            <w:pPr>
              <w:jc w:val="center"/>
              <w:rPr>
                <w:kern w:val="20"/>
              </w:rPr>
            </w:pPr>
            <w:r>
              <w:rPr>
                <w:kern w:val="20"/>
              </w:rPr>
              <w:t>73,77</w:t>
            </w:r>
          </w:p>
        </w:tc>
      </w:tr>
      <w:tr w:rsidR="00000000">
        <w:tblPrEx>
          <w:tblCellMar>
            <w:top w:w="0" w:type="dxa"/>
            <w:bottom w:w="0" w:type="dxa"/>
          </w:tblCellMar>
        </w:tblPrEx>
        <w:trPr>
          <w:cantSplit/>
          <w:trHeight w:val="264"/>
        </w:trPr>
        <w:tc>
          <w:tcPr>
            <w:tcW w:w="2805" w:type="dxa"/>
            <w:shd w:val="solid" w:color="FFFFFF" w:fill="auto"/>
          </w:tcPr>
          <w:p w:rsidR="00000000" w:rsidRDefault="00000000">
            <w:pPr>
              <w:rPr>
                <w:kern w:val="20"/>
              </w:rPr>
            </w:pPr>
            <w:r>
              <w:rPr>
                <w:kern w:val="20"/>
              </w:rPr>
              <w:t>Бразилия в целом</w:t>
            </w:r>
          </w:p>
        </w:tc>
        <w:tc>
          <w:tcPr>
            <w:tcW w:w="1496" w:type="dxa"/>
            <w:shd w:val="solid" w:color="FFFFFF" w:fill="auto"/>
          </w:tcPr>
          <w:p w:rsidR="00000000" w:rsidRDefault="00000000">
            <w:pPr>
              <w:jc w:val="center"/>
              <w:rPr>
                <w:kern w:val="20"/>
              </w:rPr>
            </w:pPr>
            <w:r>
              <w:rPr>
                <w:kern w:val="20"/>
              </w:rPr>
              <w:t>90,33</w:t>
            </w:r>
          </w:p>
        </w:tc>
        <w:tc>
          <w:tcPr>
            <w:tcW w:w="1870" w:type="dxa"/>
            <w:shd w:val="solid" w:color="FFFFFF" w:fill="auto"/>
          </w:tcPr>
          <w:p w:rsidR="00000000" w:rsidRDefault="00000000">
            <w:pPr>
              <w:jc w:val="center"/>
              <w:rPr>
                <w:kern w:val="20"/>
              </w:rPr>
            </w:pPr>
            <w:r>
              <w:rPr>
                <w:kern w:val="20"/>
              </w:rPr>
              <w:t>46,74</w:t>
            </w:r>
          </w:p>
        </w:tc>
        <w:tc>
          <w:tcPr>
            <w:tcW w:w="1870" w:type="dxa"/>
            <w:shd w:val="solid" w:color="FFFFFF" w:fill="auto"/>
          </w:tcPr>
          <w:p w:rsidR="00000000" w:rsidRDefault="00000000">
            <w:pPr>
              <w:jc w:val="center"/>
              <w:rPr>
                <w:kern w:val="20"/>
              </w:rPr>
            </w:pPr>
            <w:r>
              <w:rPr>
                <w:kern w:val="20"/>
              </w:rPr>
              <w:t>74,12</w:t>
            </w:r>
          </w:p>
        </w:tc>
      </w:tr>
    </w:tbl>
    <w:p w:rsidR="00000000" w:rsidRDefault="00000000">
      <w:pPr>
        <w:rPr>
          <w:b/>
          <w:bCs/>
        </w:rPr>
      </w:pPr>
    </w:p>
    <w:p w:rsidR="00000000" w:rsidRDefault="00000000">
      <w:r>
        <w:rPr>
          <w:b/>
          <w:bCs/>
        </w:rPr>
        <w:tab/>
      </w:r>
      <w:r>
        <w:rPr>
          <w:u w:val="single"/>
        </w:rPr>
        <w:t>Источник</w:t>
      </w:r>
      <w:r>
        <w:t>:  Общенациональное выборочное обследование домашних хозяйств (ОВОДХ/БГИС), 1996 год.</w:t>
      </w:r>
    </w:p>
    <w:p w:rsidR="00000000" w:rsidRDefault="00000000">
      <w:pPr>
        <w:ind w:left="1134" w:hanging="1134"/>
      </w:pPr>
    </w:p>
    <w:p w:rsidR="00000000" w:rsidRDefault="00000000">
      <w:r>
        <w:t>840.</w:t>
      </w:r>
      <w:r>
        <w:tab/>
        <w:t>Бразильское правительство включило кинематографию и аудиовизуальную продукцию в число первоочередных культурных целей, подлежащих поддержке и финансированию.  Для активизации и оказания поддержки киноиндустрии страны был принят Закон об аудиовизуальных средствах (Закон № 8685/93 с поправками, внесенными Законом № 9323/96), а также создана Комиссия по делам кинематографии, в составе представителей различных министерств, включая министерство культуры, и представителей сектора аудиовизуальных средств.</w:t>
      </w:r>
    </w:p>
    <w:p w:rsidR="00000000" w:rsidRDefault="00000000"/>
    <w:p w:rsidR="00000000" w:rsidRDefault="00000000">
      <w:r>
        <w:t>841.</w:t>
      </w:r>
      <w:r>
        <w:tab/>
        <w:t xml:space="preserve">Хорошо понимая важность новых информационно-коммуникационных технологий и того огромного скачка, который они сделали с точки зрения качества и количества продукции, министерство культуры стремится осваивать новаторские пути распространения информации культурного характера через Интернет.  Здесь особо следует отметить Национальную систему информации о культуре (НСИК - </w:t>
      </w:r>
      <w:r>
        <w:rPr>
          <w:i/>
          <w:iCs/>
          <w:lang w:val="en-US"/>
        </w:rPr>
        <w:t>Sistema</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Informa</w:t>
      </w:r>
      <w:r>
        <w:rPr>
          <w:i/>
          <w:iCs/>
        </w:rPr>
        <w:t>çõ</w:t>
      </w:r>
      <w:r>
        <w:rPr>
          <w:i/>
          <w:iCs/>
          <w:lang w:val="en-US"/>
        </w:rPr>
        <w:t>es</w:t>
      </w:r>
      <w:r>
        <w:rPr>
          <w:i/>
          <w:iCs/>
        </w:rPr>
        <w:t xml:space="preserve"> </w:t>
      </w:r>
      <w:r>
        <w:rPr>
          <w:i/>
          <w:iCs/>
          <w:lang w:val="en-US"/>
        </w:rPr>
        <w:t>Culturais</w:t>
      </w:r>
      <w:r>
        <w:t>), которая собирает данные по вопросам культуры из самых различных источников.</w:t>
      </w:r>
    </w:p>
    <w:p w:rsidR="00000000" w:rsidRDefault="00000000"/>
    <w:p w:rsidR="00000000" w:rsidRDefault="00000000">
      <w:r>
        <w:t>842.</w:t>
      </w:r>
      <w:r>
        <w:tab/>
        <w:t xml:space="preserve">В связи с обеспечением массового доступа к культуре не только в Бразилии, но и в других странах правительство разработало культурную политику путем организации культурных обменов в форме выставок, кинофестивалей и многих других мероприятий.  </w:t>
      </w:r>
    </w:p>
    <w:p w:rsidR="00000000" w:rsidRDefault="00000000"/>
    <w:p w:rsidR="00000000" w:rsidRDefault="00000000">
      <w:r>
        <w:t>843.</w:t>
      </w:r>
      <w:r>
        <w:tab/>
        <w:t>Одной из важнейших проблем министерства культуры, работающего в тесном контакте с МБР и ЮНЕСКО, является Программа охраны памятников (</w:t>
      </w:r>
      <w:r>
        <w:rPr>
          <w:i/>
          <w:iCs/>
          <w:lang w:val="en-US"/>
        </w:rPr>
        <w:t>Programa</w:t>
      </w:r>
      <w:r>
        <w:rPr>
          <w:i/>
          <w:iCs/>
        </w:rPr>
        <w:t xml:space="preserve"> </w:t>
      </w:r>
      <w:r>
        <w:rPr>
          <w:i/>
          <w:iCs/>
          <w:lang w:val="en-US"/>
        </w:rPr>
        <w:t>Monumenta</w:t>
      </w:r>
      <w:r>
        <w:t>).  Ее цель состоит в возрождении основных городских комплексов, являющихся объектами культурного наследия, ряд из которых уже включен в число объектов всемирного наследия.  На осуществление этой рассчитанной на много лет общенациональной программы в первые три года было затрачено свыше 200 млн. долл. США.  Это самое крупное капиталовложение, когда-либо производимое в Бразилии в течение одного срока пребывания у власти какого-либо правительства.  Помимо МБР и правительства Бразилии, в финансировании этой программы принимали участие правительства штатов и администрация муниципальных округов, а также различные фонды и корпорации.</w:t>
      </w:r>
    </w:p>
    <w:p w:rsidR="00000000" w:rsidRDefault="00000000"/>
    <w:p w:rsidR="00000000" w:rsidRDefault="00000000">
      <w:r>
        <w:t>844.</w:t>
      </w:r>
      <w:r>
        <w:tab/>
        <w:t>Основной принцип Программы охраны памятников состоит не только в восстановлении наследия страны, но и в создании необходимых условий для обеспечения его постоянного поддержания, постепенной замены реставрации мерами по сохранению.  Основной принцип, лежащий в основе этой Программы, состоит в том, чтобы забота об общем наследии и уважение этого наследия стали делом каждого не только с точки зрения его художественной, исторической и/или культурной ценности, но и с точки зрения его значительного вклада в развитие страны.  Этот принцип лег в основу деятельности по реставрации, которая предусматривает передачу исторических зданий для использования в хозяйственных целях, создание коммерческих предприятий и финансирование их оборотного капитала, организацию художественных и других мероприятий, посвященных истории реставрируемых памятников, подготовку специалистов по методам консервации и управления историческими местами и памятниками, поощрение деятельности по охране памятников и туристской индустрии и содействие развитию культуры на уровне регионов.</w:t>
      </w:r>
    </w:p>
    <w:p w:rsidR="00000000" w:rsidRDefault="00000000"/>
    <w:p w:rsidR="00000000" w:rsidRDefault="00000000">
      <w:r>
        <w:t>845.</w:t>
      </w:r>
      <w:r>
        <w:tab/>
        <w:t>В Бразилии нет препятствий на пути осуществления свободы творчества.  В пункте </w:t>
      </w:r>
      <w:r>
        <w:rPr>
          <w:lang w:val="en-US"/>
        </w:rPr>
        <w:t>IX</w:t>
      </w:r>
      <w:r>
        <w:t xml:space="preserve"> статьи 5 ее Конституции гарантируется свобода интеллектуальной, художественной и научной деятельности, а также деятельности в области информации, свободной от какой бы то ни было цензуры.  На практике свобода слова в полном объеме осуществляется обществом в целом в самых различных аспектах.</w:t>
      </w:r>
    </w:p>
    <w:p w:rsidR="00000000" w:rsidRDefault="00000000"/>
    <w:p w:rsidR="00000000" w:rsidRDefault="00000000">
      <w:r>
        <w:t>846.</w:t>
      </w:r>
      <w:r>
        <w:tab/>
        <w:t xml:space="preserve">Создающий немало рабочих мест и значительную часть ВВП (как показано ниже в таблице 94) сектор культуры получает поддержку со стороны различных органов власти, становится более динамичным и приобретает более квалифицированных специалистов.  За последние несколько лет, если взять в качестве примера одну конкретную сферу, для работы в секторах гостиничного и ресторанного обслуживания, перевозок и организации досуга специальную подготовку получили 120 000 человек.  Что касается развития туризма, то в данном случае следует особо отметить Программу развития туризма северо-восточного региона (ПРОДЕТУР - </w:t>
      </w:r>
      <w:r>
        <w:rPr>
          <w:i/>
          <w:iCs/>
          <w:lang w:val="en-US"/>
        </w:rPr>
        <w:t>Programa</w:t>
      </w:r>
      <w:r>
        <w:rPr>
          <w:i/>
          <w:iCs/>
        </w:rPr>
        <w:t xml:space="preserve"> </w:t>
      </w:r>
      <w:r>
        <w:rPr>
          <w:i/>
          <w:iCs/>
          <w:lang w:val="en-US"/>
        </w:rPr>
        <w:t>de</w:t>
      </w:r>
      <w:r>
        <w:rPr>
          <w:i/>
          <w:iCs/>
        </w:rPr>
        <w:t xml:space="preserve"> </w:t>
      </w:r>
      <w:r>
        <w:rPr>
          <w:i/>
          <w:iCs/>
          <w:lang w:val="en-US"/>
        </w:rPr>
        <w:t>Desenvolvimento</w:t>
      </w:r>
      <w:r>
        <w:rPr>
          <w:i/>
          <w:iCs/>
        </w:rPr>
        <w:t xml:space="preserve"> </w:t>
      </w:r>
      <w:r>
        <w:rPr>
          <w:i/>
          <w:iCs/>
          <w:lang w:val="en-US"/>
        </w:rPr>
        <w:t>do</w:t>
      </w:r>
      <w:r>
        <w:rPr>
          <w:i/>
          <w:iCs/>
        </w:rPr>
        <w:t xml:space="preserve"> </w:t>
      </w:r>
      <w:r>
        <w:rPr>
          <w:i/>
          <w:iCs/>
          <w:lang w:val="en-US"/>
        </w:rPr>
        <w:t>Turismo</w:t>
      </w:r>
      <w:r>
        <w:rPr>
          <w:i/>
          <w:iCs/>
        </w:rPr>
        <w:t xml:space="preserve"> </w:t>
      </w:r>
      <w:r>
        <w:rPr>
          <w:i/>
          <w:iCs/>
          <w:lang w:val="en-US"/>
        </w:rPr>
        <w:t>no</w:t>
      </w:r>
      <w:r>
        <w:rPr>
          <w:i/>
          <w:iCs/>
        </w:rPr>
        <w:t xml:space="preserve"> </w:t>
      </w:r>
      <w:r>
        <w:rPr>
          <w:i/>
          <w:iCs/>
          <w:lang w:val="en-US"/>
        </w:rPr>
        <w:t>Nordeste</w:t>
      </w:r>
      <w:r>
        <w:t>), природные условия которого идеальны для развития экотуризма.  В других частях Бразилии также осуществляются программы поощрения туризма, приспособленные к конкретным региональным условиям.</w:t>
      </w:r>
    </w:p>
    <w:p w:rsidR="00000000" w:rsidRDefault="00000000"/>
    <w:p w:rsidR="00000000" w:rsidRDefault="00000000">
      <w:pPr>
        <w:pStyle w:val="10"/>
        <w:rPr>
          <w:bCs/>
        </w:rPr>
      </w:pPr>
      <w:r>
        <w:rPr>
          <w:bCs/>
        </w:rPr>
        <w:t>Таблица 94.   Бразилия:  сектор культуры - рабочие места, 1996 год</w:t>
      </w:r>
    </w:p>
    <w:p w:rsidR="00000000" w:rsidRDefault="00000000">
      <w:pPr>
        <w:pStyle w:val="10"/>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1"/>
        <w:gridCol w:w="2393"/>
        <w:gridCol w:w="2393"/>
        <w:gridCol w:w="2393"/>
      </w:tblGrid>
      <w:tr w:rsidR="00000000">
        <w:tblPrEx>
          <w:tblCellMar>
            <w:top w:w="0" w:type="dxa"/>
            <w:bottom w:w="0" w:type="dxa"/>
          </w:tblCellMar>
        </w:tblPrEx>
        <w:tc>
          <w:tcPr>
            <w:tcW w:w="2392" w:type="dxa"/>
          </w:tcPr>
          <w:p w:rsidR="00000000" w:rsidRDefault="00000000"/>
        </w:tc>
        <w:tc>
          <w:tcPr>
            <w:tcW w:w="2393" w:type="dxa"/>
          </w:tcPr>
          <w:p w:rsidR="00000000" w:rsidRDefault="00000000">
            <w:pPr>
              <w:jc w:val="center"/>
            </w:pPr>
            <w:r>
              <w:t>Столицы штатов</w:t>
            </w:r>
          </w:p>
        </w:tc>
        <w:tc>
          <w:tcPr>
            <w:tcW w:w="2393" w:type="dxa"/>
          </w:tcPr>
          <w:p w:rsidR="00000000" w:rsidRDefault="00000000">
            <w:pPr>
              <w:jc w:val="center"/>
            </w:pPr>
            <w:r>
              <w:t>Другие города и районы</w:t>
            </w:r>
          </w:p>
        </w:tc>
        <w:tc>
          <w:tcPr>
            <w:tcW w:w="2393" w:type="dxa"/>
          </w:tcPr>
          <w:p w:rsidR="00000000" w:rsidRDefault="00000000">
            <w:pPr>
              <w:jc w:val="center"/>
            </w:pPr>
            <w:r>
              <w:t>Всего</w:t>
            </w:r>
          </w:p>
        </w:tc>
      </w:tr>
      <w:tr w:rsidR="00000000">
        <w:tblPrEx>
          <w:tblCellMar>
            <w:top w:w="0" w:type="dxa"/>
            <w:bottom w:w="0" w:type="dxa"/>
          </w:tblCellMar>
        </w:tblPrEx>
        <w:tc>
          <w:tcPr>
            <w:tcW w:w="2392" w:type="dxa"/>
          </w:tcPr>
          <w:p w:rsidR="00000000" w:rsidRDefault="00000000">
            <w:r>
              <w:t>Сектор культуры</w:t>
            </w:r>
          </w:p>
        </w:tc>
        <w:tc>
          <w:tcPr>
            <w:tcW w:w="2393" w:type="dxa"/>
          </w:tcPr>
          <w:p w:rsidR="00000000" w:rsidRDefault="00000000">
            <w:pPr>
              <w:jc w:val="center"/>
            </w:pPr>
            <w:r>
              <w:t xml:space="preserve">     395 318</w:t>
            </w:r>
          </w:p>
        </w:tc>
        <w:tc>
          <w:tcPr>
            <w:tcW w:w="2393" w:type="dxa"/>
          </w:tcPr>
          <w:p w:rsidR="00000000" w:rsidRDefault="00000000">
            <w:pPr>
              <w:jc w:val="center"/>
            </w:pPr>
            <w:r>
              <w:t xml:space="preserve">     291 134</w:t>
            </w:r>
          </w:p>
        </w:tc>
        <w:tc>
          <w:tcPr>
            <w:tcW w:w="2393" w:type="dxa"/>
          </w:tcPr>
          <w:p w:rsidR="00000000" w:rsidRDefault="00000000">
            <w:pPr>
              <w:jc w:val="center"/>
            </w:pPr>
            <w:r>
              <w:t xml:space="preserve">     690 878</w:t>
            </w:r>
          </w:p>
        </w:tc>
      </w:tr>
      <w:tr w:rsidR="00000000">
        <w:tblPrEx>
          <w:tblCellMar>
            <w:top w:w="0" w:type="dxa"/>
            <w:bottom w:w="0" w:type="dxa"/>
          </w:tblCellMar>
        </w:tblPrEx>
        <w:tc>
          <w:tcPr>
            <w:tcW w:w="2392" w:type="dxa"/>
          </w:tcPr>
          <w:p w:rsidR="00000000" w:rsidRDefault="00000000">
            <w:r>
              <w:t>Доля (в %)</w:t>
            </w:r>
          </w:p>
        </w:tc>
        <w:tc>
          <w:tcPr>
            <w:tcW w:w="2393" w:type="dxa"/>
          </w:tcPr>
          <w:p w:rsidR="00000000" w:rsidRDefault="00000000">
            <w:pPr>
              <w:jc w:val="center"/>
            </w:pPr>
            <w:r>
              <w:t xml:space="preserve">                      3,44</w:t>
            </w:r>
          </w:p>
        </w:tc>
        <w:tc>
          <w:tcPr>
            <w:tcW w:w="2393" w:type="dxa"/>
          </w:tcPr>
          <w:p w:rsidR="00000000" w:rsidRDefault="00000000">
            <w:pPr>
              <w:jc w:val="center"/>
            </w:pPr>
            <w:r>
              <w:t xml:space="preserve">                      2,36</w:t>
            </w:r>
          </w:p>
        </w:tc>
        <w:tc>
          <w:tcPr>
            <w:tcW w:w="2393" w:type="dxa"/>
          </w:tcPr>
          <w:p w:rsidR="00000000" w:rsidRDefault="00000000">
            <w:pPr>
              <w:jc w:val="center"/>
            </w:pPr>
            <w:r>
              <w:t xml:space="preserve">                      2,90</w:t>
            </w:r>
          </w:p>
        </w:tc>
      </w:tr>
      <w:tr w:rsidR="00000000">
        <w:tblPrEx>
          <w:tblCellMar>
            <w:top w:w="0" w:type="dxa"/>
            <w:bottom w:w="0" w:type="dxa"/>
          </w:tblCellMar>
        </w:tblPrEx>
        <w:tc>
          <w:tcPr>
            <w:tcW w:w="2392" w:type="dxa"/>
          </w:tcPr>
          <w:p w:rsidR="00000000" w:rsidRDefault="00000000">
            <w:r>
              <w:tab/>
              <w:t>Итого</w:t>
            </w:r>
          </w:p>
        </w:tc>
        <w:tc>
          <w:tcPr>
            <w:tcW w:w="2393" w:type="dxa"/>
          </w:tcPr>
          <w:p w:rsidR="00000000" w:rsidRDefault="00000000">
            <w:pPr>
              <w:jc w:val="center"/>
            </w:pPr>
            <w:r>
              <w:t>11 496 512</w:t>
            </w:r>
          </w:p>
        </w:tc>
        <w:tc>
          <w:tcPr>
            <w:tcW w:w="2393" w:type="dxa"/>
          </w:tcPr>
          <w:p w:rsidR="00000000" w:rsidRDefault="00000000">
            <w:pPr>
              <w:jc w:val="center"/>
            </w:pPr>
            <w:r>
              <w:t>12 326 777</w:t>
            </w:r>
          </w:p>
        </w:tc>
        <w:tc>
          <w:tcPr>
            <w:tcW w:w="2393" w:type="dxa"/>
          </w:tcPr>
          <w:p w:rsidR="00000000" w:rsidRDefault="00000000">
            <w:pPr>
              <w:jc w:val="center"/>
            </w:pPr>
            <w:r>
              <w:t>23 830 303</w:t>
            </w:r>
          </w:p>
        </w:tc>
      </w:tr>
    </w:tbl>
    <w:p w:rsidR="00000000" w:rsidRDefault="00000000"/>
    <w:p w:rsidR="00000000" w:rsidRDefault="00000000">
      <w:r>
        <w:tab/>
      </w:r>
      <w:r>
        <w:rPr>
          <w:u w:val="single"/>
        </w:rPr>
        <w:t>Источник</w:t>
      </w:r>
      <w:r>
        <w:t>:  РАИС, 1996 год.</w:t>
      </w:r>
    </w:p>
    <w:p w:rsidR="00000000" w:rsidRDefault="00000000"/>
    <w:p w:rsidR="00000000" w:rsidRDefault="00000000">
      <w:r>
        <w:t>847.</w:t>
      </w:r>
      <w:r>
        <w:tab/>
        <w:t>Министерства культуры и труда проводят совместную работу по осуществлению программ подготовки, специалистов в сфере культуры, что имеет большое значение для укрепления кадрового состава учреждений культуры.  В настоящий момент министерство культуры предпринимает усилия для организации соответствующей специальной подготовки талантливых людей, поощряя культурный обмен с другими частями страны.</w:t>
      </w:r>
    </w:p>
    <w:p w:rsidR="00000000" w:rsidRDefault="00000000"/>
    <w:p w:rsidR="00000000" w:rsidRDefault="00000000"/>
    <w:p w:rsidR="00000000" w:rsidRDefault="00000000">
      <w:r>
        <w:t>848.</w:t>
      </w:r>
      <w:r>
        <w:tab/>
        <w:t xml:space="preserve">Аналогичным образом были установлены связи между министерством образования, Институтом национального исторического и художественного наследия (ИНИХН) и педагогическими учебными заведениями с целью создания школ-мастерских в столицах двух штатов северо-востока Бразилии, в которых молодые люди в возрасте от 14 до 24 лет проходят профессиональное обучение путем участия в реставрации ценностей, составляющих часть исторического наследия Бразилии.  Эти студенты изучают свои профессии в мастерских, специализирующихся в области производства каменных работ, плотницкого и столярного дела, обработки металла, типографских и штукатурных работ.  Теоретические и практические занятия проводятся архитекторами, реставраторами и ведущими специалистами.  </w:t>
      </w:r>
    </w:p>
    <w:p w:rsidR="00000000" w:rsidRDefault="00000000"/>
    <w:p w:rsidR="00000000" w:rsidRDefault="00000000">
      <w:r>
        <w:t>849.</w:t>
      </w:r>
      <w:r>
        <w:tab/>
        <w:t>Деятельность по пропаганде культуры также связана с предоставлением пособий на обучение в Бразилии и за границей в целях повышения мастерства и расширения знаний писателей, художников и технических специалистов, непосредственно связанных с деятельностью в области художественного творчества и культуры.  В качестве наглядного примера можно привести Программу виртуозов (</w:t>
      </w:r>
      <w:r>
        <w:rPr>
          <w:i/>
          <w:iCs/>
        </w:rPr>
        <w:t>Programa Virtuose</w:t>
      </w:r>
      <w:r>
        <w:t>), по линии которой поддерживаются инициативы, могущие способствовать профессиональному росту и трудоустройству.  Эти пособия предоставляются профессионалам, которые достигли признанного уровня профессиональной зрелости и были отобраны в результате изучения их работ, исходя из планов их подготовки и/или усовершенствования, а также уровня избранного учебного заведения.</w:t>
      </w:r>
    </w:p>
    <w:p w:rsidR="00000000" w:rsidRDefault="00000000"/>
    <w:p w:rsidR="00000000" w:rsidRDefault="00000000">
      <w:r>
        <w:t>850.</w:t>
      </w:r>
      <w:r>
        <w:tab/>
        <w:t>Министерство культуры Бразилии активно работает в области более широкого привлечения к деятельности в сфере культуры инвалидов, которые составляют около 10% населения Бразилии, или свыше 16 млн. человек</w:t>
      </w:r>
      <w:r>
        <w:rPr>
          <w:b/>
          <w:bCs/>
          <w:vertAlign w:val="superscript"/>
        </w:rPr>
        <w:t>34</w:t>
      </w:r>
      <w:r>
        <w:t>.</w:t>
      </w:r>
    </w:p>
    <w:p w:rsidR="00000000" w:rsidRDefault="00000000"/>
    <w:p w:rsidR="00000000" w:rsidRDefault="00000000">
      <w:r>
        <w:t>851.</w:t>
      </w:r>
      <w:r>
        <w:tab/>
        <w:t xml:space="preserve">В рамках Национального фонда искусств Бразилии (ФУНАРТЕ - </w:t>
      </w:r>
      <w:r>
        <w:rPr>
          <w:i/>
          <w:iCs/>
        </w:rPr>
        <w:t>Fundação Nacional de Arte</w:t>
      </w:r>
      <w:r>
        <w:t>), который занимается пропагандой и исследованиями в области культуры и художественного творчества под эгидой министерства культуры, в течение десяти лет осуществлялась Программа "Искусство без барьеров" (</w:t>
      </w:r>
      <w:r>
        <w:rPr>
          <w:i/>
          <w:iCs/>
        </w:rPr>
        <w:t>Arte Sem Barreiras Programa</w:t>
      </w:r>
      <w:r>
        <w:t>) в тесном сотрудничестве с неправительственной организацией "Вери спешиал артс интернэшнл ", которая осуществляет свою деятельность в 83 странах, занимаясь образованием и приобщением к искусству и творческому самовыражению молодых людей и взрослых из числа инвалидов.  До настоящего времени были проведены четыре национальных конгресса по вопросам специального образования и художественного творчества, пять национальных фестивалей "Искусство без барьеров", а также курсы подготовки, выставки и представления, осуществлялось общее руководство социально-культурной деятельностью и организовывались поездки для художников-инвалидов по Бразилии и за рубежом.</w:t>
      </w:r>
    </w:p>
    <w:p w:rsidR="00000000" w:rsidRDefault="00000000"/>
    <w:p w:rsidR="00000000" w:rsidRDefault="00000000">
      <w:r>
        <w:t>852.</w:t>
      </w:r>
      <w:r>
        <w:tab/>
        <w:t>Под эгидой ИНИХН принимаются активные меры по облегчению доступа инвалидов к историческому и художественному наследию Бразилии.  Внимание и усилия правительства, направленные на полную интеграцию инвалидов в общество, также нашли свое отражение в наборе на работу министерством культуры инвалидов, имеющих дипломы высших учебных заведений или свидетельства об окончании средней школы;  в июле 2000 года из 320 сотрудников Министерства 47 были набраны по специальной квоте.</w:t>
      </w:r>
    </w:p>
    <w:p w:rsidR="00000000" w:rsidRDefault="00000000"/>
    <w:p w:rsidR="00000000" w:rsidRDefault="00000000">
      <w:r>
        <w:t>853.</w:t>
      </w:r>
      <w:r>
        <w:tab/>
        <w:t xml:space="preserve">В 1999 году был создан Национальный совет по правам инвалидов (КОНАДЕ - </w:t>
      </w:r>
      <w:r>
        <w:rPr>
          <w:i/>
          <w:iCs/>
        </w:rPr>
        <w:t>Conselho Nacional dos Direitos da Pessoa Portadora de Deficiência</w:t>
      </w:r>
      <w:r>
        <w:t xml:space="preserve">).  Он представляет собой организацию высокого уровня, наделенную полномочиями по принятию решений, обязанность который состоит в содействии полной интеграции этой группы населения в общество в сотрудничестве с самыми различными министерствами.  Имея своего представителя в Совете, министерство культуры стремится содействовать дальнейшему привлечению инвалидов к культурной жизни страны.  </w:t>
      </w:r>
    </w:p>
    <w:p w:rsidR="00000000" w:rsidRDefault="00000000"/>
    <w:p w:rsidR="00000000" w:rsidRDefault="00000000">
      <w:r>
        <w:t>854.</w:t>
      </w:r>
      <w:r>
        <w:tab/>
        <w:t>Далее бразильское правительство хотело бы более конкретно остановиться на областях науки и техники с точки зрения статьи 15 Международного пакта об экономических, социальных и культурных правах.</w:t>
      </w:r>
    </w:p>
    <w:p w:rsidR="00000000" w:rsidRDefault="00000000"/>
    <w:p w:rsidR="00000000" w:rsidRDefault="00000000">
      <w:pPr>
        <w:rPr>
          <w:i/>
          <w:iCs/>
        </w:rPr>
      </w:pPr>
      <w:r>
        <w:t>855.</w:t>
      </w:r>
      <w:r>
        <w:tab/>
        <w:t xml:space="preserve">В Конституции Бразилии в культурное наследие страны включаются также научные и художественные труды и технические творения.  Кроме того, в ней указано, что все имеют право на пользование экологически сбалансированной окружающей средой.  В соответствии с этим Конституция возлагает на различные управленческие структуры следующие обязанности по сохранению этих ценностей:  i)  защита окружающей среды и борьба с загрязнением в какой бы то ни было форме;  ii)  сохранение лесов, растительного и животного мира;  iii)  контроль за предоставлением прав на разведку и разработку водных и минеральных ресурсов на соответствующих территориях.  Согласно Конституции, в сферу компетенции этих уровней управления должны входить разработка и принятие законодательных норм касающихся  i)  охраны природы и защиты почв и природных ресурсов, охраны окружающей среды и борьбы с загрязнением;  ii)  защиты туристских объектов и природных ландшафтов, являющихся национальным наследием;  и  iii)  ответственности за ущерб окружающей среде, а также ценностям и правам, имеющим отношение к туризму и природным ландшафтам.  Защита окружающей среды и надзор за этой деятельностью возложены на Бразильский институт окружающей среды и природных ресурсов (ИБАМА - </w:t>
      </w:r>
      <w:r>
        <w:rPr>
          <w:i/>
          <w:iCs/>
        </w:rPr>
        <w:t>Instituto</w:t>
      </w:r>
      <w:r>
        <w:t xml:space="preserve"> </w:t>
      </w:r>
      <w:r>
        <w:rPr>
          <w:i/>
          <w:iCs/>
        </w:rPr>
        <w:t>Brasileiro para o Meio Ambiente e Recursos Naturais).</w:t>
      </w:r>
    </w:p>
    <w:p w:rsidR="00000000" w:rsidRDefault="00000000">
      <w:pPr>
        <w:rPr>
          <w:i/>
          <w:iCs/>
        </w:rPr>
      </w:pPr>
    </w:p>
    <w:p w:rsidR="00000000" w:rsidRDefault="00000000">
      <w:r>
        <w:t>856.</w:t>
      </w:r>
      <w:r>
        <w:tab/>
        <w:t>На конституционном уровне государство обязано осуществлять технологические исследования в поисках решения проблем Бразилии и развития ее системы производства (статья 218).  Доступ к науке также является правом, записанным в Конституции Бразилии (статья 23), причем ответственность за обеспечение необходимых средств для такого доступа несет государство.  Правительство Бразилии стремится решать множество проблем в этой области, уделяя первоочередное внимание фундаментальным наукам, содействуя организации курсов подготовки и обеспечивая необходимые средства и условия для научной деятельности.  Правительство финансирует эту деятельность с помощью бюджетных ассигнований, выделяемых государственным научно-исследовательским учреждениям, и предоставляет льготы компаниям, осуществляющим инвестиции в этой области.</w:t>
      </w:r>
    </w:p>
    <w:p w:rsidR="00000000" w:rsidRDefault="00000000"/>
    <w:p w:rsidR="00000000" w:rsidRDefault="00000000">
      <w:r>
        <w:t>857.</w:t>
      </w:r>
      <w:r>
        <w:tab/>
        <w:t xml:space="preserve">Для содействия распространению информации о научном прогрессе министерство науки и техники осуществляет целый ряд мер, в том числе в рамках Многолетнего плана (2000-2003 годы):  </w:t>
      </w:r>
    </w:p>
    <w:p w:rsidR="00000000" w:rsidRDefault="00000000"/>
    <w:p w:rsidR="00000000" w:rsidRDefault="00000000">
      <w:r>
        <w:tab/>
        <w:t>а)</w:t>
      </w:r>
      <w:r>
        <w:tab/>
        <w:t>содействие распространению научно-технических достижений;</w:t>
      </w:r>
    </w:p>
    <w:p w:rsidR="00000000" w:rsidRDefault="00000000"/>
    <w:p w:rsidR="00000000" w:rsidRDefault="00000000">
      <w:r>
        <w:tab/>
        <w:t>b)</w:t>
      </w:r>
      <w:r>
        <w:tab/>
        <w:t>разработка и распространение научно-технических показателей;</w:t>
      </w:r>
    </w:p>
    <w:p w:rsidR="00000000" w:rsidRDefault="00000000"/>
    <w:p w:rsidR="00000000" w:rsidRDefault="00000000">
      <w:r>
        <w:tab/>
        <w:t>c)</w:t>
      </w:r>
      <w:r>
        <w:tab/>
        <w:t>укрепление государственной информационной системы в области науки и техники.</w:t>
      </w:r>
    </w:p>
    <w:p w:rsidR="00000000" w:rsidRDefault="00000000"/>
    <w:p w:rsidR="00000000" w:rsidRDefault="00000000">
      <w:r>
        <w:t>858.</w:t>
      </w:r>
      <w:r>
        <w:tab/>
        <w:t>В своих руководящих принципах Комитет прямо указывает, что он хотел бы получить информацию о мерах, препятствующих использованию научно-технического прогресса в целях полного осуществления всех прав человека, включая право на жизнь, здоровье, личную свободу, частную жизнь и аналогичные права.</w:t>
      </w:r>
    </w:p>
    <w:p w:rsidR="00000000" w:rsidRDefault="00000000"/>
    <w:p w:rsidR="00000000" w:rsidRDefault="00000000">
      <w:r>
        <w:t>859.</w:t>
      </w:r>
      <w:r>
        <w:tab/>
        <w:t>В других частях этого доклада бразильское правительство комментирует некоторые из этих аспектов.  Оно хотело бы подчеркнуть, что как бразильское законодательство, так и деятельность правительства направлены на обеспечение этих прав без ущерба для права на свободное выражение мнения, свободы исследований и использования результатов научно-технического прогресса.  Вместе с тем на государство возложена и регламентирующая функция, призванная сохранить баланс между двумя подходами:  обеспечением личных свобод и соблюдением прав человека.  В качестве примера следует отметить, что государство в Бразилии правомочно регулировать проведение исследований в области генетики и генетических изменений, а также в области контроля за разработкой, сбытом и использованием приемов, методов и веществ, представляющих угрозу для жизни, качества жизни и окружающей среды.</w:t>
      </w:r>
    </w:p>
    <w:p w:rsidR="00000000" w:rsidRDefault="00000000"/>
    <w:p w:rsidR="00000000" w:rsidRDefault="00000000">
      <w:r>
        <w:t>860.</w:t>
      </w:r>
      <w:r>
        <w:tab/>
        <w:t>Что касается научных, литературных и художественных трудов, то в Бразилии существует целая система защиты не только имущественных интересов, но и соответствующих моральных аспектов.  Авторские права гарантированы в пунктах XXVII и XXVIII статьи 5 Конституции Бразилии, а также детально регулируются законами, подтверждающими неимущественные и материальные права автора.  После обновления Уголовного кодекса Бразилии и подписания международных конвенций по этому вопросу был принят Закон № 9 610 от 19 февраля 1998 года, в котором содержатся новые положения в области прав человека и обновляются положения, не менявшиеся с декабря 1973 года (Закон № 5 988).</w:t>
      </w:r>
    </w:p>
    <w:p w:rsidR="00000000" w:rsidRDefault="00000000"/>
    <w:p w:rsidR="00000000" w:rsidRDefault="00000000">
      <w:r>
        <w:t>861.</w:t>
      </w:r>
      <w:r>
        <w:tab/>
        <w:t>В качестве основополагающих гарантий и прав авторов в Конституции Бразилии исключительное право на использование, публикацию и воспроизведение произведений распространяется на наследников авторов.  Кроме того, в ней также гарантируется защита индивидуальных работ, являющихся частью групповых представлений, вводится соответствующая регламентация в отношении воспроизведения голоса и изображения человека, в том числе в спорте, а также предусматривается право надзора за коммерческим использованием работ, в создании которых принимали участие авторы, наряду с актерами и их соответствующими профсоюзами и ассоциациями.  Аналогичным образом, авторы промышленных изобретений наделены временным правом использовать товарные знаки, фирменные наименования, названия компаний и другие отличительные знаки в соответствии с общественными интересами и целями технико</w:t>
      </w:r>
      <w:r>
        <w:noBreakHyphen/>
        <w:t>экономического развития Бразилии.  Эта конституционная гарантия была введена в 1996 году в результате ратификации нового Закона о промышленной собственности (1996 год) и Закона об авторских правах (1998 год), изменивших и обновивших общее законодательство в области интеллектуальной собственности.</w:t>
      </w:r>
    </w:p>
    <w:p w:rsidR="00000000" w:rsidRDefault="00000000"/>
    <w:p w:rsidR="00000000" w:rsidRDefault="00000000">
      <w:r>
        <w:t>862.</w:t>
      </w:r>
      <w:r>
        <w:tab/>
        <w:t xml:space="preserve">Этот новый Закон о промышленной собственности наделяет Национальный институт промышленной собственности (НИПС - </w:t>
      </w:r>
      <w:r>
        <w:rPr>
          <w:i/>
          <w:iCs/>
          <w:lang w:val="en-US"/>
        </w:rPr>
        <w:t>Instituto</w:t>
      </w:r>
      <w:r>
        <w:rPr>
          <w:i/>
          <w:iCs/>
        </w:rPr>
        <w:t xml:space="preserve"> </w:t>
      </w:r>
      <w:r>
        <w:rPr>
          <w:i/>
          <w:iCs/>
          <w:lang w:val="en-US"/>
        </w:rPr>
        <w:t>Nacional</w:t>
      </w:r>
      <w:r>
        <w:rPr>
          <w:i/>
          <w:iCs/>
        </w:rPr>
        <w:t xml:space="preserve"> </w:t>
      </w:r>
      <w:r>
        <w:rPr>
          <w:i/>
          <w:iCs/>
          <w:lang w:val="en-US"/>
        </w:rPr>
        <w:t>da</w:t>
      </w:r>
      <w:r>
        <w:rPr>
          <w:i/>
          <w:iCs/>
        </w:rPr>
        <w:t xml:space="preserve"> </w:t>
      </w:r>
      <w:r>
        <w:rPr>
          <w:i/>
          <w:iCs/>
          <w:lang w:val="en-US"/>
        </w:rPr>
        <w:t>Propriedade</w:t>
      </w:r>
      <w:r>
        <w:rPr>
          <w:i/>
          <w:iCs/>
        </w:rPr>
        <w:t xml:space="preserve"> </w:t>
      </w:r>
      <w:r>
        <w:rPr>
          <w:i/>
          <w:iCs/>
          <w:lang w:val="en-US"/>
        </w:rPr>
        <w:t>Industrial</w:t>
      </w:r>
      <w:r>
        <w:rPr>
          <w:i/>
          <w:iCs/>
        </w:rPr>
        <w:t>)</w:t>
      </w:r>
      <w:r>
        <w:t xml:space="preserve"> правами и обязанностями по соблюдению норм и стандартов, регулирующих статус промышленной собственности на всей территории Бразилии, и правом принимать решения, касающиеся подписания, ратификации или выхода из конвенций, договоров, пактов и соглашений о промышленной собственности.</w:t>
      </w:r>
    </w:p>
    <w:p w:rsidR="00000000" w:rsidRDefault="00000000"/>
    <w:p w:rsidR="00000000" w:rsidRDefault="00000000">
      <w:r>
        <w:t>863.</w:t>
      </w:r>
      <w:r>
        <w:tab/>
        <w:t>Вопрос о промышленной собственности приобретает все большее значение для экономики Бразилии, поскольку он открывает возможности для интеграции в международное сообщество.  НИПС становится все более влиятельным фактором промышленной и технологической политики Бразилии путем расширения процесса модернизации и децентрализации своей деятельности.  Одной из его главных задач является проведение более активной и динамичной политики со своими клиентами путем поощрения новаторских подходов и выполнения новых заявок.  В рамках выполнения конкретных программ НИПС предоставляет техническую информацию из своего постоянного хранилища, насчитывающего свыше 24 млн. патентных документов, систематизированных по названиям компаний, правительственных учреждений и прочее.</w:t>
      </w:r>
    </w:p>
    <w:p w:rsidR="00000000" w:rsidRDefault="00000000"/>
    <w:p w:rsidR="00000000" w:rsidRDefault="00000000">
      <w:r>
        <w:t>864.</w:t>
      </w:r>
      <w:r>
        <w:tab/>
        <w:t>В соответствии с бразильским законодательством об авторских правах в 1997 году было открыто Центральное бюро по сбору и распределению авторских гонораров (ЦБСРР - </w:t>
      </w:r>
      <w:r>
        <w:rPr>
          <w:i/>
          <w:iCs/>
          <w:lang w:val="en-US"/>
        </w:rPr>
        <w:t>Escrit</w:t>
      </w:r>
      <w:r>
        <w:rPr>
          <w:i/>
          <w:iCs/>
        </w:rPr>
        <w:t>ó</w:t>
      </w:r>
      <w:r>
        <w:rPr>
          <w:i/>
          <w:iCs/>
          <w:lang w:val="en-US"/>
        </w:rPr>
        <w:t>rio</w:t>
      </w:r>
      <w:r>
        <w:rPr>
          <w:i/>
          <w:iCs/>
        </w:rPr>
        <w:t xml:space="preserve"> </w:t>
      </w:r>
      <w:r>
        <w:rPr>
          <w:i/>
          <w:iCs/>
          <w:lang w:val="en-US"/>
        </w:rPr>
        <w:t>Central</w:t>
      </w:r>
      <w:r>
        <w:rPr>
          <w:i/>
          <w:iCs/>
        </w:rPr>
        <w:t xml:space="preserve"> </w:t>
      </w:r>
      <w:r>
        <w:rPr>
          <w:i/>
          <w:iCs/>
          <w:lang w:val="en-US"/>
        </w:rPr>
        <w:t>de</w:t>
      </w:r>
      <w:r>
        <w:rPr>
          <w:i/>
          <w:iCs/>
        </w:rPr>
        <w:t xml:space="preserve"> </w:t>
      </w:r>
      <w:r>
        <w:rPr>
          <w:i/>
          <w:iCs/>
          <w:lang w:val="en-US"/>
        </w:rPr>
        <w:t>Arrecaeda</w:t>
      </w:r>
      <w:r>
        <w:rPr>
          <w:i/>
          <w:iCs/>
        </w:rPr>
        <w:t>çã</w:t>
      </w:r>
      <w:r>
        <w:rPr>
          <w:i/>
          <w:iCs/>
          <w:lang w:val="en-US"/>
        </w:rPr>
        <w:t>o</w:t>
      </w:r>
      <w:r>
        <w:rPr>
          <w:i/>
          <w:iCs/>
        </w:rPr>
        <w:t xml:space="preserve"> </w:t>
      </w:r>
      <w:r>
        <w:rPr>
          <w:i/>
          <w:iCs/>
          <w:lang w:val="en-US"/>
        </w:rPr>
        <w:t>de</w:t>
      </w:r>
      <w:r>
        <w:rPr>
          <w:i/>
          <w:iCs/>
        </w:rPr>
        <w:t xml:space="preserve"> </w:t>
      </w:r>
      <w:r>
        <w:rPr>
          <w:i/>
          <w:iCs/>
          <w:lang w:val="en-US"/>
        </w:rPr>
        <w:t>Distribui</w:t>
      </w:r>
      <w:r>
        <w:rPr>
          <w:i/>
          <w:iCs/>
        </w:rPr>
        <w:t>çã</w:t>
      </w:r>
      <w:r>
        <w:rPr>
          <w:i/>
          <w:iCs/>
          <w:lang w:val="en-US"/>
        </w:rPr>
        <w:t>o</w:t>
      </w:r>
      <w:r>
        <w:t xml:space="preserve">).  В 1998 году объем средств, собранных этим учреждением, составил около 77 млн. долл. США.  Важно подчеркнуть, что бразильский Закон об авторских правах трудно приводить в исполнение в силу ограниченности ресурсов для такой огромной страны.  </w:t>
      </w:r>
    </w:p>
    <w:p w:rsidR="00000000" w:rsidRDefault="00000000"/>
    <w:p w:rsidR="00000000" w:rsidRDefault="00000000">
      <w:r>
        <w:t>865.</w:t>
      </w:r>
      <w:r>
        <w:tab/>
        <w:t xml:space="preserve">Сохранение, развитие и пропаганда достижений науки и культуры обеспечиваются за счет мер, принимаемых в соответствии с Конституцией и охватывающих систему образования и средства массовой информации.  Согласно статье 218 Конституции Бразилии, фундаментальные исследования должны являться первоочередной задачей государства, а технические исследования должны быть сосредоточены главным образом на поисках решения проблем, с которыми сталкивается Бразилия, а также на содействии развитию местных и региональных систем производства.  В результате государство несет ответственность за подготовку специалистов в области науки, научных исследований и технологии, а также за создание особых условий для осуществления такой деятельности.  Исходя из этого отдельные штаты могут выделять часть доходов своего бюджета на нужды государственных учреждений, поддерживающих проведение научных исследований.  </w:t>
      </w:r>
    </w:p>
    <w:p w:rsidR="00000000" w:rsidRDefault="00000000"/>
    <w:p w:rsidR="00000000" w:rsidRDefault="00000000">
      <w:r>
        <w:t>866.</w:t>
      </w:r>
      <w:r>
        <w:tab/>
        <w:t>Как указывается в Конституции Бразилии, федеральное правительство несет ответственность за финансовое обеспечение ряда высших учебных заведений, на долю которых приходится значительная часть научных разработок.  Кроме того, оно принимает меры по стимулированию компаний, инвестирующих в научно-технические исследования, а также в подготовку кадров;  по повышению значения подготовки специалистов;  созданию системы повышения по службе для сотрудников государственных учебных заведений с установленным уровнем заработной платы и условиям приема лишь на конкурсной основе после сдачи государственных экзаменов и представления дипломов;  по введению единой правовой системы для всех учреждений, находящихся в ведении федерального правительства.</w:t>
      </w:r>
    </w:p>
    <w:p w:rsidR="00000000" w:rsidRDefault="00000000"/>
    <w:p w:rsidR="00000000" w:rsidRDefault="00000000">
      <w:r>
        <w:t>867.</w:t>
      </w:r>
      <w:r>
        <w:tab/>
        <w:t xml:space="preserve">Также важно подчеркнуть, что на уровне федерального правительства стимулирование научно-технических достижений возложено, главным образом, на два правительственных ведомства:  Национальный совет научных исследований (НСНИ - </w:t>
      </w:r>
      <w:r>
        <w:rPr>
          <w:i/>
          <w:iCs/>
          <w:lang w:val="en-US"/>
        </w:rPr>
        <w:t>Conselho</w:t>
      </w:r>
      <w:r>
        <w:rPr>
          <w:i/>
          <w:iCs/>
        </w:rPr>
        <w:t xml:space="preserve"> </w:t>
      </w:r>
      <w:r>
        <w:rPr>
          <w:i/>
          <w:iCs/>
          <w:lang w:val="en-US"/>
        </w:rPr>
        <w:t>Nacional</w:t>
      </w:r>
      <w:r>
        <w:rPr>
          <w:i/>
          <w:iCs/>
        </w:rPr>
        <w:t xml:space="preserve"> </w:t>
      </w:r>
      <w:r>
        <w:rPr>
          <w:i/>
          <w:iCs/>
          <w:lang w:val="en-US"/>
        </w:rPr>
        <w:t>de</w:t>
      </w:r>
      <w:r>
        <w:rPr>
          <w:i/>
          <w:iCs/>
        </w:rPr>
        <w:t xml:space="preserve"> </w:t>
      </w:r>
      <w:r>
        <w:rPr>
          <w:i/>
          <w:iCs/>
          <w:lang w:val="en-US"/>
        </w:rPr>
        <w:t>Pesquisas</w:t>
      </w:r>
      <w:r>
        <w:rPr>
          <w:i/>
          <w:iCs/>
        </w:rPr>
        <w:t xml:space="preserve"> </w:t>
      </w:r>
      <w:r>
        <w:rPr>
          <w:i/>
          <w:iCs/>
          <w:lang w:val="en-US"/>
        </w:rPr>
        <w:t>Cientificas</w:t>
      </w:r>
      <w:r>
        <w:t>) и КАПЕС, чей совокупный бюджет в 1998 году составил в общей сложности 937 млн. реалов.  Их деятельность сосредоточена на подготовке специалистов, стимулировании научных исследований и распространении научных знаний.</w:t>
      </w:r>
    </w:p>
    <w:p w:rsidR="00000000" w:rsidRDefault="00000000"/>
    <w:p w:rsidR="00000000" w:rsidRDefault="00000000">
      <w:r>
        <w:t>868.</w:t>
      </w:r>
      <w:r>
        <w:tab/>
        <w:t>Что касается подготовки научных работников, то эти два учреждения затратили около 600 млн. реалов на выплату грантов для проведения исследований.  Стимулирование научных исследований осуществлялось также путем финансирования научно-исследовательских проектов, а также посредством вознаграждения научных работников и выделения средств соответствующим научно-исследовательским центрам.  Кроме того, новые источники финансирования научно-исследовательских работ и подготовки специалистов возникли в результате создания фондов, оказывающих помощь высшим учебным заведениям и работающих, главным образом, с учебными заведениями федерального уровня.  Распространение знаний осуществляется этими учреждениями через созданные ими конкретные каналы финансирования, а также высшими учебными заведениями через свои издательства.</w:t>
      </w:r>
    </w:p>
    <w:p w:rsidR="00000000" w:rsidRDefault="00000000"/>
    <w:p w:rsidR="00000000" w:rsidRDefault="00000000">
      <w:r>
        <w:t>869.</w:t>
      </w:r>
      <w:r>
        <w:tab/>
        <w:t>Свобода научных исследований и трудов также обеспечивается Конституцией Бразилии, в статье 5 которой гарантирована свобода выражения мнений в отношении деятельности интеллектуального, художественного и научного характера и деятельности в области коммуникации без какой-либо цензуры или разрешений.  В определенной степени эта концепция повторена в статье 206 Конституции, в которой гарантируется свобода преподавания, исследований и распространение мыслей, искусства и знаний.</w:t>
      </w:r>
    </w:p>
    <w:p w:rsidR="00000000" w:rsidRDefault="00000000"/>
    <w:p w:rsidR="00000000" w:rsidRDefault="00000000">
      <w:r>
        <w:t>870.</w:t>
      </w:r>
      <w:r>
        <w:tab/>
        <w:t>Аналогичным образом свобода обмена информацией, мнениями и опытом в научно-технической и культурной сфере также обеспечена и гарантирована Конституцией Бразилии в качестве одного из основных прав ее граждан.  Правительство Бразилии считает важным сообщить Комитету по экономическим, социальным и культурным правам, что в статье 5 Конституции Бразилии учитываются опасения, высказанные в руководящих принципах в отношении формы и содержания докладов государств-членов о соблюдении Международного пакта.  В результате этого в Конституции Бразилии предусматриваются условия, распространяющиеся как на правительство, так и на общество в целом, согласно которым выражение мыслей и осуществление интеллектуальной, художественной и научной деятельности, а также деятельности в области коммуникации должны сообразовываться с гарантиями неприкосновенности личной и частной жизни, а также доброго имени и репутации частных лиц без какой-либо цензуры с учетом права на компенсацию материального и морального ущерба в случае возможного нарушения.</w:t>
      </w:r>
    </w:p>
    <w:p w:rsidR="00000000" w:rsidRDefault="00000000"/>
    <w:p w:rsidR="00000000" w:rsidRDefault="00000000">
      <w:r>
        <w:t>871.</w:t>
      </w:r>
      <w:r>
        <w:tab/>
        <w:t>Аналогичным образом гарантируется оговоренная в законе свобода заниматься любым видом деятельности, ремеслом или профессией в соответствии с полученной квалификацией при обеспечении доступа для всех к информации и необходимой защиты конфиденциальности источников, когда это требуется по профессиональным соображениям.</w:t>
      </w:r>
    </w:p>
    <w:p w:rsidR="00000000" w:rsidRDefault="00000000"/>
    <w:p w:rsidR="00000000" w:rsidRDefault="00000000">
      <w:r>
        <w:t>872.</w:t>
      </w:r>
      <w:r>
        <w:tab/>
        <w:t>Министерство культуры оказывает поддержку культурным ассоциациям во многих областях по получении от них соответствующей просьбы и в рамках соответствующих программ.  Так, Национальный фонд культуры профинансировал 152 муниципальных проекта во всей Бразилии, а также выделил средства на ремонт культурных центров и приобретение необходимого оборудования, и оказал помощь общинам в активизации их культурной жизни.  При создании этих культурных центров первоочередное внимание уделяется реставрации зданий, представляющих историческую ценность, в результате чего эти инвестиции также способствуют сохранению культурного наследия страны.</w:t>
      </w:r>
    </w:p>
    <w:p w:rsidR="00000000" w:rsidRDefault="00000000"/>
    <w:p w:rsidR="00000000" w:rsidRDefault="00000000">
      <w:r>
        <w:t>873.</w:t>
      </w:r>
      <w:r>
        <w:tab/>
        <w:t>Политика правительства по оказанию поддержки международным научным и культурным мероприятиям находит свое отражение в многочисленных соглашениях об обменах в области образования с самыми различными странами, давая возможность иностранным студентам учиться в государственных высших учебных заведениях Бразилии, а бразильским студентам - в иностранных высших учебных заведениях.  КАПЕС и НСНИ предоставляют гранты выпускникам и молодым научным работникам для продолжения учебы за границей.  В области научных исследований Бразилия подписала соглашение о двустороннем сотрудничестве и в 1998 году стала членом 17 международных организаций по вопросам науки и техники.  Она также подписала соглашения с 46 иностранными учреждениями, деятельность которых связана с наукой и техникой.</w:t>
      </w:r>
    </w:p>
    <w:p w:rsidR="00000000" w:rsidRDefault="00000000"/>
    <w:p w:rsidR="00000000" w:rsidRDefault="00000000">
      <w:r>
        <w:t>874.</w:t>
      </w:r>
      <w:r>
        <w:tab/>
        <w:t xml:space="preserve">Бразильское правительство придает большое значение международной помощи.  Накопление новых знаний, опыта, ноу-хау и технологий способствует преодолению национальных и культурных границ, в частности путем интернационализации компаний и капитала.  Исследования сами по себе носят международный характер.  Поэтому правительство Бразилии считает существенно важным поощрять передачу технологии и оказывать поддержку фундаментальным и стратегическим научным исследованиям, осуществляемым в высших учебных заведениях и различных научно-исследовательских учреждениях и советах, а также других смежных организациях.  В этой работе участвовал ряд учреждений, включая Национальный совет научных исследований (НСНИ), ЭМБРАПА, ЭМАТЕР, Национальную конфедерацию промышленности (НКП - </w:t>
      </w:r>
      <w:r>
        <w:rPr>
          <w:i/>
          <w:iCs/>
          <w:lang w:val="en-US"/>
        </w:rPr>
        <w:t>Confedera</w:t>
      </w:r>
      <w:r>
        <w:rPr>
          <w:i/>
          <w:iCs/>
        </w:rPr>
        <w:t>çã</w:t>
      </w:r>
      <w:r>
        <w:rPr>
          <w:i/>
          <w:iCs/>
          <w:lang w:val="en-US"/>
        </w:rPr>
        <w:t>o</w:t>
      </w:r>
      <w:r>
        <w:rPr>
          <w:i/>
          <w:iCs/>
        </w:rPr>
        <w:t xml:space="preserve"> </w:t>
      </w:r>
      <w:r>
        <w:rPr>
          <w:i/>
          <w:iCs/>
          <w:lang w:val="en-US"/>
        </w:rPr>
        <w:t>Naci</w:t>
      </w:r>
      <w:r>
        <w:rPr>
          <w:i/>
          <w:iCs/>
        </w:rPr>
        <w:t>о</w:t>
      </w:r>
      <w:r>
        <w:rPr>
          <w:i/>
          <w:iCs/>
          <w:lang w:val="en-US"/>
        </w:rPr>
        <w:t>nal</w:t>
      </w:r>
      <w:r>
        <w:rPr>
          <w:i/>
          <w:iCs/>
        </w:rPr>
        <w:t xml:space="preserve"> </w:t>
      </w:r>
      <w:r>
        <w:rPr>
          <w:i/>
          <w:iCs/>
          <w:lang w:val="en-US"/>
        </w:rPr>
        <w:t>da</w:t>
      </w:r>
      <w:r>
        <w:rPr>
          <w:i/>
          <w:iCs/>
        </w:rPr>
        <w:t xml:space="preserve"> </w:t>
      </w:r>
      <w:r>
        <w:rPr>
          <w:i/>
          <w:iCs/>
          <w:lang w:val="en-US"/>
        </w:rPr>
        <w:t>Ind</w:t>
      </w:r>
      <w:r>
        <w:rPr>
          <w:i/>
          <w:iCs/>
        </w:rPr>
        <w:t>ú</w:t>
      </w:r>
      <w:r>
        <w:rPr>
          <w:i/>
          <w:iCs/>
          <w:lang w:val="en-US"/>
        </w:rPr>
        <w:t>stria</w:t>
      </w:r>
      <w:r>
        <w:t xml:space="preserve">), ИБИКТ и Агентство по финансированию исследований и проектов (ФИНЕП - </w:t>
      </w:r>
      <w:r>
        <w:rPr>
          <w:i/>
          <w:iCs/>
          <w:lang w:val="en-US"/>
        </w:rPr>
        <w:t>Financiadora</w:t>
      </w:r>
      <w:r>
        <w:rPr>
          <w:i/>
          <w:iCs/>
        </w:rPr>
        <w:t xml:space="preserve"> </w:t>
      </w:r>
      <w:r>
        <w:rPr>
          <w:i/>
          <w:iCs/>
          <w:lang w:val="en-US"/>
        </w:rPr>
        <w:t>de</w:t>
      </w:r>
      <w:r>
        <w:rPr>
          <w:i/>
          <w:iCs/>
        </w:rPr>
        <w:t xml:space="preserve"> </w:t>
      </w:r>
      <w:r>
        <w:rPr>
          <w:i/>
          <w:iCs/>
          <w:lang w:val="en-US"/>
        </w:rPr>
        <w:t>Estudos</w:t>
      </w:r>
      <w:r>
        <w:rPr>
          <w:i/>
          <w:iCs/>
        </w:rPr>
        <w:t xml:space="preserve"> </w:t>
      </w:r>
      <w:r>
        <w:rPr>
          <w:i/>
          <w:iCs/>
          <w:lang w:val="en-US"/>
        </w:rPr>
        <w:t>e</w:t>
      </w:r>
      <w:r>
        <w:rPr>
          <w:i/>
          <w:iCs/>
        </w:rPr>
        <w:t xml:space="preserve"> </w:t>
      </w:r>
      <w:r>
        <w:rPr>
          <w:i/>
          <w:iCs/>
          <w:lang w:val="en-US"/>
        </w:rPr>
        <w:t>Projetos</w:t>
      </w:r>
      <w:r>
        <w:t>).  Все эти учреждения открывают широкие возможности для проведения исследований и распространения их результатов среди микро-, малых и средних предприятий, а также бразильских компаний и корпораций, действующих в Бразилии.  Особо следует отметить Программу оказания поддержки центрам передового опыта (</w:t>
      </w:r>
      <w:r>
        <w:rPr>
          <w:i/>
          <w:iCs/>
          <w:lang w:val="en-US"/>
        </w:rPr>
        <w:t>Programa</w:t>
      </w:r>
      <w:r>
        <w:rPr>
          <w:i/>
          <w:iCs/>
        </w:rPr>
        <w:t xml:space="preserve"> </w:t>
      </w:r>
      <w:r>
        <w:rPr>
          <w:i/>
          <w:iCs/>
          <w:lang w:val="en-US"/>
        </w:rPr>
        <w:t>de</w:t>
      </w:r>
      <w:r>
        <w:rPr>
          <w:i/>
          <w:iCs/>
        </w:rPr>
        <w:t xml:space="preserve"> </w:t>
      </w:r>
      <w:r>
        <w:rPr>
          <w:i/>
          <w:iCs/>
          <w:lang w:val="en-US"/>
        </w:rPr>
        <w:t>Apoio</w:t>
      </w:r>
      <w:r>
        <w:rPr>
          <w:i/>
          <w:iCs/>
        </w:rPr>
        <w:t xml:space="preserve"> </w:t>
      </w:r>
      <w:r>
        <w:rPr>
          <w:i/>
          <w:iCs/>
          <w:lang w:val="en-US"/>
        </w:rPr>
        <w:t>a</w:t>
      </w:r>
      <w:r>
        <w:rPr>
          <w:i/>
          <w:iCs/>
        </w:rPr>
        <w:t xml:space="preserve"> </w:t>
      </w:r>
      <w:r>
        <w:rPr>
          <w:i/>
          <w:iCs/>
          <w:lang w:val="en-US"/>
        </w:rPr>
        <w:t>N</w:t>
      </w:r>
      <w:r>
        <w:rPr>
          <w:i/>
          <w:iCs/>
        </w:rPr>
        <w:t>ú</w:t>
      </w:r>
      <w:r>
        <w:rPr>
          <w:i/>
          <w:iCs/>
          <w:lang w:val="en-US"/>
        </w:rPr>
        <w:t>cleos</w:t>
      </w:r>
      <w:r>
        <w:rPr>
          <w:i/>
          <w:iCs/>
        </w:rPr>
        <w:t xml:space="preserve"> </w:t>
      </w:r>
      <w:r>
        <w:rPr>
          <w:i/>
          <w:iCs/>
          <w:lang w:val="en-US"/>
        </w:rPr>
        <w:t>de</w:t>
      </w:r>
      <w:r>
        <w:rPr>
          <w:i/>
          <w:iCs/>
        </w:rPr>
        <w:t xml:space="preserve"> </w:t>
      </w:r>
      <w:r>
        <w:rPr>
          <w:i/>
          <w:iCs/>
          <w:lang w:val="en-US"/>
        </w:rPr>
        <w:t>Excel</w:t>
      </w:r>
      <w:r>
        <w:rPr>
          <w:i/>
          <w:iCs/>
        </w:rPr>
        <w:t>ê</w:t>
      </w:r>
      <w:r>
        <w:rPr>
          <w:i/>
          <w:iCs/>
          <w:lang w:val="en-US"/>
        </w:rPr>
        <w:t>ncia</w:t>
      </w:r>
      <w:r>
        <w:t>), которая считается одной из важнейших программ стимулирования научных исследований и укрепления системы мониторинга в целях активизации научно-технических исследований.</w:t>
      </w:r>
    </w:p>
    <w:p w:rsidR="00000000" w:rsidRDefault="00000000"/>
    <w:p w:rsidR="00000000" w:rsidRDefault="00000000">
      <w:r>
        <w:t>875.</w:t>
      </w:r>
      <w:r>
        <w:tab/>
        <w:t>Деятельность в области научно-технических исследований может осуществляться высшими учебными заведениями, научно-исследовательскими центрами, специализированными институтами, государственными предприятиями и частными корпорациями, а также мелкими и средними компаниями, однако во многих случаях особое значение имеет связь между различными субъектами этой деятельности, устанавливаемая в рамках партнерских отношений и программ международной помощи и сотрудничества.  Правительство Бразилии также придает особое значение программам международного сотрудничества, включающим такие виды деятельности, в которых Бразилия не обладает сравнительными преимуществами, в том что касается ноу-хау, опыта и специальных технологий.</w:t>
      </w:r>
    </w:p>
    <w:p w:rsidR="00000000" w:rsidRDefault="00000000"/>
    <w:p w:rsidR="00000000" w:rsidRDefault="00000000">
      <w:r>
        <w:t>876.</w:t>
      </w:r>
      <w:r>
        <w:tab/>
        <w:t>Помощь предоставляется по линии осуществления совместных проектов в области проведения научных исследований и разработки технологий;  научных, технологических и технических обменов, а также мероприятий по подготовке специалистов и повышению квалификации;  расширения программ, проектов и контрактов между учреждениями соответствующих стран, специализирующихся на фундаментальных и прикладных исследованиях;  организации конгрессов, совещаний, семинаров, практикумов и т.д. с участием научных работников из различных стран;  обменов научно-технической информацией.</w:t>
      </w:r>
    </w:p>
    <w:p w:rsidR="00000000" w:rsidRDefault="00000000"/>
    <w:p w:rsidR="00000000" w:rsidRDefault="00000000">
      <w:r>
        <w:t>877.</w:t>
      </w:r>
      <w:r>
        <w:tab/>
        <w:t>В тех случаях, когда такая помощь предусматривает совместное творчество и сотрудничество, часто возникают проблемы, связанные с правами на интеллектуальную собственность, которые обычно разрешаются в соответствии с бразильским законодательством и законодательными нормами других сторон, а также международными соглашениями, участниками которых являются обе стороны.</w:t>
      </w:r>
    </w:p>
    <w:p w:rsidR="00000000" w:rsidRDefault="00000000">
      <w:pPr>
        <w:jc w:val="center"/>
        <w:rPr>
          <w:u w:val="single"/>
        </w:rPr>
      </w:pPr>
      <w:r>
        <w:br w:type="page"/>
      </w:r>
      <w:r>
        <w:rPr>
          <w:u w:val="single"/>
        </w:rPr>
        <w:t>Примечания</w:t>
      </w:r>
    </w:p>
    <w:p w:rsidR="00000000" w:rsidRDefault="00000000">
      <w:pPr>
        <w:jc w:val="center"/>
        <w:rPr>
          <w:u w:val="single"/>
        </w:rPr>
      </w:pPr>
    </w:p>
    <w:p w:rsidR="00000000" w:rsidRDefault="00000000">
      <w:r>
        <w:rPr>
          <w:b/>
          <w:bCs/>
          <w:vertAlign w:val="superscript"/>
        </w:rPr>
        <w:t>1</w:t>
      </w:r>
      <w:r>
        <w:tab/>
        <w:t>Бразильский научно-исследовательский институт прикладной экономики.</w:t>
      </w:r>
    </w:p>
    <w:p w:rsidR="00000000" w:rsidRDefault="00000000"/>
    <w:p w:rsidR="00000000" w:rsidRDefault="00000000">
      <w:r>
        <w:rPr>
          <w:b/>
          <w:bCs/>
          <w:vertAlign w:val="superscript"/>
        </w:rPr>
        <w:t>2</w:t>
      </w:r>
      <w:r>
        <w:tab/>
        <w:t>Ссылки на права человека в Федеральной конституции Бразилии:</w:t>
      </w:r>
    </w:p>
    <w:p w:rsidR="00000000" w:rsidRDefault="00000000"/>
    <w:p w:rsidR="00000000" w:rsidRDefault="00000000">
      <w:pPr>
        <w:rPr>
          <w:b/>
          <w:bCs/>
        </w:rPr>
      </w:pPr>
      <w:r>
        <w:rPr>
          <w:b/>
          <w:bCs/>
        </w:rPr>
        <w:t>Статья 1</w:t>
      </w:r>
    </w:p>
    <w:p w:rsidR="00000000" w:rsidRDefault="00000000">
      <w:pPr>
        <w:rPr>
          <w:b/>
          <w:bCs/>
        </w:rPr>
      </w:pPr>
    </w:p>
    <w:p w:rsidR="00000000" w:rsidRDefault="00000000">
      <w:r>
        <w:tab/>
        <w:t>Федеративная Республика Бразилия, представляющая собой нерушимый союз штатов, муниципий и Федерального округа, является демократическим и правовым государством, в основе которого лежат следующие принципы:</w:t>
      </w:r>
    </w:p>
    <w:p w:rsidR="00000000" w:rsidRDefault="00000000"/>
    <w:p w:rsidR="00000000" w:rsidRDefault="00000000">
      <w:pPr>
        <w:pStyle w:val="FootnoteText"/>
        <w:tabs>
          <w:tab w:val="clear" w:pos="567"/>
          <w:tab w:val="clear" w:pos="6237"/>
          <w:tab w:val="right" w:pos="561"/>
        </w:tabs>
        <w:spacing w:line="288" w:lineRule="auto"/>
      </w:pPr>
      <w:r>
        <w:tab/>
        <w:t>I.</w:t>
      </w:r>
      <w:r>
        <w:tab/>
        <w:t>суверенитет;</w:t>
      </w:r>
    </w:p>
    <w:p w:rsidR="00000000" w:rsidRDefault="00000000">
      <w:pPr>
        <w:pStyle w:val="FootnoteText"/>
        <w:tabs>
          <w:tab w:val="clear" w:pos="567"/>
          <w:tab w:val="right" w:pos="561"/>
        </w:tabs>
        <w:spacing w:line="288" w:lineRule="auto"/>
      </w:pPr>
    </w:p>
    <w:p w:rsidR="00000000" w:rsidRDefault="00000000">
      <w:pPr>
        <w:tabs>
          <w:tab w:val="clear" w:pos="567"/>
          <w:tab w:val="right" w:pos="561"/>
        </w:tabs>
      </w:pPr>
      <w:r>
        <w:tab/>
        <w:t>II.</w:t>
      </w:r>
      <w:r>
        <w:tab/>
        <w:t>гражданские права;</w:t>
      </w:r>
    </w:p>
    <w:p w:rsidR="00000000" w:rsidRDefault="00000000">
      <w:pPr>
        <w:tabs>
          <w:tab w:val="clear" w:pos="567"/>
          <w:tab w:val="right" w:pos="561"/>
        </w:tabs>
      </w:pPr>
    </w:p>
    <w:p w:rsidR="00000000" w:rsidRDefault="00000000">
      <w:pPr>
        <w:tabs>
          <w:tab w:val="clear" w:pos="567"/>
          <w:tab w:val="right" w:pos="561"/>
        </w:tabs>
      </w:pPr>
      <w:r>
        <w:tab/>
        <w:t>III.</w:t>
      </w:r>
      <w:r>
        <w:tab/>
        <w:t>уважение человеческой личности/человека;</w:t>
      </w:r>
    </w:p>
    <w:p w:rsidR="00000000" w:rsidRDefault="00000000">
      <w:pPr>
        <w:tabs>
          <w:tab w:val="clear" w:pos="567"/>
          <w:tab w:val="right" w:pos="561"/>
        </w:tabs>
      </w:pPr>
    </w:p>
    <w:p w:rsidR="00000000" w:rsidRDefault="00000000">
      <w:pPr>
        <w:tabs>
          <w:tab w:val="clear" w:pos="567"/>
          <w:tab w:val="right" w:pos="561"/>
        </w:tabs>
      </w:pPr>
      <w:r>
        <w:tab/>
        <w:t>IV.</w:t>
      </w:r>
      <w:r>
        <w:tab/>
        <w:t>социальные ценности труда и свободного предпринимательства;</w:t>
      </w:r>
    </w:p>
    <w:p w:rsidR="00000000" w:rsidRDefault="00000000">
      <w:pPr>
        <w:tabs>
          <w:tab w:val="clear" w:pos="567"/>
          <w:tab w:val="right" w:pos="561"/>
        </w:tabs>
      </w:pPr>
    </w:p>
    <w:p w:rsidR="00000000" w:rsidRDefault="00000000">
      <w:pPr>
        <w:tabs>
          <w:tab w:val="clear" w:pos="567"/>
          <w:tab w:val="right" w:pos="561"/>
        </w:tabs>
      </w:pPr>
      <w:r>
        <w:tab/>
        <w:t>V.</w:t>
      </w:r>
      <w:r>
        <w:tab/>
        <w:t>политический плюрализм.</w:t>
      </w:r>
    </w:p>
    <w:p w:rsidR="00000000" w:rsidRDefault="00000000"/>
    <w:p w:rsidR="00000000" w:rsidRDefault="00000000">
      <w:r>
        <w:tab/>
        <w:t>Отдельный параграф - Вся власть исходит от народа, который осуществляет ее через избираемых представителей или напрямую в соответствии с Конституцией.</w:t>
      </w:r>
    </w:p>
    <w:p w:rsidR="00000000" w:rsidRDefault="00000000"/>
    <w:p w:rsidR="00000000" w:rsidRDefault="00000000">
      <w:pPr>
        <w:rPr>
          <w:b/>
          <w:bCs/>
        </w:rPr>
      </w:pPr>
      <w:r>
        <w:rPr>
          <w:b/>
          <w:bCs/>
        </w:rPr>
        <w:t>Статья 3</w:t>
      </w:r>
    </w:p>
    <w:p w:rsidR="00000000" w:rsidRDefault="00000000">
      <w:pPr>
        <w:rPr>
          <w:b/>
          <w:bCs/>
        </w:rPr>
      </w:pPr>
    </w:p>
    <w:p w:rsidR="00000000" w:rsidRDefault="00000000">
      <w:r>
        <w:tab/>
        <w:t>Основополагающими целями Федеративной Республика Бразилии являются:</w:t>
      </w:r>
    </w:p>
    <w:p w:rsidR="00000000" w:rsidRDefault="00000000">
      <w:pPr>
        <w:pStyle w:val="FootnoteText"/>
        <w:spacing w:line="288" w:lineRule="auto"/>
      </w:pPr>
    </w:p>
    <w:p w:rsidR="00000000" w:rsidRDefault="00000000">
      <w:pPr>
        <w:tabs>
          <w:tab w:val="clear" w:pos="567"/>
          <w:tab w:val="right" w:pos="561"/>
        </w:tabs>
      </w:pPr>
      <w:r>
        <w:tab/>
        <w:t>I.</w:t>
      </w:r>
      <w:r>
        <w:tab/>
        <w:t>построение свободного, справедливого и солидарного общества;</w:t>
      </w:r>
    </w:p>
    <w:p w:rsidR="00000000" w:rsidRDefault="00000000">
      <w:pPr>
        <w:tabs>
          <w:tab w:val="clear" w:pos="567"/>
          <w:tab w:val="right" w:pos="561"/>
        </w:tabs>
      </w:pPr>
    </w:p>
    <w:p w:rsidR="00000000" w:rsidRDefault="00000000">
      <w:pPr>
        <w:tabs>
          <w:tab w:val="clear" w:pos="567"/>
          <w:tab w:val="right" w:pos="561"/>
        </w:tabs>
      </w:pPr>
      <w:r>
        <w:tab/>
        <w:t>II.</w:t>
      </w:r>
      <w:r>
        <w:tab/>
        <w:t>обеспечение национального развития;</w:t>
      </w:r>
    </w:p>
    <w:p w:rsidR="00000000" w:rsidRDefault="00000000">
      <w:pPr>
        <w:tabs>
          <w:tab w:val="clear" w:pos="567"/>
          <w:tab w:val="right" w:pos="561"/>
        </w:tabs>
      </w:pPr>
    </w:p>
    <w:p w:rsidR="00000000" w:rsidRDefault="00000000">
      <w:pPr>
        <w:tabs>
          <w:tab w:val="clear" w:pos="567"/>
          <w:tab w:val="right" w:pos="561"/>
        </w:tabs>
        <w:ind w:left="1134" w:hanging="1134"/>
      </w:pPr>
      <w:r>
        <w:tab/>
        <w:t>III.</w:t>
      </w:r>
      <w:r>
        <w:tab/>
        <w:t>искоренение нищеты и малообеспеченности и уменьшение социального неравенства и неравенства между регионами;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IV</w:t>
      </w:r>
      <w:r>
        <w:t>.</w:t>
      </w:r>
      <w:r>
        <w:tab/>
        <w:t>содействие благополучию всех граждан без каких бы то ни было различий по признаку происхождения, расы, пола, цвета кожи, возраста или иных форм дискриминации.</w:t>
      </w:r>
    </w:p>
    <w:p w:rsidR="00000000" w:rsidRDefault="00000000"/>
    <w:p w:rsidR="00000000" w:rsidRDefault="00000000">
      <w:pPr>
        <w:rPr>
          <w:b/>
          <w:bCs/>
        </w:rPr>
      </w:pPr>
      <w:r>
        <w:rPr>
          <w:b/>
          <w:bCs/>
        </w:rPr>
        <w:t>Статья 4</w:t>
      </w:r>
    </w:p>
    <w:p w:rsidR="00000000" w:rsidRDefault="00000000">
      <w:pPr>
        <w:rPr>
          <w:b/>
          <w:bCs/>
        </w:rPr>
      </w:pPr>
    </w:p>
    <w:p w:rsidR="00000000" w:rsidRDefault="00000000">
      <w:r>
        <w:tab/>
        <w:t>В международных отношениях Федеративная Республика Бразилия руководствуется правилами:</w:t>
      </w:r>
    </w:p>
    <w:p w:rsidR="00000000" w:rsidRDefault="00000000"/>
    <w:p w:rsidR="00000000" w:rsidRDefault="00000000">
      <w:pPr>
        <w:tabs>
          <w:tab w:val="clear" w:pos="567"/>
          <w:tab w:val="right" w:pos="561"/>
        </w:tabs>
      </w:pPr>
      <w:r>
        <w:tab/>
        <w:t>I.</w:t>
      </w:r>
      <w:r>
        <w:tab/>
        <w:t>национальной независимости;</w:t>
      </w:r>
    </w:p>
    <w:p w:rsidR="00000000" w:rsidRDefault="00000000">
      <w:pPr>
        <w:tabs>
          <w:tab w:val="clear" w:pos="567"/>
          <w:tab w:val="right" w:pos="561"/>
        </w:tabs>
      </w:pPr>
    </w:p>
    <w:p w:rsidR="00000000" w:rsidRDefault="00000000">
      <w:pPr>
        <w:tabs>
          <w:tab w:val="clear" w:pos="567"/>
          <w:tab w:val="right" w:pos="561"/>
        </w:tabs>
      </w:pPr>
      <w:r>
        <w:tab/>
        <w:t>II.</w:t>
      </w:r>
      <w:r>
        <w:tab/>
        <w:t>верховенства прав человека;</w:t>
      </w:r>
    </w:p>
    <w:p w:rsidR="00000000" w:rsidRDefault="00000000">
      <w:pPr>
        <w:tabs>
          <w:tab w:val="clear" w:pos="567"/>
          <w:tab w:val="right" w:pos="561"/>
        </w:tabs>
      </w:pPr>
    </w:p>
    <w:p w:rsidR="00000000" w:rsidRDefault="00000000">
      <w:pPr>
        <w:tabs>
          <w:tab w:val="clear" w:pos="567"/>
          <w:tab w:val="right" w:pos="561"/>
        </w:tabs>
      </w:pPr>
      <w:r>
        <w:tab/>
        <w:t>III.</w:t>
      </w:r>
      <w:r>
        <w:tab/>
        <w:t>самоопределения народов;</w:t>
      </w:r>
    </w:p>
    <w:p w:rsidR="00000000" w:rsidRDefault="00000000">
      <w:pPr>
        <w:tabs>
          <w:tab w:val="clear" w:pos="567"/>
          <w:tab w:val="right" w:pos="561"/>
        </w:tabs>
      </w:pPr>
    </w:p>
    <w:p w:rsidR="00000000" w:rsidRDefault="00000000">
      <w:pPr>
        <w:tabs>
          <w:tab w:val="clear" w:pos="567"/>
          <w:tab w:val="right" w:pos="561"/>
        </w:tabs>
      </w:pPr>
      <w:r>
        <w:tab/>
        <w:t>IV.</w:t>
      </w:r>
      <w:r>
        <w:tab/>
        <w:t>невмешательства;</w:t>
      </w:r>
    </w:p>
    <w:p w:rsidR="00000000" w:rsidRDefault="00000000">
      <w:pPr>
        <w:tabs>
          <w:tab w:val="clear" w:pos="567"/>
          <w:tab w:val="right" w:pos="561"/>
        </w:tabs>
      </w:pPr>
    </w:p>
    <w:p w:rsidR="00000000" w:rsidRDefault="00000000">
      <w:pPr>
        <w:tabs>
          <w:tab w:val="clear" w:pos="567"/>
          <w:tab w:val="right" w:pos="561"/>
        </w:tabs>
      </w:pPr>
      <w:r>
        <w:tab/>
        <w:t>V.</w:t>
      </w:r>
      <w:r>
        <w:tab/>
        <w:t>равноправия государств;</w:t>
      </w:r>
    </w:p>
    <w:p w:rsidR="00000000" w:rsidRDefault="00000000">
      <w:pPr>
        <w:tabs>
          <w:tab w:val="clear" w:pos="567"/>
          <w:tab w:val="right" w:pos="561"/>
        </w:tabs>
      </w:pPr>
    </w:p>
    <w:p w:rsidR="00000000" w:rsidRDefault="00000000">
      <w:pPr>
        <w:tabs>
          <w:tab w:val="clear" w:pos="567"/>
          <w:tab w:val="right" w:pos="561"/>
        </w:tabs>
      </w:pPr>
      <w:r>
        <w:tab/>
      </w:r>
      <w:r>
        <w:rPr>
          <w:lang w:val="en-US"/>
        </w:rPr>
        <w:t>VI</w:t>
      </w:r>
      <w:r>
        <w:t>.</w:t>
      </w:r>
      <w:r>
        <w:tab/>
        <w:t>защиты мира;</w:t>
      </w:r>
    </w:p>
    <w:p w:rsidR="00000000" w:rsidRDefault="00000000"/>
    <w:p w:rsidR="00000000" w:rsidRDefault="00000000">
      <w:pPr>
        <w:tabs>
          <w:tab w:val="clear" w:pos="567"/>
          <w:tab w:val="right" w:pos="561"/>
        </w:tabs>
      </w:pPr>
      <w:r>
        <w:tab/>
        <w:t>VII.</w:t>
      </w:r>
      <w:r>
        <w:tab/>
        <w:t>мирного урегулирования конфликтов;</w:t>
      </w:r>
    </w:p>
    <w:p w:rsidR="00000000" w:rsidRDefault="00000000">
      <w:pPr>
        <w:tabs>
          <w:tab w:val="clear" w:pos="567"/>
          <w:tab w:val="right" w:pos="561"/>
        </w:tabs>
      </w:pPr>
    </w:p>
    <w:p w:rsidR="00000000" w:rsidRDefault="00000000">
      <w:pPr>
        <w:tabs>
          <w:tab w:val="clear" w:pos="567"/>
          <w:tab w:val="right" w:pos="561"/>
        </w:tabs>
      </w:pPr>
      <w:r>
        <w:tab/>
        <w:t>VIII.</w:t>
      </w:r>
      <w:r>
        <w:tab/>
        <w:t>осуждения терроризма и расизма;</w:t>
      </w:r>
    </w:p>
    <w:p w:rsidR="00000000" w:rsidRDefault="00000000">
      <w:pPr>
        <w:tabs>
          <w:tab w:val="clear" w:pos="567"/>
          <w:tab w:val="right" w:pos="561"/>
        </w:tabs>
      </w:pPr>
    </w:p>
    <w:p w:rsidR="00000000" w:rsidRDefault="00000000">
      <w:pPr>
        <w:tabs>
          <w:tab w:val="clear" w:pos="567"/>
          <w:tab w:val="right" w:pos="561"/>
        </w:tabs>
      </w:pPr>
      <w:r>
        <w:tab/>
        <w:t>IX.</w:t>
      </w:r>
      <w:r>
        <w:tab/>
        <w:t>сотрудничества между народами в интересах прогресса человечества;</w:t>
      </w:r>
    </w:p>
    <w:p w:rsidR="00000000" w:rsidRDefault="00000000">
      <w:pPr>
        <w:tabs>
          <w:tab w:val="clear" w:pos="567"/>
          <w:tab w:val="right" w:pos="561"/>
        </w:tabs>
      </w:pPr>
    </w:p>
    <w:p w:rsidR="00000000" w:rsidRDefault="00000000">
      <w:pPr>
        <w:tabs>
          <w:tab w:val="clear" w:pos="567"/>
          <w:tab w:val="right" w:pos="561"/>
        </w:tabs>
      </w:pPr>
      <w:r>
        <w:tab/>
        <w:t>X.</w:t>
      </w:r>
      <w:r>
        <w:tab/>
        <w:t>предоставления политического убежища.</w:t>
      </w:r>
    </w:p>
    <w:p w:rsidR="00000000" w:rsidRDefault="00000000"/>
    <w:p w:rsidR="00000000" w:rsidRDefault="00000000">
      <w:r>
        <w:tab/>
        <w:t>Отдельный параграф - Федеративная Республика Бразилия стремится к экономической, политической, социальной и культурной интеграции с народами Латинской Америки в целях образования латиноамериканского сообщества наций.</w:t>
      </w:r>
    </w:p>
    <w:p w:rsidR="00000000" w:rsidRDefault="00000000"/>
    <w:p w:rsidR="00000000" w:rsidRDefault="00000000">
      <w:pPr>
        <w:pStyle w:val="Heading1"/>
        <w:tabs>
          <w:tab w:val="clear" w:pos="567"/>
          <w:tab w:val="right" w:pos="561"/>
        </w:tabs>
        <w:rPr>
          <w:bCs/>
        </w:rPr>
      </w:pPr>
      <w:r>
        <w:rPr>
          <w:bCs/>
        </w:rPr>
        <w:t>Статья 5</w:t>
      </w:r>
    </w:p>
    <w:p w:rsidR="00000000" w:rsidRDefault="00000000">
      <w:pPr>
        <w:pStyle w:val="Heading1"/>
        <w:tabs>
          <w:tab w:val="clear" w:pos="567"/>
          <w:tab w:val="right" w:pos="561"/>
        </w:tabs>
        <w:rPr>
          <w:bCs/>
        </w:rPr>
      </w:pPr>
    </w:p>
    <w:p w:rsidR="00000000" w:rsidRDefault="00000000">
      <w:pPr>
        <w:tabs>
          <w:tab w:val="clear" w:pos="567"/>
          <w:tab w:val="left" w:pos="561"/>
        </w:tabs>
      </w:pPr>
      <w:r>
        <w:tab/>
        <w:t>Все люди равны перед законом без каких бы то ни было различий.  Бразильским гражданам и проживающим в Бразилии иностранцам гарантируется неотъемлемое право на жизнь, свободу, равноправие, безопасность и собственность:</w:t>
      </w:r>
    </w:p>
    <w:p w:rsidR="00000000" w:rsidRDefault="00000000">
      <w:pPr>
        <w:tabs>
          <w:tab w:val="clear" w:pos="567"/>
          <w:tab w:val="left" w:pos="561"/>
        </w:tabs>
      </w:pPr>
    </w:p>
    <w:p w:rsidR="00000000" w:rsidRDefault="00000000">
      <w:pPr>
        <w:tabs>
          <w:tab w:val="clear" w:pos="567"/>
          <w:tab w:val="right" w:pos="561"/>
        </w:tabs>
        <w:ind w:left="1134" w:hanging="1134"/>
      </w:pPr>
      <w:r>
        <w:tab/>
      </w:r>
      <w:r>
        <w:rPr>
          <w:lang w:val="en-US"/>
        </w:rPr>
        <w:t>I</w:t>
      </w:r>
      <w:r>
        <w:t>.</w:t>
      </w:r>
      <w:r>
        <w:tab/>
        <w:t>мужчины и женщины имеют равные права и обязанности в соответствии с настоящей Конституцией;</w:t>
      </w:r>
    </w:p>
    <w:p w:rsidR="00000000" w:rsidRDefault="00000000">
      <w:pPr>
        <w:tabs>
          <w:tab w:val="clear" w:pos="567"/>
          <w:tab w:val="clear" w:pos="1134"/>
          <w:tab w:val="clear" w:pos="1701"/>
          <w:tab w:val="clear" w:pos="2268"/>
          <w:tab w:val="clear" w:pos="6237"/>
          <w:tab w:val="right" w:pos="935"/>
          <w:tab w:val="left" w:pos="1122"/>
          <w:tab w:val="left" w:pos="1496"/>
        </w:tabs>
        <w:ind w:left="1496" w:hanging="1496"/>
      </w:pPr>
    </w:p>
    <w:p w:rsidR="00000000" w:rsidRDefault="00000000">
      <w:pPr>
        <w:tabs>
          <w:tab w:val="clear" w:pos="567"/>
          <w:tab w:val="right" w:pos="561"/>
        </w:tabs>
        <w:ind w:left="1134" w:hanging="1134"/>
      </w:pPr>
      <w:r>
        <w:tab/>
        <w:t>VI.</w:t>
      </w:r>
      <w:r>
        <w:tab/>
        <w:t>свобода совести и убеждений нерушимы.  Религиозным сектам гарантируется свобода исповедовать свои убеждения и законное право на защиту своих мест отправления культов и ритуальных обрядов;</w:t>
      </w:r>
    </w:p>
    <w:p w:rsidR="00000000" w:rsidRDefault="00000000">
      <w:pPr>
        <w:tabs>
          <w:tab w:val="clear" w:pos="567"/>
          <w:tab w:val="right" w:pos="561"/>
        </w:tabs>
      </w:pPr>
    </w:p>
    <w:p w:rsidR="00000000" w:rsidRDefault="00000000">
      <w:pPr>
        <w:tabs>
          <w:tab w:val="clear" w:pos="567"/>
          <w:tab w:val="right" w:pos="561"/>
        </w:tabs>
        <w:ind w:left="1134" w:hanging="1134"/>
      </w:pPr>
      <w:r>
        <w:tab/>
        <w:t>VII.</w:t>
      </w:r>
      <w:r>
        <w:tab/>
        <w:t>в определенном законом порядке обеспечивается религиозное обслуживание в воинских частях, а также в местах совместного проживания;</w:t>
      </w:r>
    </w:p>
    <w:p w:rsidR="00000000" w:rsidRDefault="00000000">
      <w:pPr>
        <w:tabs>
          <w:tab w:val="clear" w:pos="567"/>
          <w:tab w:val="right" w:pos="561"/>
        </w:tabs>
      </w:pPr>
    </w:p>
    <w:p w:rsidR="00000000" w:rsidRDefault="00000000">
      <w:pPr>
        <w:tabs>
          <w:tab w:val="clear" w:pos="567"/>
          <w:tab w:val="right" w:pos="561"/>
        </w:tabs>
        <w:ind w:left="1134" w:hanging="1134"/>
      </w:pPr>
      <w:r>
        <w:tab/>
        <w:t>VIII.</w:t>
      </w:r>
      <w:r>
        <w:tab/>
        <w:t>никто не может быть лишен каких бы то ни было прав по причине религиозных убеждений или философских или политических взглядов, если только соответствующее лицо не ссылается на них с целью уклонения от выполнения обязанностей, налагаемых законом на всех граждан, или отказывается выполнять предусмотренное законом альтернативное обязательство;</w:t>
      </w:r>
    </w:p>
    <w:p w:rsidR="00000000" w:rsidRDefault="00000000">
      <w:pPr>
        <w:tabs>
          <w:tab w:val="clear" w:pos="567"/>
          <w:tab w:val="right" w:pos="561"/>
        </w:tabs>
      </w:pPr>
    </w:p>
    <w:p w:rsidR="00000000" w:rsidRDefault="00000000">
      <w:pPr>
        <w:tabs>
          <w:tab w:val="clear" w:pos="567"/>
          <w:tab w:val="right" w:pos="561"/>
        </w:tabs>
        <w:ind w:left="1134" w:hanging="1134"/>
      </w:pPr>
      <w:r>
        <w:tab/>
        <w:t>IX.</w:t>
      </w:r>
      <w:r>
        <w:tab/>
        <w:t>интеллектуальная, научная и информационная деятельность охраняется правом на свободу выражения мнений, что не исключает возможности применения цензурных ограничений или правил выдачи лицензий;</w:t>
      </w:r>
    </w:p>
    <w:p w:rsidR="00000000" w:rsidRDefault="00000000">
      <w:pPr>
        <w:tabs>
          <w:tab w:val="clear" w:pos="567"/>
          <w:tab w:val="right" w:pos="561"/>
        </w:tabs>
      </w:pPr>
    </w:p>
    <w:p w:rsidR="00000000" w:rsidRDefault="00000000">
      <w:pPr>
        <w:tabs>
          <w:tab w:val="clear" w:pos="567"/>
          <w:tab w:val="right" w:pos="561"/>
        </w:tabs>
        <w:ind w:left="1134" w:hanging="1134"/>
      </w:pPr>
      <w:r>
        <w:tab/>
        <w:t>X.</w:t>
      </w:r>
      <w:r>
        <w:tab/>
        <w:t>конфиденциальность, частная жизнь, честь и репутация людей относятся к числу нерушимых принципов;  при этом гарантируется право на возмещение за материальный или моральный ущерб в результате нарушения этих принципов;</w:t>
      </w:r>
    </w:p>
    <w:p w:rsidR="00000000" w:rsidRDefault="00000000">
      <w:pPr>
        <w:tabs>
          <w:tab w:val="clear" w:pos="567"/>
          <w:tab w:val="right" w:pos="561"/>
        </w:tabs>
      </w:pPr>
    </w:p>
    <w:p w:rsidR="00000000" w:rsidRDefault="00000000">
      <w:pPr>
        <w:tabs>
          <w:tab w:val="clear" w:pos="567"/>
          <w:tab w:val="right" w:pos="561"/>
        </w:tabs>
        <w:ind w:left="1134" w:hanging="1134"/>
      </w:pPr>
      <w:r>
        <w:tab/>
        <w:t>XI.</w:t>
      </w:r>
      <w:r>
        <w:tab/>
        <w:t xml:space="preserve">жилище является неприкосновенным убежищем человека, и никто не может войти в жилище без согласия жильца за исключением случаев задержания преступника на месте преступления или стихийного бедствия или попытки спасти свою жизнь или на основании судебного распоряжения, причем только в дневное время;  </w:t>
      </w:r>
    </w:p>
    <w:p w:rsidR="00000000" w:rsidRDefault="00000000">
      <w:pPr>
        <w:tabs>
          <w:tab w:val="clear" w:pos="567"/>
          <w:tab w:val="right" w:pos="561"/>
        </w:tabs>
      </w:pPr>
    </w:p>
    <w:p w:rsidR="00000000" w:rsidRDefault="00000000">
      <w:pPr>
        <w:tabs>
          <w:tab w:val="clear" w:pos="567"/>
          <w:tab w:val="right" w:pos="561"/>
        </w:tabs>
        <w:ind w:left="1134" w:hanging="1134"/>
      </w:pPr>
      <w:r>
        <w:tab/>
        <w:t>XII.</w:t>
      </w:r>
      <w:r>
        <w:tab/>
        <w:t>тайна корреспонденции и телеграфной, факсимильной и телефонной связи не подлежит никаким ограничениям за исключением последнего случая, когда такое ограничение допускается на основании судебного распоряжения в предусмотренном законом порядке для целей проведения уголовного расследования или установления фактов в ходе уголовных процедур;</w:t>
      </w:r>
    </w:p>
    <w:p w:rsidR="00000000" w:rsidRDefault="00000000">
      <w:pPr>
        <w:tabs>
          <w:tab w:val="clear" w:pos="567"/>
          <w:tab w:val="right" w:pos="561"/>
        </w:tabs>
      </w:pPr>
    </w:p>
    <w:p w:rsidR="00000000" w:rsidRDefault="00000000">
      <w:pPr>
        <w:tabs>
          <w:tab w:val="clear" w:pos="567"/>
          <w:tab w:val="right" w:pos="561"/>
        </w:tabs>
        <w:ind w:left="1134" w:hanging="1134"/>
      </w:pPr>
      <w:r>
        <w:tab/>
        <w:t>XIII.</w:t>
      </w:r>
      <w:r>
        <w:tab/>
        <w:t>гарантируется право на беспрепятственное осуществление любой работы, ремесла или профессиональной деятельности при условии соблюдения законов, касающихся профессиональной квалификации;</w:t>
      </w:r>
    </w:p>
    <w:p w:rsidR="00000000" w:rsidRDefault="00000000">
      <w:pPr>
        <w:tabs>
          <w:tab w:val="clear" w:pos="567"/>
          <w:tab w:val="right" w:pos="561"/>
        </w:tabs>
      </w:pPr>
    </w:p>
    <w:p w:rsidR="00000000" w:rsidRDefault="00000000">
      <w:pPr>
        <w:tabs>
          <w:tab w:val="clear" w:pos="567"/>
          <w:tab w:val="right" w:pos="561"/>
        </w:tabs>
        <w:ind w:left="1134" w:hanging="1134"/>
      </w:pPr>
      <w:r>
        <w:tab/>
        <w:t>XIV.</w:t>
      </w:r>
      <w:r>
        <w:tab/>
        <w:t>обеспечивается всеобщий доступ к информации;  конфиденциальность источников информации гарантируется в тех случаях, когда этого требует соответствующая профессиональная деятельность;</w:t>
      </w:r>
    </w:p>
    <w:p w:rsidR="00000000" w:rsidRDefault="00000000">
      <w:pPr>
        <w:tabs>
          <w:tab w:val="clear" w:pos="567"/>
          <w:tab w:val="right" w:pos="561"/>
        </w:tabs>
      </w:pPr>
    </w:p>
    <w:p w:rsidR="00000000" w:rsidRDefault="00000000">
      <w:pPr>
        <w:tabs>
          <w:tab w:val="clear" w:pos="567"/>
          <w:tab w:val="right" w:pos="561"/>
        </w:tabs>
        <w:ind w:left="1134" w:hanging="1134"/>
      </w:pPr>
      <w:r>
        <w:tab/>
        <w:t>XV.</w:t>
      </w:r>
      <w:r>
        <w:tab/>
        <w:t>в мирное время гарантируется свободное передвижение лиц по всей территории Бразилии, и любые лица могут въезжать на территорию Бразилии, оставаться там или покидать ее вместе со своим имуществом на условиях, определенных законом;</w:t>
      </w:r>
    </w:p>
    <w:p w:rsidR="00000000" w:rsidRDefault="00000000">
      <w:pPr>
        <w:tabs>
          <w:tab w:val="clear" w:pos="567"/>
          <w:tab w:val="right" w:pos="561"/>
        </w:tabs>
      </w:pPr>
    </w:p>
    <w:p w:rsidR="00000000" w:rsidRDefault="00000000">
      <w:pPr>
        <w:tabs>
          <w:tab w:val="clear" w:pos="567"/>
          <w:tab w:val="right" w:pos="561"/>
        </w:tabs>
        <w:ind w:left="1134" w:hanging="1134"/>
      </w:pPr>
      <w:r>
        <w:tab/>
        <w:t>XVI.</w:t>
      </w:r>
      <w:r>
        <w:tab/>
        <w:t>все лица имеют право на проведение мирных собраний, без оружия, в открытых для публики местах без предварительного разрешения, если такие собрания не препятствуют проведению в том же самом месте другого собрания, запланированного до этого в том же самом месте при условии заблаговременного уведомления соответствующего органа власти;</w:t>
      </w:r>
    </w:p>
    <w:p w:rsidR="00000000" w:rsidRDefault="00000000">
      <w:pPr>
        <w:tabs>
          <w:tab w:val="clear" w:pos="567"/>
          <w:tab w:val="right" w:pos="561"/>
        </w:tabs>
      </w:pPr>
    </w:p>
    <w:p w:rsidR="00000000" w:rsidRDefault="00000000">
      <w:pPr>
        <w:tabs>
          <w:tab w:val="clear" w:pos="567"/>
          <w:tab w:val="right" w:pos="561"/>
        </w:tabs>
        <w:ind w:left="1134" w:hanging="1134"/>
      </w:pPr>
      <w:r>
        <w:tab/>
        <w:t>XVII.</w:t>
      </w:r>
      <w:r>
        <w:tab/>
        <w:t xml:space="preserve">полностью гарантируется право на свободу ассоциации с законными целями;  запрещается создание военизированных ассоциаций;  </w:t>
      </w:r>
    </w:p>
    <w:p w:rsidR="00000000" w:rsidRDefault="00000000">
      <w:pPr>
        <w:tabs>
          <w:tab w:val="clear" w:pos="567"/>
          <w:tab w:val="right" w:pos="561"/>
        </w:tabs>
      </w:pPr>
    </w:p>
    <w:p w:rsidR="00000000" w:rsidRDefault="00000000">
      <w:pPr>
        <w:tabs>
          <w:tab w:val="clear" w:pos="567"/>
          <w:tab w:val="right" w:pos="561"/>
        </w:tabs>
        <w:ind w:left="1134" w:hanging="1134"/>
      </w:pPr>
      <w:r>
        <w:tab/>
        <w:t>XXXVII.</w:t>
      </w:r>
      <w:r>
        <w:tab/>
        <w:t>запрещается создание каких бы то ни было чрезвычайных трибуналов или судов;</w:t>
      </w:r>
    </w:p>
    <w:p w:rsidR="00000000" w:rsidRDefault="00000000">
      <w:pPr>
        <w:tabs>
          <w:tab w:val="clear" w:pos="567"/>
          <w:tab w:val="right" w:pos="561"/>
        </w:tabs>
      </w:pPr>
    </w:p>
    <w:p w:rsidR="00000000" w:rsidRDefault="00000000">
      <w:pPr>
        <w:tabs>
          <w:tab w:val="clear" w:pos="567"/>
          <w:tab w:val="right" w:pos="561"/>
        </w:tabs>
        <w:ind w:left="1134" w:hanging="1134"/>
      </w:pPr>
      <w:r>
        <w:tab/>
        <w:t>XLI.</w:t>
      </w:r>
      <w:r>
        <w:tab/>
        <w:t>законом карается любая дискриминация, посягающая на основополагающие права и свободы:</w:t>
      </w:r>
    </w:p>
    <w:p w:rsidR="00000000" w:rsidRDefault="00000000">
      <w:pPr>
        <w:tabs>
          <w:tab w:val="clear" w:pos="567"/>
          <w:tab w:val="right" w:pos="561"/>
        </w:tabs>
      </w:pPr>
    </w:p>
    <w:p w:rsidR="00000000" w:rsidRDefault="00000000">
      <w:pPr>
        <w:tabs>
          <w:tab w:val="clear" w:pos="567"/>
          <w:tab w:val="right" w:pos="561"/>
        </w:tabs>
        <w:ind w:left="1134" w:hanging="1134"/>
      </w:pPr>
      <w:r>
        <w:tab/>
        <w:t>XLII.</w:t>
      </w:r>
      <w:r>
        <w:tab/>
        <w:t>акты расизма относятся к числу преступлений, не допускающих освобождение под залог, к ним не применяется срок давности, и они караются лишением свободы в соответствии с применимыми положениями законодательства;</w:t>
      </w:r>
    </w:p>
    <w:p w:rsidR="00000000" w:rsidRDefault="00000000">
      <w:pPr>
        <w:tabs>
          <w:tab w:val="clear" w:pos="567"/>
          <w:tab w:val="right" w:pos="561"/>
        </w:tabs>
      </w:pPr>
    </w:p>
    <w:p w:rsidR="00000000" w:rsidRDefault="00000000">
      <w:pPr>
        <w:tabs>
          <w:tab w:val="clear" w:pos="567"/>
          <w:tab w:val="right" w:pos="561"/>
        </w:tabs>
        <w:ind w:left="1134" w:hanging="1134"/>
      </w:pPr>
      <w:r>
        <w:tab/>
        <w:t>XLIII.</w:t>
      </w:r>
      <w:r>
        <w:tab/>
        <w:t>пытки, незаконный оборот наркотических и психотропных веществ, терроризм и другие преступления, определяемые как особо низменные, не могут влечь применения за собой освобождения под залог, а виновные не подлежат помилованию или амнистии.  К судебной ответственности привлекаются также соучастники преступлений первой или второй степени и лица, виновные в непринятии мер по недопущению таких преступлений;</w:t>
      </w:r>
    </w:p>
    <w:p w:rsidR="00000000" w:rsidRDefault="00000000">
      <w:pPr>
        <w:tabs>
          <w:tab w:val="clear" w:pos="567"/>
          <w:tab w:val="right" w:pos="561"/>
        </w:tabs>
      </w:pPr>
    </w:p>
    <w:p w:rsidR="00000000" w:rsidRDefault="00000000">
      <w:pPr>
        <w:tabs>
          <w:tab w:val="clear" w:pos="567"/>
          <w:tab w:val="right" w:pos="561"/>
        </w:tabs>
      </w:pPr>
      <w:r>
        <w:tab/>
        <w:t>XLVII.</w:t>
      </w:r>
      <w:r>
        <w:tab/>
        <w:t>запрещаются следующие наказания:</w:t>
      </w:r>
    </w:p>
    <w:p w:rsidR="00000000" w:rsidRDefault="00000000">
      <w:pPr>
        <w:tabs>
          <w:tab w:val="clear" w:pos="567"/>
          <w:tab w:val="right" w:pos="561"/>
        </w:tabs>
      </w:pPr>
    </w:p>
    <w:p w:rsidR="00000000" w:rsidRDefault="00000000">
      <w:pPr>
        <w:tabs>
          <w:tab w:val="right" w:pos="567"/>
        </w:tabs>
        <w:ind w:left="1134" w:hanging="1134"/>
      </w:pPr>
      <w:r>
        <w:tab/>
      </w:r>
      <w:r>
        <w:tab/>
      </w:r>
      <w:r>
        <w:tab/>
        <w:t>а)</w:t>
      </w:r>
      <w:r>
        <w:tab/>
        <w:t>смертная казнь за исключением периода официально объявленной войны в соответствии со статьей 84, XIX;</w:t>
      </w:r>
    </w:p>
    <w:p w:rsidR="00000000" w:rsidRDefault="00000000">
      <w:pPr>
        <w:tabs>
          <w:tab w:val="right" w:pos="567"/>
        </w:tabs>
      </w:pPr>
    </w:p>
    <w:p w:rsidR="00000000" w:rsidRDefault="00000000">
      <w:pPr>
        <w:tabs>
          <w:tab w:val="right" w:pos="567"/>
        </w:tabs>
      </w:pPr>
      <w:r>
        <w:tab/>
      </w:r>
      <w:r>
        <w:tab/>
      </w:r>
      <w:r>
        <w:tab/>
        <w:t>с)</w:t>
      </w:r>
      <w:r>
        <w:tab/>
        <w:t>каторжные работы;</w:t>
      </w:r>
    </w:p>
    <w:p w:rsidR="00000000" w:rsidRDefault="00000000">
      <w:pPr>
        <w:tabs>
          <w:tab w:val="right" w:pos="567"/>
        </w:tabs>
      </w:pPr>
    </w:p>
    <w:p w:rsidR="00000000" w:rsidRDefault="00000000">
      <w:pPr>
        <w:tabs>
          <w:tab w:val="right" w:pos="567"/>
        </w:tabs>
      </w:pPr>
      <w:r>
        <w:tab/>
      </w:r>
      <w:r>
        <w:tab/>
      </w:r>
      <w:r>
        <w:tab/>
        <w:t>d)</w:t>
      </w:r>
      <w:r>
        <w:tab/>
        <w:t>высылка;</w:t>
      </w:r>
    </w:p>
    <w:p w:rsidR="00000000" w:rsidRDefault="00000000">
      <w:pPr>
        <w:tabs>
          <w:tab w:val="right" w:pos="567"/>
        </w:tabs>
      </w:pPr>
    </w:p>
    <w:p w:rsidR="00000000" w:rsidRDefault="00000000">
      <w:pPr>
        <w:tabs>
          <w:tab w:val="right" w:pos="567"/>
        </w:tabs>
      </w:pPr>
      <w:r>
        <w:tab/>
      </w:r>
      <w:r>
        <w:tab/>
      </w:r>
      <w:r>
        <w:tab/>
        <w:t>е)</w:t>
      </w:r>
      <w:r>
        <w:tab/>
        <w:t>жестокое наказание;</w:t>
      </w:r>
    </w:p>
    <w:p w:rsidR="00000000" w:rsidRDefault="00000000">
      <w:pPr>
        <w:tabs>
          <w:tab w:val="right" w:pos="567"/>
        </w:tabs>
      </w:pPr>
    </w:p>
    <w:p w:rsidR="00000000" w:rsidRDefault="00000000">
      <w:pPr>
        <w:tabs>
          <w:tab w:val="clear" w:pos="567"/>
          <w:tab w:val="right" w:pos="561"/>
        </w:tabs>
        <w:ind w:left="1134" w:hanging="1134"/>
      </w:pPr>
      <w:r>
        <w:tab/>
        <w:t>XLIX.</w:t>
      </w:r>
      <w:r>
        <w:tab/>
        <w:t>гарантируется физическая безопасность и психическая неприкосновенность заключенных;</w:t>
      </w:r>
    </w:p>
    <w:p w:rsidR="00000000" w:rsidRDefault="00000000">
      <w:pPr>
        <w:tabs>
          <w:tab w:val="right" w:pos="567"/>
        </w:tabs>
      </w:pPr>
    </w:p>
    <w:p w:rsidR="00000000" w:rsidRDefault="00000000">
      <w:pPr>
        <w:tabs>
          <w:tab w:val="clear" w:pos="567"/>
          <w:tab w:val="right" w:pos="561"/>
        </w:tabs>
      </w:pPr>
      <w:r>
        <w:t xml:space="preserve">Параграф 1 </w:t>
      </w:r>
      <w:r>
        <w:tab/>
        <w:t>-</w:t>
      </w:r>
      <w:r>
        <w:tab/>
        <w:t>Положения, в которых определяются основополагающие права и гарантии, подлежат незамедлительному применению.</w:t>
      </w:r>
    </w:p>
    <w:p w:rsidR="00000000" w:rsidRDefault="00000000">
      <w:pPr>
        <w:tabs>
          <w:tab w:val="right" w:pos="567"/>
        </w:tabs>
      </w:pPr>
    </w:p>
    <w:p w:rsidR="00000000" w:rsidRDefault="00000000">
      <w:pPr>
        <w:tabs>
          <w:tab w:val="clear" w:pos="567"/>
          <w:tab w:val="right" w:pos="561"/>
        </w:tabs>
      </w:pPr>
      <w:r>
        <w:t>Параграф 2</w:t>
      </w:r>
      <w:r>
        <w:tab/>
        <w:t>-</w:t>
      </w:r>
      <w:r>
        <w:tab/>
        <w:t>Права и гарантии, закрепленные в настоящей Конституции, не исключают возможности применения других прав и гарантий, вытекающих из правовой системы и принципов, принятых на основе Конституции или международных договоров, участником которых является Федеративная Республика Бразилия.</w:t>
      </w:r>
    </w:p>
    <w:p w:rsidR="00000000" w:rsidRDefault="00000000">
      <w:pPr>
        <w:tabs>
          <w:tab w:val="right" w:pos="567"/>
        </w:tabs>
      </w:pPr>
    </w:p>
    <w:p w:rsidR="00000000" w:rsidRDefault="00000000">
      <w:pPr>
        <w:pStyle w:val="Heading1"/>
        <w:tabs>
          <w:tab w:val="clear" w:pos="567"/>
          <w:tab w:val="right" w:pos="561"/>
        </w:tabs>
        <w:rPr>
          <w:bCs/>
        </w:rPr>
      </w:pPr>
      <w:r>
        <w:rPr>
          <w:bCs/>
        </w:rPr>
        <w:t>Статья 6</w:t>
      </w:r>
    </w:p>
    <w:p w:rsidR="00000000" w:rsidRDefault="00000000">
      <w:pPr>
        <w:tabs>
          <w:tab w:val="clear" w:pos="567"/>
          <w:tab w:val="right" w:pos="561"/>
        </w:tabs>
      </w:pPr>
    </w:p>
    <w:p w:rsidR="00000000" w:rsidRDefault="00000000">
      <w:pPr>
        <w:tabs>
          <w:tab w:val="clear" w:pos="567"/>
          <w:tab w:val="left" w:pos="561"/>
        </w:tabs>
      </w:pPr>
      <w:r>
        <w:tab/>
        <w:t>К числу закрепленных в настоящей Конституции социальных прав относится право на образование, здоровье, труд, досуг, безопасность, социальное обеспечение, защиту матери и ребенка и помощь по бедности.</w:t>
      </w:r>
    </w:p>
    <w:p w:rsidR="00000000" w:rsidRDefault="00000000">
      <w:pPr>
        <w:tabs>
          <w:tab w:val="clear" w:pos="567"/>
          <w:tab w:val="left" w:pos="561"/>
        </w:tabs>
      </w:pPr>
    </w:p>
    <w:p w:rsidR="00000000" w:rsidRDefault="00000000">
      <w:pPr>
        <w:pStyle w:val="Heading1"/>
        <w:tabs>
          <w:tab w:val="clear" w:pos="567"/>
          <w:tab w:val="left" w:pos="561"/>
        </w:tabs>
        <w:rPr>
          <w:bCs/>
        </w:rPr>
      </w:pPr>
      <w:r>
        <w:rPr>
          <w:bCs/>
        </w:rPr>
        <w:t>Статья 7</w:t>
      </w:r>
    </w:p>
    <w:p w:rsidR="00000000" w:rsidRDefault="00000000">
      <w:pPr>
        <w:tabs>
          <w:tab w:val="clear" w:pos="567"/>
          <w:tab w:val="left" w:pos="561"/>
        </w:tabs>
      </w:pPr>
    </w:p>
    <w:p w:rsidR="00000000" w:rsidRDefault="00000000">
      <w:pPr>
        <w:tabs>
          <w:tab w:val="clear" w:pos="567"/>
          <w:tab w:val="left" w:pos="561"/>
        </w:tabs>
      </w:pPr>
      <w:r>
        <w:tab/>
        <w:t>Ниже перечисляются права городских и сельских трудящихся, целью которых является, в частности, улучшение их социального положения:</w:t>
      </w:r>
    </w:p>
    <w:p w:rsidR="00000000" w:rsidRDefault="00000000">
      <w:pPr>
        <w:tabs>
          <w:tab w:val="clear" w:pos="567"/>
          <w:tab w:val="right" w:pos="561"/>
        </w:tabs>
      </w:pPr>
    </w:p>
    <w:p w:rsidR="00000000" w:rsidRDefault="00000000">
      <w:pPr>
        <w:tabs>
          <w:tab w:val="clear" w:pos="567"/>
          <w:tab w:val="right" w:pos="561"/>
        </w:tabs>
        <w:ind w:left="1134" w:hanging="1134"/>
      </w:pPr>
      <w:r>
        <w:tab/>
        <w:t>I.</w:t>
      </w:r>
      <w:r>
        <w:tab/>
        <w:t>трудоустройство с защитой от произвольного увольнения или увольнения без надлежащей причины в соответствии с подзаконным актом, в котором среди прочих прав предусмотрен принцип выплаты единовременного денежного пособия при увольнении;</w:t>
      </w:r>
    </w:p>
    <w:p w:rsidR="00000000" w:rsidRDefault="00000000">
      <w:pPr>
        <w:tabs>
          <w:tab w:val="clear" w:pos="567"/>
          <w:tab w:val="right" w:pos="561"/>
        </w:tabs>
      </w:pPr>
    </w:p>
    <w:p w:rsidR="00000000" w:rsidRDefault="00000000">
      <w:pPr>
        <w:tabs>
          <w:tab w:val="clear" w:pos="567"/>
          <w:tab w:val="right" w:pos="561"/>
        </w:tabs>
      </w:pPr>
      <w:r>
        <w:tab/>
        <w:t>II.</w:t>
      </w:r>
      <w:r>
        <w:tab/>
        <w:t>страхование по безработице на случай недобровольной безработицы;</w:t>
      </w:r>
    </w:p>
    <w:p w:rsidR="00000000" w:rsidRDefault="00000000">
      <w:pPr>
        <w:tabs>
          <w:tab w:val="clear" w:pos="567"/>
          <w:tab w:val="right" w:pos="561"/>
        </w:tabs>
      </w:pPr>
    </w:p>
    <w:p w:rsidR="00000000" w:rsidRDefault="00000000">
      <w:pPr>
        <w:tabs>
          <w:tab w:val="clear" w:pos="567"/>
          <w:tab w:val="right" w:pos="561"/>
        </w:tabs>
      </w:pPr>
      <w:r>
        <w:tab/>
        <w:t>III.</w:t>
      </w:r>
      <w:r>
        <w:tab/>
        <w:t>выплаты из единовременных денежных пособий;</w:t>
      </w:r>
    </w:p>
    <w:p w:rsidR="00000000" w:rsidRDefault="00000000">
      <w:pPr>
        <w:tabs>
          <w:tab w:val="clear" w:pos="567"/>
          <w:tab w:val="right" w:pos="561"/>
        </w:tabs>
      </w:pPr>
    </w:p>
    <w:p w:rsidR="00000000" w:rsidRDefault="00000000">
      <w:pPr>
        <w:tabs>
          <w:tab w:val="clear" w:pos="567"/>
          <w:tab w:val="right" w:pos="561"/>
        </w:tabs>
        <w:ind w:left="1134" w:hanging="1134"/>
      </w:pPr>
      <w:r>
        <w:tab/>
        <w:t>IV.</w:t>
      </w:r>
      <w:r>
        <w:tab/>
        <w:t>устанавливаемый на основе закона общенациональный размер минимальной месячной заработной платы, позволяющей удовлетворять основные потребности трудящихся и членов их семей в жилье, питании, образовании, охране здоровья, досуге, одежде, гигиене, транспорте и социальном обеспечении;  размер минимальной заработной платы периодически пересматривается в целях поддержания ее покупательной способности.  Минимальная месячная заработная плата не может использоваться в качестве показателя для каких бы то ни было целей;</w:t>
      </w:r>
    </w:p>
    <w:p w:rsidR="00000000" w:rsidRDefault="00000000">
      <w:pPr>
        <w:tabs>
          <w:tab w:val="clear" w:pos="567"/>
          <w:tab w:val="right" w:pos="561"/>
        </w:tabs>
      </w:pPr>
    </w:p>
    <w:p w:rsidR="00000000" w:rsidRDefault="00000000">
      <w:pPr>
        <w:tabs>
          <w:tab w:val="clear" w:pos="567"/>
          <w:tab w:val="right" w:pos="561"/>
        </w:tabs>
        <w:ind w:left="1134" w:hanging="1134"/>
      </w:pPr>
      <w:r>
        <w:tab/>
        <w:t>V.</w:t>
      </w:r>
      <w:r>
        <w:tab/>
        <w:t>минимальный уровень денежного вознаграждения, устанавливаемый с учетом объема и сложности выполняемой работы;</w:t>
      </w:r>
    </w:p>
    <w:p w:rsidR="00000000" w:rsidRDefault="00000000">
      <w:pPr>
        <w:tabs>
          <w:tab w:val="clear" w:pos="567"/>
          <w:tab w:val="right" w:pos="561"/>
        </w:tabs>
      </w:pPr>
    </w:p>
    <w:p w:rsidR="00000000" w:rsidRDefault="00000000">
      <w:pPr>
        <w:tabs>
          <w:tab w:val="clear" w:pos="567"/>
          <w:tab w:val="right" w:pos="561"/>
        </w:tabs>
        <w:ind w:left="1134" w:hanging="1134"/>
      </w:pPr>
      <w:r>
        <w:tab/>
        <w:t>VI.</w:t>
      </w:r>
      <w:r>
        <w:tab/>
        <w:t>невозможность сокращения заработной платы за исключением случаев, когда это предусматривается коллективными соглашениями и договорами;</w:t>
      </w:r>
    </w:p>
    <w:p w:rsidR="00000000" w:rsidRDefault="00000000">
      <w:pPr>
        <w:tabs>
          <w:tab w:val="clear" w:pos="567"/>
          <w:tab w:val="right" w:pos="561"/>
        </w:tabs>
      </w:pPr>
    </w:p>
    <w:p w:rsidR="00000000" w:rsidRDefault="00000000">
      <w:pPr>
        <w:tabs>
          <w:tab w:val="clear" w:pos="567"/>
          <w:tab w:val="right" w:pos="561"/>
        </w:tabs>
        <w:ind w:left="1134" w:hanging="1134"/>
      </w:pPr>
      <w:r>
        <w:tab/>
        <w:t>VII.</w:t>
      </w:r>
      <w:r>
        <w:tab/>
        <w:t>если заработная плата колеблется, то ее размер ни в коем случае не должен быть ниже минимального уровня;</w:t>
      </w:r>
    </w:p>
    <w:p w:rsidR="00000000" w:rsidRDefault="00000000">
      <w:pPr>
        <w:tabs>
          <w:tab w:val="clear" w:pos="567"/>
          <w:tab w:val="right" w:pos="561"/>
        </w:tabs>
      </w:pPr>
    </w:p>
    <w:p w:rsidR="00000000" w:rsidRDefault="00000000">
      <w:pPr>
        <w:tabs>
          <w:tab w:val="clear" w:pos="567"/>
          <w:tab w:val="right" w:pos="561"/>
        </w:tabs>
        <w:ind w:left="1134" w:hanging="1134"/>
      </w:pPr>
      <w:r>
        <w:tab/>
        <w:t>VIII.</w:t>
      </w:r>
      <w:r>
        <w:tab/>
        <w:t>в конце года выплачивается ежегодная премия, эквивалентная одной полной месячной заработной плате или пенсии;</w:t>
      </w:r>
    </w:p>
    <w:p w:rsidR="00000000" w:rsidRDefault="00000000">
      <w:pPr>
        <w:tabs>
          <w:tab w:val="clear" w:pos="567"/>
          <w:tab w:val="right" w:pos="561"/>
        </w:tabs>
      </w:pPr>
    </w:p>
    <w:p w:rsidR="00000000" w:rsidRDefault="00000000">
      <w:pPr>
        <w:tabs>
          <w:tab w:val="clear" w:pos="567"/>
          <w:tab w:val="right" w:pos="561"/>
        </w:tabs>
        <w:ind w:left="1134" w:hanging="1134"/>
      </w:pPr>
      <w:r>
        <w:tab/>
        <w:t>IX.</w:t>
      </w:r>
      <w:r>
        <w:tab/>
        <w:t>работа в ночное время оплачивается по более высокой ставке по сравнению с работой в дневное время;</w:t>
      </w:r>
    </w:p>
    <w:p w:rsidR="00000000" w:rsidRDefault="00000000">
      <w:pPr>
        <w:tabs>
          <w:tab w:val="clear" w:pos="567"/>
          <w:tab w:val="right" w:pos="561"/>
        </w:tabs>
      </w:pPr>
    </w:p>
    <w:p w:rsidR="00000000" w:rsidRDefault="00000000">
      <w:pPr>
        <w:tabs>
          <w:tab w:val="clear" w:pos="567"/>
          <w:tab w:val="right" w:pos="561"/>
        </w:tabs>
        <w:ind w:left="1134" w:hanging="1134"/>
      </w:pPr>
      <w:r>
        <w:tab/>
        <w:t>X.</w:t>
      </w:r>
      <w:r>
        <w:tab/>
        <w:t>предусмотренная законом гарантия выплаты заработной платы:  преднамеренная задержка с выплатой заработной платы квалифицируется как фелония;</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XI</w:t>
      </w:r>
      <w:r>
        <w:t>.</w:t>
      </w:r>
      <w:r>
        <w:tab/>
        <w:t>право на долю от прибыли или доходов компании независимо от денежного вознаграждения и в исключительных случаях право участвовать в управлении компанией на условиях, определенных законом;</w:t>
      </w:r>
    </w:p>
    <w:p w:rsidR="00000000" w:rsidRDefault="00000000">
      <w:pPr>
        <w:tabs>
          <w:tab w:val="clear" w:pos="567"/>
          <w:tab w:val="right" w:pos="561"/>
        </w:tabs>
      </w:pPr>
    </w:p>
    <w:p w:rsidR="00000000" w:rsidRDefault="00000000">
      <w:pPr>
        <w:tabs>
          <w:tab w:val="clear" w:pos="567"/>
          <w:tab w:val="right" w:pos="561"/>
        </w:tabs>
      </w:pPr>
      <w:r>
        <w:tab/>
        <w:t>XII.</w:t>
      </w:r>
      <w:r>
        <w:tab/>
        <w:t>семейное пособие на иждивенцев;</w:t>
      </w:r>
    </w:p>
    <w:p w:rsidR="00000000" w:rsidRDefault="00000000">
      <w:pPr>
        <w:tabs>
          <w:tab w:val="clear" w:pos="567"/>
          <w:tab w:val="right" w:pos="561"/>
        </w:tabs>
      </w:pPr>
    </w:p>
    <w:p w:rsidR="00000000" w:rsidRDefault="00000000">
      <w:pPr>
        <w:pStyle w:val="BodyTextIndent2"/>
      </w:pPr>
      <w:r>
        <w:tab/>
        <w:t>XIII.</w:t>
      </w:r>
      <w:r>
        <w:tab/>
        <w:t>обычный режим труда не должен превышать восьми часов в день и 44 часов в неделю;  в коллективных соглашениях или договорах предусматривается возможность предоставления компенсации за дополнительно отработанное время или сокращение продолжительности рабочего дня;</w:t>
      </w:r>
    </w:p>
    <w:p w:rsidR="00000000" w:rsidRDefault="00000000"/>
    <w:p w:rsidR="00000000" w:rsidRDefault="00000000">
      <w:pPr>
        <w:tabs>
          <w:tab w:val="clear" w:pos="567"/>
          <w:tab w:val="clear" w:pos="1134"/>
          <w:tab w:val="clear" w:pos="1701"/>
          <w:tab w:val="right" w:pos="935"/>
          <w:tab w:val="left" w:pos="1496"/>
        </w:tabs>
        <w:ind w:left="1496" w:hanging="1496"/>
      </w:pPr>
      <w:r>
        <w:tab/>
      </w:r>
      <w:r>
        <w:rPr>
          <w:lang w:val="en-US"/>
        </w:rPr>
        <w:t>XIV</w:t>
      </w:r>
      <w:r>
        <w:t>.</w:t>
      </w:r>
      <w:r>
        <w:tab/>
        <w:t>продолжительность непрерывной работы не должна превышать шести часов, если иное не предусматривается в коллективном соглашении;</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XV</w:t>
      </w:r>
      <w:r>
        <w:t>.</w:t>
      </w:r>
      <w:r>
        <w:tab/>
        <w:t>оплачиваемый еженедельный выходной день, предпочтительно выпадающий на воскресенье;</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XVI</w:t>
      </w:r>
      <w:r>
        <w:t>.</w:t>
      </w:r>
      <w:r>
        <w:tab/>
        <w:t>ставка за сверхурочный труд должна составлять не менее 150% от соответствующей ставки за нормированный труд;</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XVII</w:t>
      </w:r>
      <w:r>
        <w:t>.</w:t>
      </w:r>
      <w:r>
        <w:tab/>
        <w:t>ежегодный отпуск с выплатой денежного вознаграждения, размер которого по меньшей мере на одну треть превышает размер обычной заработной платы;</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XVIII</w:t>
      </w:r>
      <w:r>
        <w:t>.</w:t>
      </w:r>
      <w:r>
        <w:tab/>
        <w:t>отпуск по беременности и родам с сохранением рабочего места и заработной платы в течение 120 дней;</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pPr>
      <w:r>
        <w:tab/>
      </w:r>
      <w:r>
        <w:rPr>
          <w:lang w:val="en-US"/>
        </w:rPr>
        <w:t>XIX</w:t>
      </w:r>
      <w:r>
        <w:t>.</w:t>
      </w:r>
      <w:r>
        <w:tab/>
        <w:t>отпуск по отцовству на определенных законом условиях;</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w:t>
      </w:r>
      <w:r>
        <w:t>.</w:t>
      </w:r>
      <w:r>
        <w:tab/>
        <w:t>защита рынка труда для женщин в рамках специальных стимулов, предусмотренных законом;</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XXI</w:t>
      </w:r>
      <w:r>
        <w:t>.</w:t>
      </w:r>
      <w:r>
        <w:tab/>
        <w:t>увольнение может производиться только в том случае, если соответствующий работник ставится об этом в известность не менее чем за 30 дней;  период времени с момента извещения до увольнения определяется в соответствии с законом с учетом трудового стажа соответствующего работника;</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XXII</w:t>
      </w:r>
      <w:r>
        <w:t>.</w:t>
      </w:r>
      <w:r>
        <w:tab/>
        <w:t>снижение производственных рисков путем принятия мер по соблюдению стандартов в области охраны здоровья, санитарии и техники безопасности;</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XXIII</w:t>
      </w:r>
      <w:r>
        <w:t>.</w:t>
      </w:r>
      <w:r>
        <w:tab/>
        <w:t>дополнительное вознаграждение за тяжелый, связанный с риском для здоровья или опасный труд на определенных законом условиях;</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pPr>
      <w:r>
        <w:tab/>
      </w:r>
      <w:r>
        <w:rPr>
          <w:lang w:val="en-US"/>
        </w:rPr>
        <w:t>XXIV</w:t>
      </w:r>
      <w:r>
        <w:t>.</w:t>
      </w:r>
      <w:r>
        <w:tab/>
        <w:t>пенсии по старости;</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XXV</w:t>
      </w:r>
      <w:r>
        <w:t>.</w:t>
      </w:r>
      <w:r>
        <w:tab/>
        <w:t>бесплатное обслуживание детей и иждивенцев в возрасте до шести лет в яслях и детских садах;</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pPr>
      <w:r>
        <w:tab/>
      </w:r>
      <w:r>
        <w:rPr>
          <w:lang w:val="en-US"/>
        </w:rPr>
        <w:t>XXVI</w:t>
      </w:r>
      <w:r>
        <w:t>.</w:t>
      </w:r>
      <w:r>
        <w:tab/>
        <w:t>признание коллективных договоров и соглашений;</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XXVII</w:t>
      </w:r>
      <w:r>
        <w:t>.</w:t>
      </w:r>
      <w:r>
        <w:tab/>
        <w:t>охрана права на труд с учетом процесса автоматизации в предусмотренном законом порядке;</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XXVIII</w:t>
      </w:r>
      <w:r>
        <w:t>.</w:t>
      </w:r>
      <w:r>
        <w:tab/>
        <w:t>страхование от несчастных случаев на производстве за счет работодателя без ущерба для ответственности работодателя в отношении выплаты компенсации за ущерб вследствие  преднамеренного нарушения закона;</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XXIX</w:t>
      </w:r>
      <w:r>
        <w:t>.</w:t>
      </w:r>
      <w:r>
        <w:tab/>
        <w:t>судебные иски с целью истребования денежных средств, подлежащих выплате в результате трудовых отношений, могут подаваться:</w:t>
      </w:r>
    </w:p>
    <w:p w:rsidR="00000000" w:rsidRDefault="00000000">
      <w:pPr>
        <w:pStyle w:val="FootnoteText"/>
        <w:tabs>
          <w:tab w:val="clear" w:pos="567"/>
          <w:tab w:val="clear" w:pos="1134"/>
          <w:tab w:val="clear" w:pos="1701"/>
          <w:tab w:val="right" w:pos="935"/>
          <w:tab w:val="left" w:pos="1496"/>
        </w:tabs>
        <w:spacing w:line="288" w:lineRule="auto"/>
      </w:pPr>
    </w:p>
    <w:p w:rsidR="00000000" w:rsidRDefault="00000000">
      <w:pPr>
        <w:tabs>
          <w:tab w:val="clear" w:pos="567"/>
          <w:tab w:val="clear" w:pos="1134"/>
          <w:tab w:val="clear" w:pos="1701"/>
          <w:tab w:val="clear" w:pos="2268"/>
          <w:tab w:val="right" w:pos="935"/>
          <w:tab w:val="left" w:pos="1496"/>
          <w:tab w:val="left" w:pos="2057"/>
          <w:tab w:val="left" w:pos="2618"/>
        </w:tabs>
        <w:ind w:left="1496" w:hanging="1496"/>
      </w:pPr>
      <w:r>
        <w:tab/>
      </w:r>
      <w:r>
        <w:tab/>
      </w:r>
      <w:r>
        <w:tab/>
      </w:r>
      <w:r>
        <w:rPr>
          <w:lang w:val="en-US"/>
        </w:rPr>
        <w:t>a</w:t>
      </w:r>
      <w:r>
        <w:t>)</w:t>
      </w:r>
      <w:r>
        <w:tab/>
        <w:t xml:space="preserve">городскими трудящимися </w:t>
      </w:r>
      <w:r>
        <w:noBreakHyphen/>
        <w:t xml:space="preserve"> в течение пяти лет в общей сложности и в течение двух лет после окончания трудового контракта;</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clear" w:pos="2268"/>
          <w:tab w:val="right" w:pos="935"/>
          <w:tab w:val="left" w:pos="1496"/>
          <w:tab w:val="left" w:pos="2057"/>
          <w:tab w:val="left" w:pos="2618"/>
        </w:tabs>
        <w:ind w:left="1496" w:hanging="1496"/>
      </w:pPr>
      <w:r>
        <w:tab/>
      </w:r>
      <w:r>
        <w:tab/>
      </w:r>
      <w:r>
        <w:tab/>
      </w:r>
      <w:r>
        <w:rPr>
          <w:lang w:val="en-US"/>
        </w:rPr>
        <w:t>b</w:t>
      </w:r>
      <w:r>
        <w:t>)</w:t>
      </w:r>
      <w:r>
        <w:tab/>
        <w:t xml:space="preserve">сельскохозяйственными работниками </w:t>
      </w:r>
      <w:r>
        <w:noBreakHyphen/>
        <w:t xml:space="preserve"> в течение двух лет с момента истечения контракта;</w:t>
      </w:r>
    </w:p>
    <w:p w:rsidR="00000000" w:rsidRDefault="00000000">
      <w:pPr>
        <w:tabs>
          <w:tab w:val="clear" w:pos="567"/>
          <w:tab w:val="clear" w:pos="1134"/>
          <w:tab w:val="clear" w:pos="1701"/>
          <w:tab w:val="right" w:pos="935"/>
          <w:tab w:val="left" w:pos="1496"/>
        </w:tabs>
        <w:ind w:left="2268" w:hanging="2268"/>
      </w:pPr>
    </w:p>
    <w:p w:rsidR="00000000" w:rsidRDefault="00000000">
      <w:pPr>
        <w:tabs>
          <w:tab w:val="clear" w:pos="567"/>
          <w:tab w:val="clear" w:pos="1134"/>
          <w:tab w:val="clear" w:pos="1701"/>
          <w:tab w:val="right" w:pos="935"/>
          <w:tab w:val="left" w:pos="1496"/>
        </w:tabs>
        <w:ind w:left="1496" w:hanging="1496"/>
      </w:pPr>
      <w:r>
        <w:tab/>
      </w:r>
      <w:r>
        <w:rPr>
          <w:lang w:val="en-US"/>
        </w:rPr>
        <w:t>XXX</w:t>
      </w:r>
      <w:r>
        <w:t>.</w:t>
      </w:r>
      <w:r>
        <w:tab/>
        <w:t>запрещение любой дифференциации заработной платы в контексте выполнения служебных обязанностей или определения критериев найма по признаку пола, возраста, цвета кожи или гражданского состояния;</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XXXI</w:t>
      </w:r>
      <w:r>
        <w:t>.</w:t>
      </w:r>
      <w:r>
        <w:tab/>
        <w:t>запрещение какой бы то ни было дискриминации трудящихся</w:t>
      </w:r>
      <w:r>
        <w:noBreakHyphen/>
        <w:t>инвалидов в отношении размеров заработной платы или критериев найма;</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XXXII</w:t>
      </w:r>
      <w:r>
        <w:t>.</w:t>
      </w:r>
      <w:r>
        <w:tab/>
        <w:t>запрет на проведение каких</w:t>
      </w:r>
      <w:r>
        <w:noBreakHyphen/>
        <w:t>либо разграничений между физическим, техническим и интеллектуальным трудом или между соответствующими специалистами;</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XXXIII</w:t>
      </w:r>
      <w:r>
        <w:t>.</w:t>
      </w:r>
      <w:r>
        <w:tab/>
        <w:t>запрещение работы в ночное время, опасного или связанного с риском для здоровья труда несовершеннолетних в возрасте до 18 лет и любого труда несовершеннолетних в возрасте до 14 лет, за исключением работы в качестве подмастерья;</w:t>
      </w:r>
    </w:p>
    <w:p w:rsidR="00000000" w:rsidRDefault="00000000">
      <w:pPr>
        <w:tabs>
          <w:tab w:val="clear" w:pos="567"/>
          <w:tab w:val="clear" w:pos="1134"/>
          <w:tab w:val="clear" w:pos="1701"/>
          <w:tab w:val="right" w:pos="935"/>
          <w:tab w:val="left" w:pos="1496"/>
        </w:tabs>
      </w:pPr>
    </w:p>
    <w:p w:rsidR="00000000" w:rsidRDefault="00000000">
      <w:pPr>
        <w:tabs>
          <w:tab w:val="clear" w:pos="567"/>
          <w:tab w:val="clear" w:pos="1134"/>
          <w:tab w:val="clear" w:pos="1701"/>
          <w:tab w:val="right" w:pos="935"/>
          <w:tab w:val="left" w:pos="1496"/>
        </w:tabs>
        <w:ind w:left="1496" w:hanging="1496"/>
      </w:pPr>
      <w:r>
        <w:tab/>
      </w:r>
      <w:r>
        <w:rPr>
          <w:lang w:val="en-US"/>
        </w:rPr>
        <w:t>XXXIV</w:t>
      </w:r>
      <w:r>
        <w:t>.</w:t>
      </w:r>
      <w:r>
        <w:tab/>
        <w:t>равные права для работников, имеющих постоянные трудовые контракты, и для работников, нанимаемых на временной основе.</w:t>
      </w:r>
    </w:p>
    <w:p w:rsidR="00000000" w:rsidRDefault="00000000">
      <w:pPr>
        <w:tabs>
          <w:tab w:val="clear" w:pos="567"/>
          <w:tab w:val="clear" w:pos="1134"/>
          <w:tab w:val="clear" w:pos="1701"/>
          <w:tab w:val="right" w:pos="935"/>
          <w:tab w:val="left" w:pos="1496"/>
        </w:tabs>
      </w:pPr>
    </w:p>
    <w:p w:rsidR="00000000" w:rsidRDefault="00000000">
      <w:r>
        <w:tab/>
        <w:t xml:space="preserve">Отдельный параграф </w:t>
      </w:r>
      <w:r>
        <w:noBreakHyphen/>
        <w:t xml:space="preserve"> домашней прислуге гарантируются права, предусмотренные в пунктах </w:t>
      </w:r>
      <w:r>
        <w:rPr>
          <w:lang w:val="en-US"/>
        </w:rPr>
        <w:t>IV</w:t>
      </w:r>
      <w:r>
        <w:t xml:space="preserve">, </w:t>
      </w:r>
      <w:r>
        <w:rPr>
          <w:lang w:val="en-US"/>
        </w:rPr>
        <w:t>VI</w:t>
      </w:r>
      <w:r>
        <w:t xml:space="preserve">, </w:t>
      </w:r>
      <w:r>
        <w:rPr>
          <w:lang w:val="en-US"/>
        </w:rPr>
        <w:t>VIII</w:t>
      </w:r>
      <w:r>
        <w:t xml:space="preserve">, </w:t>
      </w:r>
      <w:r>
        <w:rPr>
          <w:lang w:val="en-US"/>
        </w:rPr>
        <w:t>XV</w:t>
      </w:r>
      <w:r>
        <w:t xml:space="preserve">, </w:t>
      </w:r>
      <w:r>
        <w:rPr>
          <w:lang w:val="en-US"/>
        </w:rPr>
        <w:t>XVII</w:t>
      </w:r>
      <w:r>
        <w:t xml:space="preserve">, </w:t>
      </w:r>
      <w:r>
        <w:rPr>
          <w:lang w:val="en-US"/>
        </w:rPr>
        <w:t>XVIII</w:t>
      </w:r>
      <w:r>
        <w:t xml:space="preserve">, </w:t>
      </w:r>
      <w:r>
        <w:rPr>
          <w:lang w:val="en-US"/>
        </w:rPr>
        <w:t>XIX</w:t>
      </w:r>
      <w:r>
        <w:t xml:space="preserve">, </w:t>
      </w:r>
      <w:r>
        <w:rPr>
          <w:lang w:val="en-US"/>
        </w:rPr>
        <w:t>XXI</w:t>
      </w:r>
      <w:r>
        <w:t xml:space="preserve"> и </w:t>
      </w:r>
      <w:r>
        <w:rPr>
          <w:lang w:val="en-US"/>
        </w:rPr>
        <w:t>XXIV</w:t>
      </w:r>
      <w:r>
        <w:t>, а также права на льготы в рамках системы социального обеспечения.</w:t>
      </w:r>
    </w:p>
    <w:p w:rsidR="00000000" w:rsidRDefault="00000000"/>
    <w:p w:rsidR="00000000" w:rsidRDefault="00000000">
      <w:pPr>
        <w:rPr>
          <w:b/>
        </w:rPr>
      </w:pPr>
      <w:r>
        <w:rPr>
          <w:b/>
        </w:rPr>
        <w:t>Статья 8</w:t>
      </w:r>
    </w:p>
    <w:p w:rsidR="00000000" w:rsidRDefault="00000000">
      <w:pPr>
        <w:rPr>
          <w:bCs/>
        </w:rPr>
      </w:pPr>
    </w:p>
    <w:p w:rsidR="00000000" w:rsidRDefault="00000000">
      <w:r>
        <w:tab/>
        <w:t>Все лица имеют право вступать в профессиональные ассоциации или профсоюзы:</w:t>
      </w:r>
    </w:p>
    <w:p w:rsidR="00000000" w:rsidRDefault="00000000"/>
    <w:p w:rsidR="00000000" w:rsidRDefault="00000000">
      <w:pPr>
        <w:tabs>
          <w:tab w:val="clear" w:pos="567"/>
          <w:tab w:val="right" w:pos="561"/>
        </w:tabs>
        <w:ind w:left="1134" w:hanging="1134"/>
      </w:pPr>
      <w:r>
        <w:tab/>
      </w:r>
      <w:r>
        <w:rPr>
          <w:lang w:val="en-US"/>
        </w:rPr>
        <w:t>I</w:t>
      </w:r>
      <w:r>
        <w:t>.</w:t>
      </w:r>
      <w:r>
        <w:tab/>
        <w:t>закон не требует получения от государства разрешения на создание профсоюза, за исключением требования о регистрации профсоюза в компетентном органе;  правительство не вмешивается в деятельность профсоюза и не чинит ему никаких препятствий в его деятельности;</w:t>
      </w:r>
    </w:p>
    <w:p w:rsidR="00000000" w:rsidRDefault="00000000">
      <w:pPr>
        <w:pStyle w:val="FootnoteText"/>
        <w:tabs>
          <w:tab w:val="clear" w:pos="567"/>
          <w:tab w:val="right" w:pos="561"/>
        </w:tabs>
        <w:spacing w:line="288" w:lineRule="auto"/>
      </w:pPr>
    </w:p>
    <w:p w:rsidR="00000000" w:rsidRDefault="00000000">
      <w:pPr>
        <w:tabs>
          <w:tab w:val="clear" w:pos="567"/>
          <w:tab w:val="right" w:pos="561"/>
        </w:tabs>
        <w:ind w:left="1134" w:hanging="1134"/>
      </w:pPr>
      <w:r>
        <w:tab/>
      </w:r>
      <w:r>
        <w:rPr>
          <w:lang w:val="en-US"/>
        </w:rPr>
        <w:t>II</w:t>
      </w:r>
      <w:r>
        <w:t>.</w:t>
      </w:r>
      <w:r>
        <w:tab/>
        <w:t>на любой территории, определяемой соответствующими трудящимися или работодателями, может существовать только один профсоюз, представляющий профессиональную или экономическую категорию трудящихся на любом уровне;  площадь такой территории не может быть меньше площади одной муниципии;</w:t>
      </w:r>
    </w:p>
    <w:p w:rsidR="00000000" w:rsidRDefault="00000000"/>
    <w:p w:rsidR="00000000" w:rsidRDefault="00000000">
      <w:pPr>
        <w:pStyle w:val="FootnoteText"/>
        <w:tabs>
          <w:tab w:val="clear" w:pos="567"/>
          <w:tab w:val="right" w:pos="561"/>
        </w:tabs>
        <w:spacing w:line="288" w:lineRule="auto"/>
        <w:ind w:left="1134" w:hanging="1134"/>
      </w:pPr>
      <w:r>
        <w:tab/>
        <w:t>III.</w:t>
      </w:r>
      <w:r>
        <w:tab/>
        <w:t>профсоюз обязан защищать коллективные или индивидуальные права и интересы соответствующей профессиональной группы, включая урегулирование юридических или административных споров;</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t>IV.</w:t>
      </w:r>
      <w:r>
        <w:tab/>
        <w:t>в случае некоторых конкретных профессий на общем собрании определяются размеры выплат в профсоюзные фонды, вычитаемые из заработной платы.  Эти денежные средства используются для целей поддержки системы объединений каждого конкретного типа профсоюза в дополнение к предусмотренным законом профсоюзным взносам;</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t>V.</w:t>
      </w:r>
      <w:r>
        <w:tab/>
        <w:t>никто не может принуждаться к вступлению в профсоюз или насильно удерживаться в профсоюзе;</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t>VI.</w:t>
      </w:r>
      <w:r>
        <w:tab/>
        <w:t>переговоры о заключении коллективных трудовых договоров должны проходить при участии профсоюзов;</w:t>
      </w:r>
    </w:p>
    <w:p w:rsidR="00000000" w:rsidRDefault="00000000"/>
    <w:p w:rsidR="00000000" w:rsidRDefault="00000000">
      <w:pPr>
        <w:pStyle w:val="FootnoteText"/>
        <w:tabs>
          <w:tab w:val="clear" w:pos="567"/>
          <w:tab w:val="right" w:pos="561"/>
        </w:tabs>
        <w:spacing w:line="288" w:lineRule="auto"/>
        <w:ind w:left="1134" w:hanging="1134"/>
      </w:pPr>
      <w:r>
        <w:tab/>
        <w:t>VII.</w:t>
      </w:r>
      <w:r>
        <w:tab/>
        <w:t>вышедшие на пенсию члены профсоюза имеют право голосовать и выставлять свои кандидатуры в ходе выборов в профсоюзные органы;</w:t>
      </w:r>
    </w:p>
    <w:p w:rsidR="00000000" w:rsidRDefault="00000000">
      <w:pPr>
        <w:pStyle w:val="FootnoteText"/>
        <w:tabs>
          <w:tab w:val="clear" w:pos="567"/>
          <w:tab w:val="right" w:pos="561"/>
        </w:tabs>
        <w:spacing w:line="288" w:lineRule="auto"/>
      </w:pPr>
    </w:p>
    <w:p w:rsidR="00000000" w:rsidRDefault="00000000">
      <w:pPr>
        <w:pStyle w:val="FootnoteText"/>
        <w:tabs>
          <w:tab w:val="clear" w:pos="567"/>
          <w:tab w:val="right" w:pos="561"/>
        </w:tabs>
        <w:spacing w:line="288" w:lineRule="auto"/>
        <w:ind w:left="1134" w:hanging="1134"/>
      </w:pPr>
      <w:r>
        <w:tab/>
        <w:t>VIII.</w:t>
      </w:r>
      <w:r>
        <w:tab/>
        <w:t>запрещается увольнение работников из числа членов профсоюза в тот момент, когда они регистрируются в качестве кандидатов на пост профсоюзного руководителя или представителя.  В случае их избрания даже в качестве заместителя профсоюзного руководителя или представителя соответствующие лица не могут быть уволены в течение одного года по завершении срока исполнения ими профсоюзных обязанностей, если только они не совершили серьезного преступления, предусмотренного законом.</w:t>
      </w:r>
    </w:p>
    <w:p w:rsidR="00000000" w:rsidRDefault="00000000"/>
    <w:p w:rsidR="00000000" w:rsidRDefault="00000000">
      <w:r>
        <w:tab/>
        <w:t xml:space="preserve">Отдельный параграф </w:t>
      </w:r>
      <w:r>
        <w:noBreakHyphen/>
        <w:t xml:space="preserve"> Положения настоящей статьи применяются при организации сельских профсоюзов и профсоюзов, представляющих рыболовецкие артели, с должным учетом предусмотренных законом условий. </w:t>
      </w:r>
    </w:p>
    <w:p w:rsidR="00000000" w:rsidRDefault="00000000"/>
    <w:p w:rsidR="00000000" w:rsidRDefault="00000000">
      <w:pPr>
        <w:rPr>
          <w:b/>
        </w:rPr>
      </w:pPr>
      <w:r>
        <w:rPr>
          <w:b/>
        </w:rPr>
        <w:t>Статья 9</w:t>
      </w:r>
    </w:p>
    <w:p w:rsidR="00000000" w:rsidRDefault="00000000">
      <w:pPr>
        <w:rPr>
          <w:bCs/>
        </w:rPr>
      </w:pPr>
    </w:p>
    <w:p w:rsidR="00000000" w:rsidRDefault="00000000">
      <w:r>
        <w:tab/>
        <w:t>Гарантируется право на забастовки.  Трудящиеся самостоятельно принимают решения относительно целесообразности осуществления этого права и защиты соответствующих интересов.</w:t>
      </w:r>
    </w:p>
    <w:p w:rsidR="00000000" w:rsidRDefault="00000000"/>
    <w:p w:rsidR="00000000" w:rsidRDefault="00000000">
      <w:r>
        <w:tab/>
        <w:t>Пункт 1 – Закон определяет жизненно важные услуги или виды деятельности и устанавливает правила, касающиеся необходимости удовлетворения насущных потребностей общества.</w:t>
      </w:r>
    </w:p>
    <w:p w:rsidR="00000000" w:rsidRDefault="00000000"/>
    <w:p w:rsidR="00000000" w:rsidRDefault="00000000">
      <w:r>
        <w:tab/>
        <w:t>Пункт 2 – Любое злоупотребление этими правами наказывается в установленном законом порядке.</w:t>
      </w:r>
    </w:p>
    <w:p w:rsidR="00000000" w:rsidRDefault="00000000"/>
    <w:p w:rsidR="00000000" w:rsidRDefault="00000000">
      <w:pPr>
        <w:pStyle w:val="Heading1"/>
        <w:rPr>
          <w:bCs/>
        </w:rPr>
      </w:pPr>
      <w:r>
        <w:rPr>
          <w:bCs/>
        </w:rPr>
        <w:t>Статья 10</w:t>
      </w:r>
    </w:p>
    <w:p w:rsidR="00000000" w:rsidRDefault="00000000">
      <w:pPr>
        <w:pStyle w:val="Heading1"/>
        <w:rPr>
          <w:bCs/>
        </w:rPr>
      </w:pPr>
    </w:p>
    <w:p w:rsidR="00000000" w:rsidRDefault="00000000">
      <w:r>
        <w:tab/>
        <w:t>Представителям трудящихся и администрации гарантируется право на участие в работе коллегиальных органов при государственных учреждениях в тех случаях, когда объектом обсуждения и решений являются их профессиональные или социальные интересы.</w:t>
      </w:r>
    </w:p>
    <w:p w:rsidR="00000000" w:rsidRDefault="00000000"/>
    <w:p w:rsidR="00000000" w:rsidRDefault="00000000">
      <w:pPr>
        <w:rPr>
          <w:b/>
          <w:bCs/>
        </w:rPr>
      </w:pPr>
      <w:r>
        <w:rPr>
          <w:b/>
          <w:bCs/>
        </w:rPr>
        <w:t>Статья 11</w:t>
      </w:r>
    </w:p>
    <w:p w:rsidR="00000000" w:rsidRDefault="00000000">
      <w:pPr>
        <w:rPr>
          <w:b/>
          <w:bCs/>
        </w:rPr>
      </w:pPr>
    </w:p>
    <w:p w:rsidR="00000000" w:rsidRDefault="00000000">
      <w:pPr>
        <w:pStyle w:val="FootnoteText"/>
        <w:spacing w:line="288" w:lineRule="auto"/>
      </w:pPr>
      <w:r>
        <w:tab/>
        <w:t>Служащим компаний, в которых работают более 200 человек, гарантируется право избирать трудового представителя исключительно для целей содействия проведению прямых переговоров с администрацией.</w:t>
      </w:r>
    </w:p>
    <w:p w:rsidR="00000000" w:rsidRDefault="00000000">
      <w:pPr>
        <w:pStyle w:val="FootnoteText"/>
        <w:spacing w:line="288" w:lineRule="auto"/>
      </w:pPr>
    </w:p>
    <w:p w:rsidR="00000000" w:rsidRDefault="00000000">
      <w:pPr>
        <w:rPr>
          <w:b/>
          <w:bCs/>
        </w:rPr>
      </w:pPr>
      <w:r>
        <w:rPr>
          <w:b/>
          <w:bCs/>
        </w:rPr>
        <w:t>Статья 34</w:t>
      </w:r>
    </w:p>
    <w:p w:rsidR="00000000" w:rsidRDefault="00000000">
      <w:pPr>
        <w:rPr>
          <w:b/>
          <w:bCs/>
        </w:rPr>
      </w:pPr>
    </w:p>
    <w:p w:rsidR="00000000" w:rsidRDefault="00000000">
      <w:pPr>
        <w:pStyle w:val="FootnoteText"/>
        <w:spacing w:line="288" w:lineRule="auto"/>
      </w:pPr>
      <w:r>
        <w:tab/>
        <w:t>Федеральное правительство (союз) не вмешивается в дела штатов или Федерального округа, кроме как для целей:</w:t>
      </w:r>
    </w:p>
    <w:p w:rsidR="00000000" w:rsidRDefault="00000000">
      <w:pPr>
        <w:pStyle w:val="FootnoteText"/>
        <w:spacing w:line="288" w:lineRule="auto"/>
      </w:pPr>
    </w:p>
    <w:p w:rsidR="00000000" w:rsidRDefault="00000000">
      <w:pPr>
        <w:pStyle w:val="FootnoteText"/>
        <w:tabs>
          <w:tab w:val="clear" w:pos="567"/>
          <w:tab w:val="right" w:pos="561"/>
        </w:tabs>
        <w:spacing w:line="288" w:lineRule="auto"/>
      </w:pPr>
      <w:r>
        <w:tab/>
      </w:r>
      <w:r>
        <w:rPr>
          <w:lang w:val="en-US"/>
        </w:rPr>
        <w:t>VII</w:t>
      </w:r>
      <w:r>
        <w:t>.</w:t>
      </w:r>
      <w:r>
        <w:tab/>
        <w:t>обеспечения соблюдения следующих конституционных принципов:</w:t>
      </w:r>
    </w:p>
    <w:p w:rsidR="00000000" w:rsidRDefault="00000000">
      <w:pPr>
        <w:pStyle w:val="FootnoteText"/>
        <w:spacing w:line="288" w:lineRule="auto"/>
      </w:pPr>
    </w:p>
    <w:p w:rsidR="00000000" w:rsidRDefault="00000000">
      <w:pPr>
        <w:pStyle w:val="FootnoteText"/>
        <w:spacing w:line="288" w:lineRule="auto"/>
      </w:pPr>
      <w:r>
        <w:tab/>
      </w:r>
      <w:r>
        <w:tab/>
        <w:t>b)</w:t>
      </w:r>
      <w:r>
        <w:tab/>
        <w:t>осуществления прав индивидов.</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196</w:t>
      </w:r>
    </w:p>
    <w:p w:rsidR="00000000" w:rsidRDefault="00000000">
      <w:pPr>
        <w:pStyle w:val="FootnoteText"/>
        <w:spacing w:line="288" w:lineRule="auto"/>
        <w:rPr>
          <w:b/>
          <w:bCs/>
        </w:rPr>
      </w:pPr>
    </w:p>
    <w:p w:rsidR="00000000" w:rsidRDefault="00000000">
      <w:pPr>
        <w:pStyle w:val="FootnoteText"/>
        <w:spacing w:line="288" w:lineRule="auto"/>
      </w:pPr>
      <w:r>
        <w:tab/>
        <w:t>Каждый имеет право на здоровье, и государство обязано гарантировать это право посредством социально-экономической политики, направленной на снижение риска заболеваний и других опасностей и обеспечение всеобщего и равного доступа к структурам и услугам в сфере укрепления, охраны и восстановления здоровья.</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205</w:t>
      </w:r>
    </w:p>
    <w:p w:rsidR="00000000" w:rsidRDefault="00000000">
      <w:pPr>
        <w:pStyle w:val="FootnoteText"/>
        <w:spacing w:line="288" w:lineRule="auto"/>
        <w:rPr>
          <w:b/>
          <w:bCs/>
        </w:rPr>
      </w:pPr>
    </w:p>
    <w:p w:rsidR="00000000" w:rsidRDefault="00000000">
      <w:pPr>
        <w:pStyle w:val="FootnoteText"/>
        <w:spacing w:line="288" w:lineRule="auto"/>
      </w:pPr>
      <w:r>
        <w:tab/>
        <w:t>Образование, являющееся правом каждого человека и обязанностью государства и семьи, обеспечивается и гарантируется при участии всего общества с целью всестороннего развития людей, их подготовки к осуществлению гражданских обязанностей и к квалифицированному труду.</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215</w:t>
      </w:r>
    </w:p>
    <w:p w:rsidR="00000000" w:rsidRDefault="00000000">
      <w:pPr>
        <w:pStyle w:val="FootnoteText"/>
        <w:spacing w:line="288" w:lineRule="auto"/>
        <w:rPr>
          <w:b/>
          <w:bCs/>
        </w:rPr>
      </w:pPr>
    </w:p>
    <w:p w:rsidR="00000000" w:rsidRDefault="00000000">
      <w:pPr>
        <w:pStyle w:val="FootnoteText"/>
        <w:spacing w:line="288" w:lineRule="auto"/>
      </w:pPr>
      <w:r>
        <w:tab/>
        <w:t>Государство обеспечивает каждому человеку возможность полностью осуществлять свои культурные права и пользоваться доступом к источникам национального и культурного достояния.  Государство также поддерживает и поощряет восприятие и распространение достижений культуры.</w:t>
      </w:r>
    </w:p>
    <w:p w:rsidR="00000000" w:rsidRDefault="00000000">
      <w:pPr>
        <w:pStyle w:val="FootnoteText"/>
        <w:spacing w:line="288" w:lineRule="auto"/>
      </w:pPr>
    </w:p>
    <w:p w:rsidR="00000000" w:rsidRDefault="00000000">
      <w:pPr>
        <w:pStyle w:val="FootnoteText"/>
        <w:spacing w:line="288" w:lineRule="auto"/>
      </w:pPr>
      <w:r>
        <w:tab/>
        <w:t>Пункт 1 – Государство охраняет достижения исконной индейской и афробразильской культур, а также культурные достижения других групп, участвующих в развитии бразильской цивилизации.</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217</w:t>
      </w:r>
    </w:p>
    <w:p w:rsidR="00000000" w:rsidRDefault="00000000">
      <w:pPr>
        <w:pStyle w:val="FootnoteText"/>
        <w:spacing w:line="288" w:lineRule="auto"/>
        <w:rPr>
          <w:b/>
          <w:bCs/>
        </w:rPr>
      </w:pPr>
    </w:p>
    <w:p w:rsidR="00000000" w:rsidRDefault="00000000">
      <w:pPr>
        <w:pStyle w:val="FootnoteText"/>
        <w:spacing w:line="288" w:lineRule="auto"/>
      </w:pPr>
      <w:r>
        <w:tab/>
        <w:t>Государство обязано поощрять практику официальной и неофициальной спортивной деятельности, а также право каждого человека на занятие спортом с должным учетом следующих факторов:  …</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218</w:t>
      </w:r>
    </w:p>
    <w:p w:rsidR="00000000" w:rsidRDefault="00000000">
      <w:pPr>
        <w:pStyle w:val="FootnoteText"/>
        <w:spacing w:line="288" w:lineRule="auto"/>
        <w:rPr>
          <w:b/>
          <w:bCs/>
        </w:rPr>
      </w:pPr>
    </w:p>
    <w:p w:rsidR="00000000" w:rsidRDefault="00000000">
      <w:pPr>
        <w:pStyle w:val="FootnoteText"/>
        <w:spacing w:line="288" w:lineRule="auto"/>
      </w:pPr>
      <w:r>
        <w:tab/>
        <w:t>Государство способствует развитию науки, проведению научных исследований и накоплению технических знаний.</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220</w:t>
      </w:r>
    </w:p>
    <w:p w:rsidR="00000000" w:rsidRDefault="00000000">
      <w:pPr>
        <w:pStyle w:val="FootnoteText"/>
        <w:spacing w:line="288" w:lineRule="auto"/>
        <w:rPr>
          <w:b/>
          <w:bCs/>
        </w:rPr>
      </w:pPr>
    </w:p>
    <w:p w:rsidR="00000000" w:rsidRDefault="00000000">
      <w:pPr>
        <w:pStyle w:val="FootnoteText"/>
        <w:spacing w:line="288" w:lineRule="auto"/>
      </w:pPr>
      <w:r>
        <w:tab/>
        <w:t>В соответствии с положениями настоящей Конституции не должно чиниться никаких препятствий проявлению творческой и созидательной мысли для распространения информации в любой форме и с использованием любых процедур или средств.</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225</w:t>
      </w:r>
    </w:p>
    <w:p w:rsidR="00000000" w:rsidRDefault="00000000">
      <w:pPr>
        <w:pStyle w:val="FootnoteText"/>
        <w:spacing w:line="288" w:lineRule="auto"/>
        <w:rPr>
          <w:b/>
          <w:bCs/>
        </w:rPr>
      </w:pPr>
    </w:p>
    <w:p w:rsidR="00000000" w:rsidRDefault="00000000">
      <w:pPr>
        <w:pStyle w:val="FootnoteText"/>
        <w:spacing w:line="288" w:lineRule="auto"/>
      </w:pPr>
      <w:r>
        <w:tab/>
        <w:t>Каждый человек имеет право на экологически чистую окружающую среду.  Окружающая среда является достоянием всего народа и имеет крайне важное значение для обеспечения здорового образа жизни.  Правительство и общество обязаны защищать и сохранять окружающую среду для нынешнего и будущих поколений.</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227</w:t>
      </w:r>
    </w:p>
    <w:p w:rsidR="00000000" w:rsidRDefault="00000000">
      <w:pPr>
        <w:pStyle w:val="FootnoteText"/>
        <w:spacing w:line="288" w:lineRule="auto"/>
        <w:rPr>
          <w:b/>
          <w:bCs/>
        </w:rPr>
      </w:pPr>
    </w:p>
    <w:p w:rsidR="00000000" w:rsidRDefault="00000000">
      <w:pPr>
        <w:pStyle w:val="FootnoteText"/>
        <w:spacing w:line="288" w:lineRule="auto"/>
      </w:pPr>
      <w:r>
        <w:tab/>
        <w:t>Семья, общество в целом и государство обязаны уделять первоочередное внимание обеспечению права детей и подростков на жизнь, здоровье, питание, образование, досуг, профессиональную подготовку, культуру, достоинство, уважение, свободу и семейную и общинную жизнь, а также ограждать их от любых форм безнадзорности, дискриминации, эксплуатации, насилия, жестокости и угнетения.</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228</w:t>
      </w:r>
    </w:p>
    <w:p w:rsidR="00000000" w:rsidRDefault="00000000">
      <w:pPr>
        <w:pStyle w:val="FootnoteText"/>
        <w:spacing w:line="288" w:lineRule="auto"/>
        <w:rPr>
          <w:b/>
          <w:bCs/>
        </w:rPr>
      </w:pPr>
    </w:p>
    <w:p w:rsidR="00000000" w:rsidRDefault="00000000">
      <w:pPr>
        <w:pStyle w:val="FootnoteText"/>
        <w:spacing w:line="288" w:lineRule="auto"/>
      </w:pPr>
      <w:r>
        <w:tab/>
        <w:t xml:space="preserve">Несовершеннолетние лица в возрасте до 18 лет не подлежат уголовной ответственности и подпадают под нормы особого законодательства.  </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231</w:t>
      </w:r>
    </w:p>
    <w:p w:rsidR="00000000" w:rsidRDefault="00000000">
      <w:pPr>
        <w:pStyle w:val="FootnoteText"/>
        <w:spacing w:line="288" w:lineRule="auto"/>
        <w:rPr>
          <w:b/>
          <w:bCs/>
        </w:rPr>
      </w:pPr>
    </w:p>
    <w:p w:rsidR="00000000" w:rsidRDefault="00000000">
      <w:pPr>
        <w:pStyle w:val="FootnoteText"/>
        <w:spacing w:line="288" w:lineRule="auto"/>
      </w:pPr>
      <w:r>
        <w:tab/>
        <w:t>Настоящим признаются социальные организации, обычаи, языки, верования и традиции индейцев, а также их исконные права на земли, которые они традиционно занимают;  при этом Союз обязан обеспечить демаркацию этих земель на условиях защиты и обеспечения уважения всей их собственности.</w:t>
      </w:r>
    </w:p>
    <w:p w:rsidR="00000000" w:rsidRDefault="00000000">
      <w:pPr>
        <w:pStyle w:val="FootnoteText"/>
        <w:spacing w:line="288" w:lineRule="auto"/>
      </w:pPr>
    </w:p>
    <w:p w:rsidR="00000000" w:rsidRDefault="00000000">
      <w:pPr>
        <w:pStyle w:val="FootnoteText"/>
        <w:spacing w:line="288" w:lineRule="auto"/>
        <w:rPr>
          <w:b/>
          <w:bCs/>
        </w:rPr>
      </w:pPr>
      <w:r>
        <w:rPr>
          <w:b/>
          <w:bCs/>
        </w:rPr>
        <w:t>Статья 232</w:t>
      </w:r>
    </w:p>
    <w:p w:rsidR="00000000" w:rsidRDefault="00000000">
      <w:pPr>
        <w:pStyle w:val="FootnoteText"/>
        <w:spacing w:line="288" w:lineRule="auto"/>
        <w:rPr>
          <w:b/>
          <w:bCs/>
        </w:rPr>
      </w:pPr>
    </w:p>
    <w:p w:rsidR="00000000" w:rsidRDefault="00000000">
      <w:pPr>
        <w:pStyle w:val="FootnoteText"/>
        <w:spacing w:line="288" w:lineRule="auto"/>
      </w:pPr>
      <w:r>
        <w:tab/>
        <w:t>Индейцы и их общины и организации наделяются юридическими правами, позволяющими им возбуждать судебные иски для целей защиты своих прав и интересов;  министерство государственного надзора принимает участие во всех процессуальных действиях в рамках таких дел.</w:t>
      </w:r>
    </w:p>
    <w:p w:rsidR="00000000" w:rsidRDefault="00000000">
      <w:pPr>
        <w:tabs>
          <w:tab w:val="clear" w:pos="567"/>
          <w:tab w:val="right" w:pos="561"/>
        </w:tabs>
      </w:pPr>
    </w:p>
    <w:p w:rsidR="00000000" w:rsidRDefault="00000000">
      <w:pPr>
        <w:pStyle w:val="FootnoteText"/>
      </w:pPr>
      <w:r>
        <w:rPr>
          <w:rStyle w:val="FootnoteReference"/>
        </w:rPr>
        <w:t>3</w:t>
      </w:r>
      <w:r>
        <w:t xml:space="preserve"> </w:t>
      </w:r>
      <w:r>
        <w:tab/>
        <w:t>В бразильской государственной системе министерство государственного надзора является уникальным институтом (своего рода "четвертой властью"), в составе которого действует корпус чиновников государственного надзора.</w:t>
      </w:r>
    </w:p>
    <w:p w:rsidR="00000000" w:rsidRDefault="00000000">
      <w:pPr>
        <w:pStyle w:val="FootnoteText"/>
      </w:pPr>
    </w:p>
    <w:p w:rsidR="00000000" w:rsidRDefault="00000000">
      <w:r>
        <w:rPr>
          <w:b/>
          <w:bCs/>
          <w:vertAlign w:val="superscript"/>
        </w:rPr>
        <w:t>4</w:t>
      </w:r>
      <w:r>
        <w:tab/>
        <w:t>После принятия соответствующего закона в Основы трудового законодательства Бразилии, утвержденные в соответствии с Декретом-законом 5 452 от 1 мая 1943 года, были внесены следующие изменения:</w:t>
      </w:r>
    </w:p>
    <w:p w:rsidR="00000000" w:rsidRDefault="00000000"/>
    <w:p w:rsidR="00000000" w:rsidRDefault="00000000">
      <w:r>
        <w:t xml:space="preserve">"РАЗДЕЛ </w:t>
      </w:r>
      <w:r>
        <w:rPr>
          <w:lang w:val="en-US"/>
        </w:rPr>
        <w:t>I</w:t>
      </w:r>
    </w:p>
    <w:p w:rsidR="00000000" w:rsidRDefault="00000000"/>
    <w:p w:rsidR="00000000" w:rsidRDefault="00000000">
      <w:r>
        <w:t>Продолжительность рабочего дня, условия труда и дискриминация в отношении женщин</w:t>
      </w:r>
    </w:p>
    <w:p w:rsidR="00000000" w:rsidRDefault="00000000"/>
    <w:p w:rsidR="00000000" w:rsidRDefault="00000000">
      <w:pPr>
        <w:pStyle w:val="BodyText"/>
      </w:pPr>
      <w:r>
        <w:t>Статья 373 А</w:t>
      </w:r>
    </w:p>
    <w:p w:rsidR="00000000" w:rsidRDefault="00000000">
      <w:pPr>
        <w:pStyle w:val="BodyText"/>
      </w:pPr>
    </w:p>
    <w:p w:rsidR="00000000" w:rsidRDefault="00000000">
      <w:pPr>
        <w:pStyle w:val="BodyText"/>
        <w:rPr>
          <w:b/>
          <w:bCs/>
        </w:rPr>
      </w:pPr>
      <w:r>
        <w:rPr>
          <w:b/>
          <w:bCs/>
        </w:rPr>
        <w:tab/>
        <w:t>Без ущерба для предусмотренных законом исключений, призванных устранить диспропорции, затрудняющие доступ женщин к рынку труда, и соответствующих положений, оговоренных в коллективных трудовых соглашениях, запрещается:</w:t>
      </w:r>
    </w:p>
    <w:p w:rsidR="00000000" w:rsidRDefault="00000000">
      <w:pPr>
        <w:pStyle w:val="BodyText"/>
      </w:pPr>
    </w:p>
    <w:p w:rsidR="00000000" w:rsidRDefault="00000000">
      <w:pPr>
        <w:tabs>
          <w:tab w:val="clear" w:pos="567"/>
          <w:tab w:val="right" w:pos="561"/>
        </w:tabs>
        <w:ind w:left="1134" w:hanging="1134"/>
      </w:pPr>
      <w:r>
        <w:tab/>
      </w:r>
      <w:r>
        <w:rPr>
          <w:lang w:val="en-US"/>
        </w:rPr>
        <w:t>I</w:t>
      </w:r>
      <w:r>
        <w:t>.</w:t>
      </w:r>
      <w:r>
        <w:tab/>
        <w:t>публиковать или способствовать публикации любых объявлений о трудоустройстве, в которых проводится разграничение по признаку пола, возраста, цвета кожи или семейного положения за исключением случаев, когда этого явно и однозначно требует характер соответствующей деятельности;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II</w:t>
      </w:r>
      <w:r>
        <w:t>.</w:t>
      </w:r>
      <w:r>
        <w:tab/>
        <w:t>отказывать в трудоустройстве или продвижении по службе или мотивировать увольнение лица по признаку пола, возраста, цвета кожи, семейного положения или беременности за исключением случаев, когда речь идет о явной и очевидной несовместимости с характером соответствующей деятельности;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III</w:t>
      </w:r>
      <w:r>
        <w:t>.</w:t>
      </w:r>
      <w:r>
        <w:tab/>
        <w:t>расценивать пол, возраст, цвет кожи или семейное положение в качестве решающего фактора для целей определения размеров денежного вознаграждения, профессионально-технической подготовки и возможностей для служебного роста;</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IV</w:t>
      </w:r>
      <w:r>
        <w:t>.</w:t>
      </w:r>
      <w:r>
        <w:tab/>
        <w:t>требовать предъявления справки или прохождения какого-либо освидетельствования для подтверждения бесплодия или проверки на беременность для целей найма на работу или сохранения рабочего места;</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V</w:t>
      </w:r>
      <w:r>
        <w:t>.</w:t>
      </w:r>
      <w:r>
        <w:tab/>
        <w:t>препятствовать доступу к организуемым частными компаниями экзаменам на предмет замещения административных должностей или применять субъективные критерии для целей принятия к рассмотрению или утверждения соответствующих заявлений по признаку пола, возраста, цвета кожи, семейного положения или беременности;</w:t>
      </w:r>
    </w:p>
    <w:p w:rsidR="00000000" w:rsidRDefault="00000000">
      <w:pPr>
        <w:pStyle w:val="FootnoteText"/>
        <w:tabs>
          <w:tab w:val="clear" w:pos="567"/>
          <w:tab w:val="right" w:pos="561"/>
        </w:tabs>
        <w:spacing w:line="288" w:lineRule="auto"/>
      </w:pPr>
    </w:p>
    <w:p w:rsidR="00000000" w:rsidRDefault="00000000">
      <w:pPr>
        <w:tabs>
          <w:tab w:val="clear" w:pos="567"/>
          <w:tab w:val="right" w:pos="561"/>
        </w:tabs>
        <w:ind w:left="1134" w:hanging="1134"/>
      </w:pPr>
      <w:r>
        <w:tab/>
      </w:r>
      <w:r>
        <w:rPr>
          <w:lang w:val="en-US"/>
        </w:rPr>
        <w:t>VI</w:t>
      </w:r>
      <w:r>
        <w:t>.</w:t>
      </w:r>
      <w:r>
        <w:tab/>
        <w:t>работодателям или их подчиненным запрещается проводить осмотр женщин из числа наемных работников или персонала.</w:t>
      </w:r>
    </w:p>
    <w:p w:rsidR="00000000" w:rsidRDefault="00000000">
      <w:pPr>
        <w:tabs>
          <w:tab w:val="clear" w:pos="567"/>
          <w:tab w:val="right" w:pos="561"/>
        </w:tabs>
      </w:pPr>
    </w:p>
    <w:p w:rsidR="00000000" w:rsidRDefault="00000000">
      <w:pPr>
        <w:tabs>
          <w:tab w:val="clear" w:pos="567"/>
          <w:tab w:val="left" w:pos="561"/>
        </w:tabs>
      </w:pPr>
      <w:r>
        <w:tab/>
        <w:t>Отдельный параграф.  Положения настоящих статей не препятствуют применению временных мер, направленных на реализацию стратегий по обеспечению равноправия мужчин и женщин, включая, в частности, стратегии, нацеленные на устранение диспропорций в сфере профессионально-технического обучения, доступа к рынку труда и общих условий труда женщин".</w:t>
      </w:r>
    </w:p>
    <w:p w:rsidR="00000000" w:rsidRDefault="00000000">
      <w:pPr>
        <w:tabs>
          <w:tab w:val="clear" w:pos="567"/>
          <w:tab w:val="left" w:pos="561"/>
        </w:tabs>
      </w:pPr>
    </w:p>
    <w:p w:rsidR="00000000" w:rsidRDefault="00000000">
      <w:pPr>
        <w:tabs>
          <w:tab w:val="clear" w:pos="567"/>
          <w:tab w:val="left" w:pos="561"/>
        </w:tabs>
      </w:pPr>
      <w:r>
        <w:rPr>
          <w:b/>
          <w:bCs/>
        </w:rPr>
        <w:t>"Статья 390 А</w:t>
      </w:r>
      <w:r>
        <w:t xml:space="preserve"> (ОТКЛОНЕНА)"</w:t>
      </w:r>
    </w:p>
    <w:p w:rsidR="00000000" w:rsidRDefault="00000000">
      <w:pPr>
        <w:tabs>
          <w:tab w:val="clear" w:pos="567"/>
          <w:tab w:val="left" w:pos="561"/>
        </w:tabs>
      </w:pPr>
    </w:p>
    <w:p w:rsidR="00000000" w:rsidRDefault="00000000">
      <w:pPr>
        <w:pStyle w:val="Heading1"/>
        <w:tabs>
          <w:tab w:val="clear" w:pos="567"/>
          <w:tab w:val="left" w:pos="561"/>
        </w:tabs>
        <w:rPr>
          <w:bCs/>
        </w:rPr>
      </w:pPr>
      <w:r>
        <w:rPr>
          <w:bCs/>
        </w:rPr>
        <w:t>"Статья 390 В</w:t>
      </w:r>
    </w:p>
    <w:p w:rsidR="00000000" w:rsidRDefault="00000000">
      <w:pPr>
        <w:tabs>
          <w:tab w:val="clear" w:pos="567"/>
          <w:tab w:val="left" w:pos="561"/>
        </w:tabs>
      </w:pPr>
    </w:p>
    <w:p w:rsidR="00000000" w:rsidRDefault="00000000">
      <w:pPr>
        <w:tabs>
          <w:tab w:val="clear" w:pos="567"/>
          <w:tab w:val="left" w:pos="561"/>
        </w:tabs>
      </w:pPr>
      <w:r>
        <w:tab/>
        <w:t>Наемным работникам обоего пола должен обеспечиваться доступ к курсам профессионально-технической подготовки, организуемым государственными учреждениями, самими работодателями или какими-либо профессионально-техническими учебными заведениями".</w:t>
      </w:r>
    </w:p>
    <w:p w:rsidR="00000000" w:rsidRDefault="00000000">
      <w:pPr>
        <w:tabs>
          <w:tab w:val="clear" w:pos="567"/>
          <w:tab w:val="left" w:pos="561"/>
        </w:tabs>
      </w:pPr>
    </w:p>
    <w:p w:rsidR="00000000" w:rsidRDefault="00000000">
      <w:pPr>
        <w:pStyle w:val="Heading1"/>
        <w:tabs>
          <w:tab w:val="clear" w:pos="567"/>
          <w:tab w:val="left" w:pos="561"/>
        </w:tabs>
        <w:rPr>
          <w:bCs/>
        </w:rPr>
      </w:pPr>
      <w:r>
        <w:rPr>
          <w:bCs/>
        </w:rPr>
        <w:t>"Статья 390 С</w:t>
      </w:r>
    </w:p>
    <w:p w:rsidR="00000000" w:rsidRDefault="00000000">
      <w:pPr>
        <w:tabs>
          <w:tab w:val="clear" w:pos="567"/>
          <w:tab w:val="left" w:pos="561"/>
        </w:tabs>
      </w:pPr>
    </w:p>
    <w:p w:rsidR="00000000" w:rsidRDefault="00000000">
      <w:pPr>
        <w:tabs>
          <w:tab w:val="clear" w:pos="567"/>
          <w:tab w:val="left" w:pos="561"/>
        </w:tabs>
      </w:pPr>
      <w:r>
        <w:tab/>
        <w:t>Компании, насчитывающие более ста наемных работников обоего пола, должны предусматривать специальные стимулы, способствующие повышению квалификации и применять продвинутые программы профессионально-технического обучения".</w:t>
      </w:r>
    </w:p>
    <w:p w:rsidR="00000000" w:rsidRDefault="00000000">
      <w:pPr>
        <w:pStyle w:val="FootnoteText"/>
        <w:tabs>
          <w:tab w:val="clear" w:pos="567"/>
          <w:tab w:val="left" w:pos="561"/>
        </w:tabs>
        <w:spacing w:line="288" w:lineRule="auto"/>
      </w:pPr>
    </w:p>
    <w:p w:rsidR="00000000" w:rsidRDefault="00000000">
      <w:pPr>
        <w:tabs>
          <w:tab w:val="clear" w:pos="567"/>
          <w:tab w:val="left" w:pos="561"/>
        </w:tabs>
      </w:pPr>
      <w:r>
        <w:rPr>
          <w:b/>
          <w:bCs/>
        </w:rPr>
        <w:t xml:space="preserve">"Статья 390 </w:t>
      </w:r>
      <w:r>
        <w:rPr>
          <w:b/>
          <w:bCs/>
          <w:lang w:val="en-US"/>
        </w:rPr>
        <w:t>D</w:t>
      </w:r>
      <w:r>
        <w:rPr>
          <w:b/>
          <w:bCs/>
        </w:rPr>
        <w:t>"</w:t>
      </w:r>
      <w:r>
        <w:t xml:space="preserve"> (ОТКЛОНЕНА)"</w:t>
      </w:r>
    </w:p>
    <w:p w:rsidR="00000000" w:rsidRDefault="00000000">
      <w:pPr>
        <w:tabs>
          <w:tab w:val="clear" w:pos="567"/>
          <w:tab w:val="left" w:pos="561"/>
        </w:tabs>
      </w:pPr>
    </w:p>
    <w:p w:rsidR="00000000" w:rsidRDefault="00000000">
      <w:pPr>
        <w:pStyle w:val="Heading1"/>
        <w:tabs>
          <w:tab w:val="clear" w:pos="567"/>
          <w:tab w:val="left" w:pos="561"/>
        </w:tabs>
        <w:rPr>
          <w:bCs/>
        </w:rPr>
      </w:pPr>
      <w:r>
        <w:rPr>
          <w:bCs/>
        </w:rPr>
        <w:t>"Статья 390 Е</w:t>
      </w:r>
    </w:p>
    <w:p w:rsidR="00000000" w:rsidRDefault="00000000">
      <w:pPr>
        <w:tabs>
          <w:tab w:val="clear" w:pos="567"/>
          <w:tab w:val="left" w:pos="561"/>
        </w:tabs>
      </w:pPr>
    </w:p>
    <w:p w:rsidR="00000000" w:rsidRDefault="00000000">
      <w:pPr>
        <w:tabs>
          <w:tab w:val="clear" w:pos="567"/>
          <w:tab w:val="left" w:pos="561"/>
        </w:tabs>
      </w:pPr>
      <w:r>
        <w:tab/>
        <w:t>Компании могут сотрудничать с профессионально-техническими учебными заведениями, общественными организациями, кооперативными объединениями, государственными учреждениями и структурами или профсоюзными ассоциациями и могут также заключать соглашения для целей проведения совместной деятельности в интересах осуществления проектов, направленных на расширение участия женщин в трудовой деятельности".</w:t>
      </w:r>
    </w:p>
    <w:p w:rsidR="00000000" w:rsidRDefault="00000000">
      <w:pPr>
        <w:tabs>
          <w:tab w:val="clear" w:pos="567"/>
          <w:tab w:val="left" w:pos="561"/>
        </w:tabs>
      </w:pPr>
    </w:p>
    <w:p w:rsidR="00000000" w:rsidRDefault="00000000">
      <w:pPr>
        <w:tabs>
          <w:tab w:val="clear" w:pos="567"/>
          <w:tab w:val="left" w:pos="561"/>
        </w:tabs>
      </w:pPr>
      <w:r>
        <w:rPr>
          <w:b/>
          <w:bCs/>
        </w:rPr>
        <w:t>"Статья 392</w:t>
      </w:r>
      <w:r>
        <w:t xml:space="preserve"> </w:t>
      </w:r>
    </w:p>
    <w:p w:rsidR="00000000" w:rsidRDefault="00000000">
      <w:pPr>
        <w:tabs>
          <w:tab w:val="clear" w:pos="567"/>
          <w:tab w:val="left" w:pos="561"/>
        </w:tabs>
      </w:pPr>
    </w:p>
    <w:p w:rsidR="00000000" w:rsidRDefault="00000000">
      <w:pPr>
        <w:tabs>
          <w:tab w:val="clear" w:pos="567"/>
          <w:tab w:val="left" w:pos="561"/>
        </w:tabs>
      </w:pPr>
      <w:r>
        <w:tab/>
        <w:t>§ 4.</w:t>
      </w:r>
      <w:r>
        <w:tab/>
        <w:t>Наемным работницам гарантируются следующие права на период беременности без ущерба для их заработной платы и других прав:</w:t>
      </w:r>
    </w:p>
    <w:p w:rsidR="00000000" w:rsidRDefault="00000000">
      <w:pPr>
        <w:pStyle w:val="FootnoteText"/>
        <w:tabs>
          <w:tab w:val="clear" w:pos="567"/>
          <w:tab w:val="left" w:pos="561"/>
        </w:tabs>
        <w:spacing w:line="288" w:lineRule="auto"/>
      </w:pPr>
    </w:p>
    <w:p w:rsidR="00000000" w:rsidRDefault="00000000">
      <w:pPr>
        <w:tabs>
          <w:tab w:val="clear" w:pos="567"/>
          <w:tab w:val="right" w:pos="561"/>
        </w:tabs>
        <w:ind w:left="1134" w:hanging="1134"/>
      </w:pPr>
      <w:r>
        <w:tab/>
      </w:r>
      <w:r>
        <w:rPr>
          <w:lang w:val="en-US"/>
        </w:rPr>
        <w:t>I</w:t>
      </w:r>
      <w:r>
        <w:t>.</w:t>
      </w:r>
      <w:r>
        <w:tab/>
        <w:t>перевод беременной женщины на более легкую работу, если этого требует состояние ее здоровья, при этом женщине гарантируется право на возвращение на прежнее место работы по завершении периода беременности;</w:t>
      </w:r>
    </w:p>
    <w:p w:rsidR="00000000" w:rsidRDefault="00000000">
      <w:pPr>
        <w:tabs>
          <w:tab w:val="clear" w:pos="567"/>
          <w:tab w:val="right" w:pos="561"/>
        </w:tabs>
      </w:pPr>
    </w:p>
    <w:p w:rsidR="00000000" w:rsidRDefault="00000000">
      <w:pPr>
        <w:tabs>
          <w:tab w:val="clear" w:pos="567"/>
          <w:tab w:val="right" w:pos="561"/>
        </w:tabs>
        <w:ind w:left="1134" w:hanging="1134"/>
      </w:pPr>
      <w:r>
        <w:tab/>
      </w:r>
      <w:r>
        <w:rPr>
          <w:lang w:val="en-US"/>
        </w:rPr>
        <w:t>II</w:t>
      </w:r>
      <w:r>
        <w:t>.</w:t>
      </w:r>
      <w:r>
        <w:tab/>
        <w:t>право на освобождение от работы для целей посещения врачей не менее шести раз и право на дополнительные медицинские освидетельствования".</w:t>
      </w:r>
    </w:p>
    <w:p w:rsidR="00000000" w:rsidRDefault="00000000">
      <w:pPr>
        <w:tabs>
          <w:tab w:val="clear" w:pos="567"/>
          <w:tab w:val="right" w:pos="561"/>
        </w:tabs>
      </w:pPr>
    </w:p>
    <w:p w:rsidR="00000000" w:rsidRDefault="00000000">
      <w:pPr>
        <w:tabs>
          <w:tab w:val="clear" w:pos="567"/>
          <w:tab w:val="right" w:pos="561"/>
        </w:tabs>
      </w:pPr>
      <w:r>
        <w:rPr>
          <w:b/>
          <w:bCs/>
        </w:rPr>
        <w:t>"Статья 401 А</w:t>
      </w:r>
      <w:r>
        <w:t xml:space="preserve"> (ОТКЛОНЕНА)"</w:t>
      </w:r>
    </w:p>
    <w:p w:rsidR="00000000" w:rsidRDefault="00000000">
      <w:pPr>
        <w:tabs>
          <w:tab w:val="clear" w:pos="567"/>
          <w:tab w:val="right" w:pos="561"/>
        </w:tabs>
      </w:pPr>
    </w:p>
    <w:p w:rsidR="00000000" w:rsidRDefault="00000000">
      <w:pPr>
        <w:tabs>
          <w:tab w:val="clear" w:pos="567"/>
          <w:tab w:val="right" w:pos="561"/>
        </w:tabs>
      </w:pPr>
      <w:r>
        <w:rPr>
          <w:b/>
          <w:bCs/>
        </w:rPr>
        <w:t>"Статья 401 В</w:t>
      </w:r>
      <w:r>
        <w:t xml:space="preserve"> (ОТКЛОНЕНА)"</w:t>
      </w:r>
    </w:p>
    <w:p w:rsidR="00000000" w:rsidRDefault="00000000">
      <w:pPr>
        <w:tabs>
          <w:tab w:val="clear" w:pos="567"/>
          <w:tab w:val="right" w:pos="561"/>
        </w:tabs>
      </w:pPr>
    </w:p>
    <w:p w:rsidR="00000000" w:rsidRDefault="00000000">
      <w:pPr>
        <w:tabs>
          <w:tab w:val="clear" w:pos="567"/>
          <w:tab w:val="left" w:pos="561"/>
        </w:tabs>
      </w:pPr>
      <w:r>
        <w:tab/>
        <w:t>В соответствии с пунктом 1 статьи 66 Федеральной конституции исполнительная власть применила частичное вето в отношении законопроекта, представленного ей в послании 673 от 26 мая 1999 года, руководствуясь следующими соображениями:</w:t>
      </w:r>
    </w:p>
    <w:p w:rsidR="00000000" w:rsidRDefault="00000000">
      <w:pPr>
        <w:tabs>
          <w:tab w:val="clear" w:pos="567"/>
          <w:tab w:val="left" w:pos="561"/>
        </w:tabs>
      </w:pPr>
    </w:p>
    <w:p w:rsidR="00000000" w:rsidRDefault="00000000">
      <w:pPr>
        <w:tabs>
          <w:tab w:val="clear" w:pos="567"/>
          <w:tab w:val="left" w:pos="561"/>
        </w:tabs>
      </w:pPr>
      <w:r>
        <w:tab/>
        <w:t xml:space="preserve">Заслушав мнение министерства юстиции, исполнительная власть сочла необходимым отклонить статьи 390 А, 390 </w:t>
      </w:r>
      <w:r>
        <w:rPr>
          <w:lang w:val="en-US"/>
        </w:rPr>
        <w:t>D</w:t>
      </w:r>
      <w:r>
        <w:t xml:space="preserve">, 401 </w:t>
      </w:r>
      <w:r>
        <w:rPr>
          <w:lang w:val="en-US"/>
        </w:rPr>
        <w:t>A</w:t>
      </w:r>
      <w:r>
        <w:t xml:space="preserve"> и 401 В указанного законопроекта:</w:t>
      </w:r>
    </w:p>
    <w:p w:rsidR="00000000" w:rsidRDefault="00000000">
      <w:pPr>
        <w:tabs>
          <w:tab w:val="clear" w:pos="567"/>
          <w:tab w:val="left" w:pos="561"/>
        </w:tabs>
      </w:pPr>
    </w:p>
    <w:p w:rsidR="00000000" w:rsidRDefault="00000000">
      <w:pPr>
        <w:pStyle w:val="Heading1"/>
        <w:rPr>
          <w:bCs/>
        </w:rPr>
      </w:pPr>
      <w:r>
        <w:rPr>
          <w:bCs/>
        </w:rPr>
        <w:t>"Статья 390 А</w:t>
      </w:r>
    </w:p>
    <w:p w:rsidR="00000000" w:rsidRDefault="00000000"/>
    <w:p w:rsidR="00000000" w:rsidRDefault="00000000">
      <w:r>
        <w:tab/>
        <w:t>Увольнение наемного работника не имеет силы, если оно является следствием иска, возбужденного с нарушением принципов профессионального равноправия и принципа равных возможностей мужчин и женщин".</w:t>
      </w:r>
    </w:p>
    <w:p w:rsidR="00000000" w:rsidRDefault="00000000"/>
    <w:p w:rsidR="00000000" w:rsidRDefault="00000000">
      <w:r>
        <w:tab/>
        <w:t xml:space="preserve">Комментарии по поводу отклонения данной статьи:  увольнение наемного работника считается не имеющим силу, если тот же работник возбуждает иск по факту предполагаемой дискриминации.  Отмена распоряжения об увольнении влечет за собой возникновение ситуации, характерной чертой которой является гарантированное сохранения рабочего места, что противоречит пункту  I статьи 7 Федеральной конституции, который не предусматривает гарантированного сохранения рабочего места в качестве общего права.  Кроме того, как уже отмечалось выше, такая норма поощряла бы возбуждение исков в превентивном порядке с целью гарантированного сохранения рабочего места.  Все это повлекло бы за собой возникновение ситуаций, препятствующих достижению первоначально поставленных целей, что в свою очередь привело бы к ужесточению ограничений в трудоустройстве женщин вместо содействия защите их прав.  В силу того, что указанное положение не предусматривает точных сроков гарантированного сохранения рабочего места и предполагает проведение разграничений по признаку пола, оно представляется не соответствующим Конституции и соответственно отклоняется. </w:t>
      </w:r>
    </w:p>
    <w:p w:rsidR="00000000" w:rsidRDefault="00000000"/>
    <w:p w:rsidR="00000000" w:rsidRDefault="00000000">
      <w:pPr>
        <w:rPr>
          <w:b/>
          <w:bCs/>
        </w:rPr>
      </w:pPr>
      <w:r>
        <w:rPr>
          <w:b/>
          <w:bCs/>
        </w:rPr>
        <w:t>"Статья 390 D</w:t>
      </w:r>
    </w:p>
    <w:p w:rsidR="00000000" w:rsidRDefault="00000000">
      <w:pPr>
        <w:rPr>
          <w:b/>
          <w:bCs/>
        </w:rPr>
      </w:pPr>
    </w:p>
    <w:p w:rsidR="00000000" w:rsidRDefault="00000000">
      <w:r>
        <w:rPr>
          <w:b/>
          <w:bCs/>
        </w:rPr>
        <w:tab/>
      </w:r>
      <w:r>
        <w:t>В тех случаях, когда производственные отношения прерываются по причине дискриминационного акта, наемному работнику предоставляются следующие две возможности:</w:t>
      </w:r>
    </w:p>
    <w:p w:rsidR="00000000" w:rsidRDefault="00000000">
      <w:pPr>
        <w:pStyle w:val="FootnoteText"/>
        <w:spacing w:line="288" w:lineRule="auto"/>
        <w:ind w:left="2268" w:hanging="2268"/>
      </w:pPr>
    </w:p>
    <w:p w:rsidR="00000000" w:rsidRDefault="00000000">
      <w:pPr>
        <w:tabs>
          <w:tab w:val="clear" w:pos="567"/>
          <w:tab w:val="right" w:pos="561"/>
        </w:tabs>
        <w:ind w:left="1134" w:hanging="1134"/>
      </w:pPr>
      <w:r>
        <w:tab/>
        <w:t>I.</w:t>
      </w:r>
      <w:r>
        <w:tab/>
        <w:t>Восстановление на работе с полной компенсаций за весь период отсутствия путем выплаты причитающегося денежного вознаграждения наряду с предусмотренными законом надбавками и дополнительными процентами.</w:t>
      </w:r>
    </w:p>
    <w:p w:rsidR="00000000" w:rsidRDefault="00000000">
      <w:pPr>
        <w:tabs>
          <w:tab w:val="clear" w:pos="567"/>
          <w:tab w:val="right" w:pos="561"/>
        </w:tabs>
      </w:pPr>
    </w:p>
    <w:p w:rsidR="00000000" w:rsidRDefault="00000000">
      <w:pPr>
        <w:tabs>
          <w:tab w:val="clear" w:pos="567"/>
          <w:tab w:val="right" w:pos="561"/>
        </w:tabs>
        <w:ind w:left="1134" w:hanging="1134"/>
      </w:pPr>
      <w:r>
        <w:tab/>
        <w:t>II.</w:t>
      </w:r>
      <w:r>
        <w:tab/>
        <w:t>Получение двойной заработной платы за период отсутствия на рабочем месте наряду с предусмотренными законом денежными надбавками и дополнительными процентами".</w:t>
      </w:r>
    </w:p>
    <w:p w:rsidR="00000000" w:rsidRDefault="00000000"/>
    <w:p w:rsidR="00000000" w:rsidRDefault="00000000">
      <w:r>
        <w:tab/>
        <w:t>В обоснование своего вето исполнительная власть ссылалась на положения применимого в данном случае законодательства.  Применяемые нормы являются повторением статьи 4 действующего Закона 9029/95 (см. памятную записку, прилагаемую к Конвенции № 111 - 1995 год).  Такая ситуация противоречит положениям статьи 7, IV, Дополнительного закона 95/98, которым запрещается регулирование одного и того же вопроса несколькими законами.  Поскольку настоящий законопроект не заменяет собой Закон 9029/95 и не отменяет его в четких или недвусмысленных терминах, то соответствующее положение следует отклонить как противоречащее общественным интересам, т.к. оно поощряет процесс принятия идентичных по своему характеру юридических норм.</w:t>
      </w:r>
    </w:p>
    <w:p w:rsidR="00000000" w:rsidRDefault="00000000"/>
    <w:p w:rsidR="00000000" w:rsidRDefault="00000000">
      <w:pPr>
        <w:rPr>
          <w:b/>
          <w:bCs/>
        </w:rPr>
      </w:pPr>
      <w:r>
        <w:rPr>
          <w:b/>
          <w:bCs/>
        </w:rPr>
        <w:t>"Статья 401 А</w:t>
      </w:r>
    </w:p>
    <w:p w:rsidR="00000000" w:rsidRDefault="00000000">
      <w:pPr>
        <w:rPr>
          <w:b/>
          <w:bCs/>
        </w:rPr>
      </w:pPr>
    </w:p>
    <w:p w:rsidR="00000000" w:rsidRDefault="00000000">
      <w:r>
        <w:rPr>
          <w:b/>
          <w:bCs/>
        </w:rPr>
        <w:tab/>
      </w:r>
      <w:r>
        <w:t>Преступным деянием считаются следующие виды дискриминационной практики:</w:t>
      </w:r>
    </w:p>
    <w:p w:rsidR="00000000" w:rsidRDefault="00000000">
      <w:pPr>
        <w:pStyle w:val="FootnoteText"/>
        <w:spacing w:line="288" w:lineRule="auto"/>
      </w:pPr>
    </w:p>
    <w:p w:rsidR="00000000" w:rsidRDefault="00000000">
      <w:pPr>
        <w:tabs>
          <w:tab w:val="clear" w:pos="567"/>
          <w:tab w:val="right" w:pos="561"/>
        </w:tabs>
        <w:ind w:left="1134" w:hanging="1134"/>
      </w:pPr>
      <w:r>
        <w:tab/>
        <w:t>I.</w:t>
      </w:r>
      <w:r>
        <w:tab/>
        <w:t>Применение требования в форме теста, экзамена, экспертного заключения, постановления, справки, заявления или любой другой процедуры в отношении стерилизации или беременности;</w:t>
      </w:r>
    </w:p>
    <w:p w:rsidR="00000000" w:rsidRDefault="00000000">
      <w:pPr>
        <w:tabs>
          <w:tab w:val="clear" w:pos="567"/>
          <w:tab w:val="right" w:pos="561"/>
        </w:tabs>
      </w:pPr>
    </w:p>
    <w:p w:rsidR="00000000" w:rsidRDefault="00000000">
      <w:pPr>
        <w:tabs>
          <w:tab w:val="clear" w:pos="567"/>
          <w:tab w:val="right" w:pos="561"/>
        </w:tabs>
      </w:pPr>
      <w:r>
        <w:tab/>
        <w:t>II.</w:t>
      </w:r>
      <w:r>
        <w:tab/>
        <w:t>осуществление работодателем любых мер, которые представляют собой:</w:t>
      </w:r>
    </w:p>
    <w:p w:rsidR="00000000" w:rsidRDefault="00000000">
      <w:pPr>
        <w:tabs>
          <w:tab w:val="clear" w:pos="567"/>
          <w:tab w:val="right" w:pos="561"/>
        </w:tabs>
      </w:pPr>
    </w:p>
    <w:p w:rsidR="00000000" w:rsidRDefault="00000000">
      <w:pPr>
        <w:tabs>
          <w:tab w:val="clear" w:pos="567"/>
          <w:tab w:val="right" w:pos="561"/>
        </w:tabs>
      </w:pPr>
      <w:r>
        <w:tab/>
      </w:r>
      <w:r>
        <w:tab/>
      </w:r>
      <w:r>
        <w:tab/>
        <w:t>a)</w:t>
      </w:r>
      <w:r>
        <w:tab/>
        <w:t>поощрение или стимулирование генетической стерилизации;</w:t>
      </w:r>
    </w:p>
    <w:p w:rsidR="00000000" w:rsidRDefault="00000000">
      <w:pPr>
        <w:tabs>
          <w:tab w:val="clear" w:pos="567"/>
          <w:tab w:val="right" w:pos="561"/>
        </w:tabs>
      </w:pPr>
    </w:p>
    <w:p w:rsidR="00000000" w:rsidRDefault="00000000">
      <w:pPr>
        <w:tabs>
          <w:tab w:val="clear" w:pos="567"/>
          <w:tab w:val="right" w:pos="561"/>
        </w:tabs>
        <w:ind w:left="1134" w:hanging="1134"/>
      </w:pPr>
      <w:r>
        <w:tab/>
      </w:r>
      <w:r>
        <w:tab/>
      </w:r>
      <w:r>
        <w:tab/>
        <w:t>b)</w:t>
      </w:r>
      <w:r>
        <w:tab/>
        <w:t>поощрение мер по контролю за рождаемостью без ущерба для консультирования в сфере обслуживания по вопросам семейного планирования в рамках государственных или частных учреждений в соответствии со стандартами общенациональной системы здравоохранения - ОСЗ.</w:t>
      </w:r>
    </w:p>
    <w:p w:rsidR="00000000" w:rsidRDefault="00000000"/>
    <w:p w:rsidR="00000000" w:rsidRDefault="00000000">
      <w:r>
        <w:tab/>
        <w:t>Нарушение указанных норм карается лишением свободы на срок от 1 до 2 лет и штрафом.</w:t>
      </w:r>
    </w:p>
    <w:p w:rsidR="00000000" w:rsidRDefault="00000000"/>
    <w:p w:rsidR="00000000" w:rsidRDefault="00000000">
      <w:pPr>
        <w:pStyle w:val="Heading1"/>
        <w:rPr>
          <w:b w:val="0"/>
        </w:rPr>
      </w:pPr>
      <w:r>
        <w:rPr>
          <w:b w:val="0"/>
        </w:rPr>
        <w:tab/>
        <w:t>Отдельный параграф.  В случае совершения преступления, предусмотренного в настоящей статье, ответственность несут нижеперечисленные лица:</w:t>
      </w:r>
    </w:p>
    <w:p w:rsidR="00000000" w:rsidRDefault="00000000">
      <w:pPr>
        <w:pStyle w:val="Heading1"/>
        <w:rPr>
          <w:bCs/>
        </w:rPr>
      </w:pPr>
    </w:p>
    <w:p w:rsidR="00000000" w:rsidRDefault="00000000">
      <w:pPr>
        <w:pStyle w:val="FootnoteText"/>
        <w:spacing w:line="288" w:lineRule="auto"/>
        <w:ind w:left="2268" w:hanging="2268"/>
      </w:pPr>
      <w:r>
        <w:tab/>
        <w:t>I.</w:t>
      </w:r>
      <w:r>
        <w:tab/>
        <w:t>частное лицо, являющееся работодателем;</w:t>
      </w:r>
    </w:p>
    <w:p w:rsidR="00000000" w:rsidRDefault="00000000">
      <w:pPr>
        <w:pStyle w:val="FootnoteText"/>
        <w:spacing w:line="288" w:lineRule="auto"/>
        <w:ind w:left="2268" w:hanging="2268"/>
      </w:pPr>
    </w:p>
    <w:p w:rsidR="00000000" w:rsidRDefault="00000000">
      <w:pPr>
        <w:pStyle w:val="FootnoteText"/>
        <w:spacing w:line="288" w:lineRule="auto"/>
        <w:ind w:left="1134" w:hanging="1134"/>
      </w:pPr>
      <w:r>
        <w:tab/>
        <w:t>II.</w:t>
      </w:r>
      <w:r>
        <w:tab/>
        <w:t>юридический представитель работодателя в соответствии с трудовым законодательством;</w:t>
      </w:r>
    </w:p>
    <w:p w:rsidR="00000000" w:rsidRDefault="00000000">
      <w:pPr>
        <w:pStyle w:val="FootnoteText"/>
        <w:spacing w:line="288" w:lineRule="auto"/>
        <w:ind w:left="2268" w:hanging="2268"/>
      </w:pPr>
    </w:p>
    <w:p w:rsidR="00000000" w:rsidRDefault="00000000">
      <w:pPr>
        <w:pStyle w:val="FootnoteText"/>
        <w:spacing w:line="288" w:lineRule="auto"/>
        <w:ind w:left="1134" w:hanging="1134"/>
      </w:pPr>
      <w:r>
        <w:tab/>
        <w:t>III.</w:t>
      </w:r>
      <w:r>
        <w:tab/>
        <w:t>директор, уполномоченный или назначенный руководить государственным органом или учреждением, находящимся в прямом или косвенном ведении государственной административной службы и/или какой-либо областной структуры в составе федеральной системы управления на уровне штатов, в федеральном округе и на уровне муниципий".</w:t>
      </w:r>
    </w:p>
    <w:p w:rsidR="00000000" w:rsidRDefault="00000000"/>
    <w:p w:rsidR="00000000" w:rsidRDefault="00000000">
      <w:r>
        <w:tab/>
        <w:t>Исполнительная власть отклонила эту статью по указанной выше причине, поскольку полагала, что данный вопрос уже регулируется статьей 2 Закона 9029/95.  Кроме того, исполнительная власть посчитала, что такая статья поощряла бы включение в ОСЗ положений уголовного характера, что противоречит пунктам II и IV статьи 7 Дополнительного закона 95/98, который запрещает регулировать одним и тем же законом различные вопросы и, в частности, включать нормы уголовного характера в трудовое законодательство.  В этой связи следует отметить, что преступные деяния в сфере организации труда или производства в контексте трудового законодательства охватываются не ОТЗ, а Уголовным кодексом.  В силу этого вышеуказанные статьи следует отклонить, как противоречащие общественным интересам.</w:t>
      </w:r>
    </w:p>
    <w:p w:rsidR="00000000" w:rsidRDefault="00000000"/>
    <w:p w:rsidR="00000000" w:rsidRDefault="00000000">
      <w:pPr>
        <w:rPr>
          <w:b/>
          <w:bCs/>
        </w:rPr>
      </w:pPr>
      <w:r>
        <w:t>"</w:t>
      </w:r>
      <w:r>
        <w:rPr>
          <w:b/>
          <w:bCs/>
        </w:rPr>
        <w:t>Статья 401 В</w:t>
      </w:r>
    </w:p>
    <w:p w:rsidR="00000000" w:rsidRDefault="00000000"/>
    <w:p w:rsidR="00000000" w:rsidRDefault="00000000">
      <w:r>
        <w:tab/>
        <w:t>Без ущерба для положений предыдущей статьи лица, нарушающие статьи 373А, 390А, 390В, 390С, 390D, 392, § 4 Основ трудового законодательства, подлежат следующим санкциям:</w:t>
      </w:r>
    </w:p>
    <w:p w:rsidR="00000000" w:rsidRDefault="00000000">
      <w:pPr>
        <w:pStyle w:val="FootnoteText"/>
        <w:tabs>
          <w:tab w:val="clear" w:pos="567"/>
          <w:tab w:val="right" w:pos="561"/>
        </w:tabs>
        <w:spacing w:line="288" w:lineRule="auto"/>
      </w:pPr>
    </w:p>
    <w:p w:rsidR="00000000" w:rsidRDefault="00000000">
      <w:pPr>
        <w:pStyle w:val="BodyTextIndent2"/>
      </w:pPr>
      <w:r>
        <w:tab/>
        <w:t>I.</w:t>
      </w:r>
      <w:r>
        <w:tab/>
        <w:t>административному штрафу в размере 10-кратной максимальной заработной платы;  в случае повторного нарушения штраф увеличивается на 50%;</w:t>
      </w:r>
    </w:p>
    <w:p w:rsidR="00000000" w:rsidRDefault="00000000">
      <w:pPr>
        <w:tabs>
          <w:tab w:val="clear" w:pos="567"/>
          <w:tab w:val="right" w:pos="561"/>
        </w:tabs>
      </w:pPr>
    </w:p>
    <w:p w:rsidR="00000000" w:rsidRDefault="00000000">
      <w:pPr>
        <w:tabs>
          <w:tab w:val="clear" w:pos="567"/>
          <w:tab w:val="right" w:pos="561"/>
        </w:tabs>
        <w:ind w:left="1134" w:hanging="1134"/>
      </w:pPr>
      <w:r>
        <w:tab/>
        <w:t>II.</w:t>
      </w:r>
      <w:r>
        <w:tab/>
        <w:t>запрету на кредиты и рефинансирование со стороны официальных финансовых учреждений".</w:t>
      </w:r>
    </w:p>
    <w:p w:rsidR="00000000" w:rsidRDefault="00000000"/>
    <w:p w:rsidR="00000000" w:rsidRDefault="00000000">
      <w:r>
        <w:tab/>
        <w:t>Комментарии по поводу причин отклонения вышеуказанной статьи:  по мнению исполнительной власти данный вопрос уже регулируется статьей 3 Закона 9029/95, вследствие чего данную норму следует отклонить как противоречащую общественным интересам с учетом вышеизложенных соображений.</w:t>
      </w:r>
    </w:p>
    <w:p w:rsidR="00000000" w:rsidRDefault="00000000"/>
    <w:p w:rsidR="00000000" w:rsidRDefault="00000000">
      <w:r>
        <w:rPr>
          <w:b/>
          <w:bCs/>
          <w:vertAlign w:val="superscript"/>
        </w:rPr>
        <w:t>5</w:t>
      </w:r>
      <w:r>
        <w:rPr>
          <w:b/>
          <w:bCs/>
        </w:rPr>
        <w:tab/>
      </w:r>
      <w:r>
        <w:t>Временное постановление представляет собой предусмотренный в Федеральной конституции 1988 года юридический механизм, который имеет силу закона.  Хотя Президент Республики вправе издавать такие постановления, он обязан незамедлительно препровождать их в Национальной конгресс для целей придания им статуса закона в 30</w:t>
      </w:r>
      <w:r>
        <w:noBreakHyphen/>
        <w:t>дневный срок.  Если временное постановление не обретает статус закона, оно может переиздаваться на ежемесячной основе.</w:t>
      </w:r>
    </w:p>
    <w:p w:rsidR="00000000" w:rsidRDefault="00000000"/>
    <w:p w:rsidR="00000000" w:rsidRDefault="00000000">
      <w:r>
        <w:rPr>
          <w:b/>
          <w:bCs/>
          <w:vertAlign w:val="superscript"/>
        </w:rPr>
        <w:t>6</w:t>
      </w:r>
      <w:r>
        <w:tab/>
        <w:t xml:space="preserve">Пункты </w:t>
      </w:r>
      <w:r>
        <w:rPr>
          <w:lang w:val="en-US"/>
        </w:rPr>
        <w:t>XVII</w:t>
      </w:r>
      <w:r>
        <w:t>-</w:t>
      </w:r>
      <w:r>
        <w:rPr>
          <w:lang w:val="en-US"/>
        </w:rPr>
        <w:t>XX</w:t>
      </w:r>
      <w:r>
        <w:t xml:space="preserve"> статьи 5:</w:t>
      </w:r>
    </w:p>
    <w:p w:rsidR="00000000" w:rsidRDefault="00000000">
      <w:pPr>
        <w:tabs>
          <w:tab w:val="clear" w:pos="567"/>
          <w:tab w:val="clear" w:pos="1134"/>
          <w:tab w:val="clear" w:pos="1701"/>
          <w:tab w:val="right" w:pos="935"/>
          <w:tab w:val="left" w:pos="1496"/>
          <w:tab w:val="left" w:pos="2057"/>
        </w:tabs>
      </w:pPr>
    </w:p>
    <w:p w:rsidR="00000000" w:rsidRDefault="00000000">
      <w:pPr>
        <w:tabs>
          <w:tab w:val="clear" w:pos="567"/>
          <w:tab w:val="clear" w:pos="1134"/>
          <w:tab w:val="clear" w:pos="1701"/>
          <w:tab w:val="right" w:pos="935"/>
          <w:tab w:val="left" w:pos="1496"/>
          <w:tab w:val="left" w:pos="2057"/>
        </w:tabs>
        <w:ind w:left="1496" w:hanging="1496"/>
      </w:pPr>
      <w:r>
        <w:tab/>
        <w:t>"</w:t>
      </w:r>
      <w:r>
        <w:rPr>
          <w:lang w:val="en-US"/>
        </w:rPr>
        <w:t>XVII</w:t>
      </w:r>
      <w:r>
        <w:t>.</w:t>
      </w:r>
      <w:r>
        <w:tab/>
        <w:t>гарантируется полная свобода ассоциации в законных целях;  запрещаются объединения военизированного характера;</w:t>
      </w:r>
    </w:p>
    <w:p w:rsidR="00000000" w:rsidRDefault="00000000">
      <w:pPr>
        <w:tabs>
          <w:tab w:val="clear" w:pos="567"/>
          <w:tab w:val="clear" w:pos="1134"/>
          <w:tab w:val="clear" w:pos="1701"/>
          <w:tab w:val="right" w:pos="935"/>
          <w:tab w:val="left" w:pos="1496"/>
          <w:tab w:val="left" w:pos="2057"/>
        </w:tabs>
      </w:pPr>
    </w:p>
    <w:p w:rsidR="00000000" w:rsidRDefault="00000000">
      <w:pPr>
        <w:tabs>
          <w:tab w:val="clear" w:pos="567"/>
          <w:tab w:val="clear" w:pos="1134"/>
          <w:tab w:val="clear" w:pos="1701"/>
          <w:tab w:val="right" w:pos="935"/>
          <w:tab w:val="left" w:pos="1496"/>
          <w:tab w:val="left" w:pos="2057"/>
        </w:tabs>
        <w:ind w:left="1496" w:hanging="1496"/>
      </w:pPr>
      <w:r>
        <w:tab/>
      </w:r>
      <w:r>
        <w:rPr>
          <w:lang w:val="en-US"/>
        </w:rPr>
        <w:t>XVIII</w:t>
      </w:r>
      <w:r>
        <w:t>.</w:t>
      </w:r>
      <w:r>
        <w:tab/>
        <w:t>создание ассоциаций и законных объединений не требует предварительного разрешения;  запрещается вмешательство государства в деятельность этих ассоциаций и объединений;</w:t>
      </w:r>
    </w:p>
    <w:p w:rsidR="00000000" w:rsidRDefault="00000000">
      <w:pPr>
        <w:tabs>
          <w:tab w:val="clear" w:pos="567"/>
          <w:tab w:val="clear" w:pos="1134"/>
          <w:tab w:val="clear" w:pos="1701"/>
          <w:tab w:val="right" w:pos="935"/>
          <w:tab w:val="left" w:pos="1496"/>
          <w:tab w:val="left" w:pos="2057"/>
        </w:tabs>
      </w:pPr>
    </w:p>
    <w:p w:rsidR="00000000" w:rsidRDefault="00000000">
      <w:pPr>
        <w:tabs>
          <w:tab w:val="clear" w:pos="567"/>
          <w:tab w:val="clear" w:pos="1134"/>
          <w:tab w:val="clear" w:pos="1701"/>
          <w:tab w:val="right" w:pos="935"/>
          <w:tab w:val="left" w:pos="1496"/>
          <w:tab w:val="left" w:pos="2057"/>
        </w:tabs>
        <w:ind w:left="1496" w:hanging="1496"/>
      </w:pPr>
      <w:r>
        <w:tab/>
      </w:r>
      <w:r>
        <w:rPr>
          <w:lang w:val="en-US"/>
        </w:rPr>
        <w:t>XIX</w:t>
      </w:r>
      <w:r>
        <w:t>.</w:t>
      </w:r>
      <w:r>
        <w:tab/>
        <w:t xml:space="preserve">принудительный роспуск или временная приостановка деятельности ассоциаций допускается только при наличии законного решения, принимаемого в первом случае с соблюдением принципа </w:t>
      </w:r>
      <w:r>
        <w:rPr>
          <w:lang w:val="en-US"/>
        </w:rPr>
        <w:t>in</w:t>
      </w:r>
      <w:r>
        <w:t xml:space="preserve"> </w:t>
      </w:r>
      <w:r>
        <w:rPr>
          <w:lang w:val="en-US"/>
        </w:rPr>
        <w:t>rem</w:t>
      </w:r>
      <w:r>
        <w:t xml:space="preserve"> </w:t>
      </w:r>
      <w:r>
        <w:rPr>
          <w:lang w:val="en-US"/>
        </w:rPr>
        <w:t>judicatam</w:t>
      </w:r>
      <w:r>
        <w:t>;</w:t>
      </w:r>
    </w:p>
    <w:p w:rsidR="00000000" w:rsidRDefault="00000000">
      <w:pPr>
        <w:tabs>
          <w:tab w:val="clear" w:pos="567"/>
          <w:tab w:val="clear" w:pos="1134"/>
          <w:tab w:val="clear" w:pos="1701"/>
          <w:tab w:val="right" w:pos="935"/>
          <w:tab w:val="left" w:pos="1496"/>
          <w:tab w:val="left" w:pos="2057"/>
        </w:tabs>
      </w:pPr>
    </w:p>
    <w:p w:rsidR="00000000" w:rsidRDefault="00000000">
      <w:pPr>
        <w:tabs>
          <w:tab w:val="clear" w:pos="567"/>
          <w:tab w:val="clear" w:pos="1134"/>
          <w:tab w:val="clear" w:pos="1701"/>
          <w:tab w:val="right" w:pos="935"/>
          <w:tab w:val="left" w:pos="1496"/>
          <w:tab w:val="left" w:pos="2057"/>
        </w:tabs>
        <w:ind w:left="1496" w:hanging="1496"/>
      </w:pPr>
      <w:r>
        <w:tab/>
        <w:t>ХХ.</w:t>
      </w:r>
      <w:r>
        <w:tab/>
        <w:t>никто не может принуждаться становиться или оставаться членом ассоциации".</w:t>
      </w:r>
    </w:p>
    <w:p w:rsidR="00000000" w:rsidRDefault="00000000"/>
    <w:p w:rsidR="00000000" w:rsidRDefault="00000000">
      <w:r>
        <w:rPr>
          <w:b/>
          <w:bCs/>
          <w:vertAlign w:val="superscript"/>
        </w:rPr>
        <w:t>7</w:t>
      </w:r>
      <w:r>
        <w:tab/>
        <w:t>"Статья 8.  Профессиональная или профсоюзная ассоциация является свободной при условии соблюдения следующего:</w:t>
      </w:r>
    </w:p>
    <w:p w:rsidR="00000000" w:rsidRDefault="00000000"/>
    <w:p w:rsidR="00000000" w:rsidRDefault="00000000">
      <w:pPr>
        <w:ind w:left="1134" w:hanging="1134"/>
      </w:pPr>
      <w:r>
        <w:tab/>
        <w:t>I.</w:t>
      </w:r>
      <w:r>
        <w:tab/>
        <w:t>закон не требует дачи государством разрешения на создание профсоюза, за исключением случаев, когда требуется его регистрация в компетентном органе;  запрещается вмешательство и вторжение государственных властей в деятельность профсоюзной организации."</w:t>
      </w:r>
    </w:p>
    <w:p w:rsidR="00000000" w:rsidRDefault="00000000"/>
    <w:p w:rsidR="00000000" w:rsidRDefault="00000000">
      <w:r>
        <w:rPr>
          <w:b/>
          <w:bCs/>
          <w:vertAlign w:val="superscript"/>
        </w:rPr>
        <w:t>8</w:t>
      </w:r>
      <w:r>
        <w:tab/>
        <w:t>"Статья 8:</w:t>
      </w:r>
    </w:p>
    <w:p w:rsidR="00000000" w:rsidRDefault="00000000"/>
    <w:p w:rsidR="00000000" w:rsidRDefault="00000000">
      <w:pPr>
        <w:ind w:left="1134" w:hanging="1134"/>
      </w:pPr>
      <w:r>
        <w:tab/>
        <w:t>II.</w:t>
      </w:r>
      <w:r>
        <w:tab/>
        <w:t>запрещается создание заинтересованными работниками или работодателями в пределах одной и той же территориальной единицы более одной профсоюзной организации любого уровня, представляющей какую-либо профессиональную или экономическую категорию трудящихся;  сфера охвата профсоюзной организации не должна превышать размеров соответствующей территориальной единицы;</w:t>
      </w:r>
    </w:p>
    <w:p w:rsidR="00000000" w:rsidRDefault="00000000"/>
    <w:p w:rsidR="00000000" w:rsidRDefault="00000000">
      <w:pPr>
        <w:ind w:left="1134" w:hanging="1134"/>
      </w:pPr>
      <w:r>
        <w:tab/>
      </w:r>
      <w:r>
        <w:rPr>
          <w:lang w:val="en-US"/>
        </w:rPr>
        <w:t>IV</w:t>
      </w:r>
      <w:r>
        <w:t>.</w:t>
      </w:r>
      <w:r>
        <w:tab/>
        <w:t>на общем собрании определяется сумма взноса, которая, применительно к профессиональной категории, вычитается из налога на заработную плату и перечисляется в конфедеративную систему, в состав которой входит соответствующий профсоюз, вне зависимости от взноса, предусмотренного законом."</w:t>
      </w:r>
    </w:p>
    <w:p w:rsidR="00000000" w:rsidRDefault="00000000"/>
    <w:p w:rsidR="00000000" w:rsidRDefault="00000000">
      <w:r>
        <w:rPr>
          <w:b/>
          <w:bCs/>
          <w:vertAlign w:val="superscript"/>
        </w:rPr>
        <w:t>9</w:t>
      </w:r>
      <w:r>
        <w:tab/>
        <w:t xml:space="preserve">Вводный пункт к статье 9.  </w:t>
      </w:r>
    </w:p>
    <w:p w:rsidR="00000000" w:rsidRDefault="00000000"/>
    <w:p w:rsidR="00000000" w:rsidRDefault="00000000">
      <w:r>
        <w:tab/>
        <w:t>"Гарантируется право на забастовку;  трудящиеся сами решают вопрос о том, когда им следует применять это право или для защиты каких интересов."</w:t>
      </w:r>
    </w:p>
    <w:p w:rsidR="00000000" w:rsidRDefault="00000000"/>
    <w:p w:rsidR="00000000" w:rsidRDefault="00000000">
      <w:r>
        <w:rPr>
          <w:b/>
          <w:bCs/>
          <w:vertAlign w:val="superscript"/>
        </w:rPr>
        <w:t>10</w:t>
      </w:r>
      <w:r>
        <w:tab/>
        <w:t>Статья 10 Закона 7783 от 28 июня 1989 года:</w:t>
      </w:r>
    </w:p>
    <w:p w:rsidR="00000000" w:rsidRDefault="00000000"/>
    <w:p w:rsidR="00000000" w:rsidRDefault="00000000">
      <w:pPr>
        <w:tabs>
          <w:tab w:val="clear" w:pos="567"/>
          <w:tab w:val="clear" w:pos="1134"/>
          <w:tab w:val="right" w:pos="561"/>
          <w:tab w:val="left" w:pos="1122"/>
        </w:tabs>
        <w:ind w:left="1122" w:hanging="1122"/>
      </w:pPr>
      <w:r>
        <w:tab/>
        <w:t>"I.</w:t>
      </w:r>
      <w:r>
        <w:tab/>
        <w:t>очистка воды и водоснабжение;  производство и распределение электроэнергии, газа и топлива;</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t>II.</w:t>
      </w:r>
      <w:r>
        <w:tab/>
        <w:t>больничное медицинское обслуживание;</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t>III.</w:t>
      </w:r>
      <w:r>
        <w:tab/>
        <w:t>распределение и розничная продажа медикаментов и продуктов питания;</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r>
      <w:r>
        <w:rPr>
          <w:lang w:val="en-US"/>
        </w:rPr>
        <w:t>IV</w:t>
      </w:r>
      <w:r>
        <w:t>.</w:t>
      </w:r>
      <w:r>
        <w:tab/>
        <w:t>функционирование похоронных бюро;</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t>V.</w:t>
      </w:r>
      <w:r>
        <w:tab/>
        <w:t>общественный транспорт;</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t>VI.</w:t>
      </w:r>
      <w:r>
        <w:tab/>
        <w:t>канализация и сбор и удаление мусора;</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r>
      <w:r>
        <w:rPr>
          <w:lang w:val="en-US"/>
        </w:rPr>
        <w:t>VII</w:t>
      </w:r>
      <w:r>
        <w:t>.</w:t>
      </w:r>
      <w:r>
        <w:tab/>
        <w:t>телекоммуникационная связь;</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ind w:left="1122" w:hanging="1122"/>
      </w:pPr>
      <w:r>
        <w:tab/>
      </w:r>
      <w:r>
        <w:rPr>
          <w:lang w:val="en-US"/>
        </w:rPr>
        <w:t>VIII</w:t>
      </w:r>
      <w:r>
        <w:t>.</w:t>
      </w:r>
      <w:r>
        <w:tab/>
        <w:t>хранение и использование радиоактивных веществ, ядерного оборудования и материалов;</w:t>
      </w:r>
    </w:p>
    <w:p w:rsidR="00000000" w:rsidRDefault="00000000">
      <w:pPr>
        <w:pStyle w:val="FootnoteText"/>
        <w:tabs>
          <w:tab w:val="clear" w:pos="567"/>
          <w:tab w:val="clear" w:pos="1134"/>
          <w:tab w:val="right" w:pos="561"/>
          <w:tab w:val="left" w:pos="1122"/>
        </w:tabs>
        <w:spacing w:line="288" w:lineRule="auto"/>
      </w:pPr>
    </w:p>
    <w:p w:rsidR="00000000" w:rsidRDefault="00000000">
      <w:pPr>
        <w:tabs>
          <w:tab w:val="clear" w:pos="567"/>
          <w:tab w:val="clear" w:pos="1134"/>
          <w:tab w:val="right" w:pos="561"/>
          <w:tab w:val="left" w:pos="1122"/>
        </w:tabs>
        <w:ind w:left="1122" w:hanging="1122"/>
      </w:pPr>
      <w:r>
        <w:tab/>
      </w:r>
      <w:r>
        <w:rPr>
          <w:lang w:val="en-US"/>
        </w:rPr>
        <w:t>IX</w:t>
      </w:r>
      <w:r>
        <w:t>.</w:t>
      </w:r>
      <w:r>
        <w:tab/>
        <w:t>обработка данных, имеющих отношение к функционированию жизненно важных служб;</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t>Х.</w:t>
      </w:r>
      <w:r>
        <w:tab/>
        <w:t>контроль за воздушными перевозками;</w:t>
      </w:r>
    </w:p>
    <w:p w:rsidR="00000000" w:rsidRDefault="00000000">
      <w:pPr>
        <w:tabs>
          <w:tab w:val="clear" w:pos="567"/>
          <w:tab w:val="clear" w:pos="1134"/>
          <w:tab w:val="right" w:pos="561"/>
          <w:tab w:val="left" w:pos="1122"/>
        </w:tabs>
      </w:pPr>
    </w:p>
    <w:p w:rsidR="00000000" w:rsidRDefault="00000000">
      <w:pPr>
        <w:tabs>
          <w:tab w:val="clear" w:pos="567"/>
          <w:tab w:val="clear" w:pos="1134"/>
          <w:tab w:val="right" w:pos="561"/>
          <w:tab w:val="left" w:pos="1122"/>
        </w:tabs>
      </w:pPr>
      <w:r>
        <w:tab/>
        <w:t>ХI.</w:t>
      </w:r>
      <w:r>
        <w:tab/>
        <w:t>производство банковских расчетов."</w:t>
      </w:r>
    </w:p>
    <w:p w:rsidR="00000000" w:rsidRDefault="00000000">
      <w:pPr>
        <w:tabs>
          <w:tab w:val="clear" w:pos="567"/>
          <w:tab w:val="clear" w:pos="1134"/>
          <w:tab w:val="right" w:pos="561"/>
          <w:tab w:val="left" w:pos="1122"/>
        </w:tabs>
      </w:pPr>
    </w:p>
    <w:p w:rsidR="00000000" w:rsidRDefault="00000000">
      <w:r>
        <w:rPr>
          <w:b/>
          <w:bCs/>
          <w:vertAlign w:val="superscript"/>
        </w:rPr>
        <w:t>11</w:t>
      </w:r>
      <w:r>
        <w:tab/>
        <w:t>Часть статистических данных используется для изучения проблем, относящихся к теории страхования групп рабочих и для расчета размеров такого страхования.</w:t>
      </w:r>
    </w:p>
    <w:p w:rsidR="00000000" w:rsidRDefault="00000000">
      <w:pPr>
        <w:pStyle w:val="FootnoteText"/>
        <w:spacing w:line="288" w:lineRule="auto"/>
      </w:pPr>
    </w:p>
    <w:p w:rsidR="00000000" w:rsidRDefault="00000000">
      <w:r>
        <w:rPr>
          <w:b/>
          <w:bCs/>
          <w:vertAlign w:val="superscript"/>
        </w:rPr>
        <w:t>12</w:t>
      </w:r>
      <w:r>
        <w:tab/>
        <w:t>Следует указать, однако, что нельзя рассматривать лишь одни цифры продолжительности жизни при рождении, поскольку этот показатель находится под сильным влиянием показателя младенческой смертности, который по</w:t>
      </w:r>
      <w:r>
        <w:noBreakHyphen/>
        <w:t>прежнему остается весьма высоким в Бразилии.  Проводимый анализ должен подкрепляться, как это будет видно из текста, показателем дополнительной продолжительности жизни или выживания в более старшем возрасте.</w:t>
      </w:r>
    </w:p>
    <w:p w:rsidR="00000000" w:rsidRDefault="00000000"/>
    <w:p w:rsidR="00000000" w:rsidRDefault="00000000">
      <w:r>
        <w:rPr>
          <w:b/>
          <w:bCs/>
          <w:vertAlign w:val="superscript"/>
        </w:rPr>
        <w:t>13</w:t>
      </w:r>
      <w:r>
        <w:tab/>
        <w:t>Категория временных рабочих включает портовых грузчиков, а категория специальных бенефициаров включает сельскохозяйственных производителей, испольщиков, сельских кооператоров и фермеров-арендаторов и индивидуальных рыболовов, которые занимаются семейным бизнесом (Декрет 3.048/99).</w:t>
      </w:r>
    </w:p>
    <w:p w:rsidR="00000000" w:rsidRDefault="00000000"/>
    <w:p w:rsidR="00000000" w:rsidRDefault="00000000">
      <w:r>
        <w:rPr>
          <w:b/>
          <w:bCs/>
          <w:vertAlign w:val="superscript"/>
        </w:rPr>
        <w:t>14</w:t>
      </w:r>
      <w:r>
        <w:tab/>
        <w:t>Коэффициент отчислений на пособия в ВВП включает все выплаты в областях социального обеспечения и вспомоществования, производимые НИСО.</w:t>
      </w:r>
    </w:p>
    <w:p w:rsidR="00000000" w:rsidRDefault="00000000"/>
    <w:p w:rsidR="00000000" w:rsidRDefault="00000000">
      <w:r>
        <w:rPr>
          <w:b/>
          <w:bCs/>
          <w:vertAlign w:val="superscript"/>
        </w:rPr>
        <w:t>15</w:t>
      </w:r>
      <w:r>
        <w:tab/>
        <w:t>С оговоркой в отношении статьи 29.</w:t>
      </w:r>
    </w:p>
    <w:p w:rsidR="00000000" w:rsidRDefault="00000000"/>
    <w:p w:rsidR="00000000" w:rsidRDefault="00000000">
      <w:r>
        <w:rPr>
          <w:b/>
          <w:bCs/>
          <w:vertAlign w:val="superscript"/>
        </w:rPr>
        <w:t>16</w:t>
      </w:r>
      <w:r>
        <w:tab/>
        <w:t>Материалы по вопросу о том, что определяет участие ребенка в трудовой деятельности, указывают на пять главных обстоятельств:  1)  масштабы участия детей в трудовой деятельности (т.е. число несовершеннолетних определенного возраста, которые трудятся или занимаются поиском работы по отношению к общему числу детей того же возраста) расширяются, охватывая при этом больше мальчиков, чем девочек;  2)  процент этого участия значительно выше среди чернокожего населения или мулатов;  3)  участие детей в трудовой деятельности сокращается с повышением дохода семьи;  4)  степень участия несовершеннолетних выше в сельских районах, чем в городах;  5)  и наконец, что касается городских районов Бразилии, то коэффициенты участия выше на юге и юго-западе страны, чем на севере и северо-востоке.</w:t>
      </w:r>
    </w:p>
    <w:p w:rsidR="00000000" w:rsidRDefault="00000000">
      <w:pPr>
        <w:rPr>
          <w:b/>
          <w:bCs/>
          <w:vertAlign w:val="superscript"/>
        </w:rPr>
      </w:pPr>
    </w:p>
    <w:p w:rsidR="00000000" w:rsidRDefault="00000000">
      <w:r>
        <w:rPr>
          <w:b/>
          <w:bCs/>
          <w:vertAlign w:val="superscript"/>
        </w:rPr>
        <w:t>17</w:t>
      </w:r>
      <w:r>
        <w:rPr>
          <w:b/>
          <w:bCs/>
          <w:vertAlign w:val="superscript"/>
        </w:rPr>
        <w:tab/>
      </w:r>
      <w:r>
        <w:t xml:space="preserve">Северный район в этом исследовании не охватывался.  </w:t>
      </w:r>
    </w:p>
    <w:p w:rsidR="00000000" w:rsidRDefault="00000000"/>
    <w:p w:rsidR="00000000" w:rsidRDefault="00000000">
      <w:r>
        <w:rPr>
          <w:b/>
          <w:bCs/>
          <w:vertAlign w:val="superscript"/>
        </w:rPr>
        <w:t>18</w:t>
      </w:r>
      <w:r>
        <w:rPr>
          <w:b/>
          <w:bCs/>
        </w:rPr>
        <w:tab/>
      </w:r>
      <w:r>
        <w:t>Вопрос о классификации в Бразилии по признаку расы заслуживает особого внимания, поскольку за ним скрываются предрассудки и нередко искаженные представления о нашей национальной реальности.  В настоящее время в стадии разработки находится более сложная система сбора подробных статистических данных и проведения статистического анализа, которые позволят выявлять имеющиеся проблемы.  Цифры, касающиеся расового состава Бразилии, также важны для борьбы с расизмом и расовой дискриминацией.</w:t>
      </w:r>
    </w:p>
    <w:p w:rsidR="00000000" w:rsidRDefault="00000000"/>
    <w:p w:rsidR="00000000" w:rsidRDefault="00000000">
      <w:r>
        <w:rPr>
          <w:b/>
          <w:bCs/>
          <w:vertAlign w:val="superscript"/>
        </w:rPr>
        <w:t>19</w:t>
      </w:r>
      <w:r>
        <w:rPr>
          <w:b/>
          <w:bCs/>
        </w:rPr>
        <w:tab/>
      </w:r>
      <w:r>
        <w:rPr>
          <w:lang w:val="en-US"/>
        </w:rPr>
        <w:t>G</w:t>
      </w:r>
      <w:r>
        <w:t>.</w:t>
      </w:r>
      <w:r>
        <w:rPr>
          <w:lang w:val="en-US"/>
        </w:rPr>
        <w:t>T</w:t>
      </w:r>
      <w:r>
        <w:t xml:space="preserve">. </w:t>
      </w:r>
      <w:r>
        <w:rPr>
          <w:lang w:val="en-US"/>
        </w:rPr>
        <w:t>No</w:t>
      </w:r>
      <w:r>
        <w:t>. 4 Национальная политика в области жилищного строительства - СЕДУПР.</w:t>
      </w:r>
    </w:p>
    <w:p w:rsidR="00000000" w:rsidRDefault="00000000"/>
    <w:p w:rsidR="00000000" w:rsidRDefault="00000000">
      <w:r>
        <w:rPr>
          <w:b/>
          <w:bCs/>
          <w:vertAlign w:val="superscript"/>
        </w:rPr>
        <w:t>20</w:t>
      </w:r>
      <w:r>
        <w:rPr>
          <w:b/>
          <w:bCs/>
          <w:vertAlign w:val="superscript"/>
        </w:rPr>
        <w:tab/>
      </w:r>
      <w:r>
        <w:t xml:space="preserve">Примеры взяты из исследования "Управление землепользованием и несоответствия в росте городов", </w:t>
      </w:r>
      <w:r>
        <w:rPr>
          <w:lang w:val="en-US"/>
        </w:rPr>
        <w:t>IPED</w:t>
      </w:r>
      <w:r>
        <w:t>, 1998 год.</w:t>
      </w:r>
    </w:p>
    <w:p w:rsidR="00000000" w:rsidRDefault="00000000"/>
    <w:p w:rsidR="00000000" w:rsidRDefault="00000000">
      <w:r>
        <w:rPr>
          <w:b/>
          <w:bCs/>
          <w:vertAlign w:val="superscript"/>
        </w:rPr>
        <w:t>21</w:t>
      </w:r>
      <w:r>
        <w:tab/>
        <w:t>Оценки  основаны на результатах Общенационального выборочного обследования домашних хозяйств 1998 года (ОВОДХ/БИГС).  Следует отметить, что при проведении этого обследования не собиралась информация по сельским районам штатов Рондония, Акри, Амазонас, Рорайма, Пара и Амапа.</w:t>
      </w:r>
    </w:p>
    <w:p w:rsidR="00000000" w:rsidRDefault="00000000"/>
    <w:p w:rsidR="00000000" w:rsidRDefault="00000000">
      <w:r>
        <w:rPr>
          <w:b/>
          <w:bCs/>
          <w:vertAlign w:val="superscript"/>
        </w:rPr>
        <w:t>22</w:t>
      </w:r>
      <w:r>
        <w:tab/>
        <w:t>Данные Общенационального выборочного обследования домашних хозяйств (ОВОДХ) 1998 года показывают, что неграмотность среди населения в возрасте 15-19 лет составляла 4,8%, 6,2% среди молодых людей в возрасте 20-24 лет, 7,7% среди лиц в возрасте 25-29 лет, 10,1% среди лиц в возрасте 30-39 лет и 14,0% среди лиц в возрасте 40</w:t>
      </w:r>
      <w:r>
        <w:noBreakHyphen/>
        <w:t>49 лет и 29,9% среди лиц в возрасте 50 лет и старше.</w:t>
      </w:r>
    </w:p>
    <w:p w:rsidR="00000000" w:rsidRDefault="00000000"/>
    <w:p w:rsidR="00000000" w:rsidRDefault="00000000">
      <w:pPr>
        <w:pStyle w:val="FootnoteText"/>
        <w:spacing w:line="288" w:lineRule="auto"/>
      </w:pPr>
      <w:r>
        <w:rPr>
          <w:b/>
          <w:bCs/>
          <w:vertAlign w:val="superscript"/>
        </w:rPr>
        <w:t>23</w:t>
      </w:r>
      <w:r>
        <w:rPr>
          <w:vertAlign w:val="superscript"/>
        </w:rPr>
        <w:tab/>
      </w:r>
      <w:r>
        <w:t>В 1970-1998 годах уровень неграмотности молодых людей в возрасте 15 лет и старше снизился на 58,9%.  Снижение уровня неграмотности среди молодых людей в возрасте 15-19 лет достигло 80,2%, а среди лиц в возрасте 20-24 лет - 76,7%, в то время как для возрастной группы в возрасте 40-49 лет этот показатель составил 63,6% , а для лиц в возрасте 50 лет и старше - 38,2%.</w:t>
      </w:r>
    </w:p>
    <w:p w:rsidR="00000000" w:rsidRDefault="00000000">
      <w:pPr>
        <w:pStyle w:val="FootnoteText"/>
        <w:spacing w:line="288" w:lineRule="auto"/>
      </w:pPr>
    </w:p>
    <w:p w:rsidR="00000000" w:rsidRDefault="00000000">
      <w:pPr>
        <w:pStyle w:val="FootnoteText"/>
        <w:spacing w:line="288" w:lineRule="auto"/>
      </w:pPr>
      <w:r>
        <w:rPr>
          <w:b/>
          <w:bCs/>
          <w:vertAlign w:val="superscript"/>
        </w:rPr>
        <w:t>24</w:t>
      </w:r>
      <w:r>
        <w:tab/>
        <w:t>Прогноз Института прикладных экономических исследований (ИПЭИ), подготовленный на основе переписи 1991 года.</w:t>
      </w:r>
    </w:p>
    <w:p w:rsidR="00000000" w:rsidRDefault="00000000">
      <w:pPr>
        <w:pStyle w:val="FootnoteText"/>
        <w:spacing w:line="288" w:lineRule="auto"/>
      </w:pPr>
    </w:p>
    <w:p w:rsidR="00000000" w:rsidRDefault="00000000">
      <w:pPr>
        <w:pStyle w:val="FootnoteText"/>
        <w:spacing w:line="288" w:lineRule="auto"/>
      </w:pPr>
      <w:r>
        <w:rPr>
          <w:b/>
          <w:bCs/>
          <w:vertAlign w:val="superscript"/>
        </w:rPr>
        <w:t>25</w:t>
      </w:r>
      <w:r>
        <w:tab/>
        <w:t>Ср. данные организованной министерством образования и культуры переписи лиц, обучающихся в системе высшего образования.</w:t>
      </w:r>
    </w:p>
    <w:p w:rsidR="00000000" w:rsidRDefault="00000000">
      <w:pPr>
        <w:pStyle w:val="FootnoteText"/>
        <w:spacing w:line="288" w:lineRule="auto"/>
      </w:pPr>
    </w:p>
    <w:p w:rsidR="00000000" w:rsidRDefault="00000000">
      <w:pPr>
        <w:pStyle w:val="FootnoteText"/>
        <w:spacing w:line="288" w:lineRule="auto"/>
      </w:pPr>
      <w:r>
        <w:rPr>
          <w:b/>
          <w:bCs/>
          <w:vertAlign w:val="superscript"/>
        </w:rPr>
        <w:t>26</w:t>
      </w:r>
      <w:r>
        <w:rPr>
          <w:b/>
          <w:bCs/>
        </w:rPr>
        <w:tab/>
      </w:r>
      <w:r>
        <w:t xml:space="preserve">В дополнение к мерам, призванным удовлетворить другие потребности социального характера (школьные обеды, автобусы, медпункты в школах и т.д.), ряд мер направлен на улучшение условий работы преподавателей:  </w:t>
      </w:r>
      <w:r>
        <w:rPr>
          <w:lang w:val="en-US"/>
        </w:rPr>
        <w:t>i</w:t>
      </w:r>
      <w:r>
        <w:t>)</w:t>
      </w:r>
      <w:r>
        <w:rPr>
          <w:lang w:val="en-US"/>
        </w:rPr>
        <w:t>  </w:t>
      </w:r>
      <w:r>
        <w:t xml:space="preserve">распределение книг, учебных материалов и оборудования;  </w:t>
      </w:r>
      <w:r>
        <w:rPr>
          <w:lang w:val="en-US"/>
        </w:rPr>
        <w:t>ii</w:t>
      </w:r>
      <w:r>
        <w:t xml:space="preserve">)  пересмотр учебных программ;  </w:t>
      </w:r>
      <w:r>
        <w:rPr>
          <w:lang w:val="en-US"/>
        </w:rPr>
        <w:t>iii</w:t>
      </w:r>
      <w:r>
        <w:t>)  изменение процедур управления и пр.</w:t>
      </w:r>
    </w:p>
    <w:p w:rsidR="00000000" w:rsidRDefault="00000000">
      <w:pPr>
        <w:pStyle w:val="FootnoteText"/>
        <w:spacing w:line="288" w:lineRule="auto"/>
      </w:pPr>
    </w:p>
    <w:p w:rsidR="00000000" w:rsidRDefault="00000000">
      <w:pPr>
        <w:pStyle w:val="FootnoteText"/>
        <w:spacing w:line="288" w:lineRule="auto"/>
      </w:pPr>
      <w:r>
        <w:rPr>
          <w:b/>
          <w:bCs/>
          <w:vertAlign w:val="superscript"/>
        </w:rPr>
        <w:t>27</w:t>
      </w:r>
      <w:r>
        <w:tab/>
        <w:t>Анализ расходов в этой области в сопоставлении с ВВП Бразилии позволяет сделать вывод о том, что соответствующие расходы в 1995 году составляли около 4,3% ВВП.  Сравнивая этот результат с аналогичными показателями других стран Латинской Америки, Фернандес и другие авторы отмечают, что, хотя в области образования Бразилия несла наибольшую среди латиноамериканских стран долю расходов на цели социального обеспечения в сопоставлении с ВВП, она тем не менее занимает шестое место после Коста-Рики (5,4%), Панамы (4,9%), Эквадора (4,6%), Мексики (4,5%) и Боливии (4,4%).</w:t>
      </w:r>
    </w:p>
    <w:p w:rsidR="00000000" w:rsidRDefault="00000000">
      <w:pPr>
        <w:pStyle w:val="FootnoteText"/>
        <w:spacing w:line="288" w:lineRule="auto"/>
      </w:pPr>
    </w:p>
    <w:p w:rsidR="00000000" w:rsidRDefault="00000000">
      <w:r>
        <w:rPr>
          <w:b/>
          <w:bCs/>
          <w:vertAlign w:val="superscript"/>
        </w:rPr>
        <w:t>28</w:t>
      </w:r>
      <w:r>
        <w:tab/>
        <w:t>Бразилия является федеративной республикой, представляющей собой нерасторжимый союз штатов, муниципальных округов и федерального округа (ФО).  Ее Конституция 1988 года гласит, что федеральное правительство, штаты, федеральный округ и муниципальные округа будут совместно организовывать работу своих систем образования и определять конкретные сферы компетенции различных уровней управления.  В результате ответственность за государственное образование разделяется на неэксклюзивной приоритетной основе следующим образом:  дошкольное образование находится в ведении муниципальных округов;  базовое образование - в ведении штатов, федерального округа и муниципальных округов;  старшие классы средней школы - в ведении штатов и федерального округа;  высшее образование - в ведении федерального правительства и штатов.</w:t>
      </w:r>
    </w:p>
    <w:p w:rsidR="00000000" w:rsidRDefault="00000000"/>
    <w:p w:rsidR="00000000" w:rsidRDefault="00000000">
      <w:r>
        <w:rPr>
          <w:b/>
          <w:bCs/>
          <w:vertAlign w:val="superscript"/>
        </w:rPr>
        <w:t>29</w:t>
      </w:r>
      <w:r>
        <w:tab/>
        <w:t>Федеральное правительство несет ответственность за координацию подготовки национальных планов, оказание технической и финансовой помощи штатам, ФО и муниципальным округам в развитии их систем образования с уделением первоочередного внимания обязательному школьному обучению.  Кроме того, министерство образования и по делам спорта обеспечивает работу федеральной сети учебных заведений, включающей университеты, специальные высшие учебные заведения, инженерно-технические училища, сельскохозяйственные колледжи и центры технического обучения, осуществляя также общий контроль за частными учебными заведениями системы высшего образования.</w:t>
      </w:r>
    </w:p>
    <w:p w:rsidR="00000000" w:rsidRDefault="00000000"/>
    <w:p w:rsidR="00000000" w:rsidRDefault="00000000">
      <w:r>
        <w:rPr>
          <w:b/>
          <w:bCs/>
          <w:vertAlign w:val="superscript"/>
        </w:rPr>
        <w:t>30</w:t>
      </w:r>
      <w:r>
        <w:tab/>
        <w:t>В федеральной сети образования занимается 110 000 учащихся;  она состоит из 43 сельскохозяйственных колледжей, расположенных главным образом в сельских районах, 19 инженерно-технических училищ, расположенных главным образом в крупных столицах штатов и готовящих специалистов для промышленного сектора и сектора обслуживания, а также 36 децентрализованных учебных комплексов, которые находятся у них в подчинении.</w:t>
      </w:r>
    </w:p>
    <w:p w:rsidR="00000000" w:rsidRDefault="00000000"/>
    <w:p w:rsidR="00000000" w:rsidRDefault="00000000">
      <w:pPr>
        <w:spacing w:line="240" w:lineRule="auto"/>
      </w:pPr>
      <w:r>
        <w:rPr>
          <w:b/>
          <w:bCs/>
          <w:vertAlign w:val="superscript"/>
        </w:rPr>
        <w:t>31</w:t>
      </w:r>
      <w:r>
        <w:tab/>
        <w:t>Доклад гражданского общества о соблюдении Бразилией Международного пакта об экономических, социальных и культурных правах (</w:t>
      </w:r>
      <w:r>
        <w:rPr>
          <w:i/>
          <w:iCs/>
          <w:lang w:val="en-US"/>
        </w:rPr>
        <w:t>Relat</w:t>
      </w:r>
      <w:r>
        <w:rPr>
          <w:i/>
          <w:iCs/>
        </w:rPr>
        <w:t>ó</w:t>
      </w:r>
      <w:r>
        <w:rPr>
          <w:i/>
          <w:iCs/>
          <w:lang w:val="en-US"/>
        </w:rPr>
        <w:t>rio</w:t>
      </w:r>
      <w:r>
        <w:rPr>
          <w:i/>
          <w:iCs/>
        </w:rPr>
        <w:t xml:space="preserve"> </w:t>
      </w:r>
      <w:r>
        <w:rPr>
          <w:i/>
          <w:iCs/>
          <w:lang w:val="en-US"/>
        </w:rPr>
        <w:t>da</w:t>
      </w:r>
      <w:r>
        <w:rPr>
          <w:i/>
          <w:iCs/>
        </w:rPr>
        <w:t xml:space="preserve"> </w:t>
      </w:r>
      <w:r>
        <w:rPr>
          <w:i/>
          <w:iCs/>
          <w:lang w:val="en-US"/>
        </w:rPr>
        <w:t>Sociedade</w:t>
      </w:r>
      <w:r>
        <w:rPr>
          <w:i/>
          <w:iCs/>
        </w:rPr>
        <w:t xml:space="preserve"> </w:t>
      </w:r>
      <w:r>
        <w:rPr>
          <w:i/>
          <w:iCs/>
          <w:lang w:val="en-US"/>
        </w:rPr>
        <w:t>Civil</w:t>
      </w:r>
      <w:r>
        <w:rPr>
          <w:i/>
          <w:iCs/>
        </w:rPr>
        <w:t xml:space="preserve"> </w:t>
      </w:r>
      <w:r>
        <w:rPr>
          <w:i/>
          <w:iCs/>
          <w:lang w:val="en-US"/>
        </w:rPr>
        <w:t>sobre</w:t>
      </w:r>
      <w:r>
        <w:rPr>
          <w:i/>
          <w:iCs/>
        </w:rPr>
        <w:t xml:space="preserve"> </w:t>
      </w:r>
      <w:r>
        <w:rPr>
          <w:i/>
          <w:iCs/>
          <w:lang w:val="en-US"/>
        </w:rPr>
        <w:t>o</w:t>
      </w:r>
      <w:r>
        <w:rPr>
          <w:i/>
          <w:iCs/>
        </w:rPr>
        <w:t xml:space="preserve"> </w:t>
      </w:r>
      <w:r>
        <w:rPr>
          <w:i/>
          <w:iCs/>
          <w:lang w:val="en-US"/>
        </w:rPr>
        <w:t>Cumprimento</w:t>
      </w:r>
      <w:r>
        <w:rPr>
          <w:i/>
          <w:iCs/>
        </w:rPr>
        <w:t xml:space="preserve">, </w:t>
      </w:r>
      <w:r>
        <w:rPr>
          <w:i/>
          <w:iCs/>
          <w:lang w:val="en-US"/>
        </w:rPr>
        <w:t>pelo</w:t>
      </w:r>
      <w:r>
        <w:rPr>
          <w:i/>
          <w:iCs/>
        </w:rPr>
        <w:t xml:space="preserve"> </w:t>
      </w:r>
      <w:r>
        <w:rPr>
          <w:i/>
          <w:iCs/>
          <w:lang w:val="en-US"/>
        </w:rPr>
        <w:t>Brasil</w:t>
      </w:r>
      <w:r>
        <w:rPr>
          <w:i/>
          <w:iCs/>
        </w:rPr>
        <w:t xml:space="preserve">, </w:t>
      </w:r>
      <w:r>
        <w:rPr>
          <w:i/>
          <w:iCs/>
          <w:lang w:val="en-US"/>
        </w:rPr>
        <w:t>do</w:t>
      </w:r>
      <w:r>
        <w:rPr>
          <w:i/>
          <w:iCs/>
        </w:rPr>
        <w:t xml:space="preserve"> </w:t>
      </w:r>
      <w:r>
        <w:rPr>
          <w:i/>
          <w:iCs/>
          <w:lang w:val="en-US"/>
        </w:rPr>
        <w:t>Pacto</w:t>
      </w:r>
      <w:r>
        <w:rPr>
          <w:i/>
          <w:iCs/>
        </w:rPr>
        <w:t xml:space="preserve"> </w:t>
      </w:r>
      <w:r>
        <w:rPr>
          <w:i/>
          <w:iCs/>
          <w:lang w:val="en-US"/>
        </w:rPr>
        <w:t>Internacional</w:t>
      </w:r>
      <w:r>
        <w:rPr>
          <w:i/>
          <w:iCs/>
        </w:rPr>
        <w:t xml:space="preserve"> </w:t>
      </w:r>
      <w:r>
        <w:rPr>
          <w:i/>
          <w:iCs/>
          <w:lang w:val="en-US"/>
        </w:rPr>
        <w:t>de</w:t>
      </w:r>
      <w:r>
        <w:rPr>
          <w:i/>
          <w:iCs/>
        </w:rPr>
        <w:t xml:space="preserve"> </w:t>
      </w:r>
      <w:r>
        <w:rPr>
          <w:i/>
          <w:iCs/>
          <w:lang w:val="en-US"/>
        </w:rPr>
        <w:t>Direitos</w:t>
      </w:r>
      <w:r>
        <w:rPr>
          <w:i/>
          <w:iCs/>
        </w:rPr>
        <w:t xml:space="preserve"> </w:t>
      </w:r>
      <w:r>
        <w:rPr>
          <w:i/>
          <w:iCs/>
          <w:lang w:val="en-US"/>
        </w:rPr>
        <w:t>Econ</w:t>
      </w:r>
      <w:r>
        <w:rPr>
          <w:i/>
          <w:iCs/>
        </w:rPr>
        <w:t>ô</w:t>
      </w:r>
      <w:r>
        <w:rPr>
          <w:i/>
          <w:iCs/>
          <w:lang w:val="en-US"/>
        </w:rPr>
        <w:t>micos</w:t>
      </w:r>
      <w:r>
        <w:rPr>
          <w:i/>
          <w:iCs/>
        </w:rPr>
        <w:t xml:space="preserve">, </w:t>
      </w:r>
      <w:r>
        <w:rPr>
          <w:i/>
          <w:iCs/>
          <w:lang w:val="en-US"/>
        </w:rPr>
        <w:t>Sociais</w:t>
      </w:r>
      <w:r>
        <w:rPr>
          <w:i/>
          <w:iCs/>
        </w:rPr>
        <w:t xml:space="preserve"> </w:t>
      </w:r>
      <w:r>
        <w:rPr>
          <w:i/>
          <w:iCs/>
          <w:lang w:val="en-US"/>
        </w:rPr>
        <w:t>e</w:t>
      </w:r>
      <w:r>
        <w:rPr>
          <w:i/>
          <w:iCs/>
        </w:rPr>
        <w:t xml:space="preserve"> </w:t>
      </w:r>
      <w:r>
        <w:rPr>
          <w:i/>
          <w:iCs/>
          <w:lang w:val="en-US"/>
        </w:rPr>
        <w:t>Culturais</w:t>
      </w:r>
      <w:r>
        <w:t xml:space="preserve">), рр. 121 и далее. </w:t>
      </w:r>
    </w:p>
    <w:p w:rsidR="00000000" w:rsidRDefault="00000000"/>
    <w:p w:rsidR="00000000" w:rsidRDefault="00000000">
      <w:r>
        <w:rPr>
          <w:b/>
          <w:bCs/>
          <w:vertAlign w:val="superscript"/>
        </w:rPr>
        <w:t>32</w:t>
      </w:r>
      <w:r>
        <w:tab/>
        <w:t>Районы, служившие убежищем беглым рабам.</w:t>
      </w:r>
    </w:p>
    <w:p w:rsidR="00000000" w:rsidRDefault="00000000"/>
    <w:p w:rsidR="00000000" w:rsidRDefault="00000000">
      <w:pPr>
        <w:spacing w:line="240" w:lineRule="auto"/>
      </w:pPr>
      <w:r>
        <w:rPr>
          <w:b/>
          <w:bCs/>
          <w:vertAlign w:val="superscript"/>
        </w:rPr>
        <w:t>33</w:t>
      </w:r>
      <w:r>
        <w:tab/>
        <w:t>Сюда относятся сравнительно крупные города, такие, как Порту-Сегуру, а также более мелкие города:  Арраял Дажуда, Транкозу и Кабралия.</w:t>
      </w:r>
    </w:p>
    <w:p w:rsidR="00000000" w:rsidRDefault="00000000">
      <w:pPr>
        <w:spacing w:line="240" w:lineRule="auto"/>
      </w:pPr>
    </w:p>
    <w:p w:rsidR="00000000" w:rsidRDefault="00000000">
      <w:pPr>
        <w:spacing w:line="240" w:lineRule="auto"/>
      </w:pPr>
      <w:r>
        <w:rPr>
          <w:b/>
          <w:bCs/>
          <w:vertAlign w:val="superscript"/>
        </w:rPr>
        <w:t>34</w:t>
      </w:r>
      <w:r>
        <w:tab/>
        <w:t>С точки зрения понятия "семьи" инвалиды вместе с членами их семей могут насчитывать около 60 млн. человек.  Еще раз важно подчеркнуть тот факт, что проводимая в настоящее время перепись населения страны в первый раз использует методологию, позволяющую получать более точные данные.</w:t>
      </w:r>
    </w:p>
    <w:p w:rsidR="00000000" w:rsidRDefault="00000000"/>
    <w:p w:rsidR="00000000" w:rsidRDefault="00000000"/>
    <w:p w:rsidR="00000000" w:rsidRDefault="00000000"/>
    <w:p w:rsidR="00000000" w:rsidRDefault="00000000">
      <w:pPr>
        <w:pStyle w:val="16"/>
      </w:pPr>
      <w:r>
        <w:t>-----</w:t>
      </w:r>
    </w:p>
    <w:p w:rsidR="00000000" w:rsidRDefault="00000000">
      <w:pPr>
        <w:pStyle w:val="16"/>
      </w:pPr>
    </w:p>
    <w:p w:rsidR="00000000" w:rsidRDefault="00000000"/>
    <w:p w:rsidR="00000000" w:rsidRDefault="00000000"/>
    <w:sectPr w:rsidR="00000000">
      <w:headerReference w:type="even" r:id="rId46"/>
      <w:headerReference w:type="default" r:id="rId47"/>
      <w:pgSz w:w="11906" w:h="16838" w:code="9"/>
      <w:pgMar w:top="851" w:right="851" w:bottom="1701" w:left="1701" w:header="851" w:footer="851" w:gutter="0"/>
      <w:cols w:space="720"/>
      <w:formProt w:val="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Monotype Sorts">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2056" type="#_x0000_t202" style="position:absolute;margin-left:717.6pt;margin-top:-149.15pt;width:28.05pt;height:146.05pt;z-index:4" filled="f" stroked="f">
          <v:textbox style="layout-flow:vertical;mso-next-textbox:#_x0000_s2056" inset="0,0,0,0">
            <w:txbxContent>
              <w:p w:rsidR="00000000" w:rsidRDefault="00000000">
                <w:pPr>
                  <w:spacing w:line="240" w:lineRule="auto"/>
                  <w:rPr>
                    <w:lang w:val="es-ES"/>
                  </w:rPr>
                </w:pPr>
                <w:r>
                  <w:rPr>
                    <w:lang w:val="es-ES"/>
                  </w:rPr>
                  <w:t>E/1990/5/Add.53</w:t>
                </w:r>
              </w:p>
              <w:p w:rsidR="00000000" w:rsidRDefault="00000000">
                <w:pPr>
                  <w:spacing w:line="240" w:lineRule="auto"/>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343</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sym w:font="Symbol" w:char="F02A"/>
      </w:r>
      <w:r>
        <w:t xml:space="preserve"> </w:t>
      </w:r>
      <w:r>
        <w:tab/>
        <w:t>Данные в диаграмме 5 отличаются от данных в диаграмме 1, поскольку данные в первой диаграмме охватывают всю страну, а во второй - только крупнейшие городские агломерации.</w:t>
      </w:r>
    </w:p>
  </w:footnote>
  <w:footnote w:id="2">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E/1990/5/Add.53</w:t>
    </w:r>
  </w:p>
  <w:p w:rsidR="00000000" w:rsidRDefault="00000000">
    <w:pPr>
      <w:pStyle w:val="Header"/>
      <w:tabs>
        <w:tab w:val="left" w:pos="7371"/>
      </w:tabs>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12</w:t>
    </w:r>
    <w:r>
      <w:rPr>
        <w:rStyle w:val="PageNumber"/>
      </w:rPr>
      <w:fldChar w:fldCharType="end"/>
    </w:r>
  </w:p>
  <w:p w:rsidR="00000000" w:rsidRDefault="00000000">
    <w:pPr>
      <w:pStyle w:val="Header"/>
    </w:pPr>
  </w:p>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2" type="#_x0000_t202" style="position:absolute;margin-left:678.6pt;margin-top:42.5pt;width:48.75pt;height:165.85pt;z-index:1" filled="f" stroked="f">
          <v:textbox style="layout-flow:vertical">
            <w:txbxContent>
              <w:p w:rsidR="00000000" w:rsidRDefault="00000000">
                <w:pPr>
                  <w:pStyle w:val="Header"/>
                  <w:tabs>
                    <w:tab w:val="left" w:pos="7371"/>
                  </w:tabs>
                  <w:spacing w:line="240" w:lineRule="auto"/>
                  <w:rPr>
                    <w:lang w:val="en-US"/>
                  </w:rPr>
                </w:pPr>
                <w:r>
                  <w:rPr>
                    <w:lang w:val="en-US"/>
                  </w:rPr>
                  <w:t>E/1990/5/Add.53</w:t>
                </w:r>
              </w:p>
              <w:p w:rsidR="00000000" w:rsidRDefault="00000000">
                <w:pPr>
                  <w:pStyle w:val="Header"/>
                  <w:tabs>
                    <w:tab w:val="left" w:pos="7371"/>
                  </w:tabs>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12</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ab/>
    </w:r>
    <w:r>
      <w:rPr>
        <w:lang w:val="en-US"/>
      </w:rPr>
      <w:tab/>
      <w:t>E/1990/5/Add.53</w:t>
    </w:r>
  </w:p>
  <w:p w:rsidR="00000000" w:rsidRDefault="00000000">
    <w:pPr>
      <w:pStyle w:val="Header"/>
      <w:tabs>
        <w:tab w:val="left" w:pos="7371"/>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tabs>
        <w:tab w:val="left" w:pos="7371"/>
      </w:tabs>
      <w:spacing w:line="240" w:lineRule="auto"/>
      <w:rPr>
        <w:rStyle w:val="PageNumber"/>
        <w:lang w:val="en-US"/>
      </w:rPr>
    </w:pPr>
  </w:p>
  <w:p w:rsidR="00000000" w:rsidRDefault="00000000">
    <w:pPr>
      <w:pStyle w:val="Header"/>
      <w:tabs>
        <w:tab w:val="left" w:pos="7371"/>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3" type="#_x0000_t202" style="position:absolute;margin-left:678.6pt;margin-top:42.5pt;width:48.75pt;height:165.85pt;z-index:2" filled="f" stroked="f">
          <v:textbox style="layout-flow:vertical">
            <w:txbxContent>
              <w:p w:rsidR="00000000" w:rsidRDefault="00000000">
                <w:pPr>
                  <w:pStyle w:val="Header"/>
                  <w:tabs>
                    <w:tab w:val="left" w:pos="7371"/>
                  </w:tabs>
                  <w:spacing w:line="240" w:lineRule="auto"/>
                  <w:rPr>
                    <w:lang w:val="en-US"/>
                  </w:rPr>
                </w:pPr>
                <w:r>
                  <w:rPr>
                    <w:lang w:val="en-US"/>
                  </w:rPr>
                  <w:t>E/1990/5/Add.53</w:t>
                </w:r>
              </w:p>
              <w:p w:rsidR="00000000" w:rsidRDefault="00000000">
                <w:pPr>
                  <w:pStyle w:val="Header"/>
                  <w:tabs>
                    <w:tab w:val="left" w:pos="7371"/>
                  </w:tabs>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14</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en-US"/>
      </w:rPr>
    </w:pPr>
    <w:r>
      <w:rPr>
        <w:lang w:val="en-US"/>
      </w:rPr>
      <w:t>E/1990/5/Add.53</w:t>
    </w:r>
  </w:p>
  <w:p w:rsidR="00000000" w:rsidRDefault="00000000">
    <w:pPr>
      <w:pStyle w:val="Header"/>
      <w:rPr>
        <w:rStyle w:val="PageNumber"/>
        <w:lang w:val="en-US"/>
      </w:rPr>
    </w:pPr>
    <w:r>
      <w:rPr>
        <w:noProof/>
        <w:sz w:val="20"/>
        <w:lang w:val="en-US"/>
      </w:rPr>
      <w:pict>
        <v:shapetype id="_x0000_t202" coordsize="21600,21600" o:spt="202" path="m,l,21600r21600,l21600,xe">
          <v:stroke joinstyle="miter"/>
          <v:path gradientshapeok="t" o:connecttype="rect"/>
        </v:shapetype>
        <v:shape id="_x0000_s2057" type="#_x0000_t202" style="position:absolute;margin-left:682.55pt;margin-top:42.5pt;width:28.05pt;height:146.05pt;z-index:5" filled="f" stroked="f">
          <v:textbox style="layout-flow:vertical;mso-next-textbox:#_x0000_s2057"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148</w:t>
                </w:r>
                <w:r>
                  <w:rPr>
                    <w:rStyle w:val="PageNumber"/>
                  </w:rPr>
                  <w:fldChar w:fldCharType="end"/>
                </w:r>
              </w:p>
            </w:txbxContent>
          </v:textbox>
        </v:shape>
      </w:pict>
    </w: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148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line="240" w:lineRule="auto"/>
      <w:rPr>
        <w:lang w:val="en-US"/>
      </w:rPr>
    </w:pPr>
    <w:r>
      <w:rPr>
        <w:lang w:val="en-US"/>
      </w:rPr>
      <w:tab/>
    </w:r>
    <w:r>
      <w:rPr>
        <w:lang w:val="en-US"/>
      </w:rPr>
      <w:tab/>
    </w:r>
    <w:r>
      <w:rPr>
        <w:lang w:val="en-US"/>
      </w:rPr>
      <w:tab/>
    </w:r>
    <w:r>
      <w:rPr>
        <w:lang w:val="en-US"/>
      </w:rPr>
      <w:tab/>
    </w:r>
    <w:r>
      <w:rPr>
        <w:lang w:val="en-US"/>
      </w:rPr>
      <w:tab/>
      <w:t>E/1990/5/Add.53</w:t>
    </w:r>
  </w:p>
  <w:p w:rsidR="00000000" w:rsidRDefault="00000000">
    <w:pPr>
      <w:spacing w:line="240" w:lineRule="auto"/>
    </w:pPr>
    <w:r>
      <w:rPr>
        <w:lang w:val="en-US"/>
      </w:rPr>
      <w:tab/>
    </w:r>
    <w:r>
      <w:rPr>
        <w:lang w:val="en-US"/>
      </w:rPr>
      <w:tab/>
    </w:r>
    <w:r>
      <w:rPr>
        <w:lang w:val="en-US"/>
      </w:rPr>
      <w:tab/>
    </w:r>
    <w:r>
      <w:rPr>
        <w:lang w:val="en-US"/>
      </w:rPr>
      <w:tab/>
    </w:r>
    <w:r>
      <w:rPr>
        <w:lang w:val="en-US"/>
      </w:rPr>
      <w:tab/>
      <w:t xml:space="preserve">page </w:t>
    </w:r>
    <w:r>
      <w:rPr>
        <w:lang w:val="en-US"/>
      </w:rPr>
      <w:fldChar w:fldCharType="begin"/>
    </w:r>
    <w:r>
      <w:rPr>
        <w:lang w:val="en-US"/>
      </w:rPr>
      <w:instrText xml:space="preserve"> PAGE </w:instrText>
    </w:r>
    <w:r>
      <w:rPr>
        <w:lang w:val="en-US"/>
      </w:rPr>
      <w:fldChar w:fldCharType="separate"/>
    </w:r>
    <w:r>
      <w:rPr>
        <w:lang w:val="en-US"/>
      </w:rPr>
      <w:t>149</w:t>
    </w:r>
    <w:r>
      <w:rPr>
        <w:lang w:val="en-US"/>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E/1990/5/Add.53</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noProof/>
        <w:lang w:val="en-US"/>
      </w:rPr>
      <w:t>106</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sz w:val="20"/>
        <w:lang w:val="en-US"/>
      </w:rPr>
      <w:pict>
        <v:shapetype id="_x0000_t202" coordsize="21600,21600" o:spt="202" path="m,l,21600r21600,l21600,xe">
          <v:stroke joinstyle="miter"/>
          <v:path gradientshapeok="t" o:connecttype="rect"/>
        </v:shapetype>
        <v:shape id="_x0000_s2058" type="#_x0000_t202" style="position:absolute;margin-left:719.55pt;margin-top:12.7pt;width:28.05pt;height:146.05pt;z-index:6" filled="f" stroked="f">
          <v:textbox style="layout-flow:vertical;mso-next-textbox:#_x0000_s2058" inset="0,0,0,0">
            <w:txbxContent>
              <w:p w:rsidR="00000000" w:rsidRDefault="00000000">
                <w:pPr>
                  <w:spacing w:line="240" w:lineRule="auto"/>
                  <w:rPr>
                    <w:lang w:val="es-ES"/>
                  </w:rPr>
                </w:pPr>
                <w:r>
                  <w:rPr>
                    <w:lang w:val="es-ES"/>
                  </w:rPr>
                  <w:t>E/1990/5/Add.53</w:t>
                </w:r>
              </w:p>
              <w:p w:rsidR="00000000" w:rsidRDefault="00000000">
                <w:pPr>
                  <w:rPr>
                    <w:lang w:val="es-ES"/>
                  </w:rPr>
                </w:pPr>
                <w:r>
                  <w:rPr>
                    <w:lang w:val="es-ES"/>
                  </w:rPr>
                  <w:t xml:space="preserve">page </w:t>
                </w:r>
                <w:r>
                  <w:rPr>
                    <w:rStyle w:val="PageNumber"/>
                  </w:rPr>
                  <w:fldChar w:fldCharType="begin"/>
                </w:r>
                <w:r>
                  <w:rPr>
                    <w:rStyle w:val="PageNumber"/>
                    <w:lang w:val="es-ES"/>
                  </w:rPr>
                  <w:instrText xml:space="preserve"> PAGE </w:instrText>
                </w:r>
                <w:r>
                  <w:rPr>
                    <w:rStyle w:val="PageNumber"/>
                  </w:rPr>
                  <w:fldChar w:fldCharType="separate"/>
                </w:r>
                <w:r>
                  <w:rPr>
                    <w:rStyle w:val="PageNumber"/>
                    <w:lang w:val="es-ES"/>
                  </w:rPr>
                  <w:t>154</w:t>
                </w:r>
                <w:r>
                  <w:rPr>
                    <w:rStyle w:val="PageNumber"/>
                  </w:rPr>
                  <w:fldChar w:fldCharType="end"/>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rPr>
        <w:lang w:val="en-US"/>
      </w:rPr>
    </w:pPr>
    <w:r>
      <w:rPr>
        <w:lang w:val="en-US"/>
      </w:rPr>
      <w:t>E/1990/5/Add.53</w:t>
    </w:r>
  </w:p>
  <w:p w:rsidR="00000000" w:rsidRDefault="00000000">
    <w:pPr>
      <w:pStyle w:val="Header"/>
      <w:tabs>
        <w:tab w:val="left" w:pos="7371"/>
      </w:tabs>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342</w:t>
    </w:r>
    <w:r>
      <w:rPr>
        <w:rStyle w:val="PageNumber"/>
      </w:rPr>
      <w:fldChar w:fldCharType="end"/>
    </w:r>
  </w:p>
  <w:p w:rsidR="00000000" w:rsidRDefault="00000000">
    <w:pPr>
      <w:pStyle w:val="Header"/>
    </w:pPr>
  </w:p>
  <w:p w:rsidR="00000000" w:rsidRDefault="00000000">
    <w:pPr>
      <w:pStyle w:val="Header"/>
    </w:pPr>
    <w:r>
      <w:rPr>
        <w:noProof/>
        <w:sz w:val="20"/>
        <w:lang w:eastAsia="ru-RU"/>
      </w:rPr>
      <w:pict>
        <v:shapetype id="_x0000_t202" coordsize="21600,21600" o:spt="202" path="m,l,21600r21600,l21600,xe">
          <v:stroke joinstyle="miter"/>
          <v:path gradientshapeok="t" o:connecttype="rect"/>
        </v:shapetype>
        <v:shape id="_x0000_s2054" type="#_x0000_t202" style="position:absolute;margin-left:678.6pt;margin-top:42.5pt;width:48.75pt;height:165.85pt;z-index:3" filled="f" stroked="f">
          <v:textbox style="layout-flow:vertical">
            <w:txbxContent>
              <w:p w:rsidR="00000000" w:rsidRDefault="00000000">
                <w:pPr>
                  <w:pStyle w:val="Header"/>
                  <w:tabs>
                    <w:tab w:val="left" w:pos="7371"/>
                  </w:tabs>
                  <w:spacing w:line="240" w:lineRule="auto"/>
                  <w:rPr>
                    <w:lang w:val="en-US"/>
                  </w:rPr>
                </w:pPr>
                <w:r>
                  <w:rPr>
                    <w:lang w:val="en-US"/>
                  </w:rPr>
                  <w:t>E/1990/5/Add.53</w:t>
                </w:r>
              </w:p>
              <w:p w:rsidR="00000000" w:rsidRDefault="00000000">
                <w:pPr>
                  <w:pStyle w:val="Header"/>
                  <w:tabs>
                    <w:tab w:val="left" w:pos="7371"/>
                  </w:tabs>
                  <w:spacing w:line="240" w:lineRule="auto"/>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342</w:t>
                </w:r>
                <w:r>
                  <w:rPr>
                    <w:rStyle w:val="PageNumber"/>
                  </w:rPr>
                  <w:fldChar w:fldCharType="end"/>
                </w:r>
              </w:p>
            </w:txbxContent>
          </v:textbox>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spacing w:line="240" w:lineRule="auto"/>
      <w:ind w:left="7371"/>
      <w:rPr>
        <w:lang w:val="en-US"/>
      </w:rPr>
    </w:pPr>
    <w:r>
      <w:rPr>
        <w:lang w:val="en-US"/>
      </w:rPr>
      <w:t>E/1990/5/Add.53</w:t>
    </w:r>
  </w:p>
  <w:p w:rsidR="00000000" w:rsidRDefault="00000000">
    <w:pPr>
      <w:pStyle w:val="Header"/>
      <w:tabs>
        <w:tab w:val="left" w:pos="7371"/>
      </w:tabs>
      <w:spacing w:line="240" w:lineRule="auto"/>
      <w:ind w:left="7371"/>
      <w:rPr>
        <w:lang w:val="en-US"/>
      </w:rPr>
    </w:pPr>
    <w:r>
      <w:rPr>
        <w:lang w:val="en-US"/>
      </w:rPr>
      <w:t xml:space="preserve">page </w:t>
    </w:r>
    <w:r>
      <w:rPr>
        <w:rStyle w:val="PageNumber"/>
      </w:rPr>
      <w:fldChar w:fldCharType="begin"/>
    </w:r>
    <w:r>
      <w:rPr>
        <w:rStyle w:val="PageNumber"/>
        <w:lang w:val="en-US"/>
      </w:rPr>
      <w:instrText xml:space="preserve"> PAGE </w:instrText>
    </w:r>
    <w:r>
      <w:rPr>
        <w:rStyle w:val="PageNumber"/>
      </w:rPr>
      <w:fldChar w:fldCharType="separate"/>
    </w:r>
    <w:r>
      <w:rPr>
        <w:rStyle w:val="PageNumber"/>
        <w:lang w:val="en-US"/>
      </w:rPr>
      <w:t>343</w:t>
    </w:r>
    <w:r>
      <w:rPr>
        <w:rStyle w:val="PageNumber"/>
      </w:rPr>
      <w:fldChar w:fldCharType="end"/>
    </w:r>
  </w:p>
  <w:p w:rsidR="00000000" w:rsidRDefault="00000000">
    <w:pPr>
      <w:pStyle w:val="Header"/>
      <w:tabs>
        <w:tab w:val="left" w:pos="7371"/>
      </w:tabs>
      <w:spacing w:line="240" w:lineRule="auto"/>
      <w:ind w:left="7371"/>
    </w:pPr>
  </w:p>
  <w:p w:rsidR="00000000" w:rsidRDefault="00000000">
    <w:pPr>
      <w:pStyle w:val="Header"/>
      <w:tabs>
        <w:tab w:val="left" w:pos="7371"/>
      </w:tabs>
      <w:spacing w:line="240" w:lineRule="auto"/>
      <w:ind w:left="737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6B8CF2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CA1287F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nsid w:val="000500A5"/>
    <w:multiLevelType w:val="singleLevel"/>
    <w:tmpl w:val="118A400E"/>
    <w:lvl w:ilvl="0">
      <w:numFmt w:val="bullet"/>
      <w:lvlText w:val="-"/>
      <w:lvlJc w:val="left"/>
      <w:pPr>
        <w:tabs>
          <w:tab w:val="num" w:pos="4755"/>
        </w:tabs>
        <w:ind w:left="4755" w:hanging="360"/>
      </w:pPr>
      <w:rPr>
        <w:b/>
        <w:i w:val="0"/>
      </w:rPr>
    </w:lvl>
  </w:abstractNum>
  <w:abstractNum w:abstractNumId="20">
    <w:nsid w:val="001F5EFF"/>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1">
    <w:nsid w:val="004041C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2">
    <w:nsid w:val="00D10355"/>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3">
    <w:nsid w:val="01583C8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4">
    <w:nsid w:val="0160673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
    <w:nsid w:val="01A66345"/>
    <w:multiLevelType w:val="singleLevel"/>
    <w:tmpl w:val="297007DE"/>
    <w:lvl w:ilvl="0">
      <w:start w:val="1"/>
      <w:numFmt w:val="decimal"/>
      <w:lvlText w:val="6.%1. "/>
      <w:legacy w:legacy="1" w:legacySpace="0" w:legacyIndent="283"/>
      <w:lvlJc w:val="left"/>
      <w:pPr>
        <w:ind w:left="283" w:hanging="283"/>
      </w:pPr>
      <w:rPr>
        <w:rFonts w:ascii="Century Gothic" w:hAnsi="Century Gothic" w:hint="default"/>
        <w:b/>
        <w:i w:val="0"/>
        <w:sz w:val="24"/>
        <w:u w:val="none"/>
      </w:rPr>
    </w:lvl>
  </w:abstractNum>
  <w:abstractNum w:abstractNumId="26">
    <w:nsid w:val="01D31AF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7">
    <w:nsid w:val="020E7137"/>
    <w:multiLevelType w:val="singleLevel"/>
    <w:tmpl w:val="CAD4D1D8"/>
    <w:lvl w:ilvl="0">
      <w:start w:val="1"/>
      <w:numFmt w:val="bullet"/>
      <w:lvlText w:val=""/>
      <w:lvlJc w:val="left"/>
      <w:pPr>
        <w:tabs>
          <w:tab w:val="num" w:pos="360"/>
        </w:tabs>
        <w:ind w:left="360" w:hanging="360"/>
      </w:pPr>
      <w:rPr>
        <w:rFonts w:ascii="Wingdings" w:hAnsi="Wingdings" w:hint="default"/>
        <w:sz w:val="16"/>
      </w:rPr>
    </w:lvl>
  </w:abstractNum>
  <w:abstractNum w:abstractNumId="28">
    <w:nsid w:val="0287303F"/>
    <w:multiLevelType w:val="singleLevel"/>
    <w:tmpl w:val="37E0060A"/>
    <w:lvl w:ilvl="0">
      <w:start w:val="1"/>
      <w:numFmt w:val="decimal"/>
      <w:lvlText w:val="%1."/>
      <w:legacy w:legacy="1" w:legacySpace="0" w:legacyIndent="283"/>
      <w:lvlJc w:val="left"/>
      <w:pPr>
        <w:ind w:left="283" w:hanging="283"/>
      </w:pPr>
    </w:lvl>
  </w:abstractNum>
  <w:abstractNum w:abstractNumId="29">
    <w:nsid w:val="028E1F8C"/>
    <w:multiLevelType w:val="singleLevel"/>
    <w:tmpl w:val="118A400E"/>
    <w:lvl w:ilvl="0">
      <w:numFmt w:val="bullet"/>
      <w:lvlText w:val="-"/>
      <w:lvlJc w:val="left"/>
      <w:pPr>
        <w:tabs>
          <w:tab w:val="num" w:pos="4755"/>
        </w:tabs>
        <w:ind w:left="4755" w:hanging="360"/>
      </w:pPr>
      <w:rPr>
        <w:b/>
        <w:i w:val="0"/>
      </w:rPr>
    </w:lvl>
  </w:abstractNum>
  <w:abstractNum w:abstractNumId="30">
    <w:nsid w:val="0300491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1">
    <w:nsid w:val="03092D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2">
    <w:nsid w:val="030C21A3"/>
    <w:multiLevelType w:val="singleLevel"/>
    <w:tmpl w:val="24424B7C"/>
    <w:lvl w:ilvl="0">
      <w:start w:val="2"/>
      <w:numFmt w:val="decimal"/>
      <w:lvlText w:val="%1. "/>
      <w:legacy w:legacy="1" w:legacySpace="0" w:legacyIndent="283"/>
      <w:lvlJc w:val="left"/>
      <w:pPr>
        <w:ind w:left="1701" w:hanging="283"/>
      </w:pPr>
      <w:rPr>
        <w:rFonts w:ascii="Arial" w:hAnsi="Arial" w:hint="default"/>
        <w:b/>
        <w:i w:val="0"/>
        <w:sz w:val="24"/>
      </w:rPr>
    </w:lvl>
  </w:abstractNum>
  <w:abstractNum w:abstractNumId="33">
    <w:nsid w:val="031C05B7"/>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4">
    <w:nsid w:val="0373760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5">
    <w:nsid w:val="037B2B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
    <w:nsid w:val="03812D6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7">
    <w:nsid w:val="03841F0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8">
    <w:nsid w:val="038824F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9">
    <w:nsid w:val="039470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0">
    <w:nsid w:val="03C01A5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
    <w:nsid w:val="03D4091F"/>
    <w:multiLevelType w:val="singleLevel"/>
    <w:tmpl w:val="3240479A"/>
    <w:lvl w:ilvl="0">
      <w:start w:val="2"/>
      <w:numFmt w:val="lowerLetter"/>
      <w:lvlText w:val="%1."/>
      <w:lvlJc w:val="left"/>
      <w:pPr>
        <w:tabs>
          <w:tab w:val="num" w:pos="-15"/>
        </w:tabs>
        <w:ind w:left="-15" w:hanging="360"/>
      </w:pPr>
      <w:rPr>
        <w:rFonts w:hint="default"/>
      </w:rPr>
    </w:lvl>
  </w:abstractNum>
  <w:abstractNum w:abstractNumId="42">
    <w:nsid w:val="03DE0B9F"/>
    <w:multiLevelType w:val="singleLevel"/>
    <w:tmpl w:val="FFFFFFFF"/>
    <w:lvl w:ilvl="0">
      <w:numFmt w:val="decimal"/>
      <w:lvlText w:val="%1"/>
      <w:legacy w:legacy="1" w:legacySpace="0" w:legacyIndent="0"/>
      <w:lvlJc w:val="left"/>
    </w:lvl>
  </w:abstractNum>
  <w:abstractNum w:abstractNumId="43">
    <w:nsid w:val="048E5DF2"/>
    <w:multiLevelType w:val="singleLevel"/>
    <w:tmpl w:val="118A400E"/>
    <w:lvl w:ilvl="0">
      <w:numFmt w:val="bullet"/>
      <w:lvlText w:val="-"/>
      <w:lvlJc w:val="left"/>
      <w:pPr>
        <w:tabs>
          <w:tab w:val="num" w:pos="4755"/>
        </w:tabs>
        <w:ind w:left="4755" w:hanging="360"/>
      </w:pPr>
      <w:rPr>
        <w:b/>
        <w:i w:val="0"/>
      </w:rPr>
    </w:lvl>
  </w:abstractNum>
  <w:abstractNum w:abstractNumId="44">
    <w:nsid w:val="04DD3848"/>
    <w:multiLevelType w:val="singleLevel"/>
    <w:tmpl w:val="118A400E"/>
    <w:lvl w:ilvl="0">
      <w:numFmt w:val="bullet"/>
      <w:lvlText w:val="-"/>
      <w:lvlJc w:val="left"/>
      <w:pPr>
        <w:tabs>
          <w:tab w:val="num" w:pos="4755"/>
        </w:tabs>
        <w:ind w:left="4755" w:hanging="360"/>
      </w:pPr>
      <w:rPr>
        <w:b/>
        <w:i w:val="0"/>
      </w:rPr>
    </w:lvl>
  </w:abstractNum>
  <w:abstractNum w:abstractNumId="45">
    <w:nsid w:val="054B30AE"/>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6">
    <w:nsid w:val="058F682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7">
    <w:nsid w:val="059A1DA6"/>
    <w:multiLevelType w:val="multilevel"/>
    <w:tmpl w:val="33F22FCC"/>
    <w:lvl w:ilvl="0">
      <w:start w:val="3"/>
      <w:numFmt w:val="decimal"/>
      <w:lvlText w:val="%1"/>
      <w:lvlJc w:val="left"/>
      <w:pPr>
        <w:tabs>
          <w:tab w:val="num" w:pos="465"/>
        </w:tabs>
        <w:ind w:left="465" w:hanging="465"/>
      </w:pPr>
      <w:rPr>
        <w:rFonts w:hint="default"/>
      </w:rPr>
    </w:lvl>
    <w:lvl w:ilvl="1">
      <w:start w:val="7"/>
      <w:numFmt w:val="decimal"/>
      <w:lvlText w:val="%1.%2"/>
      <w:lvlJc w:val="left"/>
      <w:pPr>
        <w:tabs>
          <w:tab w:val="num" w:pos="1854"/>
        </w:tabs>
        <w:ind w:left="1854" w:hanging="465"/>
      </w:pPr>
      <w:rPr>
        <w:rFonts w:hint="default"/>
      </w:rPr>
    </w:lvl>
    <w:lvl w:ilvl="2">
      <w:start w:val="1"/>
      <w:numFmt w:val="decimal"/>
      <w:lvlText w:val="%1.%2.%3"/>
      <w:lvlJc w:val="left"/>
      <w:pPr>
        <w:tabs>
          <w:tab w:val="num" w:pos="3498"/>
        </w:tabs>
        <w:ind w:left="3498" w:hanging="720"/>
      </w:pPr>
      <w:rPr>
        <w:rFonts w:hint="default"/>
      </w:rPr>
    </w:lvl>
    <w:lvl w:ilvl="3">
      <w:start w:val="1"/>
      <w:numFmt w:val="decimal"/>
      <w:lvlText w:val="%1.%2.%3.%4"/>
      <w:lvlJc w:val="left"/>
      <w:pPr>
        <w:tabs>
          <w:tab w:val="num" w:pos="5247"/>
        </w:tabs>
        <w:ind w:left="5247" w:hanging="1080"/>
      </w:pPr>
      <w:rPr>
        <w:rFonts w:hint="default"/>
      </w:rPr>
    </w:lvl>
    <w:lvl w:ilvl="4">
      <w:start w:val="1"/>
      <w:numFmt w:val="decimal"/>
      <w:lvlText w:val="%1.%2.%3.%4.%5"/>
      <w:lvlJc w:val="left"/>
      <w:pPr>
        <w:tabs>
          <w:tab w:val="num" w:pos="6636"/>
        </w:tabs>
        <w:ind w:left="6636" w:hanging="1080"/>
      </w:pPr>
      <w:rPr>
        <w:rFonts w:hint="default"/>
      </w:rPr>
    </w:lvl>
    <w:lvl w:ilvl="5">
      <w:start w:val="1"/>
      <w:numFmt w:val="decimal"/>
      <w:lvlText w:val="%1.%2.%3.%4.%5.%6"/>
      <w:lvlJc w:val="left"/>
      <w:pPr>
        <w:tabs>
          <w:tab w:val="num" w:pos="8385"/>
        </w:tabs>
        <w:ind w:left="8385" w:hanging="1440"/>
      </w:pPr>
      <w:rPr>
        <w:rFonts w:hint="default"/>
      </w:rPr>
    </w:lvl>
    <w:lvl w:ilvl="6">
      <w:start w:val="1"/>
      <w:numFmt w:val="decimal"/>
      <w:lvlText w:val="%1.%2.%3.%4.%5.%6.%7"/>
      <w:lvlJc w:val="left"/>
      <w:pPr>
        <w:tabs>
          <w:tab w:val="num" w:pos="9774"/>
        </w:tabs>
        <w:ind w:left="9774" w:hanging="1440"/>
      </w:pPr>
      <w:rPr>
        <w:rFonts w:hint="default"/>
      </w:rPr>
    </w:lvl>
    <w:lvl w:ilvl="7">
      <w:start w:val="1"/>
      <w:numFmt w:val="decimal"/>
      <w:lvlText w:val="%1.%2.%3.%4.%5.%6.%7.%8"/>
      <w:lvlJc w:val="left"/>
      <w:pPr>
        <w:tabs>
          <w:tab w:val="num" w:pos="11523"/>
        </w:tabs>
        <w:ind w:left="11523" w:hanging="1800"/>
      </w:pPr>
      <w:rPr>
        <w:rFonts w:hint="default"/>
      </w:rPr>
    </w:lvl>
    <w:lvl w:ilvl="8">
      <w:start w:val="1"/>
      <w:numFmt w:val="decimal"/>
      <w:lvlText w:val="%1.%2.%3.%4.%5.%6.%7.%8.%9"/>
      <w:lvlJc w:val="left"/>
      <w:pPr>
        <w:tabs>
          <w:tab w:val="num" w:pos="12912"/>
        </w:tabs>
        <w:ind w:left="12912" w:hanging="1800"/>
      </w:pPr>
      <w:rPr>
        <w:rFonts w:hint="default"/>
      </w:rPr>
    </w:lvl>
  </w:abstractNum>
  <w:abstractNum w:abstractNumId="48">
    <w:nsid w:val="05AA6C5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9">
    <w:nsid w:val="05AA6E0E"/>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0">
    <w:nsid w:val="060D56C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1">
    <w:nsid w:val="06743B11"/>
    <w:multiLevelType w:val="singleLevel"/>
    <w:tmpl w:val="66567358"/>
    <w:lvl w:ilvl="0">
      <w:start w:val="1"/>
      <w:numFmt w:val="lowerLetter"/>
      <w:lvlText w:val="%1)"/>
      <w:lvlJc w:val="left"/>
      <w:pPr>
        <w:tabs>
          <w:tab w:val="num" w:pos="1770"/>
        </w:tabs>
        <w:ind w:left="1770" w:hanging="360"/>
      </w:pPr>
      <w:rPr>
        <w:rFonts w:hint="default"/>
        <w:b/>
      </w:rPr>
    </w:lvl>
  </w:abstractNum>
  <w:abstractNum w:abstractNumId="52">
    <w:nsid w:val="06C55E0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3">
    <w:nsid w:val="06ED54D9"/>
    <w:multiLevelType w:val="singleLevel"/>
    <w:tmpl w:val="89805F18"/>
    <w:lvl w:ilvl="0">
      <w:start w:val="1"/>
      <w:numFmt w:val="lowerLetter"/>
      <w:lvlText w:val="%1)"/>
      <w:lvlJc w:val="left"/>
      <w:pPr>
        <w:tabs>
          <w:tab w:val="num" w:pos="360"/>
        </w:tabs>
        <w:ind w:left="360" w:hanging="360"/>
      </w:pPr>
      <w:rPr>
        <w:rFonts w:hint="default"/>
        <w:b/>
      </w:rPr>
    </w:lvl>
  </w:abstractNum>
  <w:abstractNum w:abstractNumId="54">
    <w:nsid w:val="0748029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5">
    <w:nsid w:val="078E732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6">
    <w:nsid w:val="079478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7">
    <w:nsid w:val="07B551C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8">
    <w:nsid w:val="089E51ED"/>
    <w:multiLevelType w:val="singleLevel"/>
    <w:tmpl w:val="04160011"/>
    <w:lvl w:ilvl="0">
      <w:start w:val="1"/>
      <w:numFmt w:val="decimal"/>
      <w:lvlText w:val="%1)"/>
      <w:lvlJc w:val="left"/>
      <w:pPr>
        <w:tabs>
          <w:tab w:val="num" w:pos="360"/>
        </w:tabs>
        <w:ind w:left="360" w:hanging="360"/>
      </w:pPr>
      <w:rPr>
        <w:rFonts w:hint="default"/>
      </w:rPr>
    </w:lvl>
  </w:abstractNum>
  <w:abstractNum w:abstractNumId="59">
    <w:nsid w:val="08B8229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0">
    <w:nsid w:val="09105B75"/>
    <w:multiLevelType w:val="singleLevel"/>
    <w:tmpl w:val="E4D08734"/>
    <w:lvl w:ilvl="0">
      <w:start w:val="5"/>
      <w:numFmt w:val="decimal"/>
      <w:lvlText w:val="%1. "/>
      <w:legacy w:legacy="1" w:legacySpace="0" w:legacyIndent="283"/>
      <w:lvlJc w:val="left"/>
      <w:pPr>
        <w:ind w:left="283" w:hanging="283"/>
      </w:pPr>
      <w:rPr>
        <w:rFonts w:ascii="Arial" w:hAnsi="Arial" w:hint="default"/>
        <w:b w:val="0"/>
        <w:i w:val="0"/>
        <w:sz w:val="24"/>
      </w:rPr>
    </w:lvl>
  </w:abstractNum>
  <w:abstractNum w:abstractNumId="61">
    <w:nsid w:val="092F0479"/>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62">
    <w:nsid w:val="0930286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3">
    <w:nsid w:val="093745B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4">
    <w:nsid w:val="093C655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5">
    <w:nsid w:val="09E7017B"/>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6">
    <w:nsid w:val="0A0F01B4"/>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7">
    <w:nsid w:val="0A190CE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8">
    <w:nsid w:val="0A3A73E0"/>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69">
    <w:nsid w:val="0A9D5A84"/>
    <w:multiLevelType w:val="singleLevel"/>
    <w:tmpl w:val="118A400E"/>
    <w:lvl w:ilvl="0">
      <w:numFmt w:val="bullet"/>
      <w:lvlText w:val="-"/>
      <w:lvlJc w:val="left"/>
      <w:pPr>
        <w:tabs>
          <w:tab w:val="num" w:pos="4755"/>
        </w:tabs>
        <w:ind w:left="4755" w:hanging="360"/>
      </w:pPr>
      <w:rPr>
        <w:b/>
        <w:i w:val="0"/>
      </w:rPr>
    </w:lvl>
  </w:abstractNum>
  <w:abstractNum w:abstractNumId="70">
    <w:nsid w:val="0ACF62A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71">
    <w:nsid w:val="0AE05714"/>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72">
    <w:nsid w:val="0B0F5E4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3">
    <w:nsid w:val="0B346CC5"/>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74">
    <w:nsid w:val="0B8A689A"/>
    <w:multiLevelType w:val="singleLevel"/>
    <w:tmpl w:val="40427516"/>
    <w:lvl w:ilvl="0">
      <w:start w:val="1"/>
      <w:numFmt w:val="upperRoman"/>
      <w:lvlText w:val="%1."/>
      <w:lvlJc w:val="left"/>
      <w:pPr>
        <w:tabs>
          <w:tab w:val="num" w:pos="2138"/>
        </w:tabs>
        <w:ind w:left="2138" w:hanging="720"/>
      </w:pPr>
      <w:rPr>
        <w:rFonts w:hint="default"/>
      </w:rPr>
    </w:lvl>
  </w:abstractNum>
  <w:abstractNum w:abstractNumId="75">
    <w:nsid w:val="0C123D7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6">
    <w:nsid w:val="0C18302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7">
    <w:nsid w:val="0C2511C9"/>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78">
    <w:nsid w:val="0C485FE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9">
    <w:nsid w:val="0C5E2B37"/>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80">
    <w:nsid w:val="0C8571BE"/>
    <w:multiLevelType w:val="singleLevel"/>
    <w:tmpl w:val="3404C7E6"/>
    <w:lvl w:ilvl="0">
      <w:start w:val="1"/>
      <w:numFmt w:val="decimal"/>
      <w:lvlText w:val="%1."/>
      <w:lvlJc w:val="left"/>
      <w:pPr>
        <w:tabs>
          <w:tab w:val="num" w:pos="360"/>
        </w:tabs>
        <w:ind w:left="360" w:hanging="360"/>
      </w:pPr>
      <w:rPr>
        <w:b w:val="0"/>
        <w:i w:val="0"/>
      </w:rPr>
    </w:lvl>
  </w:abstractNum>
  <w:abstractNum w:abstractNumId="81">
    <w:nsid w:val="0CB774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82">
    <w:nsid w:val="0CC059D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83">
    <w:nsid w:val="0CFF3B38"/>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84">
    <w:nsid w:val="0D4A736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85">
    <w:nsid w:val="0D645E96"/>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86">
    <w:nsid w:val="0D7B54D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87">
    <w:nsid w:val="0DB4538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88">
    <w:nsid w:val="0DB51A70"/>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89">
    <w:nsid w:val="0E03409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90">
    <w:nsid w:val="0E4F231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91">
    <w:nsid w:val="0E533F4B"/>
    <w:multiLevelType w:val="singleLevel"/>
    <w:tmpl w:val="A8AA3604"/>
    <w:lvl w:ilvl="0">
      <w:start w:val="1"/>
      <w:numFmt w:val="decimal"/>
      <w:lvlText w:val="%1) "/>
      <w:legacy w:legacy="1" w:legacySpace="0" w:legacyIndent="283"/>
      <w:lvlJc w:val="left"/>
      <w:pPr>
        <w:ind w:left="567" w:hanging="283"/>
      </w:pPr>
      <w:rPr>
        <w:rFonts w:ascii="Arial" w:hAnsi="Arial" w:hint="default"/>
        <w:b w:val="0"/>
        <w:i w:val="0"/>
        <w:sz w:val="21"/>
        <w:u w:val="none"/>
      </w:rPr>
    </w:lvl>
  </w:abstractNum>
  <w:abstractNum w:abstractNumId="92">
    <w:nsid w:val="0E54511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93">
    <w:nsid w:val="0E6743D4"/>
    <w:multiLevelType w:val="singleLevel"/>
    <w:tmpl w:val="A62A0A42"/>
    <w:lvl w:ilvl="0">
      <w:start w:val="1"/>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94">
    <w:nsid w:val="0E7F4FF1"/>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95">
    <w:nsid w:val="0EB26999"/>
    <w:multiLevelType w:val="multilevel"/>
    <w:tmpl w:val="DFB234DC"/>
    <w:lvl w:ilvl="0">
      <w:start w:val="5"/>
      <w:numFmt w:val="decimal"/>
      <w:lvlText w:val="%1."/>
      <w:lvlJc w:val="left"/>
      <w:pPr>
        <w:tabs>
          <w:tab w:val="num" w:pos="800"/>
        </w:tabs>
        <w:ind w:left="800" w:hanging="800"/>
      </w:pPr>
      <w:rPr>
        <w:rFonts w:hint="default"/>
        <w:b/>
      </w:rPr>
    </w:lvl>
    <w:lvl w:ilvl="1">
      <w:start w:val="3"/>
      <w:numFmt w:val="decimal"/>
      <w:lvlText w:val="%1.%2."/>
      <w:lvlJc w:val="left"/>
      <w:pPr>
        <w:tabs>
          <w:tab w:val="num" w:pos="800"/>
        </w:tabs>
        <w:ind w:left="800" w:hanging="800"/>
      </w:pPr>
      <w:rPr>
        <w:rFonts w:hint="default"/>
        <w:b/>
      </w:rPr>
    </w:lvl>
    <w:lvl w:ilvl="2">
      <w:start w:val="4"/>
      <w:numFmt w:val="decimal"/>
      <w:lvlText w:val="%1.%2.%3."/>
      <w:lvlJc w:val="left"/>
      <w:pPr>
        <w:tabs>
          <w:tab w:val="num" w:pos="800"/>
        </w:tabs>
        <w:ind w:left="800" w:hanging="800"/>
      </w:pPr>
      <w:rPr>
        <w:rFonts w:hint="default"/>
        <w:b/>
      </w:rPr>
    </w:lvl>
    <w:lvl w:ilvl="3">
      <w:start w:val="2"/>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96">
    <w:nsid w:val="0EB60CE1"/>
    <w:multiLevelType w:val="singleLevel"/>
    <w:tmpl w:val="02B67C94"/>
    <w:lvl w:ilvl="0">
      <w:start w:val="8"/>
      <w:numFmt w:val="decimal"/>
      <w:lvlText w:val="%1. "/>
      <w:legacy w:legacy="1" w:legacySpace="0" w:legacyIndent="283"/>
      <w:lvlJc w:val="left"/>
      <w:pPr>
        <w:ind w:left="1701" w:hanging="283"/>
      </w:pPr>
      <w:rPr>
        <w:rFonts w:ascii="Arial" w:hAnsi="Arial" w:hint="default"/>
        <w:b/>
        <w:i w:val="0"/>
        <w:sz w:val="24"/>
      </w:rPr>
    </w:lvl>
  </w:abstractNum>
  <w:abstractNum w:abstractNumId="97">
    <w:nsid w:val="0ED7078C"/>
    <w:multiLevelType w:val="singleLevel"/>
    <w:tmpl w:val="04160017"/>
    <w:lvl w:ilvl="0">
      <w:start w:val="1"/>
      <w:numFmt w:val="lowerLetter"/>
      <w:lvlText w:val="%1)"/>
      <w:lvlJc w:val="left"/>
      <w:pPr>
        <w:tabs>
          <w:tab w:val="num" w:pos="360"/>
        </w:tabs>
        <w:ind w:left="360" w:hanging="360"/>
      </w:pPr>
      <w:rPr>
        <w:rFonts w:hint="default"/>
      </w:rPr>
    </w:lvl>
  </w:abstractNum>
  <w:abstractNum w:abstractNumId="98">
    <w:nsid w:val="0F027A6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99">
    <w:nsid w:val="0F264EFF"/>
    <w:multiLevelType w:val="singleLevel"/>
    <w:tmpl w:val="04160011"/>
    <w:lvl w:ilvl="0">
      <w:start w:val="1"/>
      <w:numFmt w:val="decimal"/>
      <w:lvlText w:val="%1)"/>
      <w:legacy w:legacy="1" w:legacySpace="0" w:legacyIndent="360"/>
      <w:lvlJc w:val="left"/>
      <w:pPr>
        <w:ind w:left="360" w:hanging="360"/>
      </w:pPr>
    </w:lvl>
  </w:abstractNum>
  <w:abstractNum w:abstractNumId="100">
    <w:nsid w:val="0F445C1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01">
    <w:nsid w:val="0FA31B7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02">
    <w:nsid w:val="0FC47EE4"/>
    <w:multiLevelType w:val="singleLevel"/>
    <w:tmpl w:val="0416000F"/>
    <w:lvl w:ilvl="0">
      <w:start w:val="1"/>
      <w:numFmt w:val="decimal"/>
      <w:lvlText w:val="%1."/>
      <w:lvlJc w:val="left"/>
      <w:pPr>
        <w:tabs>
          <w:tab w:val="num" w:pos="360"/>
        </w:tabs>
        <w:ind w:left="360" w:hanging="360"/>
      </w:pPr>
    </w:lvl>
  </w:abstractNum>
  <w:abstractNum w:abstractNumId="103">
    <w:nsid w:val="0FF6750D"/>
    <w:multiLevelType w:val="singleLevel"/>
    <w:tmpl w:val="7474FDB4"/>
    <w:lvl w:ilvl="0">
      <w:start w:val="4"/>
      <w:numFmt w:val="lowerRoman"/>
      <w:lvlText w:val="%1)"/>
      <w:lvlJc w:val="left"/>
      <w:pPr>
        <w:tabs>
          <w:tab w:val="num" w:pos="2130"/>
        </w:tabs>
        <w:ind w:left="2130" w:hanging="720"/>
      </w:pPr>
      <w:rPr>
        <w:rFonts w:hint="default"/>
      </w:rPr>
    </w:lvl>
  </w:abstractNum>
  <w:abstractNum w:abstractNumId="104">
    <w:nsid w:val="10106FF8"/>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105">
    <w:nsid w:val="10110E3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06">
    <w:nsid w:val="1083307A"/>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107">
    <w:nsid w:val="10C470D3"/>
    <w:multiLevelType w:val="singleLevel"/>
    <w:tmpl w:val="118A400E"/>
    <w:lvl w:ilvl="0">
      <w:numFmt w:val="bullet"/>
      <w:lvlText w:val="-"/>
      <w:lvlJc w:val="left"/>
      <w:pPr>
        <w:tabs>
          <w:tab w:val="num" w:pos="4755"/>
        </w:tabs>
        <w:ind w:left="4755" w:hanging="360"/>
      </w:pPr>
      <w:rPr>
        <w:b/>
        <w:i w:val="0"/>
      </w:rPr>
    </w:lvl>
  </w:abstractNum>
  <w:abstractNum w:abstractNumId="108">
    <w:nsid w:val="10EF434C"/>
    <w:multiLevelType w:val="singleLevel"/>
    <w:tmpl w:val="461E46FA"/>
    <w:lvl w:ilvl="0">
      <w:start w:val="1"/>
      <w:numFmt w:val="lowerLetter"/>
      <w:lvlText w:val="%1"/>
      <w:legacy w:legacy="1" w:legacySpace="0" w:legacyIndent="1778"/>
      <w:lvlJc w:val="left"/>
      <w:pPr>
        <w:ind w:left="3196" w:hanging="1778"/>
      </w:pPr>
      <w:rPr>
        <w:b/>
      </w:rPr>
    </w:lvl>
  </w:abstractNum>
  <w:abstractNum w:abstractNumId="109">
    <w:nsid w:val="1111648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10">
    <w:nsid w:val="11826C4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11">
    <w:nsid w:val="11D423A5"/>
    <w:multiLevelType w:val="multilevel"/>
    <w:tmpl w:val="43385248"/>
    <w:lvl w:ilvl="0">
      <w:start w:val="8"/>
      <w:numFmt w:val="decimal"/>
      <w:lvlText w:val="%1"/>
      <w:lvlJc w:val="left"/>
      <w:pPr>
        <w:tabs>
          <w:tab w:val="num" w:pos="465"/>
        </w:tabs>
        <w:ind w:left="465" w:hanging="465"/>
      </w:pPr>
      <w:rPr>
        <w:rFonts w:hint="default"/>
      </w:rPr>
    </w:lvl>
    <w:lvl w:ilvl="1">
      <w:start w:val="3"/>
      <w:numFmt w:val="decimal"/>
      <w:lvlText w:val="%1.%2"/>
      <w:lvlJc w:val="left"/>
      <w:pPr>
        <w:tabs>
          <w:tab w:val="num" w:pos="1914"/>
        </w:tabs>
        <w:ind w:left="1914" w:hanging="465"/>
      </w:pPr>
      <w:rPr>
        <w:rFonts w:hint="default"/>
      </w:rPr>
    </w:lvl>
    <w:lvl w:ilvl="2">
      <w:start w:val="1"/>
      <w:numFmt w:val="decimal"/>
      <w:lvlText w:val="%1.%2.%3"/>
      <w:lvlJc w:val="left"/>
      <w:pPr>
        <w:tabs>
          <w:tab w:val="num" w:pos="3618"/>
        </w:tabs>
        <w:ind w:left="3618" w:hanging="720"/>
      </w:pPr>
      <w:rPr>
        <w:rFonts w:hint="default"/>
      </w:rPr>
    </w:lvl>
    <w:lvl w:ilvl="3">
      <w:start w:val="1"/>
      <w:numFmt w:val="decimal"/>
      <w:lvlText w:val="%1.%2.%3.%4"/>
      <w:lvlJc w:val="left"/>
      <w:pPr>
        <w:tabs>
          <w:tab w:val="num" w:pos="5427"/>
        </w:tabs>
        <w:ind w:left="5427" w:hanging="1080"/>
      </w:pPr>
      <w:rPr>
        <w:rFonts w:hint="default"/>
      </w:rPr>
    </w:lvl>
    <w:lvl w:ilvl="4">
      <w:start w:val="1"/>
      <w:numFmt w:val="decimal"/>
      <w:lvlText w:val="%1.%2.%3.%4.%5"/>
      <w:lvlJc w:val="left"/>
      <w:pPr>
        <w:tabs>
          <w:tab w:val="num" w:pos="6876"/>
        </w:tabs>
        <w:ind w:left="6876" w:hanging="1080"/>
      </w:pPr>
      <w:rPr>
        <w:rFonts w:hint="default"/>
      </w:rPr>
    </w:lvl>
    <w:lvl w:ilvl="5">
      <w:start w:val="1"/>
      <w:numFmt w:val="decimal"/>
      <w:lvlText w:val="%1.%2.%3.%4.%5.%6"/>
      <w:lvlJc w:val="left"/>
      <w:pPr>
        <w:tabs>
          <w:tab w:val="num" w:pos="8685"/>
        </w:tabs>
        <w:ind w:left="8685" w:hanging="1440"/>
      </w:pPr>
      <w:rPr>
        <w:rFonts w:hint="default"/>
      </w:rPr>
    </w:lvl>
    <w:lvl w:ilvl="6">
      <w:start w:val="1"/>
      <w:numFmt w:val="decimal"/>
      <w:lvlText w:val="%1.%2.%3.%4.%5.%6.%7"/>
      <w:lvlJc w:val="left"/>
      <w:pPr>
        <w:tabs>
          <w:tab w:val="num" w:pos="10134"/>
        </w:tabs>
        <w:ind w:left="10134" w:hanging="1440"/>
      </w:pPr>
      <w:rPr>
        <w:rFonts w:hint="default"/>
      </w:rPr>
    </w:lvl>
    <w:lvl w:ilvl="7">
      <w:start w:val="1"/>
      <w:numFmt w:val="decimal"/>
      <w:lvlText w:val="%1.%2.%3.%4.%5.%6.%7.%8"/>
      <w:lvlJc w:val="left"/>
      <w:pPr>
        <w:tabs>
          <w:tab w:val="num" w:pos="11943"/>
        </w:tabs>
        <w:ind w:left="11943" w:hanging="1800"/>
      </w:pPr>
      <w:rPr>
        <w:rFonts w:hint="default"/>
      </w:rPr>
    </w:lvl>
    <w:lvl w:ilvl="8">
      <w:start w:val="1"/>
      <w:numFmt w:val="decimal"/>
      <w:lvlText w:val="%1.%2.%3.%4.%5.%6.%7.%8.%9"/>
      <w:lvlJc w:val="left"/>
      <w:pPr>
        <w:tabs>
          <w:tab w:val="num" w:pos="13392"/>
        </w:tabs>
        <w:ind w:left="13392" w:hanging="1800"/>
      </w:pPr>
      <w:rPr>
        <w:rFonts w:hint="default"/>
      </w:rPr>
    </w:lvl>
  </w:abstractNum>
  <w:abstractNum w:abstractNumId="112">
    <w:nsid w:val="121269E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13">
    <w:nsid w:val="122A0BFE"/>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114">
    <w:nsid w:val="128C42B2"/>
    <w:multiLevelType w:val="singleLevel"/>
    <w:tmpl w:val="CC0437A2"/>
    <w:lvl w:ilvl="0">
      <w:start w:val="4"/>
      <w:numFmt w:val="decimal"/>
      <w:lvlText w:val="%1-"/>
      <w:lvlJc w:val="left"/>
      <w:pPr>
        <w:tabs>
          <w:tab w:val="num" w:pos="705"/>
        </w:tabs>
        <w:ind w:left="705" w:hanging="705"/>
      </w:pPr>
      <w:rPr>
        <w:rFonts w:hint="default"/>
      </w:rPr>
    </w:lvl>
  </w:abstractNum>
  <w:abstractNum w:abstractNumId="115">
    <w:nsid w:val="129B05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16">
    <w:nsid w:val="129F217F"/>
    <w:multiLevelType w:val="singleLevel"/>
    <w:tmpl w:val="FFFFFFFF"/>
    <w:lvl w:ilvl="0">
      <w:numFmt w:val="decimal"/>
      <w:lvlText w:val="%1"/>
      <w:legacy w:legacy="1" w:legacySpace="0" w:legacyIndent="0"/>
      <w:lvlJc w:val="left"/>
    </w:lvl>
  </w:abstractNum>
  <w:abstractNum w:abstractNumId="117">
    <w:nsid w:val="13153F26"/>
    <w:multiLevelType w:val="singleLevel"/>
    <w:tmpl w:val="118A400E"/>
    <w:lvl w:ilvl="0">
      <w:numFmt w:val="bullet"/>
      <w:lvlText w:val="-"/>
      <w:lvlJc w:val="left"/>
      <w:pPr>
        <w:tabs>
          <w:tab w:val="num" w:pos="4755"/>
        </w:tabs>
        <w:ind w:left="4755" w:hanging="360"/>
      </w:pPr>
      <w:rPr>
        <w:b/>
        <w:i w:val="0"/>
      </w:rPr>
    </w:lvl>
  </w:abstractNum>
  <w:abstractNum w:abstractNumId="118">
    <w:nsid w:val="131B17F6"/>
    <w:multiLevelType w:val="singleLevel"/>
    <w:tmpl w:val="C13801E4"/>
    <w:lvl w:ilvl="0">
      <w:start w:val="1"/>
      <w:numFmt w:val="lowerLetter"/>
      <w:lvlText w:val="%1)"/>
      <w:lvlJc w:val="left"/>
      <w:pPr>
        <w:tabs>
          <w:tab w:val="num" w:pos="1066"/>
        </w:tabs>
        <w:ind w:left="1066" w:hanging="360"/>
      </w:pPr>
      <w:rPr>
        <w:rFonts w:hint="default"/>
      </w:rPr>
    </w:lvl>
  </w:abstractNum>
  <w:abstractNum w:abstractNumId="119">
    <w:nsid w:val="1376479F"/>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120">
    <w:nsid w:val="1376579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1">
    <w:nsid w:val="13973EF5"/>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12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23">
    <w:nsid w:val="13F97C0A"/>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24">
    <w:nsid w:val="140374D8"/>
    <w:multiLevelType w:val="singleLevel"/>
    <w:tmpl w:val="974A6E94"/>
    <w:lvl w:ilvl="0">
      <w:start w:val="4"/>
      <w:numFmt w:val="decimal"/>
      <w:lvlText w:val="%1."/>
      <w:lvlJc w:val="left"/>
      <w:pPr>
        <w:tabs>
          <w:tab w:val="num" w:pos="705"/>
        </w:tabs>
        <w:ind w:left="705" w:hanging="705"/>
      </w:pPr>
      <w:rPr>
        <w:rFonts w:hint="default"/>
      </w:rPr>
    </w:lvl>
  </w:abstractNum>
  <w:abstractNum w:abstractNumId="125">
    <w:nsid w:val="140D6C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26">
    <w:nsid w:val="14292C1E"/>
    <w:multiLevelType w:val="singleLevel"/>
    <w:tmpl w:val="118A400E"/>
    <w:lvl w:ilvl="0">
      <w:numFmt w:val="bullet"/>
      <w:lvlText w:val="-"/>
      <w:lvlJc w:val="left"/>
      <w:pPr>
        <w:tabs>
          <w:tab w:val="num" w:pos="4755"/>
        </w:tabs>
        <w:ind w:left="4755" w:hanging="360"/>
      </w:pPr>
      <w:rPr>
        <w:b/>
        <w:i w:val="0"/>
      </w:rPr>
    </w:lvl>
  </w:abstractNum>
  <w:abstractNum w:abstractNumId="127">
    <w:nsid w:val="14471D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28">
    <w:nsid w:val="14633CF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29">
    <w:nsid w:val="14775834"/>
    <w:multiLevelType w:val="singleLevel"/>
    <w:tmpl w:val="0416000F"/>
    <w:lvl w:ilvl="0">
      <w:start w:val="7"/>
      <w:numFmt w:val="decimal"/>
      <w:lvlText w:val="%1."/>
      <w:lvlJc w:val="left"/>
      <w:pPr>
        <w:tabs>
          <w:tab w:val="num" w:pos="360"/>
        </w:tabs>
        <w:ind w:left="360" w:hanging="360"/>
      </w:pPr>
      <w:rPr>
        <w:rFonts w:hint="default"/>
        <w:b w:val="0"/>
      </w:rPr>
    </w:lvl>
  </w:abstractNum>
  <w:abstractNum w:abstractNumId="130">
    <w:nsid w:val="1486005E"/>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31">
    <w:nsid w:val="14E37928"/>
    <w:multiLevelType w:val="singleLevel"/>
    <w:tmpl w:val="6A5CBA14"/>
    <w:lvl w:ilvl="0">
      <w:start w:val="3"/>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132">
    <w:nsid w:val="14E7234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3">
    <w:nsid w:val="15063A6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34">
    <w:nsid w:val="1515755C"/>
    <w:multiLevelType w:val="singleLevel"/>
    <w:tmpl w:val="48626BCE"/>
    <w:lvl w:ilvl="0">
      <w:start w:val="7"/>
      <w:numFmt w:val="decimal"/>
      <w:lvlText w:val="%1. "/>
      <w:legacy w:legacy="1" w:legacySpace="0" w:legacyIndent="283"/>
      <w:lvlJc w:val="left"/>
      <w:pPr>
        <w:ind w:left="1701" w:hanging="283"/>
      </w:pPr>
      <w:rPr>
        <w:rFonts w:ascii="Arial" w:hAnsi="Arial" w:hint="default"/>
        <w:b/>
        <w:i w:val="0"/>
        <w:sz w:val="24"/>
      </w:rPr>
    </w:lvl>
  </w:abstractNum>
  <w:abstractNum w:abstractNumId="135">
    <w:nsid w:val="152447BA"/>
    <w:multiLevelType w:val="singleLevel"/>
    <w:tmpl w:val="E8547C0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136">
    <w:nsid w:val="15923E9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37">
    <w:nsid w:val="15AA51BA"/>
    <w:multiLevelType w:val="singleLevel"/>
    <w:tmpl w:val="0416000F"/>
    <w:lvl w:ilvl="0">
      <w:start w:val="1"/>
      <w:numFmt w:val="decimal"/>
      <w:lvlText w:val="%1."/>
      <w:lvlJc w:val="left"/>
      <w:pPr>
        <w:tabs>
          <w:tab w:val="num" w:pos="360"/>
        </w:tabs>
        <w:ind w:left="360" w:hanging="360"/>
      </w:pPr>
      <w:rPr>
        <w:rFonts w:hint="default"/>
      </w:rPr>
    </w:lvl>
  </w:abstractNum>
  <w:abstractNum w:abstractNumId="138">
    <w:nsid w:val="15C5493E"/>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39">
    <w:nsid w:val="15D714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0">
    <w:nsid w:val="15E76B2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1">
    <w:nsid w:val="1647537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2">
    <w:nsid w:val="16573F4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43">
    <w:nsid w:val="168474C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4">
    <w:nsid w:val="16A9172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45">
    <w:nsid w:val="16D64C3D"/>
    <w:multiLevelType w:val="singleLevel"/>
    <w:tmpl w:val="118A400E"/>
    <w:lvl w:ilvl="0">
      <w:numFmt w:val="bullet"/>
      <w:lvlText w:val="-"/>
      <w:lvlJc w:val="left"/>
      <w:pPr>
        <w:tabs>
          <w:tab w:val="num" w:pos="4755"/>
        </w:tabs>
        <w:ind w:left="4755" w:hanging="360"/>
      </w:pPr>
      <w:rPr>
        <w:b/>
        <w:i w:val="0"/>
      </w:rPr>
    </w:lvl>
  </w:abstractNum>
  <w:abstractNum w:abstractNumId="146">
    <w:nsid w:val="16F612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47">
    <w:nsid w:val="17250B2F"/>
    <w:multiLevelType w:val="singleLevel"/>
    <w:tmpl w:val="6C625D34"/>
    <w:lvl w:ilvl="0">
      <w:start w:val="1"/>
      <w:numFmt w:val="lowerLetter"/>
      <w:lvlText w:val="(%1)"/>
      <w:lvlJc w:val="left"/>
      <w:pPr>
        <w:tabs>
          <w:tab w:val="num" w:pos="1068"/>
        </w:tabs>
        <w:ind w:left="1068" w:hanging="360"/>
      </w:pPr>
      <w:rPr>
        <w:rFonts w:hint="default"/>
      </w:rPr>
    </w:lvl>
  </w:abstractNum>
  <w:abstractNum w:abstractNumId="148">
    <w:nsid w:val="172B7A9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49">
    <w:nsid w:val="177634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50">
    <w:nsid w:val="178035D3"/>
    <w:multiLevelType w:val="multilevel"/>
    <w:tmpl w:val="19C2893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nsid w:val="17927247"/>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52">
    <w:nsid w:val="17A30C5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53">
    <w:nsid w:val="17DD29B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4">
    <w:nsid w:val="17E15125"/>
    <w:multiLevelType w:val="singleLevel"/>
    <w:tmpl w:val="D1EE1D0C"/>
    <w:lvl w:ilvl="0">
      <w:start w:val="3"/>
      <w:numFmt w:val="decimal"/>
      <w:lvlText w:val="%1."/>
      <w:lvlJc w:val="left"/>
      <w:pPr>
        <w:tabs>
          <w:tab w:val="num" w:pos="360"/>
        </w:tabs>
        <w:ind w:left="360" w:hanging="360"/>
      </w:pPr>
      <w:rPr>
        <w:rFonts w:hint="default"/>
        <w:b/>
      </w:rPr>
    </w:lvl>
  </w:abstractNum>
  <w:abstractNum w:abstractNumId="155">
    <w:nsid w:val="17EE358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56">
    <w:nsid w:val="188C64A8"/>
    <w:multiLevelType w:val="singleLevel"/>
    <w:tmpl w:val="9FBA0D68"/>
    <w:lvl w:ilvl="0">
      <w:start w:val="8"/>
      <w:numFmt w:val="decimal"/>
      <w:lvlText w:val="%1)"/>
      <w:lvlJc w:val="left"/>
      <w:pPr>
        <w:tabs>
          <w:tab w:val="num" w:pos="1353"/>
        </w:tabs>
        <w:ind w:left="1353" w:hanging="360"/>
      </w:pPr>
      <w:rPr>
        <w:rFonts w:hint="default"/>
      </w:rPr>
    </w:lvl>
  </w:abstractNum>
  <w:abstractNum w:abstractNumId="157">
    <w:nsid w:val="18911B6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58">
    <w:nsid w:val="189552F2"/>
    <w:multiLevelType w:val="multilevel"/>
    <w:tmpl w:val="920668FC"/>
    <w:lvl w:ilvl="0">
      <w:start w:val="3"/>
      <w:numFmt w:val="decimal"/>
      <w:lvlText w:val="%1"/>
      <w:lvlJc w:val="left"/>
      <w:pPr>
        <w:tabs>
          <w:tab w:val="num" w:pos="360"/>
        </w:tabs>
        <w:ind w:left="360" w:hanging="360"/>
      </w:pPr>
      <w:rPr>
        <w:rFonts w:hint="default"/>
      </w:rPr>
    </w:lvl>
    <w:lvl w:ilvl="1">
      <w:start w:val="7"/>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9">
    <w:nsid w:val="18A65DC7"/>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60">
    <w:nsid w:val="18FC43A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61">
    <w:nsid w:val="191572B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62">
    <w:nsid w:val="19267CC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163">
    <w:nsid w:val="192C5F4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64">
    <w:nsid w:val="19A04EB5"/>
    <w:multiLevelType w:val="multilevel"/>
    <w:tmpl w:val="654687A0"/>
    <w:lvl w:ilvl="0">
      <w:start w:val="7"/>
      <w:numFmt w:val="decimal"/>
      <w:lvlText w:val="%1"/>
      <w:lvlJc w:val="left"/>
      <w:pPr>
        <w:tabs>
          <w:tab w:val="num" w:pos="465"/>
        </w:tabs>
        <w:ind w:left="465" w:hanging="465"/>
      </w:pPr>
      <w:rPr>
        <w:rFonts w:hint="default"/>
      </w:rPr>
    </w:lvl>
    <w:lvl w:ilvl="1">
      <w:start w:val="5"/>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165">
    <w:nsid w:val="19B85BFD"/>
    <w:multiLevelType w:val="singleLevel"/>
    <w:tmpl w:val="79C028B6"/>
    <w:lvl w:ilvl="0">
      <w:start w:val="64"/>
      <w:numFmt w:val="decimal"/>
      <w:lvlText w:val="%1."/>
      <w:lvlJc w:val="left"/>
      <w:pPr>
        <w:tabs>
          <w:tab w:val="num" w:pos="705"/>
        </w:tabs>
        <w:ind w:left="705" w:hanging="705"/>
      </w:pPr>
      <w:rPr>
        <w:rFonts w:hint="default"/>
      </w:rPr>
    </w:lvl>
  </w:abstractNum>
  <w:abstractNum w:abstractNumId="166">
    <w:nsid w:val="19D067DC"/>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167">
    <w:nsid w:val="19DA7E4B"/>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68">
    <w:nsid w:val="19F74342"/>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169">
    <w:nsid w:val="19FA3C6F"/>
    <w:multiLevelType w:val="singleLevel"/>
    <w:tmpl w:val="FFFFFFFF"/>
    <w:lvl w:ilvl="0">
      <w:numFmt w:val="decimal"/>
      <w:lvlText w:val="%1"/>
      <w:legacy w:legacy="1" w:legacySpace="0" w:legacyIndent="0"/>
      <w:lvlJc w:val="left"/>
    </w:lvl>
  </w:abstractNum>
  <w:abstractNum w:abstractNumId="170">
    <w:nsid w:val="1A380AE1"/>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171">
    <w:nsid w:val="1AA02E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172">
    <w:nsid w:val="1AA14E1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73">
    <w:nsid w:val="1ABD085B"/>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174">
    <w:nsid w:val="1B4716E5"/>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175">
    <w:nsid w:val="1B623EE9"/>
    <w:multiLevelType w:val="singleLevel"/>
    <w:tmpl w:val="461E46FA"/>
    <w:lvl w:ilvl="0">
      <w:start w:val="1"/>
      <w:numFmt w:val="lowerLetter"/>
      <w:lvlText w:val="%1"/>
      <w:legacy w:legacy="1" w:legacySpace="0" w:legacyIndent="1778"/>
      <w:lvlJc w:val="left"/>
      <w:pPr>
        <w:ind w:left="3196" w:hanging="1778"/>
      </w:pPr>
      <w:rPr>
        <w:b/>
      </w:rPr>
    </w:lvl>
  </w:abstractNum>
  <w:abstractNum w:abstractNumId="176">
    <w:nsid w:val="1B710249"/>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177">
    <w:nsid w:val="1B86149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178">
    <w:nsid w:val="1BB100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79">
    <w:nsid w:val="1C1C0AC1"/>
    <w:multiLevelType w:val="singleLevel"/>
    <w:tmpl w:val="118A400E"/>
    <w:lvl w:ilvl="0">
      <w:numFmt w:val="bullet"/>
      <w:lvlText w:val="-"/>
      <w:lvlJc w:val="left"/>
      <w:pPr>
        <w:tabs>
          <w:tab w:val="num" w:pos="4755"/>
        </w:tabs>
        <w:ind w:left="4755" w:hanging="360"/>
      </w:pPr>
      <w:rPr>
        <w:b/>
        <w:i w:val="0"/>
      </w:rPr>
    </w:lvl>
  </w:abstractNum>
  <w:abstractNum w:abstractNumId="180">
    <w:nsid w:val="1C2B6364"/>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81">
    <w:nsid w:val="1C33147C"/>
    <w:multiLevelType w:val="singleLevel"/>
    <w:tmpl w:val="118A400E"/>
    <w:lvl w:ilvl="0">
      <w:numFmt w:val="bullet"/>
      <w:lvlText w:val="-"/>
      <w:lvlJc w:val="left"/>
      <w:pPr>
        <w:tabs>
          <w:tab w:val="num" w:pos="4755"/>
        </w:tabs>
        <w:ind w:left="4755" w:hanging="360"/>
      </w:pPr>
      <w:rPr>
        <w:b/>
        <w:i w:val="0"/>
      </w:rPr>
    </w:lvl>
  </w:abstractNum>
  <w:abstractNum w:abstractNumId="182">
    <w:nsid w:val="1C691B7C"/>
    <w:multiLevelType w:val="singleLevel"/>
    <w:tmpl w:val="12C6BB82"/>
    <w:lvl w:ilvl="0">
      <w:numFmt w:val="bullet"/>
      <w:lvlText w:val="-"/>
      <w:lvlJc w:val="left"/>
      <w:pPr>
        <w:tabs>
          <w:tab w:val="num" w:pos="360"/>
        </w:tabs>
        <w:ind w:left="360" w:hanging="360"/>
      </w:pPr>
      <w:rPr>
        <w:rFonts w:ascii="Times New Roman" w:hAnsi="Times New Roman" w:hint="default"/>
      </w:rPr>
    </w:lvl>
  </w:abstractNum>
  <w:abstractNum w:abstractNumId="183">
    <w:nsid w:val="1C8B250B"/>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184">
    <w:nsid w:val="1CC146C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185">
    <w:nsid w:val="1CE35D09"/>
    <w:multiLevelType w:val="singleLevel"/>
    <w:tmpl w:val="EFB45064"/>
    <w:lvl w:ilvl="0">
      <w:start w:val="1"/>
      <w:numFmt w:val="lowerLetter"/>
      <w:lvlText w:val="(%1)"/>
      <w:lvlJc w:val="left"/>
      <w:pPr>
        <w:tabs>
          <w:tab w:val="num" w:pos="1080"/>
        </w:tabs>
        <w:ind w:left="1080" w:hanging="375"/>
      </w:pPr>
      <w:rPr>
        <w:rFonts w:hint="default"/>
      </w:rPr>
    </w:lvl>
  </w:abstractNum>
  <w:abstractNum w:abstractNumId="186">
    <w:nsid w:val="1D003ED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87">
    <w:nsid w:val="1D201548"/>
    <w:multiLevelType w:val="singleLevel"/>
    <w:tmpl w:val="1CA0932C"/>
    <w:lvl w:ilvl="0">
      <w:start w:val="72"/>
      <w:numFmt w:val="decimal"/>
      <w:lvlText w:val="%1."/>
      <w:lvlJc w:val="left"/>
      <w:pPr>
        <w:tabs>
          <w:tab w:val="num" w:pos="705"/>
        </w:tabs>
        <w:ind w:left="705" w:hanging="705"/>
      </w:pPr>
      <w:rPr>
        <w:rFonts w:hint="default"/>
      </w:rPr>
    </w:lvl>
  </w:abstractNum>
  <w:abstractNum w:abstractNumId="188">
    <w:nsid w:val="1D9A55B2"/>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89">
    <w:nsid w:val="1DBB419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190">
    <w:nsid w:val="1DDF34F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91">
    <w:nsid w:val="1E764CB8"/>
    <w:multiLevelType w:val="singleLevel"/>
    <w:tmpl w:val="D64EF90C"/>
    <w:lvl w:ilvl="0">
      <w:start w:val="19"/>
      <w:numFmt w:val="decimal"/>
      <w:lvlText w:val="%1."/>
      <w:lvlJc w:val="left"/>
      <w:pPr>
        <w:tabs>
          <w:tab w:val="num" w:pos="510"/>
        </w:tabs>
        <w:ind w:left="510" w:hanging="510"/>
      </w:pPr>
      <w:rPr>
        <w:rFonts w:hint="default"/>
        <w:b/>
      </w:rPr>
    </w:lvl>
  </w:abstractNum>
  <w:abstractNum w:abstractNumId="192">
    <w:nsid w:val="1E793F96"/>
    <w:multiLevelType w:val="singleLevel"/>
    <w:tmpl w:val="2DA8085A"/>
    <w:lvl w:ilvl="0">
      <w:start w:val="1"/>
      <w:numFmt w:val="lowerLetter"/>
      <w:lvlText w:val="%1) "/>
      <w:legacy w:legacy="1" w:legacySpace="0" w:legacyIndent="283"/>
      <w:lvlJc w:val="left"/>
      <w:pPr>
        <w:ind w:left="283" w:hanging="283"/>
      </w:pPr>
      <w:rPr>
        <w:rFonts w:ascii="Bookman Old Style" w:hAnsi="Bookman Old Style" w:hint="default"/>
        <w:b w:val="0"/>
        <w:i w:val="0"/>
        <w:sz w:val="24"/>
        <w:u w:val="none"/>
      </w:rPr>
    </w:lvl>
  </w:abstractNum>
  <w:abstractNum w:abstractNumId="193">
    <w:nsid w:val="1E99072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194">
    <w:nsid w:val="1EF14C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195">
    <w:nsid w:val="1EFA0B2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96">
    <w:nsid w:val="1F106282"/>
    <w:multiLevelType w:val="singleLevel"/>
    <w:tmpl w:val="C06A271A"/>
    <w:lvl w:ilvl="0">
      <w:start w:val="1"/>
      <w:numFmt w:val="lowerRoman"/>
      <w:lvlText w:val="%1)"/>
      <w:lvlJc w:val="left"/>
      <w:pPr>
        <w:tabs>
          <w:tab w:val="num" w:pos="720"/>
        </w:tabs>
        <w:ind w:left="720" w:hanging="720"/>
      </w:pPr>
      <w:rPr>
        <w:rFonts w:hint="default"/>
        <w:b/>
        <w:i/>
      </w:rPr>
    </w:lvl>
  </w:abstractNum>
  <w:abstractNum w:abstractNumId="197">
    <w:nsid w:val="1F232C5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198">
    <w:nsid w:val="1F966762"/>
    <w:multiLevelType w:val="singleLevel"/>
    <w:tmpl w:val="04160017"/>
    <w:lvl w:ilvl="0">
      <w:start w:val="1"/>
      <w:numFmt w:val="lowerLetter"/>
      <w:lvlText w:val="%1)"/>
      <w:lvlJc w:val="left"/>
      <w:pPr>
        <w:tabs>
          <w:tab w:val="num" w:pos="360"/>
        </w:tabs>
        <w:ind w:left="360" w:hanging="360"/>
      </w:pPr>
    </w:lvl>
  </w:abstractNum>
  <w:abstractNum w:abstractNumId="199">
    <w:nsid w:val="1F9B39B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00">
    <w:nsid w:val="1FA06D2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01">
    <w:nsid w:val="1FD13D8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02">
    <w:nsid w:val="1FE848A1"/>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203">
    <w:nsid w:val="1FFA756C"/>
    <w:multiLevelType w:val="singleLevel"/>
    <w:tmpl w:val="1B722FFA"/>
    <w:lvl w:ilvl="0">
      <w:start w:val="2"/>
      <w:numFmt w:val="lowerLetter"/>
      <w:lvlText w:val="%1."/>
      <w:lvlJc w:val="left"/>
      <w:pPr>
        <w:tabs>
          <w:tab w:val="num" w:pos="-15"/>
        </w:tabs>
        <w:ind w:left="-15" w:hanging="360"/>
      </w:pPr>
      <w:rPr>
        <w:rFonts w:hint="default"/>
      </w:rPr>
    </w:lvl>
  </w:abstractNum>
  <w:abstractNum w:abstractNumId="204">
    <w:nsid w:val="1FFC42F4"/>
    <w:multiLevelType w:val="singleLevel"/>
    <w:tmpl w:val="04160017"/>
    <w:lvl w:ilvl="0">
      <w:start w:val="1"/>
      <w:numFmt w:val="lowerLetter"/>
      <w:lvlText w:val="%1)"/>
      <w:lvlJc w:val="left"/>
      <w:pPr>
        <w:tabs>
          <w:tab w:val="num" w:pos="360"/>
        </w:tabs>
        <w:ind w:left="360" w:hanging="360"/>
      </w:pPr>
    </w:lvl>
  </w:abstractNum>
  <w:abstractNum w:abstractNumId="205">
    <w:nsid w:val="200B6C83"/>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06">
    <w:nsid w:val="201D2DF7"/>
    <w:multiLevelType w:val="singleLevel"/>
    <w:tmpl w:val="118A400E"/>
    <w:lvl w:ilvl="0">
      <w:numFmt w:val="bullet"/>
      <w:lvlText w:val="-"/>
      <w:lvlJc w:val="left"/>
      <w:pPr>
        <w:tabs>
          <w:tab w:val="num" w:pos="4755"/>
        </w:tabs>
        <w:ind w:left="4755" w:hanging="360"/>
      </w:pPr>
      <w:rPr>
        <w:b/>
        <w:i w:val="0"/>
      </w:rPr>
    </w:lvl>
  </w:abstractNum>
  <w:abstractNum w:abstractNumId="207">
    <w:nsid w:val="21267910"/>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208">
    <w:nsid w:val="213524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09">
    <w:nsid w:val="21A6148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10">
    <w:nsid w:val="21EE5367"/>
    <w:multiLevelType w:val="singleLevel"/>
    <w:tmpl w:val="04160017"/>
    <w:lvl w:ilvl="0">
      <w:start w:val="1"/>
      <w:numFmt w:val="lowerLetter"/>
      <w:lvlText w:val="%1)"/>
      <w:lvlJc w:val="left"/>
      <w:pPr>
        <w:tabs>
          <w:tab w:val="num" w:pos="360"/>
        </w:tabs>
        <w:ind w:left="360" w:hanging="360"/>
      </w:pPr>
    </w:lvl>
  </w:abstractNum>
  <w:abstractNum w:abstractNumId="211">
    <w:nsid w:val="222B7E10"/>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212">
    <w:nsid w:val="22B11A90"/>
    <w:multiLevelType w:val="singleLevel"/>
    <w:tmpl w:val="04160017"/>
    <w:lvl w:ilvl="0">
      <w:start w:val="1"/>
      <w:numFmt w:val="lowerLetter"/>
      <w:lvlText w:val="%1)"/>
      <w:lvlJc w:val="left"/>
      <w:pPr>
        <w:tabs>
          <w:tab w:val="num" w:pos="360"/>
        </w:tabs>
        <w:ind w:left="360" w:hanging="360"/>
      </w:pPr>
      <w:rPr>
        <w:rFonts w:hint="default"/>
      </w:rPr>
    </w:lvl>
  </w:abstractNum>
  <w:abstractNum w:abstractNumId="213">
    <w:nsid w:val="22CE01A1"/>
    <w:multiLevelType w:val="multilevel"/>
    <w:tmpl w:val="3FDE842C"/>
    <w:lvl w:ilvl="0">
      <w:start w:val="1"/>
      <w:numFmt w:val="decimal"/>
      <w:lvlText w:val="%1"/>
      <w:lvlJc w:val="left"/>
      <w:pPr>
        <w:tabs>
          <w:tab w:val="num" w:pos="1211"/>
        </w:tabs>
        <w:ind w:left="1211" w:hanging="36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214">
    <w:nsid w:val="23285C18"/>
    <w:multiLevelType w:val="singleLevel"/>
    <w:tmpl w:val="118A400E"/>
    <w:lvl w:ilvl="0">
      <w:numFmt w:val="bullet"/>
      <w:lvlText w:val="-"/>
      <w:lvlJc w:val="left"/>
      <w:pPr>
        <w:tabs>
          <w:tab w:val="num" w:pos="4755"/>
        </w:tabs>
        <w:ind w:left="4755" w:hanging="360"/>
      </w:pPr>
      <w:rPr>
        <w:b/>
        <w:i w:val="0"/>
      </w:rPr>
    </w:lvl>
  </w:abstractNum>
  <w:abstractNum w:abstractNumId="215">
    <w:nsid w:val="233D0C1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216">
    <w:nsid w:val="23425A93"/>
    <w:multiLevelType w:val="singleLevel"/>
    <w:tmpl w:val="FC74932E"/>
    <w:lvl w:ilvl="0">
      <w:start w:val="291"/>
      <w:numFmt w:val="bullet"/>
      <w:lvlText w:val="-"/>
      <w:lvlJc w:val="left"/>
      <w:pPr>
        <w:tabs>
          <w:tab w:val="num" w:pos="1066"/>
        </w:tabs>
        <w:ind w:left="1066" w:hanging="360"/>
      </w:pPr>
      <w:rPr>
        <w:rFonts w:ascii="Times New Roman" w:hAnsi="Times New Roman" w:hint="default"/>
      </w:rPr>
    </w:lvl>
  </w:abstractNum>
  <w:abstractNum w:abstractNumId="217">
    <w:nsid w:val="23674D7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18">
    <w:nsid w:val="23E24E27"/>
    <w:multiLevelType w:val="singleLevel"/>
    <w:tmpl w:val="118A400E"/>
    <w:lvl w:ilvl="0">
      <w:numFmt w:val="bullet"/>
      <w:lvlText w:val="-"/>
      <w:lvlJc w:val="left"/>
      <w:pPr>
        <w:tabs>
          <w:tab w:val="num" w:pos="4755"/>
        </w:tabs>
        <w:ind w:left="4755" w:hanging="360"/>
      </w:pPr>
      <w:rPr>
        <w:b/>
        <w:i w:val="0"/>
      </w:rPr>
    </w:lvl>
  </w:abstractNum>
  <w:abstractNum w:abstractNumId="219">
    <w:nsid w:val="23EA7824"/>
    <w:multiLevelType w:val="singleLevel"/>
    <w:tmpl w:val="FFFFFFFF"/>
    <w:lvl w:ilvl="0">
      <w:numFmt w:val="decimal"/>
      <w:lvlText w:val="%1"/>
      <w:legacy w:legacy="1" w:legacySpace="0" w:legacyIndent="0"/>
      <w:lvlJc w:val="left"/>
    </w:lvl>
  </w:abstractNum>
  <w:abstractNum w:abstractNumId="220">
    <w:nsid w:val="2413322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21">
    <w:nsid w:val="244A6B70"/>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222">
    <w:nsid w:val="24673AB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3">
    <w:nsid w:val="246745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24">
    <w:nsid w:val="24A514D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25">
    <w:nsid w:val="24E227FF"/>
    <w:multiLevelType w:val="singleLevel"/>
    <w:tmpl w:val="4574F4EC"/>
    <w:lvl w:ilvl="0">
      <w:start w:val="1"/>
      <w:numFmt w:val="decimal"/>
      <w:lvlText w:val="%1."/>
      <w:lvlJc w:val="left"/>
      <w:pPr>
        <w:tabs>
          <w:tab w:val="num" w:pos="1065"/>
        </w:tabs>
        <w:ind w:left="1065" w:hanging="360"/>
      </w:pPr>
      <w:rPr>
        <w:rFonts w:hint="default"/>
      </w:rPr>
    </w:lvl>
  </w:abstractNum>
  <w:abstractNum w:abstractNumId="226">
    <w:nsid w:val="24FC08A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27">
    <w:nsid w:val="253520A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28">
    <w:nsid w:val="253B0FC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9">
    <w:nsid w:val="253D60E6"/>
    <w:multiLevelType w:val="singleLevel"/>
    <w:tmpl w:val="2E3C1CE0"/>
    <w:lvl w:ilvl="0">
      <w:start w:val="3"/>
      <w:numFmt w:val="decimal"/>
      <w:lvlText w:val="%1. "/>
      <w:legacy w:legacy="1" w:legacySpace="0" w:legacyIndent="283"/>
      <w:lvlJc w:val="left"/>
      <w:pPr>
        <w:ind w:left="1701" w:hanging="283"/>
      </w:pPr>
      <w:rPr>
        <w:rFonts w:ascii="Arial" w:hAnsi="Arial" w:hint="default"/>
        <w:b/>
        <w:i w:val="0"/>
        <w:sz w:val="24"/>
      </w:rPr>
    </w:lvl>
  </w:abstractNum>
  <w:abstractNum w:abstractNumId="230">
    <w:nsid w:val="25CD6B5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31">
    <w:nsid w:val="25D63109"/>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32">
    <w:nsid w:val="262058A4"/>
    <w:multiLevelType w:val="singleLevel"/>
    <w:tmpl w:val="118A400E"/>
    <w:lvl w:ilvl="0">
      <w:numFmt w:val="bullet"/>
      <w:lvlText w:val="-"/>
      <w:lvlJc w:val="left"/>
      <w:pPr>
        <w:tabs>
          <w:tab w:val="num" w:pos="4755"/>
        </w:tabs>
        <w:ind w:left="4755" w:hanging="360"/>
      </w:pPr>
      <w:rPr>
        <w:b/>
        <w:i w:val="0"/>
      </w:rPr>
    </w:lvl>
  </w:abstractNum>
  <w:abstractNum w:abstractNumId="233">
    <w:nsid w:val="26541FDA"/>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234">
    <w:nsid w:val="268320FD"/>
    <w:multiLevelType w:val="multilevel"/>
    <w:tmpl w:val="6F88351E"/>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5">
    <w:nsid w:val="269021B5"/>
    <w:multiLevelType w:val="singleLevel"/>
    <w:tmpl w:val="CEA4E7C2"/>
    <w:lvl w:ilvl="0">
      <w:start w:val="1"/>
      <w:numFmt w:val="upperLetter"/>
      <w:lvlText w:val="%1)"/>
      <w:lvlJc w:val="left"/>
      <w:pPr>
        <w:tabs>
          <w:tab w:val="num" w:pos="1776"/>
        </w:tabs>
        <w:ind w:left="1776" w:hanging="360"/>
      </w:pPr>
      <w:rPr>
        <w:rFonts w:hint="default"/>
      </w:rPr>
    </w:lvl>
  </w:abstractNum>
  <w:abstractNum w:abstractNumId="236">
    <w:nsid w:val="26C76878"/>
    <w:multiLevelType w:val="singleLevel"/>
    <w:tmpl w:val="27B81BE4"/>
    <w:lvl w:ilvl="0">
      <w:start w:val="1"/>
      <w:numFmt w:val="lowerLetter"/>
      <w:lvlText w:val="%1)"/>
      <w:lvlJc w:val="left"/>
      <w:pPr>
        <w:tabs>
          <w:tab w:val="num" w:pos="1770"/>
        </w:tabs>
        <w:ind w:left="1770" w:hanging="360"/>
      </w:pPr>
      <w:rPr>
        <w:rFonts w:hint="default"/>
      </w:rPr>
    </w:lvl>
  </w:abstractNum>
  <w:abstractNum w:abstractNumId="237">
    <w:nsid w:val="2703462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38">
    <w:nsid w:val="27A22BA9"/>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239">
    <w:nsid w:val="280174C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40">
    <w:nsid w:val="2863265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41">
    <w:nsid w:val="287E33C4"/>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42">
    <w:nsid w:val="28BB428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43">
    <w:nsid w:val="28D35D8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44">
    <w:nsid w:val="28EB0308"/>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45">
    <w:nsid w:val="28F3353C"/>
    <w:multiLevelType w:val="singleLevel"/>
    <w:tmpl w:val="07189338"/>
    <w:lvl w:ilvl="0">
      <w:start w:val="1"/>
      <w:numFmt w:val="bullet"/>
      <w:lvlText w:val=""/>
      <w:lvlJc w:val="left"/>
      <w:pPr>
        <w:tabs>
          <w:tab w:val="num" w:pos="1778"/>
        </w:tabs>
        <w:ind w:left="1701" w:hanging="283"/>
      </w:pPr>
      <w:rPr>
        <w:rFonts w:ascii="Symbol" w:hAnsi="Symbol" w:hint="default"/>
        <w:sz w:val="16"/>
      </w:rPr>
    </w:lvl>
  </w:abstractNum>
  <w:abstractNum w:abstractNumId="246">
    <w:nsid w:val="29072299"/>
    <w:multiLevelType w:val="singleLevel"/>
    <w:tmpl w:val="118A400E"/>
    <w:lvl w:ilvl="0">
      <w:numFmt w:val="bullet"/>
      <w:lvlText w:val="-"/>
      <w:lvlJc w:val="left"/>
      <w:pPr>
        <w:tabs>
          <w:tab w:val="num" w:pos="4755"/>
        </w:tabs>
        <w:ind w:left="4755" w:hanging="360"/>
      </w:pPr>
      <w:rPr>
        <w:b/>
        <w:i w:val="0"/>
      </w:rPr>
    </w:lvl>
  </w:abstractNum>
  <w:abstractNum w:abstractNumId="247">
    <w:nsid w:val="29124069"/>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248">
    <w:nsid w:val="295C66A4"/>
    <w:multiLevelType w:val="singleLevel"/>
    <w:tmpl w:val="118A400E"/>
    <w:lvl w:ilvl="0">
      <w:numFmt w:val="bullet"/>
      <w:lvlText w:val="-"/>
      <w:lvlJc w:val="left"/>
      <w:pPr>
        <w:tabs>
          <w:tab w:val="num" w:pos="4755"/>
        </w:tabs>
        <w:ind w:left="4755" w:hanging="360"/>
      </w:pPr>
      <w:rPr>
        <w:b/>
        <w:i w:val="0"/>
      </w:rPr>
    </w:lvl>
  </w:abstractNum>
  <w:abstractNum w:abstractNumId="249">
    <w:nsid w:val="29851AD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0">
    <w:nsid w:val="2A041C57"/>
    <w:multiLevelType w:val="singleLevel"/>
    <w:tmpl w:val="04160017"/>
    <w:lvl w:ilvl="0">
      <w:start w:val="1"/>
      <w:numFmt w:val="lowerLetter"/>
      <w:lvlText w:val="%1)"/>
      <w:lvlJc w:val="left"/>
      <w:pPr>
        <w:tabs>
          <w:tab w:val="num" w:pos="360"/>
        </w:tabs>
        <w:ind w:left="360" w:hanging="360"/>
      </w:pPr>
    </w:lvl>
  </w:abstractNum>
  <w:abstractNum w:abstractNumId="251">
    <w:nsid w:val="2A5710C4"/>
    <w:multiLevelType w:val="singleLevel"/>
    <w:tmpl w:val="D50A67CA"/>
    <w:lvl w:ilvl="0">
      <w:start w:val="4"/>
      <w:numFmt w:val="bullet"/>
      <w:lvlText w:val="-"/>
      <w:lvlJc w:val="left"/>
      <w:pPr>
        <w:tabs>
          <w:tab w:val="num" w:pos="2484"/>
        </w:tabs>
        <w:ind w:left="2484" w:hanging="360"/>
      </w:pPr>
      <w:rPr>
        <w:rFonts w:ascii="Times New Roman" w:hAnsi="Times New Roman" w:hint="default"/>
      </w:rPr>
    </w:lvl>
  </w:abstractNum>
  <w:abstractNum w:abstractNumId="252">
    <w:nsid w:val="2A5F427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53">
    <w:nsid w:val="2AA64CC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54">
    <w:nsid w:val="2ABD474B"/>
    <w:multiLevelType w:val="singleLevel"/>
    <w:tmpl w:val="FFFFFFFF"/>
    <w:lvl w:ilvl="0">
      <w:numFmt w:val="decimal"/>
      <w:lvlText w:val="%1"/>
      <w:legacy w:legacy="1" w:legacySpace="0" w:legacyIndent="0"/>
      <w:lvlJc w:val="left"/>
    </w:lvl>
  </w:abstractNum>
  <w:abstractNum w:abstractNumId="255">
    <w:nsid w:val="2ADF7460"/>
    <w:multiLevelType w:val="multilevel"/>
    <w:tmpl w:val="97309C78"/>
    <w:lvl w:ilvl="0">
      <w:start w:val="4"/>
      <w:numFmt w:val="decimal"/>
      <w:lvlText w:val="%1."/>
      <w:lvlJc w:val="left"/>
      <w:pPr>
        <w:tabs>
          <w:tab w:val="num" w:pos="480"/>
        </w:tabs>
        <w:ind w:left="480" w:hanging="48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6">
    <w:nsid w:val="2B0636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57">
    <w:nsid w:val="2B424CC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58">
    <w:nsid w:val="2B5177B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59">
    <w:nsid w:val="2B587EB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60">
    <w:nsid w:val="2BC44224"/>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261">
    <w:nsid w:val="2C66024D"/>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2">
    <w:nsid w:val="2CBD117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3">
    <w:nsid w:val="2CEB6CAB"/>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264">
    <w:nsid w:val="2CF01E6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65">
    <w:nsid w:val="2D4273CA"/>
    <w:multiLevelType w:val="singleLevel"/>
    <w:tmpl w:val="461E46FA"/>
    <w:lvl w:ilvl="0">
      <w:start w:val="1"/>
      <w:numFmt w:val="lowerLetter"/>
      <w:lvlText w:val="%1"/>
      <w:legacy w:legacy="1" w:legacySpace="0" w:legacyIndent="1778"/>
      <w:lvlJc w:val="left"/>
      <w:pPr>
        <w:ind w:left="3196" w:hanging="1778"/>
      </w:pPr>
      <w:rPr>
        <w:b/>
      </w:rPr>
    </w:lvl>
  </w:abstractNum>
  <w:abstractNum w:abstractNumId="266">
    <w:nsid w:val="2D4A3A65"/>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67">
    <w:nsid w:val="2DB5381A"/>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268">
    <w:nsid w:val="2DE61010"/>
    <w:multiLevelType w:val="singleLevel"/>
    <w:tmpl w:val="118A400E"/>
    <w:lvl w:ilvl="0">
      <w:numFmt w:val="bullet"/>
      <w:lvlText w:val="-"/>
      <w:lvlJc w:val="left"/>
      <w:pPr>
        <w:tabs>
          <w:tab w:val="num" w:pos="4755"/>
        </w:tabs>
        <w:ind w:left="4755" w:hanging="360"/>
      </w:pPr>
      <w:rPr>
        <w:b/>
        <w:i w:val="0"/>
      </w:rPr>
    </w:lvl>
  </w:abstractNum>
  <w:abstractNum w:abstractNumId="269">
    <w:nsid w:val="2DF42CCD"/>
    <w:multiLevelType w:val="singleLevel"/>
    <w:tmpl w:val="118A400E"/>
    <w:lvl w:ilvl="0">
      <w:numFmt w:val="bullet"/>
      <w:lvlText w:val="-"/>
      <w:lvlJc w:val="left"/>
      <w:pPr>
        <w:tabs>
          <w:tab w:val="num" w:pos="4755"/>
        </w:tabs>
        <w:ind w:left="4755" w:hanging="360"/>
      </w:pPr>
      <w:rPr>
        <w:b/>
        <w:i w:val="0"/>
      </w:rPr>
    </w:lvl>
  </w:abstractNum>
  <w:abstractNum w:abstractNumId="270">
    <w:nsid w:val="2E151ADD"/>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271">
    <w:nsid w:val="2E2B72CE"/>
    <w:multiLevelType w:val="singleLevel"/>
    <w:tmpl w:val="230A90D2"/>
    <w:lvl w:ilvl="0">
      <w:start w:val="1"/>
      <w:numFmt w:val="lowerLetter"/>
      <w:lvlText w:val="%1)"/>
      <w:legacy w:legacy="1" w:legacySpace="0" w:legacyIndent="283"/>
      <w:lvlJc w:val="left"/>
      <w:pPr>
        <w:ind w:left="2266" w:hanging="283"/>
      </w:pPr>
    </w:lvl>
  </w:abstractNum>
  <w:abstractNum w:abstractNumId="272">
    <w:nsid w:val="2E4714F2"/>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273">
    <w:nsid w:val="2EA472A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74">
    <w:nsid w:val="2EB221ED"/>
    <w:multiLevelType w:val="singleLevel"/>
    <w:tmpl w:val="118A400E"/>
    <w:lvl w:ilvl="0">
      <w:numFmt w:val="bullet"/>
      <w:lvlText w:val="-"/>
      <w:lvlJc w:val="left"/>
      <w:pPr>
        <w:tabs>
          <w:tab w:val="num" w:pos="4755"/>
        </w:tabs>
        <w:ind w:left="4755" w:hanging="360"/>
      </w:pPr>
      <w:rPr>
        <w:b/>
        <w:i w:val="0"/>
      </w:rPr>
    </w:lvl>
  </w:abstractNum>
  <w:abstractNum w:abstractNumId="275">
    <w:nsid w:val="2EB4686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76">
    <w:nsid w:val="2ECA3670"/>
    <w:multiLevelType w:val="singleLevel"/>
    <w:tmpl w:val="3BEEAB94"/>
    <w:lvl w:ilvl="0">
      <w:start w:val="3"/>
      <w:numFmt w:val="decimal"/>
      <w:lvlText w:val="%1"/>
      <w:lvlJc w:val="left"/>
      <w:pPr>
        <w:tabs>
          <w:tab w:val="num" w:pos="1211"/>
        </w:tabs>
        <w:ind w:left="1211" w:hanging="360"/>
      </w:pPr>
      <w:rPr>
        <w:rFonts w:hint="default"/>
      </w:rPr>
    </w:lvl>
  </w:abstractNum>
  <w:abstractNum w:abstractNumId="277">
    <w:nsid w:val="2ECA4861"/>
    <w:multiLevelType w:val="singleLevel"/>
    <w:tmpl w:val="118A400E"/>
    <w:lvl w:ilvl="0">
      <w:numFmt w:val="bullet"/>
      <w:lvlText w:val="-"/>
      <w:lvlJc w:val="left"/>
      <w:pPr>
        <w:tabs>
          <w:tab w:val="num" w:pos="4755"/>
        </w:tabs>
        <w:ind w:left="4755" w:hanging="360"/>
      </w:pPr>
      <w:rPr>
        <w:b/>
        <w:i w:val="0"/>
      </w:rPr>
    </w:lvl>
  </w:abstractNum>
  <w:abstractNum w:abstractNumId="278">
    <w:nsid w:val="2EFA75B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79">
    <w:nsid w:val="2F1B602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80">
    <w:nsid w:val="2F1E5ECC"/>
    <w:multiLevelType w:val="singleLevel"/>
    <w:tmpl w:val="0416000F"/>
    <w:lvl w:ilvl="0">
      <w:start w:val="1"/>
      <w:numFmt w:val="decimal"/>
      <w:lvlText w:val="%1."/>
      <w:lvlJc w:val="left"/>
      <w:pPr>
        <w:tabs>
          <w:tab w:val="num" w:pos="360"/>
        </w:tabs>
        <w:ind w:left="360" w:hanging="360"/>
      </w:pPr>
    </w:lvl>
  </w:abstractNum>
  <w:abstractNum w:abstractNumId="281">
    <w:nsid w:val="2F2011D6"/>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82">
    <w:nsid w:val="2F254D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283">
    <w:nsid w:val="2F4D62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284">
    <w:nsid w:val="2F75463A"/>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285">
    <w:nsid w:val="2F95339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286">
    <w:nsid w:val="2FCD02D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87">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abstractNum w:abstractNumId="288">
    <w:nsid w:val="30667B8F"/>
    <w:multiLevelType w:val="singleLevel"/>
    <w:tmpl w:val="F5E84BC4"/>
    <w:lvl w:ilvl="0">
      <w:start w:val="1"/>
      <w:numFmt w:val="upperRoman"/>
      <w:lvlText w:val="%1."/>
      <w:lvlJc w:val="left"/>
      <w:pPr>
        <w:tabs>
          <w:tab w:val="num" w:pos="2138"/>
        </w:tabs>
        <w:ind w:left="2138" w:hanging="720"/>
      </w:pPr>
      <w:rPr>
        <w:rFonts w:hint="default"/>
      </w:rPr>
    </w:lvl>
  </w:abstractNum>
  <w:abstractNum w:abstractNumId="289">
    <w:nsid w:val="307073B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90">
    <w:nsid w:val="30711055"/>
    <w:multiLevelType w:val="singleLevel"/>
    <w:tmpl w:val="651AF290"/>
    <w:lvl w:ilvl="0">
      <w:start w:val="4"/>
      <w:numFmt w:val="lowerRoman"/>
      <w:lvlText w:val="%1)"/>
      <w:lvlJc w:val="left"/>
      <w:pPr>
        <w:tabs>
          <w:tab w:val="num" w:pos="2130"/>
        </w:tabs>
        <w:ind w:left="2130" w:hanging="720"/>
      </w:pPr>
      <w:rPr>
        <w:rFonts w:hint="default"/>
      </w:rPr>
    </w:lvl>
  </w:abstractNum>
  <w:abstractNum w:abstractNumId="291">
    <w:nsid w:val="308929DF"/>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92">
    <w:nsid w:val="30BA137A"/>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293">
    <w:nsid w:val="30D17B48"/>
    <w:multiLevelType w:val="singleLevel"/>
    <w:tmpl w:val="3BEEAB94"/>
    <w:lvl w:ilvl="0">
      <w:start w:val="2"/>
      <w:numFmt w:val="decimal"/>
      <w:lvlText w:val="%1"/>
      <w:lvlJc w:val="left"/>
      <w:pPr>
        <w:tabs>
          <w:tab w:val="num" w:pos="1211"/>
        </w:tabs>
        <w:ind w:left="1211" w:hanging="360"/>
      </w:pPr>
      <w:rPr>
        <w:rFonts w:hint="default"/>
      </w:rPr>
    </w:lvl>
  </w:abstractNum>
  <w:abstractNum w:abstractNumId="294">
    <w:nsid w:val="30FE3444"/>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295">
    <w:nsid w:val="310D0BE6"/>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296">
    <w:nsid w:val="318906E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297">
    <w:nsid w:val="319E2D00"/>
    <w:multiLevelType w:val="singleLevel"/>
    <w:tmpl w:val="118A400E"/>
    <w:lvl w:ilvl="0">
      <w:numFmt w:val="bullet"/>
      <w:lvlText w:val="-"/>
      <w:lvlJc w:val="left"/>
      <w:pPr>
        <w:tabs>
          <w:tab w:val="num" w:pos="4755"/>
        </w:tabs>
        <w:ind w:left="4755" w:hanging="360"/>
      </w:pPr>
      <w:rPr>
        <w:b/>
        <w:i w:val="0"/>
      </w:rPr>
    </w:lvl>
  </w:abstractNum>
  <w:abstractNum w:abstractNumId="298">
    <w:nsid w:val="31B53551"/>
    <w:multiLevelType w:val="singleLevel"/>
    <w:tmpl w:val="5C5E005C"/>
    <w:lvl w:ilvl="0">
      <w:start w:val="1"/>
      <w:numFmt w:val="upperLetter"/>
      <w:lvlText w:val="%1)"/>
      <w:lvlJc w:val="left"/>
      <w:pPr>
        <w:tabs>
          <w:tab w:val="num" w:pos="360"/>
        </w:tabs>
        <w:ind w:left="360" w:hanging="360"/>
      </w:pPr>
      <w:rPr>
        <w:rFonts w:hint="default"/>
      </w:rPr>
    </w:lvl>
  </w:abstractNum>
  <w:abstractNum w:abstractNumId="299">
    <w:nsid w:val="31C80FBB"/>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300">
    <w:nsid w:val="32534DEB"/>
    <w:multiLevelType w:val="singleLevel"/>
    <w:tmpl w:val="11705A68"/>
    <w:lvl w:ilvl="0">
      <w:start w:val="10"/>
      <w:numFmt w:val="upperRoman"/>
      <w:lvlText w:val="%1."/>
      <w:lvlJc w:val="left"/>
      <w:pPr>
        <w:tabs>
          <w:tab w:val="num" w:pos="2138"/>
        </w:tabs>
        <w:ind w:left="2138" w:hanging="720"/>
      </w:pPr>
      <w:rPr>
        <w:rFonts w:hint="default"/>
      </w:rPr>
    </w:lvl>
  </w:abstractNum>
  <w:abstractNum w:abstractNumId="301">
    <w:nsid w:val="329D5CE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02">
    <w:nsid w:val="32A351E4"/>
    <w:multiLevelType w:val="singleLevel"/>
    <w:tmpl w:val="0416000F"/>
    <w:lvl w:ilvl="0">
      <w:start w:val="1"/>
      <w:numFmt w:val="decimal"/>
      <w:lvlText w:val="%1."/>
      <w:lvlJc w:val="left"/>
      <w:pPr>
        <w:tabs>
          <w:tab w:val="num" w:pos="360"/>
        </w:tabs>
        <w:ind w:left="360" w:hanging="360"/>
      </w:pPr>
    </w:lvl>
  </w:abstractNum>
  <w:abstractNum w:abstractNumId="303">
    <w:nsid w:val="32AA590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04">
    <w:nsid w:val="3300569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05">
    <w:nsid w:val="33230EF1"/>
    <w:multiLevelType w:val="singleLevel"/>
    <w:tmpl w:val="04160011"/>
    <w:lvl w:ilvl="0">
      <w:start w:val="7"/>
      <w:numFmt w:val="decimal"/>
      <w:lvlText w:val="%1)"/>
      <w:lvlJc w:val="left"/>
      <w:pPr>
        <w:tabs>
          <w:tab w:val="num" w:pos="360"/>
        </w:tabs>
        <w:ind w:left="360" w:hanging="360"/>
      </w:pPr>
      <w:rPr>
        <w:rFonts w:hint="default"/>
        <w:b w:val="0"/>
      </w:rPr>
    </w:lvl>
  </w:abstractNum>
  <w:abstractNum w:abstractNumId="306">
    <w:nsid w:val="336325D3"/>
    <w:multiLevelType w:val="multilevel"/>
    <w:tmpl w:val="7604F13A"/>
    <w:lvl w:ilvl="0">
      <w:start w:val="4"/>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07">
    <w:nsid w:val="33FC029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308">
    <w:nsid w:val="343B73C1"/>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309">
    <w:nsid w:val="343D588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10">
    <w:nsid w:val="34461A5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11">
    <w:nsid w:val="346660A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12">
    <w:nsid w:val="348502C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13">
    <w:nsid w:val="348C0F0B"/>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14">
    <w:nsid w:val="35594C2F"/>
    <w:multiLevelType w:val="singleLevel"/>
    <w:tmpl w:val="118A400E"/>
    <w:lvl w:ilvl="0">
      <w:numFmt w:val="bullet"/>
      <w:lvlText w:val="-"/>
      <w:lvlJc w:val="left"/>
      <w:pPr>
        <w:tabs>
          <w:tab w:val="num" w:pos="4755"/>
        </w:tabs>
        <w:ind w:left="4755" w:hanging="360"/>
      </w:pPr>
      <w:rPr>
        <w:b/>
        <w:i w:val="0"/>
      </w:rPr>
    </w:lvl>
  </w:abstractNum>
  <w:abstractNum w:abstractNumId="315">
    <w:nsid w:val="35D56528"/>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16">
    <w:nsid w:val="35E72B1D"/>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17">
    <w:nsid w:val="361F036E"/>
    <w:multiLevelType w:val="singleLevel"/>
    <w:tmpl w:val="118A400E"/>
    <w:lvl w:ilvl="0">
      <w:numFmt w:val="bullet"/>
      <w:lvlText w:val="-"/>
      <w:lvlJc w:val="left"/>
      <w:pPr>
        <w:tabs>
          <w:tab w:val="num" w:pos="4755"/>
        </w:tabs>
        <w:ind w:left="4755" w:hanging="360"/>
      </w:pPr>
      <w:rPr>
        <w:b/>
        <w:i w:val="0"/>
      </w:rPr>
    </w:lvl>
  </w:abstractNum>
  <w:abstractNum w:abstractNumId="318">
    <w:nsid w:val="37445C1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19">
    <w:nsid w:val="375A34FE"/>
    <w:multiLevelType w:val="singleLevel"/>
    <w:tmpl w:val="0416000F"/>
    <w:lvl w:ilvl="0">
      <w:start w:val="1"/>
      <w:numFmt w:val="decimal"/>
      <w:lvlText w:val="%1."/>
      <w:lvlJc w:val="left"/>
      <w:pPr>
        <w:tabs>
          <w:tab w:val="num" w:pos="360"/>
        </w:tabs>
        <w:ind w:left="360" w:hanging="360"/>
      </w:pPr>
    </w:lvl>
  </w:abstractNum>
  <w:abstractNum w:abstractNumId="320">
    <w:nsid w:val="37B96807"/>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21">
    <w:nsid w:val="37BC66A8"/>
    <w:multiLevelType w:val="singleLevel"/>
    <w:tmpl w:val="230A90D2"/>
    <w:lvl w:ilvl="0">
      <w:start w:val="1"/>
      <w:numFmt w:val="lowerLetter"/>
      <w:lvlText w:val="%1)"/>
      <w:legacy w:legacy="1" w:legacySpace="0" w:legacyIndent="283"/>
      <w:lvlJc w:val="left"/>
    </w:lvl>
  </w:abstractNum>
  <w:abstractNum w:abstractNumId="322">
    <w:nsid w:val="384D311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23">
    <w:nsid w:val="3864020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24">
    <w:nsid w:val="3895797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25">
    <w:nsid w:val="395951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26">
    <w:nsid w:val="39BF0756"/>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27">
    <w:nsid w:val="39BF16E1"/>
    <w:multiLevelType w:val="singleLevel"/>
    <w:tmpl w:val="0416000F"/>
    <w:lvl w:ilvl="0">
      <w:start w:val="1"/>
      <w:numFmt w:val="decimal"/>
      <w:lvlText w:val="%1."/>
      <w:lvlJc w:val="left"/>
      <w:pPr>
        <w:tabs>
          <w:tab w:val="num" w:pos="360"/>
        </w:tabs>
        <w:ind w:left="360" w:hanging="360"/>
      </w:pPr>
    </w:lvl>
  </w:abstractNum>
  <w:abstractNum w:abstractNumId="328">
    <w:nsid w:val="39ED75B8"/>
    <w:multiLevelType w:val="singleLevel"/>
    <w:tmpl w:val="BAF01A7A"/>
    <w:lvl w:ilvl="0">
      <w:start w:val="1"/>
      <w:numFmt w:val="lowerLetter"/>
      <w:lvlText w:val="%1)"/>
      <w:lvlJc w:val="left"/>
      <w:pPr>
        <w:tabs>
          <w:tab w:val="num" w:pos="927"/>
        </w:tabs>
        <w:ind w:left="927" w:hanging="360"/>
      </w:pPr>
      <w:rPr>
        <w:rFonts w:hint="default"/>
      </w:rPr>
    </w:lvl>
  </w:abstractNum>
  <w:abstractNum w:abstractNumId="329">
    <w:nsid w:val="3A157293"/>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30">
    <w:nsid w:val="3A4A756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31">
    <w:nsid w:val="3AA21DD9"/>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332">
    <w:nsid w:val="3AB5016F"/>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333">
    <w:nsid w:val="3ACE34E2"/>
    <w:multiLevelType w:val="singleLevel"/>
    <w:tmpl w:val="118A400E"/>
    <w:lvl w:ilvl="0">
      <w:numFmt w:val="bullet"/>
      <w:lvlText w:val="-"/>
      <w:lvlJc w:val="left"/>
      <w:pPr>
        <w:tabs>
          <w:tab w:val="num" w:pos="4755"/>
        </w:tabs>
        <w:ind w:left="4755" w:hanging="360"/>
      </w:pPr>
      <w:rPr>
        <w:b/>
        <w:i w:val="0"/>
      </w:rPr>
    </w:lvl>
  </w:abstractNum>
  <w:abstractNum w:abstractNumId="334">
    <w:nsid w:val="3AE81951"/>
    <w:multiLevelType w:val="singleLevel"/>
    <w:tmpl w:val="E4F62ECE"/>
    <w:lvl w:ilvl="0">
      <w:start w:val="2"/>
      <w:numFmt w:val="decimal"/>
      <w:lvlText w:val="%1. "/>
      <w:legacy w:legacy="1" w:legacySpace="0" w:legacyIndent="283"/>
      <w:lvlJc w:val="left"/>
      <w:pPr>
        <w:ind w:left="1701" w:hanging="283"/>
      </w:pPr>
      <w:rPr>
        <w:rFonts w:ascii="Arial" w:hAnsi="Arial" w:hint="default"/>
        <w:b/>
        <w:i w:val="0"/>
        <w:sz w:val="24"/>
        <w:u w:val="none"/>
      </w:rPr>
    </w:lvl>
  </w:abstractNum>
  <w:abstractNum w:abstractNumId="335">
    <w:nsid w:val="3B5D2D59"/>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336">
    <w:nsid w:val="3B70758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37">
    <w:nsid w:val="3B7948EA"/>
    <w:multiLevelType w:val="singleLevel"/>
    <w:tmpl w:val="118A400E"/>
    <w:lvl w:ilvl="0">
      <w:numFmt w:val="bullet"/>
      <w:lvlText w:val="-"/>
      <w:lvlJc w:val="left"/>
      <w:pPr>
        <w:tabs>
          <w:tab w:val="num" w:pos="4755"/>
        </w:tabs>
        <w:ind w:left="4755" w:hanging="360"/>
      </w:pPr>
      <w:rPr>
        <w:b/>
        <w:i w:val="0"/>
      </w:rPr>
    </w:lvl>
  </w:abstractNum>
  <w:abstractNum w:abstractNumId="338">
    <w:nsid w:val="3B7B275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39">
    <w:nsid w:val="3C0B4090"/>
    <w:multiLevelType w:val="multilevel"/>
    <w:tmpl w:val="259AF210"/>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0">
    <w:nsid w:val="3C55374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41">
    <w:nsid w:val="3C6F306C"/>
    <w:multiLevelType w:val="multilevel"/>
    <w:tmpl w:val="97621958"/>
    <w:lvl w:ilvl="0">
      <w:start w:val="5"/>
      <w:numFmt w:val="decimal"/>
      <w:lvlText w:val="%1."/>
      <w:lvlJc w:val="left"/>
      <w:pPr>
        <w:tabs>
          <w:tab w:val="num" w:pos="400"/>
        </w:tabs>
        <w:ind w:left="400" w:hanging="40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342">
    <w:nsid w:val="3C7940C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43">
    <w:nsid w:val="3CA12060"/>
    <w:multiLevelType w:val="multilevel"/>
    <w:tmpl w:val="93C6BC9E"/>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1659"/>
        </w:tabs>
        <w:ind w:left="1659" w:hanging="465"/>
      </w:pPr>
      <w:rPr>
        <w:rFonts w:hint="default"/>
      </w:rPr>
    </w:lvl>
    <w:lvl w:ilvl="2">
      <w:start w:val="1"/>
      <w:numFmt w:val="decimal"/>
      <w:lvlText w:val="%1.%2.%3"/>
      <w:lvlJc w:val="left"/>
      <w:pPr>
        <w:tabs>
          <w:tab w:val="num" w:pos="3108"/>
        </w:tabs>
        <w:ind w:left="3108" w:hanging="720"/>
      </w:pPr>
      <w:rPr>
        <w:rFonts w:hint="default"/>
      </w:rPr>
    </w:lvl>
    <w:lvl w:ilvl="3">
      <w:start w:val="1"/>
      <w:numFmt w:val="decimal"/>
      <w:lvlText w:val="%1.%2.%3.%4"/>
      <w:lvlJc w:val="left"/>
      <w:pPr>
        <w:tabs>
          <w:tab w:val="num" w:pos="4662"/>
        </w:tabs>
        <w:ind w:left="4662" w:hanging="1080"/>
      </w:pPr>
      <w:rPr>
        <w:rFonts w:hint="default"/>
      </w:rPr>
    </w:lvl>
    <w:lvl w:ilvl="4">
      <w:start w:val="1"/>
      <w:numFmt w:val="decimal"/>
      <w:lvlText w:val="%1.%2.%3.%4.%5"/>
      <w:lvlJc w:val="left"/>
      <w:pPr>
        <w:tabs>
          <w:tab w:val="num" w:pos="5856"/>
        </w:tabs>
        <w:ind w:left="5856" w:hanging="1080"/>
      </w:pPr>
      <w:rPr>
        <w:rFonts w:hint="default"/>
      </w:rPr>
    </w:lvl>
    <w:lvl w:ilvl="5">
      <w:start w:val="1"/>
      <w:numFmt w:val="decimal"/>
      <w:lvlText w:val="%1.%2.%3.%4.%5.%6"/>
      <w:lvlJc w:val="left"/>
      <w:pPr>
        <w:tabs>
          <w:tab w:val="num" w:pos="7410"/>
        </w:tabs>
        <w:ind w:left="7410" w:hanging="1440"/>
      </w:pPr>
      <w:rPr>
        <w:rFonts w:hint="default"/>
      </w:rPr>
    </w:lvl>
    <w:lvl w:ilvl="6">
      <w:start w:val="1"/>
      <w:numFmt w:val="decimal"/>
      <w:lvlText w:val="%1.%2.%3.%4.%5.%6.%7"/>
      <w:lvlJc w:val="left"/>
      <w:pPr>
        <w:tabs>
          <w:tab w:val="num" w:pos="8604"/>
        </w:tabs>
        <w:ind w:left="8604" w:hanging="1440"/>
      </w:pPr>
      <w:rPr>
        <w:rFonts w:hint="default"/>
      </w:rPr>
    </w:lvl>
    <w:lvl w:ilvl="7">
      <w:start w:val="1"/>
      <w:numFmt w:val="decimal"/>
      <w:lvlText w:val="%1.%2.%3.%4.%5.%6.%7.%8"/>
      <w:lvlJc w:val="left"/>
      <w:pPr>
        <w:tabs>
          <w:tab w:val="num" w:pos="10158"/>
        </w:tabs>
        <w:ind w:left="10158" w:hanging="1800"/>
      </w:pPr>
      <w:rPr>
        <w:rFonts w:hint="default"/>
      </w:rPr>
    </w:lvl>
    <w:lvl w:ilvl="8">
      <w:start w:val="1"/>
      <w:numFmt w:val="decimal"/>
      <w:lvlText w:val="%1.%2.%3.%4.%5.%6.%7.%8.%9"/>
      <w:lvlJc w:val="left"/>
      <w:pPr>
        <w:tabs>
          <w:tab w:val="num" w:pos="11352"/>
        </w:tabs>
        <w:ind w:left="11352" w:hanging="1800"/>
      </w:pPr>
      <w:rPr>
        <w:rFonts w:hint="default"/>
      </w:rPr>
    </w:lvl>
  </w:abstractNum>
  <w:abstractNum w:abstractNumId="344">
    <w:nsid w:val="3CB64AA2"/>
    <w:multiLevelType w:val="singleLevel"/>
    <w:tmpl w:val="04160017"/>
    <w:lvl w:ilvl="0">
      <w:start w:val="1"/>
      <w:numFmt w:val="lowerLetter"/>
      <w:lvlText w:val="%1)"/>
      <w:lvlJc w:val="left"/>
      <w:pPr>
        <w:tabs>
          <w:tab w:val="num" w:pos="360"/>
        </w:tabs>
        <w:ind w:left="360" w:hanging="360"/>
      </w:pPr>
    </w:lvl>
  </w:abstractNum>
  <w:abstractNum w:abstractNumId="345">
    <w:nsid w:val="3CF848B0"/>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346">
    <w:nsid w:val="3D33115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47">
    <w:nsid w:val="3D5234F6"/>
    <w:multiLevelType w:val="singleLevel"/>
    <w:tmpl w:val="04160017"/>
    <w:lvl w:ilvl="0">
      <w:start w:val="1"/>
      <w:numFmt w:val="lowerLetter"/>
      <w:lvlText w:val="%1)"/>
      <w:lvlJc w:val="left"/>
      <w:pPr>
        <w:tabs>
          <w:tab w:val="num" w:pos="360"/>
        </w:tabs>
        <w:ind w:left="360" w:hanging="360"/>
      </w:pPr>
    </w:lvl>
  </w:abstractNum>
  <w:abstractNum w:abstractNumId="348">
    <w:nsid w:val="3D59464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349">
    <w:nsid w:val="3DCD2838"/>
    <w:multiLevelType w:val="singleLevel"/>
    <w:tmpl w:val="2C623534"/>
    <w:lvl w:ilvl="0">
      <w:start w:val="1"/>
      <w:numFmt w:val="lowerRoman"/>
      <w:lvlText w:val="%1)"/>
      <w:lvlJc w:val="left"/>
      <w:pPr>
        <w:tabs>
          <w:tab w:val="num" w:pos="720"/>
        </w:tabs>
        <w:ind w:left="720" w:hanging="720"/>
      </w:pPr>
      <w:rPr>
        <w:rFonts w:hint="default"/>
      </w:rPr>
    </w:lvl>
  </w:abstractNum>
  <w:abstractNum w:abstractNumId="350">
    <w:nsid w:val="3DE005F5"/>
    <w:multiLevelType w:val="singleLevel"/>
    <w:tmpl w:val="5BEE313E"/>
    <w:lvl w:ilvl="0">
      <w:start w:val="9"/>
      <w:numFmt w:val="lowerLetter"/>
      <w:lvlText w:val="%1)"/>
      <w:lvlJc w:val="left"/>
      <w:pPr>
        <w:tabs>
          <w:tab w:val="num" w:pos="1776"/>
        </w:tabs>
        <w:ind w:left="1776" w:hanging="360"/>
      </w:pPr>
      <w:rPr>
        <w:rFonts w:hint="default"/>
      </w:rPr>
    </w:lvl>
  </w:abstractNum>
  <w:abstractNum w:abstractNumId="351">
    <w:nsid w:val="3DF109BF"/>
    <w:multiLevelType w:val="singleLevel"/>
    <w:tmpl w:val="04160001"/>
    <w:lvl w:ilvl="0">
      <w:start w:val="331"/>
      <w:numFmt w:val="bullet"/>
      <w:lvlText w:val=""/>
      <w:lvlJc w:val="left"/>
      <w:pPr>
        <w:tabs>
          <w:tab w:val="num" w:pos="360"/>
        </w:tabs>
        <w:ind w:left="360" w:hanging="360"/>
      </w:pPr>
      <w:rPr>
        <w:rFonts w:ascii="Symbol" w:hAnsi="Symbol" w:hint="default"/>
      </w:rPr>
    </w:lvl>
  </w:abstractNum>
  <w:abstractNum w:abstractNumId="352">
    <w:nsid w:val="3E2B2FC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353">
    <w:nsid w:val="3E4A653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54">
    <w:nsid w:val="3E544C4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5">
    <w:nsid w:val="3E910474"/>
    <w:multiLevelType w:val="singleLevel"/>
    <w:tmpl w:val="FFFFFFFF"/>
    <w:lvl w:ilvl="0">
      <w:numFmt w:val="decimal"/>
      <w:lvlText w:val="%1"/>
      <w:legacy w:legacy="1" w:legacySpace="0" w:legacyIndent="0"/>
      <w:lvlJc w:val="left"/>
    </w:lvl>
  </w:abstractNum>
  <w:abstractNum w:abstractNumId="356">
    <w:nsid w:val="3E94697C"/>
    <w:multiLevelType w:val="singleLevel"/>
    <w:tmpl w:val="04160013"/>
    <w:lvl w:ilvl="0">
      <w:start w:val="1"/>
      <w:numFmt w:val="upperRoman"/>
      <w:lvlText w:val="%1."/>
      <w:lvlJc w:val="left"/>
      <w:pPr>
        <w:tabs>
          <w:tab w:val="num" w:pos="720"/>
        </w:tabs>
        <w:ind w:left="720" w:hanging="720"/>
      </w:pPr>
      <w:rPr>
        <w:rFonts w:hint="default"/>
      </w:rPr>
    </w:lvl>
  </w:abstractNum>
  <w:abstractNum w:abstractNumId="357">
    <w:nsid w:val="3EC01BB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58">
    <w:nsid w:val="3EDA74EB"/>
    <w:multiLevelType w:val="singleLevel"/>
    <w:tmpl w:val="49A6C61A"/>
    <w:lvl w:ilvl="0">
      <w:start w:val="1"/>
      <w:numFmt w:val="bullet"/>
      <w:lvlText w:val=""/>
      <w:lvlJc w:val="left"/>
      <w:pPr>
        <w:tabs>
          <w:tab w:val="num" w:pos="1512"/>
        </w:tabs>
        <w:ind w:left="1435" w:hanging="283"/>
      </w:pPr>
      <w:rPr>
        <w:rFonts w:ascii="Symbol" w:hAnsi="Symbol" w:hint="default"/>
        <w:sz w:val="24"/>
      </w:rPr>
    </w:lvl>
  </w:abstractNum>
  <w:abstractNum w:abstractNumId="359">
    <w:nsid w:val="3EE048A3"/>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360">
    <w:nsid w:val="3EE22C31"/>
    <w:multiLevelType w:val="singleLevel"/>
    <w:tmpl w:val="3B98B7F8"/>
    <w:lvl w:ilvl="0">
      <w:start w:val="1"/>
      <w:numFmt w:val="bullet"/>
      <w:lvlText w:val=""/>
      <w:lvlJc w:val="left"/>
      <w:pPr>
        <w:tabs>
          <w:tab w:val="num" w:pos="1512"/>
        </w:tabs>
        <w:ind w:left="1435" w:hanging="283"/>
      </w:pPr>
      <w:rPr>
        <w:rFonts w:ascii="Symbol" w:hAnsi="Symbol" w:hint="default"/>
        <w:sz w:val="20"/>
      </w:rPr>
    </w:lvl>
  </w:abstractNum>
  <w:abstractNum w:abstractNumId="361">
    <w:nsid w:val="3F030D23"/>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2">
    <w:nsid w:val="3F431BD1"/>
    <w:multiLevelType w:val="singleLevel"/>
    <w:tmpl w:val="FFFFFFFF"/>
    <w:lvl w:ilvl="0">
      <w:numFmt w:val="decimal"/>
      <w:lvlText w:val="%1"/>
      <w:legacy w:legacy="1" w:legacySpace="0" w:legacyIndent="0"/>
      <w:lvlJc w:val="left"/>
    </w:lvl>
  </w:abstractNum>
  <w:abstractNum w:abstractNumId="363">
    <w:nsid w:val="3F4903F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64">
    <w:nsid w:val="3F637E6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65">
    <w:nsid w:val="3F67095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66">
    <w:nsid w:val="3F7D6B61"/>
    <w:multiLevelType w:val="singleLevel"/>
    <w:tmpl w:val="5074D4E0"/>
    <w:lvl w:ilvl="0">
      <w:start w:val="1"/>
      <w:numFmt w:val="decimal"/>
      <w:lvlText w:val="%1-"/>
      <w:lvlJc w:val="left"/>
      <w:pPr>
        <w:tabs>
          <w:tab w:val="num" w:pos="705"/>
        </w:tabs>
        <w:ind w:left="705" w:hanging="705"/>
      </w:pPr>
      <w:rPr>
        <w:rFonts w:hint="default"/>
      </w:rPr>
    </w:lvl>
  </w:abstractNum>
  <w:abstractNum w:abstractNumId="367">
    <w:nsid w:val="3FA1568D"/>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368">
    <w:nsid w:val="3FD75E9E"/>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69">
    <w:nsid w:val="40314BA6"/>
    <w:multiLevelType w:val="singleLevel"/>
    <w:tmpl w:val="04160017"/>
    <w:lvl w:ilvl="0">
      <w:start w:val="1"/>
      <w:numFmt w:val="lowerLetter"/>
      <w:lvlText w:val="%1)"/>
      <w:lvlJc w:val="left"/>
      <w:pPr>
        <w:tabs>
          <w:tab w:val="num" w:pos="360"/>
        </w:tabs>
        <w:ind w:left="360" w:hanging="360"/>
      </w:pPr>
    </w:lvl>
  </w:abstractNum>
  <w:abstractNum w:abstractNumId="370">
    <w:nsid w:val="403A363D"/>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371">
    <w:nsid w:val="41092972"/>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372">
    <w:nsid w:val="41214923"/>
    <w:multiLevelType w:val="singleLevel"/>
    <w:tmpl w:val="351841A6"/>
    <w:lvl w:ilvl="0">
      <w:start w:val="500"/>
      <w:numFmt w:val="decimal"/>
      <w:lvlText w:val="%1"/>
      <w:lvlJc w:val="left"/>
      <w:pPr>
        <w:tabs>
          <w:tab w:val="num" w:pos="4373"/>
        </w:tabs>
        <w:ind w:left="4373" w:hanging="420"/>
      </w:pPr>
      <w:rPr>
        <w:rFonts w:hint="default"/>
        <w:b w:val="0"/>
      </w:rPr>
    </w:lvl>
  </w:abstractNum>
  <w:abstractNum w:abstractNumId="373">
    <w:nsid w:val="41550ABC"/>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374">
    <w:nsid w:val="41A069BE"/>
    <w:multiLevelType w:val="singleLevel"/>
    <w:tmpl w:val="7A6ADBD8"/>
    <w:lvl w:ilvl="0">
      <w:numFmt w:val="bullet"/>
      <w:lvlText w:val=""/>
      <w:lvlJc w:val="left"/>
      <w:pPr>
        <w:tabs>
          <w:tab w:val="num" w:pos="360"/>
        </w:tabs>
        <w:ind w:left="0" w:firstLine="0"/>
      </w:pPr>
      <w:rPr>
        <w:rFonts w:ascii="Symbol" w:hAnsi="Symbol" w:hint="default"/>
      </w:rPr>
    </w:lvl>
  </w:abstractNum>
  <w:abstractNum w:abstractNumId="375">
    <w:nsid w:val="41DB321E"/>
    <w:multiLevelType w:val="singleLevel"/>
    <w:tmpl w:val="E2428B0C"/>
    <w:lvl w:ilvl="0">
      <w:start w:val="10"/>
      <w:numFmt w:val="decimal"/>
      <w:lvlText w:val="%1"/>
      <w:lvlJc w:val="left"/>
      <w:pPr>
        <w:tabs>
          <w:tab w:val="num" w:pos="360"/>
        </w:tabs>
        <w:ind w:left="360" w:hanging="360"/>
      </w:pPr>
      <w:rPr>
        <w:rFonts w:hint="default"/>
      </w:rPr>
    </w:lvl>
  </w:abstractNum>
  <w:abstractNum w:abstractNumId="376">
    <w:nsid w:val="423E7C49"/>
    <w:multiLevelType w:val="singleLevel"/>
    <w:tmpl w:val="04160001"/>
    <w:lvl w:ilvl="0">
      <w:start w:val="556"/>
      <w:numFmt w:val="bullet"/>
      <w:lvlText w:val=""/>
      <w:lvlJc w:val="left"/>
      <w:pPr>
        <w:tabs>
          <w:tab w:val="num" w:pos="360"/>
        </w:tabs>
        <w:ind w:left="360" w:hanging="360"/>
      </w:pPr>
      <w:rPr>
        <w:rFonts w:ascii="Symbol" w:hAnsi="Symbol" w:hint="default"/>
      </w:rPr>
    </w:lvl>
  </w:abstractNum>
  <w:abstractNum w:abstractNumId="377">
    <w:nsid w:val="428A708D"/>
    <w:multiLevelType w:val="singleLevel"/>
    <w:tmpl w:val="0416000F"/>
    <w:lvl w:ilvl="0">
      <w:start w:val="1"/>
      <w:numFmt w:val="decimal"/>
      <w:lvlText w:val="%1."/>
      <w:lvlJc w:val="left"/>
      <w:pPr>
        <w:tabs>
          <w:tab w:val="num" w:pos="360"/>
        </w:tabs>
        <w:ind w:left="360" w:hanging="360"/>
      </w:pPr>
    </w:lvl>
  </w:abstractNum>
  <w:abstractNum w:abstractNumId="378">
    <w:nsid w:val="42947811"/>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379">
    <w:nsid w:val="42CC4B3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80">
    <w:nsid w:val="42D530BD"/>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381">
    <w:nsid w:val="42EC23F3"/>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82">
    <w:nsid w:val="42EC2538"/>
    <w:multiLevelType w:val="singleLevel"/>
    <w:tmpl w:val="118A400E"/>
    <w:lvl w:ilvl="0">
      <w:numFmt w:val="bullet"/>
      <w:lvlText w:val="-"/>
      <w:lvlJc w:val="left"/>
      <w:pPr>
        <w:tabs>
          <w:tab w:val="num" w:pos="4755"/>
        </w:tabs>
        <w:ind w:left="4755" w:hanging="360"/>
      </w:pPr>
      <w:rPr>
        <w:b/>
        <w:i w:val="0"/>
      </w:rPr>
    </w:lvl>
  </w:abstractNum>
  <w:abstractNum w:abstractNumId="383">
    <w:nsid w:val="43294325"/>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384">
    <w:nsid w:val="4347473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85">
    <w:nsid w:val="436C460F"/>
    <w:multiLevelType w:val="singleLevel"/>
    <w:tmpl w:val="FFFFFFFF"/>
    <w:lvl w:ilvl="0">
      <w:numFmt w:val="decimal"/>
      <w:lvlText w:val="%1"/>
      <w:legacy w:legacy="1" w:legacySpace="0" w:legacyIndent="0"/>
      <w:lvlJc w:val="left"/>
    </w:lvl>
  </w:abstractNum>
  <w:abstractNum w:abstractNumId="386">
    <w:nsid w:val="43B837C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87">
    <w:nsid w:val="43BE0B2C"/>
    <w:multiLevelType w:val="singleLevel"/>
    <w:tmpl w:val="871E2624"/>
    <w:lvl w:ilvl="0">
      <w:start w:val="1"/>
      <w:numFmt w:val="bullet"/>
      <w:lvlText w:val=""/>
      <w:lvlJc w:val="left"/>
      <w:pPr>
        <w:tabs>
          <w:tab w:val="num" w:pos="1512"/>
        </w:tabs>
        <w:ind w:left="1435" w:hanging="283"/>
      </w:pPr>
      <w:rPr>
        <w:rFonts w:ascii="Symbol" w:hAnsi="Symbol" w:hint="default"/>
        <w:sz w:val="28"/>
      </w:rPr>
    </w:lvl>
  </w:abstractNum>
  <w:abstractNum w:abstractNumId="388">
    <w:nsid w:val="4406685D"/>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89">
    <w:nsid w:val="440B259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390">
    <w:nsid w:val="4446037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91">
    <w:nsid w:val="445C379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392">
    <w:nsid w:val="44704780"/>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393">
    <w:nsid w:val="452F6EA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394">
    <w:nsid w:val="459A64D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395">
    <w:nsid w:val="45AB7B70"/>
    <w:multiLevelType w:val="singleLevel"/>
    <w:tmpl w:val="9D5A251E"/>
    <w:lvl w:ilvl="0">
      <w:start w:val="1"/>
      <w:numFmt w:val="upperLetter"/>
      <w:lvlText w:val="%1)"/>
      <w:lvlJc w:val="left"/>
      <w:pPr>
        <w:tabs>
          <w:tab w:val="num" w:pos="1068"/>
        </w:tabs>
        <w:ind w:left="1068" w:hanging="360"/>
      </w:pPr>
      <w:rPr>
        <w:rFonts w:hint="default"/>
      </w:rPr>
    </w:lvl>
  </w:abstractNum>
  <w:abstractNum w:abstractNumId="396">
    <w:nsid w:val="45E102B0"/>
    <w:multiLevelType w:val="singleLevel"/>
    <w:tmpl w:val="79427096"/>
    <w:lvl w:ilvl="0">
      <w:start w:val="1"/>
      <w:numFmt w:val="decimal"/>
      <w:lvlText w:val="%1."/>
      <w:lvlJc w:val="left"/>
      <w:pPr>
        <w:tabs>
          <w:tab w:val="num" w:pos="360"/>
        </w:tabs>
        <w:ind w:left="360" w:hanging="360"/>
      </w:pPr>
      <w:rPr>
        <w:b/>
        <w:i w:val="0"/>
      </w:rPr>
    </w:lvl>
  </w:abstractNum>
  <w:abstractNum w:abstractNumId="397">
    <w:nsid w:val="4627085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398">
    <w:nsid w:val="46C539C0"/>
    <w:multiLevelType w:val="singleLevel"/>
    <w:tmpl w:val="0416000F"/>
    <w:lvl w:ilvl="0">
      <w:start w:val="1"/>
      <w:numFmt w:val="decimal"/>
      <w:lvlText w:val="%1."/>
      <w:lvlJc w:val="left"/>
      <w:pPr>
        <w:tabs>
          <w:tab w:val="num" w:pos="360"/>
        </w:tabs>
        <w:ind w:left="360" w:hanging="360"/>
      </w:pPr>
    </w:lvl>
  </w:abstractNum>
  <w:abstractNum w:abstractNumId="399">
    <w:nsid w:val="46D17C5F"/>
    <w:multiLevelType w:val="singleLevel"/>
    <w:tmpl w:val="44A49ADA"/>
    <w:lvl w:ilvl="0">
      <w:start w:val="1"/>
      <w:numFmt w:val="lowerLetter"/>
      <w:lvlText w:val="(%1)"/>
      <w:lvlJc w:val="left"/>
      <w:pPr>
        <w:tabs>
          <w:tab w:val="num" w:pos="1114"/>
        </w:tabs>
        <w:ind w:left="1114" w:hanging="405"/>
      </w:pPr>
      <w:rPr>
        <w:rFonts w:hint="default"/>
      </w:rPr>
    </w:lvl>
  </w:abstractNum>
  <w:abstractNum w:abstractNumId="400">
    <w:nsid w:val="46EE50F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01">
    <w:nsid w:val="46F61B8E"/>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02">
    <w:nsid w:val="46F858D6"/>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03">
    <w:nsid w:val="47067C35"/>
    <w:multiLevelType w:val="singleLevel"/>
    <w:tmpl w:val="877891CC"/>
    <w:lvl w:ilvl="0">
      <w:start w:val="1"/>
      <w:numFmt w:val="lowerRoman"/>
      <w:lvlText w:val="(%1)"/>
      <w:lvlJc w:val="left"/>
      <w:pPr>
        <w:tabs>
          <w:tab w:val="num" w:pos="1788"/>
        </w:tabs>
        <w:ind w:left="1788" w:hanging="1080"/>
      </w:pPr>
      <w:rPr>
        <w:rFonts w:hint="default"/>
      </w:rPr>
    </w:lvl>
  </w:abstractNum>
  <w:abstractNum w:abstractNumId="404">
    <w:nsid w:val="470A0D1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05">
    <w:nsid w:val="473D2D3B"/>
    <w:multiLevelType w:val="singleLevel"/>
    <w:tmpl w:val="CFA6D2B4"/>
    <w:lvl w:ilvl="0">
      <w:start w:val="1"/>
      <w:numFmt w:val="decimal"/>
      <w:lvlText w:val="(%1)"/>
      <w:lvlJc w:val="left"/>
      <w:pPr>
        <w:tabs>
          <w:tab w:val="num" w:pos="360"/>
        </w:tabs>
        <w:ind w:left="360" w:hanging="360"/>
      </w:pPr>
      <w:rPr>
        <w:rFonts w:hint="default"/>
      </w:rPr>
    </w:lvl>
  </w:abstractNum>
  <w:abstractNum w:abstractNumId="406">
    <w:nsid w:val="47B537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07">
    <w:nsid w:val="47FD06E5"/>
    <w:multiLevelType w:val="singleLevel"/>
    <w:tmpl w:val="04160017"/>
    <w:lvl w:ilvl="0">
      <w:start w:val="1"/>
      <w:numFmt w:val="lowerLetter"/>
      <w:lvlText w:val="%1)"/>
      <w:lvlJc w:val="left"/>
      <w:pPr>
        <w:tabs>
          <w:tab w:val="num" w:pos="360"/>
        </w:tabs>
        <w:ind w:left="360" w:hanging="360"/>
      </w:pPr>
      <w:rPr>
        <w:rFonts w:hint="default"/>
      </w:rPr>
    </w:lvl>
  </w:abstractNum>
  <w:abstractNum w:abstractNumId="408">
    <w:nsid w:val="480240D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09">
    <w:nsid w:val="485F1820"/>
    <w:multiLevelType w:val="multilevel"/>
    <w:tmpl w:val="5DA84EDA"/>
    <w:lvl w:ilvl="0">
      <w:start w:val="3"/>
      <w:numFmt w:val="decimal"/>
      <w:lvlText w:val="%1."/>
      <w:lvlJc w:val="left"/>
      <w:pPr>
        <w:tabs>
          <w:tab w:val="num" w:pos="400"/>
        </w:tabs>
        <w:ind w:left="400" w:hanging="400"/>
      </w:pPr>
      <w:rPr>
        <w:rFonts w:hint="default"/>
      </w:rPr>
    </w:lvl>
    <w:lvl w:ilvl="1">
      <w:start w:val="1"/>
      <w:numFmt w:val="decimal"/>
      <w:lvlText w:val="%1.%2."/>
      <w:lvlJc w:val="left"/>
      <w:pPr>
        <w:tabs>
          <w:tab w:val="num" w:pos="2138"/>
        </w:tabs>
        <w:ind w:left="2138" w:hanging="720"/>
      </w:pPr>
      <w:rPr>
        <w:rFonts w:hint="default"/>
      </w:rPr>
    </w:lvl>
    <w:lvl w:ilvl="2">
      <w:start w:val="1"/>
      <w:numFmt w:val="decimal"/>
      <w:lvlText w:val="%1.%2.%3."/>
      <w:lvlJc w:val="left"/>
      <w:pPr>
        <w:tabs>
          <w:tab w:val="num" w:pos="3556"/>
        </w:tabs>
        <w:ind w:left="3556" w:hanging="720"/>
      </w:pPr>
      <w:rPr>
        <w:rFonts w:hint="default"/>
      </w:rPr>
    </w:lvl>
    <w:lvl w:ilvl="3">
      <w:start w:val="1"/>
      <w:numFmt w:val="decimal"/>
      <w:lvlText w:val="%1.%2.%3.%4."/>
      <w:lvlJc w:val="left"/>
      <w:pPr>
        <w:tabs>
          <w:tab w:val="num" w:pos="5334"/>
        </w:tabs>
        <w:ind w:left="5334" w:hanging="1080"/>
      </w:pPr>
      <w:rPr>
        <w:rFonts w:hint="default"/>
      </w:rPr>
    </w:lvl>
    <w:lvl w:ilvl="4">
      <w:start w:val="1"/>
      <w:numFmt w:val="decimal"/>
      <w:lvlText w:val="%1.%2.%3.%4.%5."/>
      <w:lvlJc w:val="left"/>
      <w:pPr>
        <w:tabs>
          <w:tab w:val="num" w:pos="6752"/>
        </w:tabs>
        <w:ind w:left="6752" w:hanging="1080"/>
      </w:pPr>
      <w:rPr>
        <w:rFonts w:hint="default"/>
      </w:rPr>
    </w:lvl>
    <w:lvl w:ilvl="5">
      <w:start w:val="1"/>
      <w:numFmt w:val="decimal"/>
      <w:lvlText w:val="%1.%2.%3.%4.%5.%6."/>
      <w:lvlJc w:val="left"/>
      <w:pPr>
        <w:tabs>
          <w:tab w:val="num" w:pos="8530"/>
        </w:tabs>
        <w:ind w:left="8530" w:hanging="1440"/>
      </w:pPr>
      <w:rPr>
        <w:rFonts w:hint="default"/>
      </w:rPr>
    </w:lvl>
    <w:lvl w:ilvl="6">
      <w:start w:val="1"/>
      <w:numFmt w:val="decimal"/>
      <w:lvlText w:val="%1.%2.%3.%4.%5.%6.%7."/>
      <w:lvlJc w:val="left"/>
      <w:pPr>
        <w:tabs>
          <w:tab w:val="num" w:pos="9948"/>
        </w:tabs>
        <w:ind w:left="9948" w:hanging="1440"/>
      </w:pPr>
      <w:rPr>
        <w:rFonts w:hint="default"/>
      </w:rPr>
    </w:lvl>
    <w:lvl w:ilvl="7">
      <w:start w:val="1"/>
      <w:numFmt w:val="decimal"/>
      <w:lvlText w:val="%1.%2.%3.%4.%5.%6.%7.%8."/>
      <w:lvlJc w:val="left"/>
      <w:pPr>
        <w:tabs>
          <w:tab w:val="num" w:pos="11726"/>
        </w:tabs>
        <w:ind w:left="11726" w:hanging="1800"/>
      </w:pPr>
      <w:rPr>
        <w:rFonts w:hint="default"/>
      </w:rPr>
    </w:lvl>
    <w:lvl w:ilvl="8">
      <w:start w:val="1"/>
      <w:numFmt w:val="decimal"/>
      <w:lvlText w:val="%1.%2.%3.%4.%5.%6.%7.%8.%9."/>
      <w:lvlJc w:val="left"/>
      <w:pPr>
        <w:tabs>
          <w:tab w:val="num" w:pos="13504"/>
        </w:tabs>
        <w:ind w:left="13504" w:hanging="2160"/>
      </w:pPr>
      <w:rPr>
        <w:rFonts w:hint="default"/>
      </w:rPr>
    </w:lvl>
  </w:abstractNum>
  <w:abstractNum w:abstractNumId="410">
    <w:nsid w:val="48A22DF7"/>
    <w:multiLevelType w:val="multilevel"/>
    <w:tmpl w:val="52FE3A92"/>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1854"/>
        </w:tabs>
        <w:ind w:left="1854" w:hanging="60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11">
    <w:nsid w:val="48A80759"/>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12">
    <w:nsid w:val="492F4B2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13">
    <w:nsid w:val="49395ADE"/>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414">
    <w:nsid w:val="49563B89"/>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15">
    <w:nsid w:val="495D3DE0"/>
    <w:multiLevelType w:val="singleLevel"/>
    <w:tmpl w:val="785613DA"/>
    <w:lvl w:ilvl="0">
      <w:start w:val="3"/>
      <w:numFmt w:val="lowerLetter"/>
      <w:lvlText w:val="%1)"/>
      <w:lvlJc w:val="left"/>
      <w:pPr>
        <w:tabs>
          <w:tab w:val="num" w:pos="2061"/>
        </w:tabs>
        <w:ind w:left="2061" w:hanging="360"/>
      </w:pPr>
      <w:rPr>
        <w:rFonts w:hint="default"/>
      </w:rPr>
    </w:lvl>
  </w:abstractNum>
  <w:abstractNum w:abstractNumId="416">
    <w:nsid w:val="49767B1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17">
    <w:nsid w:val="49C710B4"/>
    <w:multiLevelType w:val="singleLevel"/>
    <w:tmpl w:val="118A400E"/>
    <w:lvl w:ilvl="0">
      <w:numFmt w:val="bullet"/>
      <w:lvlText w:val="-"/>
      <w:lvlJc w:val="left"/>
      <w:pPr>
        <w:tabs>
          <w:tab w:val="num" w:pos="4755"/>
        </w:tabs>
        <w:ind w:left="4755" w:hanging="360"/>
      </w:pPr>
      <w:rPr>
        <w:b/>
        <w:i w:val="0"/>
      </w:rPr>
    </w:lvl>
  </w:abstractNum>
  <w:abstractNum w:abstractNumId="418">
    <w:nsid w:val="4A2537C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19">
    <w:nsid w:val="4A607E20"/>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20">
    <w:nsid w:val="4A6C4D11"/>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21">
    <w:nsid w:val="4A817CF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22">
    <w:nsid w:val="4AE0460A"/>
    <w:multiLevelType w:val="singleLevel"/>
    <w:tmpl w:val="0416000F"/>
    <w:lvl w:ilvl="0">
      <w:start w:val="1"/>
      <w:numFmt w:val="decimal"/>
      <w:lvlText w:val="%1."/>
      <w:lvlJc w:val="left"/>
      <w:pPr>
        <w:tabs>
          <w:tab w:val="num" w:pos="360"/>
        </w:tabs>
        <w:ind w:left="360" w:hanging="360"/>
      </w:pPr>
    </w:lvl>
  </w:abstractNum>
  <w:abstractNum w:abstractNumId="423">
    <w:nsid w:val="4B1E7866"/>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24">
    <w:nsid w:val="4B8C02D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25">
    <w:nsid w:val="4BC17A4E"/>
    <w:multiLevelType w:val="singleLevel"/>
    <w:tmpl w:val="118A400E"/>
    <w:lvl w:ilvl="0">
      <w:numFmt w:val="bullet"/>
      <w:lvlText w:val="-"/>
      <w:lvlJc w:val="left"/>
      <w:pPr>
        <w:tabs>
          <w:tab w:val="num" w:pos="4755"/>
        </w:tabs>
        <w:ind w:left="4755" w:hanging="360"/>
      </w:pPr>
      <w:rPr>
        <w:b/>
        <w:i w:val="0"/>
      </w:rPr>
    </w:lvl>
  </w:abstractNum>
  <w:abstractNum w:abstractNumId="426">
    <w:nsid w:val="4BD72A49"/>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27">
    <w:nsid w:val="4BE12B99"/>
    <w:multiLevelType w:val="singleLevel"/>
    <w:tmpl w:val="118A400E"/>
    <w:lvl w:ilvl="0">
      <w:numFmt w:val="bullet"/>
      <w:lvlText w:val="-"/>
      <w:lvlJc w:val="left"/>
      <w:pPr>
        <w:tabs>
          <w:tab w:val="num" w:pos="4755"/>
        </w:tabs>
        <w:ind w:left="4755" w:hanging="360"/>
      </w:pPr>
      <w:rPr>
        <w:b/>
        <w:i w:val="0"/>
      </w:rPr>
    </w:lvl>
  </w:abstractNum>
  <w:abstractNum w:abstractNumId="428">
    <w:nsid w:val="4BF6560E"/>
    <w:multiLevelType w:val="singleLevel"/>
    <w:tmpl w:val="31363978"/>
    <w:lvl w:ilvl="0">
      <w:start w:val="68"/>
      <w:numFmt w:val="decimal"/>
      <w:lvlText w:val="%1."/>
      <w:lvlJc w:val="left"/>
      <w:pPr>
        <w:tabs>
          <w:tab w:val="num" w:pos="705"/>
        </w:tabs>
        <w:ind w:left="705" w:hanging="705"/>
      </w:pPr>
      <w:rPr>
        <w:rFonts w:hint="default"/>
      </w:rPr>
    </w:lvl>
  </w:abstractNum>
  <w:abstractNum w:abstractNumId="429">
    <w:nsid w:val="4C046FC2"/>
    <w:multiLevelType w:val="singleLevel"/>
    <w:tmpl w:val="EED03B2C"/>
    <w:lvl w:ilvl="0">
      <w:start w:val="1"/>
      <w:numFmt w:val="bullet"/>
      <w:lvlText w:val=""/>
      <w:lvlJc w:val="left"/>
      <w:pPr>
        <w:tabs>
          <w:tab w:val="num" w:pos="1512"/>
        </w:tabs>
        <w:ind w:left="1435" w:hanging="283"/>
      </w:pPr>
      <w:rPr>
        <w:rFonts w:ascii="Symbol" w:hAnsi="Symbol" w:hint="default"/>
        <w:sz w:val="20"/>
      </w:rPr>
    </w:lvl>
  </w:abstractNum>
  <w:abstractNum w:abstractNumId="430">
    <w:nsid w:val="4C0931E8"/>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431">
    <w:nsid w:val="4C2918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32">
    <w:nsid w:val="4C8136C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33">
    <w:nsid w:val="4C8B45B4"/>
    <w:multiLevelType w:val="multilevel"/>
    <w:tmpl w:val="9D9A8D40"/>
    <w:lvl w:ilvl="0">
      <w:start w:val="7"/>
      <w:numFmt w:val="decimal"/>
      <w:lvlText w:val="%1"/>
      <w:lvlJc w:val="left"/>
      <w:pPr>
        <w:tabs>
          <w:tab w:val="num" w:pos="465"/>
        </w:tabs>
        <w:ind w:left="465" w:hanging="465"/>
      </w:pPr>
      <w:rPr>
        <w:rFonts w:hint="default"/>
      </w:rPr>
    </w:lvl>
    <w:lvl w:ilvl="1">
      <w:start w:val="4"/>
      <w:numFmt w:val="decimal"/>
      <w:lvlText w:val="%1.%2"/>
      <w:lvlJc w:val="left"/>
      <w:pPr>
        <w:tabs>
          <w:tab w:val="num" w:pos="1719"/>
        </w:tabs>
        <w:ind w:left="1719" w:hanging="465"/>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434">
    <w:nsid w:val="4CDD6DFD"/>
    <w:multiLevelType w:val="singleLevel"/>
    <w:tmpl w:val="B1185318"/>
    <w:lvl w:ilvl="0">
      <w:numFmt w:val="bullet"/>
      <w:lvlText w:val=""/>
      <w:lvlJc w:val="left"/>
      <w:pPr>
        <w:tabs>
          <w:tab w:val="num" w:pos="2544"/>
        </w:tabs>
        <w:ind w:left="2544" w:hanging="360"/>
      </w:pPr>
      <w:rPr>
        <w:rFonts w:ascii="Wingdings" w:hAnsi="Wingdings" w:hint="default"/>
      </w:rPr>
    </w:lvl>
  </w:abstractNum>
  <w:abstractNum w:abstractNumId="435">
    <w:nsid w:val="4D2601A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36">
    <w:nsid w:val="4D3D5866"/>
    <w:multiLevelType w:val="multilevel"/>
    <w:tmpl w:val="F5D2FE0E"/>
    <w:lvl w:ilvl="0">
      <w:start w:val="10"/>
      <w:numFmt w:val="decimal"/>
      <w:lvlText w:val="%1."/>
      <w:lvlJc w:val="left"/>
      <w:pPr>
        <w:tabs>
          <w:tab w:val="num" w:pos="540"/>
        </w:tabs>
        <w:ind w:left="540" w:hanging="54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7">
    <w:nsid w:val="4D8D4D6E"/>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38">
    <w:nsid w:val="4DA2085A"/>
    <w:multiLevelType w:val="singleLevel"/>
    <w:tmpl w:val="1BB65688"/>
    <w:lvl w:ilvl="0">
      <w:start w:val="1"/>
      <w:numFmt w:val="lowerLetter"/>
      <w:lvlText w:val="%1)"/>
      <w:lvlJc w:val="left"/>
      <w:pPr>
        <w:tabs>
          <w:tab w:val="num" w:pos="1137"/>
        </w:tabs>
        <w:ind w:left="1137" w:hanging="570"/>
      </w:pPr>
      <w:rPr>
        <w:rFonts w:hint="default"/>
      </w:rPr>
    </w:lvl>
  </w:abstractNum>
  <w:abstractNum w:abstractNumId="439">
    <w:nsid w:val="4E055BE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40">
    <w:nsid w:val="4E3210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41">
    <w:nsid w:val="4E5D1270"/>
    <w:multiLevelType w:val="singleLevel"/>
    <w:tmpl w:val="14AEA4E0"/>
    <w:lvl w:ilvl="0">
      <w:start w:val="1"/>
      <w:numFmt w:val="bullet"/>
      <w:lvlText w:val=""/>
      <w:lvlJc w:val="left"/>
      <w:pPr>
        <w:tabs>
          <w:tab w:val="num" w:pos="1512"/>
        </w:tabs>
        <w:ind w:left="1435" w:hanging="283"/>
      </w:pPr>
      <w:rPr>
        <w:rFonts w:ascii="Symbol" w:hAnsi="Symbol" w:hint="default"/>
        <w:sz w:val="28"/>
      </w:rPr>
    </w:lvl>
  </w:abstractNum>
  <w:abstractNum w:abstractNumId="442">
    <w:nsid w:val="4E887C59"/>
    <w:multiLevelType w:val="singleLevel"/>
    <w:tmpl w:val="461E46FA"/>
    <w:lvl w:ilvl="0">
      <w:start w:val="1"/>
      <w:numFmt w:val="lowerLetter"/>
      <w:lvlText w:val="%1"/>
      <w:legacy w:legacy="1" w:legacySpace="0" w:legacyIndent="1778"/>
      <w:lvlJc w:val="left"/>
      <w:pPr>
        <w:ind w:left="3196" w:hanging="1778"/>
      </w:pPr>
      <w:rPr>
        <w:b/>
      </w:rPr>
    </w:lvl>
  </w:abstractNum>
  <w:abstractNum w:abstractNumId="443">
    <w:nsid w:val="4EC2380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44">
    <w:nsid w:val="4EC52026"/>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45">
    <w:nsid w:val="4F0B214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46">
    <w:nsid w:val="4F1E676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47">
    <w:nsid w:val="4F23388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448">
    <w:nsid w:val="4F5F3C7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49">
    <w:nsid w:val="4F693E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0">
    <w:nsid w:val="4F6E7AE3"/>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51">
    <w:nsid w:val="4F763572"/>
    <w:multiLevelType w:val="singleLevel"/>
    <w:tmpl w:val="0416000F"/>
    <w:lvl w:ilvl="0">
      <w:start w:val="1"/>
      <w:numFmt w:val="decimal"/>
      <w:lvlText w:val="%1."/>
      <w:lvlJc w:val="left"/>
      <w:pPr>
        <w:tabs>
          <w:tab w:val="num" w:pos="360"/>
        </w:tabs>
        <w:ind w:left="360" w:hanging="360"/>
      </w:pPr>
      <w:rPr>
        <w:rFonts w:hint="default"/>
        <w:u w:val="none"/>
      </w:rPr>
    </w:lvl>
  </w:abstractNum>
  <w:abstractNum w:abstractNumId="452">
    <w:nsid w:val="4F8E46D5"/>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53">
    <w:nsid w:val="4FA5372D"/>
    <w:multiLevelType w:val="singleLevel"/>
    <w:tmpl w:val="13D8C12C"/>
    <w:lvl w:ilvl="0">
      <w:start w:val="1"/>
      <w:numFmt w:val="decimal"/>
      <w:lvlText w:val="%1)"/>
      <w:lvlJc w:val="left"/>
      <w:pPr>
        <w:tabs>
          <w:tab w:val="num" w:pos="1770"/>
        </w:tabs>
        <w:ind w:left="1770" w:hanging="360"/>
      </w:pPr>
      <w:rPr>
        <w:rFonts w:hint="default"/>
      </w:rPr>
    </w:lvl>
  </w:abstractNum>
  <w:abstractNum w:abstractNumId="454">
    <w:nsid w:val="4FB51E0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455">
    <w:nsid w:val="4FC85EB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56">
    <w:nsid w:val="4FDF619B"/>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457">
    <w:nsid w:val="4FE01312"/>
    <w:multiLevelType w:val="singleLevel"/>
    <w:tmpl w:val="04160017"/>
    <w:lvl w:ilvl="0">
      <w:start w:val="1"/>
      <w:numFmt w:val="lowerLetter"/>
      <w:lvlText w:val="%1)"/>
      <w:lvlJc w:val="left"/>
      <w:pPr>
        <w:tabs>
          <w:tab w:val="num" w:pos="360"/>
        </w:tabs>
        <w:ind w:left="360" w:hanging="360"/>
      </w:pPr>
    </w:lvl>
  </w:abstractNum>
  <w:abstractNum w:abstractNumId="458">
    <w:nsid w:val="501330D8"/>
    <w:multiLevelType w:val="singleLevel"/>
    <w:tmpl w:val="0DD4D930"/>
    <w:lvl w:ilvl="0">
      <w:start w:val="1"/>
      <w:numFmt w:val="bullet"/>
      <w:lvlText w:val=""/>
      <w:lvlJc w:val="left"/>
      <w:pPr>
        <w:tabs>
          <w:tab w:val="num" w:pos="360"/>
        </w:tabs>
        <w:ind w:left="360" w:hanging="360"/>
      </w:pPr>
      <w:rPr>
        <w:rFonts w:ascii="Symbol" w:hAnsi="Symbol" w:hint="default"/>
      </w:rPr>
    </w:lvl>
  </w:abstractNum>
  <w:abstractNum w:abstractNumId="459">
    <w:nsid w:val="50284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60">
    <w:nsid w:val="503963D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61">
    <w:nsid w:val="509E0F73"/>
    <w:multiLevelType w:val="multilevel"/>
    <w:tmpl w:val="D26ACF28"/>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62">
    <w:nsid w:val="50A91DD1"/>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63">
    <w:nsid w:val="511F478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464">
    <w:nsid w:val="51305E96"/>
    <w:multiLevelType w:val="singleLevel"/>
    <w:tmpl w:val="118A400E"/>
    <w:lvl w:ilvl="0">
      <w:numFmt w:val="bullet"/>
      <w:lvlText w:val="-"/>
      <w:lvlJc w:val="left"/>
      <w:pPr>
        <w:tabs>
          <w:tab w:val="num" w:pos="4755"/>
        </w:tabs>
        <w:ind w:left="4755" w:hanging="360"/>
      </w:pPr>
      <w:rPr>
        <w:b/>
        <w:i w:val="0"/>
      </w:rPr>
    </w:lvl>
  </w:abstractNum>
  <w:abstractNum w:abstractNumId="465">
    <w:nsid w:val="5130749C"/>
    <w:multiLevelType w:val="singleLevel"/>
    <w:tmpl w:val="04160017"/>
    <w:lvl w:ilvl="0">
      <w:start w:val="1"/>
      <w:numFmt w:val="lowerLetter"/>
      <w:lvlText w:val="%1)"/>
      <w:lvlJc w:val="left"/>
      <w:pPr>
        <w:tabs>
          <w:tab w:val="num" w:pos="360"/>
        </w:tabs>
        <w:ind w:left="360" w:hanging="360"/>
      </w:pPr>
    </w:lvl>
  </w:abstractNum>
  <w:abstractNum w:abstractNumId="466">
    <w:nsid w:val="51434140"/>
    <w:multiLevelType w:val="singleLevel"/>
    <w:tmpl w:val="118A400E"/>
    <w:lvl w:ilvl="0">
      <w:numFmt w:val="bullet"/>
      <w:lvlText w:val="-"/>
      <w:lvlJc w:val="left"/>
      <w:pPr>
        <w:tabs>
          <w:tab w:val="num" w:pos="4755"/>
        </w:tabs>
        <w:ind w:left="4755" w:hanging="360"/>
      </w:pPr>
      <w:rPr>
        <w:b/>
        <w:i w:val="0"/>
      </w:rPr>
    </w:lvl>
  </w:abstractNum>
  <w:abstractNum w:abstractNumId="467">
    <w:nsid w:val="5146236D"/>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68">
    <w:nsid w:val="517E0AC6"/>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469">
    <w:nsid w:val="51F3306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470">
    <w:nsid w:val="5218346A"/>
    <w:multiLevelType w:val="singleLevel"/>
    <w:tmpl w:val="0D46A5C4"/>
    <w:lvl w:ilvl="0">
      <w:start w:val="9"/>
      <w:numFmt w:val="decimal"/>
      <w:lvlText w:val="%1. "/>
      <w:legacy w:legacy="1" w:legacySpace="0" w:legacyIndent="283"/>
      <w:lvlJc w:val="left"/>
      <w:pPr>
        <w:ind w:left="1701" w:hanging="283"/>
      </w:pPr>
      <w:rPr>
        <w:rFonts w:ascii="Arial" w:hAnsi="Arial" w:hint="default"/>
        <w:b/>
        <w:i w:val="0"/>
        <w:sz w:val="24"/>
      </w:rPr>
    </w:lvl>
  </w:abstractNum>
  <w:abstractNum w:abstractNumId="471">
    <w:nsid w:val="522B7B48"/>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72">
    <w:nsid w:val="52512D05"/>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73">
    <w:nsid w:val="52C80C7C"/>
    <w:multiLevelType w:val="singleLevel"/>
    <w:tmpl w:val="118A400E"/>
    <w:lvl w:ilvl="0">
      <w:numFmt w:val="bullet"/>
      <w:lvlText w:val="-"/>
      <w:lvlJc w:val="left"/>
      <w:pPr>
        <w:tabs>
          <w:tab w:val="num" w:pos="4755"/>
        </w:tabs>
        <w:ind w:left="4755" w:hanging="360"/>
      </w:pPr>
      <w:rPr>
        <w:b/>
        <w:i w:val="0"/>
      </w:rPr>
    </w:lvl>
  </w:abstractNum>
  <w:abstractNum w:abstractNumId="474">
    <w:nsid w:val="5319403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75">
    <w:nsid w:val="53330B0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76">
    <w:nsid w:val="536E7D1E"/>
    <w:multiLevelType w:val="singleLevel"/>
    <w:tmpl w:val="20DABA8E"/>
    <w:lvl w:ilvl="0">
      <w:start w:val="1"/>
      <w:numFmt w:val="bullet"/>
      <w:lvlText w:val=""/>
      <w:lvlJc w:val="left"/>
      <w:pPr>
        <w:tabs>
          <w:tab w:val="num" w:pos="360"/>
        </w:tabs>
        <w:ind w:left="360" w:hanging="360"/>
      </w:pPr>
      <w:rPr>
        <w:rFonts w:ascii="Symbol" w:hAnsi="Symbol" w:hint="default"/>
        <w:sz w:val="24"/>
      </w:rPr>
    </w:lvl>
  </w:abstractNum>
  <w:abstractNum w:abstractNumId="477">
    <w:nsid w:val="53762032"/>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478">
    <w:nsid w:val="53C867A5"/>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479">
    <w:nsid w:val="53CB677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480">
    <w:nsid w:val="53DB383E"/>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81">
    <w:nsid w:val="540E5599"/>
    <w:multiLevelType w:val="singleLevel"/>
    <w:tmpl w:val="118A400E"/>
    <w:lvl w:ilvl="0">
      <w:numFmt w:val="bullet"/>
      <w:lvlText w:val="-"/>
      <w:lvlJc w:val="left"/>
      <w:pPr>
        <w:tabs>
          <w:tab w:val="num" w:pos="4755"/>
        </w:tabs>
        <w:ind w:left="4755" w:hanging="360"/>
      </w:pPr>
      <w:rPr>
        <w:b/>
        <w:i w:val="0"/>
      </w:rPr>
    </w:lvl>
  </w:abstractNum>
  <w:abstractNum w:abstractNumId="482">
    <w:nsid w:val="543C4648"/>
    <w:multiLevelType w:val="singleLevel"/>
    <w:tmpl w:val="04160011"/>
    <w:lvl w:ilvl="0">
      <w:start w:val="1"/>
      <w:numFmt w:val="decimal"/>
      <w:lvlText w:val="%1)"/>
      <w:lvlJc w:val="left"/>
      <w:pPr>
        <w:tabs>
          <w:tab w:val="num" w:pos="360"/>
        </w:tabs>
        <w:ind w:left="360" w:hanging="360"/>
      </w:pPr>
      <w:rPr>
        <w:rFonts w:hint="default"/>
      </w:rPr>
    </w:lvl>
  </w:abstractNum>
  <w:abstractNum w:abstractNumId="483">
    <w:nsid w:val="549B7706"/>
    <w:multiLevelType w:val="singleLevel"/>
    <w:tmpl w:val="CDDE6586"/>
    <w:lvl w:ilvl="0">
      <w:start w:val="1"/>
      <w:numFmt w:val="lowerLetter"/>
      <w:lvlText w:val="%1)"/>
      <w:lvlJc w:val="left"/>
      <w:pPr>
        <w:tabs>
          <w:tab w:val="num" w:pos="1778"/>
        </w:tabs>
        <w:ind w:left="1778" w:hanging="360"/>
      </w:pPr>
      <w:rPr>
        <w:rFonts w:hint="default"/>
      </w:rPr>
    </w:lvl>
  </w:abstractNum>
  <w:abstractNum w:abstractNumId="484">
    <w:nsid w:val="549E037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85">
    <w:nsid w:val="54AE5053"/>
    <w:multiLevelType w:val="singleLevel"/>
    <w:tmpl w:val="899CB0A0"/>
    <w:lvl w:ilvl="0">
      <w:start w:val="1"/>
      <w:numFmt w:val="lowerLetter"/>
      <w:lvlText w:val="%1)"/>
      <w:lvlJc w:val="left"/>
      <w:pPr>
        <w:tabs>
          <w:tab w:val="num" w:pos="1137"/>
        </w:tabs>
        <w:ind w:left="1137" w:hanging="570"/>
      </w:pPr>
      <w:rPr>
        <w:rFonts w:hint="default"/>
      </w:rPr>
    </w:lvl>
  </w:abstractNum>
  <w:abstractNum w:abstractNumId="486">
    <w:nsid w:val="54EF2BDD"/>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87">
    <w:nsid w:val="54FA478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88">
    <w:nsid w:val="54FC189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89">
    <w:nsid w:val="553D550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0">
    <w:nsid w:val="55696E29"/>
    <w:multiLevelType w:val="singleLevel"/>
    <w:tmpl w:val="007CD24A"/>
    <w:lvl w:ilvl="0">
      <w:start w:val="1"/>
      <w:numFmt w:val="bullet"/>
      <w:lvlText w:val=""/>
      <w:lvlJc w:val="left"/>
      <w:pPr>
        <w:tabs>
          <w:tab w:val="num" w:pos="360"/>
        </w:tabs>
        <w:ind w:left="283" w:hanging="283"/>
      </w:pPr>
      <w:rPr>
        <w:rFonts w:ascii="Symbol" w:hAnsi="Symbol" w:hint="default"/>
        <w:sz w:val="24"/>
      </w:rPr>
    </w:lvl>
  </w:abstractNum>
  <w:abstractNum w:abstractNumId="491">
    <w:nsid w:val="556A1AE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2">
    <w:nsid w:val="556A784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493">
    <w:nsid w:val="55990891"/>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494">
    <w:nsid w:val="55A60671"/>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495">
    <w:nsid w:val="55D8071F"/>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496">
    <w:nsid w:val="55E45BAB"/>
    <w:multiLevelType w:val="singleLevel"/>
    <w:tmpl w:val="04160001"/>
    <w:lvl w:ilvl="0">
      <w:start w:val="5"/>
      <w:numFmt w:val="bullet"/>
      <w:lvlText w:val=""/>
      <w:lvlJc w:val="left"/>
      <w:pPr>
        <w:tabs>
          <w:tab w:val="num" w:pos="360"/>
        </w:tabs>
        <w:ind w:left="360" w:hanging="360"/>
      </w:pPr>
      <w:rPr>
        <w:rFonts w:ascii="Symbol" w:hAnsi="Symbol" w:hint="default"/>
      </w:rPr>
    </w:lvl>
  </w:abstractNum>
  <w:abstractNum w:abstractNumId="497">
    <w:nsid w:val="55FB5892"/>
    <w:multiLevelType w:val="singleLevel"/>
    <w:tmpl w:val="16BC7322"/>
    <w:lvl w:ilvl="0">
      <w:start w:val="1"/>
      <w:numFmt w:val="bullet"/>
      <w:lvlText w:val="-"/>
      <w:lvlJc w:val="left"/>
      <w:pPr>
        <w:tabs>
          <w:tab w:val="num" w:pos="360"/>
        </w:tabs>
        <w:ind w:left="360" w:hanging="360"/>
      </w:pPr>
      <w:rPr>
        <w:rFonts w:hint="default"/>
        <w:sz w:val="26"/>
      </w:rPr>
    </w:lvl>
  </w:abstractNum>
  <w:abstractNum w:abstractNumId="498">
    <w:nsid w:val="560535C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499">
    <w:nsid w:val="565418E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00">
    <w:nsid w:val="565F4109"/>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01">
    <w:nsid w:val="56E00C1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02">
    <w:nsid w:val="57105A5C"/>
    <w:multiLevelType w:val="singleLevel"/>
    <w:tmpl w:val="118A400E"/>
    <w:lvl w:ilvl="0">
      <w:numFmt w:val="bullet"/>
      <w:lvlText w:val="-"/>
      <w:lvlJc w:val="left"/>
      <w:pPr>
        <w:tabs>
          <w:tab w:val="num" w:pos="4755"/>
        </w:tabs>
        <w:ind w:left="4755" w:hanging="360"/>
      </w:pPr>
      <w:rPr>
        <w:b/>
        <w:i w:val="0"/>
      </w:rPr>
    </w:lvl>
  </w:abstractNum>
  <w:abstractNum w:abstractNumId="503">
    <w:nsid w:val="57326358"/>
    <w:multiLevelType w:val="singleLevel"/>
    <w:tmpl w:val="118A400E"/>
    <w:lvl w:ilvl="0">
      <w:numFmt w:val="bullet"/>
      <w:lvlText w:val="-"/>
      <w:lvlJc w:val="left"/>
      <w:pPr>
        <w:tabs>
          <w:tab w:val="num" w:pos="4755"/>
        </w:tabs>
        <w:ind w:left="4755" w:hanging="360"/>
      </w:pPr>
      <w:rPr>
        <w:b/>
        <w:i w:val="0"/>
      </w:rPr>
    </w:lvl>
  </w:abstractNum>
  <w:abstractNum w:abstractNumId="504">
    <w:nsid w:val="573C5654"/>
    <w:multiLevelType w:val="multilevel"/>
    <w:tmpl w:val="07C09DEC"/>
    <w:lvl w:ilvl="0">
      <w:start w:val="1"/>
      <w:numFmt w:val="decimal"/>
      <w:lvlText w:val="%1."/>
      <w:lvlJc w:val="left"/>
      <w:pPr>
        <w:tabs>
          <w:tab w:val="num" w:pos="360"/>
        </w:tabs>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05">
    <w:nsid w:val="5748392C"/>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06">
    <w:nsid w:val="578C5575"/>
    <w:multiLevelType w:val="singleLevel"/>
    <w:tmpl w:val="6D98D4DA"/>
    <w:lvl w:ilvl="0">
      <w:start w:val="1"/>
      <w:numFmt w:val="lowerLetter"/>
      <w:lvlText w:val="(%1)"/>
      <w:lvlJc w:val="left"/>
      <w:pPr>
        <w:tabs>
          <w:tab w:val="num" w:pos="360"/>
        </w:tabs>
        <w:ind w:left="360" w:hanging="360"/>
      </w:pPr>
      <w:rPr>
        <w:rFonts w:hint="default"/>
        <w:u w:val="single"/>
      </w:rPr>
    </w:lvl>
  </w:abstractNum>
  <w:abstractNum w:abstractNumId="507">
    <w:nsid w:val="579D674A"/>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08">
    <w:nsid w:val="57AB137E"/>
    <w:multiLevelType w:val="singleLevel"/>
    <w:tmpl w:val="118A400E"/>
    <w:lvl w:ilvl="0">
      <w:numFmt w:val="bullet"/>
      <w:lvlText w:val="-"/>
      <w:lvlJc w:val="left"/>
      <w:pPr>
        <w:tabs>
          <w:tab w:val="num" w:pos="4755"/>
        </w:tabs>
        <w:ind w:left="4755" w:hanging="360"/>
      </w:pPr>
      <w:rPr>
        <w:b/>
        <w:i w:val="0"/>
      </w:rPr>
    </w:lvl>
  </w:abstractNum>
  <w:abstractNum w:abstractNumId="509">
    <w:nsid w:val="586B57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10">
    <w:nsid w:val="5890472F"/>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11">
    <w:nsid w:val="58AC0C79"/>
    <w:multiLevelType w:val="singleLevel"/>
    <w:tmpl w:val="206EA83E"/>
    <w:lvl w:ilvl="0">
      <w:start w:val="4"/>
      <w:numFmt w:val="bullet"/>
      <w:lvlText w:val="-"/>
      <w:lvlJc w:val="left"/>
      <w:pPr>
        <w:tabs>
          <w:tab w:val="num" w:pos="360"/>
        </w:tabs>
        <w:ind w:left="360" w:hanging="360"/>
      </w:pPr>
      <w:rPr>
        <w:rFonts w:ascii="Times New Roman" w:hAnsi="Times New Roman" w:hint="default"/>
      </w:rPr>
    </w:lvl>
  </w:abstractNum>
  <w:abstractNum w:abstractNumId="512">
    <w:nsid w:val="59584707"/>
    <w:multiLevelType w:val="singleLevel"/>
    <w:tmpl w:val="118A400E"/>
    <w:lvl w:ilvl="0">
      <w:numFmt w:val="bullet"/>
      <w:lvlText w:val="-"/>
      <w:lvlJc w:val="left"/>
      <w:pPr>
        <w:tabs>
          <w:tab w:val="num" w:pos="4755"/>
        </w:tabs>
        <w:ind w:left="4755" w:hanging="360"/>
      </w:pPr>
      <w:rPr>
        <w:b/>
        <w:i w:val="0"/>
      </w:rPr>
    </w:lvl>
  </w:abstractNum>
  <w:abstractNum w:abstractNumId="513">
    <w:nsid w:val="597055EB"/>
    <w:multiLevelType w:val="singleLevel"/>
    <w:tmpl w:val="AF26CB8C"/>
    <w:lvl w:ilvl="0">
      <w:start w:val="1"/>
      <w:numFmt w:val="lowerLetter"/>
      <w:lvlText w:val="(%1)"/>
      <w:lvlJc w:val="left"/>
      <w:pPr>
        <w:tabs>
          <w:tab w:val="num" w:pos="1440"/>
        </w:tabs>
        <w:ind w:left="1440" w:hanging="375"/>
      </w:pPr>
      <w:rPr>
        <w:rFonts w:hint="default"/>
      </w:rPr>
    </w:lvl>
  </w:abstractNum>
  <w:abstractNum w:abstractNumId="514">
    <w:nsid w:val="59EC6E25"/>
    <w:multiLevelType w:val="singleLevel"/>
    <w:tmpl w:val="9A621348"/>
    <w:lvl w:ilvl="0">
      <w:start w:val="1"/>
      <w:numFmt w:val="decimal"/>
      <w:lvlText w:val="%1."/>
      <w:lvlJc w:val="left"/>
      <w:pPr>
        <w:tabs>
          <w:tab w:val="num" w:pos="2203"/>
        </w:tabs>
        <w:ind w:left="2203" w:hanging="360"/>
      </w:pPr>
      <w:rPr>
        <w:rFonts w:hint="default"/>
        <w:b/>
      </w:rPr>
    </w:lvl>
  </w:abstractNum>
  <w:abstractNum w:abstractNumId="515">
    <w:nsid w:val="5A716526"/>
    <w:multiLevelType w:val="singleLevel"/>
    <w:tmpl w:val="118A400E"/>
    <w:lvl w:ilvl="0">
      <w:numFmt w:val="bullet"/>
      <w:lvlText w:val="-"/>
      <w:lvlJc w:val="left"/>
      <w:pPr>
        <w:tabs>
          <w:tab w:val="num" w:pos="4755"/>
        </w:tabs>
        <w:ind w:left="4755" w:hanging="360"/>
      </w:pPr>
      <w:rPr>
        <w:b/>
        <w:i w:val="0"/>
      </w:rPr>
    </w:lvl>
  </w:abstractNum>
  <w:abstractNum w:abstractNumId="516">
    <w:nsid w:val="5A873C0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17">
    <w:nsid w:val="5AB406C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18">
    <w:nsid w:val="5AE43150"/>
    <w:multiLevelType w:val="singleLevel"/>
    <w:tmpl w:val="5524D622"/>
    <w:lvl w:ilvl="0">
      <w:start w:val="1"/>
      <w:numFmt w:val="bullet"/>
      <w:lvlText w:val=""/>
      <w:lvlJc w:val="left"/>
      <w:pPr>
        <w:tabs>
          <w:tab w:val="num" w:pos="1512"/>
        </w:tabs>
        <w:ind w:left="1435" w:hanging="283"/>
      </w:pPr>
      <w:rPr>
        <w:rFonts w:ascii="Symbol" w:hAnsi="Symbol" w:hint="default"/>
        <w:sz w:val="28"/>
      </w:rPr>
    </w:lvl>
  </w:abstractNum>
  <w:abstractNum w:abstractNumId="519">
    <w:nsid w:val="5B865CF3"/>
    <w:multiLevelType w:val="singleLevel"/>
    <w:tmpl w:val="118A400E"/>
    <w:lvl w:ilvl="0">
      <w:numFmt w:val="bullet"/>
      <w:lvlText w:val="-"/>
      <w:lvlJc w:val="left"/>
      <w:pPr>
        <w:tabs>
          <w:tab w:val="num" w:pos="4755"/>
        </w:tabs>
        <w:ind w:left="4755" w:hanging="360"/>
      </w:pPr>
      <w:rPr>
        <w:b/>
        <w:i w:val="0"/>
      </w:rPr>
    </w:lvl>
  </w:abstractNum>
  <w:abstractNum w:abstractNumId="520">
    <w:nsid w:val="5B88332E"/>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21">
    <w:nsid w:val="5BD4260A"/>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22">
    <w:nsid w:val="5C5D141C"/>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23">
    <w:nsid w:val="5C98730C"/>
    <w:multiLevelType w:val="singleLevel"/>
    <w:tmpl w:val="DCC86694"/>
    <w:lvl w:ilvl="0">
      <w:start w:val="6"/>
      <w:numFmt w:val="lowerLetter"/>
      <w:lvlText w:val="%1"/>
      <w:legacy w:legacy="1" w:legacySpace="0" w:legacyIndent="1065"/>
      <w:lvlJc w:val="left"/>
      <w:pPr>
        <w:ind w:left="1770" w:hanging="1065"/>
      </w:pPr>
      <w:rPr>
        <w:b/>
      </w:rPr>
    </w:lvl>
  </w:abstractNum>
  <w:abstractNum w:abstractNumId="524">
    <w:nsid w:val="5C9B7058"/>
    <w:multiLevelType w:val="singleLevel"/>
    <w:tmpl w:val="50B0C6CA"/>
    <w:lvl w:ilvl="0">
      <w:start w:val="3"/>
      <w:numFmt w:val="lowerRoman"/>
      <w:lvlText w:val="%1)"/>
      <w:lvlJc w:val="left"/>
      <w:pPr>
        <w:tabs>
          <w:tab w:val="num" w:pos="1080"/>
        </w:tabs>
        <w:ind w:left="1080" w:hanging="720"/>
      </w:pPr>
      <w:rPr>
        <w:rFonts w:hint="default"/>
      </w:rPr>
    </w:lvl>
  </w:abstractNum>
  <w:abstractNum w:abstractNumId="525">
    <w:nsid w:val="5CA90900"/>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26">
    <w:nsid w:val="5CB85868"/>
    <w:multiLevelType w:val="singleLevel"/>
    <w:tmpl w:val="87E876DE"/>
    <w:lvl w:ilvl="0">
      <w:start w:val="1"/>
      <w:numFmt w:val="bullet"/>
      <w:lvlText w:val=""/>
      <w:lvlJc w:val="left"/>
      <w:pPr>
        <w:tabs>
          <w:tab w:val="num" w:pos="1778"/>
        </w:tabs>
        <w:ind w:left="1701" w:hanging="283"/>
      </w:pPr>
      <w:rPr>
        <w:rFonts w:ascii="Symbol" w:hAnsi="Symbol" w:hint="default"/>
        <w:sz w:val="16"/>
      </w:rPr>
    </w:lvl>
  </w:abstractNum>
  <w:abstractNum w:abstractNumId="527">
    <w:nsid w:val="5D206A63"/>
    <w:multiLevelType w:val="singleLevel"/>
    <w:tmpl w:val="3F4EE7BC"/>
    <w:lvl w:ilvl="0">
      <w:numFmt w:val="bullet"/>
      <w:lvlText w:val=""/>
      <w:lvlJc w:val="left"/>
      <w:pPr>
        <w:tabs>
          <w:tab w:val="num" w:pos="2484"/>
        </w:tabs>
        <w:ind w:left="2484" w:hanging="360"/>
      </w:pPr>
      <w:rPr>
        <w:rFonts w:ascii="Wingdings" w:hAnsi="Wingdings" w:hint="default"/>
      </w:rPr>
    </w:lvl>
  </w:abstractNum>
  <w:abstractNum w:abstractNumId="528">
    <w:nsid w:val="5D612CD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29">
    <w:nsid w:val="5D635FA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30">
    <w:nsid w:val="5D95656D"/>
    <w:multiLevelType w:val="singleLevel"/>
    <w:tmpl w:val="CC8A6F38"/>
    <w:lvl w:ilvl="0">
      <w:start w:val="1"/>
      <w:numFmt w:val="decimal"/>
      <w:lvlText w:val="%1"/>
      <w:legacy w:legacy="1" w:legacySpace="0" w:legacyIndent="360"/>
      <w:lvlJc w:val="left"/>
      <w:pPr>
        <w:ind w:left="2138" w:hanging="360"/>
      </w:pPr>
      <w:rPr>
        <w:b/>
        <w:i w:val="0"/>
      </w:rPr>
    </w:lvl>
  </w:abstractNum>
  <w:abstractNum w:abstractNumId="531">
    <w:nsid w:val="5DA7208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32">
    <w:nsid w:val="5E01040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33">
    <w:nsid w:val="5E3A18D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34">
    <w:nsid w:val="5E5A6357"/>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35">
    <w:nsid w:val="5E70315F"/>
    <w:multiLevelType w:val="singleLevel"/>
    <w:tmpl w:val="A5CE7F1A"/>
    <w:lvl w:ilvl="0">
      <w:numFmt w:val="bullet"/>
      <w:lvlText w:val="-"/>
      <w:lvlJc w:val="left"/>
      <w:pPr>
        <w:tabs>
          <w:tab w:val="num" w:pos="360"/>
        </w:tabs>
        <w:ind w:left="360" w:hanging="360"/>
      </w:pPr>
      <w:rPr>
        <w:rFonts w:hint="default"/>
      </w:rPr>
    </w:lvl>
  </w:abstractNum>
  <w:abstractNum w:abstractNumId="536">
    <w:nsid w:val="5EC45A9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37">
    <w:nsid w:val="5EDB4ACE"/>
    <w:multiLevelType w:val="singleLevel"/>
    <w:tmpl w:val="04160001"/>
    <w:lvl w:ilvl="0">
      <w:start w:val="3"/>
      <w:numFmt w:val="bullet"/>
      <w:lvlText w:val=""/>
      <w:lvlJc w:val="left"/>
      <w:pPr>
        <w:tabs>
          <w:tab w:val="num" w:pos="360"/>
        </w:tabs>
        <w:ind w:left="360" w:hanging="360"/>
      </w:pPr>
      <w:rPr>
        <w:rFonts w:ascii="Symbol" w:hAnsi="Symbol" w:hint="default"/>
      </w:rPr>
    </w:lvl>
  </w:abstractNum>
  <w:abstractNum w:abstractNumId="538">
    <w:nsid w:val="5F187804"/>
    <w:multiLevelType w:val="singleLevel"/>
    <w:tmpl w:val="D494C3F2"/>
    <w:lvl w:ilvl="0">
      <w:numFmt w:val="bullet"/>
      <w:lvlText w:val="-"/>
      <w:lvlJc w:val="left"/>
      <w:pPr>
        <w:tabs>
          <w:tab w:val="num" w:pos="4755"/>
        </w:tabs>
        <w:ind w:left="4755" w:hanging="360"/>
      </w:pPr>
      <w:rPr>
        <w:b/>
        <w:i w:val="0"/>
      </w:rPr>
    </w:lvl>
  </w:abstractNum>
  <w:abstractNum w:abstractNumId="539">
    <w:nsid w:val="5F29758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0">
    <w:nsid w:val="5F3A0FF3"/>
    <w:multiLevelType w:val="singleLevel"/>
    <w:tmpl w:val="118A400E"/>
    <w:lvl w:ilvl="0">
      <w:numFmt w:val="bullet"/>
      <w:lvlText w:val="-"/>
      <w:lvlJc w:val="left"/>
      <w:pPr>
        <w:tabs>
          <w:tab w:val="num" w:pos="4755"/>
        </w:tabs>
        <w:ind w:left="4755" w:hanging="360"/>
      </w:pPr>
      <w:rPr>
        <w:b/>
        <w:i w:val="0"/>
      </w:rPr>
    </w:lvl>
  </w:abstractNum>
  <w:abstractNum w:abstractNumId="541">
    <w:nsid w:val="5F6A410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42">
    <w:nsid w:val="5F9A5DB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43">
    <w:nsid w:val="5FEE7E16"/>
    <w:multiLevelType w:val="singleLevel"/>
    <w:tmpl w:val="DB06FCB6"/>
    <w:lvl w:ilvl="0">
      <w:start w:val="5"/>
      <w:numFmt w:val="upperLetter"/>
      <w:lvlText w:val="%1)"/>
      <w:lvlJc w:val="left"/>
      <w:pPr>
        <w:tabs>
          <w:tab w:val="num" w:pos="1066"/>
        </w:tabs>
        <w:ind w:left="1066" w:hanging="360"/>
      </w:pPr>
      <w:rPr>
        <w:rFonts w:hint="default"/>
      </w:rPr>
    </w:lvl>
  </w:abstractNum>
  <w:abstractNum w:abstractNumId="544">
    <w:nsid w:val="601433C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545">
    <w:nsid w:val="60474A34"/>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46">
    <w:nsid w:val="60601745"/>
    <w:multiLevelType w:val="singleLevel"/>
    <w:tmpl w:val="04160017"/>
    <w:lvl w:ilvl="0">
      <w:start w:val="1"/>
      <w:numFmt w:val="lowerLetter"/>
      <w:lvlText w:val="%1)"/>
      <w:lvlJc w:val="left"/>
      <w:pPr>
        <w:tabs>
          <w:tab w:val="num" w:pos="360"/>
        </w:tabs>
        <w:ind w:left="360" w:hanging="360"/>
      </w:pPr>
    </w:lvl>
  </w:abstractNum>
  <w:abstractNum w:abstractNumId="547">
    <w:nsid w:val="60670D8C"/>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48">
    <w:nsid w:val="608060AA"/>
    <w:multiLevelType w:val="hybridMultilevel"/>
    <w:tmpl w:val="C124FCFA"/>
    <w:lvl w:ilvl="0" w:tplc="C0284F0E">
      <w:start w:val="1"/>
      <w:numFmt w:val="lowerLetter"/>
      <w:lvlText w:val="%1)"/>
      <w:lvlJc w:val="left"/>
      <w:pPr>
        <w:tabs>
          <w:tab w:val="num" w:pos="567"/>
        </w:tabs>
        <w:ind w:left="567" w:hanging="567"/>
      </w:pPr>
      <w:rPr>
        <w:rFont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9">
    <w:nsid w:val="60A7229A"/>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550">
    <w:nsid w:val="60D87BAD"/>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51">
    <w:nsid w:val="60DF18CE"/>
    <w:multiLevelType w:val="singleLevel"/>
    <w:tmpl w:val="92C04920"/>
    <w:lvl w:ilvl="0">
      <w:start w:val="1"/>
      <w:numFmt w:val="lowerLetter"/>
      <w:lvlText w:val="%1)"/>
      <w:lvlJc w:val="left"/>
      <w:pPr>
        <w:tabs>
          <w:tab w:val="num" w:pos="1778"/>
        </w:tabs>
        <w:ind w:left="1778" w:hanging="360"/>
      </w:pPr>
      <w:rPr>
        <w:rFonts w:hint="default"/>
      </w:rPr>
    </w:lvl>
  </w:abstractNum>
  <w:abstractNum w:abstractNumId="552">
    <w:nsid w:val="60E338A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53">
    <w:nsid w:val="611B2616"/>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4">
    <w:nsid w:val="6142668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55">
    <w:nsid w:val="621F09E9"/>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556">
    <w:nsid w:val="622316B9"/>
    <w:multiLevelType w:val="singleLevel"/>
    <w:tmpl w:val="118A400E"/>
    <w:lvl w:ilvl="0">
      <w:numFmt w:val="bullet"/>
      <w:lvlText w:val="-"/>
      <w:lvlJc w:val="left"/>
      <w:pPr>
        <w:tabs>
          <w:tab w:val="num" w:pos="4755"/>
        </w:tabs>
        <w:ind w:left="4755" w:hanging="360"/>
      </w:pPr>
      <w:rPr>
        <w:b/>
        <w:i w:val="0"/>
      </w:rPr>
    </w:lvl>
  </w:abstractNum>
  <w:abstractNum w:abstractNumId="557">
    <w:nsid w:val="6228544F"/>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58">
    <w:nsid w:val="62366CE5"/>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59">
    <w:nsid w:val="62385ADE"/>
    <w:multiLevelType w:val="singleLevel"/>
    <w:tmpl w:val="04160017"/>
    <w:lvl w:ilvl="0">
      <w:start w:val="1"/>
      <w:numFmt w:val="lowerLetter"/>
      <w:lvlText w:val="%1)"/>
      <w:lvlJc w:val="left"/>
      <w:pPr>
        <w:tabs>
          <w:tab w:val="num" w:pos="360"/>
        </w:tabs>
        <w:ind w:left="360" w:hanging="360"/>
      </w:pPr>
    </w:lvl>
  </w:abstractNum>
  <w:abstractNum w:abstractNumId="560">
    <w:nsid w:val="624E0F6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61">
    <w:nsid w:val="6292559A"/>
    <w:multiLevelType w:val="singleLevel"/>
    <w:tmpl w:val="8ADA3354"/>
    <w:lvl w:ilvl="0">
      <w:start w:val="1"/>
      <w:numFmt w:val="decimal"/>
      <w:lvlText w:val="%1."/>
      <w:lvlJc w:val="left"/>
      <w:pPr>
        <w:tabs>
          <w:tab w:val="num" w:pos="1778"/>
        </w:tabs>
        <w:ind w:left="1778" w:hanging="360"/>
      </w:pPr>
      <w:rPr>
        <w:rFonts w:hint="default"/>
      </w:rPr>
    </w:lvl>
  </w:abstractNum>
  <w:abstractNum w:abstractNumId="562">
    <w:nsid w:val="62B15FE3"/>
    <w:multiLevelType w:val="singleLevel"/>
    <w:tmpl w:val="C10A5638"/>
    <w:lvl w:ilvl="0">
      <w:start w:val="1"/>
      <w:numFmt w:val="lowerLetter"/>
      <w:lvlText w:val="%1)"/>
      <w:lvlJc w:val="left"/>
      <w:pPr>
        <w:tabs>
          <w:tab w:val="num" w:pos="1770"/>
        </w:tabs>
        <w:ind w:left="1770" w:hanging="360"/>
      </w:pPr>
      <w:rPr>
        <w:rFonts w:hint="default"/>
      </w:rPr>
    </w:lvl>
  </w:abstractNum>
  <w:abstractNum w:abstractNumId="563">
    <w:nsid w:val="62D30EC4"/>
    <w:multiLevelType w:val="singleLevel"/>
    <w:tmpl w:val="118A400E"/>
    <w:lvl w:ilvl="0">
      <w:numFmt w:val="bullet"/>
      <w:lvlText w:val="-"/>
      <w:lvlJc w:val="left"/>
      <w:pPr>
        <w:tabs>
          <w:tab w:val="num" w:pos="4755"/>
        </w:tabs>
        <w:ind w:left="4755" w:hanging="360"/>
      </w:pPr>
      <w:rPr>
        <w:b/>
        <w:i w:val="0"/>
      </w:rPr>
    </w:lvl>
  </w:abstractNum>
  <w:abstractNum w:abstractNumId="564">
    <w:nsid w:val="62EF42CB"/>
    <w:multiLevelType w:val="singleLevel"/>
    <w:tmpl w:val="04160017"/>
    <w:lvl w:ilvl="0">
      <w:start w:val="1"/>
      <w:numFmt w:val="lowerLetter"/>
      <w:lvlText w:val="%1)"/>
      <w:lvlJc w:val="left"/>
      <w:pPr>
        <w:tabs>
          <w:tab w:val="num" w:pos="360"/>
        </w:tabs>
        <w:ind w:left="360" w:hanging="360"/>
      </w:pPr>
    </w:lvl>
  </w:abstractNum>
  <w:abstractNum w:abstractNumId="565">
    <w:nsid w:val="62F22F07"/>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566">
    <w:nsid w:val="631B3FE4"/>
    <w:multiLevelType w:val="singleLevel"/>
    <w:tmpl w:val="04160017"/>
    <w:lvl w:ilvl="0">
      <w:start w:val="1"/>
      <w:numFmt w:val="lowerLetter"/>
      <w:lvlText w:val="%1)"/>
      <w:lvlJc w:val="left"/>
      <w:pPr>
        <w:tabs>
          <w:tab w:val="num" w:pos="360"/>
        </w:tabs>
        <w:ind w:left="360" w:hanging="360"/>
      </w:pPr>
    </w:lvl>
  </w:abstractNum>
  <w:abstractNum w:abstractNumId="567">
    <w:nsid w:val="63563735"/>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568">
    <w:nsid w:val="639B6E2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569">
    <w:nsid w:val="63A45433"/>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70">
    <w:nsid w:val="63CF4C26"/>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71">
    <w:nsid w:val="64125AFC"/>
    <w:multiLevelType w:val="singleLevel"/>
    <w:tmpl w:val="8CEE1406"/>
    <w:lvl w:ilvl="0">
      <w:start w:val="5"/>
      <w:numFmt w:val="bullet"/>
      <w:lvlText w:val=""/>
      <w:lvlJc w:val="left"/>
      <w:pPr>
        <w:tabs>
          <w:tab w:val="num" w:pos="2520"/>
        </w:tabs>
        <w:ind w:left="2520" w:hanging="360"/>
      </w:pPr>
      <w:rPr>
        <w:rFonts w:ascii="Wingdings" w:hAnsi="Wingdings" w:hint="default"/>
      </w:rPr>
    </w:lvl>
  </w:abstractNum>
  <w:abstractNum w:abstractNumId="572">
    <w:nsid w:val="64916A92"/>
    <w:multiLevelType w:val="singleLevel"/>
    <w:tmpl w:val="230A90D2"/>
    <w:lvl w:ilvl="0">
      <w:start w:val="1"/>
      <w:numFmt w:val="lowerLetter"/>
      <w:lvlText w:val="%1)"/>
      <w:legacy w:legacy="1" w:legacySpace="0" w:legacyIndent="283"/>
      <w:lvlJc w:val="left"/>
    </w:lvl>
  </w:abstractNum>
  <w:abstractNum w:abstractNumId="573">
    <w:nsid w:val="6497445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74">
    <w:nsid w:val="64D57BE0"/>
    <w:multiLevelType w:val="singleLevel"/>
    <w:tmpl w:val="9D42941E"/>
    <w:lvl w:ilvl="0">
      <w:start w:val="1"/>
      <w:numFmt w:val="bullet"/>
      <w:lvlText w:val=""/>
      <w:lvlJc w:val="left"/>
      <w:pPr>
        <w:tabs>
          <w:tab w:val="num" w:pos="1512"/>
        </w:tabs>
        <w:ind w:left="1435" w:hanging="283"/>
      </w:pPr>
      <w:rPr>
        <w:rFonts w:ascii="Symbol" w:hAnsi="Symbol" w:hint="default"/>
        <w:sz w:val="20"/>
      </w:rPr>
    </w:lvl>
  </w:abstractNum>
  <w:abstractNum w:abstractNumId="575">
    <w:nsid w:val="64FC510F"/>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576">
    <w:nsid w:val="65623AA2"/>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77">
    <w:nsid w:val="656C1D2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78">
    <w:nsid w:val="65901999"/>
    <w:multiLevelType w:val="singleLevel"/>
    <w:tmpl w:val="FFFFFFFF"/>
    <w:lvl w:ilvl="0">
      <w:numFmt w:val="decimal"/>
      <w:lvlText w:val="%1"/>
      <w:legacy w:legacy="1" w:legacySpace="0" w:legacyIndent="0"/>
      <w:lvlJc w:val="left"/>
    </w:lvl>
  </w:abstractNum>
  <w:abstractNum w:abstractNumId="579">
    <w:nsid w:val="65A5408F"/>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580">
    <w:nsid w:val="65B76C5B"/>
    <w:multiLevelType w:val="singleLevel"/>
    <w:tmpl w:val="4F90CC48"/>
    <w:lvl w:ilvl="0">
      <w:start w:val="1"/>
      <w:numFmt w:val="lowerLetter"/>
      <w:lvlText w:val="%1)"/>
      <w:lvlJc w:val="left"/>
      <w:pPr>
        <w:tabs>
          <w:tab w:val="num" w:pos="1494"/>
        </w:tabs>
        <w:ind w:left="1494" w:hanging="360"/>
      </w:pPr>
      <w:rPr>
        <w:rFonts w:hint="default"/>
        <w:b/>
      </w:rPr>
    </w:lvl>
  </w:abstractNum>
  <w:abstractNum w:abstractNumId="581">
    <w:nsid w:val="65E54E1A"/>
    <w:multiLevelType w:val="multilevel"/>
    <w:tmpl w:val="11A68E22"/>
    <w:lvl w:ilvl="0">
      <w:start w:val="7"/>
      <w:numFmt w:val="decimal"/>
      <w:lvlText w:val="%1"/>
      <w:lvlJc w:val="left"/>
      <w:pPr>
        <w:tabs>
          <w:tab w:val="num" w:pos="480"/>
        </w:tabs>
        <w:ind w:left="480" w:hanging="480"/>
      </w:pPr>
      <w:rPr>
        <w:rFonts w:hint="default"/>
      </w:rPr>
    </w:lvl>
    <w:lvl w:ilvl="1">
      <w:start w:val="2"/>
      <w:numFmt w:val="decimal"/>
      <w:lvlText w:val="%1.%2"/>
      <w:lvlJc w:val="left"/>
      <w:pPr>
        <w:tabs>
          <w:tab w:val="num" w:pos="1734"/>
        </w:tabs>
        <w:ind w:left="1734" w:hanging="480"/>
      </w:pPr>
      <w:rPr>
        <w:rFonts w:hint="default"/>
      </w:rPr>
    </w:lvl>
    <w:lvl w:ilvl="2">
      <w:start w:val="1"/>
      <w:numFmt w:val="decimal"/>
      <w:lvlText w:val="%1.%2.%3"/>
      <w:lvlJc w:val="left"/>
      <w:pPr>
        <w:tabs>
          <w:tab w:val="num" w:pos="3228"/>
        </w:tabs>
        <w:ind w:left="3228" w:hanging="720"/>
      </w:pPr>
      <w:rPr>
        <w:rFonts w:hint="default"/>
      </w:rPr>
    </w:lvl>
    <w:lvl w:ilvl="3">
      <w:start w:val="1"/>
      <w:numFmt w:val="decimal"/>
      <w:lvlText w:val="%1.%2.%3.%4"/>
      <w:lvlJc w:val="left"/>
      <w:pPr>
        <w:tabs>
          <w:tab w:val="num" w:pos="4842"/>
        </w:tabs>
        <w:ind w:left="4842" w:hanging="1080"/>
      </w:pPr>
      <w:rPr>
        <w:rFonts w:hint="default"/>
      </w:rPr>
    </w:lvl>
    <w:lvl w:ilvl="4">
      <w:start w:val="1"/>
      <w:numFmt w:val="decimal"/>
      <w:lvlText w:val="%1.%2.%3.%4.%5"/>
      <w:lvlJc w:val="left"/>
      <w:pPr>
        <w:tabs>
          <w:tab w:val="num" w:pos="6096"/>
        </w:tabs>
        <w:ind w:left="6096" w:hanging="1080"/>
      </w:pPr>
      <w:rPr>
        <w:rFonts w:hint="default"/>
      </w:rPr>
    </w:lvl>
    <w:lvl w:ilvl="5">
      <w:start w:val="1"/>
      <w:numFmt w:val="decimal"/>
      <w:lvlText w:val="%1.%2.%3.%4.%5.%6"/>
      <w:lvlJc w:val="left"/>
      <w:pPr>
        <w:tabs>
          <w:tab w:val="num" w:pos="7710"/>
        </w:tabs>
        <w:ind w:left="7710" w:hanging="1440"/>
      </w:pPr>
      <w:rPr>
        <w:rFonts w:hint="default"/>
      </w:rPr>
    </w:lvl>
    <w:lvl w:ilvl="6">
      <w:start w:val="1"/>
      <w:numFmt w:val="decimal"/>
      <w:lvlText w:val="%1.%2.%3.%4.%5.%6.%7"/>
      <w:lvlJc w:val="left"/>
      <w:pPr>
        <w:tabs>
          <w:tab w:val="num" w:pos="8964"/>
        </w:tabs>
        <w:ind w:left="8964" w:hanging="1440"/>
      </w:pPr>
      <w:rPr>
        <w:rFonts w:hint="default"/>
      </w:rPr>
    </w:lvl>
    <w:lvl w:ilvl="7">
      <w:start w:val="1"/>
      <w:numFmt w:val="decimal"/>
      <w:lvlText w:val="%1.%2.%3.%4.%5.%6.%7.%8"/>
      <w:lvlJc w:val="left"/>
      <w:pPr>
        <w:tabs>
          <w:tab w:val="num" w:pos="10578"/>
        </w:tabs>
        <w:ind w:left="10578" w:hanging="1800"/>
      </w:pPr>
      <w:rPr>
        <w:rFonts w:hint="default"/>
      </w:rPr>
    </w:lvl>
    <w:lvl w:ilvl="8">
      <w:start w:val="1"/>
      <w:numFmt w:val="decimal"/>
      <w:lvlText w:val="%1.%2.%3.%4.%5.%6.%7.%8.%9"/>
      <w:lvlJc w:val="left"/>
      <w:pPr>
        <w:tabs>
          <w:tab w:val="num" w:pos="11832"/>
        </w:tabs>
        <w:ind w:left="11832" w:hanging="1800"/>
      </w:pPr>
      <w:rPr>
        <w:rFonts w:hint="default"/>
      </w:rPr>
    </w:lvl>
  </w:abstractNum>
  <w:abstractNum w:abstractNumId="582">
    <w:nsid w:val="666A3C84"/>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83">
    <w:nsid w:val="669D666E"/>
    <w:multiLevelType w:val="singleLevel"/>
    <w:tmpl w:val="04160011"/>
    <w:lvl w:ilvl="0">
      <w:start w:val="7"/>
      <w:numFmt w:val="decimal"/>
      <w:lvlText w:val="%1)"/>
      <w:lvlJc w:val="left"/>
      <w:pPr>
        <w:tabs>
          <w:tab w:val="num" w:pos="360"/>
        </w:tabs>
        <w:ind w:left="360" w:hanging="360"/>
      </w:pPr>
      <w:rPr>
        <w:rFonts w:hint="default"/>
      </w:rPr>
    </w:lvl>
  </w:abstractNum>
  <w:abstractNum w:abstractNumId="584">
    <w:nsid w:val="669E1170"/>
    <w:multiLevelType w:val="multilevel"/>
    <w:tmpl w:val="5A143A8C"/>
    <w:lvl w:ilvl="0">
      <w:start w:val="4"/>
      <w:numFmt w:val="decimal"/>
      <w:lvlText w:val="%1."/>
      <w:lvlJc w:val="left"/>
      <w:pPr>
        <w:tabs>
          <w:tab w:val="num" w:pos="480"/>
        </w:tabs>
        <w:ind w:left="480" w:hanging="48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585">
    <w:nsid w:val="66EC3FCE"/>
    <w:multiLevelType w:val="singleLevel"/>
    <w:tmpl w:val="F702CE2C"/>
    <w:lvl w:ilvl="0">
      <w:start w:val="72"/>
      <w:numFmt w:val="bullet"/>
      <w:lvlText w:val="-"/>
      <w:lvlJc w:val="left"/>
      <w:pPr>
        <w:tabs>
          <w:tab w:val="num" w:pos="360"/>
        </w:tabs>
        <w:ind w:left="360" w:hanging="360"/>
      </w:pPr>
      <w:rPr>
        <w:rFonts w:hint="default"/>
      </w:rPr>
    </w:lvl>
  </w:abstractNum>
  <w:abstractNum w:abstractNumId="586">
    <w:nsid w:val="671138BA"/>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587">
    <w:nsid w:val="6719074D"/>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88">
    <w:nsid w:val="673C3FE7"/>
    <w:multiLevelType w:val="hybridMultilevel"/>
    <w:tmpl w:val="69E01F4C"/>
    <w:lvl w:ilvl="0" w:tplc="3028E904">
      <w:start w:val="1"/>
      <w:numFmt w:val="bullet"/>
      <w:lvlText w:val=""/>
      <w:lvlJc w:val="left"/>
      <w:pPr>
        <w:tabs>
          <w:tab w:val="num" w:pos="567"/>
        </w:tabs>
        <w:ind w:left="567"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9">
    <w:nsid w:val="677E29C5"/>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590">
    <w:nsid w:val="67917770"/>
    <w:multiLevelType w:val="singleLevel"/>
    <w:tmpl w:val="118A400E"/>
    <w:lvl w:ilvl="0">
      <w:numFmt w:val="bullet"/>
      <w:lvlText w:val="-"/>
      <w:lvlJc w:val="left"/>
      <w:pPr>
        <w:tabs>
          <w:tab w:val="num" w:pos="4755"/>
        </w:tabs>
        <w:ind w:left="4755" w:hanging="360"/>
      </w:pPr>
      <w:rPr>
        <w:b/>
        <w:i w:val="0"/>
      </w:rPr>
    </w:lvl>
  </w:abstractNum>
  <w:abstractNum w:abstractNumId="591">
    <w:nsid w:val="67C4117A"/>
    <w:multiLevelType w:val="singleLevel"/>
    <w:tmpl w:val="FFFFFFFF"/>
    <w:lvl w:ilvl="0">
      <w:start w:val="1"/>
      <w:numFmt w:val="bullet"/>
      <w:lvlText w:val=""/>
      <w:legacy w:legacy="1" w:legacySpace="0" w:legacyIndent="283"/>
      <w:lvlJc w:val="left"/>
      <w:pPr>
        <w:ind w:left="283" w:hanging="283"/>
      </w:pPr>
      <w:rPr>
        <w:rFonts w:ascii="Wingdings" w:hAnsi="Wingdings" w:hint="default"/>
        <w:sz w:val="22"/>
      </w:rPr>
    </w:lvl>
  </w:abstractNum>
  <w:abstractNum w:abstractNumId="592">
    <w:nsid w:val="67DD5175"/>
    <w:multiLevelType w:val="singleLevel"/>
    <w:tmpl w:val="04160001"/>
    <w:lvl w:ilvl="0">
      <w:start w:val="9"/>
      <w:numFmt w:val="bullet"/>
      <w:lvlText w:val=""/>
      <w:lvlJc w:val="left"/>
      <w:pPr>
        <w:tabs>
          <w:tab w:val="num" w:pos="360"/>
        </w:tabs>
        <w:ind w:left="360" w:hanging="360"/>
      </w:pPr>
      <w:rPr>
        <w:rFonts w:ascii="Symbol" w:hAnsi="Symbol" w:hint="default"/>
      </w:rPr>
    </w:lvl>
  </w:abstractNum>
  <w:abstractNum w:abstractNumId="593">
    <w:nsid w:val="680A0904"/>
    <w:multiLevelType w:val="singleLevel"/>
    <w:tmpl w:val="0C1E5C40"/>
    <w:lvl w:ilvl="0">
      <w:start w:val="1"/>
      <w:numFmt w:val="lowerLetter"/>
      <w:lvlText w:val="%1)"/>
      <w:lvlJc w:val="left"/>
      <w:pPr>
        <w:tabs>
          <w:tab w:val="num" w:pos="76"/>
        </w:tabs>
        <w:ind w:left="76" w:hanging="360"/>
      </w:pPr>
      <w:rPr>
        <w:rFonts w:hint="default"/>
      </w:rPr>
    </w:lvl>
  </w:abstractNum>
  <w:abstractNum w:abstractNumId="594">
    <w:nsid w:val="68CC17E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95">
    <w:nsid w:val="68F120A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596">
    <w:nsid w:val="68F66311"/>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597">
    <w:nsid w:val="69035EB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598">
    <w:nsid w:val="6903628D"/>
    <w:multiLevelType w:val="singleLevel"/>
    <w:tmpl w:val="04160017"/>
    <w:lvl w:ilvl="0">
      <w:start w:val="1"/>
      <w:numFmt w:val="lowerLetter"/>
      <w:lvlText w:val="%1)"/>
      <w:lvlJc w:val="left"/>
      <w:pPr>
        <w:tabs>
          <w:tab w:val="num" w:pos="720"/>
        </w:tabs>
        <w:ind w:left="720" w:hanging="360"/>
      </w:pPr>
    </w:lvl>
  </w:abstractNum>
  <w:abstractNum w:abstractNumId="599">
    <w:nsid w:val="69150D97"/>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00">
    <w:nsid w:val="692F717D"/>
    <w:multiLevelType w:val="singleLevel"/>
    <w:tmpl w:val="118A400E"/>
    <w:lvl w:ilvl="0">
      <w:numFmt w:val="bullet"/>
      <w:lvlText w:val="-"/>
      <w:lvlJc w:val="left"/>
      <w:pPr>
        <w:tabs>
          <w:tab w:val="num" w:pos="4755"/>
        </w:tabs>
        <w:ind w:left="4755" w:hanging="360"/>
      </w:pPr>
      <w:rPr>
        <w:b/>
        <w:i w:val="0"/>
      </w:rPr>
    </w:lvl>
  </w:abstractNum>
  <w:abstractNum w:abstractNumId="601">
    <w:nsid w:val="69385CFE"/>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02">
    <w:nsid w:val="69A35AA0"/>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03">
    <w:nsid w:val="69B80276"/>
    <w:multiLevelType w:val="singleLevel"/>
    <w:tmpl w:val="2CA40FB4"/>
    <w:lvl w:ilvl="0">
      <w:start w:val="1"/>
      <w:numFmt w:val="lowerLetter"/>
      <w:lvlText w:val="%1)"/>
      <w:lvlJc w:val="left"/>
      <w:pPr>
        <w:tabs>
          <w:tab w:val="num" w:pos="1778"/>
        </w:tabs>
        <w:ind w:left="1778" w:hanging="360"/>
      </w:pPr>
      <w:rPr>
        <w:rFonts w:hint="default"/>
        <w:b/>
      </w:rPr>
    </w:lvl>
  </w:abstractNum>
  <w:abstractNum w:abstractNumId="604">
    <w:nsid w:val="6A365861"/>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05">
    <w:nsid w:val="6A5761B8"/>
    <w:multiLevelType w:val="singleLevel"/>
    <w:tmpl w:val="FFFFFFFF"/>
    <w:lvl w:ilvl="0">
      <w:start w:val="1"/>
      <w:numFmt w:val="bullet"/>
      <w:lvlText w:val=""/>
      <w:legacy w:legacy="1" w:legacySpace="0" w:legacyIndent="283"/>
      <w:lvlJc w:val="left"/>
      <w:pPr>
        <w:ind w:left="1701" w:hanging="283"/>
      </w:pPr>
      <w:rPr>
        <w:rFonts w:ascii="Symbol" w:hAnsi="Symbol" w:hint="default"/>
      </w:rPr>
    </w:lvl>
  </w:abstractNum>
  <w:abstractNum w:abstractNumId="606">
    <w:nsid w:val="6A6C6EC5"/>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07">
    <w:nsid w:val="6AC55C9B"/>
    <w:multiLevelType w:val="singleLevel"/>
    <w:tmpl w:val="D4D80AEA"/>
    <w:lvl w:ilvl="0">
      <w:start w:val="1"/>
      <w:numFmt w:val="decimal"/>
      <w:lvlText w:val="%1. "/>
      <w:legacy w:legacy="1" w:legacySpace="0" w:legacyIndent="283"/>
      <w:lvlJc w:val="left"/>
      <w:pPr>
        <w:ind w:left="1701" w:hanging="283"/>
      </w:pPr>
      <w:rPr>
        <w:rFonts w:ascii="Arial" w:hAnsi="Arial" w:hint="default"/>
        <w:b/>
        <w:i w:val="0"/>
        <w:sz w:val="24"/>
      </w:rPr>
    </w:lvl>
  </w:abstractNum>
  <w:abstractNum w:abstractNumId="608">
    <w:nsid w:val="6AC715BE"/>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09">
    <w:nsid w:val="6B100F59"/>
    <w:multiLevelType w:val="singleLevel"/>
    <w:tmpl w:val="EE9444E4"/>
    <w:lvl w:ilvl="0">
      <w:start w:val="1"/>
      <w:numFmt w:val="bullet"/>
      <w:lvlText w:val=""/>
      <w:lvlJc w:val="left"/>
      <w:pPr>
        <w:tabs>
          <w:tab w:val="num" w:pos="1778"/>
        </w:tabs>
        <w:ind w:left="1701" w:hanging="283"/>
      </w:pPr>
      <w:rPr>
        <w:rFonts w:ascii="Symbol" w:hAnsi="Symbol" w:hint="default"/>
        <w:sz w:val="16"/>
      </w:rPr>
    </w:lvl>
  </w:abstractNum>
  <w:abstractNum w:abstractNumId="610">
    <w:nsid w:val="6B34677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11">
    <w:nsid w:val="6B4172DC"/>
    <w:multiLevelType w:val="singleLevel"/>
    <w:tmpl w:val="04160011"/>
    <w:lvl w:ilvl="0">
      <w:start w:val="1"/>
      <w:numFmt w:val="decimal"/>
      <w:lvlText w:val="%1)"/>
      <w:lvlJc w:val="left"/>
      <w:pPr>
        <w:tabs>
          <w:tab w:val="num" w:pos="360"/>
        </w:tabs>
        <w:ind w:left="360" w:hanging="360"/>
      </w:pPr>
      <w:rPr>
        <w:rFonts w:hint="default"/>
      </w:rPr>
    </w:lvl>
  </w:abstractNum>
  <w:abstractNum w:abstractNumId="612">
    <w:nsid w:val="6B445850"/>
    <w:multiLevelType w:val="singleLevel"/>
    <w:tmpl w:val="118A400E"/>
    <w:lvl w:ilvl="0">
      <w:numFmt w:val="bullet"/>
      <w:lvlText w:val="-"/>
      <w:lvlJc w:val="left"/>
      <w:pPr>
        <w:tabs>
          <w:tab w:val="num" w:pos="4755"/>
        </w:tabs>
        <w:ind w:left="4755" w:hanging="360"/>
      </w:pPr>
      <w:rPr>
        <w:b/>
        <w:i w:val="0"/>
      </w:rPr>
    </w:lvl>
  </w:abstractNum>
  <w:abstractNum w:abstractNumId="613">
    <w:nsid w:val="6B6971BB"/>
    <w:multiLevelType w:val="singleLevel"/>
    <w:tmpl w:val="D84C7EC6"/>
    <w:lvl w:ilvl="0">
      <w:numFmt w:val="bullet"/>
      <w:lvlText w:val=""/>
      <w:lvlJc w:val="left"/>
      <w:pPr>
        <w:tabs>
          <w:tab w:val="num" w:pos="2544"/>
        </w:tabs>
        <w:ind w:left="2544" w:hanging="360"/>
      </w:pPr>
      <w:rPr>
        <w:rFonts w:ascii="Wingdings" w:hAnsi="Wingdings" w:hint="default"/>
      </w:rPr>
    </w:lvl>
  </w:abstractNum>
  <w:abstractNum w:abstractNumId="614">
    <w:nsid w:val="6BB71A7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15">
    <w:nsid w:val="6BC07EF9"/>
    <w:multiLevelType w:val="singleLevel"/>
    <w:tmpl w:val="04160017"/>
    <w:lvl w:ilvl="0">
      <w:start w:val="1"/>
      <w:numFmt w:val="lowerLetter"/>
      <w:lvlText w:val="%1)"/>
      <w:lvlJc w:val="left"/>
      <w:pPr>
        <w:tabs>
          <w:tab w:val="num" w:pos="360"/>
        </w:tabs>
        <w:ind w:left="360" w:hanging="360"/>
      </w:pPr>
    </w:lvl>
  </w:abstractNum>
  <w:abstractNum w:abstractNumId="616">
    <w:nsid w:val="6BC81C66"/>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17">
    <w:nsid w:val="6BE3434B"/>
    <w:multiLevelType w:val="singleLevel"/>
    <w:tmpl w:val="AB82292C"/>
    <w:lvl w:ilvl="0">
      <w:start w:val="1"/>
      <w:numFmt w:val="lowerLetter"/>
      <w:lvlText w:val="%1)"/>
      <w:lvlJc w:val="left"/>
      <w:pPr>
        <w:tabs>
          <w:tab w:val="num" w:pos="1764"/>
        </w:tabs>
        <w:ind w:left="1764" w:hanging="360"/>
      </w:pPr>
      <w:rPr>
        <w:rFonts w:hint="default"/>
      </w:rPr>
    </w:lvl>
  </w:abstractNum>
  <w:abstractNum w:abstractNumId="618">
    <w:nsid w:val="6BF566F7"/>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19">
    <w:nsid w:val="6C3A3531"/>
    <w:multiLevelType w:val="singleLevel"/>
    <w:tmpl w:val="04160011"/>
    <w:lvl w:ilvl="0">
      <w:start w:val="1"/>
      <w:numFmt w:val="decimal"/>
      <w:lvlText w:val="%1)"/>
      <w:lvlJc w:val="left"/>
      <w:pPr>
        <w:tabs>
          <w:tab w:val="num" w:pos="360"/>
        </w:tabs>
        <w:ind w:left="360" w:hanging="360"/>
      </w:pPr>
    </w:lvl>
  </w:abstractNum>
  <w:abstractNum w:abstractNumId="620">
    <w:nsid w:val="6C6F286D"/>
    <w:multiLevelType w:val="multilevel"/>
    <w:tmpl w:val="2C1EE462"/>
    <w:lvl w:ilvl="0">
      <w:start w:val="1"/>
      <w:numFmt w:val="decimal"/>
      <w:lvlText w:val="%1."/>
      <w:lvlJc w:val="left"/>
      <w:pPr>
        <w:tabs>
          <w:tab w:val="num" w:pos="360"/>
        </w:tabs>
        <w:ind w:left="360" w:hanging="360"/>
      </w:pPr>
      <w:rPr>
        <w:rFonts w:ascii="Times New Roman" w:hAnsi="Times New Roman" w:hint="default"/>
        <w:b w:val="0"/>
        <w:i w:val="0"/>
      </w:rPr>
    </w:lvl>
    <w:lvl w:ilvl="1">
      <w:start w:val="2"/>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621">
    <w:nsid w:val="6C717DCF"/>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22">
    <w:nsid w:val="6CB104F3"/>
    <w:multiLevelType w:val="singleLevel"/>
    <w:tmpl w:val="FFFFFFFF"/>
    <w:lvl w:ilvl="0">
      <w:numFmt w:val="decimal"/>
      <w:lvlText w:val="%1"/>
      <w:legacy w:legacy="1" w:legacySpace="0" w:legacyIndent="0"/>
      <w:lvlJc w:val="left"/>
    </w:lvl>
  </w:abstractNum>
  <w:abstractNum w:abstractNumId="623">
    <w:nsid w:val="6CE148DD"/>
    <w:multiLevelType w:val="singleLevel"/>
    <w:tmpl w:val="47C6D166"/>
    <w:lvl w:ilvl="0">
      <w:start w:val="1"/>
      <w:numFmt w:val="bullet"/>
      <w:lvlText w:val=""/>
      <w:lvlJc w:val="left"/>
      <w:pPr>
        <w:tabs>
          <w:tab w:val="num" w:pos="1512"/>
        </w:tabs>
        <w:ind w:left="1435" w:hanging="283"/>
      </w:pPr>
      <w:rPr>
        <w:rFonts w:ascii="Symbol" w:hAnsi="Symbol" w:hint="default"/>
        <w:sz w:val="28"/>
      </w:rPr>
    </w:lvl>
  </w:abstractNum>
  <w:abstractNum w:abstractNumId="624">
    <w:nsid w:val="6D0776AC"/>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25">
    <w:nsid w:val="6D146EA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26">
    <w:nsid w:val="6D8013BA"/>
    <w:multiLevelType w:val="singleLevel"/>
    <w:tmpl w:val="118A400E"/>
    <w:lvl w:ilvl="0">
      <w:numFmt w:val="bullet"/>
      <w:lvlText w:val="-"/>
      <w:lvlJc w:val="left"/>
      <w:pPr>
        <w:tabs>
          <w:tab w:val="num" w:pos="4755"/>
        </w:tabs>
        <w:ind w:left="4755" w:hanging="360"/>
      </w:pPr>
      <w:rPr>
        <w:b/>
        <w:i w:val="0"/>
      </w:rPr>
    </w:lvl>
  </w:abstractNum>
  <w:abstractNum w:abstractNumId="627">
    <w:nsid w:val="6DB93226"/>
    <w:multiLevelType w:val="singleLevel"/>
    <w:tmpl w:val="151E81FA"/>
    <w:lvl w:ilvl="0">
      <w:start w:val="1"/>
      <w:numFmt w:val="upperLetter"/>
      <w:lvlText w:val="%1)"/>
      <w:lvlJc w:val="left"/>
      <w:pPr>
        <w:tabs>
          <w:tab w:val="num" w:pos="1066"/>
        </w:tabs>
        <w:ind w:left="1066" w:hanging="360"/>
      </w:pPr>
      <w:rPr>
        <w:rFonts w:hint="default"/>
      </w:rPr>
    </w:lvl>
  </w:abstractNum>
  <w:abstractNum w:abstractNumId="628">
    <w:nsid w:val="6DF0706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29">
    <w:nsid w:val="6E19756D"/>
    <w:multiLevelType w:val="singleLevel"/>
    <w:tmpl w:val="118A400E"/>
    <w:lvl w:ilvl="0">
      <w:numFmt w:val="bullet"/>
      <w:lvlText w:val="-"/>
      <w:lvlJc w:val="left"/>
      <w:pPr>
        <w:tabs>
          <w:tab w:val="num" w:pos="4755"/>
        </w:tabs>
        <w:ind w:left="4755" w:hanging="360"/>
      </w:pPr>
      <w:rPr>
        <w:b/>
        <w:i w:val="0"/>
      </w:rPr>
    </w:lvl>
  </w:abstractNum>
  <w:abstractNum w:abstractNumId="630">
    <w:nsid w:val="6E201C9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31">
    <w:nsid w:val="6E26720C"/>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32">
    <w:nsid w:val="6E73116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33">
    <w:nsid w:val="6E7C64DF"/>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34">
    <w:nsid w:val="6EAB5542"/>
    <w:multiLevelType w:val="singleLevel"/>
    <w:tmpl w:val="2F2E7072"/>
    <w:lvl w:ilvl="0">
      <w:start w:val="1"/>
      <w:numFmt w:val="lowerRoman"/>
      <w:lvlText w:val="(%1)"/>
      <w:lvlJc w:val="left"/>
      <w:pPr>
        <w:tabs>
          <w:tab w:val="num" w:pos="1428"/>
        </w:tabs>
        <w:ind w:left="1428" w:hanging="720"/>
      </w:pPr>
      <w:rPr>
        <w:rFonts w:hint="default"/>
      </w:rPr>
    </w:lvl>
  </w:abstractNum>
  <w:abstractNum w:abstractNumId="635">
    <w:nsid w:val="6ECF469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36">
    <w:nsid w:val="6EF1724F"/>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37">
    <w:nsid w:val="6F170BAC"/>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38">
    <w:nsid w:val="6F27050B"/>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39">
    <w:nsid w:val="6F3B7B88"/>
    <w:multiLevelType w:val="singleLevel"/>
    <w:tmpl w:val="B30E9322"/>
    <w:lvl w:ilvl="0">
      <w:start w:val="1"/>
      <w:numFmt w:val="bullet"/>
      <w:lvlText w:val="-"/>
      <w:lvlJc w:val="left"/>
      <w:pPr>
        <w:tabs>
          <w:tab w:val="num" w:pos="1066"/>
        </w:tabs>
        <w:ind w:left="1066" w:hanging="360"/>
      </w:pPr>
      <w:rPr>
        <w:rFonts w:ascii="Times New Roman" w:hAnsi="Times New Roman" w:hint="default"/>
      </w:rPr>
    </w:lvl>
  </w:abstractNum>
  <w:abstractNum w:abstractNumId="640">
    <w:nsid w:val="6F3C18CD"/>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41">
    <w:nsid w:val="6F974874"/>
    <w:multiLevelType w:val="singleLevel"/>
    <w:tmpl w:val="67A0EEAA"/>
    <w:lvl w:ilvl="0">
      <w:start w:val="1"/>
      <w:numFmt w:val="lowerLetter"/>
      <w:lvlText w:val="%1) "/>
      <w:lvlJc w:val="left"/>
      <w:pPr>
        <w:tabs>
          <w:tab w:val="num" w:pos="1069"/>
        </w:tabs>
        <w:ind w:left="992" w:hanging="283"/>
      </w:pPr>
      <w:rPr>
        <w:rFonts w:ascii="Arial" w:hAnsi="Arial" w:hint="default"/>
        <w:b/>
        <w:i w:val="0"/>
        <w:sz w:val="24"/>
        <w:u w:val="none"/>
      </w:rPr>
    </w:lvl>
  </w:abstractNum>
  <w:abstractNum w:abstractNumId="642">
    <w:nsid w:val="6FD45E3F"/>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43">
    <w:nsid w:val="6FD76A44"/>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44">
    <w:nsid w:val="6FDE654B"/>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645">
    <w:nsid w:val="6FE44AE3"/>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46">
    <w:nsid w:val="70136B4C"/>
    <w:multiLevelType w:val="singleLevel"/>
    <w:tmpl w:val="1228E19C"/>
    <w:lvl w:ilvl="0">
      <w:start w:val="1"/>
      <w:numFmt w:val="lowerLetter"/>
      <w:lvlText w:val="%1)"/>
      <w:lvlJc w:val="left"/>
      <w:pPr>
        <w:tabs>
          <w:tab w:val="num" w:pos="1137"/>
        </w:tabs>
        <w:ind w:left="1137" w:hanging="570"/>
      </w:pPr>
      <w:rPr>
        <w:rFonts w:hint="default"/>
      </w:rPr>
    </w:lvl>
  </w:abstractNum>
  <w:abstractNum w:abstractNumId="647">
    <w:nsid w:val="70437900"/>
    <w:multiLevelType w:val="singleLevel"/>
    <w:tmpl w:val="F9DC0EA2"/>
    <w:lvl w:ilvl="0">
      <w:start w:val="1"/>
      <w:numFmt w:val="bullet"/>
      <w:lvlText w:val=""/>
      <w:lvlJc w:val="left"/>
      <w:pPr>
        <w:tabs>
          <w:tab w:val="num" w:pos="1778"/>
        </w:tabs>
        <w:ind w:left="1701" w:hanging="283"/>
      </w:pPr>
      <w:rPr>
        <w:rFonts w:ascii="Symbol" w:hAnsi="Symbol" w:hint="default"/>
        <w:sz w:val="16"/>
      </w:rPr>
    </w:lvl>
  </w:abstractNum>
  <w:abstractNum w:abstractNumId="648">
    <w:nsid w:val="707F090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49">
    <w:nsid w:val="708A2515"/>
    <w:multiLevelType w:val="singleLevel"/>
    <w:tmpl w:val="EE245E3C"/>
    <w:lvl w:ilvl="0">
      <w:start w:val="1"/>
      <w:numFmt w:val="bullet"/>
      <w:lvlText w:val=""/>
      <w:lvlJc w:val="left"/>
      <w:pPr>
        <w:tabs>
          <w:tab w:val="num" w:pos="1512"/>
        </w:tabs>
        <w:ind w:left="1435" w:hanging="283"/>
      </w:pPr>
      <w:rPr>
        <w:rFonts w:ascii="Symbol" w:hAnsi="Symbol" w:hint="default"/>
        <w:sz w:val="20"/>
      </w:rPr>
    </w:lvl>
  </w:abstractNum>
  <w:abstractNum w:abstractNumId="650">
    <w:nsid w:val="70BB76AF"/>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651">
    <w:nsid w:val="70E715BC"/>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52">
    <w:nsid w:val="71550E8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53">
    <w:nsid w:val="71674D16"/>
    <w:multiLevelType w:val="singleLevel"/>
    <w:tmpl w:val="FFFFFFFF"/>
    <w:lvl w:ilvl="0">
      <w:start w:val="1"/>
      <w:numFmt w:val="bullet"/>
      <w:lvlText w:val=""/>
      <w:legacy w:legacy="1" w:legacySpace="0" w:legacyIndent="283"/>
      <w:lvlJc w:val="left"/>
      <w:pPr>
        <w:ind w:left="426" w:hanging="283"/>
      </w:pPr>
      <w:rPr>
        <w:rFonts w:ascii="Symbol" w:hAnsi="Symbol" w:hint="default"/>
      </w:rPr>
    </w:lvl>
  </w:abstractNum>
  <w:abstractNum w:abstractNumId="654">
    <w:nsid w:val="716A4112"/>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55">
    <w:nsid w:val="71900351"/>
    <w:multiLevelType w:val="singleLevel"/>
    <w:tmpl w:val="67407D16"/>
    <w:lvl w:ilvl="0">
      <w:start w:val="1"/>
      <w:numFmt w:val="decimal"/>
      <w:lvlText w:val="%1."/>
      <w:lvlJc w:val="left"/>
      <w:pPr>
        <w:tabs>
          <w:tab w:val="num" w:pos="360"/>
        </w:tabs>
        <w:ind w:left="360" w:hanging="360"/>
      </w:pPr>
      <w:rPr>
        <w:rFonts w:ascii="Times New Roman" w:hAnsi="Times New Roman" w:hint="default"/>
        <w:b w:val="0"/>
        <w:i w:val="0"/>
      </w:rPr>
    </w:lvl>
  </w:abstractNum>
  <w:abstractNum w:abstractNumId="656">
    <w:nsid w:val="7217269D"/>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657">
    <w:nsid w:val="7228397A"/>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658">
    <w:nsid w:val="72671CC2"/>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59">
    <w:nsid w:val="72BC72DC"/>
    <w:multiLevelType w:val="singleLevel"/>
    <w:tmpl w:val="04160017"/>
    <w:lvl w:ilvl="0">
      <w:start w:val="1"/>
      <w:numFmt w:val="lowerLetter"/>
      <w:lvlText w:val="%1)"/>
      <w:lvlJc w:val="left"/>
      <w:pPr>
        <w:tabs>
          <w:tab w:val="num" w:pos="360"/>
        </w:tabs>
        <w:ind w:left="360" w:hanging="360"/>
      </w:pPr>
      <w:rPr>
        <w:rFonts w:hint="default"/>
      </w:rPr>
    </w:lvl>
  </w:abstractNum>
  <w:abstractNum w:abstractNumId="660">
    <w:nsid w:val="72F26C51"/>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1">
    <w:nsid w:val="73485CD5"/>
    <w:multiLevelType w:val="hybridMultilevel"/>
    <w:tmpl w:val="3D2042B4"/>
    <w:lvl w:ilvl="0" w:tplc="4A94996E">
      <w:start w:val="1"/>
      <w:numFmt w:val="bullet"/>
      <w:lvlText w:val=""/>
      <w:lvlJc w:val="left"/>
      <w:pPr>
        <w:tabs>
          <w:tab w:val="num" w:pos="1137"/>
        </w:tabs>
        <w:ind w:left="1137" w:hanging="567"/>
      </w:pPr>
      <w:rPr>
        <w:rFonts w:ascii="Symbol" w:hAnsi="Symbol" w:hint="default"/>
      </w:rPr>
    </w:lvl>
    <w:lvl w:ilvl="1" w:tplc="04190003">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662">
    <w:nsid w:val="73610E94"/>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63">
    <w:nsid w:val="738B7F6F"/>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64">
    <w:nsid w:val="7391576C"/>
    <w:multiLevelType w:val="singleLevel"/>
    <w:tmpl w:val="FFFFFFFF"/>
    <w:lvl w:ilvl="0">
      <w:numFmt w:val="decimal"/>
      <w:lvlText w:val="%1"/>
      <w:legacy w:legacy="1" w:legacySpace="0" w:legacyIndent="0"/>
      <w:lvlJc w:val="left"/>
    </w:lvl>
  </w:abstractNum>
  <w:abstractNum w:abstractNumId="665">
    <w:nsid w:val="73960414"/>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666">
    <w:nsid w:val="73C23C27"/>
    <w:multiLevelType w:val="singleLevel"/>
    <w:tmpl w:val="118A400E"/>
    <w:lvl w:ilvl="0">
      <w:numFmt w:val="bullet"/>
      <w:lvlText w:val="-"/>
      <w:lvlJc w:val="left"/>
      <w:pPr>
        <w:tabs>
          <w:tab w:val="num" w:pos="4755"/>
        </w:tabs>
        <w:ind w:left="4755" w:hanging="360"/>
      </w:pPr>
      <w:rPr>
        <w:b/>
        <w:i w:val="0"/>
      </w:rPr>
    </w:lvl>
  </w:abstractNum>
  <w:abstractNum w:abstractNumId="667">
    <w:nsid w:val="73E570F5"/>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68">
    <w:nsid w:val="73F12844"/>
    <w:multiLevelType w:val="singleLevel"/>
    <w:tmpl w:val="F68CF674"/>
    <w:lvl w:ilvl="0">
      <w:start w:val="38"/>
      <w:numFmt w:val="decimal"/>
      <w:lvlText w:val="%1."/>
      <w:lvlJc w:val="left"/>
      <w:pPr>
        <w:tabs>
          <w:tab w:val="num" w:pos="360"/>
        </w:tabs>
        <w:ind w:left="360" w:hanging="360"/>
      </w:pPr>
      <w:rPr>
        <w:rFonts w:hint="default"/>
        <w:b/>
      </w:rPr>
    </w:lvl>
  </w:abstractNum>
  <w:abstractNum w:abstractNumId="669">
    <w:nsid w:val="73F6666C"/>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70">
    <w:nsid w:val="74175630"/>
    <w:multiLevelType w:val="singleLevel"/>
    <w:tmpl w:val="11FEA9E2"/>
    <w:lvl w:ilvl="0">
      <w:start w:val="1"/>
      <w:numFmt w:val="bullet"/>
      <w:lvlText w:val=""/>
      <w:lvlJc w:val="left"/>
      <w:pPr>
        <w:tabs>
          <w:tab w:val="num" w:pos="1512"/>
        </w:tabs>
        <w:ind w:left="1435" w:hanging="283"/>
      </w:pPr>
      <w:rPr>
        <w:rFonts w:ascii="Symbol" w:hAnsi="Symbol" w:hint="default"/>
        <w:sz w:val="28"/>
      </w:rPr>
    </w:lvl>
  </w:abstractNum>
  <w:abstractNum w:abstractNumId="671">
    <w:nsid w:val="74A127B9"/>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72">
    <w:nsid w:val="74AD5548"/>
    <w:multiLevelType w:val="singleLevel"/>
    <w:tmpl w:val="04160001"/>
    <w:lvl w:ilvl="0">
      <w:start w:val="8"/>
      <w:numFmt w:val="bullet"/>
      <w:lvlText w:val=""/>
      <w:lvlJc w:val="left"/>
      <w:pPr>
        <w:tabs>
          <w:tab w:val="num" w:pos="360"/>
        </w:tabs>
        <w:ind w:left="360" w:hanging="360"/>
      </w:pPr>
      <w:rPr>
        <w:rFonts w:ascii="Symbol" w:hAnsi="Symbol" w:hint="default"/>
      </w:rPr>
    </w:lvl>
  </w:abstractNum>
  <w:abstractNum w:abstractNumId="673">
    <w:nsid w:val="74CA421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74">
    <w:nsid w:val="752024E0"/>
    <w:multiLevelType w:val="singleLevel"/>
    <w:tmpl w:val="4ABA51C8"/>
    <w:lvl w:ilvl="0">
      <w:start w:val="1"/>
      <w:numFmt w:val="decimal"/>
      <w:lvlText w:val="%1. "/>
      <w:legacy w:legacy="1" w:legacySpace="0" w:legacyIndent="283"/>
      <w:lvlJc w:val="left"/>
      <w:pPr>
        <w:ind w:left="1701" w:hanging="283"/>
      </w:pPr>
      <w:rPr>
        <w:rFonts w:ascii="Arial" w:hAnsi="Arial" w:hint="default"/>
        <w:b/>
        <w:i w:val="0"/>
        <w:sz w:val="24"/>
        <w:u w:val="none"/>
      </w:rPr>
    </w:lvl>
  </w:abstractNum>
  <w:abstractNum w:abstractNumId="675">
    <w:nsid w:val="752E4997"/>
    <w:multiLevelType w:val="singleLevel"/>
    <w:tmpl w:val="118A400E"/>
    <w:lvl w:ilvl="0">
      <w:numFmt w:val="bullet"/>
      <w:lvlText w:val="-"/>
      <w:lvlJc w:val="left"/>
      <w:pPr>
        <w:tabs>
          <w:tab w:val="num" w:pos="4755"/>
        </w:tabs>
        <w:ind w:left="4755" w:hanging="360"/>
      </w:pPr>
      <w:rPr>
        <w:b/>
        <w:i w:val="0"/>
      </w:rPr>
    </w:lvl>
  </w:abstractNum>
  <w:abstractNum w:abstractNumId="676">
    <w:nsid w:val="75355628"/>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77">
    <w:nsid w:val="757C5EFB"/>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78">
    <w:nsid w:val="7585351D"/>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79">
    <w:nsid w:val="75870B0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80">
    <w:nsid w:val="760A1E23"/>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81">
    <w:nsid w:val="7618501B"/>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82">
    <w:nsid w:val="7636439A"/>
    <w:multiLevelType w:val="multilevel"/>
    <w:tmpl w:val="470C0CD8"/>
    <w:lvl w:ilvl="0">
      <w:start w:val="5"/>
      <w:numFmt w:val="decimal"/>
      <w:lvlText w:val="%1"/>
      <w:lvlJc w:val="left"/>
      <w:pPr>
        <w:tabs>
          <w:tab w:val="num" w:pos="1211"/>
        </w:tabs>
        <w:ind w:left="1211" w:hanging="360"/>
      </w:pPr>
      <w:rPr>
        <w:rFonts w:hint="default"/>
      </w:rPr>
    </w:lvl>
    <w:lvl w:ilvl="1">
      <w:start w:val="1"/>
      <w:numFmt w:val="decimal"/>
      <w:isLgl/>
      <w:lvlText w:val="%1.%2"/>
      <w:lvlJc w:val="left"/>
      <w:pPr>
        <w:tabs>
          <w:tab w:val="num" w:pos="1779"/>
        </w:tabs>
        <w:ind w:left="1779" w:hanging="465"/>
      </w:pPr>
      <w:rPr>
        <w:rFonts w:hint="default"/>
      </w:rPr>
    </w:lvl>
    <w:lvl w:ilvl="2">
      <w:start w:val="1"/>
      <w:numFmt w:val="decimal"/>
      <w:isLgl/>
      <w:lvlText w:val="%1.%2.%3"/>
      <w:lvlJc w:val="left"/>
      <w:pPr>
        <w:tabs>
          <w:tab w:val="num" w:pos="2497"/>
        </w:tabs>
        <w:ind w:left="2497" w:hanging="720"/>
      </w:pPr>
      <w:rPr>
        <w:rFonts w:hint="default"/>
      </w:rPr>
    </w:lvl>
    <w:lvl w:ilvl="3">
      <w:start w:val="1"/>
      <w:numFmt w:val="decimal"/>
      <w:isLgl/>
      <w:lvlText w:val="%1.%2.%3.%4"/>
      <w:lvlJc w:val="left"/>
      <w:pPr>
        <w:tabs>
          <w:tab w:val="num" w:pos="3320"/>
        </w:tabs>
        <w:ind w:left="3320" w:hanging="1080"/>
      </w:pPr>
      <w:rPr>
        <w:rFonts w:hint="default"/>
      </w:rPr>
    </w:lvl>
    <w:lvl w:ilvl="4">
      <w:start w:val="1"/>
      <w:numFmt w:val="decimal"/>
      <w:isLgl/>
      <w:lvlText w:val="%1.%2.%3.%4.%5"/>
      <w:lvlJc w:val="left"/>
      <w:pPr>
        <w:tabs>
          <w:tab w:val="num" w:pos="3783"/>
        </w:tabs>
        <w:ind w:left="3783" w:hanging="1080"/>
      </w:pPr>
      <w:rPr>
        <w:rFonts w:hint="default"/>
      </w:rPr>
    </w:lvl>
    <w:lvl w:ilvl="5">
      <w:start w:val="1"/>
      <w:numFmt w:val="decimal"/>
      <w:isLgl/>
      <w:lvlText w:val="%1.%2.%3.%4.%5.%6"/>
      <w:lvlJc w:val="left"/>
      <w:pPr>
        <w:tabs>
          <w:tab w:val="num" w:pos="4606"/>
        </w:tabs>
        <w:ind w:left="4606" w:hanging="1440"/>
      </w:pPr>
      <w:rPr>
        <w:rFonts w:hint="default"/>
      </w:rPr>
    </w:lvl>
    <w:lvl w:ilvl="6">
      <w:start w:val="1"/>
      <w:numFmt w:val="decimal"/>
      <w:isLgl/>
      <w:lvlText w:val="%1.%2.%3.%4.%5.%6.%7"/>
      <w:lvlJc w:val="left"/>
      <w:pPr>
        <w:tabs>
          <w:tab w:val="num" w:pos="5069"/>
        </w:tabs>
        <w:ind w:left="5069" w:hanging="1440"/>
      </w:pPr>
      <w:rPr>
        <w:rFonts w:hint="default"/>
      </w:rPr>
    </w:lvl>
    <w:lvl w:ilvl="7">
      <w:start w:val="1"/>
      <w:numFmt w:val="decimal"/>
      <w:isLgl/>
      <w:lvlText w:val="%1.%2.%3.%4.%5.%6.%7.%8"/>
      <w:lvlJc w:val="left"/>
      <w:pPr>
        <w:tabs>
          <w:tab w:val="num" w:pos="5892"/>
        </w:tabs>
        <w:ind w:left="5892" w:hanging="1800"/>
      </w:pPr>
      <w:rPr>
        <w:rFonts w:hint="default"/>
      </w:rPr>
    </w:lvl>
    <w:lvl w:ilvl="8">
      <w:start w:val="1"/>
      <w:numFmt w:val="decimal"/>
      <w:isLgl/>
      <w:lvlText w:val="%1.%2.%3.%4.%5.%6.%7.%8.%9"/>
      <w:lvlJc w:val="left"/>
      <w:pPr>
        <w:tabs>
          <w:tab w:val="num" w:pos="6355"/>
        </w:tabs>
        <w:ind w:left="6355" w:hanging="1800"/>
      </w:pPr>
      <w:rPr>
        <w:rFonts w:hint="default"/>
      </w:rPr>
    </w:lvl>
  </w:abstractNum>
  <w:abstractNum w:abstractNumId="683">
    <w:nsid w:val="7746075F"/>
    <w:multiLevelType w:val="singleLevel"/>
    <w:tmpl w:val="118A400E"/>
    <w:lvl w:ilvl="0">
      <w:numFmt w:val="bullet"/>
      <w:lvlText w:val="-"/>
      <w:lvlJc w:val="left"/>
      <w:pPr>
        <w:tabs>
          <w:tab w:val="num" w:pos="4755"/>
        </w:tabs>
        <w:ind w:left="4755" w:hanging="360"/>
      </w:pPr>
      <w:rPr>
        <w:b/>
        <w:i w:val="0"/>
      </w:rPr>
    </w:lvl>
  </w:abstractNum>
  <w:abstractNum w:abstractNumId="684">
    <w:nsid w:val="77473E10"/>
    <w:multiLevelType w:val="singleLevel"/>
    <w:tmpl w:val="C1C8A762"/>
    <w:lvl w:ilvl="0">
      <w:start w:val="1"/>
      <w:numFmt w:val="decimal"/>
      <w:lvlText w:val="%1."/>
      <w:lvlJc w:val="left"/>
      <w:pPr>
        <w:tabs>
          <w:tab w:val="num" w:pos="375"/>
        </w:tabs>
        <w:ind w:left="375" w:hanging="375"/>
      </w:pPr>
      <w:rPr>
        <w:rFonts w:hint="default"/>
      </w:rPr>
    </w:lvl>
  </w:abstractNum>
  <w:abstractNum w:abstractNumId="685">
    <w:nsid w:val="77635BB0"/>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86">
    <w:nsid w:val="77BA65E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687">
    <w:nsid w:val="77BA7775"/>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688">
    <w:nsid w:val="77E72530"/>
    <w:multiLevelType w:val="singleLevel"/>
    <w:tmpl w:val="AE6621BC"/>
    <w:lvl w:ilvl="0">
      <w:start w:val="2"/>
      <w:numFmt w:val="lowerLetter"/>
      <w:lvlText w:val="%1)"/>
      <w:lvlJc w:val="left"/>
      <w:pPr>
        <w:tabs>
          <w:tab w:val="num" w:pos="2061"/>
        </w:tabs>
        <w:ind w:left="2061" w:hanging="360"/>
      </w:pPr>
      <w:rPr>
        <w:rFonts w:hint="default"/>
        <w:b/>
      </w:rPr>
    </w:lvl>
  </w:abstractNum>
  <w:abstractNum w:abstractNumId="689">
    <w:nsid w:val="77F00EBD"/>
    <w:multiLevelType w:val="singleLevel"/>
    <w:tmpl w:val="4DE2700E"/>
    <w:lvl w:ilvl="0">
      <w:start w:val="1"/>
      <w:numFmt w:val="lowerLetter"/>
      <w:lvlText w:val="%1)"/>
      <w:lvlJc w:val="left"/>
      <w:pPr>
        <w:tabs>
          <w:tab w:val="num" w:pos="1137"/>
        </w:tabs>
        <w:ind w:left="1137" w:hanging="570"/>
      </w:pPr>
      <w:rPr>
        <w:rFonts w:hint="default"/>
      </w:rPr>
    </w:lvl>
  </w:abstractNum>
  <w:abstractNum w:abstractNumId="690">
    <w:nsid w:val="77F7085E"/>
    <w:multiLevelType w:val="singleLevel"/>
    <w:tmpl w:val="6CD246C2"/>
    <w:lvl w:ilvl="0">
      <w:start w:val="5"/>
      <w:numFmt w:val="lowerLetter"/>
      <w:lvlText w:val="%1)"/>
      <w:lvlJc w:val="left"/>
      <w:pPr>
        <w:tabs>
          <w:tab w:val="num" w:pos="1137"/>
        </w:tabs>
        <w:ind w:left="1137" w:hanging="570"/>
      </w:pPr>
      <w:rPr>
        <w:rFonts w:hint="default"/>
      </w:rPr>
    </w:lvl>
  </w:abstractNum>
  <w:abstractNum w:abstractNumId="691">
    <w:nsid w:val="782F6FCF"/>
    <w:multiLevelType w:val="singleLevel"/>
    <w:tmpl w:val="230A90D2"/>
    <w:lvl w:ilvl="0">
      <w:start w:val="1"/>
      <w:numFmt w:val="lowerLetter"/>
      <w:lvlText w:val="%1)"/>
      <w:legacy w:legacy="1" w:legacySpace="0" w:legacyIndent="283"/>
      <w:lvlJc w:val="left"/>
      <w:pPr>
        <w:ind w:left="1984" w:hanging="283"/>
      </w:pPr>
    </w:lvl>
  </w:abstractNum>
  <w:abstractNum w:abstractNumId="692">
    <w:nsid w:val="78582C4A"/>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693">
    <w:nsid w:val="787D2C9D"/>
    <w:multiLevelType w:val="multilevel"/>
    <w:tmpl w:val="77C68D18"/>
    <w:lvl w:ilvl="0">
      <w:start w:val="3"/>
      <w:numFmt w:val="decimal"/>
      <w:lvlText w:val="%1."/>
      <w:lvlJc w:val="left"/>
      <w:pPr>
        <w:tabs>
          <w:tab w:val="num" w:pos="400"/>
        </w:tabs>
        <w:ind w:left="400" w:hanging="40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94">
    <w:nsid w:val="78801DC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695">
    <w:nsid w:val="78BE739B"/>
    <w:multiLevelType w:val="singleLevel"/>
    <w:tmpl w:val="04160001"/>
    <w:lvl w:ilvl="0">
      <w:start w:val="4"/>
      <w:numFmt w:val="bullet"/>
      <w:lvlText w:val=""/>
      <w:lvlJc w:val="left"/>
      <w:pPr>
        <w:tabs>
          <w:tab w:val="num" w:pos="360"/>
        </w:tabs>
        <w:ind w:left="360" w:hanging="360"/>
      </w:pPr>
      <w:rPr>
        <w:rFonts w:ascii="Symbol" w:hAnsi="Symbol" w:hint="default"/>
      </w:rPr>
    </w:lvl>
  </w:abstractNum>
  <w:abstractNum w:abstractNumId="696">
    <w:nsid w:val="78DE1E23"/>
    <w:multiLevelType w:val="singleLevel"/>
    <w:tmpl w:val="B8E244C2"/>
    <w:lvl w:ilvl="0">
      <w:start w:val="2"/>
      <w:numFmt w:val="decimal"/>
      <w:lvlText w:val="2.%1. "/>
      <w:legacy w:legacy="1" w:legacySpace="0" w:legacyIndent="283"/>
      <w:lvlJc w:val="left"/>
      <w:pPr>
        <w:ind w:left="283" w:hanging="283"/>
      </w:pPr>
      <w:rPr>
        <w:rFonts w:ascii="Century Gothic" w:hAnsi="Century Gothic" w:hint="default"/>
        <w:b/>
        <w:i w:val="0"/>
        <w:sz w:val="24"/>
        <w:u w:val="none"/>
      </w:rPr>
    </w:lvl>
  </w:abstractNum>
  <w:abstractNum w:abstractNumId="697">
    <w:nsid w:val="792A115B"/>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698">
    <w:nsid w:val="792D7C20"/>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699">
    <w:nsid w:val="793C52E6"/>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00">
    <w:nsid w:val="795C18D8"/>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01">
    <w:nsid w:val="79964BB3"/>
    <w:multiLevelType w:val="singleLevel"/>
    <w:tmpl w:val="5AE68216"/>
    <w:lvl w:ilvl="0">
      <w:start w:val="1"/>
      <w:numFmt w:val="bullet"/>
      <w:lvlText w:val=""/>
      <w:lvlJc w:val="left"/>
      <w:pPr>
        <w:tabs>
          <w:tab w:val="num" w:pos="1778"/>
        </w:tabs>
        <w:ind w:left="1701" w:hanging="283"/>
      </w:pPr>
      <w:rPr>
        <w:rFonts w:ascii="Symbol" w:hAnsi="Symbol" w:hint="default"/>
        <w:sz w:val="24"/>
      </w:rPr>
    </w:lvl>
  </w:abstractNum>
  <w:abstractNum w:abstractNumId="702">
    <w:nsid w:val="79D07101"/>
    <w:multiLevelType w:val="singleLevel"/>
    <w:tmpl w:val="02B67C94"/>
    <w:lvl w:ilvl="0">
      <w:start w:val="8"/>
      <w:numFmt w:val="decimal"/>
      <w:lvlText w:val="%1. "/>
      <w:legacy w:legacy="1" w:legacySpace="0" w:legacyIndent="283"/>
      <w:lvlJc w:val="left"/>
      <w:pPr>
        <w:ind w:left="1702" w:hanging="283"/>
      </w:pPr>
      <w:rPr>
        <w:rFonts w:ascii="Arial" w:hAnsi="Arial" w:hint="default"/>
        <w:b/>
        <w:i w:val="0"/>
        <w:sz w:val="24"/>
      </w:rPr>
    </w:lvl>
  </w:abstractNum>
  <w:abstractNum w:abstractNumId="703">
    <w:nsid w:val="7A0555F3"/>
    <w:multiLevelType w:val="singleLevel"/>
    <w:tmpl w:val="D3A269AE"/>
    <w:lvl w:ilvl="0">
      <w:start w:val="1"/>
      <w:numFmt w:val="bullet"/>
      <w:lvlText w:val=""/>
      <w:lvlJc w:val="left"/>
      <w:pPr>
        <w:tabs>
          <w:tab w:val="num" w:pos="360"/>
        </w:tabs>
        <w:ind w:left="360" w:hanging="360"/>
      </w:pPr>
      <w:rPr>
        <w:rFonts w:ascii="Symbol" w:hAnsi="Symbol" w:hint="default"/>
      </w:rPr>
    </w:lvl>
  </w:abstractNum>
  <w:abstractNum w:abstractNumId="704">
    <w:nsid w:val="7A415FD6"/>
    <w:multiLevelType w:val="singleLevel"/>
    <w:tmpl w:val="4442E6DA"/>
    <w:lvl w:ilvl="0">
      <w:numFmt w:val="bullet"/>
      <w:lvlText w:val="-"/>
      <w:lvlJc w:val="left"/>
      <w:pPr>
        <w:tabs>
          <w:tab w:val="num" w:pos="360"/>
        </w:tabs>
        <w:ind w:left="360" w:hanging="360"/>
      </w:pPr>
      <w:rPr>
        <w:rFonts w:ascii="Times New Roman" w:hAnsi="Times New Roman" w:hint="default"/>
      </w:rPr>
    </w:lvl>
  </w:abstractNum>
  <w:abstractNum w:abstractNumId="705">
    <w:nsid w:val="7A7065C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06">
    <w:nsid w:val="7A8D4BD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07">
    <w:nsid w:val="7AB11E63"/>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08">
    <w:nsid w:val="7AC35CE8"/>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09">
    <w:nsid w:val="7AE6238B"/>
    <w:multiLevelType w:val="singleLevel"/>
    <w:tmpl w:val="FFFFFFFF"/>
    <w:lvl w:ilvl="0">
      <w:start w:val="1"/>
      <w:numFmt w:val="bullet"/>
      <w:lvlText w:val=""/>
      <w:legacy w:legacy="1" w:legacySpace="0" w:legacyIndent="283"/>
      <w:lvlJc w:val="left"/>
      <w:pPr>
        <w:ind w:left="1435" w:hanging="283"/>
      </w:pPr>
      <w:rPr>
        <w:rFonts w:ascii="Symbol" w:hAnsi="Symbol" w:hint="default"/>
      </w:rPr>
    </w:lvl>
  </w:abstractNum>
  <w:abstractNum w:abstractNumId="710">
    <w:nsid w:val="7AE8749C"/>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11">
    <w:nsid w:val="7AEA2BC5"/>
    <w:multiLevelType w:val="multilevel"/>
    <w:tmpl w:val="B78E621C"/>
    <w:lvl w:ilvl="0">
      <w:start w:val="7"/>
      <w:numFmt w:val="decimal"/>
      <w:lvlText w:val="%1"/>
      <w:lvlJc w:val="left"/>
      <w:pPr>
        <w:tabs>
          <w:tab w:val="num" w:pos="465"/>
        </w:tabs>
        <w:ind w:left="465" w:hanging="465"/>
      </w:pPr>
      <w:rPr>
        <w:rFonts w:hint="default"/>
      </w:rPr>
    </w:lvl>
    <w:lvl w:ilvl="1">
      <w:start w:val="3"/>
      <w:numFmt w:val="decimal"/>
      <w:lvlText w:val="%1.%2"/>
      <w:lvlJc w:val="left"/>
      <w:pPr>
        <w:tabs>
          <w:tab w:val="num" w:pos="1599"/>
        </w:tabs>
        <w:ind w:left="1599" w:hanging="465"/>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482"/>
        </w:tabs>
        <w:ind w:left="4482" w:hanging="1080"/>
      </w:pPr>
      <w:rPr>
        <w:rFonts w:hint="default"/>
      </w:rPr>
    </w:lvl>
    <w:lvl w:ilvl="4">
      <w:start w:val="1"/>
      <w:numFmt w:val="decimal"/>
      <w:lvlText w:val="%1.%2.%3.%4.%5"/>
      <w:lvlJc w:val="left"/>
      <w:pPr>
        <w:tabs>
          <w:tab w:val="num" w:pos="5616"/>
        </w:tabs>
        <w:ind w:left="5616" w:hanging="1080"/>
      </w:pPr>
      <w:rPr>
        <w:rFonts w:hint="default"/>
      </w:rPr>
    </w:lvl>
    <w:lvl w:ilvl="5">
      <w:start w:val="1"/>
      <w:numFmt w:val="decimal"/>
      <w:lvlText w:val="%1.%2.%3.%4.%5.%6"/>
      <w:lvlJc w:val="left"/>
      <w:pPr>
        <w:tabs>
          <w:tab w:val="num" w:pos="7110"/>
        </w:tabs>
        <w:ind w:left="7110" w:hanging="1440"/>
      </w:pPr>
      <w:rPr>
        <w:rFonts w:hint="default"/>
      </w:rPr>
    </w:lvl>
    <w:lvl w:ilvl="6">
      <w:start w:val="1"/>
      <w:numFmt w:val="decimal"/>
      <w:lvlText w:val="%1.%2.%3.%4.%5.%6.%7"/>
      <w:lvlJc w:val="left"/>
      <w:pPr>
        <w:tabs>
          <w:tab w:val="num" w:pos="8244"/>
        </w:tabs>
        <w:ind w:left="8244" w:hanging="1440"/>
      </w:pPr>
      <w:rPr>
        <w:rFonts w:hint="default"/>
      </w:rPr>
    </w:lvl>
    <w:lvl w:ilvl="7">
      <w:start w:val="1"/>
      <w:numFmt w:val="decimal"/>
      <w:lvlText w:val="%1.%2.%3.%4.%5.%6.%7.%8"/>
      <w:lvlJc w:val="left"/>
      <w:pPr>
        <w:tabs>
          <w:tab w:val="num" w:pos="9738"/>
        </w:tabs>
        <w:ind w:left="9738" w:hanging="1800"/>
      </w:pPr>
      <w:rPr>
        <w:rFonts w:hint="default"/>
      </w:rPr>
    </w:lvl>
    <w:lvl w:ilvl="8">
      <w:start w:val="1"/>
      <w:numFmt w:val="decimal"/>
      <w:lvlText w:val="%1.%2.%3.%4.%5.%6.%7.%8.%9"/>
      <w:lvlJc w:val="left"/>
      <w:pPr>
        <w:tabs>
          <w:tab w:val="num" w:pos="10872"/>
        </w:tabs>
        <w:ind w:left="10872" w:hanging="1800"/>
      </w:pPr>
      <w:rPr>
        <w:rFonts w:hint="default"/>
      </w:rPr>
    </w:lvl>
  </w:abstractNum>
  <w:abstractNum w:abstractNumId="712">
    <w:nsid w:val="7B5545A5"/>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13">
    <w:nsid w:val="7B7766F0"/>
    <w:multiLevelType w:val="singleLevel"/>
    <w:tmpl w:val="44749A82"/>
    <w:lvl w:ilvl="0">
      <w:start w:val="1"/>
      <w:numFmt w:val="bullet"/>
      <w:lvlText w:val=""/>
      <w:lvlJc w:val="left"/>
      <w:pPr>
        <w:tabs>
          <w:tab w:val="num" w:pos="360"/>
        </w:tabs>
        <w:ind w:left="360" w:hanging="360"/>
      </w:pPr>
      <w:rPr>
        <w:rFonts w:ascii="Symbol" w:hAnsi="Symbol" w:hint="default"/>
      </w:rPr>
    </w:lvl>
  </w:abstractNum>
  <w:abstractNum w:abstractNumId="714">
    <w:nsid w:val="7B83276B"/>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15">
    <w:nsid w:val="7B8C6F7E"/>
    <w:multiLevelType w:val="singleLevel"/>
    <w:tmpl w:val="0416000F"/>
    <w:lvl w:ilvl="0">
      <w:start w:val="1"/>
      <w:numFmt w:val="decimal"/>
      <w:lvlText w:val="%1."/>
      <w:lvlJc w:val="left"/>
      <w:pPr>
        <w:tabs>
          <w:tab w:val="num" w:pos="360"/>
        </w:tabs>
        <w:ind w:left="360" w:hanging="360"/>
      </w:pPr>
    </w:lvl>
  </w:abstractNum>
  <w:abstractNum w:abstractNumId="716">
    <w:nsid w:val="7BF256B0"/>
    <w:multiLevelType w:val="singleLevel"/>
    <w:tmpl w:val="C024B180"/>
    <w:lvl w:ilvl="0">
      <w:start w:val="1"/>
      <w:numFmt w:val="decimal"/>
      <w:lvlText w:val="%1."/>
      <w:legacy w:legacy="1" w:legacySpace="0" w:legacyIndent="283"/>
      <w:lvlJc w:val="left"/>
      <w:pPr>
        <w:ind w:left="283" w:hanging="283"/>
      </w:pPr>
    </w:lvl>
  </w:abstractNum>
  <w:abstractNum w:abstractNumId="717">
    <w:nsid w:val="7C5F2DF2"/>
    <w:multiLevelType w:val="singleLevel"/>
    <w:tmpl w:val="0416000D"/>
    <w:lvl w:ilvl="0">
      <w:start w:val="1"/>
      <w:numFmt w:val="bullet"/>
      <w:lvlText w:val=""/>
      <w:lvlJc w:val="left"/>
      <w:pPr>
        <w:tabs>
          <w:tab w:val="num" w:pos="360"/>
        </w:tabs>
        <w:ind w:left="360" w:hanging="360"/>
      </w:pPr>
      <w:rPr>
        <w:rFonts w:ascii="Wingdings" w:hAnsi="Wingdings" w:hint="default"/>
      </w:rPr>
    </w:lvl>
  </w:abstractNum>
  <w:abstractNum w:abstractNumId="718">
    <w:nsid w:val="7CBD3AC4"/>
    <w:multiLevelType w:val="multilevel"/>
    <w:tmpl w:val="61B2888E"/>
    <w:lvl w:ilvl="0">
      <w:start w:val="8"/>
      <w:numFmt w:val="decimal"/>
      <w:lvlText w:val="%1"/>
      <w:lvlJc w:val="left"/>
      <w:pPr>
        <w:tabs>
          <w:tab w:val="num" w:pos="660"/>
        </w:tabs>
        <w:ind w:left="660" w:hanging="660"/>
      </w:pPr>
      <w:rPr>
        <w:rFonts w:hint="default"/>
      </w:rPr>
    </w:lvl>
    <w:lvl w:ilvl="1">
      <w:start w:val="3"/>
      <w:numFmt w:val="decimal"/>
      <w:lvlText w:val="%1.%2"/>
      <w:lvlJc w:val="left"/>
      <w:pPr>
        <w:tabs>
          <w:tab w:val="num" w:pos="1387"/>
        </w:tabs>
        <w:ind w:left="1387" w:hanging="660"/>
      </w:pPr>
      <w:rPr>
        <w:rFonts w:hint="default"/>
      </w:rPr>
    </w:lvl>
    <w:lvl w:ilvl="2">
      <w:start w:val="2"/>
      <w:numFmt w:val="decimal"/>
      <w:lvlText w:val="%1.%2.%3"/>
      <w:lvlJc w:val="left"/>
      <w:pPr>
        <w:tabs>
          <w:tab w:val="num" w:pos="2174"/>
        </w:tabs>
        <w:ind w:left="2174" w:hanging="720"/>
      </w:pPr>
      <w:rPr>
        <w:rFonts w:hint="default"/>
      </w:rPr>
    </w:lvl>
    <w:lvl w:ilvl="3">
      <w:start w:val="1"/>
      <w:numFmt w:val="decimal"/>
      <w:lvlText w:val="%1.%2.%3.%4"/>
      <w:lvlJc w:val="left"/>
      <w:pPr>
        <w:tabs>
          <w:tab w:val="num" w:pos="3261"/>
        </w:tabs>
        <w:ind w:left="3261" w:hanging="1080"/>
      </w:pPr>
      <w:rPr>
        <w:rFonts w:hint="default"/>
      </w:rPr>
    </w:lvl>
    <w:lvl w:ilvl="4">
      <w:start w:val="1"/>
      <w:numFmt w:val="decimal"/>
      <w:lvlText w:val="%1.%2.%3.%4.%5"/>
      <w:lvlJc w:val="left"/>
      <w:pPr>
        <w:tabs>
          <w:tab w:val="num" w:pos="3988"/>
        </w:tabs>
        <w:ind w:left="3988" w:hanging="1080"/>
      </w:pPr>
      <w:rPr>
        <w:rFonts w:hint="default"/>
      </w:rPr>
    </w:lvl>
    <w:lvl w:ilvl="5">
      <w:start w:val="1"/>
      <w:numFmt w:val="decimal"/>
      <w:lvlText w:val="%1.%2.%3.%4.%5.%6"/>
      <w:lvlJc w:val="left"/>
      <w:pPr>
        <w:tabs>
          <w:tab w:val="num" w:pos="5075"/>
        </w:tabs>
        <w:ind w:left="5075" w:hanging="1440"/>
      </w:pPr>
      <w:rPr>
        <w:rFonts w:hint="default"/>
      </w:rPr>
    </w:lvl>
    <w:lvl w:ilvl="6">
      <w:start w:val="1"/>
      <w:numFmt w:val="decimal"/>
      <w:lvlText w:val="%1.%2.%3.%4.%5.%6.%7"/>
      <w:lvlJc w:val="left"/>
      <w:pPr>
        <w:tabs>
          <w:tab w:val="num" w:pos="5802"/>
        </w:tabs>
        <w:ind w:left="5802" w:hanging="1440"/>
      </w:pPr>
      <w:rPr>
        <w:rFonts w:hint="default"/>
      </w:rPr>
    </w:lvl>
    <w:lvl w:ilvl="7">
      <w:start w:val="1"/>
      <w:numFmt w:val="decimal"/>
      <w:lvlText w:val="%1.%2.%3.%4.%5.%6.%7.%8"/>
      <w:lvlJc w:val="left"/>
      <w:pPr>
        <w:tabs>
          <w:tab w:val="num" w:pos="6889"/>
        </w:tabs>
        <w:ind w:left="6889" w:hanging="1800"/>
      </w:pPr>
      <w:rPr>
        <w:rFonts w:hint="default"/>
      </w:rPr>
    </w:lvl>
    <w:lvl w:ilvl="8">
      <w:start w:val="1"/>
      <w:numFmt w:val="decimal"/>
      <w:lvlText w:val="%1.%2.%3.%4.%5.%6.%7.%8.%9"/>
      <w:lvlJc w:val="left"/>
      <w:pPr>
        <w:tabs>
          <w:tab w:val="num" w:pos="7616"/>
        </w:tabs>
        <w:ind w:left="7616" w:hanging="1800"/>
      </w:pPr>
      <w:rPr>
        <w:rFonts w:hint="default"/>
      </w:rPr>
    </w:lvl>
  </w:abstractNum>
  <w:abstractNum w:abstractNumId="719">
    <w:nsid w:val="7D667A4F"/>
    <w:multiLevelType w:val="singleLevel"/>
    <w:tmpl w:val="E11A4C00"/>
    <w:lvl w:ilvl="0">
      <w:numFmt w:val="bullet"/>
      <w:lvlText w:val="-"/>
      <w:lvlJc w:val="left"/>
      <w:pPr>
        <w:tabs>
          <w:tab w:val="num" w:pos="360"/>
        </w:tabs>
        <w:ind w:left="360" w:hanging="360"/>
      </w:pPr>
      <w:rPr>
        <w:rFonts w:ascii="Times New Roman" w:hAnsi="Times New Roman" w:hint="default"/>
      </w:rPr>
    </w:lvl>
  </w:abstractNum>
  <w:abstractNum w:abstractNumId="720">
    <w:nsid w:val="7DDC38BB"/>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721">
    <w:nsid w:val="7DE62FBB"/>
    <w:multiLevelType w:val="singleLevel"/>
    <w:tmpl w:val="7F04353E"/>
    <w:lvl w:ilvl="0">
      <w:start w:val="1"/>
      <w:numFmt w:val="bullet"/>
      <w:lvlText w:val=""/>
      <w:lvlJc w:val="left"/>
      <w:pPr>
        <w:tabs>
          <w:tab w:val="num" w:pos="0"/>
        </w:tabs>
        <w:ind w:left="1701" w:hanging="283"/>
      </w:pPr>
      <w:rPr>
        <w:rFonts w:ascii="Wingdings" w:hAnsi="Wingdings" w:hint="default"/>
      </w:rPr>
    </w:lvl>
  </w:abstractNum>
  <w:abstractNum w:abstractNumId="722">
    <w:nsid w:val="7E7E7809"/>
    <w:multiLevelType w:val="singleLevel"/>
    <w:tmpl w:val="72EE7D74"/>
    <w:lvl w:ilvl="0">
      <w:start w:val="1"/>
      <w:numFmt w:val="lowerLetter"/>
      <w:lvlText w:val="%1)"/>
      <w:legacy w:legacy="1" w:legacySpace="0" w:legacyIndent="283"/>
      <w:lvlJc w:val="left"/>
      <w:pPr>
        <w:ind w:left="283" w:hanging="283"/>
      </w:pPr>
    </w:lvl>
  </w:abstractNum>
  <w:abstractNum w:abstractNumId="723">
    <w:nsid w:val="7E821959"/>
    <w:multiLevelType w:val="singleLevel"/>
    <w:tmpl w:val="3BEEAB94"/>
    <w:lvl w:ilvl="0">
      <w:start w:val="2"/>
      <w:numFmt w:val="decimal"/>
      <w:lvlText w:val="%1"/>
      <w:lvlJc w:val="left"/>
      <w:pPr>
        <w:tabs>
          <w:tab w:val="num" w:pos="1211"/>
        </w:tabs>
        <w:ind w:left="1211" w:hanging="360"/>
      </w:pPr>
      <w:rPr>
        <w:rFonts w:hint="default"/>
      </w:rPr>
    </w:lvl>
  </w:abstractNum>
  <w:abstractNum w:abstractNumId="724">
    <w:nsid w:val="7E8D361C"/>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25">
    <w:nsid w:val="7E987029"/>
    <w:multiLevelType w:val="singleLevel"/>
    <w:tmpl w:val="3BEEAB94"/>
    <w:lvl w:ilvl="0">
      <w:start w:val="2"/>
      <w:numFmt w:val="decimal"/>
      <w:lvlText w:val="%1"/>
      <w:lvlJc w:val="left"/>
      <w:pPr>
        <w:tabs>
          <w:tab w:val="num" w:pos="1211"/>
        </w:tabs>
        <w:ind w:left="1211" w:hanging="360"/>
      </w:pPr>
      <w:rPr>
        <w:rFonts w:hint="default"/>
      </w:rPr>
    </w:lvl>
  </w:abstractNum>
  <w:abstractNum w:abstractNumId="726">
    <w:nsid w:val="7EB54587"/>
    <w:multiLevelType w:val="singleLevel"/>
    <w:tmpl w:val="2436877E"/>
    <w:lvl w:ilvl="0">
      <w:start w:val="1"/>
      <w:numFmt w:val="decimal"/>
      <w:lvlText w:val="%1- "/>
      <w:legacy w:legacy="1" w:legacySpace="0" w:legacyIndent="283"/>
      <w:lvlJc w:val="left"/>
      <w:pPr>
        <w:ind w:left="1701" w:hanging="283"/>
      </w:pPr>
      <w:rPr>
        <w:rFonts w:ascii="Arial" w:hAnsi="Arial" w:hint="default"/>
        <w:b w:val="0"/>
        <w:i w:val="0"/>
        <w:sz w:val="24"/>
      </w:rPr>
    </w:lvl>
  </w:abstractNum>
  <w:abstractNum w:abstractNumId="727">
    <w:nsid w:val="7EC068C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28">
    <w:nsid w:val="7ECF2A70"/>
    <w:multiLevelType w:val="singleLevel"/>
    <w:tmpl w:val="118A400E"/>
    <w:lvl w:ilvl="0">
      <w:numFmt w:val="bullet"/>
      <w:lvlText w:val="-"/>
      <w:lvlJc w:val="left"/>
      <w:pPr>
        <w:tabs>
          <w:tab w:val="num" w:pos="4755"/>
        </w:tabs>
        <w:ind w:left="4755" w:hanging="360"/>
      </w:pPr>
      <w:rPr>
        <w:b/>
        <w:i w:val="0"/>
      </w:rPr>
    </w:lvl>
  </w:abstractNum>
  <w:abstractNum w:abstractNumId="729">
    <w:nsid w:val="7EEE55E5"/>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730">
    <w:nsid w:val="7F2C07E1"/>
    <w:multiLevelType w:val="singleLevel"/>
    <w:tmpl w:val="3FBA1CCC"/>
    <w:lvl w:ilvl="0">
      <w:start w:val="1"/>
      <w:numFmt w:val="bullet"/>
      <w:lvlText w:val=""/>
      <w:lvlJc w:val="left"/>
      <w:pPr>
        <w:tabs>
          <w:tab w:val="num" w:pos="1512"/>
        </w:tabs>
        <w:ind w:left="1435" w:hanging="283"/>
      </w:pPr>
      <w:rPr>
        <w:rFonts w:ascii="Symbol" w:hAnsi="Symbol" w:hint="default"/>
        <w:sz w:val="20"/>
      </w:rPr>
    </w:lvl>
  </w:abstractNum>
  <w:abstractNum w:abstractNumId="731">
    <w:nsid w:val="7F425480"/>
    <w:multiLevelType w:val="singleLevel"/>
    <w:tmpl w:val="AA5CF7B0"/>
    <w:lvl w:ilvl="0">
      <w:start w:val="1"/>
      <w:numFmt w:val="bullet"/>
      <w:lvlText w:val=""/>
      <w:lvlJc w:val="left"/>
      <w:pPr>
        <w:tabs>
          <w:tab w:val="num" w:pos="360"/>
        </w:tabs>
        <w:ind w:left="360" w:hanging="360"/>
      </w:pPr>
      <w:rPr>
        <w:rFonts w:ascii="Wingdings" w:hAnsi="Wingdings" w:hint="default"/>
      </w:rPr>
    </w:lvl>
  </w:abstractNum>
  <w:abstractNum w:abstractNumId="732">
    <w:nsid w:val="7F9E2BF9"/>
    <w:multiLevelType w:val="singleLevel"/>
    <w:tmpl w:val="E7DECB5E"/>
    <w:lvl w:ilvl="0">
      <w:start w:val="1"/>
      <w:numFmt w:val="bullet"/>
      <w:lvlText w:val=""/>
      <w:lvlJc w:val="left"/>
      <w:pPr>
        <w:tabs>
          <w:tab w:val="num" w:pos="360"/>
        </w:tabs>
        <w:ind w:left="340" w:hanging="340"/>
      </w:pPr>
      <w:rPr>
        <w:rFonts w:ascii="Symbol" w:hAnsi="Symbol" w:hint="default"/>
      </w:rPr>
    </w:lvl>
  </w:abstractNum>
  <w:abstractNum w:abstractNumId="733">
    <w:nsid w:val="7FC327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734">
    <w:nsid w:val="7FD42C2E"/>
    <w:multiLevelType w:val="singleLevel"/>
    <w:tmpl w:val="111A7748"/>
    <w:lvl w:ilvl="0">
      <w:start w:val="1"/>
      <w:numFmt w:val="bullet"/>
      <w:lvlText w:val=""/>
      <w:lvlJc w:val="left"/>
      <w:pPr>
        <w:tabs>
          <w:tab w:val="num" w:pos="360"/>
        </w:tabs>
        <w:ind w:left="360" w:hanging="360"/>
      </w:pPr>
      <w:rPr>
        <w:rFonts w:ascii="Wingdings" w:hAnsi="Wingdings" w:hint="default"/>
      </w:rPr>
    </w:lvl>
  </w:abstractNum>
  <w:abstractNum w:abstractNumId="735">
    <w:nsid w:val="7FDD12DF"/>
    <w:multiLevelType w:val="singleLevel"/>
    <w:tmpl w:val="04160005"/>
    <w:lvl w:ilvl="0">
      <w:start w:val="1"/>
      <w:numFmt w:val="bullet"/>
      <w:lvlText w:val=""/>
      <w:lvlJc w:val="left"/>
      <w:pPr>
        <w:tabs>
          <w:tab w:val="num" w:pos="360"/>
        </w:tabs>
        <w:ind w:left="360" w:hanging="360"/>
      </w:pPr>
      <w:rPr>
        <w:rFonts w:ascii="Wingdings" w:hAnsi="Wingdings" w:hint="default"/>
      </w:rPr>
    </w:lvl>
  </w:abstractNum>
  <w:num w:numId="1">
    <w:abstractNumId w:val="287"/>
  </w:num>
  <w:num w:numId="2">
    <w:abstractNumId w:val="287"/>
  </w:num>
  <w:num w:numId="3">
    <w:abstractNumId w:val="9"/>
  </w:num>
  <w:num w:numId="4">
    <w:abstractNumId w:val="122"/>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24"/>
  </w:num>
  <w:num w:numId="15">
    <w:abstractNumId w:val="689"/>
  </w:num>
  <w:num w:numId="16">
    <w:abstractNumId w:val="690"/>
  </w:num>
  <w:num w:numId="17">
    <w:abstractNumId w:val="646"/>
  </w:num>
  <w:num w:numId="18">
    <w:abstractNumId w:val="428"/>
  </w:num>
  <w:num w:numId="19">
    <w:abstractNumId w:val="485"/>
  </w:num>
  <w:num w:numId="20">
    <w:abstractNumId w:val="438"/>
  </w:num>
  <w:num w:numId="21">
    <w:abstractNumId w:val="187"/>
  </w:num>
  <w:num w:numId="22">
    <w:abstractNumId w:val="524"/>
  </w:num>
  <w:num w:numId="23">
    <w:abstractNumId w:val="386"/>
  </w:num>
  <w:num w:numId="24">
    <w:abstractNumId w:val="663"/>
  </w:num>
  <w:num w:numId="25">
    <w:abstractNumId w:val="260"/>
  </w:num>
  <w:num w:numId="26">
    <w:abstractNumId w:val="166"/>
  </w:num>
  <w:num w:numId="27">
    <w:abstractNumId w:val="374"/>
  </w:num>
  <w:num w:numId="28">
    <w:abstractNumId w:val="695"/>
  </w:num>
  <w:num w:numId="29">
    <w:abstractNumId w:val="684"/>
  </w:num>
  <w:num w:numId="30">
    <w:abstractNumId w:val="598"/>
  </w:num>
  <w:num w:numId="31">
    <w:abstractNumId w:val="80"/>
  </w:num>
  <w:num w:numId="32">
    <w:abstractNumId w:val="10"/>
    <w:lvlOverride w:ilvl="0">
      <w:lvl w:ilvl="0">
        <w:start w:val="1"/>
        <w:numFmt w:val="bullet"/>
        <w:lvlText w:val=""/>
        <w:legacy w:legacy="1" w:legacySpace="0" w:legacyIndent="283"/>
        <w:lvlJc w:val="left"/>
        <w:pPr>
          <w:ind w:left="283" w:hanging="283"/>
        </w:pPr>
        <w:rPr>
          <w:rFonts w:ascii="Symbol" w:hAnsi="Symbol" w:hint="default"/>
          <w:sz w:val="20"/>
        </w:rPr>
      </w:lvl>
    </w:lvlOverride>
  </w:num>
  <w:num w:numId="33">
    <w:abstractNumId w:val="10"/>
    <w:lvlOverride w:ilvl="0">
      <w:lvl w:ilvl="0">
        <w:start w:val="1"/>
        <w:numFmt w:val="bullet"/>
        <w:lvlText w:val=""/>
        <w:legacy w:legacy="1" w:legacySpace="0" w:legacyIndent="283"/>
        <w:lvlJc w:val="left"/>
        <w:pPr>
          <w:ind w:left="567" w:hanging="283"/>
        </w:pPr>
        <w:rPr>
          <w:rFonts w:ascii="Symbol" w:hAnsi="Symbol" w:hint="default"/>
          <w:sz w:val="16"/>
        </w:rPr>
      </w:lvl>
    </w:lvlOverride>
  </w:num>
  <w:num w:numId="34">
    <w:abstractNumId w:val="93"/>
  </w:num>
  <w:num w:numId="35">
    <w:abstractNumId w:val="696"/>
  </w:num>
  <w:num w:numId="36">
    <w:abstractNumId w:val="131"/>
  </w:num>
  <w:num w:numId="37">
    <w:abstractNumId w:val="25"/>
  </w:num>
  <w:num w:numId="38">
    <w:abstractNumId w:val="10"/>
    <w:lvlOverride w:ilvl="0">
      <w:lvl w:ilvl="0">
        <w:start w:val="1"/>
        <w:numFmt w:val="bullet"/>
        <w:lvlText w:val=""/>
        <w:legacy w:legacy="1" w:legacySpace="0" w:legacyIndent="284"/>
        <w:lvlJc w:val="left"/>
        <w:pPr>
          <w:ind w:left="284" w:hanging="284"/>
        </w:pPr>
        <w:rPr>
          <w:rFonts w:ascii="Symbol" w:hAnsi="Symbol" w:hint="default"/>
        </w:rPr>
      </w:lvl>
    </w:lvlOverride>
  </w:num>
  <w:num w:numId="39">
    <w:abstractNumId w:val="60"/>
  </w:num>
  <w:num w:numId="40">
    <w:abstractNumId w:val="339"/>
  </w:num>
  <w:num w:numId="41">
    <w:abstractNumId w:val="693"/>
  </w:num>
  <w:num w:numId="42">
    <w:abstractNumId w:val="341"/>
  </w:num>
  <w:num w:numId="43">
    <w:abstractNumId w:val="520"/>
  </w:num>
  <w:num w:numId="44">
    <w:abstractNumId w:val="195"/>
  </w:num>
  <w:num w:numId="45">
    <w:abstractNumId w:val="387"/>
  </w:num>
  <w:num w:numId="46">
    <w:abstractNumId w:val="207"/>
  </w:num>
  <w:num w:numId="47">
    <w:abstractNumId w:val="109"/>
  </w:num>
  <w:num w:numId="48">
    <w:abstractNumId w:val="587"/>
  </w:num>
  <w:num w:numId="49">
    <w:abstractNumId w:val="10"/>
    <w:lvlOverride w:ilvl="0">
      <w:lvl w:ilvl="0">
        <w:start w:val="1"/>
        <w:numFmt w:val="bullet"/>
        <w:lvlText w:val=""/>
        <w:legacy w:legacy="1" w:legacySpace="0" w:legacyIndent="283"/>
        <w:lvlJc w:val="left"/>
        <w:pPr>
          <w:ind w:left="2126" w:hanging="283"/>
        </w:pPr>
        <w:rPr>
          <w:rFonts w:ascii="Symbol" w:hAnsi="Symbol" w:hint="default"/>
        </w:rPr>
      </w:lvl>
    </w:lvlOverride>
  </w:num>
  <w:num w:numId="50">
    <w:abstractNumId w:val="321"/>
  </w:num>
  <w:num w:numId="51">
    <w:abstractNumId w:val="335"/>
  </w:num>
  <w:num w:numId="52">
    <w:abstractNumId w:val="582"/>
  </w:num>
  <w:num w:numId="53">
    <w:abstractNumId w:val="576"/>
  </w:num>
  <w:num w:numId="54">
    <w:abstractNumId w:val="95"/>
  </w:num>
  <w:num w:numId="55">
    <w:abstractNumId w:val="178"/>
  </w:num>
  <w:num w:numId="56">
    <w:abstractNumId w:val="647"/>
  </w:num>
  <w:num w:numId="57">
    <w:abstractNumId w:val="526"/>
  </w:num>
  <w:num w:numId="58">
    <w:abstractNumId w:val="362"/>
  </w:num>
  <w:num w:numId="59">
    <w:abstractNumId w:val="578"/>
  </w:num>
  <w:num w:numId="60">
    <w:abstractNumId w:val="254"/>
  </w:num>
  <w:num w:numId="61">
    <w:abstractNumId w:val="385"/>
  </w:num>
  <w:num w:numId="62">
    <w:abstractNumId w:val="664"/>
  </w:num>
  <w:num w:numId="63">
    <w:abstractNumId w:val="169"/>
  </w:num>
  <w:num w:numId="64">
    <w:abstractNumId w:val="219"/>
  </w:num>
  <w:num w:numId="65">
    <w:abstractNumId w:val="355"/>
  </w:num>
  <w:num w:numId="66">
    <w:abstractNumId w:val="42"/>
  </w:num>
  <w:num w:numId="67">
    <w:abstractNumId w:val="10"/>
    <w:lvlOverride w:ilvl="0">
      <w:lvl w:ilvl="0">
        <w:start w:val="1"/>
        <w:numFmt w:val="bullet"/>
        <w:lvlText w:val=""/>
        <w:legacy w:legacy="1" w:legacySpace="0" w:legacyIndent="283"/>
        <w:lvlJc w:val="left"/>
        <w:pPr>
          <w:ind w:left="1701" w:hanging="283"/>
        </w:pPr>
        <w:rPr>
          <w:rFonts w:ascii="Symbol" w:hAnsi="Symbol" w:hint="default"/>
        </w:rPr>
      </w:lvl>
    </w:lvlOverride>
  </w:num>
  <w:num w:numId="68">
    <w:abstractNumId w:val="10"/>
    <w:lvlOverride w:ilvl="0">
      <w:lvl w:ilvl="0">
        <w:start w:val="1"/>
        <w:numFmt w:val="bullet"/>
        <w:lvlText w:val=""/>
        <w:legacy w:legacy="1" w:legacySpace="0" w:legacyIndent="-1418"/>
        <w:lvlJc w:val="left"/>
        <w:pPr>
          <w:ind w:firstLine="1418"/>
        </w:pPr>
        <w:rPr>
          <w:rFonts w:ascii="Symbol" w:hAnsi="Symbol" w:hint="default"/>
        </w:rPr>
      </w:lvl>
    </w:lvlOverride>
  </w:num>
  <w:num w:numId="69">
    <w:abstractNumId w:val="702"/>
  </w:num>
  <w:num w:numId="70">
    <w:abstractNumId w:val="10"/>
    <w:lvlOverride w:ilvl="0">
      <w:lvl w:ilvl="0">
        <w:start w:val="1"/>
        <w:numFmt w:val="bullet"/>
        <w:lvlText w:val=""/>
        <w:legacy w:legacy="1" w:legacySpace="0" w:legacyIndent="284"/>
        <w:lvlJc w:val="left"/>
        <w:pPr>
          <w:ind w:left="1418" w:hanging="284"/>
        </w:pPr>
        <w:rPr>
          <w:rFonts w:ascii="Symbol" w:hAnsi="Symbol" w:hint="default"/>
        </w:rPr>
      </w:lvl>
    </w:lvlOverride>
  </w:num>
  <w:num w:numId="71">
    <w:abstractNumId w:val="607"/>
  </w:num>
  <w:num w:numId="72">
    <w:abstractNumId w:val="32"/>
  </w:num>
  <w:num w:numId="73">
    <w:abstractNumId w:val="229"/>
  </w:num>
  <w:num w:numId="74">
    <w:abstractNumId w:val="134"/>
  </w:num>
  <w:num w:numId="75">
    <w:abstractNumId w:val="96"/>
  </w:num>
  <w:num w:numId="76">
    <w:abstractNumId w:val="470"/>
  </w:num>
  <w:num w:numId="77">
    <w:abstractNumId w:val="10"/>
    <w:lvlOverride w:ilvl="0">
      <w:lvl w:ilvl="0">
        <w:start w:val="1"/>
        <w:numFmt w:val="bullet"/>
        <w:lvlText w:val=""/>
        <w:legacy w:legacy="1" w:legacySpace="0" w:legacyIndent="-720"/>
        <w:lvlJc w:val="left"/>
        <w:pPr>
          <w:ind w:left="698" w:firstLine="720"/>
        </w:pPr>
        <w:rPr>
          <w:rFonts w:ascii="Symbol" w:hAnsi="Symbol" w:hint="default"/>
        </w:rPr>
      </w:lvl>
    </w:lvlOverride>
  </w:num>
  <w:num w:numId="78">
    <w:abstractNumId w:val="726"/>
  </w:num>
  <w:num w:numId="79">
    <w:abstractNumId w:val="238"/>
  </w:num>
  <w:num w:numId="80">
    <w:abstractNumId w:val="568"/>
  </w:num>
  <w:num w:numId="81">
    <w:abstractNumId w:val="334"/>
  </w:num>
  <w:num w:numId="82">
    <w:abstractNumId w:val="674"/>
  </w:num>
  <w:num w:numId="83">
    <w:abstractNumId w:val="288"/>
  </w:num>
  <w:num w:numId="84">
    <w:abstractNumId w:val="74"/>
  </w:num>
  <w:num w:numId="85">
    <w:abstractNumId w:val="637"/>
  </w:num>
  <w:num w:numId="86">
    <w:abstractNumId w:val="708"/>
  </w:num>
  <w:num w:numId="87">
    <w:abstractNumId w:val="604"/>
  </w:num>
  <w:num w:numId="88">
    <w:abstractNumId w:val="499"/>
  </w:num>
  <w:num w:numId="89">
    <w:abstractNumId w:val="359"/>
  </w:num>
  <w:num w:numId="90">
    <w:abstractNumId w:val="495"/>
  </w:num>
  <w:num w:numId="91">
    <w:abstractNumId w:val="518"/>
  </w:num>
  <w:num w:numId="92">
    <w:abstractNumId w:val="170"/>
  </w:num>
  <w:num w:numId="93">
    <w:abstractNumId w:val="159"/>
  </w:num>
  <w:num w:numId="94">
    <w:abstractNumId w:val="571"/>
  </w:num>
  <w:num w:numId="95">
    <w:abstractNumId w:val="574"/>
  </w:num>
  <w:num w:numId="96">
    <w:abstractNumId w:val="94"/>
  </w:num>
  <w:num w:numId="97">
    <w:abstractNumId w:val="441"/>
  </w:num>
  <w:num w:numId="98">
    <w:abstractNumId w:val="388"/>
  </w:num>
  <w:num w:numId="99">
    <w:abstractNumId w:val="106"/>
  </w:num>
  <w:num w:numId="100">
    <w:abstractNumId w:val="649"/>
  </w:num>
  <w:num w:numId="101">
    <w:abstractNumId w:val="477"/>
  </w:num>
  <w:num w:numId="102">
    <w:abstractNumId w:val="561"/>
  </w:num>
  <w:num w:numId="103">
    <w:abstractNumId w:val="423"/>
  </w:num>
  <w:num w:numId="104">
    <w:abstractNumId w:val="392"/>
  </w:num>
  <w:num w:numId="105">
    <w:abstractNumId w:val="381"/>
  </w:num>
  <w:num w:numId="106">
    <w:abstractNumId w:val="614"/>
  </w:num>
  <w:num w:numId="107">
    <w:abstractNumId w:val="368"/>
  </w:num>
  <w:num w:numId="108">
    <w:abstractNumId w:val="623"/>
  </w:num>
  <w:num w:numId="109">
    <w:abstractNumId w:val="200"/>
  </w:num>
  <w:num w:numId="110">
    <w:abstractNumId w:val="712"/>
  </w:num>
  <w:num w:numId="111">
    <w:abstractNumId w:val="66"/>
  </w:num>
  <w:num w:numId="112">
    <w:abstractNumId w:val="373"/>
  </w:num>
  <w:num w:numId="113">
    <w:abstractNumId w:val="143"/>
  </w:num>
  <w:num w:numId="114">
    <w:abstractNumId w:val="363"/>
  </w:num>
  <w:num w:numId="115">
    <w:abstractNumId w:val="454"/>
  </w:num>
  <w:num w:numId="116">
    <w:abstractNumId w:val="483"/>
  </w:num>
  <w:num w:numId="117">
    <w:abstractNumId w:val="551"/>
  </w:num>
  <w:num w:numId="118">
    <w:abstractNumId w:val="450"/>
  </w:num>
  <w:num w:numId="119">
    <w:abstractNumId w:val="197"/>
  </w:num>
  <w:num w:numId="120">
    <w:abstractNumId w:val="730"/>
  </w:num>
  <w:num w:numId="121">
    <w:abstractNumId w:val="37"/>
  </w:num>
  <w:num w:numId="122">
    <w:abstractNumId w:val="657"/>
  </w:num>
  <w:num w:numId="123">
    <w:abstractNumId w:val="116"/>
  </w:num>
  <w:num w:numId="124">
    <w:abstractNumId w:val="10"/>
    <w:lvlOverride w:ilvl="0">
      <w:lvl w:ilvl="0">
        <w:start w:val="1"/>
        <w:numFmt w:val="bullet"/>
        <w:lvlText w:val=""/>
        <w:legacy w:legacy="1" w:legacySpace="0" w:legacyIndent="1512"/>
        <w:lvlJc w:val="left"/>
        <w:pPr>
          <w:ind w:left="2664" w:hanging="1512"/>
        </w:pPr>
        <w:rPr>
          <w:rFonts w:ascii="Symbol" w:hAnsi="Symbol" w:hint="default"/>
          <w:sz w:val="20"/>
        </w:rPr>
      </w:lvl>
    </w:lvlOverride>
  </w:num>
  <w:num w:numId="125">
    <w:abstractNumId w:val="622"/>
  </w:num>
  <w:num w:numId="126">
    <w:abstractNumId w:val="79"/>
  </w:num>
  <w:num w:numId="127">
    <w:abstractNumId w:val="70"/>
  </w:num>
  <w:num w:numId="128">
    <w:abstractNumId w:val="291"/>
  </w:num>
  <w:num w:numId="129">
    <w:abstractNumId w:val="271"/>
  </w:num>
  <w:num w:numId="130">
    <w:abstractNumId w:val="691"/>
  </w:num>
  <w:num w:numId="131">
    <w:abstractNumId w:val="572"/>
  </w:num>
  <w:num w:numId="132">
    <w:abstractNumId w:val="91"/>
  </w:num>
  <w:num w:numId="133">
    <w:abstractNumId w:val="156"/>
  </w:num>
  <w:num w:numId="134">
    <w:abstractNumId w:val="10"/>
    <w:lvlOverride w:ilvl="0">
      <w:lvl w:ilvl="0">
        <w:start w:val="1"/>
        <w:numFmt w:val="bullet"/>
        <w:lvlText w:val=""/>
        <w:legacy w:legacy="1" w:legacySpace="0" w:legacyIndent="-720"/>
        <w:lvlJc w:val="left"/>
        <w:rPr>
          <w:rFonts w:ascii="Symbol" w:hAnsi="Symbol" w:hint="default"/>
        </w:rPr>
      </w:lvl>
    </w:lvlOverride>
  </w:num>
  <w:num w:numId="135">
    <w:abstractNumId w:val="517"/>
  </w:num>
  <w:num w:numId="136">
    <w:abstractNumId w:val="721"/>
  </w:num>
  <w:num w:numId="137">
    <w:abstractNumId w:val="440"/>
  </w:num>
  <w:num w:numId="138">
    <w:abstractNumId w:val="342"/>
  </w:num>
  <w:num w:numId="139">
    <w:abstractNumId w:val="421"/>
  </w:num>
  <w:num w:numId="140">
    <w:abstractNumId w:val="494"/>
  </w:num>
  <w:num w:numId="141">
    <w:abstractNumId w:val="332"/>
  </w:num>
  <w:num w:numId="142">
    <w:abstractNumId w:val="167"/>
  </w:num>
  <w:num w:numId="143">
    <w:abstractNumId w:val="424"/>
  </w:num>
  <w:num w:numId="144">
    <w:abstractNumId w:val="462"/>
  </w:num>
  <w:num w:numId="145">
    <w:abstractNumId w:val="84"/>
  </w:num>
  <w:num w:numId="146">
    <w:abstractNumId w:val="208"/>
  </w:num>
  <w:num w:numId="147">
    <w:abstractNumId w:val="87"/>
  </w:num>
  <w:num w:numId="148">
    <w:abstractNumId w:val="72"/>
  </w:num>
  <w:num w:numId="149">
    <w:abstractNumId w:val="259"/>
  </w:num>
  <w:num w:numId="150">
    <w:abstractNumId w:val="560"/>
  </w:num>
  <w:num w:numId="151">
    <w:abstractNumId w:val="402"/>
  </w:num>
  <w:num w:numId="152">
    <w:abstractNumId w:val="514"/>
  </w:num>
  <w:num w:numId="153">
    <w:abstractNumId w:val="38"/>
  </w:num>
  <w:num w:numId="154">
    <w:abstractNumId w:val="340"/>
  </w:num>
  <w:num w:numId="155">
    <w:abstractNumId w:val="597"/>
  </w:num>
  <w:num w:numId="156">
    <w:abstractNumId w:val="140"/>
  </w:num>
  <w:num w:numId="157">
    <w:abstractNumId w:val="244"/>
  </w:num>
  <w:num w:numId="158">
    <w:abstractNumId w:val="63"/>
  </w:num>
  <w:num w:numId="159">
    <w:abstractNumId w:val="285"/>
  </w:num>
  <w:num w:numId="160">
    <w:abstractNumId w:val="144"/>
  </w:num>
  <w:num w:numId="161">
    <w:abstractNumId w:val="542"/>
  </w:num>
  <w:num w:numId="162">
    <w:abstractNumId w:val="618"/>
  </w:num>
  <w:num w:numId="163">
    <w:abstractNumId w:val="426"/>
  </w:num>
  <w:num w:numId="164">
    <w:abstractNumId w:val="699"/>
  </w:num>
  <w:num w:numId="165">
    <w:abstractNumId w:val="50"/>
  </w:num>
  <w:num w:numId="166">
    <w:abstractNumId w:val="275"/>
  </w:num>
  <w:num w:numId="167">
    <w:abstractNumId w:val="510"/>
  </w:num>
  <w:num w:numId="168">
    <w:abstractNumId w:val="64"/>
  </w:num>
  <w:num w:numId="169">
    <w:abstractNumId w:val="525"/>
  </w:num>
  <w:num w:numId="170">
    <w:abstractNumId w:val="617"/>
  </w:num>
  <w:num w:numId="171">
    <w:abstractNumId w:val="550"/>
  </w:num>
  <w:num w:numId="172">
    <w:abstractNumId w:val="23"/>
  </w:num>
  <w:num w:numId="173">
    <w:abstractNumId w:val="89"/>
  </w:num>
  <w:num w:numId="174">
    <w:abstractNumId w:val="345"/>
  </w:num>
  <w:num w:numId="175">
    <w:abstractNumId w:val="360"/>
  </w:num>
  <w:num w:numId="176">
    <w:abstractNumId w:val="544"/>
  </w:num>
  <w:num w:numId="177">
    <w:abstractNumId w:val="71"/>
  </w:num>
  <w:num w:numId="178">
    <w:abstractNumId w:val="670"/>
  </w:num>
  <w:num w:numId="179">
    <w:abstractNumId w:val="308"/>
  </w:num>
  <w:num w:numId="180">
    <w:abstractNumId w:val="121"/>
  </w:num>
  <w:num w:numId="181">
    <w:abstractNumId w:val="429"/>
  </w:num>
  <w:num w:numId="182">
    <w:abstractNumId w:val="367"/>
  </w:num>
  <w:num w:numId="183">
    <w:abstractNumId w:val="176"/>
  </w:num>
  <w:num w:numId="184">
    <w:abstractNumId w:val="605"/>
  </w:num>
  <w:num w:numId="185">
    <w:abstractNumId w:val="231"/>
  </w:num>
  <w:num w:numId="186">
    <w:abstractNumId w:val="183"/>
  </w:num>
  <w:num w:numId="187">
    <w:abstractNumId w:val="224"/>
  </w:num>
  <w:num w:numId="188">
    <w:abstractNumId w:val="372"/>
  </w:num>
  <w:num w:numId="189">
    <w:abstractNumId w:val="589"/>
  </w:num>
  <w:num w:numId="190">
    <w:abstractNumId w:val="295"/>
  </w:num>
  <w:num w:numId="191">
    <w:abstractNumId w:val="330"/>
  </w:num>
  <w:num w:numId="192">
    <w:abstractNumId w:val="123"/>
  </w:num>
  <w:num w:numId="193">
    <w:abstractNumId w:val="10"/>
    <w:lvlOverride w:ilvl="0">
      <w:lvl w:ilvl="0">
        <w:start w:val="5"/>
        <w:numFmt w:val="bullet"/>
        <w:lvlText w:val=""/>
        <w:legacy w:legacy="1" w:legacySpace="0" w:legacyIndent="1354"/>
        <w:lvlJc w:val="left"/>
        <w:pPr>
          <w:ind w:left="2708" w:hanging="1354"/>
        </w:pPr>
        <w:rPr>
          <w:b/>
        </w:rPr>
      </w:lvl>
    </w:lvlOverride>
  </w:num>
  <w:num w:numId="194">
    <w:abstractNumId w:val="10"/>
    <w:lvlOverride w:ilvl="0">
      <w:lvl w:ilvl="0">
        <w:start w:val="1"/>
        <w:numFmt w:val="bullet"/>
        <w:lvlText w:val=""/>
        <w:legacy w:legacy="1" w:legacySpace="0" w:legacyIndent="1512"/>
        <w:lvlJc w:val="left"/>
        <w:pPr>
          <w:ind w:left="2505" w:hanging="1512"/>
        </w:pPr>
        <w:rPr>
          <w:rFonts w:ascii="Symbol" w:hAnsi="Symbol" w:hint="default"/>
          <w:sz w:val="16"/>
        </w:rPr>
      </w:lvl>
    </w:lvlOverride>
  </w:num>
  <w:num w:numId="195">
    <w:abstractNumId w:val="10"/>
    <w:lvlOverride w:ilvl="0">
      <w:lvl w:ilvl="0">
        <w:start w:val="1"/>
        <w:numFmt w:val="bullet"/>
        <w:lvlText w:val=""/>
        <w:legacy w:legacy="1" w:legacySpace="0" w:legacyIndent="283"/>
        <w:lvlJc w:val="left"/>
        <w:pPr>
          <w:ind w:left="426" w:hanging="283"/>
        </w:pPr>
        <w:rPr>
          <w:rFonts w:ascii="Symbol" w:hAnsi="Symbol" w:hint="default"/>
        </w:rPr>
      </w:lvl>
    </w:lvlOverride>
  </w:num>
  <w:num w:numId="196">
    <w:abstractNumId w:val="442"/>
  </w:num>
  <w:num w:numId="197">
    <w:abstractNumId w:val="265"/>
  </w:num>
  <w:num w:numId="198">
    <w:abstractNumId w:val="175"/>
  </w:num>
  <w:num w:numId="199">
    <w:abstractNumId w:val="108"/>
  </w:num>
  <w:num w:numId="200">
    <w:abstractNumId w:val="523"/>
  </w:num>
  <w:num w:numId="201">
    <w:abstractNumId w:val="530"/>
  </w:num>
  <w:num w:numId="202">
    <w:abstractNumId w:val="10"/>
    <w:lvlOverride w:ilvl="0">
      <w:lvl w:ilvl="0">
        <w:start w:val="1"/>
        <w:numFmt w:val="bullet"/>
        <w:lvlText w:val=""/>
        <w:legacy w:legacy="1" w:legacySpace="0" w:legacyIndent="283"/>
        <w:lvlJc w:val="left"/>
        <w:pPr>
          <w:ind w:left="284" w:hanging="283"/>
        </w:pPr>
        <w:rPr>
          <w:rFonts w:ascii="Symbol" w:hAnsi="Symbol" w:hint="default"/>
        </w:rPr>
      </w:lvl>
    </w:lvlOverride>
  </w:num>
  <w:num w:numId="203">
    <w:abstractNumId w:val="411"/>
  </w:num>
  <w:num w:numId="204">
    <w:abstractNumId w:val="172"/>
  </w:num>
  <w:num w:numId="205">
    <w:abstractNumId w:val="538"/>
  </w:num>
  <w:num w:numId="206">
    <w:abstractNumId w:val="352"/>
  </w:num>
  <w:num w:numId="207">
    <w:abstractNumId w:val="473"/>
  </w:num>
  <w:num w:numId="208">
    <w:abstractNumId w:val="269"/>
  </w:num>
  <w:num w:numId="209">
    <w:abstractNumId w:val="675"/>
  </w:num>
  <w:num w:numId="210">
    <w:abstractNumId w:val="556"/>
  </w:num>
  <w:num w:numId="211">
    <w:abstractNumId w:val="636"/>
  </w:num>
  <w:num w:numId="212">
    <w:abstractNumId w:val="45"/>
  </w:num>
  <w:num w:numId="213">
    <w:abstractNumId w:val="519"/>
  </w:num>
  <w:num w:numId="214">
    <w:abstractNumId w:val="232"/>
  </w:num>
  <w:num w:numId="215">
    <w:abstractNumId w:val="452"/>
  </w:num>
  <w:num w:numId="216">
    <w:abstractNumId w:val="277"/>
  </w:num>
  <w:num w:numId="217">
    <w:abstractNumId w:val="683"/>
  </w:num>
  <w:num w:numId="218">
    <w:abstractNumId w:val="629"/>
  </w:num>
  <w:num w:numId="219">
    <w:abstractNumId w:val="268"/>
  </w:num>
  <w:num w:numId="220">
    <w:abstractNumId w:val="512"/>
  </w:num>
  <w:num w:numId="221">
    <w:abstractNumId w:val="117"/>
  </w:num>
  <w:num w:numId="222">
    <w:abstractNumId w:val="563"/>
  </w:num>
  <w:num w:numId="223">
    <w:abstractNumId w:val="274"/>
  </w:num>
  <w:num w:numId="224">
    <w:abstractNumId w:val="317"/>
  </w:num>
  <w:num w:numId="225">
    <w:abstractNumId w:val="468"/>
  </w:num>
  <w:num w:numId="226">
    <w:abstractNumId w:val="54"/>
  </w:num>
  <w:num w:numId="227">
    <w:abstractNumId w:val="419"/>
  </w:num>
  <w:num w:numId="228">
    <w:abstractNumId w:val="508"/>
  </w:num>
  <w:num w:numId="229">
    <w:abstractNumId w:val="665"/>
  </w:num>
  <w:num w:numId="230">
    <w:abstractNumId w:val="149"/>
  </w:num>
  <w:num w:numId="231">
    <w:abstractNumId w:val="248"/>
  </w:num>
  <w:num w:numId="232">
    <w:abstractNumId w:val="626"/>
  </w:num>
  <w:num w:numId="233">
    <w:abstractNumId w:val="666"/>
  </w:num>
  <w:num w:numId="234">
    <w:abstractNumId w:val="600"/>
  </w:num>
  <w:num w:numId="235">
    <w:abstractNumId w:val="189"/>
  </w:num>
  <w:num w:numId="236">
    <w:abstractNumId w:val="218"/>
  </w:num>
  <w:num w:numId="237">
    <w:abstractNumId w:val="44"/>
  </w:num>
  <w:num w:numId="238">
    <w:abstractNumId w:val="466"/>
  </w:num>
  <w:num w:numId="239">
    <w:abstractNumId w:val="586"/>
  </w:num>
  <w:num w:numId="240">
    <w:abstractNumId w:val="709"/>
  </w:num>
  <w:num w:numId="241">
    <w:abstractNumId w:val="417"/>
  </w:num>
  <w:num w:numId="242">
    <w:abstractNumId w:val="69"/>
  </w:num>
  <w:num w:numId="243">
    <w:abstractNumId w:val="425"/>
  </w:num>
  <w:num w:numId="244">
    <w:abstractNumId w:val="540"/>
  </w:num>
  <w:num w:numId="245">
    <w:abstractNumId w:val="145"/>
  </w:num>
  <w:num w:numId="246">
    <w:abstractNumId w:val="19"/>
  </w:num>
  <w:num w:numId="247">
    <w:abstractNumId w:val="590"/>
  </w:num>
  <w:num w:numId="248">
    <w:abstractNumId w:val="503"/>
  </w:num>
  <w:num w:numId="249">
    <w:abstractNumId w:val="29"/>
  </w:num>
  <w:num w:numId="250">
    <w:abstractNumId w:val="603"/>
  </w:num>
  <w:num w:numId="251">
    <w:abstractNumId w:val="580"/>
  </w:num>
  <w:num w:numId="252">
    <w:abstractNumId w:val="382"/>
  </w:num>
  <w:num w:numId="253">
    <w:abstractNumId w:val="181"/>
  </w:num>
  <w:num w:numId="254">
    <w:abstractNumId w:val="126"/>
  </w:num>
  <w:num w:numId="255">
    <w:abstractNumId w:val="333"/>
  </w:num>
  <w:num w:numId="256">
    <w:abstractNumId w:val="728"/>
  </w:num>
  <w:num w:numId="257">
    <w:abstractNumId w:val="427"/>
  </w:num>
  <w:num w:numId="258">
    <w:abstractNumId w:val="464"/>
  </w:num>
  <w:num w:numId="259">
    <w:abstractNumId w:val="515"/>
  </w:num>
  <w:num w:numId="260">
    <w:abstractNumId w:val="206"/>
  </w:num>
  <w:num w:numId="261">
    <w:abstractNumId w:val="179"/>
  </w:num>
  <w:num w:numId="262">
    <w:abstractNumId w:val="314"/>
  </w:num>
  <w:num w:numId="263">
    <w:abstractNumId w:val="612"/>
  </w:num>
  <w:num w:numId="264">
    <w:abstractNumId w:val="337"/>
  </w:num>
  <w:num w:numId="265">
    <w:abstractNumId w:val="43"/>
  </w:num>
  <w:num w:numId="266">
    <w:abstractNumId w:val="246"/>
  </w:num>
  <w:num w:numId="267">
    <w:abstractNumId w:val="107"/>
  </w:num>
  <w:num w:numId="268">
    <w:abstractNumId w:val="214"/>
  </w:num>
  <w:num w:numId="269">
    <w:abstractNumId w:val="682"/>
  </w:num>
  <w:num w:numId="270">
    <w:abstractNumId w:val="422"/>
  </w:num>
  <w:num w:numId="271">
    <w:abstractNumId w:val="319"/>
  </w:num>
  <w:num w:numId="272">
    <w:abstractNumId w:val="327"/>
  </w:num>
  <w:num w:numId="273">
    <w:abstractNumId w:val="325"/>
  </w:num>
  <w:num w:numId="274">
    <w:abstractNumId w:val="384"/>
  </w:num>
  <w:num w:numId="275">
    <w:abstractNumId w:val="630"/>
  </w:num>
  <w:num w:numId="276">
    <w:abstractNumId w:val="75"/>
  </w:num>
  <w:num w:numId="277">
    <w:abstractNumId w:val="705"/>
  </w:num>
  <w:num w:numId="278">
    <w:abstractNumId w:val="635"/>
  </w:num>
  <w:num w:numId="279">
    <w:abstractNumId w:val="396"/>
  </w:num>
  <w:num w:numId="280">
    <w:abstractNumId w:val="502"/>
  </w:num>
  <w:num w:numId="281">
    <w:abstractNumId w:val="481"/>
  </w:num>
  <w:num w:numId="282">
    <w:abstractNumId w:val="213"/>
  </w:num>
  <w:num w:numId="283">
    <w:abstractNumId w:val="410"/>
  </w:num>
  <w:num w:numId="284">
    <w:abstractNumId w:val="47"/>
  </w:num>
  <w:num w:numId="285">
    <w:abstractNumId w:val="297"/>
  </w:num>
  <w:num w:numId="286">
    <w:abstractNumId w:val="111"/>
  </w:num>
  <w:num w:numId="287">
    <w:abstractNumId w:val="718"/>
  </w:num>
  <w:num w:numId="288">
    <w:abstractNumId w:val="380"/>
  </w:num>
  <w:num w:numId="289">
    <w:abstractNumId w:val="725"/>
  </w:num>
  <w:num w:numId="290">
    <w:abstractNumId w:val="723"/>
  </w:num>
  <w:num w:numId="291">
    <w:abstractNumId w:val="276"/>
  </w:num>
  <w:num w:numId="292">
    <w:abstractNumId w:val="293"/>
  </w:num>
  <w:num w:numId="293">
    <w:abstractNumId w:val="343"/>
  </w:num>
  <w:num w:numId="294">
    <w:abstractNumId w:val="158"/>
  </w:num>
  <w:num w:numId="295">
    <w:abstractNumId w:val="581"/>
  </w:num>
  <w:num w:numId="296">
    <w:abstractNumId w:val="85"/>
  </w:num>
  <w:num w:numId="297">
    <w:abstractNumId w:val="711"/>
  </w:num>
  <w:num w:numId="298">
    <w:abstractNumId w:val="247"/>
  </w:num>
  <w:num w:numId="299">
    <w:abstractNumId w:val="433"/>
  </w:num>
  <w:num w:numId="300">
    <w:abstractNumId w:val="299"/>
  </w:num>
  <w:num w:numId="301">
    <w:abstractNumId w:val="164"/>
  </w:num>
  <w:num w:numId="302">
    <w:abstractNumId w:val="10"/>
    <w:lvlOverride w:ilvl="0">
      <w:lvl w:ilvl="0">
        <w:start w:val="1"/>
        <w:numFmt w:val="bullet"/>
        <w:lvlText w:val=""/>
        <w:legacy w:legacy="1" w:legacySpace="0" w:legacyIndent="397"/>
        <w:lvlJc w:val="left"/>
        <w:pPr>
          <w:ind w:left="397" w:hanging="397"/>
        </w:pPr>
        <w:rPr>
          <w:rFonts w:ascii="Monotype Sorts" w:hAnsi="Monotype Sorts" w:hint="default"/>
          <w:sz w:val="28"/>
        </w:rPr>
      </w:lvl>
    </w:lvlOverride>
  </w:num>
  <w:num w:numId="303">
    <w:abstractNumId w:val="716"/>
  </w:num>
  <w:num w:numId="304">
    <w:abstractNumId w:val="716"/>
    <w:lvlOverride w:ilvl="0">
      <w:lvl w:ilvl="0">
        <w:start w:val="1"/>
        <w:numFmt w:val="decimal"/>
        <w:lvlText w:val="%1."/>
        <w:legacy w:legacy="1" w:legacySpace="0" w:legacyIndent="283"/>
        <w:lvlJc w:val="left"/>
        <w:pPr>
          <w:ind w:left="283" w:hanging="283"/>
        </w:pPr>
      </w:lvl>
    </w:lvlOverride>
  </w:num>
  <w:num w:numId="305">
    <w:abstractNumId w:val="28"/>
  </w:num>
  <w:num w:numId="306">
    <w:abstractNumId w:val="28"/>
    <w:lvlOverride w:ilvl="0">
      <w:lvl w:ilvl="0">
        <w:start w:val="1"/>
        <w:numFmt w:val="decimal"/>
        <w:lvlText w:val="%1."/>
        <w:legacy w:legacy="1" w:legacySpace="0" w:legacyIndent="283"/>
        <w:lvlJc w:val="left"/>
        <w:pPr>
          <w:ind w:left="283" w:hanging="283"/>
        </w:pPr>
      </w:lvl>
    </w:lvlOverride>
  </w:num>
  <w:num w:numId="307">
    <w:abstractNumId w:val="722"/>
  </w:num>
  <w:num w:numId="308">
    <w:abstractNumId w:val="722"/>
    <w:lvlOverride w:ilvl="0">
      <w:lvl w:ilvl="0">
        <w:start w:val="5"/>
        <w:numFmt w:val="lowerLetter"/>
        <w:lvlText w:val="%1)"/>
        <w:legacy w:legacy="1" w:legacySpace="0" w:legacyIndent="283"/>
        <w:lvlJc w:val="left"/>
        <w:pPr>
          <w:ind w:left="283" w:hanging="283"/>
        </w:pPr>
      </w:lvl>
    </w:lvlOverride>
  </w:num>
  <w:num w:numId="309">
    <w:abstractNumId w:val="724"/>
  </w:num>
  <w:num w:numId="310">
    <w:abstractNumId w:val="245"/>
  </w:num>
  <w:num w:numId="311">
    <w:abstractNumId w:val="160"/>
  </w:num>
  <w:num w:numId="312">
    <w:abstractNumId w:val="173"/>
  </w:num>
  <w:num w:numId="313">
    <w:abstractNumId w:val="326"/>
  </w:num>
  <w:num w:numId="314">
    <w:abstractNumId w:val="270"/>
  </w:num>
  <w:num w:numId="315">
    <w:abstractNumId w:val="318"/>
  </w:num>
  <w:num w:numId="316">
    <w:abstractNumId w:val="609"/>
  </w:num>
  <w:num w:numId="317">
    <w:abstractNumId w:val="608"/>
  </w:num>
  <w:num w:numId="318">
    <w:abstractNumId w:val="394"/>
  </w:num>
  <w:num w:numId="319">
    <w:abstractNumId w:val="320"/>
  </w:num>
  <w:num w:numId="320">
    <w:abstractNumId w:val="358"/>
  </w:num>
  <w:num w:numId="321">
    <w:abstractNumId w:val="88"/>
  </w:num>
  <w:num w:numId="322">
    <w:abstractNumId w:val="701"/>
  </w:num>
  <w:num w:numId="323">
    <w:abstractNumId w:val="564"/>
  </w:num>
  <w:num w:numId="324">
    <w:abstractNumId w:val="250"/>
  </w:num>
  <w:num w:numId="325">
    <w:abstractNumId w:val="559"/>
  </w:num>
  <w:num w:numId="326">
    <w:abstractNumId w:val="444"/>
  </w:num>
  <w:num w:numId="327">
    <w:abstractNumId w:val="687"/>
  </w:num>
  <w:num w:numId="328">
    <w:abstractNumId w:val="204"/>
  </w:num>
  <w:num w:numId="329">
    <w:abstractNumId w:val="369"/>
  </w:num>
  <w:num w:numId="330">
    <w:abstractNumId w:val="659"/>
  </w:num>
  <w:num w:numId="331">
    <w:abstractNumId w:val="263"/>
  </w:num>
  <w:num w:numId="332">
    <w:abstractNumId w:val="162"/>
  </w:num>
  <w:num w:numId="333">
    <w:abstractNumId w:val="615"/>
  </w:num>
  <w:num w:numId="334">
    <w:abstractNumId w:val="619"/>
  </w:num>
  <w:num w:numId="335">
    <w:abstractNumId w:val="505"/>
  </w:num>
  <w:num w:numId="336">
    <w:abstractNumId w:val="49"/>
  </w:num>
  <w:num w:numId="337">
    <w:abstractNumId w:val="643"/>
  </w:num>
  <w:num w:numId="338">
    <w:abstractNumId w:val="642"/>
  </w:num>
  <w:num w:numId="339">
    <w:abstractNumId w:val="463"/>
  </w:num>
  <w:num w:numId="340">
    <w:abstractNumId w:val="546"/>
  </w:num>
  <w:num w:numId="341">
    <w:abstractNumId w:val="566"/>
  </w:num>
  <w:num w:numId="342">
    <w:abstractNumId w:val="549"/>
  </w:num>
  <w:num w:numId="343">
    <w:abstractNumId w:val="154"/>
  </w:num>
  <w:num w:numId="344">
    <w:abstractNumId w:val="306"/>
  </w:num>
  <w:num w:numId="345">
    <w:abstractNumId w:val="584"/>
  </w:num>
  <w:num w:numId="346">
    <w:abstractNumId w:val="315"/>
  </w:num>
  <w:num w:numId="347">
    <w:abstractNumId w:val="698"/>
  </w:num>
  <w:num w:numId="348">
    <w:abstractNumId w:val="255"/>
  </w:num>
  <w:num w:numId="349">
    <w:abstractNumId w:val="57"/>
  </w:num>
  <w:num w:numId="350">
    <w:abstractNumId w:val="283"/>
  </w:num>
  <w:num w:numId="351">
    <w:abstractNumId w:val="735"/>
  </w:num>
  <w:num w:numId="352">
    <w:abstractNumId w:val="301"/>
  </w:num>
  <w:num w:numId="353">
    <w:abstractNumId w:val="281"/>
  </w:num>
  <w:num w:numId="354">
    <w:abstractNumId w:val="651"/>
  </w:num>
  <w:num w:numId="355">
    <w:abstractNumId w:val="733"/>
  </w:num>
  <w:num w:numId="356">
    <w:abstractNumId w:val="409"/>
  </w:num>
  <w:num w:numId="357">
    <w:abstractNumId w:val="300"/>
  </w:num>
  <w:num w:numId="358">
    <w:abstractNumId w:val="469"/>
  </w:num>
  <w:num w:numId="359">
    <w:abstractNumId w:val="658"/>
  </w:num>
  <w:num w:numId="360">
    <w:abstractNumId w:val="579"/>
  </w:num>
  <w:num w:numId="361">
    <w:abstractNumId w:val="21"/>
  </w:num>
  <w:num w:numId="362">
    <w:abstractNumId w:val="507"/>
  </w:num>
  <w:num w:numId="363">
    <w:abstractNumId w:val="391"/>
  </w:num>
  <w:num w:numId="364">
    <w:abstractNumId w:val="569"/>
  </w:num>
  <w:num w:numId="365">
    <w:abstractNumId w:val="545"/>
  </w:num>
  <w:num w:numId="366">
    <w:abstractNumId w:val="640"/>
  </w:num>
  <w:num w:numId="367">
    <w:abstractNumId w:val="251"/>
  </w:num>
  <w:num w:numId="368">
    <w:abstractNumId w:val="230"/>
  </w:num>
  <w:num w:numId="369">
    <w:abstractNumId w:val="379"/>
  </w:num>
  <w:num w:numId="370">
    <w:abstractNumId w:val="533"/>
  </w:num>
  <w:num w:numId="371">
    <w:abstractNumId w:val="198"/>
  </w:num>
  <w:num w:numId="372">
    <w:abstractNumId w:val="527"/>
  </w:num>
  <w:num w:numId="373">
    <w:abstractNumId w:val="465"/>
  </w:num>
  <w:num w:numId="374">
    <w:abstractNumId w:val="434"/>
  </w:num>
  <w:num w:numId="375">
    <w:abstractNumId w:val="210"/>
  </w:num>
  <w:num w:numId="376">
    <w:abstractNumId w:val="613"/>
  </w:num>
  <w:num w:numId="377">
    <w:abstractNumId w:val="720"/>
  </w:num>
  <w:num w:numId="378">
    <w:abstractNumId w:val="199"/>
  </w:num>
  <w:num w:numId="379">
    <w:abstractNumId w:val="606"/>
  </w:num>
  <w:num w:numId="380">
    <w:abstractNumId w:val="522"/>
  </w:num>
  <w:num w:numId="381">
    <w:abstractNumId w:val="347"/>
  </w:num>
  <w:num w:numId="382">
    <w:abstractNumId w:val="688"/>
  </w:num>
  <w:num w:numId="383">
    <w:abstractNumId w:val="415"/>
  </w:num>
  <w:num w:numId="384">
    <w:abstractNumId w:val="457"/>
  </w:num>
  <w:num w:numId="385">
    <w:abstractNumId w:val="354"/>
  </w:num>
  <w:num w:numId="386">
    <w:abstractNumId w:val="625"/>
  </w:num>
  <w:num w:numId="387">
    <w:abstractNumId w:val="284"/>
  </w:num>
  <w:num w:numId="388">
    <w:abstractNumId w:val="536"/>
  </w:num>
  <w:num w:numId="389">
    <w:abstractNumId w:val="201"/>
  </w:num>
  <w:num w:numId="390">
    <w:abstractNumId w:val="136"/>
  </w:num>
  <w:num w:numId="391">
    <w:abstractNumId w:val="48"/>
  </w:num>
  <w:num w:numId="392">
    <w:abstractNumId w:val="188"/>
  </w:num>
  <w:num w:numId="393">
    <w:abstractNumId w:val="447"/>
  </w:num>
  <w:num w:numId="394">
    <w:abstractNumId w:val="139"/>
  </w:num>
  <w:num w:numId="395">
    <w:abstractNumId w:val="142"/>
  </w:num>
  <w:num w:numId="396">
    <w:abstractNumId w:val="98"/>
  </w:num>
  <w:num w:numId="397">
    <w:abstractNumId w:val="135"/>
  </w:num>
  <w:num w:numId="398">
    <w:abstractNumId w:val="593"/>
  </w:num>
  <w:num w:numId="399">
    <w:abstractNumId w:val="267"/>
  </w:num>
  <w:num w:numId="400">
    <w:abstractNumId w:val="641"/>
  </w:num>
  <w:num w:numId="401">
    <w:abstractNumId w:val="413"/>
  </w:num>
  <w:num w:numId="402">
    <w:abstractNumId w:val="397"/>
  </w:num>
  <w:num w:numId="403">
    <w:abstractNumId w:val="252"/>
  </w:num>
  <w:num w:numId="404">
    <w:abstractNumId w:val="656"/>
  </w:num>
  <w:num w:numId="405">
    <w:abstractNumId w:val="46"/>
  </w:num>
  <w:num w:numId="406">
    <w:abstractNumId w:val="638"/>
  </w:num>
  <w:num w:numId="407">
    <w:abstractNumId w:val="279"/>
  </w:num>
  <w:num w:numId="408">
    <w:abstractNumId w:val="177"/>
  </w:num>
  <w:num w:numId="409">
    <w:abstractNumId w:val="371"/>
  </w:num>
  <w:num w:numId="410">
    <w:abstractNumId w:val="364"/>
  </w:num>
  <w:num w:numId="411">
    <w:abstractNumId w:val="731"/>
  </w:num>
  <w:num w:numId="412">
    <w:abstractNumId w:val="707"/>
  </w:num>
  <w:num w:numId="413">
    <w:abstractNumId w:val="243"/>
  </w:num>
  <w:num w:numId="414">
    <w:abstractNumId w:val="294"/>
  </w:num>
  <w:num w:numId="415">
    <w:abstractNumId w:val="472"/>
  </w:num>
  <w:num w:numId="416">
    <w:abstractNumId w:val="486"/>
  </w:num>
  <w:num w:numId="417">
    <w:abstractNumId w:val="644"/>
  </w:num>
  <w:num w:numId="418">
    <w:abstractNumId w:val="10"/>
    <w:lvlOverride w:ilvl="0">
      <w:lvl w:ilvl="0">
        <w:start w:val="1"/>
        <w:numFmt w:val="bullet"/>
        <w:lvlText w:val=""/>
        <w:legacy w:legacy="1" w:legacySpace="0" w:legacyIndent="-1416"/>
        <w:lvlJc w:val="left"/>
        <w:pPr>
          <w:ind w:left="-1132" w:firstLine="1416"/>
        </w:pPr>
        <w:rPr>
          <w:rFonts w:ascii="Symbol" w:hAnsi="Symbol" w:hint="default"/>
        </w:rPr>
      </w:lvl>
    </w:lvlOverride>
  </w:num>
  <w:num w:numId="419">
    <w:abstractNumId w:val="436"/>
  </w:num>
  <w:num w:numId="420">
    <w:abstractNumId w:val="65"/>
  </w:num>
  <w:num w:numId="421">
    <w:abstractNumId w:val="624"/>
  </w:num>
  <w:num w:numId="422">
    <w:abstractNumId w:val="575"/>
  </w:num>
  <w:num w:numId="423">
    <w:abstractNumId w:val="599"/>
  </w:num>
  <w:num w:numId="424">
    <w:abstractNumId w:val="22"/>
  </w:num>
  <w:num w:numId="425">
    <w:abstractNumId w:val="59"/>
  </w:num>
  <w:num w:numId="426">
    <w:abstractNumId w:val="370"/>
  </w:num>
  <w:num w:numId="427">
    <w:abstractNumId w:val="653"/>
  </w:num>
  <w:num w:numId="428">
    <w:abstractNumId w:val="56"/>
  </w:num>
  <w:num w:numId="429">
    <w:abstractNumId w:val="193"/>
  </w:num>
  <w:num w:numId="430">
    <w:abstractNumId w:val="26"/>
  </w:num>
  <w:num w:numId="431">
    <w:abstractNumId w:val="115"/>
  </w:num>
  <w:num w:numId="432">
    <w:abstractNumId w:val="205"/>
  </w:num>
  <w:num w:numId="433">
    <w:abstractNumId w:val="221"/>
  </w:num>
  <w:num w:numId="434">
    <w:abstractNumId w:val="27"/>
  </w:num>
  <w:num w:numId="435">
    <w:abstractNumId w:val="68"/>
  </w:num>
  <w:num w:numId="436">
    <w:abstractNumId w:val="215"/>
  </w:num>
  <w:num w:numId="437">
    <w:abstractNumId w:val="430"/>
  </w:num>
  <w:num w:numId="438">
    <w:abstractNumId w:val="490"/>
  </w:num>
  <w:num w:numId="439">
    <w:abstractNumId w:val="302"/>
  </w:num>
  <w:num w:numId="440">
    <w:abstractNumId w:val="611"/>
  </w:num>
  <w:num w:numId="441">
    <w:abstractNumId w:val="10"/>
    <w:lvlOverride w:ilvl="0">
      <w:lvl w:ilvl="0">
        <w:numFmt w:val="bullet"/>
        <w:lvlText w:val="-"/>
        <w:legacy w:legacy="1" w:legacySpace="0" w:legacyIndent="360"/>
        <w:lvlJc w:val="left"/>
        <w:pPr>
          <w:ind w:left="360" w:hanging="360"/>
        </w:pPr>
      </w:lvl>
    </w:lvlOverride>
  </w:num>
  <w:num w:numId="442">
    <w:abstractNumId w:val="719"/>
  </w:num>
  <w:num w:numId="443">
    <w:abstractNumId w:val="182"/>
  </w:num>
  <w:num w:numId="444">
    <w:abstractNumId w:val="61"/>
  </w:num>
  <w:num w:numId="445">
    <w:abstractNumId w:val="383"/>
  </w:num>
  <w:num w:numId="446">
    <w:abstractNumId w:val="233"/>
  </w:num>
  <w:num w:numId="447">
    <w:abstractNumId w:val="497"/>
  </w:num>
  <w:num w:numId="448">
    <w:abstractNumId w:val="113"/>
  </w:num>
  <w:num w:numId="449">
    <w:abstractNumId w:val="58"/>
  </w:num>
  <w:num w:numId="450">
    <w:abstractNumId w:val="704"/>
  </w:num>
  <w:num w:numId="451">
    <w:abstractNumId w:val="202"/>
  </w:num>
  <w:num w:numId="452">
    <w:abstractNumId w:val="305"/>
  </w:num>
  <w:num w:numId="453">
    <w:abstractNumId w:val="583"/>
  </w:num>
  <w:num w:numId="454">
    <w:abstractNumId w:val="461"/>
  </w:num>
  <w:num w:numId="455">
    <w:abstractNumId w:val="717"/>
  </w:num>
  <w:num w:numId="456">
    <w:abstractNumId w:val="488"/>
  </w:num>
  <w:num w:numId="457">
    <w:abstractNumId w:val="78"/>
  </w:num>
  <w:num w:numId="458">
    <w:abstractNumId w:val="460"/>
  </w:num>
  <w:num w:numId="459">
    <w:abstractNumId w:val="557"/>
  </w:num>
  <w:num w:numId="460">
    <w:abstractNumId w:val="289"/>
  </w:num>
  <w:num w:numId="461">
    <w:abstractNumId w:val="420"/>
  </w:num>
  <w:num w:numId="462">
    <w:abstractNumId w:val="406"/>
  </w:num>
  <w:num w:numId="463">
    <w:abstractNumId w:val="655"/>
  </w:num>
  <w:num w:numId="464">
    <w:abstractNumId w:val="336"/>
  </w:num>
  <w:num w:numId="465">
    <w:abstractNumId w:val="132"/>
  </w:num>
  <w:num w:numId="466">
    <w:abstractNumId w:val="498"/>
  </w:num>
  <w:num w:numId="467">
    <w:abstractNumId w:val="714"/>
  </w:num>
  <w:num w:numId="468">
    <w:abstractNumId w:val="692"/>
  </w:num>
  <w:num w:numId="469">
    <w:abstractNumId w:val="432"/>
  </w:num>
  <w:num w:numId="470">
    <w:abstractNumId w:val="474"/>
  </w:num>
  <w:num w:numId="471">
    <w:abstractNumId w:val="311"/>
  </w:num>
  <w:num w:numId="472">
    <w:abstractNumId w:val="678"/>
  </w:num>
  <w:num w:numId="473">
    <w:abstractNumId w:val="501"/>
  </w:num>
  <w:num w:numId="474">
    <w:abstractNumId w:val="133"/>
  </w:num>
  <w:num w:numId="475">
    <w:abstractNumId w:val="278"/>
  </w:num>
  <w:num w:numId="476">
    <w:abstractNumId w:val="734"/>
  </w:num>
  <w:num w:numId="477">
    <w:abstractNumId w:val="168"/>
  </w:num>
  <w:num w:numId="478">
    <w:abstractNumId w:val="52"/>
  </w:num>
  <w:num w:numId="479">
    <w:abstractNumId w:val="616"/>
  </w:num>
  <w:num w:numId="480">
    <w:abstractNumId w:val="304"/>
  </w:num>
  <w:num w:numId="481">
    <w:abstractNumId w:val="389"/>
  </w:num>
  <w:num w:numId="482">
    <w:abstractNumId w:val="667"/>
  </w:num>
  <w:num w:numId="483">
    <w:abstractNumId w:val="296"/>
  </w:num>
  <w:num w:numId="484">
    <w:abstractNumId w:val="253"/>
  </w:num>
  <w:num w:numId="485">
    <w:abstractNumId w:val="148"/>
  </w:num>
  <w:num w:numId="486">
    <w:abstractNumId w:val="554"/>
  </w:num>
  <w:num w:numId="487">
    <w:abstractNumId w:val="620"/>
  </w:num>
  <w:num w:numId="488">
    <w:abstractNumId w:val="152"/>
  </w:num>
  <w:num w:numId="489">
    <w:abstractNumId w:val="101"/>
  </w:num>
  <w:num w:numId="490">
    <w:abstractNumId w:val="82"/>
  </w:num>
  <w:num w:numId="491">
    <w:abstractNumId w:val="671"/>
  </w:num>
  <w:num w:numId="492">
    <w:abstractNumId w:val="631"/>
  </w:num>
  <w:num w:numId="493">
    <w:abstractNumId w:val="31"/>
  </w:num>
  <w:num w:numId="494">
    <w:abstractNumId w:val="610"/>
  </w:num>
  <w:num w:numId="495">
    <w:abstractNumId w:val="240"/>
  </w:num>
  <w:num w:numId="496">
    <w:abstractNumId w:val="676"/>
  </w:num>
  <w:num w:numId="497">
    <w:abstractNumId w:val="110"/>
  </w:num>
  <w:num w:numId="498">
    <w:abstractNumId w:val="400"/>
  </w:num>
  <w:num w:numId="499">
    <w:abstractNumId w:val="303"/>
  </w:num>
  <w:num w:numId="500">
    <w:abstractNumId w:val="645"/>
  </w:num>
  <w:num w:numId="501">
    <w:abstractNumId w:val="226"/>
  </w:num>
  <w:num w:numId="502">
    <w:abstractNumId w:val="565"/>
  </w:num>
  <w:num w:numId="503">
    <w:abstractNumId w:val="552"/>
  </w:num>
  <w:num w:numId="504">
    <w:abstractNumId w:val="141"/>
  </w:num>
  <w:num w:numId="505">
    <w:abstractNumId w:val="461"/>
    <w:lvlOverride w:ilvl="0">
      <w:startOverride w:val="10"/>
    </w:lvlOverride>
  </w:num>
  <w:num w:numId="506">
    <w:abstractNumId w:val="184"/>
  </w:num>
  <w:num w:numId="507">
    <w:abstractNumId w:val="378"/>
  </w:num>
  <w:num w:numId="508">
    <w:abstractNumId w:val="20"/>
  </w:num>
  <w:num w:numId="509">
    <w:abstractNumId w:val="241"/>
  </w:num>
  <w:num w:numId="510">
    <w:abstractNumId w:val="258"/>
  </w:num>
  <w:num w:numId="511">
    <w:abstractNumId w:val="401"/>
  </w:num>
  <w:num w:numId="512">
    <w:abstractNumId w:val="439"/>
  </w:num>
  <w:num w:numId="513">
    <w:abstractNumId w:val="418"/>
  </w:num>
  <w:num w:numId="514">
    <w:abstractNumId w:val="531"/>
  </w:num>
  <w:num w:numId="515">
    <w:abstractNumId w:val="190"/>
  </w:num>
  <w:num w:numId="516">
    <w:abstractNumId w:val="713"/>
  </w:num>
  <w:num w:numId="517">
    <w:abstractNumId w:val="555"/>
  </w:num>
  <w:num w:numId="518">
    <w:abstractNumId w:val="553"/>
  </w:num>
  <w:num w:numId="519">
    <w:abstractNumId w:val="539"/>
  </w:num>
  <w:num w:numId="520">
    <w:abstractNumId w:val="547"/>
  </w:num>
  <w:num w:numId="521">
    <w:abstractNumId w:val="534"/>
  </w:num>
  <w:num w:numId="522">
    <w:abstractNumId w:val="412"/>
  </w:num>
  <w:num w:numId="523">
    <w:abstractNumId w:val="272"/>
  </w:num>
  <w:num w:numId="524">
    <w:abstractNumId w:val="316"/>
  </w:num>
  <w:num w:numId="525">
    <w:abstractNumId w:val="357"/>
  </w:num>
  <w:num w:numId="526">
    <w:abstractNumId w:val="478"/>
  </w:num>
  <w:num w:numId="527">
    <w:abstractNumId w:val="679"/>
  </w:num>
  <w:num w:numId="528">
    <w:abstractNumId w:val="694"/>
  </w:num>
  <w:num w:numId="529">
    <w:abstractNumId w:val="493"/>
  </w:num>
  <w:num w:numId="530">
    <w:abstractNumId w:val="528"/>
  </w:num>
  <w:num w:numId="531">
    <w:abstractNumId w:val="621"/>
  </w:num>
  <w:num w:numId="532">
    <w:abstractNumId w:val="445"/>
  </w:num>
  <w:num w:numId="533">
    <w:abstractNumId w:val="390"/>
  </w:num>
  <w:num w:numId="534">
    <w:abstractNumId w:val="105"/>
  </w:num>
  <w:num w:numId="535">
    <w:abstractNumId w:val="120"/>
  </w:num>
  <w:num w:numId="536">
    <w:abstractNumId w:val="223"/>
  </w:num>
  <w:num w:numId="537">
    <w:abstractNumId w:val="487"/>
  </w:num>
  <w:num w:numId="538">
    <w:abstractNumId w:val="309"/>
  </w:num>
  <w:num w:numId="539">
    <w:abstractNumId w:val="292"/>
  </w:num>
  <w:num w:numId="540">
    <w:abstractNumId w:val="654"/>
  </w:num>
  <w:num w:numId="541">
    <w:abstractNumId w:val="161"/>
  </w:num>
  <w:num w:numId="542">
    <w:abstractNumId w:val="323"/>
  </w:num>
  <w:num w:numId="543">
    <w:abstractNumId w:val="570"/>
  </w:num>
  <w:num w:numId="544">
    <w:abstractNumId w:val="171"/>
  </w:num>
  <w:num w:numId="545">
    <w:abstractNumId w:val="596"/>
  </w:num>
  <w:num w:numId="546">
    <w:abstractNumId w:val="500"/>
  </w:num>
  <w:num w:numId="547">
    <w:abstractNumId w:val="257"/>
  </w:num>
  <w:num w:numId="548">
    <w:abstractNumId w:val="577"/>
  </w:num>
  <w:num w:numId="549">
    <w:abstractNumId w:val="681"/>
  </w:num>
  <w:num w:numId="550">
    <w:abstractNumId w:val="479"/>
  </w:num>
  <w:num w:numId="551">
    <w:abstractNumId w:val="532"/>
  </w:num>
  <w:num w:numId="552">
    <w:abstractNumId w:val="650"/>
  </w:num>
  <w:num w:numId="553">
    <w:abstractNumId w:val="602"/>
  </w:num>
  <w:num w:numId="554">
    <w:abstractNumId w:val="595"/>
  </w:num>
  <w:num w:numId="555">
    <w:abstractNumId w:val="81"/>
  </w:num>
  <w:num w:numId="556">
    <w:abstractNumId w:val="732"/>
  </w:num>
  <w:num w:numId="557">
    <w:abstractNumId w:val="307"/>
  </w:num>
  <w:num w:numId="558">
    <w:abstractNumId w:val="567"/>
  </w:num>
  <w:num w:numId="559">
    <w:abstractNumId w:val="157"/>
  </w:num>
  <w:num w:numId="560">
    <w:abstractNumId w:val="467"/>
  </w:num>
  <w:num w:numId="561">
    <w:abstractNumId w:val="491"/>
  </w:num>
  <w:num w:numId="562">
    <w:abstractNumId w:val="673"/>
  </w:num>
  <w:num w:numId="563">
    <w:abstractNumId w:val="227"/>
  </w:num>
  <w:num w:numId="564">
    <w:abstractNumId w:val="312"/>
  </w:num>
  <w:num w:numId="565">
    <w:abstractNumId w:val="393"/>
  </w:num>
  <w:num w:numId="566">
    <w:abstractNumId w:val="310"/>
  </w:num>
  <w:num w:numId="567">
    <w:abstractNumId w:val="155"/>
  </w:num>
  <w:num w:numId="568">
    <w:abstractNumId w:val="521"/>
  </w:num>
  <w:num w:numId="569">
    <w:abstractNumId w:val="153"/>
  </w:num>
  <w:num w:numId="570">
    <w:abstractNumId w:val="125"/>
  </w:num>
  <w:num w:numId="571">
    <w:abstractNumId w:val="282"/>
  </w:num>
  <w:num w:numId="572">
    <w:abstractNumId w:val="404"/>
  </w:num>
  <w:num w:numId="573">
    <w:abstractNumId w:val="239"/>
  </w:num>
  <w:num w:numId="574">
    <w:abstractNumId w:val="697"/>
  </w:num>
  <w:num w:numId="575">
    <w:abstractNumId w:val="703"/>
  </w:num>
  <w:num w:numId="576">
    <w:abstractNumId w:val="112"/>
  </w:num>
  <w:num w:numId="577">
    <w:abstractNumId w:val="484"/>
  </w:num>
  <w:num w:numId="578">
    <w:abstractNumId w:val="313"/>
  </w:num>
  <w:num w:numId="579">
    <w:abstractNumId w:val="329"/>
  </w:num>
  <w:num w:numId="580">
    <w:abstractNumId w:val="459"/>
  </w:num>
  <w:num w:numId="581">
    <w:abstractNumId w:val="480"/>
  </w:num>
  <w:num w:numId="582">
    <w:abstractNumId w:val="446"/>
  </w:num>
  <w:num w:numId="583">
    <w:abstractNumId w:val="416"/>
  </w:num>
  <w:num w:numId="584">
    <w:abstractNumId w:val="209"/>
  </w:num>
  <w:num w:numId="585">
    <w:abstractNumId w:val="338"/>
  </w:num>
  <w:num w:numId="586">
    <w:abstractNumId w:val="194"/>
  </w:num>
  <w:num w:numId="587">
    <w:abstractNumId w:val="710"/>
  </w:num>
  <w:num w:numId="588">
    <w:abstractNumId w:val="541"/>
  </w:num>
  <w:num w:numId="589">
    <w:abstractNumId w:val="180"/>
  </w:num>
  <w:num w:numId="590">
    <w:abstractNumId w:val="266"/>
  </w:num>
  <w:num w:numId="591">
    <w:abstractNumId w:val="633"/>
  </w:num>
  <w:num w:numId="592">
    <w:abstractNumId w:val="36"/>
  </w:num>
  <w:num w:numId="593">
    <w:abstractNumId w:val="273"/>
  </w:num>
  <w:num w:numId="594">
    <w:abstractNumId w:val="601"/>
  </w:num>
  <w:num w:numId="595">
    <w:abstractNumId w:val="455"/>
  </w:num>
  <w:num w:numId="596">
    <w:abstractNumId w:val="516"/>
  </w:num>
  <w:num w:numId="597">
    <w:abstractNumId w:val="648"/>
  </w:num>
  <w:num w:numId="598">
    <w:abstractNumId w:val="685"/>
  </w:num>
  <w:num w:numId="599">
    <w:abstractNumId w:val="322"/>
  </w:num>
  <w:num w:numId="600">
    <w:abstractNumId w:val="492"/>
  </w:num>
  <w:num w:numId="601">
    <w:abstractNumId w:val="652"/>
  </w:num>
  <w:num w:numId="602">
    <w:abstractNumId w:val="662"/>
  </w:num>
  <w:num w:numId="603">
    <w:abstractNumId w:val="39"/>
  </w:num>
  <w:num w:numId="604">
    <w:abstractNumId w:val="146"/>
  </w:num>
  <w:num w:numId="605">
    <w:abstractNumId w:val="237"/>
  </w:num>
  <w:num w:numId="606">
    <w:abstractNumId w:val="83"/>
  </w:num>
  <w:num w:numId="607">
    <w:abstractNumId w:val="220"/>
  </w:num>
  <w:num w:numId="608">
    <w:abstractNumId w:val="558"/>
  </w:num>
  <w:num w:numId="609">
    <w:abstractNumId w:val="489"/>
  </w:num>
  <w:num w:numId="610">
    <w:abstractNumId w:val="346"/>
  </w:num>
  <w:num w:numId="611">
    <w:abstractNumId w:val="632"/>
  </w:num>
  <w:num w:numId="612">
    <w:abstractNumId w:val="55"/>
  </w:num>
  <w:num w:numId="613">
    <w:abstractNumId w:val="669"/>
  </w:num>
  <w:num w:numId="614">
    <w:abstractNumId w:val="33"/>
  </w:num>
  <w:num w:numId="615">
    <w:abstractNumId w:val="680"/>
  </w:num>
  <w:num w:numId="616">
    <w:abstractNumId w:val="435"/>
  </w:num>
  <w:num w:numId="617">
    <w:abstractNumId w:val="443"/>
  </w:num>
  <w:num w:numId="618">
    <w:abstractNumId w:val="348"/>
  </w:num>
  <w:num w:numId="619">
    <w:abstractNumId w:val="700"/>
  </w:num>
  <w:num w:numId="620">
    <w:abstractNumId w:val="375"/>
  </w:num>
  <w:num w:numId="621">
    <w:abstractNumId w:val="594"/>
  </w:num>
  <w:num w:numId="622">
    <w:abstractNumId w:val="92"/>
  </w:num>
  <w:num w:numId="623">
    <w:abstractNumId w:val="408"/>
  </w:num>
  <w:num w:numId="624">
    <w:abstractNumId w:val="129"/>
  </w:num>
  <w:num w:numId="625">
    <w:abstractNumId w:val="137"/>
  </w:num>
  <w:num w:numId="626">
    <w:abstractNumId w:val="100"/>
  </w:num>
  <w:num w:numId="627">
    <w:abstractNumId w:val="449"/>
  </w:num>
  <w:num w:numId="628">
    <w:abstractNumId w:val="34"/>
  </w:num>
  <w:num w:numId="629">
    <w:abstractNumId w:val="128"/>
  </w:num>
  <w:num w:numId="630">
    <w:abstractNumId w:val="585"/>
  </w:num>
  <w:num w:numId="631">
    <w:abstractNumId w:val="236"/>
  </w:num>
  <w:num w:numId="632">
    <w:abstractNumId w:val="366"/>
  </w:num>
  <w:num w:numId="633">
    <w:abstractNumId w:val="114"/>
  </w:num>
  <w:num w:numId="634">
    <w:abstractNumId w:val="99"/>
  </w:num>
  <w:num w:numId="63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636">
    <w:abstractNumId w:val="24"/>
  </w:num>
  <w:num w:numId="637">
    <w:abstractNumId w:val="119"/>
  </w:num>
  <w:num w:numId="638">
    <w:abstractNumId w:val="192"/>
  </w:num>
  <w:num w:numId="639">
    <w:abstractNumId w:val="349"/>
  </w:num>
  <w:num w:numId="640">
    <w:abstractNumId w:val="476"/>
  </w:num>
  <w:num w:numId="641">
    <w:abstractNumId w:val="509"/>
  </w:num>
  <w:num w:numId="642">
    <w:abstractNumId w:val="431"/>
  </w:num>
  <w:num w:numId="643">
    <w:abstractNumId w:val="573"/>
  </w:num>
  <w:num w:numId="644">
    <w:abstractNumId w:val="529"/>
  </w:num>
  <w:num w:numId="645">
    <w:abstractNumId w:val="30"/>
  </w:num>
  <w:num w:numId="646">
    <w:abstractNumId w:val="407"/>
  </w:num>
  <w:num w:numId="647">
    <w:abstractNumId w:val="191"/>
  </w:num>
  <w:num w:numId="648">
    <w:abstractNumId w:val="53"/>
  </w:num>
  <w:num w:numId="649">
    <w:abstractNumId w:val="453"/>
  </w:num>
  <w:num w:numId="650">
    <w:abstractNumId w:val="51"/>
  </w:num>
  <w:num w:numId="651">
    <w:abstractNumId w:val="668"/>
  </w:num>
  <w:num w:numId="652">
    <w:abstractNumId w:val="290"/>
  </w:num>
  <w:num w:numId="653">
    <w:abstractNumId w:val="103"/>
  </w:num>
  <w:num w:numId="654">
    <w:abstractNumId w:val="350"/>
  </w:num>
  <w:num w:numId="655">
    <w:abstractNumId w:val="535"/>
  </w:num>
  <w:num w:numId="656">
    <w:abstractNumId w:val="398"/>
  </w:num>
  <w:num w:numId="657">
    <w:abstractNumId w:val="86"/>
  </w:num>
  <w:num w:numId="658">
    <w:abstractNumId w:val="151"/>
  </w:num>
  <w:num w:numId="659">
    <w:abstractNumId w:val="458"/>
  </w:num>
  <w:num w:numId="660">
    <w:abstractNumId w:val="174"/>
  </w:num>
  <w:num w:numId="661">
    <w:abstractNumId w:val="130"/>
  </w:num>
  <w:num w:numId="662">
    <w:abstractNumId w:val="331"/>
  </w:num>
  <w:num w:numId="663">
    <w:abstractNumId w:val="211"/>
  </w:num>
  <w:num w:numId="664">
    <w:abstractNumId w:val="482"/>
  </w:num>
  <w:num w:numId="665">
    <w:abstractNumId w:val="511"/>
  </w:num>
  <w:num w:numId="666">
    <w:abstractNumId w:val="212"/>
  </w:num>
  <w:num w:numId="667">
    <w:abstractNumId w:val="217"/>
  </w:num>
  <w:num w:numId="668">
    <w:abstractNumId w:val="196"/>
  </w:num>
  <w:num w:numId="669">
    <w:abstractNumId w:val="127"/>
  </w:num>
  <w:num w:numId="670">
    <w:abstractNumId w:val="414"/>
  </w:num>
  <w:num w:numId="671">
    <w:abstractNumId w:val="448"/>
  </w:num>
  <w:num w:numId="672">
    <w:abstractNumId w:val="504"/>
  </w:num>
  <w:num w:numId="673">
    <w:abstractNumId w:val="377"/>
  </w:num>
  <w:num w:numId="674">
    <w:abstractNumId w:val="715"/>
  </w:num>
  <w:num w:numId="675">
    <w:abstractNumId w:val="165"/>
  </w:num>
  <w:num w:numId="67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8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8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84">
    <w:abstractNumId w:val="41"/>
  </w:num>
  <w:num w:numId="685">
    <w:abstractNumId w:val="203"/>
  </w:num>
  <w:num w:numId="686">
    <w:abstractNumId w:val="280"/>
  </w:num>
  <w:num w:numId="687">
    <w:abstractNumId w:val="102"/>
  </w:num>
  <w:num w:numId="688">
    <w:abstractNumId w:val="456"/>
  </w:num>
  <w:num w:numId="689">
    <w:abstractNumId w:val="10"/>
    <w:lvlOverride w:ilvl="0">
      <w:lvl w:ilvl="0">
        <w:numFmt w:val="bullet"/>
        <w:lvlText w:val=""/>
        <w:legacy w:legacy="1" w:legacySpace="0" w:legacyIndent="360"/>
        <w:lvlJc w:val="left"/>
        <w:pPr>
          <w:ind w:left="720" w:hanging="360"/>
        </w:pPr>
        <w:rPr>
          <w:rFonts w:ascii="Symbol" w:hAnsi="Symbol" w:hint="default"/>
        </w:rPr>
      </w:lvl>
    </w:lvlOverride>
  </w:num>
  <w:num w:numId="690">
    <w:abstractNumId w:val="10"/>
    <w:lvlOverride w:ilvl="0">
      <w:lvl w:ilvl="0">
        <w:start w:val="1"/>
        <w:numFmt w:val="bullet"/>
        <w:lvlText w:val=""/>
        <w:legacy w:legacy="1" w:legacySpace="0" w:legacyIndent="283"/>
        <w:lvlJc w:val="left"/>
        <w:pPr>
          <w:ind w:left="283" w:hanging="283"/>
        </w:pPr>
        <w:rPr>
          <w:rFonts w:ascii="Wingdings" w:hAnsi="Wingdings" w:hint="default"/>
          <w:sz w:val="22"/>
        </w:rPr>
      </w:lvl>
    </w:lvlOverride>
  </w:num>
  <w:num w:numId="691">
    <w:abstractNumId w:val="591"/>
  </w:num>
  <w:num w:numId="692">
    <w:abstractNumId w:val="328"/>
  </w:num>
  <w:num w:numId="693">
    <w:abstractNumId w:val="77"/>
  </w:num>
  <w:num w:numId="694">
    <w:abstractNumId w:val="10"/>
    <w:lvlOverride w:ilvl="0">
      <w:lvl w:ilvl="0">
        <w:numFmt w:val="bullet"/>
        <w:lvlText w:val=""/>
        <w:legacy w:legacy="1" w:legacySpace="0" w:legacyIndent="360"/>
        <w:lvlJc w:val="left"/>
        <w:pPr>
          <w:ind w:left="1080" w:hanging="360"/>
        </w:pPr>
        <w:rPr>
          <w:rFonts w:ascii="Symbol" w:hAnsi="Symbol" w:hint="default"/>
        </w:rPr>
      </w:lvl>
    </w:lvlOverride>
  </w:num>
  <w:num w:numId="695">
    <w:abstractNumId w:val="395"/>
  </w:num>
  <w:num w:numId="696">
    <w:abstractNumId w:val="234"/>
  </w:num>
  <w:num w:numId="697">
    <w:abstractNumId w:val="150"/>
  </w:num>
  <w:num w:numId="698">
    <w:abstractNumId w:val="405"/>
  </w:num>
  <w:num w:numId="699">
    <w:abstractNumId w:val="506"/>
  </w:num>
  <w:num w:numId="700">
    <w:abstractNumId w:val="592"/>
  </w:num>
  <w:num w:numId="701">
    <w:abstractNumId w:val="356"/>
  </w:num>
  <w:num w:numId="702">
    <w:abstractNumId w:val="451"/>
  </w:num>
  <w:num w:numId="703">
    <w:abstractNumId w:val="73"/>
  </w:num>
  <w:num w:numId="704">
    <w:abstractNumId w:val="376"/>
  </w:num>
  <w:num w:numId="705">
    <w:abstractNumId w:val="537"/>
  </w:num>
  <w:num w:numId="706">
    <w:abstractNumId w:val="672"/>
  </w:num>
  <w:num w:numId="707">
    <w:abstractNumId w:val="351"/>
  </w:num>
  <w:num w:numId="708">
    <w:abstractNumId w:val="104"/>
  </w:num>
  <w:num w:numId="709">
    <w:abstractNumId w:val="496"/>
  </w:num>
  <w:num w:numId="710">
    <w:abstractNumId w:val="639"/>
  </w:num>
  <w:num w:numId="711">
    <w:abstractNumId w:val="634"/>
  </w:num>
  <w:num w:numId="712">
    <w:abstractNumId w:val="118"/>
  </w:num>
  <w:num w:numId="713">
    <w:abstractNumId w:val="361"/>
  </w:num>
  <w:num w:numId="714">
    <w:abstractNumId w:val="222"/>
  </w:num>
  <w:num w:numId="715">
    <w:abstractNumId w:val="677"/>
  </w:num>
  <w:num w:numId="716">
    <w:abstractNumId w:val="138"/>
  </w:num>
  <w:num w:numId="717">
    <w:abstractNumId w:val="562"/>
  </w:num>
  <w:num w:numId="718">
    <w:abstractNumId w:val="216"/>
  </w:num>
  <w:num w:numId="719">
    <w:abstractNumId w:val="235"/>
  </w:num>
  <w:num w:numId="720">
    <w:abstractNumId w:val="344"/>
  </w:num>
  <w:num w:numId="721">
    <w:abstractNumId w:val="403"/>
  </w:num>
  <w:num w:numId="722">
    <w:abstractNumId w:val="627"/>
  </w:num>
  <w:num w:numId="723">
    <w:abstractNumId w:val="543"/>
  </w:num>
  <w:num w:numId="724">
    <w:abstractNumId w:val="97"/>
  </w:num>
  <w:num w:numId="725">
    <w:abstractNumId w:val="298"/>
  </w:num>
  <w:num w:numId="726">
    <w:abstractNumId w:val="399"/>
  </w:num>
  <w:num w:numId="727">
    <w:abstractNumId w:val="661"/>
  </w:num>
  <w:num w:numId="728">
    <w:abstractNumId w:val="588"/>
  </w:num>
  <w:num w:numId="729">
    <w:abstractNumId w:val="225"/>
  </w:num>
  <w:num w:numId="730">
    <w:abstractNumId w:val="513"/>
  </w:num>
  <w:num w:numId="731">
    <w:abstractNumId w:val="365"/>
  </w:num>
  <w:num w:numId="732">
    <w:abstractNumId w:val="256"/>
  </w:num>
  <w:num w:numId="733">
    <w:abstractNumId w:val="185"/>
  </w:num>
  <w:num w:numId="734">
    <w:abstractNumId w:val="262"/>
  </w:num>
  <w:num w:numId="735">
    <w:abstractNumId w:val="706"/>
  </w:num>
  <w:num w:numId="736">
    <w:abstractNumId w:val="471"/>
  </w:num>
  <w:num w:numId="737">
    <w:abstractNumId w:val="437"/>
  </w:num>
  <w:num w:numId="738">
    <w:abstractNumId w:val="249"/>
  </w:num>
  <w:num w:numId="739">
    <w:abstractNumId w:val="628"/>
  </w:num>
  <w:num w:numId="740">
    <w:abstractNumId w:val="186"/>
  </w:num>
  <w:num w:numId="741">
    <w:abstractNumId w:val="242"/>
  </w:num>
  <w:num w:numId="742">
    <w:abstractNumId w:val="35"/>
  </w:num>
  <w:num w:numId="743">
    <w:abstractNumId w:val="228"/>
  </w:num>
  <w:num w:numId="744">
    <w:abstractNumId w:val="686"/>
  </w:num>
  <w:num w:numId="745">
    <w:abstractNumId w:val="40"/>
  </w:num>
  <w:num w:numId="746">
    <w:abstractNumId w:val="163"/>
  </w:num>
  <w:num w:numId="747">
    <w:abstractNumId w:val="62"/>
  </w:num>
  <w:num w:numId="748">
    <w:abstractNumId w:val="261"/>
  </w:num>
  <w:num w:numId="749">
    <w:abstractNumId w:val="729"/>
  </w:num>
  <w:num w:numId="750">
    <w:abstractNumId w:val="67"/>
  </w:num>
  <w:num w:numId="751">
    <w:abstractNumId w:val="353"/>
  </w:num>
  <w:num w:numId="752">
    <w:abstractNumId w:val="264"/>
  </w:num>
  <w:num w:numId="753">
    <w:abstractNumId w:val="286"/>
  </w:num>
  <w:num w:numId="754">
    <w:abstractNumId w:val="90"/>
  </w:num>
  <w:num w:numId="755">
    <w:abstractNumId w:val="76"/>
  </w:num>
  <w:num w:numId="756">
    <w:abstractNumId w:val="660"/>
  </w:num>
  <w:num w:numId="757">
    <w:abstractNumId w:val="324"/>
  </w:num>
  <w:num w:numId="758">
    <w:abstractNumId w:val="727"/>
  </w:num>
  <w:num w:numId="759">
    <w:abstractNumId w:val="475"/>
  </w:num>
  <w:num w:numId="760">
    <w:abstractNumId w:val="147"/>
  </w:num>
  <w:num w:numId="761">
    <w:abstractNumId w:val="5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attachedTemplate r:id="rId1"/>
  <w:doNotTrackMoves/>
  <w:defaultTabStop w:val="567"/>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7">
    <w:name w:val="heading 7"/>
    <w:basedOn w:val="Normal"/>
    <w:next w:val="Normal"/>
    <w:qFormat/>
    <w:pPr>
      <w:keepNext/>
      <w:tabs>
        <w:tab w:val="left" w:pos="567"/>
        <w:tab w:val="left" w:pos="1134"/>
        <w:tab w:val="left" w:pos="1701"/>
        <w:tab w:val="left" w:pos="2268"/>
        <w:tab w:val="left" w:pos="6237"/>
      </w:tabs>
      <w:spacing w:line="720" w:lineRule="auto"/>
      <w:ind w:left="1134" w:hanging="1134"/>
      <w:outlineLvl w:val="6"/>
    </w:pPr>
    <w:rPr>
      <w:u w:val="single"/>
    </w:rPr>
  </w:style>
  <w:style w:type="paragraph" w:styleId="Heading8">
    <w:name w:val="heading 8"/>
    <w:basedOn w:val="Normal"/>
    <w:next w:val="Normal"/>
    <w:qFormat/>
    <w:pPr>
      <w:keepNext/>
      <w:tabs>
        <w:tab w:val="left" w:pos="567"/>
        <w:tab w:val="left" w:pos="1134"/>
        <w:tab w:val="left" w:pos="1701"/>
        <w:tab w:val="left" w:pos="2268"/>
        <w:tab w:val="left" w:pos="6237"/>
      </w:tabs>
      <w:outlineLvl w:val="7"/>
    </w:pPr>
    <w:rPr>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aliases w:val="Texto de nota de rodapéAE"/>
    <w:basedOn w:val="Normal"/>
    <w:semiHidden/>
    <w:pPr>
      <w:tabs>
        <w:tab w:val="left" w:pos="567"/>
        <w:tab w:val="left" w:pos="1134"/>
        <w:tab w:val="left" w:pos="1701"/>
        <w:tab w:val="left" w:pos="2268"/>
        <w:tab w:val="left" w:pos="6237"/>
      </w:tabs>
      <w:spacing w:line="240" w:lineRule="auto"/>
    </w:p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cs="Times New Roman"/>
      <w:szCs w:val="20"/>
      <w:u w:val="single"/>
    </w:rPr>
  </w:style>
  <w:style w:type="paragraph" w:styleId="Subtitle">
    <w:name w:val="Subtitle"/>
    <w:basedOn w:val="Normal"/>
    <w:qFormat/>
    <w:pPr>
      <w:spacing w:after="60"/>
      <w:jc w:val="center"/>
      <w:outlineLvl w:val="1"/>
    </w:pPr>
    <w:rPr>
      <w:rFonts w:ascii="Arial" w:hAnsi="Arial" w:cs="Arial"/>
      <w:szCs w:val="24"/>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styleId="BodyTextIndent">
    <w:name w:val="Body Text Indent"/>
    <w:basedOn w:val="Normal"/>
    <w:semiHidden/>
    <w:pPr>
      <w:ind w:left="1701" w:hanging="1701"/>
    </w:pPr>
    <w:rPr>
      <w:b/>
      <w:bCs/>
    </w:rPr>
  </w:style>
  <w:style w:type="paragraph" w:customStyle="1" w:styleId="1">
    <w:name w:val="текст 1"/>
    <w:basedOn w:val="Normal"/>
  </w:style>
  <w:style w:type="paragraph" w:styleId="BodyText3">
    <w:name w:val="Body Text 3"/>
    <w:basedOn w:val="Normal"/>
    <w:semiHidden/>
    <w:pPr>
      <w:tabs>
        <w:tab w:val="clear" w:pos="567"/>
        <w:tab w:val="clear" w:pos="1134"/>
        <w:tab w:val="clear" w:pos="1701"/>
        <w:tab w:val="clear" w:pos="2268"/>
        <w:tab w:val="clear" w:pos="6237"/>
      </w:tabs>
      <w:spacing w:line="240" w:lineRule="auto"/>
      <w:jc w:val="both"/>
    </w:pPr>
    <w:rPr>
      <w:sz w:val="20"/>
      <w:lang w:val="en-US"/>
    </w:r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character" w:styleId="Strong">
    <w:name w:val="Strong"/>
    <w:qFormat/>
    <w:rPr>
      <w:b/>
    </w:rPr>
  </w:style>
  <w:style w:type="character" w:styleId="FootnoteReference">
    <w:name w:val="footnote reference"/>
    <w:semiHidden/>
    <w:rPr>
      <w:rFonts w:ascii="Times New Roman" w:hAnsi="Times New Roman"/>
      <w:b/>
      <w:dstrike w:val="0"/>
      <w:color w:val="auto"/>
      <w:sz w:val="24"/>
      <w:vertAlign w:val="superscript"/>
    </w:rPr>
  </w:style>
  <w:style w:type="paragraph" w:styleId="BodyText">
    <w:name w:val="Body Text"/>
    <w:basedOn w:val="Normal"/>
    <w:semiHidden/>
    <w:pPr>
      <w:tabs>
        <w:tab w:val="left" w:pos="567"/>
        <w:tab w:val="left" w:pos="1134"/>
        <w:tab w:val="left" w:pos="1701"/>
        <w:tab w:val="left" w:pos="2268"/>
        <w:tab w:val="left" w:pos="6237"/>
      </w:tabs>
    </w:pPr>
    <w:rPr>
      <w:sz w:val="18"/>
    </w:rPr>
  </w:style>
  <w:style w:type="paragraph" w:customStyle="1" w:styleId="Figura">
    <w:name w:val="Figura"/>
    <w:basedOn w:val="BodyTextIndent"/>
    <w:pPr>
      <w:tabs>
        <w:tab w:val="clear" w:pos="567"/>
        <w:tab w:val="clear" w:pos="1134"/>
        <w:tab w:val="clear" w:pos="1701"/>
        <w:tab w:val="clear" w:pos="2268"/>
        <w:tab w:val="clear" w:pos="6237"/>
      </w:tabs>
      <w:spacing w:before="240" w:line="240" w:lineRule="auto"/>
      <w:ind w:left="0" w:firstLine="0"/>
      <w:jc w:val="both"/>
    </w:pPr>
    <w:rPr>
      <w:rFonts w:ascii="Arial" w:hAnsi="Arial"/>
      <w:bCs w:val="0"/>
      <w:lang w:val="en-US" w:eastAsia="pt-BR"/>
    </w:rPr>
  </w:style>
  <w:style w:type="paragraph" w:styleId="EndnoteText">
    <w:name w:val="endnote text"/>
    <w:basedOn w:val="Normal"/>
    <w:semiHidden/>
    <w:rPr>
      <w:sz w:val="20"/>
    </w:rPr>
  </w:style>
  <w:style w:type="character" w:styleId="EndnoteReference">
    <w:name w:val="endnote reference"/>
    <w:semiHidden/>
    <w:rPr>
      <w:vertAlign w:val="superscript"/>
    </w:rPr>
  </w:style>
  <w:style w:type="paragraph" w:customStyle="1" w:styleId="2">
    <w:name w:val="текст 2"/>
    <w:basedOn w:val="Normal"/>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customStyle="1" w:styleId="13">
    <w:name w:val="Заголовок 13"/>
    <w:basedOn w:val="Normal"/>
    <w:pPr>
      <w:tabs>
        <w:tab w:val="left" w:pos="567"/>
        <w:tab w:val="left" w:pos="1134"/>
        <w:tab w:val="left" w:pos="1701"/>
        <w:tab w:val="left" w:pos="2268"/>
        <w:tab w:val="left" w:pos="6237"/>
      </w:tabs>
      <w:jc w:val="center"/>
    </w:pPr>
    <w:rPr>
      <w:b/>
      <w:i/>
    </w:r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 w:type="paragraph" w:styleId="BodyText2">
    <w:name w:val="Body Text 2"/>
    <w:basedOn w:val="Normal"/>
    <w:semiHidden/>
    <w:pPr>
      <w:tabs>
        <w:tab w:val="clear" w:pos="567"/>
        <w:tab w:val="clear" w:pos="1134"/>
        <w:tab w:val="clear" w:pos="1701"/>
        <w:tab w:val="clear" w:pos="2268"/>
        <w:tab w:val="clear" w:pos="6237"/>
      </w:tabs>
      <w:suppressAutoHyphens/>
      <w:spacing w:line="240" w:lineRule="auto"/>
      <w:jc w:val="both"/>
      <w:outlineLvl w:val="0"/>
    </w:pPr>
    <w:rPr>
      <w:b/>
      <w:i/>
      <w:color w:val="000000"/>
      <w:sz w:val="20"/>
      <w:lang w:val="en-US"/>
    </w:rPr>
  </w:style>
  <w:style w:type="paragraph" w:styleId="BodyTextIndent2">
    <w:name w:val="Body Text Indent 2"/>
    <w:basedOn w:val="Normal"/>
    <w:semiHidden/>
    <w:pPr>
      <w:tabs>
        <w:tab w:val="clear" w:pos="567"/>
        <w:tab w:val="right" w:pos="561"/>
        <w:tab w:val="left" w:pos="1134"/>
        <w:tab w:val="left" w:pos="1701"/>
        <w:tab w:val="left" w:pos="2268"/>
        <w:tab w:val="left" w:pos="6237"/>
      </w:tabs>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oleObject" Target="embeddings/oleObject2.bin"/><Relationship Id="rId26" Type="http://schemas.openxmlformats.org/officeDocument/2006/relationships/image" Target="media/image9.png"/><Relationship Id="rId39" Type="http://schemas.openxmlformats.org/officeDocument/2006/relationships/image" Target="media/image13.wmf"/><Relationship Id="rId3" Type="http://schemas.openxmlformats.org/officeDocument/2006/relationships/settings" Target="settings.xml"/><Relationship Id="rId21" Type="http://schemas.openxmlformats.org/officeDocument/2006/relationships/oleObject" Target="embeddings/oleObject3.bin"/><Relationship Id="rId34" Type="http://schemas.openxmlformats.org/officeDocument/2006/relationships/header" Target="header8.xml"/><Relationship Id="rId42" Type="http://schemas.openxmlformats.org/officeDocument/2006/relationships/oleObject" Target="embeddings/oleObject9.bin"/><Relationship Id="rId47" Type="http://schemas.openxmlformats.org/officeDocument/2006/relationships/header" Target="header12.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image" Target="media/image4.wmf"/><Relationship Id="rId25" Type="http://schemas.openxmlformats.org/officeDocument/2006/relationships/oleObject" Target="embeddings/oleObject5.bin"/><Relationship Id="rId33" Type="http://schemas.openxmlformats.org/officeDocument/2006/relationships/footer" Target="footer2.xml"/><Relationship Id="rId38" Type="http://schemas.openxmlformats.org/officeDocument/2006/relationships/oleObject" Target="embeddings/Microsoft_Excel_97-2003_Worksheet1.xls"/><Relationship Id="rId46" Type="http://schemas.openxmlformats.org/officeDocument/2006/relationships/header" Target="header11.xml"/><Relationship Id="rId2" Type="http://schemas.openxmlformats.org/officeDocument/2006/relationships/styles" Target="styles.xml"/><Relationship Id="rId16" Type="http://schemas.openxmlformats.org/officeDocument/2006/relationships/oleObject" Target="embeddings/oleObject1.bin"/><Relationship Id="rId20" Type="http://schemas.openxmlformats.org/officeDocument/2006/relationships/image" Target="media/image6.wmf"/><Relationship Id="rId29" Type="http://schemas.openxmlformats.org/officeDocument/2006/relationships/image" Target="media/image11.wmf"/><Relationship Id="rId41"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24" Type="http://schemas.openxmlformats.org/officeDocument/2006/relationships/image" Target="media/image8.wmf"/><Relationship Id="rId32" Type="http://schemas.openxmlformats.org/officeDocument/2006/relationships/header" Target="header7.xml"/><Relationship Id="rId37" Type="http://schemas.openxmlformats.org/officeDocument/2006/relationships/image" Target="media/image12.wmf"/><Relationship Id="rId40" Type="http://schemas.openxmlformats.org/officeDocument/2006/relationships/oleObject" Target="embeddings/oleObject8.bin"/><Relationship Id="rId45"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oleObject" Target="embeddings/oleObject4.bin"/><Relationship Id="rId28" Type="http://schemas.openxmlformats.org/officeDocument/2006/relationships/oleObject" Target="embeddings/oleObject6.bin"/><Relationship Id="rId36" Type="http://schemas.openxmlformats.org/officeDocument/2006/relationships/header" Target="header10.xml"/><Relationship Id="rId49" Type="http://schemas.openxmlformats.org/officeDocument/2006/relationships/theme" Target="theme/theme1.xml"/><Relationship Id="rId10" Type="http://schemas.openxmlformats.org/officeDocument/2006/relationships/header" Target="header3.xml"/><Relationship Id="rId19" Type="http://schemas.openxmlformats.org/officeDocument/2006/relationships/image" Target="media/image5.png"/><Relationship Id="rId31" Type="http://schemas.openxmlformats.org/officeDocument/2006/relationships/header" Target="header6.xml"/><Relationship Id="rId44"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image" Target="media/image7.wmf"/><Relationship Id="rId27" Type="http://schemas.openxmlformats.org/officeDocument/2006/relationships/image" Target="media/image10.wmf"/><Relationship Id="rId30" Type="http://schemas.openxmlformats.org/officeDocument/2006/relationships/oleObject" Target="embeddings/oleObject7.bin"/><Relationship Id="rId35" Type="http://schemas.openxmlformats.org/officeDocument/2006/relationships/header" Target="header9.xml"/><Relationship Id="rId43" Type="http://schemas.openxmlformats.org/officeDocument/2006/relationships/image" Target="media/image15.png"/><Relationship Id="rId48" Type="http://schemas.openxmlformats.org/officeDocument/2006/relationships/fontTable" Target="fontTable.xml"/><Relationship Id="rId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110882</Words>
  <Characters>632032</Characters>
  <Application>Microsoft Office Word</Application>
  <DocSecurity>4</DocSecurity>
  <Lines>5266</Lines>
  <Paragraphs>1264</Paragraphs>
  <ScaleCrop>false</ScaleCrop>
  <HeadingPairs>
    <vt:vector size="2" baseType="variant">
      <vt:variant>
        <vt:lpstr>Title</vt:lpstr>
      </vt:variant>
      <vt:variant>
        <vt:i4>1</vt:i4>
      </vt:variant>
    </vt:vector>
  </HeadingPairs>
  <TitlesOfParts>
    <vt:vector size="1" baseType="lpstr">
      <vt:lpstr>46158.01.doc</vt:lpstr>
    </vt:vector>
  </TitlesOfParts>
  <Company> </Company>
  <LinksUpToDate>false</LinksUpToDate>
  <CharactersWithSpaces>776179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46158.01.doc</dc:title>
  <dc:subject>Muraviev</dc:subject>
  <dc:creator>Smirnova</dc:creator>
  <cp:keywords/>
  <dc:description/>
  <cp:lastModifiedBy>auboin</cp:lastModifiedBy>
  <cp:revision>2</cp:revision>
  <cp:lastPrinted>2002-05-27T13:47:00Z</cp:lastPrinted>
  <dcterms:created xsi:type="dcterms:W3CDTF">2002-06-03T08:00:00Z</dcterms:created>
  <dcterms:modified xsi:type="dcterms:W3CDTF">2002-06-03T08:00:00Z</dcterms:modified>
</cp:coreProperties>
</file>