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DFB" w:rsidRDefault="00436DFB" w:rsidP="00436DFB">
      <w:pPr>
        <w:spacing w:line="60" w:lineRule="exact"/>
        <w:rPr>
          <w:sz w:val="6"/>
        </w:rPr>
        <w:sectPr w:rsidR="00436DFB" w:rsidSect="00436DF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436DFB" w:rsidRDefault="00436DFB" w:rsidP="00436DFB">
      <w:pPr>
        <w:spacing w:line="60" w:lineRule="exact"/>
        <w:rPr>
          <w:sz w:val="6"/>
        </w:rPr>
      </w:pPr>
    </w:p>
    <w:p w:rsidR="00F85120" w:rsidRDefault="00F85120" w:rsidP="00F85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F85120" w:rsidRDefault="00F85120" w:rsidP="00F8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sidRPr="0022386E">
        <w:rPr>
          <w:rFonts w:hint="eastAsia"/>
        </w:rPr>
        <w:t>第三十七</w:t>
      </w:r>
      <w:r>
        <w:rPr>
          <w:rFonts w:hint="eastAsia"/>
        </w:rPr>
        <w:t>届会议</w:t>
      </w:r>
    </w:p>
    <w:p w:rsidR="00F85120" w:rsidRDefault="00F85120" w:rsidP="00F85120">
      <w:pPr>
        <w:pStyle w:val="SingleTxt"/>
        <w:spacing w:after="60"/>
        <w:ind w:left="0"/>
        <w:rPr>
          <w:rFonts w:hint="eastAsia"/>
        </w:rPr>
      </w:pPr>
      <w:r>
        <w:rPr>
          <w:rFonts w:hint="eastAsia"/>
        </w:rPr>
        <w:t>2007年1月15日至2月2日</w:t>
      </w:r>
    </w:p>
    <w:p w:rsidR="00F85120" w:rsidRPr="0022386E" w:rsidRDefault="00F85120" w:rsidP="00F85120">
      <w:pPr>
        <w:pStyle w:val="SingleTxt"/>
        <w:spacing w:after="0" w:line="120" w:lineRule="exact"/>
        <w:rPr>
          <w:rFonts w:hint="eastAsia"/>
          <w:sz w:val="10"/>
        </w:rPr>
      </w:pPr>
    </w:p>
    <w:p w:rsidR="00F85120" w:rsidRPr="0022386E" w:rsidRDefault="00F85120" w:rsidP="00F85120">
      <w:pPr>
        <w:pStyle w:val="SingleTxt"/>
        <w:spacing w:after="0" w:line="120" w:lineRule="exact"/>
        <w:rPr>
          <w:rFonts w:hint="eastAsia"/>
          <w:sz w:val="10"/>
        </w:rPr>
      </w:pPr>
    </w:p>
    <w:p w:rsidR="00F85120" w:rsidRDefault="00F85120" w:rsidP="00F8512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消除对妇女歧视委员会的结论意见：奥地利</w:t>
      </w:r>
    </w:p>
    <w:p w:rsidR="00F85120" w:rsidRPr="0022386E" w:rsidRDefault="00F85120" w:rsidP="00F85120">
      <w:pPr>
        <w:pStyle w:val="SingleTxt"/>
        <w:spacing w:after="0" w:line="120" w:lineRule="exact"/>
        <w:rPr>
          <w:rFonts w:hint="eastAsia"/>
          <w:sz w:val="10"/>
        </w:rPr>
      </w:pPr>
    </w:p>
    <w:p w:rsidR="00F85120" w:rsidRPr="0022386E" w:rsidRDefault="00F85120" w:rsidP="00F85120">
      <w:pPr>
        <w:pStyle w:val="SingleTxt"/>
        <w:spacing w:after="0" w:line="120" w:lineRule="exact"/>
        <w:rPr>
          <w:rFonts w:hint="eastAsia"/>
          <w:sz w:val="10"/>
        </w:rPr>
      </w:pPr>
    </w:p>
    <w:p w:rsidR="00F85120" w:rsidRDefault="00F85120" w:rsidP="00F85120">
      <w:pPr>
        <w:pStyle w:val="SingleTxt"/>
        <w:rPr>
          <w:rFonts w:hint="eastAsia"/>
        </w:rPr>
      </w:pPr>
      <w:r>
        <w:rPr>
          <w:rFonts w:hint="eastAsia"/>
        </w:rPr>
        <w:t>1.</w:t>
      </w:r>
      <w:r>
        <w:rPr>
          <w:rFonts w:hint="eastAsia"/>
        </w:rPr>
        <w:tab/>
        <w:t>2007年1月23日，消除对妇女歧视委员会第765次和第766次会议审议了奥地利第六次定期报告（CEDAW/C/AUT/6）（见CEDAW/C/SR.765和766）。委员会的议题和问题清单见CEDAW/C/AUT/Q/6号文件，奥地利的答复见CEDAW/C/AUT/　Q/6/Add.1号文件。</w:t>
      </w:r>
    </w:p>
    <w:p w:rsidR="00F85120" w:rsidRPr="00F85120" w:rsidRDefault="00F85120" w:rsidP="00F85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F85120" w:rsidRDefault="00F85120" w:rsidP="00F85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导言</w:t>
      </w:r>
    </w:p>
    <w:p w:rsidR="00F85120" w:rsidRPr="0022386E" w:rsidRDefault="00F85120" w:rsidP="00F85120">
      <w:pPr>
        <w:pStyle w:val="SingleTxt"/>
        <w:spacing w:after="0" w:line="120" w:lineRule="exact"/>
        <w:rPr>
          <w:rFonts w:hint="eastAsia"/>
          <w:sz w:val="10"/>
        </w:rPr>
      </w:pPr>
    </w:p>
    <w:p w:rsidR="00F85120" w:rsidRPr="00F85120" w:rsidRDefault="00F85120" w:rsidP="00F85120">
      <w:pPr>
        <w:pStyle w:val="SingleTxt"/>
        <w:spacing w:after="0" w:line="120" w:lineRule="exact"/>
        <w:rPr>
          <w:rFonts w:hint="eastAsia"/>
          <w:sz w:val="10"/>
        </w:rPr>
      </w:pPr>
    </w:p>
    <w:p w:rsidR="00F85120" w:rsidRDefault="00F85120" w:rsidP="00F85120">
      <w:pPr>
        <w:pStyle w:val="SingleTxt"/>
        <w:rPr>
          <w:rFonts w:hint="eastAsia"/>
        </w:rPr>
      </w:pPr>
      <w:r>
        <w:rPr>
          <w:rFonts w:hint="eastAsia"/>
        </w:rPr>
        <w:t>2.</w:t>
      </w:r>
      <w:r>
        <w:rPr>
          <w:rFonts w:hint="eastAsia"/>
        </w:rPr>
        <w:tab/>
        <w:t>委员会感谢缔约国遵照委员会定期报告编写导则并考虑到委员会以前提出的结论意见提交其第六次定期报告。委员会赞扬缔约国对会前工作组提出的一系列议题和问题作了书面答复和口头陈述并进一步解答了委员会成员的口头提问。</w:t>
      </w:r>
    </w:p>
    <w:p w:rsidR="00F85120" w:rsidRDefault="00F85120" w:rsidP="00F85120">
      <w:pPr>
        <w:pStyle w:val="SingleTxt"/>
        <w:rPr>
          <w:rFonts w:hint="eastAsia"/>
        </w:rPr>
      </w:pPr>
      <w:r>
        <w:rPr>
          <w:rFonts w:hint="eastAsia"/>
        </w:rPr>
        <w:t>3.</w:t>
      </w:r>
      <w:r>
        <w:rPr>
          <w:rFonts w:hint="eastAsia"/>
        </w:rPr>
        <w:tab/>
        <w:t>委员会赞扬缔约国派遣由外交部大使率领的代表团出席会议。该代表团还包括来自联邦外交部、教育、科学和文化部、经济、劳动部、卫生和妇女部、社会保障、人口和消费者保护部、农业、林业、环境和水资源管理部、司法部、内政部和联邦总理办公厅等政府不同部委的专家。委员会注意到奥地利新组成的联邦政府于2007年1月11日就职。委员会赞扬代表团与委员会成员进行的坦诚和建设性对话。</w:t>
      </w:r>
    </w:p>
    <w:p w:rsidR="00F85120" w:rsidRDefault="00F85120" w:rsidP="00F85120">
      <w:pPr>
        <w:pStyle w:val="SingleTxt"/>
        <w:rPr>
          <w:rFonts w:hint="eastAsia"/>
        </w:rPr>
      </w:pPr>
      <w:r>
        <w:rPr>
          <w:rFonts w:hint="eastAsia"/>
        </w:rPr>
        <w:t>4.</w:t>
      </w:r>
      <w:r>
        <w:rPr>
          <w:rFonts w:hint="eastAsia"/>
        </w:rPr>
        <w:tab/>
        <w:t>委员会欢迎缔约国部分撤销对关于妇女夜班的《公约》第十一条的保留，但注意到对关于对工作妇女予以特别保护的第十一条的保留仍然存在，吁请缔约国政府进一步努力撤销对第十一条的其余保留。</w:t>
      </w:r>
    </w:p>
    <w:p w:rsidR="00F85120" w:rsidRDefault="00F85120" w:rsidP="00F85120">
      <w:pPr>
        <w:pStyle w:val="SingleTxt"/>
        <w:rPr>
          <w:rFonts w:hint="eastAsia"/>
        </w:rPr>
      </w:pPr>
      <w:r>
        <w:rPr>
          <w:rFonts w:hint="eastAsia"/>
        </w:rPr>
        <w:t>5.</w:t>
      </w:r>
      <w:r>
        <w:rPr>
          <w:rFonts w:hint="eastAsia"/>
        </w:rPr>
        <w:tab/>
        <w:t>委员会赞扬缔约国于2000年9月批准《消除对妇女一切形式歧视公约任择议定书》并接受关于委员会会议时间的第二十条第1款的修正案。</w:t>
      </w:r>
    </w:p>
    <w:p w:rsidR="00F85120" w:rsidRDefault="00F85120" w:rsidP="00F85120">
      <w:pPr>
        <w:pStyle w:val="SingleTxt"/>
        <w:spacing w:after="100"/>
        <w:rPr>
          <w:rFonts w:hint="eastAsia"/>
        </w:rPr>
      </w:pPr>
      <w:r>
        <w:rPr>
          <w:rFonts w:hint="eastAsia"/>
        </w:rPr>
        <w:t>6.</w:t>
      </w:r>
      <w:r>
        <w:rPr>
          <w:rFonts w:hint="eastAsia"/>
        </w:rPr>
        <w:tab/>
        <w:t>委员会还赞扬缔约国反对其他缔约国提出的它认为与《公约》的目标和宗旨不相容的保留。</w:t>
      </w:r>
    </w:p>
    <w:p w:rsidR="00F85120" w:rsidRPr="00AE56CC" w:rsidRDefault="00F85120" w:rsidP="00F85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F85120" w:rsidRDefault="00F85120" w:rsidP="00F85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积极方面</w:t>
      </w:r>
    </w:p>
    <w:p w:rsidR="00F85120" w:rsidRPr="0022386E" w:rsidRDefault="00F85120" w:rsidP="00F85120">
      <w:pPr>
        <w:pStyle w:val="SingleTxt"/>
        <w:spacing w:after="0" w:line="120" w:lineRule="exact"/>
        <w:rPr>
          <w:rFonts w:hint="eastAsia"/>
          <w:sz w:val="10"/>
        </w:rPr>
      </w:pPr>
    </w:p>
    <w:p w:rsidR="00F85120" w:rsidRPr="00AE56CC" w:rsidRDefault="00F85120" w:rsidP="00F85120">
      <w:pPr>
        <w:pStyle w:val="SingleTxt"/>
        <w:spacing w:after="0" w:line="120" w:lineRule="exact"/>
        <w:rPr>
          <w:rFonts w:hint="eastAsia"/>
          <w:sz w:val="10"/>
        </w:rPr>
      </w:pPr>
    </w:p>
    <w:p w:rsidR="00F85120" w:rsidRDefault="00F85120" w:rsidP="00F85120">
      <w:pPr>
        <w:pStyle w:val="SingleTxt"/>
        <w:spacing w:after="100"/>
        <w:rPr>
          <w:rFonts w:hint="eastAsia"/>
        </w:rPr>
      </w:pPr>
      <w:r>
        <w:rPr>
          <w:rFonts w:hint="eastAsia"/>
        </w:rPr>
        <w:t>7.</w:t>
      </w:r>
      <w:r>
        <w:rPr>
          <w:rFonts w:hint="eastAsia"/>
        </w:rPr>
        <w:tab/>
        <w:t>委员会赞扬缔约国一系列旨在加强公共服务和大学等领域男女平等待遇的新法律和修正案，以及为履行《公约》规定的缔约国义务对刑法、产妇保护、陪产假和工作时间进行的修正。</w:t>
      </w:r>
    </w:p>
    <w:p w:rsidR="00F85120" w:rsidRDefault="00F85120" w:rsidP="00F85120">
      <w:pPr>
        <w:pStyle w:val="SingleTxt"/>
        <w:spacing w:after="100"/>
        <w:rPr>
          <w:rFonts w:hint="eastAsia"/>
        </w:rPr>
      </w:pPr>
      <w:r>
        <w:rPr>
          <w:rFonts w:hint="eastAsia"/>
        </w:rPr>
        <w:t>8.</w:t>
      </w:r>
      <w:r>
        <w:rPr>
          <w:rFonts w:hint="eastAsia"/>
        </w:rPr>
        <w:tab/>
        <w:t>委员会欢迎联邦总理办公厅任命一位妇女事务部长并在联邦一级和联邦财政部、教育、科学和文化部等几个部委中以及在卫生部门建立性别主流化结构和机制。</w:t>
      </w:r>
    </w:p>
    <w:p w:rsidR="00F85120" w:rsidRDefault="00F85120" w:rsidP="00F85120">
      <w:pPr>
        <w:pStyle w:val="SingleTxt"/>
        <w:spacing w:after="100"/>
        <w:rPr>
          <w:rFonts w:hint="eastAsia"/>
        </w:rPr>
      </w:pPr>
      <w:r>
        <w:rPr>
          <w:rFonts w:hint="eastAsia"/>
        </w:rPr>
        <w:t>9.</w:t>
      </w:r>
      <w:r>
        <w:rPr>
          <w:rFonts w:hint="eastAsia"/>
        </w:rPr>
        <w:tab/>
        <w:t>委员会赞扬缔约国部长理事会于2001年通过一项有关在所有部委和部门中使用性别敏感语言的动议。</w:t>
      </w:r>
    </w:p>
    <w:p w:rsidR="00F85120" w:rsidRPr="00AE56CC" w:rsidRDefault="00F85120" w:rsidP="00F85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F85120" w:rsidRDefault="00F85120" w:rsidP="00F85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主要关切领域和建议</w:t>
      </w:r>
    </w:p>
    <w:p w:rsidR="00F85120" w:rsidRPr="0022386E" w:rsidRDefault="00F85120" w:rsidP="00F85120">
      <w:pPr>
        <w:pStyle w:val="SingleTxt"/>
        <w:spacing w:after="0" w:line="120" w:lineRule="exact"/>
        <w:rPr>
          <w:rFonts w:hint="eastAsia"/>
          <w:sz w:val="10"/>
        </w:rPr>
      </w:pPr>
    </w:p>
    <w:p w:rsidR="00F85120" w:rsidRPr="00AE56CC" w:rsidRDefault="00F85120" w:rsidP="00F85120">
      <w:pPr>
        <w:pStyle w:val="SingleTxt"/>
        <w:spacing w:after="0" w:line="120" w:lineRule="exact"/>
        <w:rPr>
          <w:rFonts w:ascii="SimHei" w:eastAsia="SimHei" w:hint="eastAsia"/>
          <w:color w:val="FF0000"/>
          <w:sz w:val="10"/>
        </w:rPr>
      </w:pPr>
    </w:p>
    <w:p w:rsidR="00F85120" w:rsidRPr="0022386E" w:rsidRDefault="00F85120" w:rsidP="00F85120">
      <w:pPr>
        <w:pStyle w:val="SingleTxt"/>
        <w:spacing w:after="100"/>
        <w:rPr>
          <w:rFonts w:ascii="SimHei" w:eastAsia="SimHei" w:hint="eastAsia"/>
          <w:color w:val="FF0000"/>
        </w:rPr>
      </w:pPr>
      <w:r w:rsidRPr="0022386E">
        <w:rPr>
          <w:rFonts w:ascii="SimHei" w:eastAsia="SimHei" w:hint="eastAsia"/>
          <w:color w:val="FF0000"/>
        </w:rPr>
        <w:t>10.</w:t>
      </w:r>
      <w:r w:rsidRPr="0022386E">
        <w:rPr>
          <w:rFonts w:ascii="SimHei" w:eastAsia="SimHei" w:hint="eastAsia"/>
          <w:color w:val="FF0000"/>
        </w:rPr>
        <w:tab/>
        <w:t>委员会提请注意，缔约国有义务系统地、持续地实施《公约》的所有规定。委员会认为，从现在到下一次定期报告提交之日，缔约国需要优先重视本结论意见提出的关切和建议。因此，委员会吁请缔约国在执行《公约》的活动中重点注意这些领域，在下次定期报告中汇报已采取的行动和取得的成果。委员会吁请缔约国将本结论意见发交各相关部委和议会，确保这些意见能得到充分实施。</w:t>
      </w:r>
    </w:p>
    <w:p w:rsidR="00F85120" w:rsidRDefault="00F85120" w:rsidP="00F85120">
      <w:pPr>
        <w:pStyle w:val="SingleTxt"/>
        <w:spacing w:after="100"/>
        <w:rPr>
          <w:rFonts w:hint="eastAsia"/>
        </w:rPr>
      </w:pPr>
      <w:r>
        <w:rPr>
          <w:rFonts w:hint="eastAsia"/>
        </w:rPr>
        <w:t>11.</w:t>
      </w:r>
      <w:r>
        <w:rPr>
          <w:rFonts w:hint="eastAsia"/>
        </w:rPr>
        <w:tab/>
        <w:t>委员会注意到2004年《平等待遇法》的覆盖范围扩及于一切形式的基于各种理由的歧视，包括性别歧视在内，并加强了工作场所男女平等待遇的规定。委员会关注《平等待遇法》把重点放在工作场所中对妇女的性别歧视问题上，可能导致《公约》所涉其他领域歧视妇女问题的可见度或对这些领域的关注的减少。委员会还关注，在处理歧视妇女问题方面，委员会的任务仅将重点放在就业领域，但对基于种族或族裔本源的歧视则涉及生活的其他领域。</w:t>
      </w:r>
    </w:p>
    <w:p w:rsidR="00F85120" w:rsidRPr="0022386E" w:rsidRDefault="00F85120" w:rsidP="00F85120">
      <w:pPr>
        <w:pStyle w:val="SingleTxt"/>
        <w:spacing w:after="100"/>
        <w:rPr>
          <w:rFonts w:ascii="SimHei" w:eastAsia="SimHei" w:hint="eastAsia"/>
          <w:color w:val="FF0000"/>
        </w:rPr>
      </w:pPr>
      <w:r w:rsidRPr="0022386E">
        <w:rPr>
          <w:rFonts w:ascii="SimHei" w:eastAsia="SimHei" w:hint="eastAsia"/>
          <w:color w:val="FF0000"/>
        </w:rPr>
        <w:t>12.</w:t>
      </w:r>
      <w:r w:rsidRPr="0022386E">
        <w:rPr>
          <w:rFonts w:ascii="SimHei" w:eastAsia="SimHei" w:hint="eastAsia"/>
          <w:color w:val="FF0000"/>
        </w:rPr>
        <w:tab/>
        <w:t>委员会敦促缔约国在所有领域确保男女待遇平等。委员会吁请缔约国仔细监督2004年《平等待遇法》的执行情况，并采取适当措施以确保有效使用《平等待遇法》扩大的范围和平等待遇委员会更广泛的授权以便在《公约》所涉所有领域消除对妇女的歧视。</w:t>
      </w:r>
    </w:p>
    <w:p w:rsidR="00F85120" w:rsidRDefault="00F85120" w:rsidP="00F85120">
      <w:pPr>
        <w:pStyle w:val="SingleTxt"/>
        <w:spacing w:after="100"/>
        <w:rPr>
          <w:rFonts w:hint="eastAsia"/>
        </w:rPr>
      </w:pPr>
      <w:r>
        <w:rPr>
          <w:rFonts w:hint="eastAsia"/>
        </w:rPr>
        <w:t>13.</w:t>
      </w:r>
      <w:r>
        <w:rPr>
          <w:rFonts w:hint="eastAsia"/>
        </w:rPr>
        <w:tab/>
        <w:t>委员会欢迎任命一位妇女事务部长，但担心近年来为提高妇女地位对国家机构进行的反复改组会导致两性平等政策缺乏连续性，特别是缔约国还缺乏一项有关两性平等的国家行动计划。</w:t>
      </w:r>
    </w:p>
    <w:p w:rsidR="00F85120" w:rsidRPr="00FE3612" w:rsidRDefault="00F85120" w:rsidP="00F85120">
      <w:pPr>
        <w:pStyle w:val="SingleTxt"/>
        <w:spacing w:after="120"/>
        <w:rPr>
          <w:rFonts w:ascii="SimHei" w:eastAsia="SimHei" w:hint="eastAsia"/>
          <w:color w:val="FF0000"/>
        </w:rPr>
      </w:pPr>
      <w:r w:rsidRPr="0022386E">
        <w:rPr>
          <w:rFonts w:ascii="SimHei" w:eastAsia="SimHei" w:hint="eastAsia"/>
          <w:color w:val="FF0000"/>
        </w:rPr>
        <w:t>14.</w:t>
      </w:r>
      <w:r w:rsidRPr="0022386E">
        <w:rPr>
          <w:rFonts w:ascii="SimHei" w:eastAsia="SimHei" w:hint="eastAsia"/>
          <w:color w:val="FF0000"/>
        </w:rPr>
        <w:tab/>
        <w:t>委员会鼓励缔约国制订一份有关两性平等的国家行动计划，由所有政府部门参与并与相关非政府组织协商制定。委员会吁请缔约国确保用于提高妇女地位的国家机构拥有必要的可见度、决策权以及人力和财务资源，使其能够有效履行促</w:t>
      </w:r>
      <w:r w:rsidRPr="00FE3612">
        <w:rPr>
          <w:rFonts w:ascii="SimHei" w:eastAsia="SimHei" w:hint="eastAsia"/>
          <w:color w:val="FF0000"/>
        </w:rPr>
        <w:t>进两性平等的任务，包括在所有政府部委和机构中、在所有部门领域中使用性别主流化战略。</w:t>
      </w:r>
    </w:p>
    <w:p w:rsidR="00F85120" w:rsidRDefault="00F85120" w:rsidP="00F85120">
      <w:pPr>
        <w:pStyle w:val="SingleTxt"/>
        <w:spacing w:after="120"/>
        <w:rPr>
          <w:rFonts w:hint="eastAsia"/>
        </w:rPr>
      </w:pPr>
      <w:r>
        <w:rPr>
          <w:rFonts w:hint="eastAsia"/>
        </w:rPr>
        <w:t>15.</w:t>
      </w:r>
      <w:r>
        <w:rPr>
          <w:rFonts w:hint="eastAsia"/>
        </w:rPr>
        <w:tab/>
        <w:t>委员会感到关切的是缔约国缺乏有效机制来定期监督和评价旨在促进两性平等和妇女享受人权的法律、政策和计划的执行进展情况和影响力，同时关切联邦和州之间在履行《公约》方面的体制联系不足。</w:t>
      </w:r>
    </w:p>
    <w:p w:rsidR="00F85120" w:rsidRPr="00FE3612" w:rsidRDefault="00F85120" w:rsidP="00F85120">
      <w:pPr>
        <w:pStyle w:val="SingleTxt"/>
        <w:spacing w:after="120"/>
        <w:rPr>
          <w:rFonts w:ascii="SimHei" w:eastAsia="SimHei" w:hint="eastAsia"/>
          <w:color w:val="FF0000"/>
        </w:rPr>
      </w:pPr>
      <w:r w:rsidRPr="00FE3612">
        <w:rPr>
          <w:rFonts w:ascii="SimHei" w:eastAsia="SimHei" w:hint="eastAsia"/>
          <w:color w:val="FF0000"/>
        </w:rPr>
        <w:t>16.</w:t>
      </w:r>
      <w:r w:rsidRPr="00FE3612">
        <w:rPr>
          <w:rFonts w:ascii="SimHei" w:eastAsia="SimHei" w:hint="eastAsia"/>
          <w:color w:val="FF0000"/>
        </w:rPr>
        <w:tab/>
        <w:t>委员会建议缔约国采取必要步骤，确保对所有促进两性平等措施实行系统的监督和评价，还请联邦政府设立与各州进行协调的有效机制，以确保在全国各地全面履行《公约》。</w:t>
      </w:r>
    </w:p>
    <w:p w:rsidR="00F85120" w:rsidRDefault="00F85120" w:rsidP="00F85120">
      <w:pPr>
        <w:pStyle w:val="SingleTxt"/>
        <w:spacing w:after="120"/>
        <w:rPr>
          <w:rFonts w:hint="eastAsia"/>
        </w:rPr>
      </w:pPr>
      <w:r>
        <w:rPr>
          <w:rFonts w:hint="eastAsia"/>
        </w:rPr>
        <w:t>17.</w:t>
      </w:r>
      <w:r>
        <w:rPr>
          <w:rFonts w:hint="eastAsia"/>
        </w:rPr>
        <w:tab/>
        <w:t>委员会欢迎缔约国努力消除歧视妇女和企图维持男女不平等的陈规定型观念和行为，但同时仍然关切关于妇女和男子在家庭和社会的角色和责任的传统观念和定位根深蒂固，持续存在。委员会特别感到关切的是妇女主要相夫教子和照顾家人，而男子主要养家糊口的定型观念持续存在。这些陈规定型影响了妇女的社会地位，造成妇女在劳动力市场、在决策岗位、在学习和专业机会的选择和在家庭和家务的分工等一系列领域处于不利地位，这大大妨碍了《公约》第二条</w:t>
      </w:r>
      <w:r>
        <w:t>(a)</w:t>
      </w:r>
      <w:r>
        <w:rPr>
          <w:rFonts w:hint="eastAsia"/>
        </w:rPr>
        <w:t>款所规定的男女平等原则的真正实现。</w:t>
      </w:r>
    </w:p>
    <w:p w:rsidR="00F85120" w:rsidRPr="00FE3612" w:rsidRDefault="00F85120" w:rsidP="00F85120">
      <w:pPr>
        <w:pStyle w:val="SingleTxt"/>
        <w:spacing w:after="120"/>
        <w:rPr>
          <w:rFonts w:ascii="SimHei" w:eastAsia="SimHei" w:hint="eastAsia"/>
          <w:color w:val="FF0000"/>
        </w:rPr>
      </w:pPr>
      <w:r w:rsidRPr="00FE3612">
        <w:rPr>
          <w:rFonts w:ascii="SimHei" w:eastAsia="SimHei" w:hint="eastAsia"/>
          <w:color w:val="FF0000"/>
        </w:rPr>
        <w:t>18.</w:t>
      </w:r>
      <w:r w:rsidRPr="00FE3612">
        <w:rPr>
          <w:rFonts w:ascii="SimHei" w:eastAsia="SimHei" w:hint="eastAsia"/>
          <w:color w:val="FF0000"/>
        </w:rPr>
        <w:tab/>
        <w:t>委员会吁请缔约国按照《公约》第二条</w:t>
      </w:r>
      <w:r w:rsidRPr="00FE3612">
        <w:rPr>
          <w:rFonts w:ascii="SimHei" w:eastAsia="SimHei"/>
          <w:color w:val="FF0000"/>
        </w:rPr>
        <w:t>(f)</w:t>
      </w:r>
      <w:r w:rsidRPr="00FE3612">
        <w:rPr>
          <w:rFonts w:ascii="SimHei" w:eastAsia="SimHei" w:hint="eastAsia"/>
          <w:color w:val="FF0000"/>
        </w:rPr>
        <w:t>款和第五条</w:t>
      </w:r>
      <w:r w:rsidRPr="00FE3612">
        <w:rPr>
          <w:rFonts w:ascii="SimHei" w:eastAsia="SimHei"/>
          <w:color w:val="FF0000"/>
        </w:rPr>
        <w:t>(a)</w:t>
      </w:r>
      <w:r w:rsidRPr="00FE3612">
        <w:rPr>
          <w:rFonts w:ascii="SimHei" w:eastAsia="SimHei" w:hint="eastAsia"/>
          <w:color w:val="FF0000"/>
        </w:rPr>
        <w:t>款的规定全面采取措施，克服关于妇女和男子在社会和家庭角色的传统定型观念。这一办法应该包括法律、政策和提高认识措施，让公职人员和民间社会都参与进来，针对全体国民，尤其是男子和男孩，还应该让各种媒体，包括广播、电视和印刷媒体都参与进来，并涵盖专题方案和一般方案。委员会吁请缔约国进一步鼓励男孩和女孩的教育选择多样化，鼓励进一步分担家庭责任。</w:t>
      </w:r>
    </w:p>
    <w:p w:rsidR="00F85120" w:rsidRDefault="00F85120" w:rsidP="00F85120">
      <w:pPr>
        <w:pStyle w:val="SingleTxt"/>
        <w:spacing w:after="120"/>
        <w:rPr>
          <w:rFonts w:hint="eastAsia"/>
        </w:rPr>
      </w:pPr>
      <w:r>
        <w:rPr>
          <w:rFonts w:hint="eastAsia"/>
        </w:rPr>
        <w:t>19.</w:t>
      </w:r>
      <w:r>
        <w:rPr>
          <w:rFonts w:hint="eastAsia"/>
        </w:rPr>
        <w:tab/>
        <w:t>委员会认可缔约国为鼓励妇女参与就业而采取的各项行动，但同时关切妇女在劳动力市场仍处于弱势地位。委员会尤其感到关切的是，严重的职业隔离持续存在，工资差距明显，妇女就业高度集中于兼职和低薪工作，由此造成妇女养老金福利和社会保障受到影响。委员会关切地注意到妇女在劳动力市场的不平等境况对其贫困程度产生影响。</w:t>
      </w:r>
    </w:p>
    <w:p w:rsidR="00F85120" w:rsidRPr="00FE3612" w:rsidRDefault="00F85120" w:rsidP="00F85120">
      <w:pPr>
        <w:pStyle w:val="SingleTxt"/>
        <w:spacing w:after="120"/>
        <w:rPr>
          <w:rFonts w:ascii="SimHei" w:eastAsia="SimHei" w:hint="eastAsia"/>
          <w:color w:val="FF0000"/>
        </w:rPr>
      </w:pPr>
      <w:r w:rsidRPr="00FE3612">
        <w:rPr>
          <w:rFonts w:ascii="SimHei" w:eastAsia="SimHei" w:hint="eastAsia"/>
          <w:color w:val="FF0000"/>
        </w:rPr>
        <w:t>20.</w:t>
      </w:r>
      <w:r w:rsidRPr="00FE3612">
        <w:rPr>
          <w:rFonts w:ascii="SimHei" w:eastAsia="SimHei" w:hint="eastAsia"/>
          <w:color w:val="FF0000"/>
        </w:rPr>
        <w:tab/>
        <w:t>委员会敦促缔约国制定政策并积极采取具体措施，消除横向和纵向职业隔离现象，缩小并弥合男女工资差距。委员会吁请缔约国作为优先事项实现男女事实上的就业平等，通过采集和分析按性别、技能及兼职和全职工作部门分列的数据监测趋势以及监测所采取的措施的影响和取得的结果，并采取必要的纠正步骤。委员会注意到近期的立法改革，但呼吁缔约国确保妇女享受适当的养老金和全面社会福利，以便缓解妇女的贫困程度。</w:t>
      </w:r>
    </w:p>
    <w:p w:rsidR="00F85120" w:rsidRDefault="00F85120" w:rsidP="00F85120">
      <w:pPr>
        <w:pStyle w:val="SingleTxt"/>
        <w:rPr>
          <w:rFonts w:hint="eastAsia"/>
        </w:rPr>
      </w:pPr>
      <w:r>
        <w:rPr>
          <w:rFonts w:hint="eastAsia"/>
        </w:rPr>
        <w:t>21.</w:t>
      </w:r>
      <w:r>
        <w:rPr>
          <w:rFonts w:hint="eastAsia"/>
        </w:rPr>
        <w:tab/>
        <w:t>委员会认识到缔约国为鼓励家庭责任的分担稳步增加了儿童保育设施并制定了新的法律和政策措施，但仍然关切妇女在兼顾家庭和工作及责任方面继续面临多重挑战。</w:t>
      </w:r>
    </w:p>
    <w:p w:rsidR="00F85120" w:rsidRPr="00FE3612" w:rsidRDefault="00F85120" w:rsidP="00F85120">
      <w:pPr>
        <w:pStyle w:val="SingleTxt"/>
        <w:spacing w:after="100"/>
        <w:rPr>
          <w:rFonts w:ascii="SimHei" w:eastAsia="SimHei" w:hint="eastAsia"/>
          <w:color w:val="FF0000"/>
        </w:rPr>
      </w:pPr>
      <w:r w:rsidRPr="00FE3612">
        <w:rPr>
          <w:rFonts w:ascii="SimHei" w:eastAsia="SimHei" w:hint="eastAsia"/>
          <w:color w:val="FF0000"/>
        </w:rPr>
        <w:t>22.</w:t>
      </w:r>
      <w:r w:rsidRPr="00FE3612">
        <w:rPr>
          <w:rFonts w:ascii="SimHei" w:eastAsia="SimHei" w:hint="eastAsia"/>
          <w:color w:val="FF0000"/>
        </w:rPr>
        <w:tab/>
        <w:t>委员会建议制定并执行进一步措施，为兼顾家庭和工作提供便利，包括为不同年龄段的儿童提供更多的保育设施，委员会还建议促使男子承担更多的家务，以便妇女和男子均衡地参与家庭和公共生活。</w:t>
      </w:r>
    </w:p>
    <w:p w:rsidR="00F85120" w:rsidRDefault="00F85120" w:rsidP="00F85120">
      <w:pPr>
        <w:pStyle w:val="SingleTxt"/>
        <w:spacing w:after="100"/>
        <w:rPr>
          <w:rFonts w:hint="eastAsia"/>
        </w:rPr>
      </w:pPr>
      <w:r>
        <w:rPr>
          <w:rFonts w:hint="eastAsia"/>
        </w:rPr>
        <w:t>23.</w:t>
      </w:r>
      <w:r>
        <w:rPr>
          <w:rFonts w:hint="eastAsia"/>
        </w:rPr>
        <w:tab/>
        <w:t>委员会认可缔约国为消除暴力侵害妇女行为所做的大量工作，包括采取立法措施和在内政部设立防止暴力侵害妇女行为委员会以及采取多种提高认识办法和提供某些支助服务，但委员会同时关切家庭暴力等暴力侵害妇女行为持续存在，缺乏打击一切形式的暴力侵害妇女行为全面战略而且缺乏有效的体制机制来协调、监督和评价政府为预防和消除这一祸害所采取的各项行动。委员会还关切地注意到这项工作所获得的支持，包括向受害者提供帮助的非政府组织所获得的财政支持有限，而且关于暴力侵害妇女行为的统计数据不足。</w:t>
      </w:r>
    </w:p>
    <w:p w:rsidR="00F85120" w:rsidRPr="00FE3612" w:rsidRDefault="00F85120" w:rsidP="00F85120">
      <w:pPr>
        <w:pStyle w:val="SingleTxt"/>
        <w:spacing w:after="100"/>
        <w:rPr>
          <w:rFonts w:ascii="SimHei" w:eastAsia="SimHei" w:hint="eastAsia"/>
          <w:color w:val="FF0000"/>
        </w:rPr>
      </w:pPr>
      <w:r w:rsidRPr="00FE3612">
        <w:rPr>
          <w:rFonts w:ascii="SimHei" w:eastAsia="SimHei" w:hint="eastAsia"/>
          <w:color w:val="FF0000"/>
        </w:rPr>
        <w:t>24.</w:t>
      </w:r>
      <w:r w:rsidRPr="00FE3612">
        <w:rPr>
          <w:rFonts w:ascii="SimHei" w:eastAsia="SimHei" w:hint="eastAsia"/>
          <w:color w:val="FF0000"/>
        </w:rPr>
        <w:tab/>
        <w:t>委员会吁请缔约国按照一般性建议19加紧努力，预防和消除一切形式的暴力侵害妇女行为，包括家庭暴力。委员会还吁请缔约国迅速推出关于预防和消除一切形式的暴力侵害妇女行为的全面战略、行动计划或行动，建立用于协调、监督和评价所采取的措施效果的有效体制机制。委员会还吁请缔约国加紧努力，让人们进一步认识暴力侵害妇女行为，尤其是家庭暴力并认识到所有此类暴力行为都是不可接受的。委员会敦促缔约国向受暴力行为侵害的妇女提供安全的危机和干预中心和收容所，由专业人员提供服务，为保证这些设施的有效运行提供充足的财政资源。委员会建议缔约国与处理暴力侵害妇女问题的非政府组织加强合作并提供进一步支持。委员会还请缔约国系统地采集和公布按暴力类型及行为人与受害人关系分列的数据，并将这些数据作为监督当前和今后政策和支助措施执行情况的基础。</w:t>
      </w:r>
    </w:p>
    <w:p w:rsidR="00F85120" w:rsidRDefault="00F85120" w:rsidP="00F85120">
      <w:pPr>
        <w:pStyle w:val="SingleTxt"/>
        <w:spacing w:after="100"/>
        <w:rPr>
          <w:rFonts w:hint="eastAsia"/>
        </w:rPr>
      </w:pPr>
      <w:r>
        <w:rPr>
          <w:rFonts w:hint="eastAsia"/>
        </w:rPr>
        <w:t>25.</w:t>
      </w:r>
      <w:r>
        <w:rPr>
          <w:rFonts w:hint="eastAsia"/>
        </w:rPr>
        <w:tab/>
        <w:t>委员会欢迎诸如关于刑事诉讼中受害人权利的法律改革，设立部门间贩运人口问题工作组以及起草了一项即将通过的《打击贩运人口国家行动计划》，但委员会对奥地利持续存在的贩运妇女和女孩的情况仍然很关注。</w:t>
      </w:r>
    </w:p>
    <w:p w:rsidR="00F85120" w:rsidRPr="00BF0A1F" w:rsidRDefault="00F85120" w:rsidP="00F85120">
      <w:pPr>
        <w:pStyle w:val="SingleTxt"/>
        <w:spacing w:after="100"/>
        <w:rPr>
          <w:rFonts w:ascii="SimHei" w:eastAsia="SimHei" w:hint="eastAsia"/>
          <w:color w:val="FF0000"/>
        </w:rPr>
      </w:pPr>
      <w:r w:rsidRPr="00BF0A1F">
        <w:rPr>
          <w:rFonts w:ascii="SimHei" w:eastAsia="SimHei" w:hint="eastAsia"/>
          <w:color w:val="FF0000"/>
        </w:rPr>
        <w:t>26.</w:t>
      </w:r>
      <w:r w:rsidRPr="00BF0A1F">
        <w:rPr>
          <w:rFonts w:ascii="SimHei" w:eastAsia="SimHei" w:hint="eastAsia"/>
          <w:color w:val="FF0000"/>
        </w:rPr>
        <w:tab/>
      </w:r>
      <w:r>
        <w:rPr>
          <w:rFonts w:ascii="SimHei" w:eastAsia="SimHei" w:hint="eastAsia"/>
          <w:color w:val="FF0000"/>
        </w:rPr>
        <w:t>委员会请</w:t>
      </w:r>
      <w:r w:rsidRPr="00BF0A1F">
        <w:rPr>
          <w:rFonts w:ascii="SimHei" w:eastAsia="SimHei" w:hint="eastAsia"/>
          <w:color w:val="FF0000"/>
        </w:rPr>
        <w:t>缔约国确保新起草的《打击贩运人口国家行动计划》中包</w:t>
      </w:r>
      <w:r>
        <w:rPr>
          <w:rFonts w:ascii="SimHei" w:eastAsia="SimHei" w:hint="eastAsia"/>
          <w:color w:val="FF0000"/>
        </w:rPr>
        <w:t>含</w:t>
      </w:r>
      <w:r w:rsidRPr="00BF0A1F">
        <w:rPr>
          <w:rFonts w:ascii="SimHei" w:eastAsia="SimHei" w:hint="eastAsia"/>
          <w:color w:val="FF0000"/>
        </w:rPr>
        <w:t>一项打击贩运妇女和女孩的综合战略，并包括预防措施和确保有效起诉和惩治</w:t>
      </w:r>
      <w:r>
        <w:rPr>
          <w:rFonts w:ascii="SimHei" w:eastAsia="SimHei" w:hint="eastAsia"/>
          <w:color w:val="FF0000"/>
        </w:rPr>
        <w:t>行为人的措施以及受害人</w:t>
      </w:r>
      <w:r w:rsidRPr="00BF0A1F">
        <w:rPr>
          <w:rFonts w:ascii="SimHei" w:eastAsia="SimHei" w:hint="eastAsia"/>
          <w:color w:val="FF0000"/>
        </w:rPr>
        <w:t>支助和恢复措施，包括法律和心理方面的支助</w:t>
      </w:r>
      <w:r>
        <w:rPr>
          <w:rFonts w:ascii="SimHei" w:eastAsia="SimHei" w:hint="eastAsia"/>
          <w:color w:val="FF0000"/>
        </w:rPr>
        <w:t>，以及在必要时协助寻求其他谋生之道</w:t>
      </w:r>
      <w:r w:rsidRPr="00BF0A1F">
        <w:rPr>
          <w:rFonts w:ascii="SimHei" w:eastAsia="SimHei" w:hint="eastAsia"/>
          <w:color w:val="FF0000"/>
        </w:rPr>
        <w:t>。委员会还请</w:t>
      </w:r>
      <w:r>
        <w:rPr>
          <w:rFonts w:ascii="SimHei" w:eastAsia="SimHei" w:hint="eastAsia"/>
          <w:color w:val="FF0000"/>
        </w:rPr>
        <w:t>缔约</w:t>
      </w:r>
      <w:r w:rsidRPr="00BF0A1F">
        <w:rPr>
          <w:rFonts w:ascii="SimHei" w:eastAsia="SimHei" w:hint="eastAsia"/>
          <w:color w:val="FF0000"/>
        </w:rPr>
        <w:t>国加强对执法人员和边境巡逻人员的培训和能力建设，从而加强他们辨认可能的贩运受害人并提供帮助的能力。委员会还建议该缔约国进一步加强同来源国、</w:t>
      </w:r>
      <w:r>
        <w:rPr>
          <w:rFonts w:ascii="SimHei" w:eastAsia="SimHei" w:hint="eastAsia"/>
          <w:color w:val="FF0000"/>
        </w:rPr>
        <w:t>中转</w:t>
      </w:r>
      <w:r w:rsidRPr="00BF0A1F">
        <w:rPr>
          <w:rFonts w:ascii="SimHei" w:eastAsia="SimHei" w:hint="eastAsia"/>
          <w:color w:val="FF0000"/>
        </w:rPr>
        <w:t>国和目的地国的双边、区域和国际合作，从而进一步制止这一现象。委员会请该缔约国在下一次定期报告中提供关于贩运妇女和女孩以及执行新起草的《打击贩运人口国家行动计划》所采取的措施和取得的成果提供详尽资料和数据。</w:t>
      </w:r>
    </w:p>
    <w:p w:rsidR="00F85120" w:rsidRDefault="00F85120" w:rsidP="00F85120">
      <w:pPr>
        <w:pStyle w:val="SingleTxt"/>
        <w:spacing w:after="100"/>
        <w:rPr>
          <w:rFonts w:hint="eastAsia"/>
        </w:rPr>
      </w:pPr>
      <w:r>
        <w:rPr>
          <w:rFonts w:hint="eastAsia"/>
        </w:rPr>
        <w:t>27.</w:t>
      </w:r>
      <w:r>
        <w:rPr>
          <w:rFonts w:hint="eastAsia"/>
        </w:rPr>
        <w:tab/>
        <w:t>委员会欢迎在一些领域，特别是司法领域妇女参与和任职人数方面所取得的进展，但关注到，在一些通过选举和任命组成的机构中，特别是在行政部门和大学中，担任高级职位妇女人数仍然偏少，经济决策方面的情况也是如此。</w:t>
      </w:r>
    </w:p>
    <w:p w:rsidR="00F85120" w:rsidRPr="00BF0A1F" w:rsidRDefault="00F85120" w:rsidP="00F85120">
      <w:pPr>
        <w:pStyle w:val="SingleTxt"/>
        <w:rPr>
          <w:rFonts w:ascii="SimHei" w:eastAsia="SimHei" w:hint="eastAsia"/>
          <w:color w:val="FF0000"/>
        </w:rPr>
      </w:pPr>
      <w:r w:rsidRPr="00BF0A1F">
        <w:rPr>
          <w:rFonts w:ascii="SimHei" w:eastAsia="SimHei" w:hint="eastAsia"/>
          <w:color w:val="FF0000"/>
        </w:rPr>
        <w:t>28.</w:t>
      </w:r>
      <w:r w:rsidRPr="00BF0A1F">
        <w:rPr>
          <w:rFonts w:ascii="SimHei" w:eastAsia="SimHei" w:hint="eastAsia"/>
          <w:color w:val="FF0000"/>
        </w:rPr>
        <w:tab/>
        <w:t>委员会建议缔约国采取措施，特别是按照《公约》第四条第1款以及委员会一般性建议25,采取暂行特别措施，以加速实现妇女在所有通过选举和任命组成的机构中，特别是在决策层，充分平等地参与。委员会鼓励该国作出努力，加强妇女在学术界和经济决策中的领导地位。委员会请缔约国跟踪所采取的措施一段时间后产生的作用和成果，并在下一次报告中提供关于妇女在政府各部门和各级，包括在市府一级的代表比例情况。</w:t>
      </w:r>
    </w:p>
    <w:p w:rsidR="00F85120" w:rsidRDefault="00F85120" w:rsidP="00F85120">
      <w:pPr>
        <w:pStyle w:val="SingleTxt"/>
        <w:rPr>
          <w:rFonts w:hint="eastAsia"/>
        </w:rPr>
      </w:pPr>
      <w:r>
        <w:rPr>
          <w:rFonts w:hint="eastAsia"/>
        </w:rPr>
        <w:t>29.</w:t>
      </w:r>
      <w:r>
        <w:rPr>
          <w:rFonts w:hint="eastAsia"/>
        </w:rPr>
        <w:tab/>
        <w:t>委员会欢迎移民法方面的积极变化，包括修订2002年《外国人法》和2004年《庇护法》，以及设立了联邦一级的移民妇女服务处，并表示打算制定一项移民行动计划，但委员会表示关注，一些妇女和女孩群组，包括移民、寻求庇护者和难民，在教育、医疗卫生、就业和社会以及政治参与方面可能受到多种形式的歧视。委员会关心的问题还有，上述群体中的一些妇女可能特别容易陷入贫穷和遭受暴力，包括家庭暴力，并在获得居留证、社会服务以及找到符合其教育水平、经验和资格的工作方面遇到困难。</w:t>
      </w:r>
    </w:p>
    <w:p w:rsidR="00F85120" w:rsidRPr="0022386E" w:rsidRDefault="00F85120" w:rsidP="00F85120">
      <w:pPr>
        <w:pStyle w:val="SingleTxt"/>
        <w:rPr>
          <w:rFonts w:ascii="SimHei" w:eastAsia="SimHei" w:hint="eastAsia"/>
          <w:color w:val="FF0000"/>
        </w:rPr>
      </w:pPr>
      <w:r w:rsidRPr="0022386E">
        <w:rPr>
          <w:rFonts w:ascii="SimHei" w:eastAsia="SimHei" w:hint="eastAsia"/>
          <w:color w:val="FF0000"/>
        </w:rPr>
        <w:t>30.</w:t>
      </w:r>
      <w:r w:rsidRPr="0022386E">
        <w:rPr>
          <w:rFonts w:ascii="SimHei" w:eastAsia="SimHei" w:hint="eastAsia"/>
          <w:color w:val="FF0000"/>
        </w:rPr>
        <w:tab/>
        <w:t>委员会呼吁该缔约国不断审查并详细跟踪其法律和政策对移民妇女、难民妇女和寻求庇护妇女造成的影响，从而采取能够有效解决这些妇女需要的补救措施</w:t>
      </w:r>
      <w:r>
        <w:rPr>
          <w:rFonts w:ascii="SimHei" w:eastAsia="SimHei" w:hint="eastAsia"/>
          <w:color w:val="FF0000"/>
        </w:rPr>
        <w:t>，包括在移民行动计划中明确采取性别观点</w:t>
      </w:r>
      <w:r w:rsidRPr="0022386E">
        <w:rPr>
          <w:rFonts w:ascii="SimHei" w:eastAsia="SimHei" w:hint="eastAsia"/>
          <w:color w:val="FF0000"/>
        </w:rPr>
        <w:t>。委员会请该缔约国特别注意正在申请庇护的妇女的弱势处境。委员会还建议采取措施，使处于弱势的所有少数群体妇女都融入社会和劳动市场，从而在事实上提高所有妇女的地位。</w:t>
      </w:r>
    </w:p>
    <w:p w:rsidR="00F85120" w:rsidRPr="00FE3612" w:rsidRDefault="00F85120" w:rsidP="00F85120">
      <w:pPr>
        <w:pStyle w:val="SingleTxt"/>
        <w:rPr>
          <w:rFonts w:ascii="SimHei" w:eastAsia="SimHei" w:hint="eastAsia"/>
          <w:color w:val="FF0000"/>
        </w:rPr>
      </w:pPr>
      <w:r w:rsidRPr="00FE3612">
        <w:rPr>
          <w:rFonts w:ascii="SimHei" w:eastAsia="SimHei" w:hint="eastAsia"/>
          <w:color w:val="FF0000"/>
        </w:rPr>
        <w:t>31.</w:t>
      </w:r>
      <w:r w:rsidRPr="00FE3612">
        <w:rPr>
          <w:rFonts w:ascii="SimHei" w:eastAsia="SimHei" w:hint="eastAsia"/>
          <w:color w:val="FF0000"/>
        </w:rPr>
        <w:tab/>
        <w:t>委员会敦促缔约国在执行《公约》规定的各项义务时，充分利用加强《公约》各项规定的《北京宣言和行动纲要》，并请缔约国在下一次定期报告中就此提供资料。</w:t>
      </w:r>
    </w:p>
    <w:p w:rsidR="00F85120" w:rsidRPr="00FE3612" w:rsidRDefault="00F85120" w:rsidP="00F85120">
      <w:pPr>
        <w:pStyle w:val="SingleTxt"/>
        <w:rPr>
          <w:rFonts w:ascii="SimHei" w:eastAsia="SimHei" w:hint="eastAsia"/>
          <w:color w:val="FF0000"/>
        </w:rPr>
      </w:pPr>
      <w:r w:rsidRPr="00FE3612">
        <w:rPr>
          <w:rFonts w:ascii="SimHei" w:eastAsia="SimHei" w:hint="eastAsia"/>
          <w:color w:val="FF0000"/>
        </w:rPr>
        <w:t>32.</w:t>
      </w:r>
      <w:r w:rsidRPr="00FE3612">
        <w:rPr>
          <w:rFonts w:ascii="SimHei" w:eastAsia="SimHei" w:hint="eastAsia"/>
          <w:color w:val="FF0000"/>
        </w:rPr>
        <w:tab/>
      </w:r>
      <w:r>
        <w:rPr>
          <w:rFonts w:ascii="SimHei" w:eastAsia="SimHei" w:hint="eastAsia"/>
          <w:color w:val="FF0000"/>
        </w:rPr>
        <w:t>委员会</w:t>
      </w:r>
      <w:r w:rsidRPr="00FE3612">
        <w:rPr>
          <w:rFonts w:ascii="SimHei" w:eastAsia="SimHei" w:hint="eastAsia"/>
          <w:color w:val="FF0000"/>
        </w:rPr>
        <w:t>强调，充分有效地执行《公约》对实现千年发展目标必不可少。委员会要求将性别观点纳入所有旨在实现千年发展目标的工作中，明确反映《公约》的各项规定，并请缔约国在下一次定期报告中就此提供资料。</w:t>
      </w:r>
    </w:p>
    <w:p w:rsidR="00F85120" w:rsidRPr="00FE3612" w:rsidRDefault="00F85120" w:rsidP="00F85120">
      <w:pPr>
        <w:pStyle w:val="SingleTxt"/>
        <w:rPr>
          <w:rFonts w:ascii="SimHei" w:eastAsia="SimHei" w:hint="eastAsia"/>
          <w:color w:val="FF0000"/>
        </w:rPr>
      </w:pPr>
      <w:r w:rsidRPr="00FE3612">
        <w:rPr>
          <w:rFonts w:ascii="SimHei" w:eastAsia="SimHei" w:hint="eastAsia"/>
          <w:color w:val="FF0000"/>
        </w:rPr>
        <w:t>33.</w:t>
      </w:r>
      <w:r w:rsidRPr="00FE3612">
        <w:rPr>
          <w:rFonts w:ascii="SimHei" w:eastAsia="SimHei" w:hint="eastAsia"/>
          <w:color w:val="FF0000"/>
        </w:rPr>
        <w:tab/>
        <w:t>委员会指出，各国遵守七项主要国际人权文书，</w:t>
      </w:r>
      <w:r w:rsidRPr="003418B4">
        <w:rPr>
          <w:rStyle w:val="FootnoteReference"/>
          <w:rFonts w:ascii="SimHei" w:eastAsia="SimHei"/>
        </w:rPr>
        <w:footnoteReference w:id="1"/>
      </w:r>
      <w:r w:rsidRPr="00FE3612">
        <w:rPr>
          <w:rFonts w:ascii="SimHei" w:eastAsia="SimHei"/>
          <w:color w:val="FF0000"/>
        </w:rPr>
        <w:t xml:space="preserve"> </w:t>
      </w:r>
      <w:r w:rsidRPr="00FE3612">
        <w:rPr>
          <w:rFonts w:ascii="SimHei" w:eastAsia="SimHei" w:hint="eastAsia"/>
          <w:color w:val="FF0000"/>
        </w:rPr>
        <w:t>可促进妇女在生活的各个方面享有人权和基本自由。因此、委员会鼓励奥地利政府考虑批准它尚未</w:t>
      </w:r>
      <w:r>
        <w:rPr>
          <w:rFonts w:ascii="SimHei" w:eastAsia="SimHei" w:hint="eastAsia"/>
          <w:color w:val="FF0000"/>
        </w:rPr>
        <w:t>参</w:t>
      </w:r>
      <w:r w:rsidRPr="00FE3612">
        <w:rPr>
          <w:rFonts w:ascii="SimHei" w:eastAsia="SimHei" w:hint="eastAsia"/>
          <w:color w:val="FF0000"/>
        </w:rPr>
        <w:t>加的条约，即《保护所有移徙工人及其家庭成员权利国际公约》。</w:t>
      </w:r>
    </w:p>
    <w:p w:rsidR="00F85120" w:rsidRPr="00FE3612" w:rsidRDefault="00F85120" w:rsidP="00F85120">
      <w:pPr>
        <w:pStyle w:val="SingleTxt"/>
        <w:rPr>
          <w:rFonts w:ascii="SimHei" w:eastAsia="SimHei"/>
          <w:color w:val="FF0000"/>
        </w:rPr>
      </w:pPr>
      <w:r w:rsidRPr="00FE3612">
        <w:rPr>
          <w:rFonts w:ascii="SimHei" w:eastAsia="SimHei" w:hint="eastAsia"/>
          <w:color w:val="FF0000"/>
        </w:rPr>
        <w:t>34.</w:t>
      </w:r>
      <w:r w:rsidRPr="00FE3612">
        <w:rPr>
          <w:rFonts w:ascii="SimHei" w:eastAsia="SimHei" w:hint="eastAsia"/>
          <w:color w:val="FF0000"/>
        </w:rPr>
        <w:tab/>
        <w:t>委员会请奥地利在国内广泛散发本结论意见，使奥地利人民，包括政府官员、政界人士、议员和妇女组织及人权组织了解为确保妇女在法律上和事实上的平等已经采取的措施以及今后在这方面应采取的措施。委员会请缔约国继续特别是向妇女组织和人权组织广泛散发《公约》及其《任择议定书》、委员会的一般性建议、《北京宣言和行动纲要》以及大会题为“2000年妇女：二十一世纪两性平等、发展与和平”的第二十三届特别会议成果。</w:t>
      </w:r>
    </w:p>
    <w:p w:rsidR="00F85120" w:rsidRPr="00FE3612" w:rsidRDefault="00F85120" w:rsidP="00F85120">
      <w:pPr>
        <w:pStyle w:val="SingleTxt"/>
        <w:rPr>
          <w:rFonts w:ascii="SimHei" w:eastAsia="SimHei" w:hint="eastAsia"/>
          <w:color w:val="FF0000"/>
        </w:rPr>
      </w:pPr>
      <w:r w:rsidRPr="00FE3612">
        <w:rPr>
          <w:rFonts w:ascii="SimHei" w:eastAsia="SimHei" w:hint="eastAsia"/>
          <w:color w:val="FF0000"/>
        </w:rPr>
        <w:t>35.</w:t>
      </w:r>
      <w:r w:rsidRPr="00FE3612">
        <w:rPr>
          <w:rFonts w:ascii="SimHei" w:eastAsia="SimHei" w:hint="eastAsia"/>
          <w:color w:val="FF0000"/>
        </w:rPr>
        <w:tab/>
        <w:t>委员会请缔约国在其根据《公约》第十八条提交的下一次定期报告中对本结论意见所述</w:t>
      </w:r>
      <w:r>
        <w:rPr>
          <w:rFonts w:ascii="SimHei" w:eastAsia="SimHei" w:hint="eastAsia"/>
          <w:color w:val="FF0000"/>
        </w:rPr>
        <w:t>各项</w:t>
      </w:r>
      <w:r w:rsidRPr="00FE3612">
        <w:rPr>
          <w:rFonts w:ascii="SimHei" w:eastAsia="SimHei" w:hint="eastAsia"/>
          <w:color w:val="FF0000"/>
        </w:rPr>
        <w:t>关切</w:t>
      </w:r>
      <w:r>
        <w:rPr>
          <w:rFonts w:ascii="SimHei" w:eastAsia="SimHei" w:hint="eastAsia"/>
          <w:color w:val="FF0000"/>
        </w:rPr>
        <w:t>作出答复。委员会请缔约国</w:t>
      </w:r>
      <w:r w:rsidRPr="00FE3612">
        <w:rPr>
          <w:rFonts w:ascii="SimHei" w:eastAsia="SimHei" w:hint="eastAsia"/>
          <w:color w:val="FF0000"/>
        </w:rPr>
        <w:t>在2011年提交一份合并报告，其中包括应于2007年4月提交的第七次定期报告和应于2011年4月提交的第八次定期报告。</w:t>
      </w:r>
    </w:p>
    <w:p w:rsidR="00EA31C3" w:rsidRPr="00E74889" w:rsidRDefault="00E74889" w:rsidP="00E74889">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E74889" w:rsidSect="00436DFB">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6T13:53:00Z" w:initials="Start">
    <w:p w:rsidR="00E01448" w:rsidRDefault="00E0144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NO&gt;&gt;N0724343C&lt;&lt;ODS JOB NO&gt;&gt;</w:t>
      </w:r>
    </w:p>
    <w:p w:rsidR="00E01448" w:rsidRDefault="00E01448">
      <w:pPr>
        <w:pStyle w:val="CommentText"/>
      </w:pPr>
      <w:r>
        <w:t>&lt;&lt;ODS DOC SYMBOL1&gt;&gt;CEDAW/C/AUT/CO/6&lt;&lt;ODS DOC SYMBOL1&gt;&gt;</w:t>
      </w:r>
    </w:p>
    <w:p w:rsidR="00E01448" w:rsidRDefault="00E014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EA7" w:rsidRDefault="00A94EA7" w:rsidP="00436DFB">
      <w:pPr>
        <w:pStyle w:val="Header"/>
      </w:pPr>
      <w:r>
        <w:separator/>
      </w:r>
    </w:p>
  </w:endnote>
  <w:endnote w:type="continuationSeparator" w:id="0">
    <w:p w:rsidR="00A94EA7" w:rsidRDefault="00A94EA7" w:rsidP="00436DF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01448" w:rsidTr="00436DFB">
      <w:tblPrEx>
        <w:tblCellMar>
          <w:top w:w="0" w:type="dxa"/>
          <w:bottom w:w="0" w:type="dxa"/>
        </w:tblCellMar>
      </w:tblPrEx>
      <w:tc>
        <w:tcPr>
          <w:tcW w:w="5033" w:type="dxa"/>
          <w:shd w:val="clear" w:color="auto" w:fill="auto"/>
          <w:vAlign w:val="bottom"/>
        </w:tcPr>
        <w:p w:rsidR="00E01448" w:rsidRPr="00436DFB" w:rsidRDefault="00E01448" w:rsidP="00436DFB">
          <w:pPr>
            <w:pStyle w:val="Footer"/>
            <w:jc w:val="left"/>
          </w:pPr>
          <w:r>
            <w:fldChar w:fldCharType="begin"/>
          </w:r>
          <w:r>
            <w:instrText xml:space="preserve"> PAGE  \* MERGEFORMAT </w:instrText>
          </w:r>
          <w:r>
            <w:fldChar w:fldCharType="separate"/>
          </w:r>
          <w:r w:rsidR="00582315">
            <w:t>2</w:t>
          </w:r>
          <w:r>
            <w:fldChar w:fldCharType="end"/>
          </w:r>
        </w:p>
      </w:tc>
      <w:tc>
        <w:tcPr>
          <w:tcW w:w="5033" w:type="dxa"/>
          <w:shd w:val="clear" w:color="auto" w:fill="auto"/>
          <w:vAlign w:val="bottom"/>
        </w:tcPr>
        <w:p w:rsidR="00E01448" w:rsidRPr="00436DFB" w:rsidRDefault="00E01448" w:rsidP="00436DF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07-24343</w:t>
          </w:r>
          <w:r>
            <w:rPr>
              <w:b w:val="0"/>
              <w:sz w:val="14"/>
            </w:rPr>
            <w:fldChar w:fldCharType="end"/>
          </w:r>
        </w:p>
      </w:tc>
    </w:tr>
  </w:tbl>
  <w:p w:rsidR="00E01448" w:rsidRPr="00436DFB" w:rsidRDefault="00E01448" w:rsidP="00436D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01448" w:rsidTr="00436DFB">
      <w:tblPrEx>
        <w:tblCellMar>
          <w:top w:w="0" w:type="dxa"/>
          <w:bottom w:w="0" w:type="dxa"/>
        </w:tblCellMar>
      </w:tblPrEx>
      <w:tc>
        <w:tcPr>
          <w:tcW w:w="5033" w:type="dxa"/>
          <w:shd w:val="clear" w:color="auto" w:fill="auto"/>
          <w:vAlign w:val="bottom"/>
        </w:tcPr>
        <w:p w:rsidR="00E01448" w:rsidRPr="00436DFB" w:rsidRDefault="00E01448" w:rsidP="00436DFB">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07-24343</w:t>
          </w:r>
          <w:r>
            <w:rPr>
              <w:b w:val="0"/>
              <w:sz w:val="14"/>
            </w:rPr>
            <w:fldChar w:fldCharType="end"/>
          </w:r>
        </w:p>
      </w:tc>
      <w:tc>
        <w:tcPr>
          <w:tcW w:w="5033" w:type="dxa"/>
          <w:shd w:val="clear" w:color="auto" w:fill="auto"/>
          <w:vAlign w:val="bottom"/>
        </w:tcPr>
        <w:p w:rsidR="00E01448" w:rsidRPr="00436DFB" w:rsidRDefault="00E01448" w:rsidP="00436DFB">
          <w:pPr>
            <w:pStyle w:val="Footer"/>
            <w:jc w:val="right"/>
          </w:pPr>
          <w:r>
            <w:fldChar w:fldCharType="begin"/>
          </w:r>
          <w:r>
            <w:instrText xml:space="preserve"> PAGE  \* MERGEFORMAT </w:instrText>
          </w:r>
          <w:r>
            <w:fldChar w:fldCharType="separate"/>
          </w:r>
          <w:r w:rsidR="00582315">
            <w:t>5</w:t>
          </w:r>
          <w:r>
            <w:fldChar w:fldCharType="end"/>
          </w:r>
        </w:p>
      </w:tc>
    </w:tr>
  </w:tbl>
  <w:p w:rsidR="00E01448" w:rsidRPr="00436DFB" w:rsidRDefault="00E01448" w:rsidP="00436D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448" w:rsidRDefault="00E01448" w:rsidP="00436DFB">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07-24343 (C)</w:t>
    </w:r>
    <w:r>
      <w:rPr>
        <w:b w:val="0"/>
        <w:sz w:val="21"/>
      </w:rPr>
      <w:fldChar w:fldCharType="end"/>
    </w:r>
    <w:r>
      <w:rPr>
        <w:b w:val="0"/>
        <w:sz w:val="21"/>
      </w:rPr>
      <w:t xml:space="preserve">   230207   260207</w:t>
    </w:r>
  </w:p>
  <w:p w:rsidR="00E01448" w:rsidRPr="00436DFB" w:rsidRDefault="00E01448" w:rsidP="00436DFB">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*0724343*</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EA7" w:rsidRPr="003418B4" w:rsidRDefault="00A94EA7" w:rsidP="003418B4">
      <w:pPr>
        <w:pStyle w:val="Footer"/>
        <w:spacing w:after="80"/>
        <w:ind w:left="792"/>
        <w:rPr>
          <w:sz w:val="16"/>
        </w:rPr>
      </w:pPr>
      <w:r w:rsidRPr="003418B4">
        <w:rPr>
          <w:sz w:val="16"/>
        </w:rPr>
        <w:t>__________________</w:t>
      </w:r>
    </w:p>
  </w:footnote>
  <w:footnote w:type="continuationSeparator" w:id="0">
    <w:p w:rsidR="00A94EA7" w:rsidRPr="003418B4" w:rsidRDefault="00A94EA7" w:rsidP="003418B4">
      <w:pPr>
        <w:pStyle w:val="Footer"/>
        <w:spacing w:after="80"/>
        <w:ind w:left="792"/>
        <w:rPr>
          <w:sz w:val="16"/>
        </w:rPr>
      </w:pPr>
      <w:r w:rsidRPr="003418B4">
        <w:rPr>
          <w:sz w:val="16"/>
        </w:rPr>
        <w:t>__________________</w:t>
      </w:r>
    </w:p>
  </w:footnote>
  <w:footnote w:id="1">
    <w:p w:rsidR="00E01448" w:rsidRPr="00870E28" w:rsidRDefault="00E01448" w:rsidP="003418B4">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870E28">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01448" w:rsidTr="00436DFB">
      <w:tblPrEx>
        <w:tblCellMar>
          <w:top w:w="0" w:type="dxa"/>
          <w:bottom w:w="0" w:type="dxa"/>
        </w:tblCellMar>
      </w:tblPrEx>
      <w:trPr>
        <w:trHeight w:hRule="exact" w:val="864"/>
      </w:trPr>
      <w:tc>
        <w:tcPr>
          <w:tcW w:w="4838" w:type="dxa"/>
          <w:shd w:val="clear" w:color="auto" w:fill="auto"/>
          <w:vAlign w:val="bottom"/>
        </w:tcPr>
        <w:p w:rsidR="00E01448" w:rsidRPr="00436DFB" w:rsidRDefault="00E01448" w:rsidP="00436DFB">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CEDAW/C/AUT/CO/6</w:t>
          </w:r>
          <w:r>
            <w:rPr>
              <w:b/>
              <w:sz w:val="17"/>
            </w:rPr>
            <w:fldChar w:fldCharType="end"/>
          </w:r>
        </w:p>
      </w:tc>
      <w:tc>
        <w:tcPr>
          <w:tcW w:w="5033" w:type="dxa"/>
          <w:shd w:val="clear" w:color="auto" w:fill="auto"/>
          <w:vAlign w:val="bottom"/>
        </w:tcPr>
        <w:p w:rsidR="00E01448" w:rsidRDefault="00E01448" w:rsidP="00436DFB">
          <w:pPr>
            <w:pStyle w:val="Header"/>
          </w:pPr>
        </w:p>
      </w:tc>
    </w:tr>
  </w:tbl>
  <w:p w:rsidR="00E01448" w:rsidRPr="00436DFB" w:rsidRDefault="00E01448" w:rsidP="00436D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01448" w:rsidTr="00436DFB">
      <w:tblPrEx>
        <w:tblCellMar>
          <w:top w:w="0" w:type="dxa"/>
          <w:bottom w:w="0" w:type="dxa"/>
        </w:tblCellMar>
      </w:tblPrEx>
      <w:trPr>
        <w:trHeight w:hRule="exact" w:val="864"/>
      </w:trPr>
      <w:tc>
        <w:tcPr>
          <w:tcW w:w="4838" w:type="dxa"/>
          <w:shd w:val="clear" w:color="auto" w:fill="auto"/>
          <w:vAlign w:val="bottom"/>
        </w:tcPr>
        <w:p w:rsidR="00E01448" w:rsidRDefault="00E01448" w:rsidP="00436DFB">
          <w:pPr>
            <w:pStyle w:val="Header"/>
          </w:pPr>
        </w:p>
      </w:tc>
      <w:tc>
        <w:tcPr>
          <w:tcW w:w="5033" w:type="dxa"/>
          <w:shd w:val="clear" w:color="auto" w:fill="auto"/>
          <w:vAlign w:val="bottom"/>
        </w:tcPr>
        <w:p w:rsidR="00E01448" w:rsidRPr="00436DFB" w:rsidRDefault="00E01448" w:rsidP="00436DFB">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CEDAW/C/AUT/CO/6</w:t>
          </w:r>
          <w:r>
            <w:rPr>
              <w:b/>
              <w:sz w:val="17"/>
            </w:rPr>
            <w:fldChar w:fldCharType="end"/>
          </w:r>
        </w:p>
      </w:tc>
    </w:tr>
  </w:tbl>
  <w:p w:rsidR="00E01448" w:rsidRPr="00436DFB" w:rsidRDefault="00E01448" w:rsidP="00436D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01448" w:rsidTr="00436DF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01448" w:rsidRDefault="00E01448" w:rsidP="00436DFB">
          <w:pPr>
            <w:pStyle w:val="Header"/>
            <w:spacing w:after="120"/>
          </w:pPr>
        </w:p>
      </w:tc>
      <w:tc>
        <w:tcPr>
          <w:tcW w:w="1872" w:type="dxa"/>
          <w:tcBorders>
            <w:bottom w:val="single" w:sz="4" w:space="0" w:color="auto"/>
          </w:tcBorders>
          <w:shd w:val="clear" w:color="auto" w:fill="auto"/>
          <w:vAlign w:val="bottom"/>
        </w:tcPr>
        <w:p w:rsidR="00E01448" w:rsidRDefault="00E01448" w:rsidP="00A0472C">
          <w:pPr>
            <w:pStyle w:val="HCh"/>
            <w:spacing w:after="80"/>
          </w:pPr>
          <w:r>
            <w:rPr>
              <w:rFonts w:eastAsia="SimSun" w:hint="eastAsia"/>
              <w:spacing w:val="40"/>
              <w:w w:val="96"/>
            </w:rPr>
            <w:t>联合国</w:t>
          </w:r>
        </w:p>
      </w:tc>
      <w:tc>
        <w:tcPr>
          <w:tcW w:w="245" w:type="dxa"/>
          <w:tcBorders>
            <w:bottom w:val="single" w:sz="4" w:space="0" w:color="auto"/>
          </w:tcBorders>
          <w:shd w:val="clear" w:color="auto" w:fill="auto"/>
          <w:vAlign w:val="bottom"/>
        </w:tcPr>
        <w:p w:rsidR="00E01448" w:rsidRDefault="00E01448" w:rsidP="00436DFB">
          <w:pPr>
            <w:pStyle w:val="Header"/>
            <w:spacing w:after="120"/>
          </w:pPr>
        </w:p>
      </w:tc>
      <w:tc>
        <w:tcPr>
          <w:tcW w:w="6523" w:type="dxa"/>
          <w:gridSpan w:val="3"/>
          <w:tcBorders>
            <w:bottom w:val="single" w:sz="4" w:space="0" w:color="auto"/>
          </w:tcBorders>
          <w:shd w:val="clear" w:color="auto" w:fill="auto"/>
          <w:vAlign w:val="bottom"/>
        </w:tcPr>
        <w:p w:rsidR="00E01448" w:rsidRPr="00436DFB" w:rsidRDefault="00E01448" w:rsidP="00436DFB">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/C/AUT/CO/6</w:t>
          </w:r>
        </w:p>
      </w:tc>
    </w:tr>
    <w:tr w:rsidR="00E01448" w:rsidRPr="00436DFB" w:rsidTr="00436DF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01448" w:rsidRPr="00436DFB" w:rsidRDefault="00E01448" w:rsidP="00436DFB">
          <w:pPr>
            <w:pStyle w:val="Header"/>
            <w:spacing w:before="109"/>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E01448" w:rsidRPr="00A0472C" w:rsidRDefault="00E01448" w:rsidP="00436DFB">
          <w:pPr>
            <w:pStyle w:val="Header"/>
            <w:spacing w:before="109"/>
            <w:rPr>
              <w:rFonts w:ascii="SimHei" w:eastAsia="SimHei"/>
              <w:color w:val="FF0000"/>
            </w:rPr>
          </w:pPr>
          <w:r w:rsidRPr="00A0472C">
            <w:rPr>
              <w:rFonts w:ascii="SimHei" w:eastAsia="SimHei" w:hint="eastAsia"/>
              <w:color w:val="FF0000"/>
              <w:sz w:val="34"/>
            </w:rPr>
            <w:t>消除对妇女一切形式歧视公约</w:t>
          </w:r>
        </w:p>
      </w:tc>
      <w:tc>
        <w:tcPr>
          <w:tcW w:w="245" w:type="dxa"/>
          <w:tcBorders>
            <w:top w:val="single" w:sz="4" w:space="0" w:color="auto"/>
            <w:bottom w:val="single" w:sz="12" w:space="0" w:color="auto"/>
          </w:tcBorders>
          <w:shd w:val="clear" w:color="auto" w:fill="auto"/>
        </w:tcPr>
        <w:p w:rsidR="00E01448" w:rsidRPr="00436DFB" w:rsidRDefault="00E01448" w:rsidP="00436DFB">
          <w:pPr>
            <w:pStyle w:val="Header"/>
            <w:spacing w:before="109"/>
          </w:pPr>
        </w:p>
      </w:tc>
      <w:tc>
        <w:tcPr>
          <w:tcW w:w="3180" w:type="dxa"/>
          <w:gridSpan w:val="2"/>
          <w:tcBorders>
            <w:top w:val="single" w:sz="4" w:space="0" w:color="auto"/>
            <w:bottom w:val="single" w:sz="12" w:space="0" w:color="auto"/>
          </w:tcBorders>
          <w:shd w:val="clear" w:color="auto" w:fill="auto"/>
        </w:tcPr>
        <w:p w:rsidR="00E01448" w:rsidRDefault="00E01448" w:rsidP="00436DFB">
          <w:pPr>
            <w:spacing w:before="240" w:line="240" w:lineRule="exact"/>
            <w:rPr>
              <w:rFonts w:ascii="Times New Roman"/>
            </w:rPr>
          </w:pPr>
        </w:p>
        <w:p w:rsidR="00E01448" w:rsidRDefault="00E01448" w:rsidP="00436DFB">
          <w:pPr>
            <w:spacing w:line="240" w:lineRule="exact"/>
            <w:rPr>
              <w:rFonts w:ascii="Times New Roman"/>
            </w:rPr>
          </w:pPr>
          <w:r>
            <w:rPr>
              <w:rFonts w:ascii="Times New Roman"/>
            </w:rPr>
            <w:t>2 February 2007</w:t>
          </w:r>
        </w:p>
        <w:p w:rsidR="00E01448" w:rsidRDefault="00E01448" w:rsidP="00436DFB">
          <w:pPr>
            <w:spacing w:line="240" w:lineRule="exact"/>
            <w:rPr>
              <w:rFonts w:ascii="Times New Roman"/>
            </w:rPr>
          </w:pPr>
          <w:r>
            <w:rPr>
              <w:rFonts w:ascii="Times New Roman"/>
            </w:rPr>
            <w:t>Chinese</w:t>
          </w:r>
        </w:p>
        <w:p w:rsidR="00E01448" w:rsidRPr="00436DFB" w:rsidRDefault="00E01448" w:rsidP="00436DFB">
          <w:pPr>
            <w:spacing w:line="240" w:lineRule="exact"/>
            <w:rPr>
              <w:rFonts w:ascii="Times New Roman"/>
            </w:rPr>
          </w:pPr>
          <w:r>
            <w:rPr>
              <w:rFonts w:ascii="Times New Roman"/>
            </w:rPr>
            <w:t>Original: English</w:t>
          </w:r>
        </w:p>
      </w:tc>
    </w:tr>
  </w:tbl>
  <w:p w:rsidR="00E01448" w:rsidRPr="00436DFB" w:rsidRDefault="00E01448" w:rsidP="00436DF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43*"/>
    <w:docVar w:name="CreationDt" w:val="26/02/2007 13:49:40"/>
    <w:docVar w:name="DocCategory" w:val="PlainDoc"/>
    <w:docVar w:name="DocType" w:val="Final"/>
    <w:docVar w:name="FooterJN" w:val="07-24343"/>
    <w:docVar w:name="jobn" w:val="07-24343 (C)"/>
    <w:docVar w:name="jobnDT" w:val="07-24343 (C)   260207"/>
    <w:docVar w:name="jobnDTDT" w:val="07-24343 (C)   260207   260207"/>
    <w:docVar w:name="JobNo" w:val="0724343C"/>
    <w:docVar w:name="OandT" w:val="CAI"/>
    <w:docVar w:name="sss1" w:val="CEDAW/C/AUT/CO/6"/>
    <w:docVar w:name="sss2" w:val="-"/>
    <w:docVar w:name="Symbol1" w:val="CEDAW/C/AUT/CO/6"/>
    <w:docVar w:name="Symbol2" w:val="-"/>
  </w:docVars>
  <w:rsids>
    <w:rsidRoot w:val="000050CA"/>
    <w:rsid w:val="000050CA"/>
    <w:rsid w:val="000125BC"/>
    <w:rsid w:val="00021A2B"/>
    <w:rsid w:val="00037B39"/>
    <w:rsid w:val="00044CA4"/>
    <w:rsid w:val="00045EFE"/>
    <w:rsid w:val="0007337D"/>
    <w:rsid w:val="000758DF"/>
    <w:rsid w:val="00076EB8"/>
    <w:rsid w:val="00095C67"/>
    <w:rsid w:val="000A31F9"/>
    <w:rsid w:val="000A4FB3"/>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418B4"/>
    <w:rsid w:val="003649EE"/>
    <w:rsid w:val="00371BC6"/>
    <w:rsid w:val="00373A15"/>
    <w:rsid w:val="00394A02"/>
    <w:rsid w:val="003C7B20"/>
    <w:rsid w:val="003E4565"/>
    <w:rsid w:val="003E748F"/>
    <w:rsid w:val="003E7612"/>
    <w:rsid w:val="00414423"/>
    <w:rsid w:val="00436DFB"/>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2315"/>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B6409"/>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472C"/>
    <w:rsid w:val="00A0537D"/>
    <w:rsid w:val="00A069AD"/>
    <w:rsid w:val="00A17A85"/>
    <w:rsid w:val="00A20856"/>
    <w:rsid w:val="00A24CA5"/>
    <w:rsid w:val="00A33D6D"/>
    <w:rsid w:val="00A5206D"/>
    <w:rsid w:val="00A72E47"/>
    <w:rsid w:val="00A94EA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72E31"/>
    <w:rsid w:val="00D874E1"/>
    <w:rsid w:val="00D9586D"/>
    <w:rsid w:val="00DC2506"/>
    <w:rsid w:val="00DC49FA"/>
    <w:rsid w:val="00DD3D6B"/>
    <w:rsid w:val="00DD4467"/>
    <w:rsid w:val="00DD61C8"/>
    <w:rsid w:val="00DD772B"/>
    <w:rsid w:val="00E01448"/>
    <w:rsid w:val="00E25442"/>
    <w:rsid w:val="00E37EEB"/>
    <w:rsid w:val="00E710FB"/>
    <w:rsid w:val="00E74889"/>
    <w:rsid w:val="00E806D9"/>
    <w:rsid w:val="00E82CA2"/>
    <w:rsid w:val="00E95594"/>
    <w:rsid w:val="00EA31C3"/>
    <w:rsid w:val="00EC6F21"/>
    <w:rsid w:val="00EE0913"/>
    <w:rsid w:val="00EF2EE9"/>
    <w:rsid w:val="00F01440"/>
    <w:rsid w:val="00F13305"/>
    <w:rsid w:val="00F40463"/>
    <w:rsid w:val="00F50336"/>
    <w:rsid w:val="00F62E3F"/>
    <w:rsid w:val="00F67F90"/>
    <w:rsid w:val="00F77B3E"/>
    <w:rsid w:val="00F833CB"/>
    <w:rsid w:val="00F85120"/>
    <w:rsid w:val="00F87754"/>
    <w:rsid w:val="00F90A4B"/>
    <w:rsid w:val="00FC1CE4"/>
    <w:rsid w:val="00FC6E40"/>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762</Words>
  <Characters>4350</Characters>
  <Application>Microsoft Office Word</Application>
  <DocSecurity>4</DocSecurity>
  <Lines>36</Lines>
  <Paragraphs>10</Paragraphs>
  <ScaleCrop>false</ScaleCrop>
  <Company>United Nations</Company>
  <LinksUpToDate>false</LinksUpToDate>
  <CharactersWithSpaces>5102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yanhuan cai</dc:creator>
  <cp:keywords/>
  <dc:description/>
  <cp:lastModifiedBy>ctpu1.chao</cp:lastModifiedBy>
  <cp:revision>11</cp:revision>
  <cp:lastPrinted>2007-02-26T16:48:00Z</cp:lastPrinted>
  <dcterms:created xsi:type="dcterms:W3CDTF">2007-02-26T11:52:00Z</dcterms:created>
  <dcterms:modified xsi:type="dcterms:W3CDTF">2007-02-26T16:52:00Z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0724343</vt:lpwstr>
  </property>
  <property fmtid="{D5CDD505-2E9C-101B-9397-08002B2CF9AE}" pid="3" name="Symbol1">
    <vt:lpwstr>CEDAW/C/AUT/CO/6</vt:lpwstr>
  </property>
  <property fmtid="{D5CDD505-2E9C-101B-9397-08002B2CF9AE}" pid="4" name="Symbol2">
    <vt:lpwstr/>
  </property>
  <property fmtid="{D5CDD505-2E9C-101B-9397-08002B2CF9AE}" pid="5" name="Translator">
    <vt:lpwstr/>
  </property>
  <property fmtid="{D5CDD505-2E9C-101B-9397-08002B2CF9AE}" pid="6" name="Operator">
    <vt:lpwstr>CAI</vt:lpwstr>
  </property>
  <property fmtid="{D5CDD505-2E9C-101B-9397-08002B2CF9AE}" pid="7" name="DraftPages">
    <vt:lpwstr> </vt:lpwstr>
  </property>
  <property fmtid="{D5CDD505-2E9C-101B-9397-08002B2CF9AE}" pid="8" name="Comment">
    <vt:lpwstr/>
  </property>
</Properties>
</file>