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648ª sesión</w:t>
      </w:r>
    </w:p>
    <w:p w:rsidR="00000000" w:rsidRDefault="00000000">
      <w:r>
        <w:t>Celebrada en la Sede, Nueva York, el martes 6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Apertura del período de sesiones</w:t>
      </w:r>
    </w:p>
    <w:p w:rsidR="00000000" w:rsidRDefault="00000000">
      <w:pPr>
        <w:pStyle w:val="SingleTxt"/>
        <w:suppressAutoHyphens/>
        <w:jc w:val="left"/>
      </w:pPr>
      <w:r>
        <w:t>Elección de la Mesa</w:t>
      </w:r>
    </w:p>
    <w:p w:rsidR="00000000" w:rsidRDefault="00000000">
      <w:pPr>
        <w:pStyle w:val="SingleTxt"/>
        <w:suppressAutoHyphens/>
        <w:jc w:val="left"/>
      </w:pPr>
      <w:r>
        <w:t>Aprobación del programa y organización de los trabajos</w:t>
      </w:r>
    </w:p>
    <w:p w:rsidR="00000000" w:rsidRDefault="00000000">
      <w:pPr>
        <w:pStyle w:val="SingleTxt"/>
        <w:suppressAutoHyphens/>
        <w:jc w:val="left"/>
      </w:pPr>
      <w:r>
        <w:t>Informe de la Presidencia sobre las actividades realizadas entre el 30º y el 31º período de sesiones del Comité</w:t>
      </w:r>
    </w:p>
    <w:p w:rsidR="00000000" w:rsidRDefault="00000000">
      <w:pPr>
        <w:pStyle w:val="SingleTxt"/>
        <w:suppressAutoHyphens/>
        <w:jc w:val="left"/>
      </w:pPr>
      <w:r>
        <w:t>Examen de los informes presentados por los Estados partes con arreglo al artículo 18 de la Convención</w:t>
      </w:r>
    </w:p>
    <w:p w:rsidR="00000000" w:rsidRDefault="00000000">
      <w:pPr>
        <w:pStyle w:val="SingleTxt"/>
        <w:suppressAutoHyphens/>
        <w:jc w:val="left"/>
      </w:pPr>
      <w:r>
        <w:t>Aplicación del artículo 21 de la Convención</w:t>
      </w:r>
    </w:p>
    <w:p w:rsidR="00000000" w:rsidRDefault="00000000">
      <w:pPr>
        <w:pStyle w:val="SingleTxt"/>
        <w:suppressAutoHyphens/>
        <w:jc w:val="left"/>
      </w:pPr>
      <w:r>
        <w:t>Medios de agilizar los trabajos del Comité</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Apertura del período de sesiones</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declara abierto el 31º período de sesiones del Comité para la Eliminación de la Discr</w:t>
      </w:r>
      <w:r>
        <w:t>i</w:t>
      </w:r>
      <w:r>
        <w:t>min</w:t>
      </w:r>
      <w:r>
        <w:t>a</w:t>
      </w:r>
      <w:r>
        <w:t>ción contra la Mujer.</w:t>
      </w:r>
    </w:p>
    <w:p w:rsidR="00000000" w:rsidRDefault="00000000">
      <w:pPr>
        <w:pStyle w:val="DualTxt"/>
        <w:numPr>
          <w:ilvl w:val="0"/>
          <w:numId w:val="2"/>
        </w:numPr>
        <w:tabs>
          <w:tab w:val="clear" w:pos="960"/>
          <w:tab w:val="left" w:pos="475"/>
          <w:tab w:val="left" w:pos="965"/>
        </w:tabs>
      </w:pPr>
      <w:r>
        <w:rPr>
          <w:b/>
        </w:rPr>
        <w:t>La Sra. Hannan</w:t>
      </w:r>
      <w:r>
        <w:t xml:space="preserve"> (Directora de la División para el Adelanto de la Mujer) informa al Comité sobre los s</w:t>
      </w:r>
      <w:r>
        <w:t>u</w:t>
      </w:r>
      <w:r>
        <w:t>cesos relacionados con su labor que han tenido lugar desde el período de sesiones anterior del Comité, cel</w:t>
      </w:r>
      <w:r>
        <w:t>e</w:t>
      </w:r>
      <w:r>
        <w:t>brado en enero de 2004, así como sobre las actividades de la División para el Adelanto de la Mujer y la Ofic</w:t>
      </w:r>
      <w:r>
        <w:t>i</w:t>
      </w:r>
      <w:r>
        <w:t>na de la Asesora Especial en Cuestiones de Género y Adelanto de la Mujer realizadas en ese período. En su 48º período de sesiones celebrado en marzo de 2004, la Comisión de la Condición Jurídica y Social de la Mujer aprobó conclusiones convenidas sobre dos cuestiones temáticas: el papel de los hombres y los niños varones en el logro de la igualdad entre los géneros y la partic</w:t>
      </w:r>
      <w:r>
        <w:t>i</w:t>
      </w:r>
      <w:r>
        <w:t>pación de la mujer en la prevención, gestión y solución de conflictos y en las actividades de consolidación de la paz después de los conflictos, y también aprobó siete resoluciones, entre ellas una sobre la situación de las mujeres y las niñas en el Afganistán.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Comisión también llegó a un acuerdo sobre los preparativos para su 49º período de sesiones que se celebraría en 2005, en el que se examinarían princ</w:t>
      </w:r>
      <w:r>
        <w:t>i</w:t>
      </w:r>
      <w:r>
        <w:t>palmente los progresos logrados en la aplicación de la Plataforma de Acción de Beijing y el documento final del vigésimo tercer período extraordinario de sesiones de la Asamblea General celebrado en 2000. En una m</w:t>
      </w:r>
      <w:r>
        <w:t>e</w:t>
      </w:r>
      <w:r>
        <w:t>sa redonda de alto nivel sobre el tema de los problemas y dificultades que se planteaban en la tarea de evaluar la marcha de la aplicación de la Plataforma, los partic</w:t>
      </w:r>
      <w:r>
        <w:t>i</w:t>
      </w:r>
      <w:r>
        <w:t>pantes destacaron la importancia de contar con datos estadísticos para cumplir sus obligaciones en materia de presentación de informes con arreglo a la Conve</w:t>
      </w:r>
      <w:r>
        <w:t>n</w:t>
      </w:r>
      <w:r>
        <w:t>ción. Señalaron que, debido a las deficiencias metod</w:t>
      </w:r>
      <w:r>
        <w:t>o</w:t>
      </w:r>
      <w:r>
        <w:t>lógicas y la falta de informes o a las deficiencias de los informes presentados, los datos obtenidos habían r</w:t>
      </w:r>
      <w:r>
        <w:t>e</w:t>
      </w:r>
      <w:r>
        <w:t>sultado ser inexactos, razón por la cual las políticas b</w:t>
      </w:r>
      <w:r>
        <w:t>a</w:t>
      </w:r>
      <w:r>
        <w:t>sadas en esos datos eran también deficientes. En varias resoluciones aprobadas en su 60º período de sesiones, celebrado en marzo y abril de 2004, la Comisión de Derechos Humanos se refirió expresamente a la Co</w:t>
      </w:r>
      <w:r>
        <w:t>n</w:t>
      </w:r>
      <w:r>
        <w:t>vención y a su Protocolo Facultativo. Además, en su decisión 2004/110, la Comisión decidió nombrar a un Relator Especial con el mandato de examinar los aspectos de la trata de personas, especialmente de m</w:t>
      </w:r>
      <w:r>
        <w:t>u</w:t>
      </w:r>
      <w:r>
        <w:t>jeres y niños, relacionados con los der</w:t>
      </w:r>
      <w:r>
        <w:t>e</w:t>
      </w:r>
      <w:r>
        <w:t>chos humanos.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Refiriéndose a los cambios en la situación de la Convención desde la celebración del último período de sesiones del Comité, la oradora señala que Kiribati y Swazilandia han ratificado la Convención, con lo c</w:t>
      </w:r>
      <w:r>
        <w:t>u</w:t>
      </w:r>
      <w:r>
        <w:t>al ha llegado a 177 el número de Estados partes, y que otros tres Estados (Belarús, Bélgica y la Jamahir</w:t>
      </w:r>
      <w:r>
        <w:t>i</w:t>
      </w:r>
      <w:r>
        <w:t>ya Árabe Libia) han ratificado el Protocolo Facultativo de la Convención, o sea que los Estados partes son ahora 62. Además, Irlanda ha aceptado la enmienda al apartado 1) del artículo 20 de la Convención, de modo que el total de aceptaciones llega a 44, y dos Estados partes (Suiza e Irlanda) han retirado sus reservas a la Conve</w:t>
      </w:r>
      <w:r>
        <w:t>n</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mayo de 2004 ocurrieron varios hechos dignos de mención. La División para el Adelanto de la Mujer colaboró con la Comisión Económica y Social para Asia y el Pacífico (CESPAP) para organizar un taller en Almaty (Kazajstán) sobre la presentación de info</w:t>
      </w:r>
      <w:r>
        <w:t>r</w:t>
      </w:r>
      <w:r>
        <w:t>mes con arreglo a la Convención. También organizó un coloquio de tres días en Nassau sobre la aplicación en los países del derecho internacional sobre los derechos humanos. Asistieron al coloquio 22 funcionarios jud</w:t>
      </w:r>
      <w:r>
        <w:t>i</w:t>
      </w:r>
      <w:r>
        <w:t>ciales de 11 países de la región, así como observadores de la Comunidad del Caribe (CARICOM), la Comisión Económica para América y el Caribe (CEPAL) y la Oficina del Alto Comisionado de las Naciones Unidas para los Refugiados (ACNUR). El debate se centró en las oportunidades y recursos que existen en el derecho internacional de los derechos humanos, en particular la Convención para lograr la igualdad en materia de n</w:t>
      </w:r>
      <w:r>
        <w:t>a</w:t>
      </w:r>
      <w:r>
        <w:t>cionalidad, matrimonio y relaciones familiares y co</w:t>
      </w:r>
      <w:r>
        <w:t>m</w:t>
      </w:r>
      <w:r>
        <w:t>batir la violencia contra la mujer.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También en mayo, la División organizó un curso de capacitación en Nassau para funcionarios encarg</w:t>
      </w:r>
      <w:r>
        <w:t>a</w:t>
      </w:r>
      <w:r>
        <w:t>dos de la preparación de los informes con arreglo a la Convención. Otras actividades recientes encaminadas a mejorar la aplicación de la Convención fueron la pr</w:t>
      </w:r>
      <w:r>
        <w:t>e</w:t>
      </w:r>
      <w:r>
        <w:t>paración de un documento de sesión sobre la labor de la Comisión de la Condición Jurídica y Social de la Mujer y el Comité relativo a la situación de las mujeres indígenas, que se presentaría al Foro Permanente para las Cuestiones Indígenas; la organización de una re</w:t>
      </w:r>
      <w:r>
        <w:t>u</w:t>
      </w:r>
      <w:r>
        <w:t>nión de información para las organizaciones indígenas sobre el Protocolo Facultativo como instrumento para proteger los derechos humanos de las mujeres indíg</w:t>
      </w:r>
      <w:r>
        <w:t>e</w:t>
      </w:r>
      <w:r>
        <w:t>nas, y la preparación de un documento, en el contexto del Proyecto de las Naciones Unidas para el Milenio, sobre la Convención y los objetivos de desarrollo del Milenio.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lo que respecta a los preparativos para el ex</w:t>
      </w:r>
      <w:r>
        <w:t>a</w:t>
      </w:r>
      <w:r>
        <w:t>men de los progresos logrados en la aplicación de la Plataforma de Acción de Beijing y el documento final del vigésimo tercer período extraordinario de sesiones de la Asamblea General, que la Comisión realizará en 2005, la oradora señala que 86 Estados Miembros re</w:t>
      </w:r>
      <w:r>
        <w:t>s</w:t>
      </w:r>
      <w:r>
        <w:t>pondieron al cuestionario de la Secretaría sobre el asunto y que la Comisión analizará las respuestas para determinar las tendencias y problemas en 12 esferas de importancia crítica de la Plataforma. La información sobre las esferas críticas de los derechos humanos de la mujer, la violencia contra la mujer y la trata de pers</w:t>
      </w:r>
      <w:r>
        <w:t>o</w:t>
      </w:r>
      <w:r>
        <w:t>nas reviste especial interés para el Comité desde un punto de vista político.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Elección de la Mesa</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rPr>
          <w:spacing w:val="2"/>
          <w:w w:val="101"/>
        </w:rPr>
      </w:pPr>
      <w:r>
        <w:rPr>
          <w:b/>
          <w:spacing w:val="2"/>
          <w:w w:val="101"/>
        </w:rPr>
        <w:t>La Presidenta</w:t>
      </w:r>
      <w:r>
        <w:rPr>
          <w:spacing w:val="2"/>
          <w:w w:val="101"/>
        </w:rPr>
        <w:t xml:space="preserve"> invita al Comité a elegir un Rel</w:t>
      </w:r>
      <w:r>
        <w:rPr>
          <w:spacing w:val="2"/>
          <w:w w:val="101"/>
        </w:rPr>
        <w:t>a</w:t>
      </w:r>
      <w:r>
        <w:rPr>
          <w:spacing w:val="2"/>
          <w:w w:val="101"/>
        </w:rPr>
        <w:t>tor.</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spacing w:val="2"/>
          <w:w w:val="101"/>
        </w:rPr>
      </w:pPr>
      <w:r>
        <w:rPr>
          <w:i/>
          <w:spacing w:val="2"/>
          <w:w w:val="101"/>
        </w:rPr>
        <w:t>La Sra. Kwaku es elegida Relatora por aclam</w:t>
      </w:r>
      <w:r>
        <w:rPr>
          <w:i/>
          <w:spacing w:val="2"/>
          <w:w w:val="101"/>
        </w:rPr>
        <w:t>a</w:t>
      </w:r>
      <w:r>
        <w:rPr>
          <w:i/>
          <w:spacing w:val="2"/>
          <w:w w:val="101"/>
        </w:rPr>
        <w:t>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Aprobación del programa y organización de los trabajos </w:t>
      </w:r>
      <w:r>
        <w:rPr>
          <w:b w:val="0"/>
        </w:rPr>
        <w:t>(CEDAW/C/2004/II/1)</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Queda aprobado el programa provisional y la o</w:t>
      </w:r>
      <w:r>
        <w:rPr>
          <w:i/>
        </w:rPr>
        <w:t>r</w:t>
      </w:r>
      <w:r>
        <w:rPr>
          <w:i/>
        </w:rPr>
        <w:t>ganiz</w:t>
      </w:r>
      <w:r>
        <w:rPr>
          <w:i/>
        </w:rPr>
        <w:t>a</w:t>
      </w:r>
      <w:r>
        <w:rPr>
          <w:i/>
        </w:rPr>
        <w:t>ción de los trabajos (CEDAW/C/2004/II/1).</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Informe de la Presidenta sobre las actividades realizadas entre el 30º y el 31º períodos de sesiones del C</w:t>
      </w:r>
      <w:r>
        <w:t>o</w:t>
      </w:r>
      <w:r>
        <w:t>mité</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 Presidenta</w:t>
      </w:r>
      <w:r>
        <w:t xml:space="preserve"> dice que, de conformidad con la práctica establecida, asistió al 48º período de sesiones de la Comisión de la Condición Jurídica y Social de la Mujer, celebrado en marzo, en el que informó a la C</w:t>
      </w:r>
      <w:r>
        <w:t>o</w:t>
      </w:r>
      <w:r>
        <w:t>misión sobre los resultados del 30º período de sesiones del Comité. En particular, le informó sobre los result</w:t>
      </w:r>
      <w:r>
        <w:t>a</w:t>
      </w:r>
      <w:r>
        <w:t>dos del examen de los informes de ocho Estados partes realizado por el Comité, la aprobación de la recome</w:t>
      </w:r>
      <w:r>
        <w:t>n</w:t>
      </w:r>
      <w:r>
        <w:t xml:space="preserve">dación general 25, relativa al párrafo 1 del artículo 4 de la Convención, los planes para celebrar una reunión oficiosa sobre los métodos de trabajo, las propuestas del Comité para la celebración del vigésimo quinto aniversario de la aprobación de la Convención por la Asamblea General y la declaración formulada por el Comité sobre la situación de la mujer en el Iraq.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spacing w:val="6"/>
        </w:rPr>
        <w:t>La Presidenta</w:t>
      </w:r>
      <w:r>
        <w:rPr>
          <w:spacing w:val="6"/>
        </w:rPr>
        <w:t xml:space="preserve"> también proporcionó detalles </w:t>
      </w:r>
      <w:r>
        <w:t>s</w:t>
      </w:r>
      <w:r>
        <w:t>o</w:t>
      </w:r>
      <w:r>
        <w:t>bre el examen, por el Comité, de sus distintas opciones para cumplir sus obligaciones con arreglo a la Conve</w:t>
      </w:r>
      <w:r>
        <w:t>n</w:t>
      </w:r>
      <w:r>
        <w:t>ción y el Protocolo Facultativo, incluida la creación de grupos de trabajo paralelos. Durante el período de s</w:t>
      </w:r>
      <w:r>
        <w:t>e</w:t>
      </w:r>
      <w:r>
        <w:t>siones de la Comisión, la Presidenta también participó en un debate de mesa redonda, organizado por la Div</w:t>
      </w:r>
      <w:r>
        <w:t>i</w:t>
      </w:r>
      <w:r>
        <w:t>sión para el Adelanto de la Mujer y la Unión Interpa</w:t>
      </w:r>
      <w:r>
        <w:t>r</w:t>
      </w:r>
      <w:r>
        <w:t>lamentaria, sobre la función de los parlamentarios en la aplicación de la Convención. Además, la Presidenta se reunió con varios participantes de alto nivel y, en co</w:t>
      </w:r>
      <w:r>
        <w:t>n</w:t>
      </w:r>
      <w:r>
        <w:t>formidad con una decisión anterior del Comité, con r</w:t>
      </w:r>
      <w:r>
        <w:t>e</w:t>
      </w:r>
      <w:r>
        <w:t>presentantes de la Misión Permanente de la India ante las Naciones Unidas.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60</w:t>
      </w:r>
      <w:r>
        <w:rPr>
          <w:b/>
        </w:rPr>
        <w:t xml:space="preserve">º </w:t>
      </w:r>
      <w:r>
        <w:t>período de sesiones de la Comisión de Derechos Humanos, la Presidenta hizo una declaración sobre el tema de la integración de los derechos hum</w:t>
      </w:r>
      <w:r>
        <w:t>a</w:t>
      </w:r>
      <w:r>
        <w:t>nos de la mujer y la perspectiva de género, pero no t</w:t>
      </w:r>
      <w:r>
        <w:t>u</w:t>
      </w:r>
      <w:r>
        <w:t>vo tiempo suficiente para informar a la Comisión ace</w:t>
      </w:r>
      <w:r>
        <w:t>r</w:t>
      </w:r>
      <w:r>
        <w:t>ca de la labor realizada por el Comité el año anterior. Es más, los presidentes de todos los órganos creados en virtud de tratados sobre los derechos humanos, en la reunión que celebraron recientemente, coincidieron en que su participación eficaz en la labor de la Comisión era un tema muy importante y volvieron a plantear el asunto en la reunión celebrada con la Mesa ampliada de la Comisión. Se decidió que se procuraría encontrar la forma de mejorar el intercambio de ideas entre los órganos creados en virtud de tratados y la Comisión en el tiempo disponible. La Sra. Schöp-Schilling, que fue quien impulsó la aprobación de la recomendación g</w:t>
      </w:r>
      <w:r>
        <w:t>e</w:t>
      </w:r>
      <w:r>
        <w:t>neral 25 del Comité, representó al Comité en un grupo de expertos organizado por la Comisión para examinar la cuestión de la promoción de la mujer y las medidas de acción afirmativa en favor de la mujer, la resol</w:t>
      </w:r>
      <w:r>
        <w:t>u</w:t>
      </w:r>
      <w:r>
        <w:t>ción 1325 (2000) del Consejo de Seguridad, la rec</w:t>
      </w:r>
      <w:r>
        <w:t>o</w:t>
      </w:r>
      <w:r>
        <w:t>mendación general 25 del Comité y la participación de la mujer en la prevención y solución de conflictos.</w:t>
      </w:r>
    </w:p>
    <w:p w:rsidR="00000000" w:rsidRDefault="00000000">
      <w:pPr>
        <w:pStyle w:val="DualTxt"/>
        <w:numPr>
          <w:ilvl w:val="0"/>
          <w:numId w:val="3"/>
        </w:numPr>
      </w:pPr>
      <w:r>
        <w:t>Los miembros recordarán que poco tiempo de</w:t>
      </w:r>
      <w:r>
        <w:t>s</w:t>
      </w:r>
      <w:r>
        <w:t>pués, el Comité en pleno se reunió oficiosamente en Utrecht, por invitación de los Países Bajos, y celebró una reunión muy provechosa de tres días sobre la cuestión de los métodos de trabajo. Los acuerdos a</w:t>
      </w:r>
      <w:r>
        <w:t>l</w:t>
      </w:r>
      <w:r>
        <w:t>canzados en la reunión de Utrecht, que figuran en el anexo al documento sobre los medios de agilizar la l</w:t>
      </w:r>
      <w:r>
        <w:t>a</w:t>
      </w:r>
      <w:r>
        <w:t>bor del Comité (CEDAW/C/2004/II/4) y que ahora d</w:t>
      </w:r>
      <w:r>
        <w:t>e</w:t>
      </w:r>
      <w:r>
        <w:t>ben aprobarse oficialmente, permitirán que el Comité adopte métodos innovadores y flexibles para promover la aplicación de la Convención por los Estados partes y para mantenerse al corriente de la labor de otros ó</w:t>
      </w:r>
      <w:r>
        <w:t>r</w:t>
      </w:r>
      <w:r>
        <w:t>ganos creados en virtud de tratados sobre derechos humanos. Reviste particular interés la propuesta de agregar una semana a sus períodos de sesiones 34º, 35º y 36º, de modo que sus períodos de sesiones tuvieran la misma duración que los de esos otros órganos y la pr</w:t>
      </w:r>
      <w:r>
        <w:t>o</w:t>
      </w:r>
      <w:r>
        <w:t>puesta de celebrar, a partir de 2007, tres períodos de sesiones anuales de tres semanas de duración, cada uno precedido por la reunión de un grupo de trabajo.</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Inmediatamente después de la reunión de Utrecht, la Presidenta fue el principal ponente en un taller de tres días organizado por la División conjuntamente con la Comisión Económica y Social para Asia y el Pacíf</w:t>
      </w:r>
      <w:r>
        <w:t>i</w:t>
      </w:r>
      <w:r>
        <w:t>co (CESPAP) en Almaty (Kazajstán). La finalidad de esa reunión era explicar a los Estados partes de la C</w:t>
      </w:r>
      <w:r>
        <w:t>o</w:t>
      </w:r>
      <w:r>
        <w:t>munidad de Estados Independientes los procedimientos para la presentación de informes con arreglo a la Co</w:t>
      </w:r>
      <w:r>
        <w:t>n</w:t>
      </w:r>
      <w:r>
        <w:t>vención. Quince funcionarios públicos de seis países asi</w:t>
      </w:r>
      <w:r>
        <w:t>s</w:t>
      </w:r>
      <w:r>
        <w:t>tieron a la reunión y compartieron sus experiencias.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Más recientemente, del 21 al 25 de junio, la Pr</w:t>
      </w:r>
      <w:r>
        <w:t>e</w:t>
      </w:r>
      <w:r>
        <w:t>sidenta asistió a la reunión entre comités y a la reunión de presidentes de los órganos creados en virtud de tr</w:t>
      </w:r>
      <w:r>
        <w:t>a</w:t>
      </w:r>
      <w:r>
        <w:t>tados sobre derechos humanos, ambas celebradas en Ginebra; a la primera de esas reuniones asistió aco</w:t>
      </w:r>
      <w:r>
        <w:t>m</w:t>
      </w:r>
      <w:r>
        <w:t>pañada del Sr. Flinterman. En la reunión entre comités, se aprobó en principio la estructura básica de un doc</w:t>
      </w:r>
      <w:r>
        <w:t>u</w:t>
      </w:r>
      <w:r>
        <w:t>mento único ampliado y se elaboraron directivas arm</w:t>
      </w:r>
      <w:r>
        <w:t>o</w:t>
      </w:r>
      <w:r>
        <w:t>nizadas sobre la presentación de informes para los E</w:t>
      </w:r>
      <w:r>
        <w:t>s</w:t>
      </w:r>
      <w:r>
        <w:t>tados partes en todos los tratados sobre derechos h</w:t>
      </w:r>
      <w:r>
        <w:t>u</w:t>
      </w:r>
      <w:r>
        <w:t>manos; se recomendó también que se creara un mec</w:t>
      </w:r>
      <w:r>
        <w:t>a</w:t>
      </w:r>
      <w:r>
        <w:t>nismo para que los órganos creados en virtud de trat</w:t>
      </w:r>
      <w:r>
        <w:t>a</w:t>
      </w:r>
      <w:r>
        <w:t>dos celebraran más consultas sobre la armonización de dichas directivas. Ahora corresponde que cada uno de esos órganos examine a fondo esas propuestas como cue</w:t>
      </w:r>
      <w:r>
        <w:t>s</w:t>
      </w:r>
      <w:r>
        <w:t>tión de prioridad.</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su actual período de sesiones, el Comité deb</w:t>
      </w:r>
      <w:r>
        <w:t>e</w:t>
      </w:r>
      <w:r>
        <w:t>ría preparar las observaciones preliminares que serán examinadas por el próximo grupo de trabajo que se r</w:t>
      </w:r>
      <w:r>
        <w:t>e</w:t>
      </w:r>
      <w:r>
        <w:t>unirá entre períodos de sesiones. En su período de s</w:t>
      </w:r>
      <w:r>
        <w:t>e</w:t>
      </w:r>
      <w:r>
        <w:t>siones de enero de 2005, el Comité podrá entonces formular recomendaciones al respecto, que se examin</w:t>
      </w:r>
      <w:r>
        <w:t>a</w:t>
      </w:r>
      <w:r>
        <w:t>rán en la reunión entre comités de ese año. En la re</w:t>
      </w:r>
      <w:r>
        <w:t>u</w:t>
      </w:r>
      <w:r>
        <w:t>nión de 2004 también se pidió que la secretaría elab</w:t>
      </w:r>
      <w:r>
        <w:t>o</w:t>
      </w:r>
      <w:r>
        <w:t>rara un informe sobre las reservas formuladas a los d</w:t>
      </w:r>
      <w:r>
        <w:t>i</w:t>
      </w:r>
      <w:r>
        <w:t>versos tratados sobre derechos humanos, y que un gr</w:t>
      </w:r>
      <w:r>
        <w:t>u</w:t>
      </w:r>
      <w:r>
        <w:t>po de trabajo conjunto informara al respecto al Comité en su período de sesiones de 2005. En ambas reuniones también se pasó revista a la aplicación de las recome</w:t>
      </w:r>
      <w:r>
        <w:t>n</w:t>
      </w:r>
      <w:r>
        <w:t>daciones del año anterior, y se hicieron progresos sobre todo en relación con la lista de cuestiones, los proc</w:t>
      </w:r>
      <w:r>
        <w:t>e</w:t>
      </w:r>
      <w:r>
        <w:t>dimientos que había que adoptar con respecto a los Estados partes que no hubieran presentado informes y el examen, por los órganos creados en virtud de trat</w:t>
      </w:r>
      <w:r>
        <w:t>a</w:t>
      </w:r>
      <w:r>
        <w:t>dos, de sus respectivos métodos de trabajo.</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con arreglo al artículo 18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ab/>
        <w:t>Informe de la Presidenta sobre el grupo de trabajo que se reunió antes del período de sesiones</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spacing w:val="0"/>
          <w:w w:val="101"/>
        </w:rPr>
        <w:t>La</w:t>
      </w:r>
      <w:r>
        <w:rPr>
          <w:spacing w:val="0"/>
          <w:w w:val="101"/>
        </w:rPr>
        <w:t xml:space="preserve"> </w:t>
      </w:r>
      <w:r>
        <w:rPr>
          <w:b/>
          <w:spacing w:val="0"/>
          <w:w w:val="101"/>
        </w:rPr>
        <w:t>Sra. Manalo</w:t>
      </w:r>
      <w:r>
        <w:rPr>
          <w:spacing w:val="0"/>
          <w:w w:val="101"/>
        </w:rPr>
        <w:t xml:space="preserve"> presenta el informe del grupo de trabajo que se reunió, del 2 al 6 de febrero de 2004, antes del período de sesiones (CEDAW/PSWG/2004/II/CRP.1) para preparar listas de cuestiones y pregunta</w:t>
      </w:r>
      <w:r>
        <w:t>s relativas a los informes de Bangladesh, España, Guinea Ecuatorial y la República Dominicana. De conformidad con la d</w:t>
      </w:r>
      <w:r>
        <w:t>e</w:t>
      </w:r>
      <w:r>
        <w:t>cisión 18/I del Comité, el grupo de trabajo celebró una sesión privada con representantes de entidades del si</w:t>
      </w:r>
      <w:r>
        <w:t>s</w:t>
      </w:r>
      <w:r>
        <w:t>tema de las Naciones Unidas y también recibió info</w:t>
      </w:r>
      <w:r>
        <w:t>r</w:t>
      </w:r>
      <w:r>
        <w:t>mes escritos de organizaciones no gubernamentales acerca de uno de los Estados partes cuyos informes t</w:t>
      </w:r>
      <w:r>
        <w:t>e</w:t>
      </w:r>
      <w:r>
        <w:t>nía ante sí el Comité. Las listas se han transmitido a los cuatro Estados partes interesados.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El grupo de trabajo opina que en cada uno de los informes periódicos se describen los principales ca</w:t>
      </w:r>
      <w:r>
        <w:t>m</w:t>
      </w:r>
      <w:r>
        <w:t>bios sociales, económicos, políticos y legislativos te</w:t>
      </w:r>
      <w:r>
        <w:t>n</w:t>
      </w:r>
      <w:r>
        <w:t>dientes a eliminar la discriminación contra la mujer y que en general esos informes se atienen a las directivas generales del Comité para la preparación de informes periódicos. Por último, el grupo de trabajo preparó li</w:t>
      </w:r>
      <w:r>
        <w:t>s</w:t>
      </w:r>
      <w:r>
        <w:t>tas breves de cuestiones y preguntas, centradas en los temas tratados en la Convención, de conformidad con las decisiones 22/IV y 25/II del Comité.</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Aplicación del artículo 21 de la Convención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Medios de agilizar la labor del Comité</w:t>
      </w:r>
    </w:p>
    <w:p w:rsidR="00000000" w:rsidRDefault="00000000">
      <w:pPr>
        <w:pStyle w:val="DualTxt"/>
        <w:spacing w:after="0" w:line="120" w:lineRule="exact"/>
        <w:rPr>
          <w:sz w:val="10"/>
        </w:rPr>
      </w:pP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rPr>
          <w:b/>
        </w:rPr>
        <w:t>La</w:t>
      </w:r>
      <w:r>
        <w:t xml:space="preserve"> </w:t>
      </w:r>
      <w:r>
        <w:rPr>
          <w:b/>
        </w:rPr>
        <w:t>Sra. Brautigam</w:t>
      </w:r>
      <w:r>
        <w:t xml:space="preserve"> (Jefa de la Sección de Der</w:t>
      </w:r>
      <w:r>
        <w:t>e</w:t>
      </w:r>
      <w:r>
        <w:t>chos de la Mujer de la División para el Adelanto de la Mujer), refiriéndose a la aplicación del artículo 21, d</w:t>
      </w:r>
      <w:r>
        <w:t>i</w:t>
      </w:r>
      <w:r>
        <w:t>ce que tres de los organismos especializados de las N</w:t>
      </w:r>
      <w:r>
        <w:t>a</w:t>
      </w:r>
      <w:r>
        <w:t>ciones Unidas a los que se invitó a que presentaran i</w:t>
      </w:r>
      <w:r>
        <w:t>n</w:t>
      </w:r>
      <w:r>
        <w:t>formes al Comité sobre la aplicación de la Convención en esferas de su competencia lo han hecho: la Organ</w:t>
      </w:r>
      <w:r>
        <w:t>i</w:t>
      </w:r>
      <w:r>
        <w:t>zación de las Naciones Unidas para la Agricultura y la Alimentación (FAO), la Organización de las Naciones Unidas sobre la Educación, la Ciencia y la Cultura (UNESCO) y la Organización Internacional del Trabajo (OIT) (documentos CEDAW/C/2004/II/3 Adds. 1, 3 y 4, respectivamente). El Comité se reunirá más tarde con representantes de los organismos especializados y de otros órganos del sistema de las Naciones Unidas que deseen presentar información sobre los Estados partes cuyos informes se examinan en el actual período de sesiones o sobre las medidas que los propios org</w:t>
      </w:r>
      <w:r>
        <w:t>a</w:t>
      </w:r>
      <w:r>
        <w:t>nismos han adoptado para promover las disposiciones de la Convención a nivel internacional y regional. De conformidad con el artículo 21, el Comité, en su actual período de sesiones, comenzará a elaborar su próxima recomendación general, relativa al artículo 2 de la Convención, e iniciará el proceso intercambiando ideas sobre el tema con representantes de los organismos e</w:t>
      </w:r>
      <w:r>
        <w:t>s</w:t>
      </w:r>
      <w:r>
        <w:t>pecializados y de organizaciones no gubernamentales.</w:t>
      </w:r>
    </w:p>
    <w:p w:rsidR="00000000" w:rsidRDefault="00000000">
      <w:pPr>
        <w:pStyle w:val="DualTxt"/>
        <w:numPr>
          <w:ilvl w:val="0"/>
          <w:numId w:val="3"/>
        </w:numPr>
        <w:tabs>
          <w:tab w:val="clear" w:pos="960"/>
          <w:tab w:val="left" w:pos="475"/>
          <w:tab w:val="left" w:pos="965"/>
          <w:tab w:val="left" w:pos="1440"/>
          <w:tab w:val="left" w:pos="1915"/>
          <w:tab w:val="left" w:pos="2405"/>
          <w:tab w:val="left" w:pos="2880"/>
          <w:tab w:val="left" w:pos="3355"/>
        </w:tabs>
      </w:pPr>
      <w:r>
        <w:t>En lo que respecta a los métodos de trabajo del Comité, la oradora señala el informe contenido en el documento CEDAW/C/2004/II/4, en el que se resumen los hechos ocurridos recientemente en relación con el régimen de derechos humanos, incluidos los órganos creados en virtud de tratados así como las medidas adoptadas por los órganos intergubernamentales y las actividades pertinentes de la Secretaría en apoyo de la Convención y su Protocolo Facultativo. En el informe también se examina la situación con respecto a los i</w:t>
      </w:r>
      <w:r>
        <w:t>n</w:t>
      </w:r>
      <w:r>
        <w:t>formes atrasados. A este respecto, señala a la atención del Comité el informe del Secretario General sobre el estado de la presentación de los informes por Estados partes en la Convención (CEDAW/C/2004/II/2), en el que figura una lista de los informes atrasados y los i</w:t>
      </w:r>
      <w:r>
        <w:t>n</w:t>
      </w:r>
      <w:r>
        <w:t>formes presentados que el Comité aún no había exam</w:t>
      </w:r>
      <w:r>
        <w:t>i</w:t>
      </w:r>
      <w:r>
        <w:t>nado al mes de mayo de 2004, a los que habría que añadir los informes de Islandia, Malawi y Venezuela. En total, después del actual período de sesiones, qued</w:t>
      </w:r>
      <w:r>
        <w:t>a</w:t>
      </w:r>
      <w:r>
        <w:t>rán 40 informes por examinar.</w:t>
      </w:r>
    </w:p>
    <w:p w:rsidR="00000000" w:rsidRDefault="00000000">
      <w:pPr>
        <w:pStyle w:val="DualTxt"/>
      </w:pPr>
      <w:r>
        <w:rPr>
          <w:i/>
        </w:rPr>
        <w:t>Se levanta la sesión a las 11.05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NO&gt;&gt;N0441358S&lt;&lt;ODS JOB NO&gt;&gt;</w:t>
      </w:r>
    </w:p>
    <w:p w:rsidR="00000000" w:rsidRDefault="00000000">
      <w:pPr>
        <w:pStyle w:val="CommentText"/>
      </w:pPr>
      <w:r>
        <w:t>&lt;&lt;ODS DOC SYMBOL1&gt;&gt;CEDAW/C/SR.648&lt;&lt;ODS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0441358s.doc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0441358s.doc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04-41358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*0441358*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CEDAW/C/SR.648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CEDAW/C/SR.648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/C/SR.648</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febrero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32F5E"/>
    <w:multiLevelType w:val="multilevel"/>
    <w:tmpl w:val="EDB84472"/>
    <w:lvl w:ilvl="0">
      <w:start w:val="1"/>
      <w:numFmt w:val="decimal"/>
      <w:lvlText w:val="%1."/>
      <w:lvlJc w:val="left"/>
      <w:pPr>
        <w:tabs>
          <w:tab w:val="num" w:pos="1152"/>
        </w:tabs>
        <w:ind w:left="1152" w:hanging="1152"/>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61F0D40"/>
    <w:multiLevelType w:val="singleLevel"/>
    <w:tmpl w:val="67FCA4A2"/>
    <w:lvl w:ilvl="0">
      <w:start w:val="1"/>
      <w:numFmt w:val="decimal"/>
      <w:lvlRestart w:val="0"/>
      <w:lvlText w:val="%1."/>
      <w:lvlJc w:val="left"/>
      <w:pPr>
        <w:tabs>
          <w:tab w:val="num" w:pos="475"/>
        </w:tabs>
        <w:ind w:left="0" w:firstLine="0"/>
      </w:pPr>
      <w:rPr>
        <w:spacing w:val="0"/>
        <w:w w:val="100"/>
      </w:rPr>
    </w:lvl>
  </w:abstractNum>
  <w:abstractNum w:abstractNumId="2">
    <w:nsid w:val="32243DE8"/>
    <w:multiLevelType w:val="singleLevel"/>
    <w:tmpl w:val="172EB16E"/>
    <w:lvl w:ilvl="0">
      <w:start w:val="14"/>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2/2005 15:38:40"/>
    <w:docVar w:name="DocCategory" w:val="SROthers"/>
    <w:docVar w:name="DocType" w:val="Final"/>
    <w:docVar w:name="JobNo" w:val="0441358S"/>
    <w:docVar w:name="OandT" w:val="Joyce"/>
    <w:docVar w:name="Symbol1" w:val="CEDAW/C/SR.64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2448</Words>
  <Characters>13959</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17142</CharactersWithSpaces>
  <SharedDoc>false</SharedDoc>
  <HLinks>
    <vt:vector size="6" baseType="variant">
      <vt:variant>
        <vt:i4>4522087</vt:i4>
      </vt:variant>
      <vt:variant>
        <vt:i4>18156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7</cp:revision>
  <cp:lastPrinted>2005-02-08T13:43:00Z</cp:lastPrinted>
  <dcterms:created xsi:type="dcterms:W3CDTF">2005-02-08T13:38:00Z</dcterms:created>
  <dcterms:modified xsi:type="dcterms:W3CDTF">2005-02-08T15:31:00Z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0441358</vt:lpwstr>
  </property>
  <property fmtid="{D5CDD505-2E9C-101B-9397-08002B2CF9AE}" pid="3" name="Symbol1">
    <vt:lpwstr>CEDAW/C/SR.648</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