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C7462D">
        <w:trPr>
          <w:trHeight w:hRule="exact" w:val="851"/>
        </w:trPr>
        <w:tc>
          <w:tcPr>
            <w:tcW w:w="1280" w:type="dxa"/>
            <w:tcBorders>
              <w:bottom w:val="single" w:sz="4" w:space="0" w:color="auto"/>
            </w:tcBorders>
          </w:tcPr>
          <w:p w:rsidR="00C7462D" w:rsidRDefault="00C7462D">
            <w:pPr>
              <w:rPr>
                <w:rFonts w:hint="eastAsia"/>
              </w:rPr>
            </w:pPr>
          </w:p>
        </w:tc>
        <w:tc>
          <w:tcPr>
            <w:tcW w:w="2273" w:type="dxa"/>
            <w:tcBorders>
              <w:bottom w:val="single" w:sz="4" w:space="0" w:color="auto"/>
            </w:tcBorders>
            <w:vAlign w:val="bottom"/>
          </w:tcPr>
          <w:p w:rsidR="00C7462D" w:rsidRDefault="00C7462D">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C7462D" w:rsidRDefault="00C7462D" w:rsidP="00B51E7A">
            <w:pPr>
              <w:spacing w:line="240" w:lineRule="atLeast"/>
              <w:jc w:val="right"/>
              <w:rPr>
                <w:szCs w:val="21"/>
              </w:rPr>
            </w:pPr>
            <w:r>
              <w:rPr>
                <w:rFonts w:hint="eastAsia"/>
                <w:sz w:val="40"/>
                <w:szCs w:val="40"/>
              </w:rPr>
              <w:t>CCPR</w:t>
            </w:r>
            <w:r w:rsidRPr="00BB67F9">
              <w:rPr>
                <w:sz w:val="20"/>
              </w:rPr>
              <w:t>/</w:t>
            </w:r>
            <w:r w:rsidR="00AE7487">
              <w:rPr>
                <w:rFonts w:hint="eastAsia"/>
                <w:sz w:val="20"/>
              </w:rPr>
              <w:t>C/ARM/CO/2</w:t>
            </w:r>
          </w:p>
        </w:tc>
      </w:tr>
      <w:tr w:rsidR="00C7462D">
        <w:trPr>
          <w:trHeight w:hRule="exact" w:val="2835"/>
        </w:trPr>
        <w:tc>
          <w:tcPr>
            <w:tcW w:w="1280" w:type="dxa"/>
            <w:tcBorders>
              <w:top w:val="single" w:sz="4" w:space="0" w:color="auto"/>
              <w:bottom w:val="single" w:sz="12" w:space="0" w:color="auto"/>
            </w:tcBorders>
          </w:tcPr>
          <w:p w:rsidR="00C7462D" w:rsidRDefault="00C7462D">
            <w:pPr>
              <w:spacing w:line="120" w:lineRule="atLeast"/>
              <w:rPr>
                <w:sz w:val="10"/>
                <w:szCs w:val="10"/>
              </w:rPr>
            </w:pPr>
          </w:p>
          <w:p w:rsidR="00C7462D" w:rsidRDefault="00C7462D">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C7462D" w:rsidRDefault="00C7462D">
            <w:pPr>
              <w:spacing w:before="120" w:line="240" w:lineRule="auto"/>
              <w:rPr>
                <w:rFonts w:ascii="Time New Roman" w:eastAsia="SimHei" w:hAnsi="Time New Roman" w:hint="eastAsia"/>
                <w:sz w:val="34"/>
                <w:szCs w:val="34"/>
              </w:rPr>
            </w:pPr>
            <w:r>
              <w:rPr>
                <w:rFonts w:ascii="Time New Roman" w:eastAsia="SimHei" w:hAnsi="Time New Roman" w:hint="eastAsia"/>
                <w:sz w:val="34"/>
                <w:szCs w:val="34"/>
              </w:rPr>
              <w:t>公民权利和政治权利</w:t>
            </w:r>
            <w:r>
              <w:rPr>
                <w:rFonts w:ascii="Time New Roman" w:eastAsia="SimHei" w:hAnsi="Time New Roman"/>
                <w:sz w:val="34"/>
                <w:szCs w:val="34"/>
              </w:rPr>
              <w:br/>
            </w:r>
            <w:r>
              <w:rPr>
                <w:rFonts w:ascii="Time New Roman" w:eastAsia="SimHei" w:hAnsi="Time New Roman" w:hint="eastAsia"/>
                <w:sz w:val="34"/>
                <w:szCs w:val="34"/>
              </w:rPr>
              <w:t>国际公约</w:t>
            </w:r>
          </w:p>
        </w:tc>
        <w:tc>
          <w:tcPr>
            <w:tcW w:w="2819" w:type="dxa"/>
            <w:tcBorders>
              <w:top w:val="single" w:sz="4" w:space="0" w:color="auto"/>
              <w:bottom w:val="single" w:sz="12" w:space="0" w:color="auto"/>
            </w:tcBorders>
          </w:tcPr>
          <w:p w:rsidR="00C7462D" w:rsidRPr="00BB67F9" w:rsidRDefault="00364DD9" w:rsidP="00BB67F9">
            <w:pPr>
              <w:spacing w:before="240" w:line="240" w:lineRule="atLeast"/>
              <w:rPr>
                <w:rFonts w:hint="eastAsia"/>
                <w:sz w:val="20"/>
              </w:rPr>
            </w:pPr>
            <w:r>
              <w:rPr>
                <w:sz w:val="20"/>
              </w:rPr>
              <w:t xml:space="preserve">Distr.: </w:t>
            </w:r>
            <w:r w:rsidR="00FB7042" w:rsidRPr="00FB7042">
              <w:rPr>
                <w:sz w:val="20"/>
              </w:rPr>
              <w:t>General</w:t>
            </w:r>
          </w:p>
          <w:p w:rsidR="00C7462D" w:rsidRPr="00BB67F9" w:rsidRDefault="00FB7042" w:rsidP="00BB67F9">
            <w:pPr>
              <w:spacing w:line="240" w:lineRule="atLeast"/>
              <w:rPr>
                <w:rFonts w:hint="eastAsia"/>
                <w:sz w:val="20"/>
              </w:rPr>
            </w:pPr>
            <w:r>
              <w:rPr>
                <w:rFonts w:hint="eastAsia"/>
                <w:sz w:val="20"/>
              </w:rPr>
              <w:t xml:space="preserve">31 </w:t>
            </w:r>
            <w:r w:rsidRPr="00FB7042">
              <w:rPr>
                <w:sz w:val="20"/>
              </w:rPr>
              <w:t>August</w:t>
            </w:r>
            <w:r w:rsidR="00911A84">
              <w:rPr>
                <w:sz w:val="20"/>
              </w:rPr>
              <w:t xml:space="preserve"> 20</w:t>
            </w:r>
            <w:r w:rsidR="00911A84">
              <w:rPr>
                <w:rFonts w:hint="eastAsia"/>
                <w:sz w:val="20"/>
              </w:rPr>
              <w:t>1</w:t>
            </w:r>
            <w:r w:rsidR="005C365E">
              <w:rPr>
                <w:rFonts w:hint="eastAsia"/>
                <w:sz w:val="20"/>
              </w:rPr>
              <w:t>2</w:t>
            </w:r>
          </w:p>
          <w:p w:rsidR="00C7462D" w:rsidRPr="00BB67F9" w:rsidRDefault="00C7462D" w:rsidP="00BB67F9">
            <w:pPr>
              <w:spacing w:line="240" w:lineRule="atLeast"/>
              <w:rPr>
                <w:sz w:val="20"/>
              </w:rPr>
            </w:pPr>
            <w:r w:rsidRPr="00BB67F9">
              <w:rPr>
                <w:sz w:val="20"/>
              </w:rPr>
              <w:t xml:space="preserve">Chinese </w:t>
            </w:r>
          </w:p>
          <w:p w:rsidR="00C7462D" w:rsidRPr="00BB67F9" w:rsidRDefault="00364DD9" w:rsidP="00BB67F9">
            <w:pPr>
              <w:spacing w:line="240" w:lineRule="atLeast"/>
              <w:rPr>
                <w:rFonts w:hint="eastAsia"/>
                <w:sz w:val="20"/>
              </w:rPr>
            </w:pPr>
            <w:r>
              <w:rPr>
                <w:sz w:val="20"/>
              </w:rPr>
              <w:t xml:space="preserve">Original: </w:t>
            </w:r>
            <w:r w:rsidR="00C7462D" w:rsidRPr="00BB67F9">
              <w:rPr>
                <w:sz w:val="20"/>
              </w:rPr>
              <w:t>English</w:t>
            </w:r>
          </w:p>
        </w:tc>
      </w:tr>
    </w:tbl>
    <w:p w:rsidR="00C7462D" w:rsidRDefault="00C7462D">
      <w:pPr>
        <w:spacing w:before="120"/>
        <w:rPr>
          <w:rFonts w:ascii="Time New Roman" w:eastAsia="SimHei" w:hAnsi="Time New Roman" w:hint="eastAsia"/>
          <w:sz w:val="24"/>
          <w:szCs w:val="24"/>
        </w:rPr>
      </w:pPr>
      <w:r>
        <w:rPr>
          <w:rFonts w:ascii="Time New Roman" w:eastAsia="SimHei" w:hAnsi="Time New Roman" w:hint="eastAsia"/>
          <w:sz w:val="24"/>
          <w:szCs w:val="24"/>
        </w:rPr>
        <w:t>人权事务委员会</w:t>
      </w:r>
    </w:p>
    <w:p w:rsidR="00FB7042" w:rsidRDefault="00FB7042" w:rsidP="00FB7042">
      <w:pPr>
        <w:pStyle w:val="HChGC"/>
        <w:rPr>
          <w:rFonts w:hint="eastAsia"/>
        </w:rPr>
      </w:pPr>
      <w:r>
        <w:rPr>
          <w:rFonts w:hint="eastAsia"/>
        </w:rPr>
        <w:tab/>
      </w:r>
      <w:r>
        <w:rPr>
          <w:rFonts w:hint="eastAsia"/>
        </w:rPr>
        <w:tab/>
      </w:r>
      <w:r>
        <w:rPr>
          <w:rFonts w:hint="eastAsia"/>
        </w:rPr>
        <w:t>审议缔约国根据《公约》第</w:t>
      </w:r>
      <w:r>
        <w:rPr>
          <w:rFonts w:hint="eastAsia"/>
        </w:rPr>
        <w:t>40</w:t>
      </w:r>
      <w:r>
        <w:rPr>
          <w:rFonts w:hint="eastAsia"/>
        </w:rPr>
        <w:t>条提交的报告</w:t>
      </w:r>
    </w:p>
    <w:p w:rsidR="00FB7042" w:rsidRDefault="00FB7042" w:rsidP="00FB7042">
      <w:pPr>
        <w:pStyle w:val="H1GC"/>
        <w:rPr>
          <w:rFonts w:hint="eastAsia"/>
        </w:rPr>
      </w:pPr>
      <w:r>
        <w:rPr>
          <w:rFonts w:hint="eastAsia"/>
        </w:rPr>
        <w:tab/>
      </w:r>
      <w:r>
        <w:rPr>
          <w:rFonts w:hint="eastAsia"/>
        </w:rPr>
        <w:tab/>
      </w:r>
      <w:r>
        <w:rPr>
          <w:rFonts w:hint="eastAsia"/>
        </w:rPr>
        <w:t>人权事务委员会第</w:t>
      </w:r>
      <w:r w:rsidR="008701D9">
        <w:rPr>
          <w:rFonts w:hint="eastAsia"/>
        </w:rPr>
        <w:t>一百</w:t>
      </w:r>
      <w:r w:rsidR="008701D9">
        <w:rPr>
          <w:rFonts w:ascii="SimSun" w:hAnsi="SimSun" w:hint="eastAsia"/>
        </w:rPr>
        <w:t>〇五</w:t>
      </w:r>
      <w:r>
        <w:rPr>
          <w:rFonts w:hint="eastAsia"/>
        </w:rPr>
        <w:t>届会议通过的结论性意见，</w:t>
      </w:r>
      <w:r>
        <w:br/>
      </w:r>
      <w:r>
        <w:rPr>
          <w:rFonts w:hint="eastAsia"/>
        </w:rPr>
        <w:t>2012</w:t>
      </w:r>
      <w:r>
        <w:rPr>
          <w:rFonts w:hint="eastAsia"/>
        </w:rPr>
        <w:t>年</w:t>
      </w:r>
      <w:r>
        <w:rPr>
          <w:rFonts w:hint="eastAsia"/>
        </w:rPr>
        <w:t>7</w:t>
      </w:r>
      <w:r>
        <w:rPr>
          <w:rFonts w:hint="eastAsia"/>
        </w:rPr>
        <w:t>月</w:t>
      </w:r>
      <w:r>
        <w:rPr>
          <w:rFonts w:hint="eastAsia"/>
        </w:rPr>
        <w:t>9</w:t>
      </w:r>
      <w:r>
        <w:rPr>
          <w:rFonts w:hint="eastAsia"/>
        </w:rPr>
        <w:t>日至</w:t>
      </w:r>
      <w:r>
        <w:rPr>
          <w:rFonts w:hint="eastAsia"/>
        </w:rPr>
        <w:t>27</w:t>
      </w:r>
      <w:r>
        <w:rPr>
          <w:rFonts w:hint="eastAsia"/>
        </w:rPr>
        <w:t>日</w:t>
      </w:r>
    </w:p>
    <w:p w:rsidR="00FB7042" w:rsidRDefault="00FB7042" w:rsidP="00FB7042">
      <w:pPr>
        <w:pStyle w:val="HChGC"/>
        <w:rPr>
          <w:rFonts w:hint="eastAsia"/>
        </w:rPr>
      </w:pPr>
      <w:r>
        <w:rPr>
          <w:rFonts w:hint="eastAsia"/>
        </w:rPr>
        <w:tab/>
      </w:r>
      <w:r>
        <w:rPr>
          <w:rFonts w:hint="eastAsia"/>
        </w:rPr>
        <w:tab/>
      </w:r>
      <w:r>
        <w:rPr>
          <w:rFonts w:hint="eastAsia"/>
        </w:rPr>
        <w:t>亚美尼亚</w:t>
      </w:r>
    </w:p>
    <w:p w:rsidR="00FB7042" w:rsidRDefault="00FB7042" w:rsidP="00FB7042">
      <w:pPr>
        <w:pStyle w:val="SingleTxtGC"/>
        <w:rPr>
          <w:rFonts w:hint="eastAsia"/>
        </w:rPr>
      </w:pPr>
      <w:r>
        <w:t>1.</w:t>
      </w:r>
      <w:r>
        <w:rPr>
          <w:rFonts w:hint="eastAsia"/>
        </w:rPr>
        <w:t xml:space="preserve">  </w:t>
      </w:r>
      <w:r>
        <w:rPr>
          <w:rFonts w:hint="eastAsia"/>
        </w:rPr>
        <w:t>人权事务委员会在</w:t>
      </w:r>
      <w:r>
        <w:rPr>
          <w:rFonts w:hint="eastAsia"/>
        </w:rPr>
        <w:t>2012</w:t>
      </w:r>
      <w:r>
        <w:rPr>
          <w:rFonts w:hint="eastAsia"/>
        </w:rPr>
        <w:t>年</w:t>
      </w:r>
      <w:r>
        <w:rPr>
          <w:rFonts w:hint="eastAsia"/>
        </w:rPr>
        <w:t>7</w:t>
      </w:r>
      <w:r>
        <w:rPr>
          <w:rFonts w:hint="eastAsia"/>
        </w:rPr>
        <w:t>月</w:t>
      </w:r>
      <w:r>
        <w:rPr>
          <w:rFonts w:hint="eastAsia"/>
        </w:rPr>
        <w:t>16</w:t>
      </w:r>
      <w:r>
        <w:rPr>
          <w:rFonts w:hint="eastAsia"/>
        </w:rPr>
        <w:t>日和</w:t>
      </w:r>
      <w:r>
        <w:rPr>
          <w:rFonts w:hint="eastAsia"/>
        </w:rPr>
        <w:t>17</w:t>
      </w:r>
      <w:r>
        <w:rPr>
          <w:rFonts w:hint="eastAsia"/>
        </w:rPr>
        <w:t>日举行的第</w:t>
      </w:r>
      <w:r>
        <w:rPr>
          <w:rFonts w:hint="eastAsia"/>
        </w:rPr>
        <w:t>2903</w:t>
      </w:r>
      <w:r>
        <w:rPr>
          <w:rFonts w:hint="eastAsia"/>
        </w:rPr>
        <w:t>和</w:t>
      </w:r>
      <w:r>
        <w:rPr>
          <w:rFonts w:hint="eastAsia"/>
        </w:rPr>
        <w:t>2904</w:t>
      </w:r>
      <w:r>
        <w:rPr>
          <w:rFonts w:hint="eastAsia"/>
        </w:rPr>
        <w:t>次会议</w:t>
      </w:r>
      <w:r w:rsidR="000C2B16">
        <w:rPr>
          <w:rFonts w:hint="eastAsia"/>
        </w:rPr>
        <w:t>(</w:t>
      </w:r>
      <w:r>
        <w:t>CCPR/C/SR/2903</w:t>
      </w:r>
      <w:r>
        <w:rPr>
          <w:rFonts w:hint="eastAsia"/>
        </w:rPr>
        <w:t>和</w:t>
      </w:r>
      <w:r>
        <w:t>2904</w:t>
      </w:r>
      <w:r w:rsidR="000C2B16">
        <w:rPr>
          <w:rFonts w:hint="eastAsia"/>
        </w:rPr>
        <w:t>)</w:t>
      </w:r>
      <w:r>
        <w:rPr>
          <w:rFonts w:hint="eastAsia"/>
        </w:rPr>
        <w:t>上，审议了亚美尼亚的第二次定期报告</w:t>
      </w:r>
      <w:r>
        <w:t>(CCPR/C/</w:t>
      </w:r>
      <w:r w:rsidR="00FC73EF">
        <w:rPr>
          <w:rFonts w:hint="eastAsia"/>
        </w:rPr>
        <w:t xml:space="preserve"> </w:t>
      </w:r>
      <w:r w:rsidR="004E2E36">
        <w:t>AR</w:t>
      </w:r>
      <w:r>
        <w:t>2</w:t>
      </w:r>
      <w:r w:rsidR="000C2B16">
        <w:rPr>
          <w:rFonts w:hint="eastAsia"/>
        </w:rPr>
        <w:t>)</w:t>
      </w:r>
      <w:r>
        <w:rPr>
          <w:rFonts w:hint="eastAsia"/>
        </w:rPr>
        <w:t>。在</w:t>
      </w:r>
      <w:r>
        <w:rPr>
          <w:rFonts w:hint="eastAsia"/>
        </w:rPr>
        <w:t>2012</w:t>
      </w:r>
      <w:r>
        <w:rPr>
          <w:rFonts w:hint="eastAsia"/>
        </w:rPr>
        <w:t>年</w:t>
      </w:r>
      <w:r>
        <w:rPr>
          <w:rFonts w:hint="eastAsia"/>
        </w:rPr>
        <w:t>7</w:t>
      </w:r>
      <w:r>
        <w:rPr>
          <w:rFonts w:hint="eastAsia"/>
        </w:rPr>
        <w:t>月</w:t>
      </w:r>
      <w:r>
        <w:rPr>
          <w:rFonts w:hint="eastAsia"/>
        </w:rPr>
        <w:t>25</w:t>
      </w:r>
      <w:r>
        <w:rPr>
          <w:rFonts w:hint="eastAsia"/>
        </w:rPr>
        <w:t>日举行的第</w:t>
      </w:r>
      <w:r>
        <w:rPr>
          <w:rFonts w:hint="eastAsia"/>
        </w:rPr>
        <w:t>29</w:t>
      </w:r>
      <w:r>
        <w:t>17</w:t>
      </w:r>
      <w:r>
        <w:rPr>
          <w:rFonts w:hint="eastAsia"/>
        </w:rPr>
        <w:t>次会议</w:t>
      </w:r>
      <w:r w:rsidR="000C2B16">
        <w:rPr>
          <w:rFonts w:hint="eastAsia"/>
        </w:rPr>
        <w:t>(</w:t>
      </w:r>
      <w:r>
        <w:t>CCPR/C/SR/2917</w:t>
      </w:r>
      <w:r w:rsidR="000C2B16">
        <w:rPr>
          <w:rFonts w:hint="eastAsia"/>
        </w:rPr>
        <w:t>)</w:t>
      </w:r>
      <w:r>
        <w:rPr>
          <w:rFonts w:hint="eastAsia"/>
        </w:rPr>
        <w:t>上，委员会通过了以下结论性意见。</w:t>
      </w:r>
    </w:p>
    <w:p w:rsidR="00FB7042" w:rsidRDefault="00FB7042" w:rsidP="00FB7042">
      <w:pPr>
        <w:pStyle w:val="H1GC"/>
        <w:rPr>
          <w:rFonts w:hint="eastAsia"/>
        </w:rPr>
      </w:pPr>
      <w:r>
        <w:rPr>
          <w:rFonts w:hint="eastAsia"/>
        </w:rPr>
        <w:tab/>
      </w:r>
      <w:r>
        <w:t>A.</w:t>
      </w:r>
      <w:r>
        <w:rPr>
          <w:rFonts w:hint="eastAsia"/>
        </w:rPr>
        <w:tab/>
      </w:r>
      <w:r>
        <w:rPr>
          <w:rFonts w:hint="eastAsia"/>
        </w:rPr>
        <w:t>导言</w:t>
      </w:r>
    </w:p>
    <w:p w:rsidR="00FB7042" w:rsidRDefault="00FB7042" w:rsidP="00FB7042">
      <w:pPr>
        <w:pStyle w:val="SingleTxtGC"/>
        <w:rPr>
          <w:rFonts w:hint="eastAsia"/>
        </w:rPr>
      </w:pPr>
      <w:r>
        <w:t>2.</w:t>
      </w:r>
      <w:r>
        <w:rPr>
          <w:rFonts w:hint="eastAsia"/>
        </w:rPr>
        <w:t xml:space="preserve">  </w:t>
      </w:r>
      <w:r>
        <w:rPr>
          <w:rFonts w:hint="eastAsia"/>
        </w:rPr>
        <w:t>委员会欢迎亚美尼亚提交的第二次定期报告和该报告所载资料，尽管该报告的提交略微超出了期限。委员会对有机会就缔约国在报告所涉时期为适用《公约》条款而采取的措施重新与代表团展开建设性对话表示赞赏。委员会感谢缔约国对问题</w:t>
      </w:r>
      <w:r w:rsidR="00CB70C7">
        <w:rPr>
          <w:rFonts w:hint="eastAsia"/>
        </w:rPr>
        <w:t>清</w:t>
      </w:r>
      <w:r>
        <w:rPr>
          <w:rFonts w:hint="eastAsia"/>
        </w:rPr>
        <w:t>单</w:t>
      </w:r>
      <w:r w:rsidR="000C2B16">
        <w:rPr>
          <w:rFonts w:hint="eastAsia"/>
        </w:rPr>
        <w:t>(</w:t>
      </w:r>
      <w:r>
        <w:t>CCPR/C/ARM/Q/2</w:t>
      </w:r>
      <w:r w:rsidR="000C2B16">
        <w:rPr>
          <w:rFonts w:hint="eastAsia"/>
        </w:rPr>
        <w:t>)</w:t>
      </w:r>
      <w:r>
        <w:rPr>
          <w:rFonts w:hint="eastAsia"/>
        </w:rPr>
        <w:t>作出书面答复</w:t>
      </w:r>
      <w:r w:rsidR="000C2B16">
        <w:rPr>
          <w:rFonts w:hint="eastAsia"/>
        </w:rPr>
        <w:t>(</w:t>
      </w:r>
      <w:r>
        <w:t>CCPR/C/ARM/Q/2/Add.1</w:t>
      </w:r>
      <w:r w:rsidR="000C2B16">
        <w:rPr>
          <w:rFonts w:hint="eastAsia"/>
        </w:rPr>
        <w:t>)</w:t>
      </w:r>
      <w:r>
        <w:rPr>
          <w:rFonts w:hint="eastAsia"/>
        </w:rPr>
        <w:t>，代表团作出的口头答复和以书面方式提供的补充资料对这些书面答复作了补充。</w:t>
      </w:r>
    </w:p>
    <w:p w:rsidR="00FB7042" w:rsidRDefault="00FB7042" w:rsidP="00FB7042">
      <w:pPr>
        <w:pStyle w:val="H1GC"/>
        <w:rPr>
          <w:rFonts w:hint="eastAsia"/>
        </w:rPr>
      </w:pPr>
      <w:r>
        <w:rPr>
          <w:rFonts w:hint="eastAsia"/>
        </w:rPr>
        <w:tab/>
      </w:r>
      <w:r>
        <w:t>B.</w:t>
      </w:r>
      <w:r>
        <w:rPr>
          <w:rFonts w:hint="eastAsia"/>
        </w:rPr>
        <w:tab/>
      </w:r>
      <w:r>
        <w:rPr>
          <w:rFonts w:hint="eastAsia"/>
        </w:rPr>
        <w:t>积极方面</w:t>
      </w:r>
    </w:p>
    <w:p w:rsidR="00FB7042" w:rsidRDefault="00FB7042" w:rsidP="00FB7042">
      <w:pPr>
        <w:pStyle w:val="SingleTxtGC"/>
        <w:rPr>
          <w:rFonts w:hint="eastAsia"/>
        </w:rPr>
      </w:pPr>
      <w:r>
        <w:t>3.</w:t>
      </w:r>
      <w:r w:rsidR="002A1E9A">
        <w:rPr>
          <w:rFonts w:hint="eastAsia"/>
        </w:rPr>
        <w:t xml:space="preserve">  </w:t>
      </w:r>
      <w:r>
        <w:rPr>
          <w:rFonts w:hint="eastAsia"/>
        </w:rPr>
        <w:t>委员会欢迎缔约国：</w:t>
      </w:r>
    </w:p>
    <w:p w:rsidR="00FB7042" w:rsidRDefault="00FB7042" w:rsidP="00A93C8D">
      <w:pPr>
        <w:pStyle w:val="SingleTxtGC"/>
        <w:numPr>
          <w:ilvl w:val="0"/>
          <w:numId w:val="45"/>
        </w:numPr>
        <w:rPr>
          <w:rFonts w:hint="eastAsia"/>
        </w:rPr>
      </w:pPr>
      <w:r>
        <w:rPr>
          <w:rFonts w:hint="eastAsia"/>
        </w:rPr>
        <w:t>于</w:t>
      </w:r>
      <w:r>
        <w:rPr>
          <w:rFonts w:hint="eastAsia"/>
        </w:rPr>
        <w:t>2010</w:t>
      </w:r>
      <w:r>
        <w:rPr>
          <w:rFonts w:hint="eastAsia"/>
        </w:rPr>
        <w:t>年</w:t>
      </w:r>
      <w:r>
        <w:rPr>
          <w:rFonts w:hint="eastAsia"/>
        </w:rPr>
        <w:t>9</w:t>
      </w:r>
      <w:r>
        <w:rPr>
          <w:rFonts w:hint="eastAsia"/>
        </w:rPr>
        <w:t>月批准《残疾人权利公约》；</w:t>
      </w:r>
    </w:p>
    <w:p w:rsidR="00FB7042" w:rsidRDefault="00FB7042" w:rsidP="00A93C8D">
      <w:pPr>
        <w:pStyle w:val="SingleTxtGC"/>
        <w:numPr>
          <w:ilvl w:val="0"/>
          <w:numId w:val="45"/>
        </w:numPr>
        <w:rPr>
          <w:rFonts w:hint="eastAsia"/>
        </w:rPr>
      </w:pPr>
      <w:r>
        <w:rPr>
          <w:rFonts w:hint="eastAsia"/>
        </w:rPr>
        <w:t>于</w:t>
      </w:r>
      <w:r>
        <w:rPr>
          <w:rFonts w:hint="eastAsia"/>
        </w:rPr>
        <w:t>200</w:t>
      </w:r>
      <w:r>
        <w:t>6</w:t>
      </w:r>
      <w:r>
        <w:rPr>
          <w:rFonts w:hint="eastAsia"/>
        </w:rPr>
        <w:t>年</w:t>
      </w:r>
      <w:r>
        <w:rPr>
          <w:rFonts w:hint="eastAsia"/>
        </w:rPr>
        <w:t>9</w:t>
      </w:r>
      <w:r>
        <w:rPr>
          <w:rFonts w:hint="eastAsia"/>
        </w:rPr>
        <w:t>月批准《禁止酷刑和其他残忍、不人道或有辱人格的待遇或处罚公约任择议定书》；</w:t>
      </w:r>
    </w:p>
    <w:p w:rsidR="00FB7042" w:rsidRDefault="00FB7042" w:rsidP="00A93C8D">
      <w:pPr>
        <w:pStyle w:val="SingleTxtGC"/>
        <w:numPr>
          <w:ilvl w:val="0"/>
          <w:numId w:val="45"/>
        </w:numPr>
        <w:rPr>
          <w:rFonts w:hint="eastAsia"/>
        </w:rPr>
      </w:pPr>
      <w:r>
        <w:rPr>
          <w:rFonts w:hint="eastAsia"/>
        </w:rPr>
        <w:t>于</w:t>
      </w:r>
      <w:r>
        <w:rPr>
          <w:rFonts w:hint="eastAsia"/>
        </w:rPr>
        <w:t>2011</w:t>
      </w:r>
      <w:r>
        <w:rPr>
          <w:rFonts w:hint="eastAsia"/>
        </w:rPr>
        <w:t>年</w:t>
      </w:r>
      <w:r>
        <w:rPr>
          <w:rFonts w:hint="eastAsia"/>
        </w:rPr>
        <w:t>1</w:t>
      </w:r>
      <w:r>
        <w:rPr>
          <w:rFonts w:hint="eastAsia"/>
        </w:rPr>
        <w:t>月批准《保护所有人免遭强迫失踪国际公约》；</w:t>
      </w:r>
    </w:p>
    <w:p w:rsidR="00FB7042" w:rsidRPr="00FB7042" w:rsidRDefault="00FB7042" w:rsidP="00A93C8D">
      <w:pPr>
        <w:pStyle w:val="SingleTxtGC"/>
        <w:numPr>
          <w:ilvl w:val="0"/>
          <w:numId w:val="45"/>
        </w:numPr>
        <w:rPr>
          <w:rFonts w:hint="eastAsia"/>
        </w:rPr>
      </w:pPr>
      <w:r w:rsidRPr="00FB7042">
        <w:rPr>
          <w:rFonts w:hint="eastAsia"/>
          <w:spacing w:val="-4"/>
        </w:rPr>
        <w:t>于</w:t>
      </w:r>
      <w:r w:rsidRPr="00FB7042">
        <w:rPr>
          <w:rFonts w:hint="eastAsia"/>
          <w:spacing w:val="-4"/>
        </w:rPr>
        <w:t>200</w:t>
      </w:r>
      <w:r w:rsidRPr="00FB7042">
        <w:rPr>
          <w:spacing w:val="-4"/>
        </w:rPr>
        <w:t>6</w:t>
      </w:r>
      <w:r w:rsidRPr="00FB7042">
        <w:rPr>
          <w:rFonts w:hint="eastAsia"/>
          <w:spacing w:val="-4"/>
        </w:rPr>
        <w:t>年</w:t>
      </w:r>
      <w:r w:rsidRPr="00FB7042">
        <w:rPr>
          <w:rFonts w:hint="eastAsia"/>
          <w:spacing w:val="-4"/>
        </w:rPr>
        <w:t>9</w:t>
      </w:r>
      <w:r w:rsidRPr="00FB7042">
        <w:rPr>
          <w:rFonts w:hint="eastAsia"/>
          <w:spacing w:val="-4"/>
        </w:rPr>
        <w:t>月批准《消除对妇女一切形式歧视公约任择议定书》；</w:t>
      </w:r>
    </w:p>
    <w:p w:rsidR="00FB7042" w:rsidRDefault="00FB7042" w:rsidP="00A93C8D">
      <w:pPr>
        <w:pStyle w:val="SingleTxtGC"/>
        <w:numPr>
          <w:ilvl w:val="0"/>
          <w:numId w:val="45"/>
        </w:numPr>
        <w:rPr>
          <w:rFonts w:hint="eastAsia"/>
        </w:rPr>
      </w:pPr>
      <w:r>
        <w:rPr>
          <w:rFonts w:hint="eastAsia"/>
        </w:rPr>
        <w:t>于</w:t>
      </w:r>
      <w:r>
        <w:rPr>
          <w:rFonts w:hint="eastAsia"/>
        </w:rPr>
        <w:t>2005</w:t>
      </w:r>
      <w:r>
        <w:rPr>
          <w:rFonts w:hint="eastAsia"/>
        </w:rPr>
        <w:t>年</w:t>
      </w:r>
      <w:r>
        <w:t>9</w:t>
      </w:r>
      <w:r>
        <w:rPr>
          <w:rFonts w:hint="eastAsia"/>
        </w:rPr>
        <w:t>月批准《儿童权利公约关于儿童卷入武装冲突问题的任择议定书》，并于</w:t>
      </w:r>
      <w:r>
        <w:rPr>
          <w:rFonts w:hint="eastAsia"/>
        </w:rPr>
        <w:t>2005</w:t>
      </w:r>
      <w:r>
        <w:rPr>
          <w:rFonts w:hint="eastAsia"/>
        </w:rPr>
        <w:t>年</w:t>
      </w:r>
      <w:r>
        <w:rPr>
          <w:rFonts w:hint="eastAsia"/>
        </w:rPr>
        <w:t>6</w:t>
      </w:r>
      <w:r>
        <w:rPr>
          <w:rFonts w:hint="eastAsia"/>
        </w:rPr>
        <w:t>月批准《儿童权利公约关于买卖儿童、儿童卖淫和儿童色情制品问题的任择议定书》。</w:t>
      </w:r>
    </w:p>
    <w:p w:rsidR="00FB7042" w:rsidRDefault="00FB7042" w:rsidP="00FB7042">
      <w:pPr>
        <w:pStyle w:val="H1GC"/>
        <w:rPr>
          <w:rFonts w:hint="eastAsia"/>
        </w:rPr>
      </w:pPr>
      <w:r>
        <w:rPr>
          <w:rFonts w:hint="eastAsia"/>
        </w:rPr>
        <w:tab/>
      </w:r>
      <w:r>
        <w:t>C.</w:t>
      </w:r>
      <w:r>
        <w:rPr>
          <w:rFonts w:hint="eastAsia"/>
        </w:rPr>
        <w:tab/>
      </w:r>
      <w:r>
        <w:rPr>
          <w:rFonts w:hint="eastAsia"/>
        </w:rPr>
        <w:t>关注的主要问题和建议</w:t>
      </w:r>
    </w:p>
    <w:p w:rsidR="00FB7042" w:rsidRDefault="00FB7042" w:rsidP="00FB7042">
      <w:pPr>
        <w:pStyle w:val="SingleTxtGC"/>
        <w:rPr>
          <w:rFonts w:hint="eastAsia"/>
        </w:rPr>
      </w:pPr>
      <w:r>
        <w:t>4.</w:t>
      </w:r>
      <w:r>
        <w:rPr>
          <w:rFonts w:hint="eastAsia"/>
        </w:rPr>
        <w:t xml:space="preserve">  </w:t>
      </w:r>
      <w:r>
        <w:rPr>
          <w:rFonts w:hint="eastAsia"/>
        </w:rPr>
        <w:t>委员会对民众、法律事务人员和法律工作者对《公约》和《任择议定书》的知晓度有限表示关注，这致使援引《公约》条款的情形有限，并且致使委员会自从缔约国</w:t>
      </w:r>
      <w:r>
        <w:rPr>
          <w:rFonts w:hint="eastAsia"/>
        </w:rPr>
        <w:t>1993</w:t>
      </w:r>
      <w:r>
        <w:rPr>
          <w:rFonts w:hint="eastAsia"/>
        </w:rPr>
        <w:t>年批准《任择议定书》以来没有收到任何针对缔约国的个人申诉</w:t>
      </w:r>
      <w:r w:rsidR="000C2B16">
        <w:rPr>
          <w:rFonts w:hint="eastAsia"/>
        </w:rPr>
        <w:t>(</w:t>
      </w:r>
      <w:r>
        <w:rPr>
          <w:rFonts w:hint="eastAsia"/>
        </w:rPr>
        <w:t>第二条</w:t>
      </w:r>
      <w:r w:rsidR="000C2B16">
        <w:rPr>
          <w:rFonts w:hint="eastAsia"/>
        </w:rPr>
        <w:t>)</w:t>
      </w:r>
      <w:r>
        <w:rPr>
          <w:rFonts w:hint="eastAsia"/>
        </w:rPr>
        <w:t>。</w:t>
      </w:r>
    </w:p>
    <w:p w:rsidR="00FB7042" w:rsidRPr="00FB7042" w:rsidRDefault="00FB7042" w:rsidP="00FB7042">
      <w:pPr>
        <w:pStyle w:val="SingleTxtGC"/>
        <w:rPr>
          <w:rFonts w:eastAsia="SimHei" w:hint="eastAsia"/>
        </w:rPr>
      </w:pPr>
      <w:r w:rsidRPr="00FB7042">
        <w:rPr>
          <w:rFonts w:eastAsia="SimHei" w:hint="eastAsia"/>
        </w:rPr>
        <w:t>缔约国应当向法官、律师和法律事务人员宣传《公约》所载权利，并且使他们知晓这些权利在国内法之下的适用以及《任择议定书》之下可利用的程序。</w:t>
      </w:r>
    </w:p>
    <w:p w:rsidR="00FB7042" w:rsidRPr="00FB7042" w:rsidRDefault="00FB7042" w:rsidP="00FB7042">
      <w:pPr>
        <w:pStyle w:val="SingleTxtGC"/>
        <w:rPr>
          <w:rFonts w:hint="eastAsia"/>
        </w:rPr>
      </w:pPr>
      <w:r>
        <w:t>5.</w:t>
      </w:r>
      <w:r>
        <w:rPr>
          <w:rFonts w:hint="eastAsia"/>
        </w:rPr>
        <w:t xml:space="preserve">  </w:t>
      </w:r>
      <w:r>
        <w:rPr>
          <w:rFonts w:hint="eastAsia"/>
        </w:rPr>
        <w:t>委员会感到关切的是，有资料对国家人权机构在按照关于促进和保护人权的国家机构的地位的原则</w:t>
      </w:r>
      <w:r w:rsidR="000C2B16">
        <w:rPr>
          <w:rFonts w:hint="eastAsia"/>
        </w:rPr>
        <w:t>(</w:t>
      </w:r>
      <w:r>
        <w:rPr>
          <w:rFonts w:hint="eastAsia"/>
        </w:rPr>
        <w:t>《巴黎原则》监测、促进和保护人权方面的警惕性提出质疑</w:t>
      </w:r>
      <w:r w:rsidR="000C2B16">
        <w:rPr>
          <w:rFonts w:hint="eastAsia"/>
        </w:rPr>
        <w:t>(</w:t>
      </w:r>
      <w:r>
        <w:rPr>
          <w:rFonts w:hint="eastAsia"/>
        </w:rPr>
        <w:t>第二条</w:t>
      </w:r>
      <w:r w:rsidR="000C2B16">
        <w:rPr>
          <w:rFonts w:hint="eastAsia"/>
        </w:rPr>
        <w:t>)</w:t>
      </w:r>
      <w:r>
        <w:rPr>
          <w:rFonts w:hint="eastAsia"/>
        </w:rPr>
        <w:t>。</w:t>
      </w:r>
    </w:p>
    <w:p w:rsidR="00FB7042" w:rsidRPr="00FB7042" w:rsidRDefault="00FB7042" w:rsidP="00FB7042">
      <w:pPr>
        <w:pStyle w:val="SingleTxtGC"/>
        <w:rPr>
          <w:rFonts w:eastAsia="SimHei" w:hint="eastAsia"/>
        </w:rPr>
      </w:pPr>
      <w:r w:rsidRPr="00FB7042">
        <w:rPr>
          <w:rFonts w:eastAsia="SimHei" w:hint="eastAsia"/>
        </w:rPr>
        <w:t>缔约国应当创造必要条件，确保充当国家人权机构的监察专员办公室按照《巴黎原则》全面、独立地开展工作。</w:t>
      </w:r>
    </w:p>
    <w:p w:rsidR="00FB7042" w:rsidRDefault="00FB7042" w:rsidP="00FB7042">
      <w:pPr>
        <w:pStyle w:val="SingleTxtGC"/>
        <w:rPr>
          <w:rFonts w:hint="eastAsia"/>
        </w:rPr>
      </w:pPr>
      <w:r>
        <w:t>6.</w:t>
      </w:r>
      <w:r>
        <w:rPr>
          <w:rFonts w:hint="eastAsia"/>
        </w:rPr>
        <w:t xml:space="preserve">  </w:t>
      </w:r>
      <w:r>
        <w:rPr>
          <w:rFonts w:hint="eastAsia"/>
        </w:rPr>
        <w:t>委员会对处理歧视问题的详细的法规缺乏表示关切。委员会还对暴力侵害种族和宗教少数群体现象，包括公务员和行政部门高级代表作出侵害行为感到关切，并对警察和司法部门没有能够调查、起诉和惩治仇恨罪感到关切</w:t>
      </w:r>
      <w:r w:rsidR="000C2B16">
        <w:rPr>
          <w:rFonts w:hint="eastAsia"/>
        </w:rPr>
        <w:t>(</w:t>
      </w:r>
      <w:r>
        <w:rPr>
          <w:rFonts w:hint="eastAsia"/>
        </w:rPr>
        <w:t>第二、十八、二十和二十六条</w:t>
      </w:r>
      <w:r w:rsidR="000C2B16">
        <w:rPr>
          <w:rFonts w:hint="eastAsia"/>
        </w:rPr>
        <w:t>)</w:t>
      </w:r>
      <w:r>
        <w:rPr>
          <w:rFonts w:hint="eastAsia"/>
        </w:rPr>
        <w:t>。</w:t>
      </w:r>
    </w:p>
    <w:p w:rsidR="00FB7042" w:rsidRPr="00FB7042" w:rsidRDefault="00FB7042" w:rsidP="00FB7042">
      <w:pPr>
        <w:pStyle w:val="SingleTxtGC"/>
        <w:rPr>
          <w:rFonts w:eastAsia="SimHei" w:hint="eastAsia"/>
        </w:rPr>
      </w:pPr>
      <w:r w:rsidRPr="00FB7042">
        <w:rPr>
          <w:rFonts w:eastAsia="SimHei" w:hint="eastAsia"/>
        </w:rPr>
        <w:t>缔约国应当确保歧视定义涵盖《公约》所述一切形式的歧视</w:t>
      </w:r>
      <w:r w:rsidR="000C2B16">
        <w:rPr>
          <w:rFonts w:eastAsia="SimHei" w:hint="eastAsia"/>
        </w:rPr>
        <w:t>(</w:t>
      </w:r>
      <w:r w:rsidRPr="00FB7042">
        <w:rPr>
          <w:rFonts w:eastAsia="SimHei" w:hint="eastAsia"/>
        </w:rPr>
        <w:t>基于种族、肤色、性别、语言、宗教、政治见解或其他见解、国籍或社会出身、财产、出身或其他身份的歧视</w:t>
      </w:r>
      <w:r w:rsidR="000C2B16">
        <w:rPr>
          <w:rFonts w:eastAsia="SimHei" w:hint="eastAsia"/>
        </w:rPr>
        <w:t>)</w:t>
      </w:r>
      <w:r w:rsidRPr="00FB7042">
        <w:rPr>
          <w:rFonts w:eastAsia="SimHei" w:hint="eastAsia"/>
        </w:rPr>
        <w:t>。缔约国还应当打击暴力现象和煽动种族及宗教仇恨行为，恰当保护少数群体，并确保充分调查和起诉相关案件。此外，委员会鼓励缔约国进一步努力确保切实实施所通过的旨在打击种族歧视现象的法律，并确保这些法律的目标得到实现。</w:t>
      </w:r>
    </w:p>
    <w:p w:rsidR="00FB7042" w:rsidRDefault="00FB7042" w:rsidP="00FB7042">
      <w:pPr>
        <w:pStyle w:val="SingleTxtGC"/>
        <w:rPr>
          <w:rFonts w:hint="eastAsia"/>
        </w:rPr>
      </w:pPr>
      <w:r>
        <w:t>7.</w:t>
      </w:r>
      <w:r>
        <w:rPr>
          <w:rFonts w:hint="eastAsia"/>
        </w:rPr>
        <w:t xml:space="preserve">  </w:t>
      </w:r>
      <w:r>
        <w:rPr>
          <w:rFonts w:hint="eastAsia"/>
        </w:rPr>
        <w:t>委员会依然对妇女遭受严重歧视，妇女在公共和政治生活中的参与率低，以及妇女在公共和私营部门决策岗位上任职的人很少等情况感到关切。委员会感到遗憾的是，在妇女和男子在家庭和社会中的作用和责任问题上，仍然普遍存在着性别成见</w:t>
      </w:r>
      <w:r w:rsidR="000C2B16">
        <w:rPr>
          <w:rFonts w:hint="eastAsia"/>
        </w:rPr>
        <w:t>(</w:t>
      </w:r>
      <w:r>
        <w:rPr>
          <w:rFonts w:hint="eastAsia"/>
        </w:rPr>
        <w:t>第二、三、二十五和二十六条</w:t>
      </w:r>
      <w:r w:rsidR="000C2B16">
        <w:rPr>
          <w:rFonts w:hint="eastAsia"/>
        </w:rPr>
        <w:t>)</w:t>
      </w:r>
      <w:r>
        <w:rPr>
          <w:rFonts w:hint="eastAsia"/>
        </w:rPr>
        <w:t>。</w:t>
      </w:r>
    </w:p>
    <w:p w:rsidR="00FB7042" w:rsidRPr="00FB7042" w:rsidRDefault="00FB7042" w:rsidP="00FB7042">
      <w:pPr>
        <w:pStyle w:val="SingleTxtGC"/>
        <w:rPr>
          <w:rFonts w:eastAsia="SimHei"/>
        </w:rPr>
      </w:pPr>
      <w:r w:rsidRPr="00FB7042">
        <w:rPr>
          <w:rFonts w:eastAsia="SimHei" w:hint="eastAsia"/>
        </w:rPr>
        <w:t>缔约国应当通过关于男女平等的具体立法，从而正式承认歧视妇女问题的特别性质。应当对参选的候选人配额制度的有效性进行一次审查。缔约国还应当加紧努力，消除在男女在家庭和社会中的作用和责任方面的性别成见。</w:t>
      </w:r>
    </w:p>
    <w:p w:rsidR="00FB7042" w:rsidRDefault="00FB7042" w:rsidP="00FB7042">
      <w:pPr>
        <w:pStyle w:val="SingleTxtGC"/>
        <w:rPr>
          <w:rFonts w:hint="eastAsia"/>
        </w:rPr>
      </w:pPr>
      <w:r>
        <w:t>8.</w:t>
      </w:r>
      <w:r>
        <w:rPr>
          <w:rFonts w:hint="eastAsia"/>
        </w:rPr>
        <w:t xml:space="preserve">  </w:t>
      </w:r>
      <w:r>
        <w:rPr>
          <w:rFonts w:hint="eastAsia"/>
        </w:rPr>
        <w:t>委员会对严重的暴力侵害妇女现象特别是家庭暴力现象难以消除感到关切。委员会感到遗憾的是，家庭暴力仍然不属于刑法之下应当受到专门惩治的行为。委员会还对家庭暴力受害者庇护场所缺乏感到关切</w:t>
      </w:r>
      <w:r w:rsidR="000C2B16">
        <w:rPr>
          <w:rFonts w:hint="eastAsia"/>
        </w:rPr>
        <w:t>(</w:t>
      </w:r>
      <w:r>
        <w:rPr>
          <w:rFonts w:hint="eastAsia"/>
        </w:rPr>
        <w:t>第二、三和第七条</w:t>
      </w:r>
      <w:r w:rsidR="000C2B16">
        <w:rPr>
          <w:rFonts w:hint="eastAsia"/>
        </w:rPr>
        <w:t>)</w:t>
      </w:r>
      <w:r>
        <w:rPr>
          <w:rFonts w:hint="eastAsia"/>
        </w:rPr>
        <w:t>。</w:t>
      </w:r>
    </w:p>
    <w:p w:rsidR="00FB7042" w:rsidRPr="00FB7042" w:rsidRDefault="00FB7042" w:rsidP="00FB7042">
      <w:pPr>
        <w:pStyle w:val="SingleTxtGC"/>
        <w:rPr>
          <w:rFonts w:eastAsia="SimHei" w:hint="eastAsia"/>
        </w:rPr>
      </w:pPr>
      <w:r w:rsidRPr="00FB7042">
        <w:rPr>
          <w:rFonts w:eastAsia="SimHei" w:hint="eastAsia"/>
        </w:rPr>
        <w:t>缔约国应当通过立法，将一切形式的家庭暴力定为犯罪。缔约国应当开展有重点的宣传运动，使全国各地的民众认识到这些问题的存在。应当对地方主管机构人员、执法人员和警员及社会事务人员和医务人员进行培训，使其知道如何发现家庭暴力受害者并向受害者提供恰当咨询。缔约国还应当确保在全国各地建立安置家庭暴力受害者的足够的充分运行的庇护所。</w:t>
      </w:r>
    </w:p>
    <w:p w:rsidR="00FB7042" w:rsidRDefault="00FB7042" w:rsidP="00FB7042">
      <w:pPr>
        <w:pStyle w:val="SingleTxtGC"/>
        <w:rPr>
          <w:rFonts w:hint="eastAsia"/>
        </w:rPr>
      </w:pPr>
      <w:r>
        <w:t>9.</w:t>
      </w:r>
      <w:r>
        <w:rPr>
          <w:rFonts w:hint="eastAsia"/>
        </w:rPr>
        <w:t xml:space="preserve">  </w:t>
      </w:r>
      <w:r>
        <w:rPr>
          <w:rFonts w:hint="eastAsia"/>
        </w:rPr>
        <w:t>委员会对</w:t>
      </w:r>
      <w:r>
        <w:t>(</w:t>
      </w:r>
      <w:r>
        <w:rPr>
          <w:rFonts w:hint="eastAsia"/>
        </w:rPr>
        <w:t>针对</w:t>
      </w:r>
      <w:r>
        <w:t>胎儿</w:t>
      </w:r>
      <w:r>
        <w:rPr>
          <w:rFonts w:hint="eastAsia"/>
        </w:rPr>
        <w:t>性别的</w:t>
      </w:r>
      <w:r>
        <w:t>)</w:t>
      </w:r>
      <w:r>
        <w:rPr>
          <w:rFonts w:hint="eastAsia"/>
        </w:rPr>
        <w:t>选择性人工流产做法增多感到关切，这种做法反映出一种性别不平等现象</w:t>
      </w:r>
      <w:r>
        <w:rPr>
          <w:rFonts w:hint="eastAsia"/>
        </w:rPr>
        <w:t>(</w:t>
      </w:r>
      <w:r>
        <w:rPr>
          <w:rFonts w:hint="eastAsia"/>
        </w:rPr>
        <w:t>第二、三和二十六条</w:t>
      </w:r>
      <w:r w:rsidR="000C2B16">
        <w:rPr>
          <w:rFonts w:hint="eastAsia"/>
        </w:rPr>
        <w:t>)</w:t>
      </w:r>
      <w:r>
        <w:rPr>
          <w:rFonts w:hint="eastAsia"/>
        </w:rPr>
        <w:t>。</w:t>
      </w:r>
    </w:p>
    <w:p w:rsidR="00FB7042" w:rsidRPr="00FB7042" w:rsidRDefault="00FB7042" w:rsidP="00FB7042">
      <w:pPr>
        <w:pStyle w:val="SingleTxtGC"/>
        <w:rPr>
          <w:rFonts w:eastAsia="SimHei" w:hint="eastAsia"/>
        </w:rPr>
      </w:pPr>
      <w:r w:rsidRPr="00FB7042">
        <w:rPr>
          <w:rFonts w:eastAsia="SimHei" w:hint="eastAsia"/>
        </w:rPr>
        <w:t>缔约国应当通过立法，禁止进行性别选择，并且通过收集有关这一现象的可靠数据，对计划生育事务人员进行强制性性别敏感培训，以及对公众进行宣传教育等，处理产前性别选择的根源。</w:t>
      </w:r>
    </w:p>
    <w:p w:rsidR="00FB7042" w:rsidRDefault="00FB7042" w:rsidP="00FB7042">
      <w:pPr>
        <w:pStyle w:val="SingleTxtGC"/>
        <w:rPr>
          <w:rFonts w:hint="eastAsia"/>
        </w:rPr>
      </w:pPr>
      <w:r>
        <w:t>10.</w:t>
      </w:r>
      <w:r w:rsidRPr="001E2DE6">
        <w:t xml:space="preserve"> </w:t>
      </w:r>
      <w:r>
        <w:rPr>
          <w:rFonts w:hint="eastAsia"/>
        </w:rPr>
        <w:t xml:space="preserve"> </w:t>
      </w:r>
      <w:r>
        <w:rPr>
          <w:rFonts w:hint="eastAsia"/>
        </w:rPr>
        <w:t>委员会对</w:t>
      </w:r>
      <w:r>
        <w:t>男女同性恋、双性恋和变性者</w:t>
      </w:r>
      <w:r>
        <w:rPr>
          <w:rFonts w:hint="eastAsia"/>
        </w:rPr>
        <w:t>遭受歧视和暴力侵害感到关切，并且不接受基于性取向或性别认同的一切侵犯这些人员的人权的行为</w:t>
      </w:r>
      <w:r w:rsidR="000C2B16">
        <w:rPr>
          <w:rFonts w:hint="eastAsia"/>
        </w:rPr>
        <w:t>(</w:t>
      </w:r>
      <w:r>
        <w:rPr>
          <w:rFonts w:hint="eastAsia"/>
        </w:rPr>
        <w:t>第三、六、七和二十六条</w:t>
      </w:r>
      <w:r w:rsidR="000C2B16">
        <w:rPr>
          <w:rFonts w:hint="eastAsia"/>
        </w:rPr>
        <w:t>)</w:t>
      </w:r>
      <w:r>
        <w:rPr>
          <w:rFonts w:hint="eastAsia"/>
        </w:rPr>
        <w:t>。</w:t>
      </w:r>
    </w:p>
    <w:p w:rsidR="00FB7042" w:rsidRPr="00FB7042" w:rsidRDefault="00FB7042" w:rsidP="00FB7042">
      <w:pPr>
        <w:pStyle w:val="SingleTxtGC"/>
        <w:rPr>
          <w:rFonts w:eastAsia="SimHei" w:hint="eastAsia"/>
        </w:rPr>
      </w:pPr>
      <w:r w:rsidRPr="00FB7042">
        <w:rPr>
          <w:rFonts w:eastAsia="SimHei" w:hint="eastAsia"/>
        </w:rPr>
        <w:t>缔约国应当明确和正式表示：它不能容忍社会对</w:t>
      </w:r>
      <w:r w:rsidRPr="00FB7042">
        <w:rPr>
          <w:rFonts w:eastAsia="SimHei"/>
        </w:rPr>
        <w:t>同性恋、双性恋和变性</w:t>
      </w:r>
      <w:r w:rsidRPr="00FB7042">
        <w:rPr>
          <w:rFonts w:eastAsia="SimHei" w:hint="eastAsia"/>
        </w:rPr>
        <w:t>现象的任何形式的</w:t>
      </w:r>
      <w:r w:rsidRPr="00FB7042">
        <w:rPr>
          <w:rFonts w:eastAsia="SimHei"/>
        </w:rPr>
        <w:t>鄙视</w:t>
      </w:r>
      <w:r w:rsidRPr="00FB7042">
        <w:rPr>
          <w:rFonts w:eastAsia="SimHei" w:hint="eastAsia"/>
        </w:rPr>
        <w:t>，也不能容忍一些人由于性取向或性别认同而遭到骚扰、歧视或暴力侵害。缔约国应当禁止以性取向和性别认同为由实行歧视，并为</w:t>
      </w:r>
      <w:r w:rsidRPr="00FB7042">
        <w:rPr>
          <w:rFonts w:eastAsia="SimHei"/>
        </w:rPr>
        <w:t>男女同性恋、双性恋和变性者</w:t>
      </w:r>
      <w:r w:rsidRPr="00FB7042">
        <w:rPr>
          <w:rFonts w:eastAsia="SimHei" w:hint="eastAsia"/>
        </w:rPr>
        <w:t>提供有效保护。</w:t>
      </w:r>
    </w:p>
    <w:p w:rsidR="00FB7042" w:rsidRDefault="00FB7042" w:rsidP="00FB7042">
      <w:pPr>
        <w:pStyle w:val="SingleTxtGC"/>
        <w:rPr>
          <w:rFonts w:hint="eastAsia"/>
        </w:rPr>
      </w:pPr>
      <w:r>
        <w:t>11.</w:t>
      </w:r>
      <w:r>
        <w:rPr>
          <w:rFonts w:hint="eastAsia"/>
        </w:rPr>
        <w:t xml:space="preserve">  </w:t>
      </w:r>
      <w:r>
        <w:rPr>
          <w:rFonts w:hint="eastAsia"/>
        </w:rPr>
        <w:t>委员会感到关切的是，</w:t>
      </w:r>
      <w:r>
        <w:rPr>
          <w:rFonts w:hint="eastAsia"/>
        </w:rPr>
        <w:t>2008</w:t>
      </w:r>
      <w:r>
        <w:rPr>
          <w:rFonts w:hint="eastAsia"/>
        </w:rPr>
        <w:t>年</w:t>
      </w:r>
      <w:r>
        <w:rPr>
          <w:rFonts w:hint="eastAsia"/>
        </w:rPr>
        <w:t>3</w:t>
      </w:r>
      <w:r>
        <w:rPr>
          <w:rFonts w:hint="eastAsia"/>
        </w:rPr>
        <w:t>月宣布实行紧急状态所依据的条件不明确。委员会感到关切的是，有关紧急状态的现行条例没有保证充分尊重在《公约》第四条中受到保护的权利</w:t>
      </w:r>
      <w:r w:rsidR="000C2B16">
        <w:rPr>
          <w:rFonts w:hint="eastAsia"/>
        </w:rPr>
        <w:t>(</w:t>
      </w:r>
      <w:r>
        <w:rPr>
          <w:rFonts w:hint="eastAsia"/>
        </w:rPr>
        <w:t>第四条</w:t>
      </w:r>
      <w:r w:rsidR="000C2B16">
        <w:rPr>
          <w:rFonts w:hint="eastAsia"/>
        </w:rPr>
        <w:t>)</w:t>
      </w:r>
      <w:r>
        <w:rPr>
          <w:rFonts w:hint="eastAsia"/>
        </w:rPr>
        <w:t>。</w:t>
      </w:r>
    </w:p>
    <w:p w:rsidR="00FB7042" w:rsidRPr="00FB7042" w:rsidRDefault="00FB7042" w:rsidP="00FB7042">
      <w:pPr>
        <w:pStyle w:val="SingleTxtGC"/>
        <w:rPr>
          <w:rFonts w:eastAsia="SimHei" w:hint="eastAsia"/>
        </w:rPr>
      </w:pPr>
      <w:r w:rsidRPr="00FB7042">
        <w:rPr>
          <w:rFonts w:eastAsia="SimHei" w:hint="eastAsia"/>
        </w:rPr>
        <w:t>缔约国应当确保有关紧急状态的立法和条例完全符合《公约》第四条。</w:t>
      </w:r>
    </w:p>
    <w:p w:rsidR="00FB7042" w:rsidRDefault="00FB7042" w:rsidP="00FB7042">
      <w:pPr>
        <w:pStyle w:val="SingleTxtGC"/>
        <w:rPr>
          <w:rFonts w:hint="eastAsia"/>
        </w:rPr>
      </w:pPr>
      <w:r>
        <w:t>12.</w:t>
      </w:r>
      <w:r>
        <w:rPr>
          <w:rFonts w:hint="eastAsia"/>
        </w:rPr>
        <w:t xml:space="preserve">  </w:t>
      </w:r>
      <w:r>
        <w:rPr>
          <w:rFonts w:hint="eastAsia"/>
        </w:rPr>
        <w:t>委员会感到关切的是，尽管缔约国试图调查有关的死亡案件，但是与警方在</w:t>
      </w:r>
      <w:r>
        <w:rPr>
          <w:rFonts w:hint="eastAsia"/>
        </w:rPr>
        <w:t>2008</w:t>
      </w:r>
      <w:r>
        <w:rPr>
          <w:rFonts w:hint="eastAsia"/>
        </w:rPr>
        <w:t>年</w:t>
      </w:r>
      <w:r>
        <w:rPr>
          <w:rFonts w:hint="eastAsia"/>
        </w:rPr>
        <w:t>3</w:t>
      </w:r>
      <w:r>
        <w:rPr>
          <w:rFonts w:hint="eastAsia"/>
        </w:rPr>
        <w:t>月</w:t>
      </w:r>
      <w:r>
        <w:t>1</w:t>
      </w:r>
      <w:r>
        <w:rPr>
          <w:rFonts w:hint="eastAsia"/>
        </w:rPr>
        <w:t>日的事件中过度使用武力相关的人员仍然没有受到惩治</w:t>
      </w:r>
      <w:r w:rsidR="000C2B16">
        <w:rPr>
          <w:rFonts w:hint="eastAsia"/>
        </w:rPr>
        <w:t>(</w:t>
      </w:r>
      <w:r>
        <w:rPr>
          <w:rFonts w:hint="eastAsia"/>
        </w:rPr>
        <w:t>第六、第七条和第十四条</w:t>
      </w:r>
      <w:r w:rsidR="000C2B16">
        <w:rPr>
          <w:rFonts w:hint="eastAsia"/>
        </w:rPr>
        <w:t>)</w:t>
      </w:r>
      <w:r>
        <w:rPr>
          <w:rFonts w:hint="eastAsia"/>
        </w:rPr>
        <w:t>。</w:t>
      </w:r>
    </w:p>
    <w:p w:rsidR="00FB7042" w:rsidRPr="00FB7042" w:rsidRDefault="00FB7042" w:rsidP="00FB7042">
      <w:pPr>
        <w:pStyle w:val="SingleTxtGC"/>
        <w:rPr>
          <w:rFonts w:eastAsia="SimHei" w:hint="eastAsia"/>
        </w:rPr>
      </w:pPr>
      <w:r w:rsidRPr="00FB7042">
        <w:rPr>
          <w:rFonts w:eastAsia="SimHei" w:hint="eastAsia"/>
        </w:rPr>
        <w:t>缔约国应当制定切实有效的调查程序，确保追究经查明对在</w:t>
      </w:r>
      <w:r w:rsidRPr="00FB7042">
        <w:rPr>
          <w:rFonts w:eastAsia="SimHei" w:hint="eastAsia"/>
        </w:rPr>
        <w:t>2008</w:t>
      </w:r>
      <w:r w:rsidRPr="00FB7042">
        <w:rPr>
          <w:rFonts w:eastAsia="SimHei" w:hint="eastAsia"/>
        </w:rPr>
        <w:t>年</w:t>
      </w:r>
      <w:r w:rsidRPr="00FB7042">
        <w:rPr>
          <w:rFonts w:eastAsia="SimHei" w:hint="eastAsia"/>
        </w:rPr>
        <w:t>3</w:t>
      </w:r>
      <w:r w:rsidRPr="00FB7042">
        <w:rPr>
          <w:rFonts w:eastAsia="SimHei" w:hint="eastAsia"/>
        </w:rPr>
        <w:t>月</w:t>
      </w:r>
      <w:r w:rsidRPr="00FB7042">
        <w:rPr>
          <w:rFonts w:eastAsia="SimHei" w:hint="eastAsia"/>
        </w:rPr>
        <w:t>1</w:t>
      </w:r>
      <w:r w:rsidRPr="00FB7042">
        <w:rPr>
          <w:rFonts w:eastAsia="SimHei" w:hint="eastAsia"/>
        </w:rPr>
        <w:t>日事件中过度使用武力负责的执法人员包括指挥人员的责任，并使他们受到恰当惩治。缔约国还应当确保过度使用武力行为的受害者得到恰当赔偿并接受恰当医治，获得心理康复。</w:t>
      </w:r>
    </w:p>
    <w:p w:rsidR="00FB7042" w:rsidRDefault="00FB7042" w:rsidP="00FB7042">
      <w:pPr>
        <w:pStyle w:val="SingleTxtGC"/>
        <w:rPr>
          <w:rFonts w:hint="eastAsia"/>
        </w:rPr>
      </w:pPr>
      <w:r>
        <w:t>13.</w:t>
      </w:r>
      <w:r>
        <w:rPr>
          <w:rFonts w:hint="eastAsia"/>
        </w:rPr>
        <w:t xml:space="preserve">  </w:t>
      </w:r>
      <w:r>
        <w:rPr>
          <w:rFonts w:hint="eastAsia"/>
        </w:rPr>
        <w:t>委员会感到关切的是，尽管通过了</w:t>
      </w:r>
      <w:r w:rsidR="002A1E9A">
        <w:t>2010</w:t>
      </w:r>
      <w:r w:rsidR="002A1E9A">
        <w:rPr>
          <w:rFonts w:hint="eastAsia"/>
        </w:rPr>
        <w:t>-</w:t>
      </w:r>
      <w:r>
        <w:rPr>
          <w:rFonts w:hint="eastAsia"/>
        </w:rPr>
        <w:t>2011</w:t>
      </w:r>
      <w:r>
        <w:rPr>
          <w:rFonts w:hint="eastAsia"/>
        </w:rPr>
        <w:t>年警察部门改革计划，但过度使用武力的执法人员的问责制度缺乏，而且，调查警员的侵害行为的独立机制尚未建立</w:t>
      </w:r>
      <w:r w:rsidR="000C2B16">
        <w:rPr>
          <w:rFonts w:hint="eastAsia"/>
        </w:rPr>
        <w:t>(</w:t>
      </w:r>
      <w:r>
        <w:rPr>
          <w:rFonts w:hint="eastAsia"/>
        </w:rPr>
        <w:t>第六条和第七条</w:t>
      </w:r>
      <w:r w:rsidR="000C2B16">
        <w:rPr>
          <w:rFonts w:hint="eastAsia"/>
        </w:rPr>
        <w:t>)</w:t>
      </w:r>
      <w:r>
        <w:rPr>
          <w:rFonts w:hint="eastAsia"/>
        </w:rPr>
        <w:t>。</w:t>
      </w:r>
    </w:p>
    <w:p w:rsidR="00FB7042" w:rsidRPr="00FB7042" w:rsidRDefault="00FB7042" w:rsidP="00FB7042">
      <w:pPr>
        <w:pStyle w:val="SingleTxtGC"/>
        <w:rPr>
          <w:rFonts w:eastAsia="SimHei" w:hint="eastAsia"/>
        </w:rPr>
      </w:pPr>
      <w:r w:rsidRPr="00FB7042">
        <w:rPr>
          <w:rFonts w:eastAsia="SimHei" w:hint="eastAsia"/>
        </w:rPr>
        <w:t>缔约国应当建立有效的警员选拔、培训、内部监督和独立问责机制，以确保充分尊重人权。缔约国应当确保其立法和条例与生命权的迫切性相一致，尤其应当遵循《联合国</w:t>
      </w:r>
      <w:r w:rsidRPr="00FB7042">
        <w:rPr>
          <w:rFonts w:eastAsia="SimHei"/>
        </w:rPr>
        <w:t>执法人员使用武力和火器的基本原则</w:t>
      </w:r>
      <w:r w:rsidRPr="00FB7042">
        <w:rPr>
          <w:rFonts w:eastAsia="SimHei" w:hint="eastAsia"/>
        </w:rPr>
        <w:t>》的规定。此外，缔约国应当确保对执法机构人员所犯的一切违法行为进行调查和惩治。</w:t>
      </w:r>
    </w:p>
    <w:p w:rsidR="00FB7042" w:rsidRDefault="00FB7042" w:rsidP="00FB7042">
      <w:pPr>
        <w:pStyle w:val="SingleTxtGC"/>
        <w:rPr>
          <w:rFonts w:hint="eastAsia"/>
        </w:rPr>
      </w:pPr>
      <w:r>
        <w:t>14.</w:t>
      </w:r>
      <w:r>
        <w:rPr>
          <w:rFonts w:hint="eastAsia"/>
        </w:rPr>
        <w:t xml:space="preserve">  </w:t>
      </w:r>
      <w:r>
        <w:rPr>
          <w:rFonts w:hint="eastAsia"/>
        </w:rPr>
        <w:t>委员会对处理剥夺自由场所指称的酷刑或虐待案件的真正独立的申诉机制缺乏，以及此类案件中提起诉讼的案件较少感到关切</w:t>
      </w:r>
      <w:r w:rsidR="000C2B16">
        <w:rPr>
          <w:rFonts w:hint="eastAsia"/>
        </w:rPr>
        <w:t>(</w:t>
      </w:r>
      <w:r>
        <w:rPr>
          <w:rFonts w:hint="eastAsia"/>
        </w:rPr>
        <w:t>第七和第十四条</w:t>
      </w:r>
      <w:r w:rsidR="000C2B16">
        <w:rPr>
          <w:rFonts w:hint="eastAsia"/>
        </w:rPr>
        <w:t>)</w:t>
      </w:r>
      <w:r>
        <w:rPr>
          <w:rFonts w:hint="eastAsia"/>
        </w:rPr>
        <w:t>。</w:t>
      </w:r>
    </w:p>
    <w:p w:rsidR="00FB7042" w:rsidRPr="00FB7042" w:rsidRDefault="00FB7042" w:rsidP="00FB7042">
      <w:pPr>
        <w:pStyle w:val="SingleTxtGC"/>
        <w:rPr>
          <w:rFonts w:eastAsia="SimHei" w:hint="eastAsia"/>
        </w:rPr>
      </w:pPr>
      <w:r w:rsidRPr="00FB7042">
        <w:rPr>
          <w:rFonts w:eastAsia="SimHei" w:hint="eastAsia"/>
        </w:rPr>
        <w:t>缔约国应当建立一个独立的系统，受理关于所有剥夺自由场所发生酷刑或虐待行为的申诉，还应当确保起诉并视情节严重程度惩治任何酷刑行为或施用残忍、不人道或有辱人格的待遇的做法。</w:t>
      </w:r>
    </w:p>
    <w:p w:rsidR="00FB7042" w:rsidRDefault="00FB7042" w:rsidP="00FB7042">
      <w:pPr>
        <w:pStyle w:val="SingleTxtGC"/>
        <w:rPr>
          <w:rFonts w:hint="eastAsia"/>
        </w:rPr>
      </w:pPr>
      <w:r>
        <w:t>15.</w:t>
      </w:r>
      <w:r>
        <w:rPr>
          <w:rFonts w:hint="eastAsia"/>
        </w:rPr>
        <w:t xml:space="preserve">  </w:t>
      </w:r>
      <w:r>
        <w:rPr>
          <w:rFonts w:hint="eastAsia"/>
        </w:rPr>
        <w:t>委员会对亚美尼亚武装部队中有人在非战斗情况下离奇死亡，以及指称的欺凌现象和有官兵采用其他方式虐待新兵等，感到关切</w:t>
      </w:r>
      <w:r w:rsidR="000C2B16">
        <w:rPr>
          <w:rFonts w:hint="eastAsia"/>
        </w:rPr>
        <w:t>(</w:t>
      </w:r>
      <w:r>
        <w:rPr>
          <w:rFonts w:hint="eastAsia"/>
        </w:rPr>
        <w:t>第六条和第七条</w:t>
      </w:r>
      <w:r w:rsidR="000C2B16">
        <w:rPr>
          <w:rFonts w:hint="eastAsia"/>
        </w:rPr>
        <w:t>)</w:t>
      </w:r>
      <w:r>
        <w:rPr>
          <w:rFonts w:hint="eastAsia"/>
        </w:rPr>
        <w:t>。</w:t>
      </w:r>
    </w:p>
    <w:p w:rsidR="00FB7042" w:rsidRPr="00FB7042" w:rsidRDefault="00FB7042" w:rsidP="00FB7042">
      <w:pPr>
        <w:pStyle w:val="SingleTxtGC"/>
        <w:rPr>
          <w:rFonts w:eastAsia="SimHei" w:hint="eastAsia"/>
        </w:rPr>
      </w:pPr>
      <w:r w:rsidRPr="00FB7042">
        <w:rPr>
          <w:rFonts w:eastAsia="SimHei" w:hint="eastAsia"/>
        </w:rPr>
        <w:t>缔约国应当保证消除武装部队中的欺凌现象和其他虐待现象。缔约国应当确保彻底调查军队中的欺凌和非战斗性死亡指称，起诉和惩治肇事者，并且使受害者获得赔偿和康复，包括通过提供适当的医疗和心理援助。</w:t>
      </w:r>
    </w:p>
    <w:p w:rsidR="00FB7042" w:rsidRDefault="00FB7042" w:rsidP="00FB7042">
      <w:pPr>
        <w:pStyle w:val="SingleTxtGC"/>
        <w:rPr>
          <w:rFonts w:hint="eastAsia"/>
        </w:rPr>
      </w:pPr>
      <w:r>
        <w:t>16.</w:t>
      </w:r>
      <w:r>
        <w:rPr>
          <w:rFonts w:hint="eastAsia"/>
        </w:rPr>
        <w:t xml:space="preserve">  </w:t>
      </w:r>
      <w:r>
        <w:rPr>
          <w:rFonts w:hint="eastAsia"/>
        </w:rPr>
        <w:t>委员会感到关切的是，评价贩运人口现象的严重程度和评估目前执行的方案和战略的效率所需有关贩运人口问题的统计资料和数据缺乏</w:t>
      </w:r>
      <w:r w:rsidR="000C2B16">
        <w:rPr>
          <w:rFonts w:hint="eastAsia"/>
        </w:rPr>
        <w:t>(</w:t>
      </w:r>
      <w:r>
        <w:rPr>
          <w:rFonts w:hint="eastAsia"/>
        </w:rPr>
        <w:t>第八条</w:t>
      </w:r>
      <w:r w:rsidR="000C2B16">
        <w:rPr>
          <w:rFonts w:hint="eastAsia"/>
        </w:rPr>
        <w:t>)</w:t>
      </w:r>
      <w:r>
        <w:rPr>
          <w:rFonts w:hint="eastAsia"/>
        </w:rPr>
        <w:t>。</w:t>
      </w:r>
    </w:p>
    <w:p w:rsidR="00FB7042" w:rsidRPr="00FB7042" w:rsidRDefault="00FB7042" w:rsidP="00FB7042">
      <w:pPr>
        <w:pStyle w:val="SingleTxtGC"/>
        <w:rPr>
          <w:rFonts w:eastAsia="SimHei" w:hint="eastAsia"/>
        </w:rPr>
      </w:pPr>
      <w:r w:rsidRPr="00FB7042">
        <w:rPr>
          <w:rFonts w:eastAsia="SimHei" w:hint="eastAsia"/>
        </w:rPr>
        <w:t>缔约国应当建立一个关于贩运人口案件数目，案件性质，司法机关对案件的处理以及向受害人提供的补救和补偿的官方数据库。缔约国还应当制定一个监测程序，以便评估所通过的旨在防止和惩治贩运人口行为的措施和战略的结果。</w:t>
      </w:r>
    </w:p>
    <w:p w:rsidR="00FB7042" w:rsidRDefault="00FB7042" w:rsidP="00FB7042">
      <w:pPr>
        <w:pStyle w:val="SingleTxtGC"/>
        <w:rPr>
          <w:rFonts w:hint="eastAsia"/>
        </w:rPr>
      </w:pPr>
      <w:r>
        <w:t>17.</w:t>
      </w:r>
      <w:r>
        <w:rPr>
          <w:rFonts w:hint="eastAsia"/>
        </w:rPr>
        <w:t xml:space="preserve">  </w:t>
      </w:r>
      <w:r>
        <w:rPr>
          <w:rFonts w:hint="eastAsia"/>
        </w:rPr>
        <w:t>委员会对仅仅由于非法入境而依据《刑法》第</w:t>
      </w:r>
      <w:r>
        <w:rPr>
          <w:rFonts w:hint="eastAsia"/>
        </w:rPr>
        <w:t>3</w:t>
      </w:r>
      <w:r>
        <w:t>2</w:t>
      </w:r>
      <w:r>
        <w:rPr>
          <w:rFonts w:hint="eastAsia"/>
        </w:rPr>
        <w:t>9</w:t>
      </w:r>
      <w:r>
        <w:rPr>
          <w:rFonts w:hint="eastAsia"/>
        </w:rPr>
        <w:t>条受到起诉和宣判的寻求庇护者的状况感到关切，尽管他们自称属于寻求庇护者</w:t>
      </w:r>
      <w:r w:rsidR="000C2B16">
        <w:rPr>
          <w:rFonts w:hint="eastAsia"/>
        </w:rPr>
        <w:t>(</w:t>
      </w:r>
      <w:r>
        <w:rPr>
          <w:rFonts w:hint="eastAsia"/>
        </w:rPr>
        <w:t>第九条和第十三条</w:t>
      </w:r>
      <w:r w:rsidR="000C2B16">
        <w:rPr>
          <w:rFonts w:hint="eastAsia"/>
        </w:rPr>
        <w:t>)</w:t>
      </w:r>
      <w:r>
        <w:rPr>
          <w:rFonts w:hint="eastAsia"/>
        </w:rPr>
        <w:t>。</w:t>
      </w:r>
    </w:p>
    <w:p w:rsidR="00FB7042" w:rsidRPr="00FB7042" w:rsidRDefault="00FB7042" w:rsidP="00FB7042">
      <w:pPr>
        <w:pStyle w:val="SingleTxtGC"/>
        <w:rPr>
          <w:rFonts w:eastAsia="SimHei" w:hint="eastAsia"/>
        </w:rPr>
      </w:pPr>
      <w:r w:rsidRPr="00FB7042">
        <w:rPr>
          <w:rFonts w:eastAsia="SimHei" w:hint="eastAsia"/>
        </w:rPr>
        <w:t>委员会应当确保任何寻求庇护者都不仅仅由于非法入境或逗留而受到刑事惩治，同时还应当确保考虑到寻求庇护者的国际保护需要。</w:t>
      </w:r>
    </w:p>
    <w:p w:rsidR="00FB7042" w:rsidRDefault="00FB7042" w:rsidP="008701D9">
      <w:pPr>
        <w:pStyle w:val="SingleTxtGC"/>
        <w:rPr>
          <w:rFonts w:hint="eastAsia"/>
        </w:rPr>
      </w:pPr>
      <w:r>
        <w:t>18.</w:t>
      </w:r>
      <w:r>
        <w:rPr>
          <w:rFonts w:hint="eastAsia"/>
        </w:rPr>
        <w:t xml:space="preserve">  </w:t>
      </w:r>
      <w:r>
        <w:rPr>
          <w:rFonts w:hint="eastAsia"/>
        </w:rPr>
        <w:t>委员会对</w:t>
      </w:r>
      <w:r>
        <w:t>1988</w:t>
      </w:r>
      <w:r>
        <w:rPr>
          <w:rFonts w:hint="eastAsia"/>
        </w:rPr>
        <w:t>至</w:t>
      </w:r>
      <w:r>
        <w:rPr>
          <w:rFonts w:hint="eastAsia"/>
        </w:rPr>
        <w:t>1992</w:t>
      </w:r>
      <w:r>
        <w:rPr>
          <w:rFonts w:hint="eastAsia"/>
        </w:rPr>
        <w:t>年间因</w:t>
      </w:r>
      <w:r>
        <w:t>纳戈尔诺</w:t>
      </w:r>
      <w:r w:rsidR="008701D9">
        <w:rPr>
          <w:rFonts w:eastAsia="SimHei" w:hint="eastAsia"/>
        </w:rPr>
        <w:t>·</w:t>
      </w:r>
      <w:r>
        <w:t>卡拉巴赫</w:t>
      </w:r>
      <w:r>
        <w:rPr>
          <w:rFonts w:hint="eastAsia"/>
        </w:rPr>
        <w:t>的冲突而从阿塞拜疆逃往亚美尼亚的难民及其家属问题和这一时期出现的境内流离失所者问题仍然未获解决，感到关切，这些人员目前居住在集体收容站，生活条件极为艰苦，身心健康受到不利影响</w:t>
      </w:r>
      <w:r w:rsidR="000C2B16">
        <w:rPr>
          <w:rFonts w:hint="eastAsia"/>
        </w:rPr>
        <w:t>(</w:t>
      </w:r>
      <w:r>
        <w:rPr>
          <w:rFonts w:hint="eastAsia"/>
        </w:rPr>
        <w:t>第十二条和第十七条</w:t>
      </w:r>
      <w:r w:rsidR="000C2B16">
        <w:rPr>
          <w:rFonts w:hint="eastAsia"/>
        </w:rPr>
        <w:t>)</w:t>
      </w:r>
      <w:r>
        <w:rPr>
          <w:rFonts w:hint="eastAsia"/>
        </w:rPr>
        <w:t>。</w:t>
      </w:r>
    </w:p>
    <w:p w:rsidR="00FB7042" w:rsidRPr="00FB7042" w:rsidRDefault="00FB7042" w:rsidP="00FB7042">
      <w:pPr>
        <w:pStyle w:val="SingleTxtGC"/>
        <w:rPr>
          <w:rFonts w:eastAsia="SimHei" w:hint="eastAsia"/>
        </w:rPr>
      </w:pPr>
      <w:r w:rsidRPr="00FB7042">
        <w:rPr>
          <w:rFonts w:eastAsia="SimHei" w:hint="eastAsia"/>
        </w:rPr>
        <w:t>缔约国应当开展宣传活动，宣讲从阿塞拜疆逃往亚美尼亚的难民享有的权利和资格，包括宣传现行的简化入籍方案，还应当加紧努力，改善难民和境内流离失所者的生活条件，尤其是在住房条件和其他生活条件。</w:t>
      </w:r>
    </w:p>
    <w:p w:rsidR="00FB7042" w:rsidRDefault="00FB7042" w:rsidP="00FB7042">
      <w:pPr>
        <w:pStyle w:val="SingleTxtGC"/>
        <w:rPr>
          <w:rFonts w:hint="eastAsia"/>
        </w:rPr>
      </w:pPr>
      <w:r>
        <w:t>19.</w:t>
      </w:r>
      <w:r>
        <w:rPr>
          <w:rFonts w:hint="eastAsia"/>
        </w:rPr>
        <w:t xml:space="preserve">  </w:t>
      </w:r>
      <w:r>
        <w:rPr>
          <w:rFonts w:hint="eastAsia"/>
        </w:rPr>
        <w:t>委员会对频繁采用审前拘留做法以及被拘留者在被剥夺自由之后无法充分了解其基本权利，感到关切。委员会还感到遗憾的是，被拘留者常常无法及时求助于律师和医务人员，也无权通知他们选定的人员，而且并不是被迅速带见法官</w:t>
      </w:r>
      <w:r w:rsidR="000C2B16">
        <w:rPr>
          <w:rFonts w:hint="eastAsia"/>
        </w:rPr>
        <w:t>(</w:t>
      </w:r>
      <w:r>
        <w:rPr>
          <w:rFonts w:hint="eastAsia"/>
        </w:rPr>
        <w:t>第九条</w:t>
      </w:r>
      <w:r w:rsidR="000C2B16">
        <w:rPr>
          <w:rFonts w:hint="eastAsia"/>
        </w:rPr>
        <w:t>)</w:t>
      </w:r>
      <w:r>
        <w:rPr>
          <w:rFonts w:hint="eastAsia"/>
        </w:rPr>
        <w:t>。</w:t>
      </w:r>
    </w:p>
    <w:p w:rsidR="00FB7042" w:rsidRPr="00FB7042" w:rsidRDefault="00FB7042" w:rsidP="00FB7042">
      <w:pPr>
        <w:pStyle w:val="SingleTxtGC"/>
        <w:rPr>
          <w:rFonts w:eastAsia="SimHei" w:hint="eastAsia"/>
        </w:rPr>
      </w:pPr>
      <w:r w:rsidRPr="00FB7042">
        <w:rPr>
          <w:rFonts w:eastAsia="SimHei" w:hint="eastAsia"/>
        </w:rPr>
        <w:t>根据</w:t>
      </w:r>
      <w:r w:rsidR="008701D9">
        <w:rPr>
          <w:rFonts w:eastAsia="SimHei" w:hint="eastAsia"/>
        </w:rPr>
        <w:t>2002</w:t>
      </w:r>
      <w:r w:rsidR="008701D9">
        <w:rPr>
          <w:rFonts w:eastAsia="SimHei" w:hint="eastAsia"/>
        </w:rPr>
        <w:t>年</w:t>
      </w:r>
      <w:r w:rsidRPr="00FB7042">
        <w:rPr>
          <w:rFonts w:eastAsia="SimHei"/>
        </w:rPr>
        <w:t>《被捕人员和候审犯羁押法》</w:t>
      </w:r>
      <w:r w:rsidRPr="00FB7042">
        <w:rPr>
          <w:rFonts w:eastAsia="SimHei" w:hint="eastAsia"/>
        </w:rPr>
        <w:t>，缔约国应当确保从剥夺自由之时起就以口头和书面方式向所有被剥夺自由的人告知其基本权利，确保他们能够立即求助于律师和医务人员，并确保他们能够通知他们选定的人员。缔约国还应当确保根据《公约》条款，迅速将所有被剥夺自由的人带见法官。</w:t>
      </w:r>
    </w:p>
    <w:p w:rsidR="00FB7042" w:rsidRDefault="00FB7042" w:rsidP="00FB7042">
      <w:pPr>
        <w:pStyle w:val="SingleTxtGC"/>
      </w:pPr>
      <w:r>
        <w:t>20.</w:t>
      </w:r>
      <w:r>
        <w:rPr>
          <w:rFonts w:hint="eastAsia"/>
        </w:rPr>
        <w:t xml:space="preserve">  </w:t>
      </w:r>
      <w:r>
        <w:rPr>
          <w:rFonts w:hint="eastAsia"/>
        </w:rPr>
        <w:t>委员会还对监狱过分拥挤和监狱管理人员不足感到关切。委员会还对法院减少拘留替代性措施的适用表示遗憾</w:t>
      </w:r>
      <w:r w:rsidR="000C2B16">
        <w:rPr>
          <w:rFonts w:hint="eastAsia"/>
        </w:rPr>
        <w:t>(</w:t>
      </w:r>
      <w:r>
        <w:rPr>
          <w:rFonts w:hint="eastAsia"/>
        </w:rPr>
        <w:t>第十条</w:t>
      </w:r>
      <w:r w:rsidR="000C2B16">
        <w:rPr>
          <w:rFonts w:hint="eastAsia"/>
        </w:rPr>
        <w:t>)</w:t>
      </w:r>
      <w:r>
        <w:rPr>
          <w:rFonts w:hint="eastAsia"/>
        </w:rPr>
        <w:t>。</w:t>
      </w:r>
    </w:p>
    <w:p w:rsidR="00FB7042" w:rsidRPr="00FB7042" w:rsidRDefault="00FB7042" w:rsidP="00FB7042">
      <w:pPr>
        <w:pStyle w:val="SingleTxtGC"/>
        <w:rPr>
          <w:rFonts w:eastAsia="SimHei"/>
        </w:rPr>
      </w:pPr>
      <w:r w:rsidRPr="00FB7042">
        <w:rPr>
          <w:rFonts w:eastAsia="SimHei" w:hint="eastAsia"/>
        </w:rPr>
        <w:t>缔约国应当设法改善拘留所的条件并减缓监狱过分拥挤状况，包括为此采取替代监禁的措施。</w:t>
      </w:r>
    </w:p>
    <w:p w:rsidR="00FB7042" w:rsidRDefault="00FB7042" w:rsidP="00FB7042">
      <w:pPr>
        <w:pStyle w:val="SingleTxtGC"/>
        <w:rPr>
          <w:rFonts w:hint="eastAsia"/>
        </w:rPr>
      </w:pPr>
      <w:r>
        <w:t>21.</w:t>
      </w:r>
      <w:r>
        <w:rPr>
          <w:rFonts w:hint="eastAsia"/>
        </w:rPr>
        <w:t xml:space="preserve">  </w:t>
      </w:r>
      <w:r>
        <w:rPr>
          <w:rFonts w:hint="eastAsia"/>
        </w:rPr>
        <w:t>委员会对司法机构缺乏独立性感到关切。具体来说，委员会对法官的任命机制使其容易遭受政治压力和独立的纪律机制缺乏感到关切</w:t>
      </w:r>
      <w:r>
        <w:rPr>
          <w:rFonts w:hint="eastAsia"/>
        </w:rPr>
        <w:t>(</w:t>
      </w:r>
      <w:r>
        <w:rPr>
          <w:rFonts w:hint="eastAsia"/>
        </w:rPr>
        <w:t>第十四条</w:t>
      </w:r>
      <w:r w:rsidR="000C2B16">
        <w:rPr>
          <w:rFonts w:hint="eastAsia"/>
        </w:rPr>
        <w:t>)</w:t>
      </w:r>
      <w:r>
        <w:rPr>
          <w:rFonts w:hint="eastAsia"/>
        </w:rPr>
        <w:t>。</w:t>
      </w:r>
    </w:p>
    <w:p w:rsidR="00FB7042" w:rsidRPr="00FB7042" w:rsidRDefault="00FB7042" w:rsidP="00FB7042">
      <w:pPr>
        <w:pStyle w:val="SingleTxtGC"/>
        <w:rPr>
          <w:rFonts w:eastAsia="SimHei" w:hint="eastAsia"/>
        </w:rPr>
      </w:pPr>
      <w:r w:rsidRPr="00FB7042">
        <w:rPr>
          <w:rFonts w:eastAsia="SimHei" w:hint="eastAsia"/>
        </w:rPr>
        <w:t>缔约国应当修改国内法规，以便确保司法机构独立于行政和立法部门，还应当考虑在法官合议机制之外建立一个负责法官任命和晋升以及纪律规定的适用的独立机构。</w:t>
      </w:r>
    </w:p>
    <w:p w:rsidR="00FB7042" w:rsidRDefault="00FB7042" w:rsidP="00FB7042">
      <w:pPr>
        <w:pStyle w:val="SingleTxtGC"/>
      </w:pPr>
      <w:r>
        <w:t>22.</w:t>
      </w:r>
      <w:r>
        <w:rPr>
          <w:rFonts w:hint="eastAsia"/>
        </w:rPr>
        <w:t xml:space="preserve">  </w:t>
      </w:r>
      <w:r>
        <w:t>委员会对国家机构各部门特别是警察部门和司法部门的腐败现象难以消除的指称感到关切，因为腐败会损害法治。另外，委员会还感到关切的是，打击高层腐败现象的斗争未能取得令人信服的结果，因而公众对司法缺乏信任</w:t>
      </w:r>
      <w:r>
        <w:t>(</w:t>
      </w:r>
      <w:r>
        <w:t>第十四条</w:t>
      </w:r>
      <w:r w:rsidR="000C2B16">
        <w:t>)</w:t>
      </w:r>
      <w:r>
        <w:t>。</w:t>
      </w:r>
    </w:p>
    <w:p w:rsidR="00FB7042" w:rsidRPr="00FB7042" w:rsidRDefault="00FB7042" w:rsidP="00FB7042">
      <w:pPr>
        <w:pStyle w:val="SingleTxtGC"/>
        <w:rPr>
          <w:rFonts w:eastAsia="SimHei"/>
        </w:rPr>
      </w:pPr>
      <w:r w:rsidRPr="00FB7042">
        <w:rPr>
          <w:rFonts w:eastAsia="SimHei"/>
        </w:rPr>
        <w:t>缔约国应当进一步努力打击政府各部门的腐败现象，迅速、彻底调查所有指称的腐败事件并惩治责任人。</w:t>
      </w:r>
    </w:p>
    <w:p w:rsidR="00FB7042" w:rsidRDefault="00FB7042" w:rsidP="00FB7042">
      <w:pPr>
        <w:pStyle w:val="SingleTxtGC"/>
      </w:pPr>
      <w:r>
        <w:t>23.</w:t>
      </w:r>
      <w:r>
        <w:rPr>
          <w:rFonts w:hint="eastAsia"/>
        </w:rPr>
        <w:t xml:space="preserve">  </w:t>
      </w:r>
      <w:r>
        <w:t>委员会对少年司法系统存在缺陷感到关切，具体来说，专门法官人数有限，而且有关特别法律、程序和法庭的信息缺乏。委员会还对少年犯身心康复和重新融入社会设施缺乏表示关注</w:t>
      </w:r>
      <w:r>
        <w:t>(</w:t>
      </w:r>
      <w:r>
        <w:t>第十四条和第二十四条</w:t>
      </w:r>
      <w:r w:rsidR="000C2B16">
        <w:t>)</w:t>
      </w:r>
      <w:r>
        <w:t>。</w:t>
      </w:r>
    </w:p>
    <w:p w:rsidR="00FB7042" w:rsidRPr="00FB7042" w:rsidRDefault="00FB7042" w:rsidP="00FB7042">
      <w:pPr>
        <w:pStyle w:val="SingleTxtGC"/>
        <w:rPr>
          <w:rFonts w:eastAsia="SimHei" w:hint="eastAsia"/>
        </w:rPr>
      </w:pPr>
      <w:r w:rsidRPr="00FB7042">
        <w:rPr>
          <w:rFonts w:eastAsia="SimHei"/>
        </w:rPr>
        <w:t>缔约国应当设法为少年刑事司法系统提供必要的物质和人力资源。在这方面，缔约国应当确保向所有少年司法系统专业人员提供培训，使其知晓相关的国际标准，包括《联合国儿童被害人和证人刑事司法事项导则</w:t>
      </w:r>
      <w:r w:rsidRPr="00FB7042">
        <w:rPr>
          <w:rFonts w:eastAsia="SimHei" w:hint="eastAsia"/>
        </w:rPr>
        <w:t>》</w:t>
      </w:r>
      <w:r w:rsidR="000C2B16">
        <w:rPr>
          <w:rFonts w:eastAsia="SimHei" w:hint="eastAsia"/>
        </w:rPr>
        <w:t>(</w:t>
      </w:r>
      <w:r w:rsidRPr="00FB7042">
        <w:rPr>
          <w:rFonts w:eastAsia="SimHei" w:hint="eastAsia"/>
        </w:rPr>
        <w:t>经济及社会理事会第</w:t>
      </w:r>
      <w:r w:rsidRPr="00FB7042">
        <w:rPr>
          <w:rFonts w:eastAsia="SimHei"/>
        </w:rPr>
        <w:t>2005/20</w:t>
      </w:r>
      <w:r w:rsidRPr="00FB7042">
        <w:rPr>
          <w:rFonts w:eastAsia="SimHei" w:hint="eastAsia"/>
        </w:rPr>
        <w:t>号决议</w:t>
      </w:r>
      <w:r w:rsidR="000C2B16">
        <w:rPr>
          <w:rFonts w:eastAsia="SimHei" w:hint="eastAsia"/>
        </w:rPr>
        <w:t>)</w:t>
      </w:r>
      <w:r w:rsidRPr="00FB7042">
        <w:rPr>
          <w:rFonts w:eastAsia="SimHei" w:hint="eastAsia"/>
        </w:rPr>
        <w:t>。缔约国还应当建立负责少年犯身心康复和重新融入社会的专门机构。</w:t>
      </w:r>
    </w:p>
    <w:p w:rsidR="00FB7042" w:rsidRDefault="00FB7042" w:rsidP="00FB7042">
      <w:pPr>
        <w:pStyle w:val="SingleTxtGC"/>
        <w:rPr>
          <w:rFonts w:hint="eastAsia"/>
        </w:rPr>
      </w:pPr>
      <w:r>
        <w:t>24.</w:t>
      </w:r>
      <w:r>
        <w:rPr>
          <w:rFonts w:hint="eastAsia"/>
        </w:rPr>
        <w:t xml:space="preserve">  </w:t>
      </w:r>
      <w:r>
        <w:rPr>
          <w:rFonts w:hint="eastAsia"/>
        </w:rPr>
        <w:t>委员会对宗教和信仰自由受到限制和制约，包括将改变宗教定为犯罪的做法感到关切</w:t>
      </w:r>
      <w:r>
        <w:rPr>
          <w:rFonts w:hint="eastAsia"/>
        </w:rPr>
        <w:t>(</w:t>
      </w:r>
      <w:r>
        <w:rPr>
          <w:rFonts w:hint="eastAsia"/>
        </w:rPr>
        <w:t>第十八条</w:t>
      </w:r>
      <w:r w:rsidR="000C2B16">
        <w:rPr>
          <w:rFonts w:hint="eastAsia"/>
        </w:rPr>
        <w:t>)</w:t>
      </w:r>
      <w:r>
        <w:rPr>
          <w:rFonts w:hint="eastAsia"/>
        </w:rPr>
        <w:t>。</w:t>
      </w:r>
    </w:p>
    <w:p w:rsidR="00FB7042" w:rsidRPr="00FB7042" w:rsidRDefault="00FB7042" w:rsidP="00FB7042">
      <w:pPr>
        <w:pStyle w:val="SingleTxtGC"/>
        <w:rPr>
          <w:rFonts w:eastAsia="SimHei"/>
        </w:rPr>
      </w:pPr>
      <w:r w:rsidRPr="00FB7042">
        <w:rPr>
          <w:rFonts w:eastAsia="SimHei"/>
        </w:rPr>
        <w:t>委员会应当根据《公约》第十八条的规定修改立法，包括使改变宗教行为合法化。</w:t>
      </w:r>
    </w:p>
    <w:p w:rsidR="00FB7042" w:rsidRDefault="00FB7042" w:rsidP="00FB7042">
      <w:pPr>
        <w:pStyle w:val="SingleTxtGC"/>
        <w:rPr>
          <w:rFonts w:hint="eastAsia"/>
        </w:rPr>
      </w:pPr>
      <w:r>
        <w:t>25.</w:t>
      </w:r>
      <w:r>
        <w:rPr>
          <w:rFonts w:hint="eastAsia"/>
        </w:rPr>
        <w:t xml:space="preserve">  </w:t>
      </w:r>
      <w:r>
        <w:t>委员会感到关切的是，</w:t>
      </w:r>
      <w:r>
        <w:t>2004</w:t>
      </w:r>
      <w:r>
        <w:t>和</w:t>
      </w:r>
      <w:r>
        <w:t>2006</w:t>
      </w:r>
      <w:r>
        <w:t>年修改的《兵役替代法》仍然没有为依据良心拒服兵役者提供完全具有非军事性质的真正的兵役替代。委员会还感到关切的是，依据良心拒服兵役者</w:t>
      </w:r>
      <w:r w:rsidR="002A1E9A">
        <w:rPr>
          <w:rFonts w:hint="eastAsia"/>
          <w:spacing w:val="-50"/>
        </w:rPr>
        <w:t>―</w:t>
      </w:r>
      <w:r w:rsidR="002A1E9A">
        <w:rPr>
          <w:rFonts w:hint="eastAsia"/>
        </w:rPr>
        <w:t>―</w:t>
      </w:r>
      <w:r>
        <w:t>绝大多数为耶和华见证人</w:t>
      </w:r>
      <w:r w:rsidR="002A1E9A">
        <w:rPr>
          <w:rFonts w:hint="eastAsia"/>
          <w:spacing w:val="-50"/>
        </w:rPr>
        <w:t>―</w:t>
      </w:r>
      <w:r w:rsidR="002A1E9A">
        <w:rPr>
          <w:rFonts w:hint="eastAsia"/>
        </w:rPr>
        <w:t>―</w:t>
      </w:r>
      <w:r>
        <w:rPr>
          <w:rFonts w:hint="eastAsia"/>
        </w:rPr>
        <w:t>如拒服兵役和现行替代性兵役，仍然遭到监禁</w:t>
      </w:r>
      <w:r w:rsidR="000C2B16">
        <w:rPr>
          <w:rFonts w:hint="eastAsia"/>
        </w:rPr>
        <w:t>(</w:t>
      </w:r>
      <w:r>
        <w:rPr>
          <w:rFonts w:hint="eastAsia"/>
        </w:rPr>
        <w:t>第十八条和第二十六条</w:t>
      </w:r>
      <w:r w:rsidR="000C2B16">
        <w:rPr>
          <w:rFonts w:hint="eastAsia"/>
        </w:rPr>
        <w:t>)</w:t>
      </w:r>
      <w:r>
        <w:rPr>
          <w:rFonts w:hint="eastAsia"/>
        </w:rPr>
        <w:t>。</w:t>
      </w:r>
    </w:p>
    <w:p w:rsidR="00FB7042" w:rsidRPr="00FB7042" w:rsidRDefault="00FB7042" w:rsidP="00FB7042">
      <w:pPr>
        <w:pStyle w:val="SingleTxtGC"/>
        <w:rPr>
          <w:rFonts w:eastAsia="SimHei"/>
        </w:rPr>
      </w:pPr>
      <w:r w:rsidRPr="00FB7042">
        <w:rPr>
          <w:rFonts w:eastAsia="SimHei"/>
        </w:rPr>
        <w:t>缔约国应当确定一种兵役的真正的替代办法，这种办法真正不具军事性质，所有依据良心拒服兵役者都能采用，而且在性质、费用或期限上既不具有惩罚性质，又不具有歧视性质。缔约国还应当释放所有因拒服兵役或现行替代性兵役而遭受监禁的依据良心拒服兵役者。</w:t>
      </w:r>
    </w:p>
    <w:p w:rsidR="00FB7042" w:rsidRDefault="00FB7042" w:rsidP="00FB7042">
      <w:pPr>
        <w:pStyle w:val="SingleTxtGC"/>
      </w:pPr>
      <w:r>
        <w:t>26.</w:t>
      </w:r>
      <w:r>
        <w:rPr>
          <w:rFonts w:hint="eastAsia"/>
        </w:rPr>
        <w:t xml:space="preserve">  </w:t>
      </w:r>
      <w:r>
        <w:t>委员会对收到的关于新闻记者和人权维护者遭受威胁和攻击的消息感到关切</w:t>
      </w:r>
      <w:r>
        <w:t>(</w:t>
      </w:r>
      <w:r>
        <w:t>第十九条</w:t>
      </w:r>
      <w:r w:rsidR="000C2B16">
        <w:t>)</w:t>
      </w:r>
      <w:r>
        <w:t>。</w:t>
      </w:r>
    </w:p>
    <w:p w:rsidR="00FB7042" w:rsidRPr="00FB7042" w:rsidRDefault="00FB7042" w:rsidP="00FB7042">
      <w:pPr>
        <w:pStyle w:val="SingleTxtGC"/>
        <w:rPr>
          <w:rFonts w:eastAsia="SimHei"/>
        </w:rPr>
      </w:pPr>
      <w:r w:rsidRPr="00FB7042">
        <w:rPr>
          <w:rFonts w:eastAsia="SimHei"/>
        </w:rPr>
        <w:t>缔约国应当确保为新闻记者和人权维护者提供保护，使其免遭威胁和攻击，立即对所有关于此种行为的指称作彻底调查，起诉和惩治行为人，并使受害者获得赔偿。</w:t>
      </w:r>
    </w:p>
    <w:p w:rsidR="00FB7042" w:rsidRDefault="00FB7042" w:rsidP="00FB7042">
      <w:pPr>
        <w:pStyle w:val="SingleTxtGC"/>
      </w:pPr>
      <w:r>
        <w:t>27.</w:t>
      </w:r>
      <w:r>
        <w:rPr>
          <w:rFonts w:hint="eastAsia"/>
        </w:rPr>
        <w:t xml:space="preserve">  </w:t>
      </w:r>
      <w:r>
        <w:t>缔约国应当广为散发《公约》，第二次定期报告全文，提供的对委员会起草的问题单作的书面答复，以及本结论性意见，以便提高司法机构、立法和行政机构、公民社会和在国内开展活动的非政府组织及公众的认识。委员会建议将报告和结论性意见译成缔约国的官方语文。委员会还请缔约国在编写第四次定期报告时广泛征求公民社会和非政府组织的意见。</w:t>
      </w:r>
    </w:p>
    <w:p w:rsidR="00FB7042" w:rsidRDefault="00FB7042" w:rsidP="00FB7042">
      <w:pPr>
        <w:pStyle w:val="SingleTxtGC"/>
      </w:pPr>
      <w:r>
        <w:t>28.</w:t>
      </w:r>
      <w:r>
        <w:rPr>
          <w:rFonts w:hint="eastAsia"/>
        </w:rPr>
        <w:t xml:space="preserve">  </w:t>
      </w:r>
      <w:r>
        <w:t>根据委员会议事规则第</w:t>
      </w:r>
      <w:r>
        <w:t>71</w:t>
      </w:r>
      <w:r>
        <w:t>条第</w:t>
      </w:r>
      <w:r>
        <w:t>5</w:t>
      </w:r>
      <w:r>
        <w:t>款，缔约国应当在一年内提供相关资料，说明本结论性意见第</w:t>
      </w:r>
      <w:r>
        <w:t>12</w:t>
      </w:r>
      <w:r>
        <w:t>、</w:t>
      </w:r>
      <w:r>
        <w:t>14</w:t>
      </w:r>
      <w:r>
        <w:t>和</w:t>
      </w:r>
      <w:r>
        <w:t>21</w:t>
      </w:r>
      <w:r>
        <w:t>段所载委员会建议的落实情况。</w:t>
      </w:r>
    </w:p>
    <w:p w:rsidR="00FB7042" w:rsidRDefault="00FB7042" w:rsidP="00FB7042">
      <w:pPr>
        <w:pStyle w:val="SingleTxtGC"/>
        <w:rPr>
          <w:rFonts w:hint="eastAsia"/>
        </w:rPr>
      </w:pPr>
      <w:r>
        <w:t>29.</w:t>
      </w:r>
      <w:r>
        <w:rPr>
          <w:rFonts w:hint="eastAsia"/>
        </w:rPr>
        <w:t xml:space="preserve">  </w:t>
      </w:r>
      <w:r>
        <w:t>委员会请缔约国在应当于</w:t>
      </w:r>
      <w:r>
        <w:t>2016</w:t>
      </w:r>
      <w:r>
        <w:t>年</w:t>
      </w:r>
      <w:r>
        <w:t>7</w:t>
      </w:r>
      <w:r>
        <w:t>月</w:t>
      </w:r>
      <w:r>
        <w:t>27</w:t>
      </w:r>
      <w:r>
        <w:t>日之前提交的下次定期报告中提供有关所有建议和整个《公约》的遵守情况的具体的最新资料。</w:t>
      </w:r>
    </w:p>
    <w:p w:rsidR="00F129C9" w:rsidRDefault="00F129C9">
      <w:pPr>
        <w:spacing w:before="240"/>
        <w:jc w:val="center"/>
        <w:rPr>
          <w:rFonts w:hint="eastAsia"/>
          <w:u w:val="single"/>
        </w:rPr>
      </w:pPr>
    </w:p>
    <w:p w:rsidR="00FB7042" w:rsidRPr="002D6A9C" w:rsidRDefault="00FB7042">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FB7042" w:rsidRPr="00FB7042" w:rsidRDefault="00FB7042" w:rsidP="00FB7042">
      <w:pPr>
        <w:pStyle w:val="SingleTxtGC"/>
        <w:rPr>
          <w:rFonts w:hint="eastAsia"/>
        </w:rPr>
      </w:pPr>
    </w:p>
    <w:sectPr w:rsidR="00FB7042" w:rsidRPr="00FB7042">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B65F0" w:rsidRPr="008C40EB" w:rsidRDefault="001B65F0" w:rsidP="008C40EB">
      <w:pPr>
        <w:pStyle w:val="Footer"/>
        <w:spacing w:after="240"/>
        <w:ind w:left="907"/>
        <w:rPr>
          <w:rFonts w:eastAsia="KaiTi_GB2312" w:hint="eastAsia"/>
          <w:sz w:val="21"/>
          <w:szCs w:val="21"/>
          <w:lang w:val="fr-CH" w:eastAsia="zh-CN"/>
        </w:rPr>
      </w:pPr>
      <w:r>
        <w:rPr>
          <w:rFonts w:eastAsia="KaiTi_GB2312" w:hint="eastAsia"/>
          <w:sz w:val="21"/>
          <w:szCs w:val="21"/>
          <w:lang w:val="fr-CH" w:eastAsia="zh-CN"/>
        </w:rPr>
        <w:t>注</w:t>
      </w:r>
    </w:p>
  </w:endnote>
  <w:endnote w:type="continuationSeparator" w:id="0">
    <w:p w:rsidR="001B65F0" w:rsidRDefault="001B65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F6977" w:rsidRPr="00AE7487" w:rsidRDefault="007F6977" w:rsidP="00FC3094">
    <w:pPr>
      <w:pStyle w:val="Footer"/>
      <w:tabs>
        <w:tab w:val="clear" w:pos="431"/>
        <w:tab w:val="right" w:pos="9639"/>
      </w:tabs>
      <w:rPr>
        <w:rStyle w:val="PageNumber"/>
        <w:rFonts w:eastAsia="SimSun" w:hint="eastAsia"/>
        <w:b w:val="0"/>
        <w:sz w:val="16"/>
      </w:rPr>
    </w:pPr>
    <w:r>
      <w:rPr>
        <w:rStyle w:val="PageNumber"/>
      </w:rPr>
      <w:fldChar w:fldCharType="begin"/>
    </w:r>
    <w:r>
      <w:rPr>
        <w:rStyle w:val="PageNumber"/>
      </w:rPr>
      <w:instrText xml:space="preserve"> PAGE </w:instrText>
    </w:r>
    <w:r>
      <w:rPr>
        <w:rStyle w:val="PageNumber"/>
      </w:rPr>
      <w:fldChar w:fldCharType="separate"/>
    </w:r>
    <w:r w:rsidR="00292C0E">
      <w:rPr>
        <w:rStyle w:val="PageNumber"/>
        <w:noProof/>
      </w:rPr>
      <w:t>6</w:t>
    </w:r>
    <w:r>
      <w:rPr>
        <w:rStyle w:val="PageNumber"/>
      </w:rPr>
      <w:fldChar w:fldCharType="end"/>
    </w:r>
    <w:r>
      <w:rPr>
        <w:rStyle w:val="PageNumber"/>
        <w:rFonts w:eastAsia="SimSun" w:hint="eastAsia"/>
        <w:lang w:eastAsia="zh-CN"/>
      </w:rPr>
      <w:tab/>
    </w:r>
    <w:r w:rsidRPr="00AE7487">
      <w:rPr>
        <w:rFonts w:eastAsia="SimSun"/>
      </w:rPr>
      <w:t>GE.12-45523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F6977" w:rsidRDefault="007F6977">
    <w:pPr>
      <w:pStyle w:val="Footer"/>
      <w:tabs>
        <w:tab w:val="right" w:pos="9639"/>
      </w:tabs>
    </w:pPr>
    <w:r w:rsidRPr="00AE7487">
      <w:rPr>
        <w:rFonts w:eastAsia="SimSun"/>
      </w:rPr>
      <w:t>GE.12-45523</w:t>
    </w:r>
    <w:r>
      <w:rPr>
        <w:rFonts w:eastAsia="SimSun"/>
      </w:rPr>
      <w:tab/>
    </w:r>
    <w:r>
      <w:rPr>
        <w:rStyle w:val="PageNumber"/>
      </w:rPr>
      <w:fldChar w:fldCharType="begin"/>
    </w:r>
    <w:r>
      <w:rPr>
        <w:rStyle w:val="PageNumber"/>
      </w:rPr>
      <w:instrText xml:space="preserve"> PAGE </w:instrText>
    </w:r>
    <w:r>
      <w:rPr>
        <w:rStyle w:val="PageNumber"/>
      </w:rPr>
      <w:fldChar w:fldCharType="separate"/>
    </w:r>
    <w:r w:rsidR="00292C0E">
      <w:rPr>
        <w:rStyle w:val="PageNumber"/>
        <w:noProof/>
      </w:rPr>
      <w:t>5</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F6977" w:rsidRPr="00FA3CA8" w:rsidRDefault="007F6977" w:rsidP="00FA3CA8">
    <w:pPr>
      <w:pStyle w:val="Footer"/>
      <w:tabs>
        <w:tab w:val="left" w:pos="1701"/>
        <w:tab w:val="left" w:pos="2552"/>
        <w:tab w:val="left" w:pos="8618"/>
      </w:tabs>
      <w:rPr>
        <w:rFonts w:eastAsia="SimSun" w:hint="eastAsia"/>
        <w:sz w:val="20"/>
        <w:lang w:eastAsia="zh-CN"/>
      </w:rPr>
    </w:pPr>
    <w:r>
      <w:rPr>
        <w:rFonts w:eastAsia="SimSun"/>
        <w:sz w:val="20"/>
        <w:lang w:eastAsia="zh-CN"/>
      </w:rPr>
      <w:t>GE.</w:t>
    </w:r>
    <w:r>
      <w:rPr>
        <w:rFonts w:eastAsia="SimSun" w:hint="eastAsia"/>
        <w:sz w:val="20"/>
        <w:lang w:eastAsia="zh-CN"/>
      </w:rPr>
      <w:t>12</w:t>
    </w:r>
    <w:r w:rsidRPr="00EE277A">
      <w:rPr>
        <w:rFonts w:eastAsia="SimSun"/>
        <w:sz w:val="20"/>
        <w:lang w:eastAsia="zh-CN"/>
      </w:rPr>
      <w:t>-</w:t>
    </w:r>
    <w:r>
      <w:rPr>
        <w:rFonts w:eastAsia="SimSun" w:hint="eastAsia"/>
        <w:sz w:val="20"/>
        <w:lang w:eastAsia="zh-CN"/>
      </w:rPr>
      <w:t>45523</w:t>
    </w:r>
    <w:r w:rsidRPr="00EE277A">
      <w:rPr>
        <w:rFonts w:eastAsia="SimSun"/>
        <w:sz w:val="20"/>
        <w:lang w:eastAsia="zh-CN"/>
      </w:rPr>
      <w:t xml:space="preserve"> (C)</w:t>
    </w:r>
    <w:r>
      <w:rPr>
        <w:rFonts w:eastAsia="SimSun"/>
        <w:sz w:val="20"/>
        <w:lang w:eastAsia="zh-CN"/>
      </w:rPr>
      <w:tab/>
    </w:r>
    <w:r>
      <w:rPr>
        <w:rFonts w:eastAsia="SimSun" w:hint="eastAsia"/>
        <w:sz w:val="20"/>
        <w:lang w:eastAsia="zh-CN"/>
      </w:rPr>
      <w:t>051012</w:t>
    </w:r>
    <w:r>
      <w:rPr>
        <w:rFonts w:eastAsia="SimSun"/>
        <w:sz w:val="20"/>
        <w:lang w:eastAsia="zh-CN"/>
      </w:rPr>
      <w:tab/>
    </w:r>
    <w:r>
      <w:rPr>
        <w:rFonts w:eastAsia="SimSun" w:hint="eastAsia"/>
        <w:sz w:val="20"/>
        <w:lang w:eastAsia="zh-CN"/>
      </w:rPr>
      <w:t>081012</w:t>
    </w:r>
    <w:r>
      <w:rPr>
        <w:rFonts w:eastAsia="SimSun"/>
        <w:sz w:val="20"/>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B65F0" w:rsidRPr="005749F7" w:rsidRDefault="001B65F0" w:rsidP="005749F7">
      <w:pPr>
        <w:pStyle w:val="Footer"/>
        <w:tabs>
          <w:tab w:val="clear" w:pos="431"/>
          <w:tab w:val="right" w:pos="2155"/>
        </w:tabs>
        <w:spacing w:after="80" w:line="240" w:lineRule="atLeast"/>
        <w:ind w:left="680"/>
        <w:rPr>
          <w:rFonts w:eastAsia="SimSun" w:hint="eastAsia"/>
          <w:u w:val="single"/>
          <w:lang w:eastAsia="zh-CN"/>
        </w:rPr>
      </w:pPr>
      <w:r>
        <w:rPr>
          <w:rFonts w:eastAsia="SimSun" w:hint="eastAsia"/>
          <w:u w:val="single"/>
          <w:lang w:eastAsia="zh-CN"/>
        </w:rPr>
        <w:tab/>
      </w:r>
    </w:p>
  </w:footnote>
  <w:footnote w:type="continuationSeparator" w:id="0">
    <w:p w:rsidR="001B65F0" w:rsidRPr="005749F7" w:rsidRDefault="001B65F0" w:rsidP="005749F7">
      <w:pPr>
        <w:pStyle w:val="Footer"/>
        <w:tabs>
          <w:tab w:val="clear" w:pos="431"/>
          <w:tab w:val="right" w:pos="2155"/>
        </w:tabs>
        <w:spacing w:after="80" w:line="240" w:lineRule="atLeast"/>
        <w:ind w:left="680"/>
        <w:rPr>
          <w:rFonts w:eastAsia="SimSun" w:hint="eastAsia"/>
          <w:u w:val="single"/>
          <w:lang w:eastAsia="zh-CN"/>
        </w:rPr>
      </w:pPr>
      <w:r>
        <w:rPr>
          <w:rFonts w:eastAsia="SimSun" w:hint="eastAsia"/>
          <w:u w:val="single"/>
          <w:lang w:eastAsia="zh-CN"/>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F6977" w:rsidRPr="00AE7487" w:rsidRDefault="007F6977">
    <w:pPr>
      <w:pStyle w:val="Header"/>
    </w:pPr>
    <w:r w:rsidRPr="00AE7487">
      <w:t>CCPR/C/ARM/CO/2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F6977" w:rsidRPr="00AE7487" w:rsidRDefault="007F6977">
    <w:pPr>
      <w:pStyle w:val="Header"/>
      <w:jc w:val="right"/>
    </w:pPr>
    <w:r w:rsidRPr="00AE7487">
      <w:t>CCPR/C/ARM/CO/2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8F80CE8"/>
    <w:lvl w:ilvl="0">
      <w:start w:val="1"/>
      <w:numFmt w:val="decimal"/>
      <w:lvlText w:val="%1."/>
      <w:lvlJc w:val="left"/>
      <w:pPr>
        <w:tabs>
          <w:tab w:val="num" w:pos="2040"/>
        </w:tabs>
        <w:ind w:left="2040" w:hanging="360"/>
      </w:pPr>
    </w:lvl>
  </w:abstractNum>
  <w:abstractNum w:abstractNumId="1">
    <w:nsid w:val="FFFFFF7D"/>
    <w:multiLevelType w:val="singleLevel"/>
    <w:tmpl w:val="D682C9C2"/>
    <w:lvl w:ilvl="0">
      <w:start w:val="1"/>
      <w:numFmt w:val="decimal"/>
      <w:lvlText w:val="%1."/>
      <w:lvlJc w:val="left"/>
      <w:pPr>
        <w:tabs>
          <w:tab w:val="num" w:pos="1620"/>
        </w:tabs>
        <w:ind w:left="1620" w:hanging="360"/>
      </w:pPr>
    </w:lvl>
  </w:abstractNum>
  <w:abstractNum w:abstractNumId="2">
    <w:nsid w:val="FFFFFF7E"/>
    <w:multiLevelType w:val="singleLevel"/>
    <w:tmpl w:val="77661D56"/>
    <w:lvl w:ilvl="0">
      <w:start w:val="1"/>
      <w:numFmt w:val="decimal"/>
      <w:lvlText w:val="%1."/>
      <w:lvlJc w:val="left"/>
      <w:pPr>
        <w:tabs>
          <w:tab w:val="num" w:pos="1200"/>
        </w:tabs>
        <w:ind w:left="1200" w:hanging="360"/>
      </w:pPr>
    </w:lvl>
  </w:abstractNum>
  <w:abstractNum w:abstractNumId="3">
    <w:nsid w:val="FFFFFF7F"/>
    <w:multiLevelType w:val="singleLevel"/>
    <w:tmpl w:val="44666DCA"/>
    <w:lvl w:ilvl="0">
      <w:start w:val="1"/>
      <w:numFmt w:val="decimal"/>
      <w:lvlText w:val="%1."/>
      <w:lvlJc w:val="left"/>
      <w:pPr>
        <w:tabs>
          <w:tab w:val="num" w:pos="780"/>
        </w:tabs>
        <w:ind w:left="780" w:hanging="360"/>
      </w:pPr>
    </w:lvl>
  </w:abstractNum>
  <w:abstractNum w:abstractNumId="4">
    <w:nsid w:val="FFFFFF80"/>
    <w:multiLevelType w:val="singleLevel"/>
    <w:tmpl w:val="5E86B12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219822E6"/>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18748E7E"/>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B2B43BEC"/>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7B420A6C"/>
    <w:lvl w:ilvl="0">
      <w:start w:val="1"/>
      <w:numFmt w:val="decimal"/>
      <w:lvlText w:val="%1."/>
      <w:lvlJc w:val="left"/>
      <w:pPr>
        <w:tabs>
          <w:tab w:val="num" w:pos="360"/>
        </w:tabs>
        <w:ind w:left="360" w:hanging="360"/>
      </w:pPr>
    </w:lvl>
  </w:abstractNum>
  <w:abstractNum w:abstractNumId="9">
    <w:nsid w:val="FFFFFF89"/>
    <w:multiLevelType w:val="singleLevel"/>
    <w:tmpl w:val="86E8F544"/>
    <w:lvl w:ilvl="0">
      <w:start w:val="1"/>
      <w:numFmt w:val="bullet"/>
      <w:lvlText w:val=""/>
      <w:lvlJc w:val="left"/>
      <w:pPr>
        <w:tabs>
          <w:tab w:val="num" w:pos="360"/>
        </w:tabs>
        <w:ind w:left="360" w:hanging="360"/>
      </w:pPr>
      <w:rPr>
        <w:rFonts w:ascii="Wingdings" w:hAnsi="Wingdings" w:hint="default"/>
      </w:rPr>
    </w:lvl>
  </w:abstractNum>
  <w:abstractNum w:abstractNumId="10">
    <w:nsid w:val="08CE6CF6"/>
    <w:multiLevelType w:val="hybridMultilevel"/>
    <w:tmpl w:val="A3C2B9F4"/>
    <w:lvl w:ilvl="0" w:tplc="869A2C0C">
      <w:start w:val="1"/>
      <w:numFmt w:val="lowerLetter"/>
      <w:lvlRestart w:val="0"/>
      <w:lvlText w:val="(%1)"/>
      <w:lvlJc w:val="right"/>
      <w:pPr>
        <w:tabs>
          <w:tab w:val="num" w:pos="1996"/>
        </w:tabs>
        <w:ind w:left="1996" w:hanging="21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09B45D4B"/>
    <w:multiLevelType w:val="hybridMultilevel"/>
    <w:tmpl w:val="AAF036F4"/>
    <w:lvl w:ilvl="0" w:tplc="CCE27AD6">
      <w:start w:val="1"/>
      <w:numFmt w:val="lowerLetter"/>
      <w:lvlRestart w:val="0"/>
      <w:lvlText w:val="(%1)"/>
      <w:lvlJc w:val="right"/>
      <w:pPr>
        <w:tabs>
          <w:tab w:val="num" w:pos="2431"/>
        </w:tabs>
        <w:ind w:left="2431" w:hanging="205"/>
      </w:p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12">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3">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4">
    <w:nsid w:val="20453770"/>
    <w:multiLevelType w:val="hybridMultilevel"/>
    <w:tmpl w:val="0280405E"/>
    <w:lvl w:ilvl="0" w:tplc="E6283CD0">
      <w:start w:val="1"/>
      <w:numFmt w:val="chineseCountingThousand"/>
      <w:lvlRestart w:val="0"/>
      <w:lvlText w:val="(%1)"/>
      <w:lvlJc w:val="right"/>
      <w:pPr>
        <w:tabs>
          <w:tab w:val="num" w:pos="1996"/>
        </w:tabs>
        <w:ind w:left="1134" w:firstLine="646"/>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
    <w:nsid w:val="25BC5C8B"/>
    <w:multiLevelType w:val="hybridMultilevel"/>
    <w:tmpl w:val="FEE0713C"/>
    <w:lvl w:ilvl="0" w:tplc="7B76F99E">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
    <w:nsid w:val="270A66AC"/>
    <w:multiLevelType w:val="hybridMultilevel"/>
    <w:tmpl w:val="C55AC51A"/>
    <w:lvl w:ilvl="0" w:tplc="EB6AEDA0">
      <w:start w:val="1"/>
      <w:numFmt w:val="lowerLetter"/>
      <w:lvlText w:val="(%1)"/>
      <w:lvlJc w:val="left"/>
      <w:pPr>
        <w:tabs>
          <w:tab w:val="num" w:pos="435"/>
        </w:tabs>
        <w:ind w:left="435" w:hanging="435"/>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2AEC602B"/>
    <w:multiLevelType w:val="hybridMultilevel"/>
    <w:tmpl w:val="42D07318"/>
    <w:lvl w:ilvl="0" w:tplc="F60E3DEA">
      <w:start w:val="1"/>
      <w:numFmt w:val="chineseCountingThousand"/>
      <w:lvlRestart w:val="0"/>
      <w:lvlText w:val="(%1)"/>
      <w:lvlJc w:val="right"/>
      <w:pPr>
        <w:tabs>
          <w:tab w:val="num" w:pos="1996"/>
        </w:tabs>
        <w:ind w:left="1996" w:hanging="125"/>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2C8E7356"/>
    <w:multiLevelType w:val="hybridMultilevel"/>
    <w:tmpl w:val="4D6697EE"/>
    <w:lvl w:ilvl="0" w:tplc="EF5E9018">
      <w:start w:val="1"/>
      <w:numFmt w:val="lowerLetter"/>
      <w:lvlText w:val="（%1）"/>
      <w:lvlJc w:val="left"/>
      <w:pPr>
        <w:tabs>
          <w:tab w:val="num" w:pos="720"/>
        </w:tabs>
        <w:ind w:left="720" w:hanging="72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
    <w:nsid w:val="33BB413D"/>
    <w:multiLevelType w:val="hybridMultilevel"/>
    <w:tmpl w:val="FF6EBB26"/>
    <w:lvl w:ilvl="0" w:tplc="C7BE5676">
      <w:start w:val="1"/>
      <w:numFmt w:val="lowerLetter"/>
      <w:lvlRestart w:val="0"/>
      <w:lvlText w:val="(%1)"/>
      <w:lvlJc w:val="right"/>
      <w:pPr>
        <w:tabs>
          <w:tab w:val="num" w:pos="1996"/>
        </w:tabs>
        <w:ind w:left="1134" w:firstLine="64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0">
    <w:nsid w:val="3D4D74BC"/>
    <w:multiLevelType w:val="hybridMultilevel"/>
    <w:tmpl w:val="750E2968"/>
    <w:lvl w:ilvl="0" w:tplc="F71ECD60">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1">
    <w:nsid w:val="3D5952BB"/>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2356"/>
        </w:tabs>
        <w:ind w:left="1984" w:hanging="708"/>
      </w:pPr>
    </w:lvl>
    <w:lvl w:ilvl="4">
      <w:start w:val="1"/>
      <w:numFmt w:val="decimal"/>
      <w:lvlText w:val="%1.%2.%3.%4.%5"/>
      <w:lvlJc w:val="left"/>
      <w:pPr>
        <w:tabs>
          <w:tab w:val="num" w:pos="2781"/>
        </w:tabs>
        <w:ind w:left="2551" w:hanging="850"/>
      </w:pPr>
    </w:lvl>
    <w:lvl w:ilvl="5">
      <w:start w:val="1"/>
      <w:numFmt w:val="decimal"/>
      <w:lvlText w:val="%1.%2.%3.%4.%5.%6"/>
      <w:lvlJc w:val="left"/>
      <w:pPr>
        <w:tabs>
          <w:tab w:val="num" w:pos="3566"/>
        </w:tabs>
        <w:ind w:left="3260" w:hanging="1134"/>
      </w:pPr>
    </w:lvl>
    <w:lvl w:ilvl="6">
      <w:start w:val="1"/>
      <w:numFmt w:val="decimal"/>
      <w:lvlText w:val="%1.%2.%3.%4.%5.%6.%7"/>
      <w:lvlJc w:val="left"/>
      <w:pPr>
        <w:tabs>
          <w:tab w:val="num" w:pos="3991"/>
        </w:tabs>
        <w:ind w:left="3827" w:hanging="1276"/>
      </w:pPr>
    </w:lvl>
    <w:lvl w:ilvl="7">
      <w:start w:val="1"/>
      <w:numFmt w:val="decimal"/>
      <w:lvlText w:val="%1.%2.%3.%4.%5.%6.%7.%8"/>
      <w:lvlJc w:val="left"/>
      <w:pPr>
        <w:tabs>
          <w:tab w:val="num" w:pos="4776"/>
        </w:tabs>
        <w:ind w:left="4394" w:hanging="1418"/>
      </w:pPr>
    </w:lvl>
    <w:lvl w:ilvl="8">
      <w:start w:val="1"/>
      <w:numFmt w:val="decimal"/>
      <w:lvlText w:val="%1.%2.%3.%4.%5.%6.%7.%8.%9"/>
      <w:lvlJc w:val="left"/>
      <w:pPr>
        <w:tabs>
          <w:tab w:val="num" w:pos="5202"/>
        </w:tabs>
        <w:ind w:left="5102" w:hanging="1700"/>
      </w:pPr>
    </w:lvl>
  </w:abstractNum>
  <w:abstractNum w:abstractNumId="22">
    <w:nsid w:val="3F67148B"/>
    <w:multiLevelType w:val="hybridMultilevel"/>
    <w:tmpl w:val="7A18681A"/>
    <w:lvl w:ilvl="0" w:tplc="CCE27AD6">
      <w:start w:val="1"/>
      <w:numFmt w:val="lowerLetter"/>
      <w:lvlRestart w:val="0"/>
      <w:lvlText w:val="(%1)"/>
      <w:lvlJc w:val="right"/>
      <w:pPr>
        <w:tabs>
          <w:tab w:val="num" w:pos="1996"/>
        </w:tabs>
        <w:ind w:left="1996" w:hanging="205"/>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3">
    <w:nsid w:val="43067C7B"/>
    <w:multiLevelType w:val="multilevel"/>
    <w:tmpl w:val="0409001F"/>
    <w:lvl w:ilvl="0">
      <w:start w:val="1"/>
      <w:numFmt w:val="decimal"/>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24">
    <w:nsid w:val="49417F43"/>
    <w:multiLevelType w:val="multilevel"/>
    <w:tmpl w:val="04090023"/>
    <w:lvl w:ilvl="0">
      <w:start w:val="1"/>
      <w:numFmt w:val="upperRoman"/>
      <w:lvlText w:val="第 %1 条"/>
      <w:lvlJc w:val="left"/>
      <w:pPr>
        <w:tabs>
          <w:tab w:val="num" w:pos="1440"/>
        </w:tabs>
        <w:ind w:left="0" w:firstLine="0"/>
      </w:pPr>
    </w:lvl>
    <w:lvl w:ilvl="1">
      <w:start w:val="1"/>
      <w:numFmt w:val="decimalZero"/>
      <w:isLgl/>
      <w:lvlText w:val="节 %1.%2"/>
      <w:lvlJc w:val="left"/>
      <w:pPr>
        <w:tabs>
          <w:tab w:val="num" w:pos="72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5">
    <w:nsid w:val="553478A1"/>
    <w:multiLevelType w:val="hybridMultilevel"/>
    <w:tmpl w:val="7BA6F1FC"/>
    <w:lvl w:ilvl="0" w:tplc="EA789F72">
      <w:start w:val="1"/>
      <w:numFmt w:val="decimal"/>
      <w:lvlText w:val="(%1)"/>
      <w:lvlJc w:val="right"/>
      <w:pPr>
        <w:tabs>
          <w:tab w:val="num" w:pos="1996"/>
        </w:tabs>
        <w:ind w:left="1134" w:firstLine="64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2620"/>
        </w:tabs>
        <w:ind w:left="2620" w:hanging="420"/>
      </w:pPr>
    </w:lvl>
    <w:lvl w:ilvl="2" w:tplc="0409001B" w:tentative="1">
      <w:start w:val="1"/>
      <w:numFmt w:val="lowerRoman"/>
      <w:lvlText w:val="%3."/>
      <w:lvlJc w:val="right"/>
      <w:pPr>
        <w:tabs>
          <w:tab w:val="num" w:pos="3040"/>
        </w:tabs>
        <w:ind w:left="3040" w:hanging="420"/>
      </w:pPr>
    </w:lvl>
    <w:lvl w:ilvl="3" w:tplc="0409000F" w:tentative="1">
      <w:start w:val="1"/>
      <w:numFmt w:val="decimal"/>
      <w:lvlText w:val="%4."/>
      <w:lvlJc w:val="left"/>
      <w:pPr>
        <w:tabs>
          <w:tab w:val="num" w:pos="3460"/>
        </w:tabs>
        <w:ind w:left="3460" w:hanging="420"/>
      </w:pPr>
    </w:lvl>
    <w:lvl w:ilvl="4" w:tplc="04090019" w:tentative="1">
      <w:start w:val="1"/>
      <w:numFmt w:val="lowerLetter"/>
      <w:lvlText w:val="%5)"/>
      <w:lvlJc w:val="left"/>
      <w:pPr>
        <w:tabs>
          <w:tab w:val="num" w:pos="3880"/>
        </w:tabs>
        <w:ind w:left="3880" w:hanging="420"/>
      </w:pPr>
    </w:lvl>
    <w:lvl w:ilvl="5" w:tplc="0409001B" w:tentative="1">
      <w:start w:val="1"/>
      <w:numFmt w:val="lowerRoman"/>
      <w:lvlText w:val="%6."/>
      <w:lvlJc w:val="right"/>
      <w:pPr>
        <w:tabs>
          <w:tab w:val="num" w:pos="4300"/>
        </w:tabs>
        <w:ind w:left="4300" w:hanging="420"/>
      </w:pPr>
    </w:lvl>
    <w:lvl w:ilvl="6" w:tplc="0409000F" w:tentative="1">
      <w:start w:val="1"/>
      <w:numFmt w:val="decimal"/>
      <w:lvlText w:val="%7."/>
      <w:lvlJc w:val="left"/>
      <w:pPr>
        <w:tabs>
          <w:tab w:val="num" w:pos="4720"/>
        </w:tabs>
        <w:ind w:left="4720" w:hanging="420"/>
      </w:pPr>
    </w:lvl>
    <w:lvl w:ilvl="7" w:tplc="04090019" w:tentative="1">
      <w:start w:val="1"/>
      <w:numFmt w:val="lowerLetter"/>
      <w:lvlText w:val="%8)"/>
      <w:lvlJc w:val="left"/>
      <w:pPr>
        <w:tabs>
          <w:tab w:val="num" w:pos="5140"/>
        </w:tabs>
        <w:ind w:left="5140" w:hanging="420"/>
      </w:pPr>
    </w:lvl>
    <w:lvl w:ilvl="8" w:tplc="0409001B" w:tentative="1">
      <w:start w:val="1"/>
      <w:numFmt w:val="lowerRoman"/>
      <w:lvlText w:val="%9."/>
      <w:lvlJc w:val="right"/>
      <w:pPr>
        <w:tabs>
          <w:tab w:val="num" w:pos="5560"/>
        </w:tabs>
        <w:ind w:left="5560" w:hanging="420"/>
      </w:pPr>
    </w:lvl>
  </w:abstractNum>
  <w:abstractNum w:abstractNumId="26">
    <w:nsid w:val="56844D8B"/>
    <w:multiLevelType w:val="hybridMultilevel"/>
    <w:tmpl w:val="1188E07A"/>
    <w:lvl w:ilvl="0" w:tplc="7B76F99E">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7">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8">
    <w:nsid w:val="69912674"/>
    <w:multiLevelType w:val="hybridMultilevel"/>
    <w:tmpl w:val="9AE83778"/>
    <w:lvl w:ilvl="0" w:tplc="F2D8C84C">
      <w:start w:val="1"/>
      <w:numFmt w:val="lowerLetter"/>
      <w:lvlRestart w:val="0"/>
      <w:lvlText w:val="(%1)"/>
      <w:lvlJc w:val="left"/>
      <w:pPr>
        <w:tabs>
          <w:tab w:val="num" w:pos="2426"/>
        </w:tabs>
        <w:ind w:left="1134" w:firstLine="453"/>
      </w:pPr>
      <w:rPr>
        <w:rFonts w:ascii="Times New Roman" w:hAnsi="Times New Roman" w:cs="Times New Roman" w:hint="eastAsia"/>
        <w:color w:val="auto"/>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9">
    <w:nsid w:val="7D4061CF"/>
    <w:multiLevelType w:val="hybridMultilevel"/>
    <w:tmpl w:val="F594F9F2"/>
    <w:lvl w:ilvl="0" w:tplc="07406ED2">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23"/>
  </w:num>
  <w:num w:numId="12">
    <w:abstractNumId w:val="21"/>
  </w:num>
  <w:num w:numId="13">
    <w:abstractNumId w:val="24"/>
  </w:num>
  <w:num w:numId="14">
    <w:abstractNumId w:val="12"/>
  </w:num>
  <w:num w:numId="15">
    <w:abstractNumId w:val="13"/>
  </w:num>
  <w:num w:numId="16">
    <w:abstractNumId w:val="27"/>
  </w:num>
  <w:num w:numId="17">
    <w:abstractNumId w:val="12"/>
  </w:num>
  <w:num w:numId="18">
    <w:abstractNumId w:val="12"/>
  </w:num>
  <w:num w:numId="19">
    <w:abstractNumId w:val="27"/>
  </w:num>
  <w:num w:numId="20">
    <w:abstractNumId w:val="13"/>
  </w:num>
  <w:num w:numId="21">
    <w:abstractNumId w:val="13"/>
  </w:num>
  <w:num w:numId="22">
    <w:abstractNumId w:val="20"/>
  </w:num>
  <w:num w:numId="23">
    <w:abstractNumId w:val="10"/>
  </w:num>
  <w:num w:numId="24">
    <w:abstractNumId w:val="17"/>
  </w:num>
  <w:num w:numId="25">
    <w:abstractNumId w:val="25"/>
  </w:num>
  <w:num w:numId="26">
    <w:abstractNumId w:val="19"/>
  </w:num>
  <w:num w:numId="27">
    <w:abstractNumId w:val="14"/>
  </w:num>
  <w:num w:numId="28">
    <w:abstractNumId w:val="20"/>
  </w:num>
  <w:num w:numId="29">
    <w:abstractNumId w:val="10"/>
  </w:num>
  <w:num w:numId="30">
    <w:abstractNumId w:val="17"/>
  </w:num>
  <w:num w:numId="31">
    <w:abstractNumId w:val="29"/>
  </w:num>
  <w:num w:numId="32">
    <w:abstractNumId w:val="25"/>
  </w:num>
  <w:num w:numId="33">
    <w:abstractNumId w:val="19"/>
  </w:num>
  <w:num w:numId="34">
    <w:abstractNumId w:val="14"/>
  </w:num>
  <w:num w:numId="35">
    <w:abstractNumId w:val="20"/>
  </w:num>
  <w:num w:numId="36">
    <w:abstractNumId w:val="10"/>
  </w:num>
  <w:num w:numId="37">
    <w:abstractNumId w:val="17"/>
  </w:num>
  <w:num w:numId="38">
    <w:abstractNumId w:val="29"/>
  </w:num>
  <w:num w:numId="39">
    <w:abstractNumId w:val="22"/>
  </w:num>
  <w:num w:numId="40">
    <w:abstractNumId w:val="16"/>
  </w:num>
  <w:num w:numId="41">
    <w:abstractNumId w:val="11"/>
  </w:num>
  <w:num w:numId="42">
    <w:abstractNumId w:val="28"/>
  </w:num>
  <w:num w:numId="43">
    <w:abstractNumId w:val="26"/>
  </w:num>
  <w:num w:numId="44">
    <w:abstractNumId w:val="18"/>
  </w:num>
  <w:num w:numId="45">
    <w:abstractNumId w:val="15"/>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E7487"/>
    <w:rsid w:val="00020C87"/>
    <w:rsid w:val="00022C6D"/>
    <w:rsid w:val="00030AD2"/>
    <w:rsid w:val="000475C3"/>
    <w:rsid w:val="000511D6"/>
    <w:rsid w:val="00055382"/>
    <w:rsid w:val="0007052C"/>
    <w:rsid w:val="00085DDB"/>
    <w:rsid w:val="000B5C2E"/>
    <w:rsid w:val="000C2B16"/>
    <w:rsid w:val="000C3594"/>
    <w:rsid w:val="000C6A2D"/>
    <w:rsid w:val="000E4FF4"/>
    <w:rsid w:val="000F04AE"/>
    <w:rsid w:val="00112244"/>
    <w:rsid w:val="0012413E"/>
    <w:rsid w:val="001259F1"/>
    <w:rsid w:val="00152893"/>
    <w:rsid w:val="00172BD1"/>
    <w:rsid w:val="001B65F0"/>
    <w:rsid w:val="001D0F8B"/>
    <w:rsid w:val="001D1874"/>
    <w:rsid w:val="001E0E36"/>
    <w:rsid w:val="001F2D62"/>
    <w:rsid w:val="002336D2"/>
    <w:rsid w:val="00251218"/>
    <w:rsid w:val="0026330B"/>
    <w:rsid w:val="00283897"/>
    <w:rsid w:val="00292C0E"/>
    <w:rsid w:val="00295F1A"/>
    <w:rsid w:val="0029644C"/>
    <w:rsid w:val="002A1E9A"/>
    <w:rsid w:val="002A77DF"/>
    <w:rsid w:val="002B442D"/>
    <w:rsid w:val="002D7642"/>
    <w:rsid w:val="002E1CDE"/>
    <w:rsid w:val="003024F1"/>
    <w:rsid w:val="00327B3E"/>
    <w:rsid w:val="0033248F"/>
    <w:rsid w:val="00334EDE"/>
    <w:rsid w:val="0035477D"/>
    <w:rsid w:val="00360908"/>
    <w:rsid w:val="00364DD9"/>
    <w:rsid w:val="0038336D"/>
    <w:rsid w:val="00384758"/>
    <w:rsid w:val="003E130D"/>
    <w:rsid w:val="003F1942"/>
    <w:rsid w:val="00411F1E"/>
    <w:rsid w:val="004303A9"/>
    <w:rsid w:val="00487142"/>
    <w:rsid w:val="00496D5F"/>
    <w:rsid w:val="004B208D"/>
    <w:rsid w:val="004B3CB5"/>
    <w:rsid w:val="004E2E36"/>
    <w:rsid w:val="005060D3"/>
    <w:rsid w:val="00511D61"/>
    <w:rsid w:val="00547E6A"/>
    <w:rsid w:val="00566A63"/>
    <w:rsid w:val="005749F7"/>
    <w:rsid w:val="0058774F"/>
    <w:rsid w:val="00587F08"/>
    <w:rsid w:val="005C3406"/>
    <w:rsid w:val="005C365E"/>
    <w:rsid w:val="005D73FB"/>
    <w:rsid w:val="005E5FA4"/>
    <w:rsid w:val="00666AB7"/>
    <w:rsid w:val="00676167"/>
    <w:rsid w:val="0068582B"/>
    <w:rsid w:val="006D1BB2"/>
    <w:rsid w:val="00700C0F"/>
    <w:rsid w:val="00704F21"/>
    <w:rsid w:val="007109CC"/>
    <w:rsid w:val="00740FA8"/>
    <w:rsid w:val="00741758"/>
    <w:rsid w:val="00745128"/>
    <w:rsid w:val="007471AC"/>
    <w:rsid w:val="0075219B"/>
    <w:rsid w:val="00756446"/>
    <w:rsid w:val="00794610"/>
    <w:rsid w:val="00796148"/>
    <w:rsid w:val="007A39CF"/>
    <w:rsid w:val="007E15C7"/>
    <w:rsid w:val="007F6977"/>
    <w:rsid w:val="007F752C"/>
    <w:rsid w:val="0080101E"/>
    <w:rsid w:val="00833FBA"/>
    <w:rsid w:val="00834F13"/>
    <w:rsid w:val="008701D9"/>
    <w:rsid w:val="00883F5B"/>
    <w:rsid w:val="008A4C1F"/>
    <w:rsid w:val="008C40EB"/>
    <w:rsid w:val="008E7C19"/>
    <w:rsid w:val="008F23EE"/>
    <w:rsid w:val="008F2A60"/>
    <w:rsid w:val="008F6D12"/>
    <w:rsid w:val="00911A84"/>
    <w:rsid w:val="0091645A"/>
    <w:rsid w:val="00932962"/>
    <w:rsid w:val="0096650C"/>
    <w:rsid w:val="00976169"/>
    <w:rsid w:val="00985AAE"/>
    <w:rsid w:val="009902E4"/>
    <w:rsid w:val="009B7C5E"/>
    <w:rsid w:val="009C62AD"/>
    <w:rsid w:val="009E146E"/>
    <w:rsid w:val="00A11BC5"/>
    <w:rsid w:val="00A328C0"/>
    <w:rsid w:val="00A35F89"/>
    <w:rsid w:val="00A43331"/>
    <w:rsid w:val="00A93A29"/>
    <w:rsid w:val="00A93C8D"/>
    <w:rsid w:val="00AE65DA"/>
    <w:rsid w:val="00AE7487"/>
    <w:rsid w:val="00AF3863"/>
    <w:rsid w:val="00B03657"/>
    <w:rsid w:val="00B063C6"/>
    <w:rsid w:val="00B115C8"/>
    <w:rsid w:val="00B32530"/>
    <w:rsid w:val="00B51E7A"/>
    <w:rsid w:val="00B676D5"/>
    <w:rsid w:val="00B77980"/>
    <w:rsid w:val="00B82B13"/>
    <w:rsid w:val="00BA27E0"/>
    <w:rsid w:val="00BB67F9"/>
    <w:rsid w:val="00BE01D0"/>
    <w:rsid w:val="00BE4FD6"/>
    <w:rsid w:val="00BF787C"/>
    <w:rsid w:val="00C157B9"/>
    <w:rsid w:val="00C53E8D"/>
    <w:rsid w:val="00C7462D"/>
    <w:rsid w:val="00C80503"/>
    <w:rsid w:val="00C84DDE"/>
    <w:rsid w:val="00CB70C7"/>
    <w:rsid w:val="00CC6B5C"/>
    <w:rsid w:val="00CE0E43"/>
    <w:rsid w:val="00CF59E4"/>
    <w:rsid w:val="00CF5A57"/>
    <w:rsid w:val="00CF7146"/>
    <w:rsid w:val="00D42589"/>
    <w:rsid w:val="00D4597B"/>
    <w:rsid w:val="00D62149"/>
    <w:rsid w:val="00D769E5"/>
    <w:rsid w:val="00D935F8"/>
    <w:rsid w:val="00DA69F5"/>
    <w:rsid w:val="00DA74D3"/>
    <w:rsid w:val="00DB258F"/>
    <w:rsid w:val="00DD132F"/>
    <w:rsid w:val="00E12397"/>
    <w:rsid w:val="00E155E7"/>
    <w:rsid w:val="00E77525"/>
    <w:rsid w:val="00EA3661"/>
    <w:rsid w:val="00EA62B1"/>
    <w:rsid w:val="00EB6660"/>
    <w:rsid w:val="00EF093E"/>
    <w:rsid w:val="00F129C9"/>
    <w:rsid w:val="00F1312C"/>
    <w:rsid w:val="00F15D03"/>
    <w:rsid w:val="00F25F14"/>
    <w:rsid w:val="00F377B3"/>
    <w:rsid w:val="00F418CC"/>
    <w:rsid w:val="00F81CE4"/>
    <w:rsid w:val="00F9137E"/>
    <w:rsid w:val="00FA3CA8"/>
    <w:rsid w:val="00FB7042"/>
    <w:rsid w:val="00FC3094"/>
    <w:rsid w:val="00FC73EF"/>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34EDE"/>
    <w:pPr>
      <w:tabs>
        <w:tab w:val="left" w:pos="431"/>
      </w:tabs>
      <w:overflowPunct w:val="0"/>
      <w:adjustRightInd w:val="0"/>
      <w:snapToGrid w:val="0"/>
      <w:spacing w:line="320" w:lineRule="exact"/>
      <w:jc w:val="both"/>
    </w:pPr>
    <w:rPr>
      <w:snapToGrid w:val="0"/>
      <w:sz w:val="21"/>
      <w:lang w:val="en-US"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kern w:val="28"/>
      <w:sz w:val="28"/>
    </w:rPr>
  </w:style>
  <w:style w:type="paragraph" w:styleId="Heading3">
    <w:name w:val="heading 3"/>
    <w:basedOn w:val="Normal"/>
    <w:next w:val="Normal"/>
    <w:qFormat/>
    <w:pPr>
      <w:keepNext/>
      <w:keepLines/>
      <w:widowControl w:val="0"/>
      <w:spacing w:after="320"/>
      <w:jc w:val="center"/>
      <w:outlineLvl w:val="2"/>
    </w:pPr>
    <w:rPr>
      <w:kern w:val="28"/>
      <w:u w:val="single"/>
    </w:rPr>
  </w:style>
  <w:style w:type="paragraph" w:styleId="Heading4">
    <w:name w:val="heading 4"/>
    <w:basedOn w:val="Normal"/>
    <w:next w:val="Normal"/>
    <w:qFormat/>
    <w:pPr>
      <w:keepNext/>
      <w:keepLines/>
      <w:widowControl w:val="0"/>
      <w:spacing w:after="240"/>
      <w:outlineLvl w:val="3"/>
    </w:pPr>
    <w:rPr>
      <w:u w:val="single"/>
    </w:rPr>
  </w:style>
  <w:style w:type="paragraph" w:styleId="Heading5">
    <w:name w:val="heading 5"/>
    <w:basedOn w:val="Normal"/>
    <w:next w:val="Normal"/>
    <w:qFormat/>
    <w:pPr>
      <w:spacing w:after="240"/>
      <w:outlineLvl w:val="4"/>
    </w:pPr>
    <w:rPr>
      <w:rFonts w:eastAsia="SimHei"/>
      <w:bCs/>
      <w:szCs w:val="36"/>
    </w:rPr>
  </w:style>
  <w:style w:type="paragraph" w:styleId="Heading6">
    <w:name w:val="heading 6"/>
    <w:basedOn w:val="Normal"/>
    <w:next w:val="Normal"/>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pPr>
      <w:keepNext/>
      <w:keepLines/>
      <w:spacing w:before="240" w:after="64" w:line="320" w:lineRule="auto"/>
      <w:outlineLvl w:val="6"/>
    </w:pPr>
    <w:rPr>
      <w:b/>
      <w:bCs/>
      <w:szCs w:val="24"/>
    </w:rPr>
  </w:style>
  <w:style w:type="paragraph" w:styleId="Heading8">
    <w:name w:val="heading 8"/>
    <w:basedOn w:val="Normal"/>
    <w:next w:val="Normal"/>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DashGC">
    <w:name w:val="_Dash_GC"/>
    <w:basedOn w:val="Normal"/>
    <w:rsid w:val="00DB258F"/>
    <w:pPr>
      <w:numPr>
        <w:numId w:val="21"/>
      </w:numPr>
      <w:tabs>
        <w:tab w:val="left" w:pos="1134"/>
        <w:tab w:val="left" w:pos="1565"/>
        <w:tab w:val="left" w:pos="2427"/>
      </w:tabs>
      <w:spacing w:after="120"/>
      <w:ind w:right="1134"/>
    </w:pPr>
    <w:rPr>
      <w:lang w:val="fr-CH"/>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FootnoteText">
    <w:name w:val="footnote text"/>
    <w:basedOn w:val="Normal"/>
    <w:rsid w:val="007471AC"/>
    <w:pPr>
      <w:keepLines/>
      <w:tabs>
        <w:tab w:val="clear" w:pos="431"/>
        <w:tab w:val="right" w:pos="1021"/>
      </w:tabs>
      <w:spacing w:after="120" w:line="240" w:lineRule="exact"/>
      <w:ind w:left="1134" w:right="1134" w:hanging="1134"/>
    </w:pPr>
    <w:rPr>
      <w:sz w:val="18"/>
    </w:rPr>
  </w:style>
  <w:style w:type="character" w:styleId="FootnoteReference">
    <w:name w:val="footnote reference"/>
    <w:rsid w:val="00D935F8"/>
    <w:rPr>
      <w:rFonts w:ascii="Times New Roman" w:hAnsi="Times New Roman"/>
      <w:dstrike w:val="0"/>
      <w:color w:val="0000FF"/>
      <w:spacing w:val="0"/>
      <w:w w:val="100"/>
      <w:kern w:val="0"/>
      <w:position w:val="0"/>
      <w:sz w:val="21"/>
      <w:vertAlign w:val="superscript"/>
    </w:rPr>
  </w:style>
  <w:style w:type="paragraph" w:customStyle="1" w:styleId="a">
    <w:name w:val="缩进正文"/>
    <w:basedOn w:val="SingleTxtGC"/>
    <w:rsid w:val="0091645A"/>
    <w:pPr>
      <w:ind w:left="1565"/>
    </w:pPr>
  </w:style>
  <w:style w:type="paragraph" w:customStyle="1" w:styleId="a0">
    <w:name w:val="表中标题"/>
    <w:basedOn w:val="SingleTxtGC"/>
    <w:rsid w:val="00D42589"/>
    <w:pPr>
      <w:spacing w:before="80" w:after="80" w:line="200" w:lineRule="exact"/>
      <w:ind w:left="0" w:right="113"/>
    </w:pPr>
    <w:rPr>
      <w:rFonts w:eastAsia="KaiTi_GB2312"/>
      <w:sz w:val="18"/>
    </w:rPr>
  </w:style>
  <w:style w:type="paragraph" w:customStyle="1" w:styleId="a1">
    <w:name w:val="目录段页次"/>
    <w:basedOn w:val="Normal"/>
    <w:rsid w:val="003F1942"/>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3F1942"/>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EndnoteText">
    <w:name w:val="endnote text"/>
    <w:basedOn w:val="FootnoteText"/>
    <w:rsid w:val="00D935F8"/>
    <w:pPr>
      <w:tabs>
        <w:tab w:val="right" w:pos="1021"/>
      </w:tabs>
    </w:pPr>
  </w:style>
  <w:style w:type="character" w:styleId="EndnoteReference">
    <w:name w:val="endnote reference"/>
    <w:basedOn w:val="FootnoteReference"/>
    <w:rsid w:val="00DB258F"/>
    <w:rPr>
      <w:rFonts w:ascii="Times New Roman" w:hAnsi="Times New Roman"/>
      <w:dstrike w:val="0"/>
      <w:color w:val="0000FF"/>
      <w:spacing w:val="0"/>
      <w:w w:val="100"/>
      <w:kern w:val="0"/>
      <w:position w:val="0"/>
      <w:sz w:val="21"/>
      <w:vertAlign w:val="superscript"/>
    </w:rPr>
  </w:style>
  <w:style w:type="paragraph" w:styleId="Footer">
    <w:name w:val="footer"/>
    <w:basedOn w:val="Normal"/>
    <w:rsid w:val="00334EDE"/>
    <w:pPr>
      <w:spacing w:line="240" w:lineRule="auto"/>
    </w:pPr>
    <w:rPr>
      <w:rFonts w:eastAsia="Times New Roman"/>
      <w:sz w:val="16"/>
      <w:lang w:val="en-GB" w:eastAsia="en-US"/>
    </w:rPr>
  </w:style>
  <w:style w:type="character" w:styleId="PageNumber">
    <w:name w:val="page number"/>
    <w:rsid w:val="00334EDE"/>
    <w:rPr>
      <w:rFonts w:ascii="Times New Roman" w:hAnsi="Times New Roman"/>
      <w:b/>
      <w:spacing w:val="0"/>
      <w:kern w:val="0"/>
      <w:sz w:val="18"/>
    </w:rPr>
  </w:style>
  <w:style w:type="paragraph" w:styleId="Header">
    <w:name w:val="header"/>
    <w:basedOn w:val="Normal"/>
    <w:rsid w:val="00334EDE"/>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334EDE"/>
    <w:pPr>
      <w:numPr>
        <w:numId w:val="18"/>
      </w:numPr>
      <w:spacing w:after="120"/>
      <w:ind w:right="1134"/>
    </w:pPr>
  </w:style>
  <w:style w:type="paragraph" w:customStyle="1" w:styleId="Bullet2GC">
    <w:name w:val="_Bullet 2_GC"/>
    <w:basedOn w:val="Normal"/>
    <w:rsid w:val="00DB258F"/>
    <w:pPr>
      <w:numPr>
        <w:numId w:val="19"/>
      </w:numPr>
      <w:tabs>
        <w:tab w:val="left" w:pos="1134"/>
        <w:tab w:val="left" w:pos="1565"/>
        <w:tab w:val="left" w:pos="1996"/>
      </w:tabs>
      <w:spacing w:after="120"/>
      <w:ind w:right="1134"/>
    </w:pPr>
  </w:style>
  <w:style w:type="paragraph" w:styleId="Title">
    <w:name w:val="Title"/>
    <w:basedOn w:val="Normal"/>
    <w:qFormat/>
    <w:pPr>
      <w:spacing w:before="240" w:after="60"/>
      <w:jc w:val="center"/>
      <w:outlineLvl w:val="0"/>
    </w:pPr>
    <w:rPr>
      <w:rFonts w:ascii="Arial" w:hAnsi="Arial" w:cs="Arial"/>
      <w:b/>
      <w:bCs/>
      <w:sz w:val="32"/>
      <w:szCs w:val="32"/>
    </w:rPr>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customStyle="1" w:styleId="HMGC">
    <w:name w:val="_ H __M_GC"/>
    <w:basedOn w:val="Normal"/>
    <w:next w:val="SingleTxtGC"/>
    <w:rsid w:val="00DD132F"/>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DD132F"/>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DD132F"/>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DD132F"/>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DD132F"/>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DD132F"/>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rsid w:val="000475C3"/>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030AD2"/>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030AD2"/>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030AD2"/>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030AD2"/>
    <w:pPr>
      <w:keepNext/>
      <w:keepLines/>
      <w:spacing w:before="240" w:after="240" w:line="420" w:lineRule="exact"/>
      <w:ind w:left="1134" w:right="1134"/>
      <w:jc w:val="left"/>
    </w:pPr>
    <w:rPr>
      <w:rFonts w:eastAsia="SimHei"/>
      <w:sz w:val="40"/>
    </w:rPr>
  </w:style>
  <w:style w:type="paragraph" w:customStyle="1" w:styleId="a3">
    <w:name w:val="悬挂"/>
    <w:basedOn w:val="SingleTxtGC"/>
    <w:rsid w:val="00F418CC"/>
    <w:pPr>
      <w:ind w:left="1565" w:hanging="431"/>
    </w:pPr>
  </w:style>
  <w:style w:type="paragraph" w:customStyle="1" w:styleId="a4">
    <w:name w:val="表中文字"/>
    <w:basedOn w:val="SingleTxtGC"/>
    <w:rsid w:val="00F81CE4"/>
    <w:pPr>
      <w:spacing w:before="40" w:line="240" w:lineRule="atLeast"/>
      <w:ind w:left="0" w:right="113"/>
    </w:pPr>
    <w:rPr>
      <w:sz w:val="18"/>
    </w:rPr>
  </w:style>
  <w:style w:type="paragraph" w:customStyle="1" w:styleId="a5">
    <w:name w:val="表数文字"/>
    <w:basedOn w:val="SingleTxtGC"/>
    <w:rsid w:val="00B676D5"/>
    <w:pPr>
      <w:spacing w:before="40" w:after="40" w:line="240" w:lineRule="atLeast"/>
      <w:ind w:left="0" w:right="113"/>
    </w:pPr>
    <w:rPr>
      <w:sz w:val="18"/>
    </w:rPr>
  </w:style>
  <w:style w:type="table" w:styleId="TableGrid">
    <w:name w:val="Table Grid"/>
    <w:basedOn w:val="TableNormal"/>
    <w:semiHidden/>
    <w:rsid w:val="009E146E"/>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20915;&#2345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CCPR-决定</Template>
  <TotalTime>1</TotalTime>
  <Pages>1</Pages>
  <Words>2586</Words>
  <Characters>2717</Characters>
  <Application>Microsoft Office Word</Application>
  <DocSecurity>4</DocSecurity>
  <Lines>100</Lines>
  <Paragraphs>72</Paragraphs>
  <ScaleCrop>false</ScaleCrop>
  <Company>CSD</Company>
  <LinksUpToDate>false</LinksUpToDate>
  <CharactersWithSpaces>5231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XU </dc:creator>
  <cp:keywords/>
  <dc:description/>
  <cp:lastModifiedBy>Master</cp:lastModifiedBy>
  <cp:revision>3</cp:revision>
  <cp:lastPrinted>2012-10-08T08:07:00Z</cp:lastPrinted>
  <dcterms:created xsi:type="dcterms:W3CDTF">2012-10-08T08:07:00Z</dcterms:created>
  <dcterms:modified xsi:type="dcterms:W3CDTF">2012-10-08T08:08:00Z</dcterms:modified>
</cp:coreProperties>
</file>