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874D23"/>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874D23" w:rsidP="00874D23">
            <w:pPr>
              <w:jc w:val="right"/>
            </w:pPr>
            <w:r w:rsidRPr="00874D23">
              <w:rPr>
                <w:sz w:val="40"/>
              </w:rPr>
              <w:t>CERD</w:t>
            </w:r>
            <w:r>
              <w:t>/C/HUN/Q/18-25</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874D2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874D23" w:rsidP="009D5F1A">
            <w:pPr>
              <w:spacing w:before="240"/>
            </w:pPr>
            <w:r>
              <w:t>Distr. générale</w:t>
            </w:r>
          </w:p>
          <w:p w:rsidR="00874D23" w:rsidRDefault="00874D23" w:rsidP="00874D23">
            <w:pPr>
              <w:spacing w:line="240" w:lineRule="exact"/>
            </w:pPr>
            <w:r>
              <w:t>6 mars 2019</w:t>
            </w:r>
          </w:p>
          <w:p w:rsidR="00874D23" w:rsidRDefault="00874D23" w:rsidP="00874D23">
            <w:pPr>
              <w:spacing w:line="240" w:lineRule="exact"/>
            </w:pPr>
            <w:r>
              <w:t>Français</w:t>
            </w:r>
          </w:p>
          <w:p w:rsidR="00874D23" w:rsidRDefault="00874D23" w:rsidP="00874D23">
            <w:pPr>
              <w:spacing w:line="240" w:lineRule="exact"/>
            </w:pPr>
            <w:r>
              <w:t>Original : anglais</w:t>
            </w:r>
          </w:p>
          <w:p w:rsidR="00874D23" w:rsidRPr="00DB58B5" w:rsidRDefault="00874D23" w:rsidP="00874D23">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874D23">
        <w:rPr>
          <w:b/>
          <w:sz w:val="24"/>
          <w:szCs w:val="24"/>
        </w:rPr>
        <w:t>’</w:t>
      </w:r>
      <w:r w:rsidRPr="00C56102">
        <w:rPr>
          <w:b/>
          <w:sz w:val="24"/>
          <w:szCs w:val="24"/>
        </w:rPr>
        <w:t>élimination de la discrimination raciale</w:t>
      </w:r>
    </w:p>
    <w:p w:rsidR="00874D23" w:rsidRPr="00ED08D4" w:rsidRDefault="00874D23" w:rsidP="00874D23">
      <w:pPr>
        <w:rPr>
          <w:b/>
          <w:bCs/>
          <w:lang w:val="fr-FR"/>
        </w:rPr>
      </w:pPr>
      <w:r w:rsidRPr="00ED08D4">
        <w:rPr>
          <w:b/>
          <w:bCs/>
          <w:lang w:val="fr-FR"/>
        </w:rPr>
        <w:t>Quatre-vingt-dix-huitième session</w:t>
      </w:r>
    </w:p>
    <w:p w:rsidR="00874D23" w:rsidRPr="00ED08D4" w:rsidRDefault="00874D23" w:rsidP="00874D23">
      <w:pPr>
        <w:rPr>
          <w:lang w:val="fr-FR"/>
        </w:rPr>
      </w:pPr>
      <w:r w:rsidRPr="00ED08D4">
        <w:rPr>
          <w:lang w:val="fr-FR"/>
        </w:rPr>
        <w:t>23 avril-10 mai 2019</w:t>
      </w:r>
    </w:p>
    <w:p w:rsidR="00874D23" w:rsidRPr="00ED08D4" w:rsidRDefault="00874D23" w:rsidP="00874D23">
      <w:pPr>
        <w:rPr>
          <w:lang w:val="fr-FR"/>
        </w:rPr>
      </w:pPr>
      <w:r w:rsidRPr="00ED08D4">
        <w:rPr>
          <w:lang w:val="fr-FR"/>
        </w:rPr>
        <w:t>Point</w:t>
      </w:r>
      <w:r>
        <w:rPr>
          <w:lang w:val="fr-FR"/>
        </w:rPr>
        <w:t> </w:t>
      </w:r>
      <w:r w:rsidRPr="00ED08D4">
        <w:rPr>
          <w:lang w:val="fr-FR"/>
        </w:rPr>
        <w:t>4 de l</w:t>
      </w:r>
      <w:r>
        <w:rPr>
          <w:lang w:val="fr-FR"/>
        </w:rPr>
        <w:t>’</w:t>
      </w:r>
      <w:r w:rsidRPr="00ED08D4">
        <w:rPr>
          <w:lang w:val="fr-FR"/>
        </w:rPr>
        <w:t>ordre du jour provisoire</w:t>
      </w:r>
    </w:p>
    <w:p w:rsidR="00984B29" w:rsidRDefault="00874D23" w:rsidP="00874D23">
      <w:pPr>
        <w:rPr>
          <w:b/>
          <w:bCs/>
          <w:lang w:val="fr-FR"/>
        </w:rPr>
      </w:pPr>
      <w:r w:rsidRPr="00ED08D4">
        <w:rPr>
          <w:b/>
          <w:bCs/>
          <w:lang w:val="fr-FR"/>
        </w:rPr>
        <w:t>Examen des rapports, observations et renseignements soumis</w:t>
      </w:r>
      <w:r w:rsidRPr="00ED08D4">
        <w:rPr>
          <w:b/>
          <w:bCs/>
          <w:lang w:val="fr-FR"/>
        </w:rPr>
        <w:br/>
        <w:t>par les États parties en application de l</w:t>
      </w:r>
      <w:r>
        <w:rPr>
          <w:b/>
          <w:bCs/>
          <w:lang w:val="fr-FR"/>
        </w:rPr>
        <w:t>’</w:t>
      </w:r>
      <w:r w:rsidRPr="00ED08D4">
        <w:rPr>
          <w:b/>
          <w:bCs/>
          <w:lang w:val="fr-FR"/>
        </w:rPr>
        <w:t>article</w:t>
      </w:r>
      <w:r>
        <w:rPr>
          <w:b/>
          <w:bCs/>
          <w:lang w:val="fr-FR"/>
        </w:rPr>
        <w:t> </w:t>
      </w:r>
      <w:r w:rsidRPr="00ED08D4">
        <w:rPr>
          <w:b/>
          <w:bCs/>
          <w:lang w:val="fr-FR"/>
        </w:rPr>
        <w:t>9 de la Convention</w:t>
      </w:r>
    </w:p>
    <w:p w:rsidR="00874D23" w:rsidRPr="00874D23" w:rsidRDefault="00874D23" w:rsidP="00874D23">
      <w:pPr>
        <w:pStyle w:val="HChG"/>
        <w:rPr>
          <w:lang w:val="fr-FR"/>
        </w:rPr>
      </w:pPr>
      <w:r>
        <w:rPr>
          <w:lang w:val="fr-FR"/>
        </w:rPr>
        <w:tab/>
      </w:r>
      <w:r>
        <w:rPr>
          <w:lang w:val="fr-FR"/>
        </w:rPr>
        <w:tab/>
      </w:r>
      <w:r w:rsidRPr="00874D23">
        <w:rPr>
          <w:lang w:val="fr-FR"/>
        </w:rPr>
        <w:t>Liste de thèmes concernant le rapport de la Hongrie valant dix-huitième à vingt-cinquième rapports périodiques</w:t>
      </w:r>
    </w:p>
    <w:p w:rsidR="00874D23" w:rsidRPr="00874D23" w:rsidRDefault="00874D23" w:rsidP="00874D23">
      <w:pPr>
        <w:pStyle w:val="H1G"/>
        <w:rPr>
          <w:lang w:val="fr-FR"/>
        </w:rPr>
      </w:pPr>
      <w:r w:rsidRPr="00874D23">
        <w:rPr>
          <w:lang w:val="fr-FR"/>
        </w:rPr>
        <w:tab/>
      </w:r>
      <w:r w:rsidRPr="00874D23">
        <w:rPr>
          <w:lang w:val="fr-FR"/>
        </w:rPr>
        <w:tab/>
        <w:t>Note du rapporteur de pays</w:t>
      </w:r>
    </w:p>
    <w:p w:rsidR="00874D23" w:rsidRPr="00874D23" w:rsidRDefault="00874D23" w:rsidP="00874D23">
      <w:pPr>
        <w:pStyle w:val="SingleTxtG"/>
        <w:rPr>
          <w:lang w:val="fr-FR"/>
        </w:rPr>
      </w:pPr>
      <w:r w:rsidRPr="00874D23">
        <w:rPr>
          <w:lang w:val="fr-FR"/>
        </w:rPr>
        <w:t>1.</w:t>
      </w:r>
      <w:r w:rsidRPr="00874D23">
        <w:rPr>
          <w:lang w:val="fr-FR"/>
        </w:rPr>
        <w:tab/>
        <w:t>À sa soixante-seizième session (A/65/18, par.</w:t>
      </w:r>
      <w:r>
        <w:rPr>
          <w:lang w:val="fr-FR"/>
        </w:rPr>
        <w:t> </w:t>
      </w:r>
      <w:r w:rsidRPr="00874D23">
        <w:rPr>
          <w:lang w:val="fr-FR"/>
        </w:rPr>
        <w:t>85), le Comité pour l</w:t>
      </w:r>
      <w:r>
        <w:rPr>
          <w:lang w:val="fr-FR"/>
        </w:rPr>
        <w:t>’</w:t>
      </w:r>
      <w:r w:rsidRPr="00874D23">
        <w:rPr>
          <w:lang w:val="fr-FR"/>
        </w:rPr>
        <w:t>élimination de la discrimination raciale a décidé que le rapporteur de pays ferait parvenir à l</w:t>
      </w:r>
      <w:r>
        <w:rPr>
          <w:lang w:val="fr-FR"/>
        </w:rPr>
        <w:t>’</w:t>
      </w:r>
      <w:r w:rsidRPr="00874D23">
        <w:rPr>
          <w:lang w:val="fr-FR"/>
        </w:rPr>
        <w:t>État partie concerné une courte liste de thèmes en vue de guider et de structurer le dialogue entre la délégation de l</w:t>
      </w:r>
      <w:r>
        <w:rPr>
          <w:lang w:val="fr-FR"/>
        </w:rPr>
        <w:t>’</w:t>
      </w:r>
      <w:r w:rsidRPr="00874D23">
        <w:rPr>
          <w:lang w:val="fr-FR"/>
        </w:rPr>
        <w:t>État partie et le Comité pendant l</w:t>
      </w:r>
      <w:r>
        <w:rPr>
          <w:lang w:val="fr-FR"/>
        </w:rPr>
        <w:t>’</w:t>
      </w:r>
      <w:r w:rsidRPr="00874D23">
        <w:rPr>
          <w:lang w:val="fr-FR"/>
        </w:rPr>
        <w:t>examen du rapport de l</w:t>
      </w:r>
      <w:r>
        <w:rPr>
          <w:lang w:val="fr-FR"/>
        </w:rPr>
        <w:t>’</w:t>
      </w:r>
      <w:r w:rsidRPr="00874D23">
        <w:rPr>
          <w:lang w:val="fr-FR"/>
        </w:rPr>
        <w:t>État partie. On trouvera ci-après une liste de thèmes non exhaustive, d</w:t>
      </w:r>
      <w:r>
        <w:rPr>
          <w:lang w:val="fr-FR"/>
        </w:rPr>
        <w:t>’</w:t>
      </w:r>
      <w:r w:rsidRPr="00874D23">
        <w:rPr>
          <w:lang w:val="fr-FR"/>
        </w:rPr>
        <w:t>autres questions pouvant être traitées au cours du dialogue. Cette liste n</w:t>
      </w:r>
      <w:r>
        <w:rPr>
          <w:lang w:val="fr-FR"/>
        </w:rPr>
        <w:t>’</w:t>
      </w:r>
      <w:r w:rsidRPr="00874D23">
        <w:rPr>
          <w:lang w:val="fr-FR"/>
        </w:rPr>
        <w:t>appelle pas de réponses écrites.</w:t>
      </w:r>
    </w:p>
    <w:p w:rsidR="00874D23" w:rsidRPr="00874D23" w:rsidRDefault="00874D23" w:rsidP="00874D23">
      <w:pPr>
        <w:pStyle w:val="H23G"/>
        <w:rPr>
          <w:lang w:val="fr-FR"/>
        </w:rPr>
      </w:pPr>
      <w:r w:rsidRPr="00874D23">
        <w:rPr>
          <w:lang w:val="fr-FR"/>
        </w:rPr>
        <w:tab/>
      </w:r>
      <w:r w:rsidRPr="00874D23">
        <w:rPr>
          <w:lang w:val="fr-FR"/>
        </w:rPr>
        <w:tab/>
        <w:t>Statistiques (art.</w:t>
      </w:r>
      <w:r>
        <w:rPr>
          <w:lang w:val="fr-FR"/>
        </w:rPr>
        <w:t> </w:t>
      </w:r>
      <w:r w:rsidRPr="00874D23">
        <w:rPr>
          <w:lang w:val="fr-FR"/>
        </w:rPr>
        <w:t>1</w:t>
      </w:r>
      <w:r w:rsidRPr="00874D23">
        <w:rPr>
          <w:vertAlign w:val="superscript"/>
          <w:lang w:val="fr-FR"/>
        </w:rPr>
        <w:t>er</w:t>
      </w:r>
      <w:r w:rsidRPr="00874D23">
        <w:rPr>
          <w:lang w:val="fr-FR"/>
        </w:rPr>
        <w:t xml:space="preserve"> et 5)</w:t>
      </w:r>
    </w:p>
    <w:p w:rsidR="00874D23" w:rsidRPr="00874D23" w:rsidRDefault="00874D23" w:rsidP="00874D23">
      <w:pPr>
        <w:pStyle w:val="SingleTxtG"/>
        <w:rPr>
          <w:lang w:val="fr-FR"/>
        </w:rPr>
      </w:pPr>
      <w:r w:rsidRPr="00874D23">
        <w:rPr>
          <w:lang w:val="fr-FR"/>
        </w:rPr>
        <w:t>2.</w:t>
      </w:r>
      <w:r w:rsidRPr="00874D23">
        <w:rPr>
          <w:lang w:val="fr-FR"/>
        </w:rPr>
        <w:tab/>
        <w:t>Statistiques concernant la composition ethnique de la population, ventilées par appartenance ethnique, origine nationale et langue(s) parlée(s). Indicateurs économiques et sociaux ventilés par sexe, genre et appartenance ethnique, et statistiques concernant les migrants, les demandeurs d</w:t>
      </w:r>
      <w:r>
        <w:rPr>
          <w:lang w:val="fr-FR"/>
        </w:rPr>
        <w:t>’</w:t>
      </w:r>
      <w:r w:rsidRPr="00874D23">
        <w:rPr>
          <w:lang w:val="fr-FR"/>
        </w:rPr>
        <w:t>asile et les réfugiés (CERD/C/HUN/18-25, par.</w:t>
      </w:r>
      <w:r>
        <w:rPr>
          <w:lang w:val="fr-FR"/>
        </w:rPr>
        <w:t> </w:t>
      </w:r>
      <w:r w:rsidRPr="00874D23">
        <w:rPr>
          <w:lang w:val="fr-FR"/>
        </w:rPr>
        <w:t xml:space="preserve">1 à 5). </w:t>
      </w:r>
    </w:p>
    <w:p w:rsidR="00874D23" w:rsidRPr="00874D23" w:rsidRDefault="00874D23" w:rsidP="00874D23">
      <w:pPr>
        <w:pStyle w:val="H23G"/>
        <w:rPr>
          <w:lang w:val="fr-FR"/>
        </w:rPr>
      </w:pPr>
      <w:r w:rsidRPr="00874D23">
        <w:rPr>
          <w:lang w:val="fr-FR"/>
        </w:rPr>
        <w:tab/>
      </w:r>
      <w:r w:rsidRPr="00874D23">
        <w:rPr>
          <w:lang w:val="fr-FR"/>
        </w:rPr>
        <w:tab/>
        <w:t xml:space="preserve">La Convention dans le droit interne et le cadre institutionnel et général </w:t>
      </w:r>
      <w:r>
        <w:rPr>
          <w:lang w:val="fr-FR"/>
        </w:rPr>
        <w:br/>
      </w:r>
      <w:r w:rsidRPr="00874D23">
        <w:rPr>
          <w:lang w:val="fr-FR"/>
        </w:rPr>
        <w:t>de sa mise en œuvre (art.</w:t>
      </w:r>
      <w:r>
        <w:rPr>
          <w:lang w:val="fr-FR"/>
        </w:rPr>
        <w:t> </w:t>
      </w:r>
      <w:r w:rsidRPr="00874D23">
        <w:rPr>
          <w:lang w:val="fr-FR"/>
        </w:rPr>
        <w:t>1</w:t>
      </w:r>
      <w:r w:rsidRPr="00874D23">
        <w:rPr>
          <w:vertAlign w:val="superscript"/>
          <w:lang w:val="fr-FR"/>
        </w:rPr>
        <w:t>er</w:t>
      </w:r>
      <w:r w:rsidRPr="00874D23">
        <w:rPr>
          <w:lang w:val="fr-FR"/>
        </w:rPr>
        <w:t>, 2, 4, 6 et</w:t>
      </w:r>
      <w:r w:rsidR="003B4892">
        <w:rPr>
          <w:lang w:val="fr-FR"/>
        </w:rPr>
        <w:t> </w:t>
      </w:r>
      <w:r w:rsidRPr="00874D23">
        <w:rPr>
          <w:lang w:val="fr-FR"/>
        </w:rPr>
        <w:t>7)</w:t>
      </w:r>
    </w:p>
    <w:p w:rsidR="00874D23" w:rsidRPr="00874D23" w:rsidRDefault="00874D23" w:rsidP="00874D23">
      <w:pPr>
        <w:pStyle w:val="SingleTxtG"/>
        <w:rPr>
          <w:lang w:val="fr-FR"/>
        </w:rPr>
      </w:pPr>
      <w:r w:rsidRPr="00874D23">
        <w:rPr>
          <w:lang w:val="fr-FR"/>
        </w:rPr>
        <w:t>3.</w:t>
      </w:r>
      <w:r w:rsidRPr="00874D23">
        <w:rPr>
          <w:lang w:val="fr-FR"/>
        </w:rPr>
        <w:tab/>
        <w:t>Renseignements actualisés sur l</w:t>
      </w:r>
      <w:r>
        <w:rPr>
          <w:lang w:val="fr-FR"/>
        </w:rPr>
        <w:t>’</w:t>
      </w:r>
      <w:r w:rsidRPr="00874D23">
        <w:rPr>
          <w:lang w:val="fr-FR"/>
        </w:rPr>
        <w:t>application concrète de la loi sur l</w:t>
      </w:r>
      <w:r>
        <w:rPr>
          <w:lang w:val="fr-FR"/>
        </w:rPr>
        <w:t>’</w:t>
      </w:r>
      <w:r w:rsidRPr="00874D23">
        <w:rPr>
          <w:lang w:val="fr-FR"/>
        </w:rPr>
        <w:t>égalité de traitement et des autres lois renfermant des dispositions qui interdisent la discrimination raciale, notamment à l</w:t>
      </w:r>
      <w:r>
        <w:rPr>
          <w:lang w:val="fr-FR"/>
        </w:rPr>
        <w:t>’</w:t>
      </w:r>
      <w:r w:rsidRPr="00874D23">
        <w:rPr>
          <w:lang w:val="fr-FR"/>
        </w:rPr>
        <w:t>égard des minorités nationales, des migrants, des réfugiés et des demandeurs d</w:t>
      </w:r>
      <w:r>
        <w:rPr>
          <w:lang w:val="fr-FR"/>
        </w:rPr>
        <w:t>’</w:t>
      </w:r>
      <w:r w:rsidRPr="00874D23">
        <w:rPr>
          <w:lang w:val="fr-FR"/>
        </w:rPr>
        <w:t>asile (CERD/C/HUN/18-25, par.</w:t>
      </w:r>
      <w:r>
        <w:rPr>
          <w:lang w:val="fr-FR"/>
        </w:rPr>
        <w:t> </w:t>
      </w:r>
      <w:r w:rsidRPr="00874D23">
        <w:rPr>
          <w:lang w:val="fr-FR"/>
        </w:rPr>
        <w:t>9 et</w:t>
      </w:r>
      <w:r>
        <w:rPr>
          <w:lang w:val="fr-FR"/>
        </w:rPr>
        <w:t> </w:t>
      </w:r>
      <w:r w:rsidRPr="00874D23">
        <w:rPr>
          <w:lang w:val="fr-FR"/>
        </w:rPr>
        <w:t>10).</w:t>
      </w:r>
    </w:p>
    <w:p w:rsidR="00874D23" w:rsidRPr="00874D23" w:rsidRDefault="00874D23" w:rsidP="00874D23">
      <w:pPr>
        <w:pStyle w:val="SingleTxtG"/>
        <w:rPr>
          <w:lang w:val="fr-FR"/>
        </w:rPr>
      </w:pPr>
      <w:r w:rsidRPr="00874D23">
        <w:rPr>
          <w:lang w:val="fr-FR"/>
        </w:rPr>
        <w:t>4.</w:t>
      </w:r>
      <w:r w:rsidRPr="00874D23">
        <w:rPr>
          <w:lang w:val="fr-FR"/>
        </w:rPr>
        <w:tab/>
        <w:t>Renseignements sur les ressources humaines et financières allouées à l</w:t>
      </w:r>
      <w:r>
        <w:rPr>
          <w:lang w:val="fr-FR"/>
        </w:rPr>
        <w:t>’</w:t>
      </w:r>
      <w:r w:rsidRPr="00874D23">
        <w:rPr>
          <w:lang w:val="fr-FR"/>
        </w:rPr>
        <w:t>Autorité pour l</w:t>
      </w:r>
      <w:r>
        <w:rPr>
          <w:lang w:val="fr-FR"/>
        </w:rPr>
        <w:t>’</w:t>
      </w:r>
      <w:r w:rsidRPr="00874D23">
        <w:rPr>
          <w:lang w:val="fr-FR"/>
        </w:rPr>
        <w:t>égalité de traitement et au Commissaire aux droits fondamentaux (CERD/C/HUN/18-25, par.</w:t>
      </w:r>
      <w:r>
        <w:rPr>
          <w:lang w:val="fr-FR"/>
        </w:rPr>
        <w:t> </w:t>
      </w:r>
      <w:r w:rsidRPr="00874D23">
        <w:rPr>
          <w:lang w:val="fr-FR"/>
        </w:rPr>
        <w:t>16 et 17 et 20 et 21). Activités menées par le Commissaire aux droits fondamentaux pour promouvoir et protéger les droits de l</w:t>
      </w:r>
      <w:r>
        <w:rPr>
          <w:lang w:val="fr-FR"/>
        </w:rPr>
        <w:t>’</w:t>
      </w:r>
      <w:r w:rsidRPr="00874D23">
        <w:rPr>
          <w:lang w:val="fr-FR"/>
        </w:rPr>
        <w:t>homme, notamment les droits des minorités et par le Commissaire adjoint à la protection des droits des minorités nationales (CERD/C/HUN/18-25, par.</w:t>
      </w:r>
      <w:r>
        <w:rPr>
          <w:lang w:val="fr-FR"/>
        </w:rPr>
        <w:t> </w:t>
      </w:r>
      <w:r w:rsidRPr="00874D23">
        <w:rPr>
          <w:lang w:val="fr-FR"/>
        </w:rPr>
        <w:t>23).</w:t>
      </w:r>
    </w:p>
    <w:p w:rsidR="00874D23" w:rsidRPr="00874D23" w:rsidRDefault="00874D23" w:rsidP="00874D23">
      <w:pPr>
        <w:pStyle w:val="SingleTxtG"/>
        <w:rPr>
          <w:lang w:val="fr-FR"/>
        </w:rPr>
      </w:pPr>
      <w:r w:rsidRPr="00874D23">
        <w:rPr>
          <w:lang w:val="fr-FR"/>
        </w:rPr>
        <w:t>5.</w:t>
      </w:r>
      <w:r w:rsidRPr="00874D23">
        <w:rPr>
          <w:lang w:val="fr-FR"/>
        </w:rPr>
        <w:tab/>
        <w:t>Renseignements actualisés et statistiques sur les cas de discrimination raciale portés devant les juridictions internes et des organes administratifs, en particulier l</w:t>
      </w:r>
      <w:r>
        <w:rPr>
          <w:lang w:val="fr-FR"/>
        </w:rPr>
        <w:t>’</w:t>
      </w:r>
      <w:r w:rsidRPr="00874D23">
        <w:rPr>
          <w:lang w:val="fr-FR"/>
        </w:rPr>
        <w:t>Autorité pour l</w:t>
      </w:r>
      <w:r>
        <w:rPr>
          <w:lang w:val="fr-FR"/>
        </w:rPr>
        <w:t>’</w:t>
      </w:r>
      <w:r w:rsidRPr="00874D23">
        <w:rPr>
          <w:lang w:val="fr-FR"/>
        </w:rPr>
        <w:t>égalité de traitement et le Commissaire aux droits fondamentaux, avec indication des réparations accordées aux victimes (CERD/C/HUN/18-25, par.</w:t>
      </w:r>
      <w:r>
        <w:rPr>
          <w:lang w:val="fr-FR"/>
        </w:rPr>
        <w:t> </w:t>
      </w:r>
      <w:r w:rsidRPr="00874D23">
        <w:rPr>
          <w:lang w:val="fr-FR"/>
        </w:rPr>
        <w:t>18 et 19, 22 et 24 et</w:t>
      </w:r>
      <w:r w:rsidR="003B4892">
        <w:rPr>
          <w:lang w:val="fr-FR"/>
        </w:rPr>
        <w:t> </w:t>
      </w:r>
      <w:r w:rsidRPr="00874D23">
        <w:rPr>
          <w:lang w:val="fr-FR"/>
        </w:rPr>
        <w:t xml:space="preserve">25). </w:t>
      </w:r>
    </w:p>
    <w:p w:rsidR="00874D23" w:rsidRPr="00874D23" w:rsidRDefault="00874D23" w:rsidP="00874D23">
      <w:pPr>
        <w:pStyle w:val="H23G"/>
        <w:rPr>
          <w:lang w:val="fr-FR"/>
        </w:rPr>
      </w:pPr>
      <w:r w:rsidRPr="00874D23">
        <w:rPr>
          <w:lang w:val="fr-FR"/>
        </w:rPr>
        <w:lastRenderedPageBreak/>
        <w:tab/>
      </w:r>
      <w:r w:rsidRPr="00874D23">
        <w:rPr>
          <w:lang w:val="fr-FR"/>
        </w:rPr>
        <w:tab/>
        <w:t xml:space="preserve">Discours de haine à caractère raciste, incitation à la haine raciale </w:t>
      </w:r>
      <w:r>
        <w:rPr>
          <w:lang w:val="fr-FR"/>
        </w:rPr>
        <w:br/>
      </w:r>
      <w:r w:rsidRPr="00874D23">
        <w:rPr>
          <w:lang w:val="fr-FR"/>
        </w:rPr>
        <w:t>et crimes motivés par la haine (art.</w:t>
      </w:r>
      <w:r>
        <w:rPr>
          <w:lang w:val="fr-FR"/>
        </w:rPr>
        <w:t> </w:t>
      </w:r>
      <w:r w:rsidRPr="00874D23">
        <w:rPr>
          <w:lang w:val="fr-FR"/>
        </w:rPr>
        <w:t>2, 4 et 6)</w:t>
      </w:r>
    </w:p>
    <w:p w:rsidR="00874D23" w:rsidRPr="00874D23" w:rsidRDefault="00874D23" w:rsidP="00874D23">
      <w:pPr>
        <w:pStyle w:val="SingleTxtG"/>
        <w:rPr>
          <w:lang w:val="fr-FR"/>
        </w:rPr>
      </w:pPr>
      <w:r w:rsidRPr="00874D23">
        <w:rPr>
          <w:lang w:val="fr-FR"/>
        </w:rPr>
        <w:t>6.</w:t>
      </w:r>
      <w:r w:rsidRPr="00874D23">
        <w:rPr>
          <w:lang w:val="fr-FR"/>
        </w:rPr>
        <w:tab/>
        <w:t>Renseignements actualisés sur l</w:t>
      </w:r>
      <w:r>
        <w:rPr>
          <w:lang w:val="fr-FR"/>
        </w:rPr>
        <w:t>’</w:t>
      </w:r>
      <w:r w:rsidRPr="00874D23">
        <w:rPr>
          <w:lang w:val="fr-FR"/>
        </w:rPr>
        <w:t>application de la législation pénale récemment modifiée visant à combattre les crimes de haine, assortis d</w:t>
      </w:r>
      <w:r>
        <w:rPr>
          <w:lang w:val="fr-FR"/>
        </w:rPr>
        <w:t>’</w:t>
      </w:r>
      <w:r w:rsidRPr="00874D23">
        <w:rPr>
          <w:lang w:val="fr-FR"/>
        </w:rPr>
        <w:t>exemples concrets. Renseignements détaillés sur les mesures prises pour prévenir et combattre les discours de haine, les crimes de haine et l</w:t>
      </w:r>
      <w:r>
        <w:rPr>
          <w:lang w:val="fr-FR"/>
        </w:rPr>
        <w:t>’</w:t>
      </w:r>
      <w:r w:rsidRPr="00874D23">
        <w:rPr>
          <w:lang w:val="fr-FR"/>
        </w:rPr>
        <w:t>incitation à la haine, notamment en public, dans les médias et sur Internet, et de la part de personnalités politiques ou publiques, contre les Roms, les migrants, les réfugiés et les personnes d</w:t>
      </w:r>
      <w:r>
        <w:rPr>
          <w:lang w:val="fr-FR"/>
        </w:rPr>
        <w:t>’</w:t>
      </w:r>
      <w:r w:rsidRPr="00874D23">
        <w:rPr>
          <w:lang w:val="fr-FR"/>
        </w:rPr>
        <w:t>origine juive. Mesures prises pour sensibiliser la population à la nécessité de combattre les discours de haine, et donner un rôle accru aux médias dans ce domaine (CERD/C/HUN/18-25, par.</w:t>
      </w:r>
      <w:r>
        <w:rPr>
          <w:lang w:val="fr-FR"/>
        </w:rPr>
        <w:t> </w:t>
      </w:r>
      <w:r w:rsidRPr="00874D23">
        <w:rPr>
          <w:lang w:val="fr-FR"/>
        </w:rPr>
        <w:t>62 à 67).</w:t>
      </w:r>
    </w:p>
    <w:p w:rsidR="00874D23" w:rsidRPr="00874D23" w:rsidRDefault="00874D23" w:rsidP="00874D23">
      <w:pPr>
        <w:pStyle w:val="SingleTxtG"/>
        <w:rPr>
          <w:lang w:val="fr-FR"/>
        </w:rPr>
      </w:pPr>
      <w:r w:rsidRPr="00874D23">
        <w:rPr>
          <w:lang w:val="fr-FR"/>
        </w:rPr>
        <w:t>7.</w:t>
      </w:r>
      <w:r w:rsidRPr="00874D23">
        <w:rPr>
          <w:lang w:val="fr-FR"/>
        </w:rPr>
        <w:tab/>
        <w:t>Exemples de l</w:t>
      </w:r>
      <w:r>
        <w:rPr>
          <w:lang w:val="fr-FR"/>
        </w:rPr>
        <w:t>’</w:t>
      </w:r>
      <w:r w:rsidRPr="00874D23">
        <w:rPr>
          <w:lang w:val="fr-FR"/>
        </w:rPr>
        <w:t xml:space="preserve">application de la loi </w:t>
      </w:r>
      <w:r w:rsidRPr="00874D23">
        <w:rPr>
          <w:rFonts w:eastAsia="MS Mincho"/>
          <w:szCs w:val="22"/>
          <w:lang w:val="fr-FR"/>
        </w:rPr>
        <w:t>n</w:t>
      </w:r>
      <w:r w:rsidRPr="00874D23">
        <w:rPr>
          <w:rFonts w:eastAsia="MS Mincho"/>
          <w:szCs w:val="22"/>
          <w:vertAlign w:val="superscript"/>
          <w:lang w:val="fr-FR"/>
        </w:rPr>
        <w:t>o</w:t>
      </w:r>
      <w:r>
        <w:rPr>
          <w:lang w:val="fr-FR"/>
        </w:rPr>
        <w:t> </w:t>
      </w:r>
      <w:r w:rsidRPr="00874D23">
        <w:rPr>
          <w:lang w:val="fr-FR"/>
        </w:rPr>
        <w:t>XL de 2011 et de l</w:t>
      </w:r>
      <w:r>
        <w:rPr>
          <w:lang w:val="fr-FR"/>
        </w:rPr>
        <w:t>’</w:t>
      </w:r>
      <w:r w:rsidRPr="00874D23">
        <w:rPr>
          <w:lang w:val="fr-FR"/>
        </w:rPr>
        <w:t>article</w:t>
      </w:r>
      <w:r>
        <w:rPr>
          <w:lang w:val="fr-FR"/>
        </w:rPr>
        <w:t> </w:t>
      </w:r>
      <w:r w:rsidRPr="00874D23">
        <w:rPr>
          <w:lang w:val="fr-FR"/>
        </w:rPr>
        <w:t>351 du Code pénal concernant les organisations extrémistes et les organisations véhiculant des idées de supériorité raciale et encourageant la haine raciale (CERD/C/HUN/18-25, par.</w:t>
      </w:r>
      <w:r>
        <w:rPr>
          <w:lang w:val="fr-FR"/>
        </w:rPr>
        <w:t> </w:t>
      </w:r>
      <w:r w:rsidRPr="00874D23">
        <w:rPr>
          <w:lang w:val="fr-FR"/>
        </w:rPr>
        <w:t>56 à 59).</w:t>
      </w:r>
    </w:p>
    <w:p w:rsidR="00874D23" w:rsidRPr="00874D23" w:rsidRDefault="00874D23" w:rsidP="00874D23">
      <w:pPr>
        <w:pStyle w:val="SingleTxtG"/>
        <w:rPr>
          <w:lang w:val="fr-FR"/>
        </w:rPr>
      </w:pPr>
      <w:r w:rsidRPr="00874D23">
        <w:rPr>
          <w:lang w:val="fr-FR"/>
        </w:rPr>
        <w:t>8.</w:t>
      </w:r>
      <w:r w:rsidRPr="00874D23">
        <w:rPr>
          <w:lang w:val="fr-FR"/>
        </w:rPr>
        <w:tab/>
        <w:t>Renseignements additionnels sur l</w:t>
      </w:r>
      <w:r>
        <w:rPr>
          <w:lang w:val="fr-FR"/>
        </w:rPr>
        <w:t>’</w:t>
      </w:r>
      <w:r w:rsidRPr="00874D23">
        <w:rPr>
          <w:lang w:val="fr-FR"/>
        </w:rPr>
        <w:t>éventail des peines prévues pour les infractions relevant de la discrimination raciale et les infractions à caractère raciste (CERD/C/HUN/</w:t>
      </w:r>
      <w:r>
        <w:rPr>
          <w:lang w:val="fr-FR"/>
        </w:rPr>
        <w:br/>
      </w:r>
      <w:r w:rsidRPr="00874D23">
        <w:rPr>
          <w:lang w:val="fr-FR"/>
        </w:rPr>
        <w:t>18-25, par.</w:t>
      </w:r>
      <w:r>
        <w:rPr>
          <w:lang w:val="fr-FR"/>
        </w:rPr>
        <w:t> </w:t>
      </w:r>
      <w:r w:rsidRPr="00874D23">
        <w:rPr>
          <w:lang w:val="fr-FR"/>
        </w:rPr>
        <w:t>69).</w:t>
      </w:r>
    </w:p>
    <w:p w:rsidR="00874D23" w:rsidRPr="00874D23" w:rsidRDefault="00874D23" w:rsidP="00874D23">
      <w:pPr>
        <w:pStyle w:val="H23G"/>
        <w:rPr>
          <w:lang w:val="fr-FR"/>
        </w:rPr>
      </w:pPr>
      <w:r w:rsidRPr="00874D23">
        <w:rPr>
          <w:lang w:val="fr-FR"/>
        </w:rPr>
        <w:tab/>
      </w:r>
      <w:r w:rsidRPr="00874D23">
        <w:rPr>
          <w:lang w:val="fr-FR"/>
        </w:rPr>
        <w:tab/>
        <w:t>Situation de la communauté rom et d</w:t>
      </w:r>
      <w:r>
        <w:rPr>
          <w:lang w:val="fr-FR"/>
        </w:rPr>
        <w:t>’</w:t>
      </w:r>
      <w:r w:rsidRPr="00874D23">
        <w:rPr>
          <w:lang w:val="fr-FR"/>
        </w:rPr>
        <w:t>autres minorités ethniques (art.</w:t>
      </w:r>
      <w:r>
        <w:rPr>
          <w:lang w:val="fr-FR"/>
        </w:rPr>
        <w:t> </w:t>
      </w:r>
      <w:r w:rsidRPr="00874D23">
        <w:rPr>
          <w:lang w:val="fr-FR"/>
        </w:rPr>
        <w:t>2, 3 et 5)</w:t>
      </w:r>
    </w:p>
    <w:p w:rsidR="00874D23" w:rsidRPr="00874D23" w:rsidRDefault="00874D23" w:rsidP="00874D23">
      <w:pPr>
        <w:pStyle w:val="SingleTxtG"/>
        <w:rPr>
          <w:lang w:val="fr-FR"/>
        </w:rPr>
      </w:pPr>
      <w:r w:rsidRPr="00874D23">
        <w:rPr>
          <w:lang w:val="fr-FR"/>
        </w:rPr>
        <w:t>9.</w:t>
      </w:r>
      <w:r w:rsidRPr="00874D23">
        <w:rPr>
          <w:lang w:val="fr-FR"/>
        </w:rPr>
        <w:tab/>
        <w:t>Mesures prises pour prévenir la discrimination raciale et le profilage racial à l</w:t>
      </w:r>
      <w:r>
        <w:rPr>
          <w:lang w:val="fr-FR"/>
        </w:rPr>
        <w:t>’</w:t>
      </w:r>
      <w:r w:rsidRPr="00874D23">
        <w:rPr>
          <w:lang w:val="fr-FR"/>
        </w:rPr>
        <w:t>égard des Roms, et résultats de ces mesures.</w:t>
      </w:r>
    </w:p>
    <w:p w:rsidR="00874D23" w:rsidRPr="00874D23" w:rsidRDefault="00874D23" w:rsidP="00874D23">
      <w:pPr>
        <w:pStyle w:val="SingleTxtG"/>
        <w:rPr>
          <w:lang w:val="fr-FR"/>
        </w:rPr>
      </w:pPr>
      <w:r w:rsidRPr="00874D23">
        <w:rPr>
          <w:lang w:val="fr-FR"/>
        </w:rPr>
        <w:t>10.</w:t>
      </w:r>
      <w:r w:rsidRPr="00874D23">
        <w:rPr>
          <w:lang w:val="fr-FR"/>
        </w:rPr>
        <w:tab/>
        <w:t>Renseignements actualisés sur les résultats concrets obtenus grâce aux programmes de promotion de l</w:t>
      </w:r>
      <w:r>
        <w:rPr>
          <w:lang w:val="fr-FR"/>
        </w:rPr>
        <w:t>’</w:t>
      </w:r>
      <w:r w:rsidRPr="00874D23">
        <w:rPr>
          <w:lang w:val="fr-FR"/>
        </w:rPr>
        <w:t>intégration des Roms dans l</w:t>
      </w:r>
      <w:r>
        <w:rPr>
          <w:lang w:val="fr-FR"/>
        </w:rPr>
        <w:t>’</w:t>
      </w:r>
      <w:r w:rsidRPr="00874D23">
        <w:rPr>
          <w:lang w:val="fr-FR"/>
        </w:rPr>
        <w:t>éducation, sans ségrégation, et sur le marché du travail, et aux programmes visant à améliorer l</w:t>
      </w:r>
      <w:r>
        <w:rPr>
          <w:lang w:val="fr-FR"/>
        </w:rPr>
        <w:t>’</w:t>
      </w:r>
      <w:r w:rsidRPr="00874D23">
        <w:rPr>
          <w:lang w:val="fr-FR"/>
        </w:rPr>
        <w:t>accès des Roms, notamment des femmes, aux soins de santé et au logement (CERD/C/HUN/18-25, par.</w:t>
      </w:r>
      <w:r>
        <w:rPr>
          <w:lang w:val="fr-FR"/>
        </w:rPr>
        <w:t> </w:t>
      </w:r>
      <w:r w:rsidRPr="00874D23">
        <w:rPr>
          <w:lang w:val="fr-FR"/>
        </w:rPr>
        <w:t>26 à 35, 37 à 40 et 78 à 109).</w:t>
      </w:r>
    </w:p>
    <w:p w:rsidR="00874D23" w:rsidRPr="00874D23" w:rsidRDefault="00874D23" w:rsidP="00874D23">
      <w:pPr>
        <w:pStyle w:val="SingleTxtG"/>
        <w:rPr>
          <w:lang w:val="fr-FR"/>
        </w:rPr>
      </w:pPr>
      <w:r w:rsidRPr="00874D23">
        <w:rPr>
          <w:lang w:val="fr-FR"/>
        </w:rPr>
        <w:t>11.</w:t>
      </w:r>
      <w:r w:rsidRPr="00874D23">
        <w:rPr>
          <w:lang w:val="fr-FR"/>
        </w:rPr>
        <w:tab/>
        <w:t>Renseignements actualisés sur la participation des Roms à la vie publique et politique.</w:t>
      </w:r>
    </w:p>
    <w:p w:rsidR="00874D23" w:rsidRPr="00874D23" w:rsidRDefault="00874D23" w:rsidP="00874D23">
      <w:pPr>
        <w:pStyle w:val="SingleTxtG"/>
        <w:rPr>
          <w:lang w:val="fr-FR"/>
        </w:rPr>
      </w:pPr>
      <w:r w:rsidRPr="00874D23">
        <w:rPr>
          <w:lang w:val="fr-FR"/>
        </w:rPr>
        <w:t>12.</w:t>
      </w:r>
      <w:r w:rsidRPr="00874D23">
        <w:rPr>
          <w:lang w:val="fr-FR"/>
        </w:rPr>
        <w:tab/>
        <w:t>Information sur les autres minorités ethniques, notamment sur leur accès sans discrimination à l</w:t>
      </w:r>
      <w:r>
        <w:rPr>
          <w:lang w:val="fr-FR"/>
        </w:rPr>
        <w:t>’</w:t>
      </w:r>
      <w:r w:rsidRPr="00874D23">
        <w:rPr>
          <w:lang w:val="fr-FR"/>
        </w:rPr>
        <w:t>éducation, au marché de l</w:t>
      </w:r>
      <w:r>
        <w:rPr>
          <w:lang w:val="fr-FR"/>
        </w:rPr>
        <w:t>’</w:t>
      </w:r>
      <w:r w:rsidRPr="00874D23">
        <w:rPr>
          <w:lang w:val="fr-FR"/>
        </w:rPr>
        <w:t xml:space="preserve">emploi, au logement et aux soins de santé, ainsi que sur leur représentation dans la vie publique et politique. </w:t>
      </w:r>
    </w:p>
    <w:p w:rsidR="00874D23" w:rsidRPr="00874D23" w:rsidRDefault="00874D23" w:rsidP="00874D23">
      <w:pPr>
        <w:pStyle w:val="H23G"/>
        <w:rPr>
          <w:lang w:val="fr-FR"/>
        </w:rPr>
      </w:pPr>
      <w:r w:rsidRPr="00874D23">
        <w:rPr>
          <w:lang w:val="fr-FR"/>
        </w:rPr>
        <w:tab/>
      </w:r>
      <w:r w:rsidRPr="00874D23">
        <w:rPr>
          <w:lang w:val="fr-FR"/>
        </w:rPr>
        <w:tab/>
        <w:t>Non-ressortissants, réfugiés, demandeurs d</w:t>
      </w:r>
      <w:r>
        <w:rPr>
          <w:lang w:val="fr-FR"/>
        </w:rPr>
        <w:t>’</w:t>
      </w:r>
      <w:r w:rsidRPr="00874D23">
        <w:rPr>
          <w:lang w:val="fr-FR"/>
        </w:rPr>
        <w:t>asile et apatrides (art.</w:t>
      </w:r>
      <w:r>
        <w:rPr>
          <w:lang w:val="fr-FR"/>
        </w:rPr>
        <w:t> </w:t>
      </w:r>
      <w:r w:rsidRPr="00874D23">
        <w:rPr>
          <w:lang w:val="fr-FR"/>
        </w:rPr>
        <w:t>2 et 5)</w:t>
      </w:r>
    </w:p>
    <w:p w:rsidR="00874D23" w:rsidRPr="00874D23" w:rsidRDefault="00874D23" w:rsidP="00874D23">
      <w:pPr>
        <w:pStyle w:val="SingleTxtG"/>
        <w:rPr>
          <w:lang w:val="fr-FR"/>
        </w:rPr>
      </w:pPr>
      <w:r w:rsidRPr="00874D23">
        <w:rPr>
          <w:lang w:val="fr-FR"/>
        </w:rPr>
        <w:t>13.</w:t>
      </w:r>
      <w:r w:rsidRPr="00874D23">
        <w:rPr>
          <w:lang w:val="fr-FR"/>
        </w:rPr>
        <w:tab/>
        <w:t>Renseignements actualisés sur les modifications apportées en 2017 à la loi sur l</w:t>
      </w:r>
      <w:r>
        <w:rPr>
          <w:lang w:val="fr-FR"/>
        </w:rPr>
        <w:t>’</w:t>
      </w:r>
      <w:r w:rsidRPr="00874D23">
        <w:rPr>
          <w:lang w:val="fr-FR"/>
        </w:rPr>
        <w:t>asile et sur la conformité de ce texte avec la Convention et les normes internationales en ce qui concerne</w:t>
      </w:r>
      <w:r>
        <w:rPr>
          <w:lang w:val="fr-FR"/>
        </w:rPr>
        <w:t> </w:t>
      </w:r>
      <w:r w:rsidRPr="00874D23">
        <w:rPr>
          <w:lang w:val="fr-FR"/>
        </w:rPr>
        <w:t>: a)</w:t>
      </w:r>
      <w:r>
        <w:rPr>
          <w:lang w:val="fr-FR"/>
        </w:rPr>
        <w:t> </w:t>
      </w:r>
      <w:r w:rsidRPr="00874D23">
        <w:rPr>
          <w:lang w:val="fr-FR"/>
        </w:rPr>
        <w:t>l</w:t>
      </w:r>
      <w:r>
        <w:rPr>
          <w:lang w:val="fr-FR"/>
        </w:rPr>
        <w:t>’</w:t>
      </w:r>
      <w:r w:rsidRPr="00874D23">
        <w:rPr>
          <w:lang w:val="fr-FR"/>
        </w:rPr>
        <w:t>accès à la procédure d</w:t>
      </w:r>
      <w:r>
        <w:rPr>
          <w:lang w:val="fr-FR"/>
        </w:rPr>
        <w:t>’</w:t>
      </w:r>
      <w:r w:rsidRPr="00874D23">
        <w:rPr>
          <w:lang w:val="fr-FR"/>
        </w:rPr>
        <w:t>asile</w:t>
      </w:r>
      <w:r>
        <w:rPr>
          <w:lang w:val="fr-FR"/>
        </w:rPr>
        <w:t> </w:t>
      </w:r>
      <w:r w:rsidRPr="00874D23">
        <w:rPr>
          <w:lang w:val="fr-FR"/>
        </w:rPr>
        <w:t>; b)</w:t>
      </w:r>
      <w:r>
        <w:rPr>
          <w:lang w:val="fr-FR"/>
        </w:rPr>
        <w:t> </w:t>
      </w:r>
      <w:r w:rsidRPr="00874D23">
        <w:rPr>
          <w:lang w:val="fr-FR"/>
        </w:rPr>
        <w:t>le respect du principe de non-refoulement</w:t>
      </w:r>
      <w:r>
        <w:rPr>
          <w:lang w:val="fr-FR"/>
        </w:rPr>
        <w:t> </w:t>
      </w:r>
      <w:r w:rsidRPr="00874D23">
        <w:rPr>
          <w:lang w:val="fr-FR"/>
        </w:rPr>
        <w:t>; c) les garanties procédurales accordées aux demandeurs d</w:t>
      </w:r>
      <w:r>
        <w:rPr>
          <w:lang w:val="fr-FR"/>
        </w:rPr>
        <w:t>’</w:t>
      </w:r>
      <w:r w:rsidRPr="00874D23">
        <w:rPr>
          <w:lang w:val="fr-FR"/>
        </w:rPr>
        <w:t>asile</w:t>
      </w:r>
      <w:r>
        <w:rPr>
          <w:lang w:val="fr-FR"/>
        </w:rPr>
        <w:t> </w:t>
      </w:r>
      <w:r w:rsidRPr="00874D23">
        <w:rPr>
          <w:lang w:val="fr-FR"/>
        </w:rPr>
        <w:t>; d)</w:t>
      </w:r>
      <w:r>
        <w:rPr>
          <w:lang w:val="fr-FR"/>
        </w:rPr>
        <w:t> </w:t>
      </w:r>
      <w:r w:rsidRPr="00874D23">
        <w:rPr>
          <w:lang w:val="fr-FR"/>
        </w:rPr>
        <w:t>le droit de faire appel en cas de rejet des demandes d</w:t>
      </w:r>
      <w:r>
        <w:rPr>
          <w:lang w:val="fr-FR"/>
        </w:rPr>
        <w:t>’</w:t>
      </w:r>
      <w:r w:rsidRPr="00874D23">
        <w:rPr>
          <w:lang w:val="fr-FR"/>
        </w:rPr>
        <w:t>asile</w:t>
      </w:r>
      <w:r>
        <w:rPr>
          <w:lang w:val="fr-FR"/>
        </w:rPr>
        <w:t> </w:t>
      </w:r>
      <w:r w:rsidRPr="00874D23">
        <w:rPr>
          <w:lang w:val="fr-FR"/>
        </w:rPr>
        <w:t>; e)</w:t>
      </w:r>
      <w:r>
        <w:rPr>
          <w:lang w:val="fr-FR"/>
        </w:rPr>
        <w:t> </w:t>
      </w:r>
      <w:r w:rsidRPr="00874D23">
        <w:rPr>
          <w:lang w:val="fr-FR"/>
        </w:rPr>
        <w:t>les conditions de détention dans les zones de transit de Röszke et de Tompa</w:t>
      </w:r>
      <w:r w:rsidR="001B332D">
        <w:rPr>
          <w:lang w:val="fr-FR"/>
        </w:rPr>
        <w:t> </w:t>
      </w:r>
      <w:r w:rsidRPr="00874D23">
        <w:rPr>
          <w:lang w:val="fr-FR"/>
        </w:rPr>
        <w:t>; et f)</w:t>
      </w:r>
      <w:r w:rsidR="001B332D">
        <w:rPr>
          <w:lang w:val="fr-FR"/>
        </w:rPr>
        <w:t> </w:t>
      </w:r>
      <w:r w:rsidRPr="00874D23">
        <w:rPr>
          <w:lang w:val="fr-FR"/>
        </w:rPr>
        <w:t>l</w:t>
      </w:r>
      <w:r>
        <w:rPr>
          <w:lang w:val="fr-FR"/>
        </w:rPr>
        <w:t>’</w:t>
      </w:r>
      <w:r w:rsidRPr="00874D23">
        <w:rPr>
          <w:lang w:val="fr-FR"/>
        </w:rPr>
        <w:t xml:space="preserve">application du décret </w:t>
      </w:r>
      <w:r w:rsidRPr="00874D23">
        <w:rPr>
          <w:rFonts w:eastAsia="MS Mincho"/>
          <w:szCs w:val="22"/>
          <w:lang w:val="fr-FR"/>
        </w:rPr>
        <w:t>n</w:t>
      </w:r>
      <w:r w:rsidRPr="00874D23">
        <w:rPr>
          <w:rFonts w:eastAsia="MS Mincho"/>
          <w:szCs w:val="22"/>
          <w:vertAlign w:val="superscript"/>
          <w:lang w:val="fr-FR"/>
        </w:rPr>
        <w:t>o</w:t>
      </w:r>
      <w:r w:rsidRPr="00874D23">
        <w:rPr>
          <w:lang w:val="fr-FR"/>
        </w:rPr>
        <w:t> 191/2015 qui dresse une liste de pays sûrs et prévoit l</w:t>
      </w:r>
      <w:r>
        <w:rPr>
          <w:lang w:val="fr-FR"/>
        </w:rPr>
        <w:t>’</w:t>
      </w:r>
      <w:r w:rsidRPr="00874D23">
        <w:rPr>
          <w:lang w:val="fr-FR"/>
        </w:rPr>
        <w:t>application d</w:t>
      </w:r>
      <w:r>
        <w:rPr>
          <w:lang w:val="fr-FR"/>
        </w:rPr>
        <w:t>’</w:t>
      </w:r>
      <w:r w:rsidRPr="00874D23">
        <w:rPr>
          <w:lang w:val="fr-FR"/>
        </w:rPr>
        <w:t>une procédure d</w:t>
      </w:r>
      <w:r>
        <w:rPr>
          <w:lang w:val="fr-FR"/>
        </w:rPr>
        <w:t>’</w:t>
      </w:r>
      <w:r w:rsidRPr="00874D23">
        <w:rPr>
          <w:lang w:val="fr-FR"/>
        </w:rPr>
        <w:t>asile accélérée (CERD/C/HUN/18-25, par.</w:t>
      </w:r>
      <w:r>
        <w:rPr>
          <w:lang w:val="fr-FR"/>
        </w:rPr>
        <w:t> </w:t>
      </w:r>
      <w:r w:rsidRPr="00874D23">
        <w:rPr>
          <w:lang w:val="fr-FR"/>
        </w:rPr>
        <w:t>109).</w:t>
      </w:r>
    </w:p>
    <w:p w:rsidR="00874D23" w:rsidRPr="00874D23" w:rsidRDefault="00874D23" w:rsidP="00874D23">
      <w:pPr>
        <w:pStyle w:val="SingleTxtG"/>
        <w:rPr>
          <w:lang w:val="fr-FR"/>
        </w:rPr>
      </w:pPr>
      <w:r w:rsidRPr="00874D23">
        <w:rPr>
          <w:lang w:val="fr-FR"/>
        </w:rPr>
        <w:t>14.</w:t>
      </w:r>
      <w:r w:rsidRPr="00874D23">
        <w:rPr>
          <w:lang w:val="fr-FR"/>
        </w:rPr>
        <w:tab/>
        <w:t>Mesures prises pour éviter le placement systématique en détention des migrants entrant illégalement sur le territoire de l</w:t>
      </w:r>
      <w:r>
        <w:rPr>
          <w:lang w:val="fr-FR"/>
        </w:rPr>
        <w:t>’</w:t>
      </w:r>
      <w:r w:rsidRPr="00874D23">
        <w:rPr>
          <w:lang w:val="fr-FR"/>
        </w:rPr>
        <w:t>État partie et prévenir les expulsions collectives et violentes.</w:t>
      </w:r>
    </w:p>
    <w:p w:rsidR="00874D23" w:rsidRPr="00874D23" w:rsidRDefault="00874D23" w:rsidP="00874D23">
      <w:pPr>
        <w:pStyle w:val="SingleTxtG"/>
        <w:rPr>
          <w:lang w:val="fr-FR"/>
        </w:rPr>
      </w:pPr>
      <w:r w:rsidRPr="00874D23">
        <w:rPr>
          <w:lang w:val="fr-FR"/>
        </w:rPr>
        <w:t>15.</w:t>
      </w:r>
      <w:r w:rsidRPr="00874D23">
        <w:rPr>
          <w:lang w:val="fr-FR"/>
        </w:rPr>
        <w:tab/>
        <w:t>Renseignements sur l</w:t>
      </w:r>
      <w:r>
        <w:rPr>
          <w:lang w:val="fr-FR"/>
        </w:rPr>
        <w:t>’</w:t>
      </w:r>
      <w:r w:rsidRPr="00874D23">
        <w:rPr>
          <w:lang w:val="fr-FR"/>
        </w:rPr>
        <w:t>accès des demandeurs d</w:t>
      </w:r>
      <w:r>
        <w:rPr>
          <w:lang w:val="fr-FR"/>
        </w:rPr>
        <w:t>’</w:t>
      </w:r>
      <w:r w:rsidRPr="00874D23">
        <w:rPr>
          <w:lang w:val="fr-FR"/>
        </w:rPr>
        <w:t>asile, des enfants et des mineurs non accompagnés à l</w:t>
      </w:r>
      <w:r>
        <w:rPr>
          <w:lang w:val="fr-FR"/>
        </w:rPr>
        <w:t>’</w:t>
      </w:r>
      <w:r w:rsidRPr="00874D23">
        <w:rPr>
          <w:lang w:val="fr-FR"/>
        </w:rPr>
        <w:t>éducation, aux services sociaux et psychologiques et à l</w:t>
      </w:r>
      <w:r>
        <w:rPr>
          <w:lang w:val="fr-FR"/>
        </w:rPr>
        <w:t>’</w:t>
      </w:r>
      <w:r w:rsidRPr="00874D23">
        <w:rPr>
          <w:lang w:val="fr-FR"/>
        </w:rPr>
        <w:t>aide juridique dans les zones de trans</w:t>
      </w:r>
      <w:bookmarkStart w:id="0" w:name="_GoBack"/>
      <w:bookmarkEnd w:id="0"/>
      <w:r w:rsidRPr="00874D23">
        <w:rPr>
          <w:lang w:val="fr-FR"/>
        </w:rPr>
        <w:t>it.</w:t>
      </w:r>
    </w:p>
    <w:p w:rsidR="00874D23" w:rsidRPr="00874D23" w:rsidRDefault="00874D23" w:rsidP="00874D23">
      <w:pPr>
        <w:pStyle w:val="SingleTxtG"/>
        <w:rPr>
          <w:lang w:val="fr-FR"/>
        </w:rPr>
      </w:pPr>
      <w:r w:rsidRPr="00874D23">
        <w:rPr>
          <w:lang w:val="fr-FR"/>
        </w:rPr>
        <w:t>16.</w:t>
      </w:r>
      <w:r w:rsidRPr="00874D23">
        <w:rPr>
          <w:lang w:val="fr-FR"/>
        </w:rPr>
        <w:tab/>
        <w:t>Renseignements sur la situation d</w:t>
      </w:r>
      <w:r>
        <w:rPr>
          <w:lang w:val="fr-FR"/>
        </w:rPr>
        <w:t>’</w:t>
      </w:r>
      <w:r w:rsidRPr="00874D23">
        <w:rPr>
          <w:lang w:val="fr-FR"/>
        </w:rPr>
        <w:t>autres ressortissants étrangers, notamment sur l</w:t>
      </w:r>
      <w:r>
        <w:rPr>
          <w:lang w:val="fr-FR"/>
        </w:rPr>
        <w:t>’</w:t>
      </w:r>
      <w:r w:rsidRPr="00874D23">
        <w:rPr>
          <w:lang w:val="fr-FR"/>
        </w:rPr>
        <w:t>accès sans discrimination de ces personnes à l</w:t>
      </w:r>
      <w:r>
        <w:rPr>
          <w:lang w:val="fr-FR"/>
        </w:rPr>
        <w:t>’</w:t>
      </w:r>
      <w:r w:rsidRPr="00874D23">
        <w:rPr>
          <w:lang w:val="fr-FR"/>
        </w:rPr>
        <w:t>éducation, au marché de l</w:t>
      </w:r>
      <w:r>
        <w:rPr>
          <w:lang w:val="fr-FR"/>
        </w:rPr>
        <w:t>’</w:t>
      </w:r>
      <w:r w:rsidRPr="00874D23">
        <w:rPr>
          <w:lang w:val="fr-FR"/>
        </w:rPr>
        <w:t xml:space="preserve">emploi, au logement et aux soins de santé. </w:t>
      </w:r>
    </w:p>
    <w:p w:rsidR="00874D23" w:rsidRPr="00874D23" w:rsidRDefault="00874D23" w:rsidP="00874D23">
      <w:pPr>
        <w:pStyle w:val="H23G"/>
        <w:rPr>
          <w:lang w:val="fr-FR"/>
        </w:rPr>
      </w:pPr>
      <w:r w:rsidRPr="00874D23">
        <w:rPr>
          <w:lang w:val="fr-FR"/>
        </w:rPr>
        <w:tab/>
      </w:r>
      <w:r w:rsidRPr="00874D23">
        <w:rPr>
          <w:lang w:val="fr-FR"/>
        </w:rPr>
        <w:tab/>
        <w:t>Éducation aux droits de l</w:t>
      </w:r>
      <w:r>
        <w:rPr>
          <w:lang w:val="fr-FR"/>
        </w:rPr>
        <w:t>’</w:t>
      </w:r>
      <w:r w:rsidRPr="00874D23">
        <w:rPr>
          <w:lang w:val="fr-FR"/>
        </w:rPr>
        <w:t xml:space="preserve">homme visant à combattre les préjugés </w:t>
      </w:r>
      <w:r>
        <w:rPr>
          <w:lang w:val="fr-FR"/>
        </w:rPr>
        <w:br/>
      </w:r>
      <w:r w:rsidRPr="00874D23">
        <w:rPr>
          <w:lang w:val="fr-FR"/>
        </w:rPr>
        <w:t>et l</w:t>
      </w:r>
      <w:r>
        <w:rPr>
          <w:lang w:val="fr-FR"/>
        </w:rPr>
        <w:t>’</w:t>
      </w:r>
      <w:r w:rsidRPr="00874D23">
        <w:rPr>
          <w:lang w:val="fr-FR"/>
        </w:rPr>
        <w:t>intolérance</w:t>
      </w:r>
      <w:r w:rsidR="00AF2A3D">
        <w:rPr>
          <w:lang w:val="fr-FR"/>
        </w:rPr>
        <w:t xml:space="preserve"> (art. 7)</w:t>
      </w:r>
    </w:p>
    <w:p w:rsidR="00874D23" w:rsidRPr="00874D23" w:rsidRDefault="00874D23" w:rsidP="00874D23">
      <w:pPr>
        <w:pStyle w:val="SingleTxtG"/>
        <w:rPr>
          <w:lang w:val="fr-FR"/>
        </w:rPr>
      </w:pPr>
      <w:r w:rsidRPr="00874D23">
        <w:rPr>
          <w:lang w:val="fr-FR"/>
        </w:rPr>
        <w:t>17.</w:t>
      </w:r>
      <w:r w:rsidRPr="00874D23">
        <w:rPr>
          <w:lang w:val="fr-FR"/>
        </w:rPr>
        <w:tab/>
        <w:t>Mesures visant à promouvoir l</w:t>
      </w:r>
      <w:r>
        <w:rPr>
          <w:lang w:val="fr-FR"/>
        </w:rPr>
        <w:t>’</w:t>
      </w:r>
      <w:r w:rsidRPr="00874D23">
        <w:rPr>
          <w:lang w:val="fr-FR"/>
        </w:rPr>
        <w:t>éducation aux droits de l</w:t>
      </w:r>
      <w:r>
        <w:rPr>
          <w:lang w:val="fr-FR"/>
        </w:rPr>
        <w:t>’</w:t>
      </w:r>
      <w:r w:rsidRPr="00874D23">
        <w:rPr>
          <w:lang w:val="fr-FR"/>
        </w:rPr>
        <w:t xml:space="preserve">homme, notamment en ce qui concerne la discrimination raciale, dans les écoles. Mesures visant à promouvoir le </w:t>
      </w:r>
      <w:r w:rsidRPr="00874D23">
        <w:rPr>
          <w:lang w:val="fr-FR"/>
        </w:rPr>
        <w:lastRenderedPageBreak/>
        <w:t>dialogue, la compréhension et la tolérance entre les différents groupes ethniques et nationaux résidant en Hongrie, notamment vis-à-vis des Roms, des réfugiés et des demandeurs d</w:t>
      </w:r>
      <w:r>
        <w:rPr>
          <w:lang w:val="fr-FR"/>
        </w:rPr>
        <w:t>’</w:t>
      </w:r>
      <w:r w:rsidRPr="00874D23">
        <w:rPr>
          <w:lang w:val="fr-FR"/>
        </w:rPr>
        <w:t>asile (CERD/C/HUN/18-25, par.</w:t>
      </w:r>
      <w:r>
        <w:rPr>
          <w:lang w:val="fr-FR"/>
        </w:rPr>
        <w:t> </w:t>
      </w:r>
      <w:r w:rsidRPr="00874D23">
        <w:rPr>
          <w:lang w:val="fr-FR"/>
        </w:rPr>
        <w:t>137 et</w:t>
      </w:r>
      <w:r>
        <w:rPr>
          <w:lang w:val="fr-FR"/>
        </w:rPr>
        <w:t> </w:t>
      </w:r>
      <w:r w:rsidRPr="00874D23">
        <w:rPr>
          <w:lang w:val="fr-FR"/>
        </w:rPr>
        <w:t>138).</w:t>
      </w:r>
    </w:p>
    <w:p w:rsidR="00874D23" w:rsidRPr="00874D23" w:rsidRDefault="00874D23" w:rsidP="00874D23">
      <w:pPr>
        <w:pStyle w:val="SingleTxtG"/>
        <w:spacing w:before="240" w:after="0"/>
        <w:jc w:val="center"/>
        <w:rPr>
          <w:u w:val="single"/>
        </w:rPr>
      </w:pPr>
      <w:r>
        <w:rPr>
          <w:u w:val="single"/>
          <w:lang w:val="fr-FR"/>
        </w:rPr>
        <w:tab/>
      </w:r>
      <w:r>
        <w:rPr>
          <w:u w:val="single"/>
          <w:lang w:val="fr-FR"/>
        </w:rPr>
        <w:tab/>
      </w:r>
      <w:r>
        <w:rPr>
          <w:u w:val="single"/>
          <w:lang w:val="fr-FR"/>
        </w:rPr>
        <w:tab/>
      </w:r>
    </w:p>
    <w:sectPr w:rsidR="00874D23" w:rsidRPr="00874D23" w:rsidSect="00874D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1DE" w:rsidRDefault="007D41DE" w:rsidP="00F95C08">
      <w:pPr>
        <w:spacing w:line="240" w:lineRule="auto"/>
      </w:pPr>
    </w:p>
  </w:endnote>
  <w:endnote w:type="continuationSeparator" w:id="0">
    <w:p w:rsidR="007D41DE" w:rsidRPr="00AC3823" w:rsidRDefault="007D41DE" w:rsidP="00AC3823">
      <w:pPr>
        <w:pStyle w:val="Pieddepage"/>
      </w:pPr>
    </w:p>
  </w:endnote>
  <w:endnote w:type="continuationNotice" w:id="1">
    <w:p w:rsidR="007D41DE" w:rsidRDefault="007D41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D23" w:rsidRPr="00874D23" w:rsidRDefault="00874D23" w:rsidP="00874D23">
    <w:pPr>
      <w:pStyle w:val="Pieddepage"/>
      <w:tabs>
        <w:tab w:val="right" w:pos="9638"/>
      </w:tabs>
    </w:pPr>
    <w:r w:rsidRPr="00874D23">
      <w:rPr>
        <w:b/>
        <w:sz w:val="18"/>
      </w:rPr>
      <w:fldChar w:fldCharType="begin"/>
    </w:r>
    <w:r w:rsidRPr="00874D23">
      <w:rPr>
        <w:b/>
        <w:sz w:val="18"/>
      </w:rPr>
      <w:instrText xml:space="preserve"> PAGE  \* MERGEFORMAT </w:instrText>
    </w:r>
    <w:r w:rsidRPr="00874D23">
      <w:rPr>
        <w:b/>
        <w:sz w:val="18"/>
      </w:rPr>
      <w:fldChar w:fldCharType="separate"/>
    </w:r>
    <w:r w:rsidRPr="00874D23">
      <w:rPr>
        <w:b/>
        <w:noProof/>
        <w:sz w:val="18"/>
      </w:rPr>
      <w:t>2</w:t>
    </w:r>
    <w:r w:rsidRPr="00874D23">
      <w:rPr>
        <w:b/>
        <w:sz w:val="18"/>
      </w:rPr>
      <w:fldChar w:fldCharType="end"/>
    </w:r>
    <w:r>
      <w:rPr>
        <w:b/>
        <w:sz w:val="18"/>
      </w:rPr>
      <w:tab/>
    </w:r>
    <w:r>
      <w:t>GE.19-03788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D23" w:rsidRPr="00874D23" w:rsidRDefault="00874D23" w:rsidP="00874D23">
    <w:pPr>
      <w:pStyle w:val="Pieddepage"/>
      <w:tabs>
        <w:tab w:val="right" w:pos="9638"/>
      </w:tabs>
      <w:rPr>
        <w:b/>
        <w:sz w:val="18"/>
      </w:rPr>
    </w:pPr>
    <w:r>
      <w:t>GE.19-03788</w:t>
    </w:r>
    <w:r>
      <w:tab/>
    </w:r>
    <w:r w:rsidRPr="00874D23">
      <w:rPr>
        <w:b/>
        <w:sz w:val="18"/>
      </w:rPr>
      <w:fldChar w:fldCharType="begin"/>
    </w:r>
    <w:r w:rsidRPr="00874D23">
      <w:rPr>
        <w:b/>
        <w:sz w:val="18"/>
      </w:rPr>
      <w:instrText xml:space="preserve"> PAGE  \* MERGEFORMAT </w:instrText>
    </w:r>
    <w:r w:rsidRPr="00874D23">
      <w:rPr>
        <w:b/>
        <w:sz w:val="18"/>
      </w:rPr>
      <w:fldChar w:fldCharType="separate"/>
    </w:r>
    <w:r w:rsidRPr="00874D23">
      <w:rPr>
        <w:b/>
        <w:noProof/>
        <w:sz w:val="18"/>
      </w:rPr>
      <w:t>3</w:t>
    </w:r>
    <w:r w:rsidRPr="00874D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874D23" w:rsidRDefault="00874D23" w:rsidP="00874D2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19-03788  (F)</w:t>
    </w:r>
    <w:r w:rsidR="000528F4">
      <w:rPr>
        <w:sz w:val="20"/>
      </w:rPr>
      <w:t xml:space="preserve">    280319    080419</w:t>
    </w:r>
    <w:r>
      <w:rPr>
        <w:sz w:val="20"/>
      </w:rPr>
      <w:br/>
    </w:r>
    <w:r w:rsidRPr="00874D23">
      <w:rPr>
        <w:rFonts w:ascii="C39T30Lfz" w:hAnsi="C39T30Lfz"/>
        <w:sz w:val="56"/>
      </w:rPr>
      <w:t></w:t>
    </w:r>
    <w:r w:rsidRPr="00874D23">
      <w:rPr>
        <w:rFonts w:ascii="C39T30Lfz" w:hAnsi="C39T30Lfz"/>
        <w:sz w:val="56"/>
      </w:rPr>
      <w:t></w:t>
    </w:r>
    <w:r w:rsidRPr="00874D23">
      <w:rPr>
        <w:rFonts w:ascii="C39T30Lfz" w:hAnsi="C39T30Lfz"/>
        <w:sz w:val="56"/>
      </w:rPr>
      <w:t></w:t>
    </w:r>
    <w:r w:rsidRPr="00874D23">
      <w:rPr>
        <w:rFonts w:ascii="C39T30Lfz" w:hAnsi="C39T30Lfz"/>
        <w:sz w:val="56"/>
      </w:rPr>
      <w:t></w:t>
    </w:r>
    <w:r w:rsidRPr="00874D23">
      <w:rPr>
        <w:rFonts w:ascii="C39T30Lfz" w:hAnsi="C39T30Lfz"/>
        <w:sz w:val="56"/>
      </w:rPr>
      <w:t></w:t>
    </w:r>
    <w:r w:rsidRPr="00874D23">
      <w:rPr>
        <w:rFonts w:ascii="C39T30Lfz" w:hAnsi="C39T30Lfz"/>
        <w:sz w:val="56"/>
      </w:rPr>
      <w:t></w:t>
    </w:r>
    <w:r w:rsidRPr="00874D23">
      <w:rPr>
        <w:rFonts w:ascii="C39T30Lfz" w:hAnsi="C39T30Lfz"/>
        <w:sz w:val="56"/>
      </w:rPr>
      <w:t></w:t>
    </w:r>
    <w:r w:rsidRPr="00874D23">
      <w:rPr>
        <w:rFonts w:ascii="C39T30Lfz" w:hAnsi="C39T30Lfz"/>
        <w:sz w:val="56"/>
      </w:rPr>
      <w:t></w:t>
    </w:r>
    <w:r w:rsidRPr="00874D23">
      <w:rPr>
        <w:rFonts w:ascii="C39T30Lfz" w:hAnsi="C39T30Lfz"/>
        <w:sz w:val="56"/>
      </w:rPr>
      <w:t></w:t>
    </w:r>
    <w:r>
      <w:rPr>
        <w:noProof/>
        <w:sz w:val="20"/>
      </w:rPr>
      <w:drawing>
        <wp:anchor distT="0" distB="0" distL="114300" distR="114300" simplePos="0" relativeHeight="251658240" behindDoc="1" locked="0" layoutInCell="1" allowOverlap="1">
          <wp:simplePos x="0" y="0"/>
          <wp:positionH relativeFrom="margin">
            <wp:posOffset>5489575</wp:posOffset>
          </wp:positionH>
          <wp:positionV relativeFrom="margin">
            <wp:posOffset>8891905</wp:posOffset>
          </wp:positionV>
          <wp:extent cx="561975" cy="561975"/>
          <wp:effectExtent l="0" t="0" r="9525" b="9525"/>
          <wp:wrapThrough wrapText="bothSides">
            <wp:wrapPolygon edited="0">
              <wp:start x="0" y="0"/>
              <wp:lineTo x="0" y="21234"/>
              <wp:lineTo x="21234" y="21234"/>
              <wp:lineTo x="21234" y="0"/>
              <wp:lineTo x="0" y="0"/>
            </wp:wrapPolygon>
          </wp:wrapThrough>
          <wp:docPr id="2" name="Image 1" descr="https://undocs.org/m2/QRCode.ashx?DS=CERD/C/HUN/Q/18-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UN/Q/18-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1DE" w:rsidRPr="00AC3823" w:rsidRDefault="007D41DE" w:rsidP="00AC3823">
      <w:pPr>
        <w:pStyle w:val="Pieddepage"/>
        <w:tabs>
          <w:tab w:val="right" w:pos="2155"/>
        </w:tabs>
        <w:spacing w:after="80" w:line="240" w:lineRule="atLeast"/>
        <w:ind w:left="680"/>
        <w:rPr>
          <w:u w:val="single"/>
        </w:rPr>
      </w:pPr>
      <w:r>
        <w:rPr>
          <w:u w:val="single"/>
        </w:rPr>
        <w:tab/>
      </w:r>
    </w:p>
  </w:footnote>
  <w:footnote w:type="continuationSeparator" w:id="0">
    <w:p w:rsidR="007D41DE" w:rsidRPr="00AC3823" w:rsidRDefault="007D41DE" w:rsidP="00AC3823">
      <w:pPr>
        <w:pStyle w:val="Pieddepage"/>
        <w:tabs>
          <w:tab w:val="right" w:pos="2155"/>
        </w:tabs>
        <w:spacing w:after="80" w:line="240" w:lineRule="atLeast"/>
        <w:ind w:left="680"/>
        <w:rPr>
          <w:u w:val="single"/>
        </w:rPr>
      </w:pPr>
      <w:r>
        <w:rPr>
          <w:u w:val="single"/>
        </w:rPr>
        <w:tab/>
      </w:r>
    </w:p>
  </w:footnote>
  <w:footnote w:type="continuationNotice" w:id="1">
    <w:p w:rsidR="007D41DE" w:rsidRPr="00AC3823" w:rsidRDefault="007D41D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D23" w:rsidRPr="00874D23" w:rsidRDefault="00874D23">
    <w:pPr>
      <w:pStyle w:val="En-tte"/>
    </w:pPr>
    <w:fldSimple w:instr=" TITLE  \* MERGEFORMAT ">
      <w:r w:rsidR="003939A1">
        <w:t>CERD/C/HUN/Q/18-25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D23" w:rsidRPr="00874D23" w:rsidRDefault="00874D23" w:rsidP="00874D23">
    <w:pPr>
      <w:pStyle w:val="En-tte"/>
      <w:jc w:val="right"/>
    </w:pPr>
    <w:fldSimple w:instr=" TITLE  \* MERGEFORMAT ">
      <w:r w:rsidR="003939A1">
        <w:t>CERD/C/HUN/Q/18-25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D41DE"/>
    <w:rsid w:val="00017F94"/>
    <w:rsid w:val="00023842"/>
    <w:rsid w:val="000334F9"/>
    <w:rsid w:val="000528F4"/>
    <w:rsid w:val="0007796D"/>
    <w:rsid w:val="000B7790"/>
    <w:rsid w:val="00111F2F"/>
    <w:rsid w:val="0014365E"/>
    <w:rsid w:val="00176178"/>
    <w:rsid w:val="001B332D"/>
    <w:rsid w:val="001F525A"/>
    <w:rsid w:val="00215BEC"/>
    <w:rsid w:val="00223272"/>
    <w:rsid w:val="0024779E"/>
    <w:rsid w:val="003939A1"/>
    <w:rsid w:val="003B4892"/>
    <w:rsid w:val="00446FE5"/>
    <w:rsid w:val="00452396"/>
    <w:rsid w:val="004F094E"/>
    <w:rsid w:val="005505B7"/>
    <w:rsid w:val="00573BE5"/>
    <w:rsid w:val="00586ED3"/>
    <w:rsid w:val="00596AA9"/>
    <w:rsid w:val="00623CA8"/>
    <w:rsid w:val="00712E6E"/>
    <w:rsid w:val="0071601D"/>
    <w:rsid w:val="00780585"/>
    <w:rsid w:val="00783E9F"/>
    <w:rsid w:val="00790D55"/>
    <w:rsid w:val="007A62E6"/>
    <w:rsid w:val="007D41DE"/>
    <w:rsid w:val="0080684C"/>
    <w:rsid w:val="00871C75"/>
    <w:rsid w:val="00874D23"/>
    <w:rsid w:val="008776DC"/>
    <w:rsid w:val="00886358"/>
    <w:rsid w:val="009705C8"/>
    <w:rsid w:val="00984B29"/>
    <w:rsid w:val="009D5F1A"/>
    <w:rsid w:val="00A30353"/>
    <w:rsid w:val="00AC3823"/>
    <w:rsid w:val="00AE323C"/>
    <w:rsid w:val="00AF2A3D"/>
    <w:rsid w:val="00B00181"/>
    <w:rsid w:val="00B765F7"/>
    <w:rsid w:val="00BA0CA9"/>
    <w:rsid w:val="00BB0B66"/>
    <w:rsid w:val="00C02897"/>
    <w:rsid w:val="00CA3A12"/>
    <w:rsid w:val="00D3439C"/>
    <w:rsid w:val="00DB1831"/>
    <w:rsid w:val="00DC0149"/>
    <w:rsid w:val="00DD3BFD"/>
    <w:rsid w:val="00DF6678"/>
    <w:rsid w:val="00E53DB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37613E"/>
  <w15:docId w15:val="{13E0AE8A-9EB0-49FC-976A-FD8B6B48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846</Words>
  <Characters>5925</Characters>
  <Application>Microsoft Office Word</Application>
  <DocSecurity>0</DocSecurity>
  <Lines>395</Lines>
  <Paragraphs>144</Paragraphs>
  <ScaleCrop>false</ScaleCrop>
  <HeadingPairs>
    <vt:vector size="2" baseType="variant">
      <vt:variant>
        <vt:lpstr>Titre</vt:lpstr>
      </vt:variant>
      <vt:variant>
        <vt:i4>1</vt:i4>
      </vt:variant>
    </vt:vector>
  </HeadingPairs>
  <TitlesOfParts>
    <vt:vector size="1" baseType="lpstr">
      <vt:lpstr>CERD/C/HUN/Q/18-25</vt:lpstr>
    </vt:vector>
  </TitlesOfParts>
  <Company>DCM</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CERD/C/HUN/Q/18-25</dc:title>
  <dc:subject/>
  <dc:creator>Edith BOURION</dc:creator>
  <cp:keywords/>
  <cp:lastModifiedBy>Edith Bourion</cp:lastModifiedBy>
  <cp:revision>2</cp:revision>
  <cp:lastPrinted>2019-04-08T15:03:00Z</cp:lastPrinted>
  <dcterms:created xsi:type="dcterms:W3CDTF">2019-04-08T15:17:00Z</dcterms:created>
  <dcterms:modified xsi:type="dcterms:W3CDTF">2019-04-08T15:17:00Z</dcterms:modified>
</cp:coreProperties>
</file>