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B5F" w:rsidRDefault="00703B5F" w:rsidP="00703B5F">
      <w:pPr>
        <w:spacing w:line="60" w:lineRule="exact"/>
        <w:sectPr w:rsidR="00703B5F" w:rsidSect="00703B5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3" o:title="334Size =1Lang = C"/>
            <w10:wrap anchorx="page" anchory="page"/>
          </v:shape>
        </w:pict>
      </w:r>
      <w:commentRangeEnd w:id="0"/>
      <w:r>
        <w:rPr>
          <w:rStyle w:val="CommentReference"/>
        </w:rPr>
        <w:commentReference w:id="0"/>
      </w:r>
    </w:p>
    <w:p w:rsidR="00703B5F" w:rsidRDefault="00703B5F" w:rsidP="00703B5F">
      <w:pPr>
        <w:spacing w:line="60" w:lineRule="exact"/>
        <w:rPr>
          <w:rFonts w:hint="eastAsia"/>
        </w:rPr>
      </w:pPr>
    </w:p>
    <w:p w:rsidR="00351F2F" w:rsidRPr="00F028D8" w:rsidRDefault="00351F2F" w:rsidP="00351F2F">
      <w:pPr>
        <w:pStyle w:val="SingleTxt"/>
        <w:spacing w:after="60"/>
        <w:ind w:left="0"/>
        <w:rPr>
          <w:rFonts w:ascii="SimHei" w:eastAsia="SimHei" w:hint="eastAsia"/>
        </w:rPr>
      </w:pPr>
      <w:r w:rsidRPr="00F028D8">
        <w:rPr>
          <w:rFonts w:ascii="SimHei" w:eastAsia="SimHei" w:hint="eastAsia"/>
        </w:rPr>
        <w:t>第六十八届会议</w:t>
      </w:r>
    </w:p>
    <w:p w:rsidR="00351F2F" w:rsidRDefault="00351F2F" w:rsidP="00351F2F">
      <w:pPr>
        <w:pStyle w:val="SingleTxt"/>
        <w:spacing w:after="60"/>
        <w:ind w:left="0"/>
        <w:rPr>
          <w:rFonts w:hint="eastAsia"/>
        </w:rPr>
      </w:pPr>
      <w:r>
        <w:rPr>
          <w:rFonts w:hint="eastAsia"/>
        </w:rPr>
        <w:t>临时议程</w:t>
      </w:r>
      <w:r>
        <w:t></w:t>
      </w:r>
      <w:r w:rsidRPr="00F028D8">
        <w:rPr>
          <w:rFonts w:ascii="Times New Roman"/>
          <w:vertAlign w:val="superscript"/>
        </w:rPr>
        <w:t>*</w:t>
      </w:r>
      <w:r>
        <w:rPr>
          <w:rFonts w:ascii="Times New Roman" w:hint="eastAsia"/>
          <w:vertAlign w:val="superscript"/>
        </w:rPr>
        <w:t xml:space="preserve"> </w:t>
      </w:r>
      <w:r>
        <w:rPr>
          <w:rFonts w:hint="eastAsia"/>
        </w:rPr>
        <w:t>项目</w:t>
      </w:r>
      <w:r>
        <w:t>69(a)</w:t>
      </w:r>
    </w:p>
    <w:p w:rsidR="00351F2F" w:rsidRPr="00F028D8" w:rsidRDefault="00351F2F" w:rsidP="00351F2F">
      <w:pPr>
        <w:framePr w:w="9792" w:h="432" w:hSpace="180" w:wrap="around" w:hAnchor="page" w:x="1210" w:yAlign="bottom"/>
        <w:spacing w:line="100" w:lineRule="exact"/>
        <w:rPr>
          <w:sz w:val="10"/>
        </w:rPr>
      </w:pPr>
    </w:p>
    <w:p w:rsidR="00351F2F" w:rsidRPr="00F028D8" w:rsidRDefault="00351F2F" w:rsidP="00351F2F">
      <w:pPr>
        <w:framePr w:w="9792" w:h="432" w:hSpace="180" w:wrap="around" w:hAnchor="page" w:x="1210" w:yAlign="bottom"/>
        <w:spacing w:line="60" w:lineRule="exact"/>
        <w:rPr>
          <w:sz w:val="6"/>
        </w:rPr>
      </w:pPr>
      <w:r w:rsidRPr="00F028D8">
        <w:rPr>
          <w:noProof/>
          <w:sz w:val="6"/>
        </w:rPr>
        <w:pict>
          <v:line id="_x0000_s1027" style="position:absolute;left:0;text-align:left;z-index:2;mso-position-horizontal-relative:page" from="108pt,-1pt" to="180pt,-1pt" strokeweight=".25pt">
            <w10:wrap anchorx="page"/>
          </v:line>
        </w:pict>
      </w:r>
    </w:p>
    <w:p w:rsidR="00351F2F" w:rsidRPr="00F028D8" w:rsidRDefault="00351F2F" w:rsidP="00351F2F">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rFonts w:hint="eastAsia"/>
          <w:sz w:val="18"/>
        </w:rPr>
      </w:pPr>
      <w:r>
        <w:rPr>
          <w:rFonts w:hint="eastAsia"/>
          <w:sz w:val="18"/>
        </w:rPr>
        <w:tab/>
      </w:r>
      <w:r w:rsidRPr="00F028D8">
        <w:rPr>
          <w:rFonts w:ascii="Times New Roman"/>
          <w:sz w:val="18"/>
          <w:vertAlign w:val="superscript"/>
        </w:rPr>
        <w:t>*</w:t>
      </w:r>
      <w:r w:rsidRPr="00F769B0">
        <w:rPr>
          <w:rFonts w:hint="eastAsia"/>
          <w:sz w:val="18"/>
        </w:rPr>
        <w:tab/>
      </w:r>
      <w:hyperlink r:id="rId15" w:history="1">
        <w:r w:rsidRPr="00F769B0">
          <w:rPr>
            <w:rStyle w:val="Hyperlink"/>
            <w:rFonts w:hint="eastAsia"/>
            <w:color w:val="auto"/>
            <w:sz w:val="18"/>
          </w:rPr>
          <w:t>A/68/150</w:t>
        </w:r>
      </w:hyperlink>
      <w:r w:rsidRPr="00F769B0">
        <w:rPr>
          <w:rFonts w:hint="eastAsia"/>
          <w:sz w:val="18"/>
        </w:rPr>
        <w:t>。</w:t>
      </w:r>
    </w:p>
    <w:p w:rsidR="00351F2F" w:rsidRPr="00F028D8" w:rsidRDefault="00351F2F" w:rsidP="00351F2F">
      <w:pPr>
        <w:pStyle w:val="SingleTxt"/>
        <w:spacing w:after="60"/>
        <w:ind w:left="0"/>
        <w:rPr>
          <w:rFonts w:ascii="SimHei" w:eastAsia="SimHei" w:hint="eastAsia"/>
        </w:rPr>
      </w:pPr>
      <w:r w:rsidRPr="00F028D8">
        <w:rPr>
          <w:rFonts w:ascii="SimHei" w:eastAsia="SimHei" w:hint="eastAsia"/>
        </w:rPr>
        <w:t>促进和保护人权</w:t>
      </w:r>
    </w:p>
    <w:p w:rsidR="00351F2F" w:rsidRPr="00F028D8" w:rsidRDefault="00351F2F" w:rsidP="00351F2F">
      <w:pPr>
        <w:pStyle w:val="SingleTxt"/>
        <w:spacing w:after="0" w:line="120" w:lineRule="exact"/>
        <w:rPr>
          <w:rFonts w:hint="eastAsia"/>
          <w:sz w:val="10"/>
        </w:rPr>
      </w:pPr>
    </w:p>
    <w:p w:rsidR="00351F2F" w:rsidRPr="00F028D8" w:rsidRDefault="00351F2F" w:rsidP="00351F2F">
      <w:pPr>
        <w:pStyle w:val="SingleTxt"/>
        <w:spacing w:after="0" w:line="120" w:lineRule="exact"/>
        <w:rPr>
          <w:rFonts w:hint="eastAsia"/>
          <w:sz w:val="10"/>
        </w:rPr>
      </w:pPr>
    </w:p>
    <w:p w:rsidR="00351F2F" w:rsidRPr="00F028D8" w:rsidRDefault="00351F2F" w:rsidP="00351F2F">
      <w:pPr>
        <w:pStyle w:val="SingleTxt"/>
        <w:spacing w:after="0" w:line="120" w:lineRule="exact"/>
        <w:rPr>
          <w:rFonts w:hint="eastAsia"/>
          <w:sz w:val="10"/>
        </w:rPr>
      </w:pPr>
    </w:p>
    <w:p w:rsidR="00351F2F" w:rsidRPr="00F028D8" w:rsidRDefault="00351F2F" w:rsidP="00351F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F028D8">
        <w:rPr>
          <w:rFonts w:hint="eastAsia"/>
        </w:rPr>
        <w:t>人权文书的执行情况</w:t>
      </w:r>
    </w:p>
    <w:p w:rsidR="00351F2F" w:rsidRPr="00F028D8" w:rsidRDefault="00351F2F" w:rsidP="00351F2F">
      <w:pPr>
        <w:pStyle w:val="SingleTxt"/>
        <w:spacing w:after="0" w:line="120" w:lineRule="exact"/>
        <w:rPr>
          <w:rFonts w:hint="eastAsia"/>
          <w:sz w:val="10"/>
        </w:rPr>
      </w:pPr>
    </w:p>
    <w:p w:rsidR="00351F2F" w:rsidRPr="00F028D8" w:rsidRDefault="00351F2F" w:rsidP="00351F2F">
      <w:pPr>
        <w:pStyle w:val="SingleTxt"/>
        <w:spacing w:after="0" w:line="120" w:lineRule="exact"/>
        <w:rPr>
          <w:rFonts w:hint="eastAsia"/>
          <w:sz w:val="10"/>
        </w:rPr>
      </w:pPr>
    </w:p>
    <w:p w:rsidR="00351F2F" w:rsidRPr="00F028D8" w:rsidRDefault="00351F2F" w:rsidP="00351F2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F028D8">
        <w:rPr>
          <w:rFonts w:hint="eastAsia"/>
        </w:rPr>
        <w:t>秘书长的说明</w:t>
      </w:r>
    </w:p>
    <w:p w:rsidR="00351F2F" w:rsidRPr="00F028D8" w:rsidRDefault="00351F2F" w:rsidP="00351F2F">
      <w:pPr>
        <w:pStyle w:val="SingleTxt"/>
        <w:spacing w:after="0" w:line="120" w:lineRule="exact"/>
        <w:rPr>
          <w:rFonts w:hint="eastAsia"/>
          <w:sz w:val="10"/>
        </w:rPr>
      </w:pPr>
    </w:p>
    <w:p w:rsidR="00351F2F" w:rsidRPr="00F028D8" w:rsidRDefault="00351F2F" w:rsidP="00351F2F">
      <w:pPr>
        <w:pStyle w:val="SingleTxt"/>
        <w:spacing w:after="0" w:line="120" w:lineRule="exact"/>
        <w:rPr>
          <w:rFonts w:hint="eastAsia"/>
          <w:sz w:val="10"/>
        </w:rPr>
      </w:pPr>
    </w:p>
    <w:p w:rsidR="00351F2F" w:rsidRDefault="00351F2F" w:rsidP="00351F2F">
      <w:pPr>
        <w:pStyle w:val="SingleTxt"/>
        <w:rPr>
          <w:rFonts w:hint="eastAsia"/>
        </w:rPr>
      </w:pPr>
      <w:r>
        <w:rPr>
          <w:rFonts w:hint="eastAsia"/>
        </w:rPr>
        <w:tab/>
        <w:t>秘书长谨依照大会第</w:t>
      </w:r>
      <w:hyperlink r:id="rId16" w:history="1">
        <w:r w:rsidRPr="0002147E">
          <w:rPr>
            <w:rStyle w:val="Hyperlink"/>
            <w:rFonts w:hint="eastAsia"/>
          </w:rPr>
          <w:t>57/202</w:t>
        </w:r>
      </w:hyperlink>
      <w:r>
        <w:rPr>
          <w:rFonts w:hint="eastAsia"/>
        </w:rPr>
        <w:t>号决议规定，向大会转交各人权条约机构主席关于2013年5月20日至24日在纽约召开的第二十五次主席会议的报告。</w:t>
      </w:r>
    </w:p>
    <w:p w:rsidR="00351F2F" w:rsidRPr="00F028D8" w:rsidRDefault="00351F2F" w:rsidP="00351F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r>
      <w:r w:rsidRPr="00F028D8">
        <w:rPr>
          <w:rFonts w:hint="eastAsia"/>
        </w:rPr>
        <w:t>人权条约机构主席关于第二十四次主席会议的报告</w:t>
      </w:r>
    </w:p>
    <w:p w:rsidR="00351F2F" w:rsidRPr="00F028D8" w:rsidRDefault="00351F2F" w:rsidP="00351F2F">
      <w:pPr>
        <w:pStyle w:val="SingleTxt"/>
        <w:spacing w:after="0" w:line="120" w:lineRule="exact"/>
        <w:rPr>
          <w:rFonts w:hint="eastAsia"/>
          <w:sz w:val="10"/>
        </w:rPr>
      </w:pPr>
    </w:p>
    <w:p w:rsidR="00351F2F" w:rsidRPr="00F028D8" w:rsidRDefault="00351F2F" w:rsidP="00351F2F">
      <w:pPr>
        <w:pStyle w:val="SingleTxt"/>
        <w:spacing w:after="0" w:line="120" w:lineRule="exact"/>
        <w:rPr>
          <w:rFonts w:hint="eastAsia"/>
          <w:sz w:val="10"/>
        </w:rPr>
      </w:pPr>
    </w:p>
    <w:tbl>
      <w:tblPr>
        <w:tblW w:w="0" w:type="auto"/>
        <w:tblBorders>
          <w:left w:val="single" w:sz="2" w:space="0" w:color="auto"/>
          <w:right w:val="single" w:sz="2" w:space="0" w:color="auto"/>
        </w:tblBorders>
        <w:tblLayout w:type="fixed"/>
        <w:tblCellMar>
          <w:left w:w="0" w:type="dxa"/>
          <w:right w:w="0" w:type="dxa"/>
        </w:tblCellMar>
        <w:tblLook w:val="0000"/>
      </w:tblPr>
      <w:tblGrid>
        <w:gridCol w:w="9850"/>
      </w:tblGrid>
      <w:tr w:rsidR="00351F2F" w:rsidTr="00351F2F">
        <w:tblPrEx>
          <w:tblCellMar>
            <w:top w:w="0" w:type="dxa"/>
            <w:bottom w:w="0" w:type="dxa"/>
          </w:tblCellMar>
        </w:tblPrEx>
        <w:tc>
          <w:tcPr>
            <w:tcW w:w="9850" w:type="dxa"/>
            <w:tcBorders>
              <w:top w:val="single" w:sz="2" w:space="0" w:color="auto"/>
            </w:tcBorders>
            <w:shd w:val="clear" w:color="auto" w:fill="auto"/>
          </w:tcPr>
          <w:p w:rsidR="00351F2F" w:rsidRPr="00F028D8" w:rsidRDefault="00351F2F" w:rsidP="00351F2F">
            <w:pPr>
              <w:tabs>
                <w:tab w:val="left" w:pos="240"/>
              </w:tabs>
              <w:spacing w:before="240" w:after="120"/>
              <w:rPr>
                <w:rFonts w:eastAsia="KaiTi_GB2312" w:hint="eastAsia"/>
                <w:sz w:val="24"/>
              </w:rPr>
            </w:pPr>
            <w:r>
              <w:rPr>
                <w:rFonts w:eastAsia="KaiTi_GB2312" w:hint="eastAsia"/>
                <w:sz w:val="24"/>
              </w:rPr>
              <w:tab/>
            </w:r>
            <w:r>
              <w:rPr>
                <w:rFonts w:eastAsia="KaiTi_GB2312" w:hint="eastAsia"/>
                <w:sz w:val="24"/>
              </w:rPr>
              <w:t>摘要</w:t>
            </w:r>
          </w:p>
        </w:tc>
      </w:tr>
      <w:tr w:rsidR="00351F2F" w:rsidTr="00351F2F">
        <w:tblPrEx>
          <w:tblCellMar>
            <w:top w:w="0" w:type="dxa"/>
            <w:bottom w:w="0" w:type="dxa"/>
          </w:tblCellMar>
        </w:tblPrEx>
        <w:tc>
          <w:tcPr>
            <w:tcW w:w="9850" w:type="dxa"/>
            <w:shd w:val="clear" w:color="auto" w:fill="auto"/>
          </w:tcPr>
          <w:p w:rsidR="00351F2F" w:rsidRPr="00F028D8" w:rsidRDefault="00351F2F" w:rsidP="00351F2F">
            <w:pPr>
              <w:pStyle w:val="SingleTxt"/>
              <w:rPr>
                <w:rFonts w:hint="eastAsia"/>
              </w:rPr>
            </w:pPr>
            <w:r>
              <w:tab/>
            </w:r>
            <w:r>
              <w:rPr>
                <w:rFonts w:hint="eastAsia"/>
              </w:rPr>
              <w:t>大会第</w:t>
            </w:r>
            <w:hyperlink r:id="rId17" w:history="1">
              <w:r w:rsidRPr="0002147E">
                <w:rPr>
                  <w:rStyle w:val="Hyperlink"/>
                  <w:rFonts w:hint="eastAsia"/>
                </w:rPr>
                <w:t>57/202</w:t>
              </w:r>
            </w:hyperlink>
            <w:r>
              <w:rPr>
                <w:rFonts w:hint="eastAsia"/>
              </w:rPr>
              <w:t>号决议请秘书长向大会提交人权条约机构主席关于其定期会议的报告。本文件载有关于2013年5月20日至24日在纽约召开的人权条约机构主席第二十五次会议的报告。每年依照大会第</w:t>
            </w:r>
            <w:hyperlink r:id="rId18" w:history="1">
              <w:r w:rsidRPr="0002147E">
                <w:rPr>
                  <w:rStyle w:val="Hyperlink"/>
                  <w:rFonts w:hint="eastAsia"/>
                </w:rPr>
                <w:t>49/178</w:t>
              </w:r>
            </w:hyperlink>
            <w:r>
              <w:rPr>
                <w:rFonts w:hint="eastAsia"/>
              </w:rPr>
              <w:t>号决议召开主席会议，以期强化与加强条约机构政府间过程的协同增效作用。主席们审议了贯彻执行第二十四次会议建议的情况，并审查了相关的动态，包括条约机构执行联合国人权事务高级专员关于加强条约机构体系的报告所载的建议。主席们就加强条约机构政府间进程问题会晤了共同召集人冰岛和印度尼西亚常驻联合国代表、一些会员国和国家集团，以及民间社会组织。主席们还讨论了2015年后的发展议程，并通过了一项联合声明。主席们通过的建议载于本报告第六节。</w:t>
            </w:r>
          </w:p>
        </w:tc>
      </w:tr>
      <w:tr w:rsidR="00351F2F" w:rsidTr="00351F2F">
        <w:tblPrEx>
          <w:tblCellMar>
            <w:top w:w="0" w:type="dxa"/>
            <w:bottom w:w="0" w:type="dxa"/>
          </w:tblCellMar>
        </w:tblPrEx>
        <w:tc>
          <w:tcPr>
            <w:tcW w:w="9850" w:type="dxa"/>
            <w:tcBorders>
              <w:bottom w:val="single" w:sz="2" w:space="0" w:color="auto"/>
            </w:tcBorders>
            <w:shd w:val="clear" w:color="auto" w:fill="auto"/>
          </w:tcPr>
          <w:p w:rsidR="00351F2F" w:rsidRPr="00F028D8" w:rsidRDefault="00351F2F" w:rsidP="00351F2F">
            <w:pPr>
              <w:pStyle w:val="SingleTxt"/>
              <w:spacing w:after="0" w:line="120" w:lineRule="exact"/>
              <w:rPr>
                <w:rFonts w:hint="eastAsia"/>
              </w:rPr>
            </w:pPr>
          </w:p>
        </w:tc>
      </w:tr>
    </w:tbl>
    <w:p w:rsidR="00351F2F" w:rsidRDefault="00351F2F" w:rsidP="00351F2F">
      <w:pPr>
        <w:pStyle w:val="SingleTxt"/>
        <w:rPr>
          <w:rFonts w:hint="eastAsia"/>
        </w:rPr>
      </w:pPr>
      <w:r>
        <w:rPr>
          <w:rFonts w:hint="eastAsia"/>
        </w:rPr>
        <w:tab/>
      </w:r>
    </w:p>
    <w:p w:rsidR="00351F2F" w:rsidRDefault="00351F2F" w:rsidP="00351F2F">
      <w:pPr>
        <w:pStyle w:val="HCh6"/>
        <w:rPr>
          <w:rFonts w:ascii="Times New Roman"/>
        </w:rPr>
      </w:pPr>
      <w:r>
        <w:br w:type="page"/>
      </w:r>
      <w:r>
        <w:rPr>
          <w:rFonts w:hint="eastAsia"/>
        </w:rPr>
        <w:t>目录</w:t>
      </w:r>
    </w:p>
    <w:tbl>
      <w:tblPr>
        <w:tblW w:w="9902" w:type="dxa"/>
        <w:tblLayout w:type="fixed"/>
        <w:tblCellMar>
          <w:left w:w="0" w:type="dxa"/>
          <w:right w:w="0" w:type="dxa"/>
        </w:tblCellMar>
        <w:tblLook w:val="0000"/>
      </w:tblPr>
      <w:tblGrid>
        <w:gridCol w:w="1060"/>
        <w:gridCol w:w="8289"/>
        <w:gridCol w:w="20"/>
        <w:gridCol w:w="533"/>
      </w:tblGrid>
      <w:tr w:rsidR="00E46FB6" w:rsidRPr="00E53517" w:rsidTr="008F12C0">
        <w:tblPrEx>
          <w:tblCellMar>
            <w:top w:w="0" w:type="dxa"/>
            <w:bottom w:w="0" w:type="dxa"/>
          </w:tblCellMar>
        </w:tblPrEx>
        <w:tc>
          <w:tcPr>
            <w:tcW w:w="1060" w:type="dxa"/>
          </w:tcPr>
          <w:p w:rsidR="00E46FB6" w:rsidRPr="00E53517" w:rsidRDefault="00E46FB6" w:rsidP="00E46FB6">
            <w:pPr>
              <w:pStyle w:val="GB23126"/>
            </w:pPr>
          </w:p>
        </w:tc>
        <w:tc>
          <w:tcPr>
            <w:tcW w:w="8289" w:type="dxa"/>
          </w:tcPr>
          <w:p w:rsidR="00E46FB6" w:rsidRPr="00E53517" w:rsidRDefault="00E46FB6">
            <w:pPr>
              <w:spacing w:after="120" w:line="240" w:lineRule="auto"/>
              <w:rPr>
                <w:rFonts w:eastAsia="KaiTi_GB2312"/>
                <w:color w:val="0000FF"/>
                <w:sz w:val="15"/>
                <w:szCs w:val="15"/>
              </w:rPr>
            </w:pPr>
          </w:p>
        </w:tc>
        <w:tc>
          <w:tcPr>
            <w:tcW w:w="20" w:type="dxa"/>
          </w:tcPr>
          <w:p w:rsidR="00E46FB6" w:rsidRPr="00E53517" w:rsidRDefault="00E46FB6" w:rsidP="00E46FB6">
            <w:pPr>
              <w:pStyle w:val="GB23126"/>
            </w:pPr>
          </w:p>
        </w:tc>
        <w:tc>
          <w:tcPr>
            <w:tcW w:w="533" w:type="dxa"/>
          </w:tcPr>
          <w:p w:rsidR="00E46FB6" w:rsidRPr="00E53517" w:rsidRDefault="00E46FB6" w:rsidP="00E46FB6">
            <w:pPr>
              <w:pStyle w:val="GB23126"/>
            </w:pPr>
            <w:r w:rsidRPr="00E53517">
              <w:rPr>
                <w:rFonts w:hint="eastAsia"/>
              </w:rPr>
              <w:t>页次</w:t>
            </w:r>
          </w:p>
        </w:tc>
      </w:tr>
      <w:tr w:rsidR="00E46FB6" w:rsidTr="008F12C0">
        <w:tblPrEx>
          <w:tblCellMar>
            <w:top w:w="0" w:type="dxa"/>
            <w:bottom w:w="0" w:type="dxa"/>
          </w:tblCellMar>
        </w:tblPrEx>
        <w:trPr>
          <w:cantSplit/>
        </w:trPr>
        <w:tc>
          <w:tcPr>
            <w:tcW w:w="9349" w:type="dxa"/>
            <w:gridSpan w:val="2"/>
          </w:tcPr>
          <w:p w:rsidR="00E46FB6" w:rsidRDefault="00E46FB6" w:rsidP="008F12C0">
            <w:pPr>
              <w:numPr>
                <w:ilvl w:val="0"/>
                <w:numId w:val="1"/>
              </w:numPr>
              <w:tabs>
                <w:tab w:val="right" w:pos="1080"/>
                <w:tab w:val="right" w:leader="dot" w:pos="9267"/>
              </w:tabs>
              <w:spacing w:after="140"/>
            </w:pPr>
            <w:r>
              <w:tab/>
            </w:r>
            <w:r w:rsidR="008F12C0" w:rsidRPr="00E43854">
              <w:rPr>
                <w:rFonts w:hint="eastAsia"/>
              </w:rPr>
              <w:t>导言</w:t>
            </w:r>
            <w:r>
              <w:tab/>
            </w:r>
          </w:p>
        </w:tc>
        <w:tc>
          <w:tcPr>
            <w:tcW w:w="20" w:type="dxa"/>
            <w:vAlign w:val="bottom"/>
          </w:tcPr>
          <w:p w:rsidR="00E46FB6" w:rsidRDefault="00E46FB6">
            <w:pPr>
              <w:spacing w:after="140"/>
              <w:ind w:right="28"/>
              <w:jc w:val="right"/>
              <w:rPr>
                <w:rFonts w:hint="eastAsia"/>
              </w:rPr>
            </w:pPr>
          </w:p>
        </w:tc>
        <w:tc>
          <w:tcPr>
            <w:tcW w:w="533" w:type="dxa"/>
            <w:vAlign w:val="bottom"/>
          </w:tcPr>
          <w:p w:rsidR="00E46FB6" w:rsidRDefault="00E03287">
            <w:pPr>
              <w:spacing w:after="140"/>
              <w:ind w:right="28"/>
              <w:jc w:val="right"/>
            </w:pPr>
            <w:r>
              <w:t>4</w:t>
            </w:r>
          </w:p>
        </w:tc>
      </w:tr>
      <w:tr w:rsidR="00E46FB6" w:rsidTr="008F12C0">
        <w:tblPrEx>
          <w:tblCellMar>
            <w:top w:w="0" w:type="dxa"/>
            <w:bottom w:w="0" w:type="dxa"/>
          </w:tblCellMar>
        </w:tblPrEx>
        <w:trPr>
          <w:cantSplit/>
        </w:trPr>
        <w:tc>
          <w:tcPr>
            <w:tcW w:w="9349" w:type="dxa"/>
            <w:gridSpan w:val="2"/>
          </w:tcPr>
          <w:p w:rsidR="00E46FB6" w:rsidRDefault="00E46FB6" w:rsidP="008F12C0">
            <w:pPr>
              <w:numPr>
                <w:ilvl w:val="0"/>
                <w:numId w:val="1"/>
              </w:numPr>
              <w:tabs>
                <w:tab w:val="right" w:pos="1080"/>
                <w:tab w:val="right" w:leader="dot" w:pos="9267"/>
              </w:tabs>
              <w:spacing w:after="140"/>
            </w:pPr>
            <w:r>
              <w:tab/>
            </w:r>
            <w:r w:rsidR="008F12C0" w:rsidRPr="00E43854">
              <w:rPr>
                <w:rFonts w:hint="eastAsia"/>
              </w:rPr>
              <w:t>会议安排</w:t>
            </w:r>
            <w:r>
              <w:tab/>
            </w:r>
          </w:p>
        </w:tc>
        <w:tc>
          <w:tcPr>
            <w:tcW w:w="20" w:type="dxa"/>
            <w:vAlign w:val="bottom"/>
          </w:tcPr>
          <w:p w:rsidR="00E46FB6" w:rsidRDefault="00E46FB6">
            <w:pPr>
              <w:spacing w:after="140"/>
              <w:ind w:right="28"/>
              <w:jc w:val="right"/>
              <w:rPr>
                <w:rFonts w:hint="eastAsia"/>
              </w:rPr>
            </w:pPr>
          </w:p>
        </w:tc>
        <w:tc>
          <w:tcPr>
            <w:tcW w:w="533" w:type="dxa"/>
            <w:vAlign w:val="bottom"/>
          </w:tcPr>
          <w:p w:rsidR="00E46FB6" w:rsidRDefault="00E03287">
            <w:pPr>
              <w:spacing w:after="140"/>
              <w:ind w:right="28"/>
              <w:jc w:val="right"/>
            </w:pPr>
            <w:r>
              <w:t>4</w:t>
            </w:r>
          </w:p>
        </w:tc>
      </w:tr>
      <w:tr w:rsidR="008F12C0" w:rsidTr="00E042FB">
        <w:tblPrEx>
          <w:tblCellMar>
            <w:top w:w="0" w:type="dxa"/>
            <w:bottom w:w="0" w:type="dxa"/>
          </w:tblCellMar>
        </w:tblPrEx>
        <w:trPr>
          <w:cantSplit/>
        </w:trPr>
        <w:tc>
          <w:tcPr>
            <w:tcW w:w="9349" w:type="dxa"/>
            <w:gridSpan w:val="2"/>
          </w:tcPr>
          <w:p w:rsidR="008F12C0" w:rsidRDefault="008F12C0" w:rsidP="00E03287">
            <w:pPr>
              <w:numPr>
                <w:ilvl w:val="0"/>
                <w:numId w:val="1"/>
              </w:numPr>
              <w:tabs>
                <w:tab w:val="right" w:pos="1080"/>
                <w:tab w:val="left" w:pos="1296"/>
                <w:tab w:val="left" w:pos="1728"/>
                <w:tab w:val="left" w:pos="2160"/>
                <w:tab w:val="left" w:pos="2592"/>
                <w:tab w:val="left" w:pos="3024"/>
                <w:tab w:val="left" w:pos="3456"/>
                <w:tab w:val="left" w:pos="3888"/>
                <w:tab w:val="right" w:leader="dot" w:pos="9267"/>
              </w:tabs>
              <w:spacing w:after="140"/>
            </w:pPr>
            <w:r>
              <w:tab/>
            </w:r>
            <w:r w:rsidRPr="00E43854">
              <w:rPr>
                <w:rFonts w:hint="eastAsia"/>
              </w:rPr>
              <w:t>执行人权条约机构主席第二十四次会议建议的情况，包括联合国人权高级专员</w:t>
            </w:r>
            <w:r w:rsidR="00A17934">
              <w:br/>
            </w:r>
            <w:r w:rsidRPr="00E43854">
              <w:rPr>
                <w:rFonts w:hint="eastAsia"/>
              </w:rPr>
              <w:t>关于加强条约机构</w:t>
            </w:r>
            <w:r>
              <w:rPr>
                <w:rFonts w:hint="eastAsia"/>
              </w:rPr>
              <w:t>体系</w:t>
            </w:r>
            <w:r w:rsidRPr="00E43854">
              <w:rPr>
                <w:rFonts w:hint="eastAsia"/>
              </w:rPr>
              <w:t>的报告所载的建议</w:t>
            </w:r>
            <w:r>
              <w:tab/>
            </w:r>
          </w:p>
        </w:tc>
        <w:tc>
          <w:tcPr>
            <w:tcW w:w="20" w:type="dxa"/>
            <w:vAlign w:val="bottom"/>
          </w:tcPr>
          <w:p w:rsidR="008F12C0" w:rsidRDefault="008F12C0">
            <w:pPr>
              <w:spacing w:after="140"/>
              <w:ind w:right="28"/>
              <w:jc w:val="right"/>
              <w:rPr>
                <w:rFonts w:hint="eastAsia"/>
              </w:rPr>
            </w:pPr>
          </w:p>
        </w:tc>
        <w:tc>
          <w:tcPr>
            <w:tcW w:w="533" w:type="dxa"/>
            <w:vAlign w:val="bottom"/>
          </w:tcPr>
          <w:p w:rsidR="008F12C0" w:rsidRDefault="00E042FB" w:rsidP="00E042FB">
            <w:pPr>
              <w:spacing w:after="140"/>
              <w:ind w:right="28"/>
              <w:jc w:val="right"/>
            </w:pPr>
            <w:r>
              <w:t>5</w:t>
            </w:r>
          </w:p>
        </w:tc>
      </w:tr>
      <w:tr w:rsidR="008F12C0" w:rsidTr="008F12C0">
        <w:tblPrEx>
          <w:tblCellMar>
            <w:top w:w="0" w:type="dxa"/>
            <w:bottom w:w="0" w:type="dxa"/>
          </w:tblCellMar>
        </w:tblPrEx>
        <w:trPr>
          <w:cantSplit/>
        </w:trPr>
        <w:tc>
          <w:tcPr>
            <w:tcW w:w="9349" w:type="dxa"/>
            <w:gridSpan w:val="2"/>
          </w:tcPr>
          <w:p w:rsidR="008F12C0" w:rsidRDefault="008F12C0" w:rsidP="008F12C0">
            <w:pPr>
              <w:numPr>
                <w:ilvl w:val="0"/>
                <w:numId w:val="1"/>
              </w:numPr>
              <w:tabs>
                <w:tab w:val="right" w:pos="1080"/>
                <w:tab w:val="right" w:leader="dot" w:pos="9267"/>
              </w:tabs>
              <w:spacing w:after="140"/>
            </w:pPr>
            <w:r>
              <w:tab/>
            </w:r>
            <w:r w:rsidRPr="0093499B">
              <w:rPr>
                <w:rFonts w:hint="eastAsia"/>
              </w:rPr>
              <w:t>条约机构和加强条约机构政府间进程</w:t>
            </w:r>
            <w:r>
              <w:tab/>
            </w:r>
          </w:p>
        </w:tc>
        <w:tc>
          <w:tcPr>
            <w:tcW w:w="20" w:type="dxa"/>
            <w:vAlign w:val="bottom"/>
          </w:tcPr>
          <w:p w:rsidR="008F12C0" w:rsidRDefault="008F12C0">
            <w:pPr>
              <w:spacing w:after="140"/>
              <w:ind w:right="28"/>
              <w:jc w:val="right"/>
              <w:rPr>
                <w:rFonts w:hint="eastAsia"/>
              </w:rPr>
            </w:pPr>
          </w:p>
        </w:tc>
        <w:tc>
          <w:tcPr>
            <w:tcW w:w="533" w:type="dxa"/>
            <w:vAlign w:val="bottom"/>
          </w:tcPr>
          <w:p w:rsidR="008F12C0" w:rsidRDefault="00E03287">
            <w:pPr>
              <w:spacing w:after="140"/>
              <w:ind w:right="28"/>
              <w:jc w:val="right"/>
            </w:pPr>
            <w:r>
              <w:t>7</w:t>
            </w:r>
          </w:p>
        </w:tc>
      </w:tr>
      <w:tr w:rsidR="008F12C0" w:rsidTr="008F12C0">
        <w:tblPrEx>
          <w:tblCellMar>
            <w:top w:w="0" w:type="dxa"/>
            <w:bottom w:w="0" w:type="dxa"/>
          </w:tblCellMar>
        </w:tblPrEx>
        <w:trPr>
          <w:cantSplit/>
        </w:trPr>
        <w:tc>
          <w:tcPr>
            <w:tcW w:w="9349" w:type="dxa"/>
            <w:gridSpan w:val="2"/>
          </w:tcPr>
          <w:p w:rsidR="008F12C0" w:rsidRDefault="008F12C0" w:rsidP="008F12C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95"/>
              </w:tabs>
              <w:spacing w:after="140"/>
            </w:pPr>
            <w:r w:rsidRPr="0093499B">
              <w:rPr>
                <w:rFonts w:hint="eastAsia"/>
              </w:rPr>
              <w:t>与加强条约机构政府间进程共同召集人举行的会议</w:t>
            </w:r>
            <w:r>
              <w:tab/>
            </w:r>
          </w:p>
        </w:tc>
        <w:tc>
          <w:tcPr>
            <w:tcW w:w="20" w:type="dxa"/>
            <w:vAlign w:val="bottom"/>
          </w:tcPr>
          <w:p w:rsidR="008F12C0" w:rsidRDefault="008F12C0">
            <w:pPr>
              <w:spacing w:after="140"/>
              <w:ind w:right="28"/>
              <w:jc w:val="right"/>
              <w:rPr>
                <w:rFonts w:hint="eastAsia"/>
              </w:rPr>
            </w:pPr>
          </w:p>
        </w:tc>
        <w:tc>
          <w:tcPr>
            <w:tcW w:w="533" w:type="dxa"/>
            <w:vAlign w:val="bottom"/>
          </w:tcPr>
          <w:p w:rsidR="008F12C0" w:rsidRDefault="00E03287">
            <w:pPr>
              <w:spacing w:after="140"/>
              <w:ind w:right="28"/>
              <w:jc w:val="right"/>
            </w:pPr>
            <w:r>
              <w:t>7</w:t>
            </w:r>
          </w:p>
        </w:tc>
      </w:tr>
      <w:tr w:rsidR="008F12C0" w:rsidTr="008F12C0">
        <w:tblPrEx>
          <w:tblCellMar>
            <w:top w:w="0" w:type="dxa"/>
            <w:bottom w:w="0" w:type="dxa"/>
          </w:tblCellMar>
        </w:tblPrEx>
        <w:trPr>
          <w:cantSplit/>
        </w:trPr>
        <w:tc>
          <w:tcPr>
            <w:tcW w:w="9349" w:type="dxa"/>
            <w:gridSpan w:val="2"/>
          </w:tcPr>
          <w:p w:rsidR="008F12C0" w:rsidRPr="0093499B" w:rsidRDefault="008F12C0" w:rsidP="008F12C0">
            <w:pPr>
              <w:numPr>
                <w:ilvl w:val="1"/>
                <w:numId w:val="1"/>
              </w:numPr>
              <w:tabs>
                <w:tab w:val="right" w:pos="1080"/>
                <w:tab w:val="left" w:pos="1296"/>
                <w:tab w:val="left" w:pos="1728"/>
                <w:tab w:val="left" w:pos="2160"/>
                <w:tab w:val="left" w:pos="2592"/>
                <w:tab w:val="left" w:pos="3024"/>
                <w:tab w:val="left" w:pos="3456"/>
                <w:tab w:val="right" w:leader="dot" w:pos="9253"/>
              </w:tabs>
              <w:spacing w:after="140"/>
              <w:rPr>
                <w:rFonts w:hint="eastAsia"/>
              </w:rPr>
            </w:pPr>
            <w:r>
              <w:rPr>
                <w:rFonts w:hint="eastAsia"/>
              </w:rPr>
              <w:t>与各国的非正式磋商</w:t>
            </w:r>
            <w:r>
              <w:tab/>
            </w:r>
          </w:p>
        </w:tc>
        <w:tc>
          <w:tcPr>
            <w:tcW w:w="20" w:type="dxa"/>
            <w:vAlign w:val="bottom"/>
          </w:tcPr>
          <w:p w:rsidR="008F12C0" w:rsidRDefault="008F12C0">
            <w:pPr>
              <w:spacing w:after="140"/>
              <w:ind w:right="28"/>
              <w:jc w:val="right"/>
              <w:rPr>
                <w:rFonts w:hint="eastAsia"/>
              </w:rPr>
            </w:pPr>
          </w:p>
        </w:tc>
        <w:tc>
          <w:tcPr>
            <w:tcW w:w="533" w:type="dxa"/>
            <w:vAlign w:val="bottom"/>
          </w:tcPr>
          <w:p w:rsidR="008F12C0" w:rsidRDefault="00E03287">
            <w:pPr>
              <w:spacing w:after="140"/>
              <w:ind w:right="28"/>
              <w:jc w:val="right"/>
            </w:pPr>
            <w:r>
              <w:t>8</w:t>
            </w:r>
          </w:p>
        </w:tc>
      </w:tr>
      <w:tr w:rsidR="008F12C0" w:rsidTr="008F12C0">
        <w:tblPrEx>
          <w:tblCellMar>
            <w:top w:w="0" w:type="dxa"/>
            <w:bottom w:w="0" w:type="dxa"/>
          </w:tblCellMar>
        </w:tblPrEx>
        <w:trPr>
          <w:cantSplit/>
        </w:trPr>
        <w:tc>
          <w:tcPr>
            <w:tcW w:w="9349" w:type="dxa"/>
            <w:gridSpan w:val="2"/>
          </w:tcPr>
          <w:p w:rsidR="008F12C0" w:rsidRDefault="008F12C0" w:rsidP="008F12C0">
            <w:pPr>
              <w:numPr>
                <w:ilvl w:val="1"/>
                <w:numId w:val="1"/>
              </w:numPr>
              <w:tabs>
                <w:tab w:val="right" w:pos="1080"/>
                <w:tab w:val="left" w:pos="1296"/>
                <w:tab w:val="left" w:pos="1728"/>
                <w:tab w:val="left" w:pos="2160"/>
                <w:tab w:val="left" w:pos="2592"/>
                <w:tab w:val="left" w:pos="3024"/>
                <w:tab w:val="left" w:pos="3456"/>
                <w:tab w:val="right" w:leader="dot" w:pos="9253"/>
              </w:tabs>
              <w:spacing w:after="140"/>
              <w:rPr>
                <w:rFonts w:hint="eastAsia"/>
              </w:rPr>
            </w:pPr>
            <w:r>
              <w:rPr>
                <w:rFonts w:hint="eastAsia"/>
              </w:rPr>
              <w:t>与民间组织和国家人权机构国际协调委员会的非正式磋商</w:t>
            </w:r>
            <w:r>
              <w:tab/>
            </w:r>
          </w:p>
        </w:tc>
        <w:tc>
          <w:tcPr>
            <w:tcW w:w="20" w:type="dxa"/>
            <w:vAlign w:val="bottom"/>
          </w:tcPr>
          <w:p w:rsidR="008F12C0" w:rsidRDefault="008F12C0">
            <w:pPr>
              <w:spacing w:after="140"/>
              <w:ind w:right="28"/>
              <w:jc w:val="right"/>
              <w:rPr>
                <w:rFonts w:hint="eastAsia"/>
              </w:rPr>
            </w:pPr>
          </w:p>
        </w:tc>
        <w:tc>
          <w:tcPr>
            <w:tcW w:w="533" w:type="dxa"/>
            <w:vAlign w:val="bottom"/>
          </w:tcPr>
          <w:p w:rsidR="008F12C0" w:rsidRDefault="00E03287">
            <w:pPr>
              <w:spacing w:after="140"/>
              <w:ind w:right="28"/>
              <w:jc w:val="right"/>
            </w:pPr>
            <w:r>
              <w:t>10</w:t>
            </w:r>
          </w:p>
        </w:tc>
      </w:tr>
      <w:tr w:rsidR="008F12C0" w:rsidTr="008F12C0">
        <w:tblPrEx>
          <w:tblCellMar>
            <w:top w:w="0" w:type="dxa"/>
            <w:bottom w:w="0" w:type="dxa"/>
          </w:tblCellMar>
        </w:tblPrEx>
        <w:trPr>
          <w:cantSplit/>
        </w:trPr>
        <w:tc>
          <w:tcPr>
            <w:tcW w:w="9349" w:type="dxa"/>
            <w:gridSpan w:val="2"/>
          </w:tcPr>
          <w:p w:rsidR="008F12C0" w:rsidRDefault="008F12C0" w:rsidP="008F12C0">
            <w:pPr>
              <w:numPr>
                <w:ilvl w:val="0"/>
                <w:numId w:val="1"/>
              </w:numPr>
              <w:tabs>
                <w:tab w:val="right" w:pos="1080"/>
                <w:tab w:val="right" w:leader="dot" w:pos="9267"/>
              </w:tabs>
              <w:spacing w:after="140"/>
              <w:rPr>
                <w:rFonts w:hint="eastAsia"/>
              </w:rPr>
            </w:pPr>
            <w:r>
              <w:tab/>
            </w:r>
            <w:r>
              <w:rPr>
                <w:rFonts w:hint="eastAsia"/>
              </w:rPr>
              <w:t>条约机构与2015年后发展议程</w:t>
            </w:r>
            <w:r>
              <w:tab/>
            </w:r>
          </w:p>
        </w:tc>
        <w:tc>
          <w:tcPr>
            <w:tcW w:w="20" w:type="dxa"/>
            <w:vAlign w:val="bottom"/>
          </w:tcPr>
          <w:p w:rsidR="008F12C0" w:rsidRDefault="008F12C0">
            <w:pPr>
              <w:spacing w:after="140"/>
              <w:ind w:right="28"/>
              <w:jc w:val="right"/>
              <w:rPr>
                <w:rFonts w:hint="eastAsia"/>
              </w:rPr>
            </w:pPr>
          </w:p>
        </w:tc>
        <w:tc>
          <w:tcPr>
            <w:tcW w:w="533" w:type="dxa"/>
            <w:vAlign w:val="bottom"/>
          </w:tcPr>
          <w:p w:rsidR="008F12C0" w:rsidRDefault="00E03287">
            <w:pPr>
              <w:spacing w:after="140"/>
              <w:ind w:right="28"/>
              <w:jc w:val="right"/>
            </w:pPr>
            <w:r>
              <w:t>11</w:t>
            </w:r>
          </w:p>
        </w:tc>
      </w:tr>
      <w:tr w:rsidR="008F12C0" w:rsidTr="008F12C0">
        <w:tblPrEx>
          <w:tblCellMar>
            <w:top w:w="0" w:type="dxa"/>
            <w:bottom w:w="0" w:type="dxa"/>
          </w:tblCellMar>
        </w:tblPrEx>
        <w:trPr>
          <w:cantSplit/>
        </w:trPr>
        <w:tc>
          <w:tcPr>
            <w:tcW w:w="9349" w:type="dxa"/>
            <w:gridSpan w:val="2"/>
          </w:tcPr>
          <w:p w:rsidR="008F12C0" w:rsidRDefault="008F12C0" w:rsidP="008F12C0">
            <w:pPr>
              <w:numPr>
                <w:ilvl w:val="0"/>
                <w:numId w:val="1"/>
              </w:numPr>
              <w:tabs>
                <w:tab w:val="right" w:pos="1080"/>
                <w:tab w:val="right" w:leader="dot" w:pos="9267"/>
              </w:tabs>
              <w:spacing w:after="140"/>
            </w:pPr>
            <w:r>
              <w:tab/>
            </w:r>
            <w:r w:rsidRPr="004529FB">
              <w:rPr>
                <w:rFonts w:hint="eastAsia"/>
              </w:rPr>
              <w:t>决定和建议</w:t>
            </w:r>
            <w:r>
              <w:tab/>
            </w:r>
          </w:p>
        </w:tc>
        <w:tc>
          <w:tcPr>
            <w:tcW w:w="20" w:type="dxa"/>
            <w:vAlign w:val="bottom"/>
          </w:tcPr>
          <w:p w:rsidR="008F12C0" w:rsidRDefault="008F12C0">
            <w:pPr>
              <w:spacing w:after="140"/>
              <w:ind w:right="28"/>
              <w:jc w:val="right"/>
              <w:rPr>
                <w:rFonts w:hint="eastAsia"/>
              </w:rPr>
            </w:pPr>
          </w:p>
        </w:tc>
        <w:tc>
          <w:tcPr>
            <w:tcW w:w="533" w:type="dxa"/>
            <w:vAlign w:val="bottom"/>
          </w:tcPr>
          <w:p w:rsidR="008F12C0" w:rsidRDefault="00E03287">
            <w:pPr>
              <w:spacing w:after="140"/>
              <w:ind w:right="28"/>
              <w:jc w:val="right"/>
            </w:pPr>
            <w:r>
              <w:t>12</w:t>
            </w:r>
          </w:p>
        </w:tc>
      </w:tr>
      <w:tr w:rsidR="00E46FB6">
        <w:tblPrEx>
          <w:tblCellMar>
            <w:top w:w="0" w:type="dxa"/>
            <w:bottom w:w="0" w:type="dxa"/>
          </w:tblCellMar>
        </w:tblPrEx>
        <w:trPr>
          <w:cantSplit/>
        </w:trPr>
        <w:tc>
          <w:tcPr>
            <w:tcW w:w="9369" w:type="dxa"/>
            <w:gridSpan w:val="3"/>
          </w:tcPr>
          <w:p w:rsidR="00E46FB6" w:rsidRDefault="00E46FB6">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附件</w:t>
            </w:r>
          </w:p>
        </w:tc>
        <w:tc>
          <w:tcPr>
            <w:tcW w:w="533" w:type="dxa"/>
            <w:vAlign w:val="bottom"/>
          </w:tcPr>
          <w:p w:rsidR="00E46FB6" w:rsidRDefault="00E46FB6">
            <w:pPr>
              <w:spacing w:after="120"/>
              <w:jc w:val="right"/>
              <w:rPr>
                <w:rFonts w:hint="eastAsia"/>
              </w:rPr>
            </w:pPr>
          </w:p>
        </w:tc>
      </w:tr>
      <w:tr w:rsidR="00E46FB6">
        <w:tblPrEx>
          <w:tblCellMar>
            <w:top w:w="0" w:type="dxa"/>
            <w:bottom w:w="0" w:type="dxa"/>
          </w:tblCellMar>
        </w:tblPrEx>
        <w:trPr>
          <w:cantSplit/>
        </w:trPr>
        <w:tc>
          <w:tcPr>
            <w:tcW w:w="9369" w:type="dxa"/>
            <w:gridSpan w:val="3"/>
          </w:tcPr>
          <w:p w:rsidR="00E46FB6" w:rsidRDefault="00E46FB6" w:rsidP="00E03287">
            <w:pPr>
              <w:tabs>
                <w:tab w:val="right" w:pos="1080"/>
                <w:tab w:val="right" w:leader="dot" w:pos="9371"/>
              </w:tabs>
              <w:spacing w:after="120"/>
              <w:ind w:left="870"/>
              <w:jc w:val="left"/>
              <w:rPr>
                <w:rFonts w:hint="eastAsia"/>
              </w:rPr>
            </w:pPr>
            <w:r>
              <w:tab/>
            </w:r>
            <w:r w:rsidR="00A17934">
              <w:t xml:space="preserve">    </w:t>
            </w:r>
            <w:r w:rsidR="008F12C0" w:rsidRPr="004529FB">
              <w:rPr>
                <w:rFonts w:hint="eastAsia"/>
              </w:rPr>
              <w:t>联合国条约机构主席关于2015年后发展议程的联合声明</w:t>
            </w:r>
            <w:r>
              <w:tab/>
            </w:r>
          </w:p>
        </w:tc>
        <w:tc>
          <w:tcPr>
            <w:tcW w:w="533" w:type="dxa"/>
            <w:vAlign w:val="bottom"/>
          </w:tcPr>
          <w:p w:rsidR="00E46FB6" w:rsidRDefault="00E03287">
            <w:pPr>
              <w:spacing w:after="120"/>
              <w:ind w:right="28"/>
              <w:jc w:val="right"/>
            </w:pPr>
            <w:r>
              <w:t>15</w:t>
            </w:r>
          </w:p>
        </w:tc>
      </w:tr>
    </w:tbl>
    <w:p w:rsidR="00E46FB6" w:rsidRDefault="00E46FB6"/>
    <w:p w:rsidR="00351F2F" w:rsidRDefault="00351F2F" w:rsidP="00351F2F">
      <w:pPr>
        <w:pStyle w:val="SingleTxt"/>
        <w:rPr>
          <w:rFonts w:hint="eastAsia"/>
        </w:rPr>
      </w:pPr>
    </w:p>
    <w:p w:rsidR="00351F2F" w:rsidRPr="00E43854" w:rsidRDefault="00351F2F" w:rsidP="00351F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sidRPr="00E43854">
        <w:rPr>
          <w:rFonts w:hint="eastAsia"/>
        </w:rPr>
        <w:t>一.</w:t>
      </w:r>
      <w:r w:rsidRPr="00E43854">
        <w:rPr>
          <w:rFonts w:hint="eastAsia"/>
        </w:rPr>
        <w:tab/>
        <w:t>导言</w:t>
      </w:r>
    </w:p>
    <w:p w:rsidR="00351F2F" w:rsidRPr="00E43854" w:rsidRDefault="00351F2F" w:rsidP="00351F2F">
      <w:pPr>
        <w:pStyle w:val="SingleTxt"/>
        <w:spacing w:after="0" w:line="120" w:lineRule="exact"/>
        <w:rPr>
          <w:rFonts w:hint="eastAsia"/>
          <w:sz w:val="10"/>
        </w:rPr>
      </w:pPr>
    </w:p>
    <w:p w:rsidR="00351F2F" w:rsidRPr="00E43854" w:rsidRDefault="00351F2F" w:rsidP="00351F2F">
      <w:pPr>
        <w:pStyle w:val="SingleTxt"/>
        <w:spacing w:after="0" w:line="120" w:lineRule="exact"/>
        <w:rPr>
          <w:rFonts w:hint="eastAsia"/>
          <w:sz w:val="10"/>
        </w:rPr>
      </w:pPr>
    </w:p>
    <w:p w:rsidR="00351F2F" w:rsidRDefault="00351F2F" w:rsidP="00351F2F">
      <w:pPr>
        <w:pStyle w:val="SingleTxt"/>
        <w:rPr>
          <w:rFonts w:hint="eastAsia"/>
        </w:rPr>
      </w:pPr>
      <w:r>
        <w:rPr>
          <w:rFonts w:hint="eastAsia"/>
        </w:rPr>
        <w:t>1.</w:t>
      </w:r>
      <w:r>
        <w:rPr>
          <w:rFonts w:hint="eastAsia"/>
        </w:rPr>
        <w:tab/>
        <w:t>人权条约机构第二十五次主席会议于2013年5月20日至24日在纽约举行。每年依照大会第</w:t>
      </w:r>
      <w:hyperlink r:id="rId19" w:history="1">
        <w:r w:rsidRPr="0002147E">
          <w:rPr>
            <w:rStyle w:val="Hyperlink"/>
            <w:rFonts w:hint="eastAsia"/>
          </w:rPr>
          <w:t>49/178</w:t>
        </w:r>
      </w:hyperlink>
      <w:r>
        <w:rPr>
          <w:rFonts w:hint="eastAsia"/>
        </w:rPr>
        <w:t>号决议召开主席会议，以期强化与加强条约机构政府间过程的协同增效作用。</w:t>
      </w:r>
    </w:p>
    <w:p w:rsidR="00351F2F" w:rsidRPr="00E43854" w:rsidRDefault="00351F2F" w:rsidP="00351F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51F2F" w:rsidRPr="00E43854" w:rsidRDefault="00351F2F" w:rsidP="00351F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E43854">
        <w:rPr>
          <w:rFonts w:hint="eastAsia"/>
        </w:rPr>
        <w:t>二.</w:t>
      </w:r>
      <w:r w:rsidRPr="00E43854">
        <w:rPr>
          <w:rFonts w:hint="eastAsia"/>
        </w:rPr>
        <w:tab/>
        <w:t>会议安排</w:t>
      </w:r>
    </w:p>
    <w:p w:rsidR="00351F2F" w:rsidRPr="00E43854" w:rsidRDefault="00351F2F" w:rsidP="00351F2F">
      <w:pPr>
        <w:pStyle w:val="SingleTxt"/>
        <w:spacing w:after="0" w:line="120" w:lineRule="exact"/>
        <w:rPr>
          <w:rFonts w:hint="eastAsia"/>
          <w:sz w:val="10"/>
        </w:rPr>
      </w:pPr>
    </w:p>
    <w:p w:rsidR="00351F2F" w:rsidRPr="00E43854" w:rsidRDefault="00351F2F" w:rsidP="00351F2F">
      <w:pPr>
        <w:pStyle w:val="SingleTxt"/>
        <w:spacing w:after="0" w:line="120" w:lineRule="exact"/>
        <w:rPr>
          <w:rFonts w:hint="eastAsia"/>
          <w:sz w:val="10"/>
        </w:rPr>
      </w:pPr>
    </w:p>
    <w:p w:rsidR="00351F2F" w:rsidRDefault="00351F2F" w:rsidP="00351F2F">
      <w:pPr>
        <w:pStyle w:val="SingleTxt"/>
      </w:pPr>
      <w:r>
        <w:rPr>
          <w:rFonts w:hint="eastAsia"/>
        </w:rPr>
        <w:t>2.</w:t>
      </w:r>
      <w:r>
        <w:rPr>
          <w:rFonts w:hint="eastAsia"/>
        </w:rPr>
        <w:tab/>
        <w:t>下列机构的主席出席了会议：禁止酷刑委员会(Claudio Grossman)；人权事务委员会(Nigel Rodley)；消除对妇女歧视委员会(Nicole Ameline)；强迫失踪问题委员会(Emmanuel Decaux)；消除种族歧视委员会(Alexei Avtonomov)；保护所有移徙工人及其家庭成员权利委员会(Abdelhamid El Jamri)；防范酷刑和其他残忍、不人道或有辱人格待遇或处罚小组委员会(Malcolm Evans)；以及残疾人权利委员会(Maria Soledad Cisternas Reyes)。此外，经济、社会和文化权利委员会和儿童权利委员会分别派Azzouz Kerdoun副主席和Hatem Kotrane副主席出席了会议。</w:t>
      </w:r>
    </w:p>
    <w:p w:rsidR="00351F2F" w:rsidRDefault="00351F2F" w:rsidP="00351F2F">
      <w:pPr>
        <w:pStyle w:val="SingleTxt"/>
        <w:rPr>
          <w:rFonts w:hint="eastAsia"/>
        </w:rPr>
      </w:pPr>
      <w:r>
        <w:rPr>
          <w:rFonts w:hint="eastAsia"/>
        </w:rPr>
        <w:t>3.</w:t>
      </w:r>
      <w:r>
        <w:rPr>
          <w:rFonts w:hint="eastAsia"/>
        </w:rPr>
        <w:tab/>
        <w:t>人权高专办人权条约司司长Ibrahim Salama宣布会议开幕，并向主席们表示欢迎。他强调，这次会议的重要历史意义。该会议议程上有两个主要项目：加强条约机构和2015年后的发展议程。他感谢即将离任的主席Abdelhamid El Jamri，感谢他在过去十二个月的领导能力，以及他在加强条约机构过程中的积极作用。他指出，自该政府间进程开始以来已取得进展，以确保条约机构成员包括在这个过程中，并强调，现在比以往任何时候都更需要各条约机构的集体智慧。</w:t>
      </w:r>
    </w:p>
    <w:p w:rsidR="00351F2F" w:rsidRDefault="00351F2F" w:rsidP="00351F2F">
      <w:pPr>
        <w:pStyle w:val="SingleTxt"/>
        <w:rPr>
          <w:rFonts w:hint="eastAsia"/>
        </w:rPr>
      </w:pPr>
      <w:r>
        <w:rPr>
          <w:rFonts w:hint="eastAsia"/>
        </w:rPr>
        <w:t>4.</w:t>
      </w:r>
      <w:r>
        <w:rPr>
          <w:rFonts w:hint="eastAsia"/>
        </w:rPr>
        <w:tab/>
        <w:t>接着,Salama先生开始讨论临时议程项目1，即选举主席团成员，并提及秘书处提供的年度会议前主席和副主席的名单。根据轮换原则，禁止酷刑委员会主席Claudio Grossman当选为第二十五次会议主席兼报告员，防范酷刑小组委员会副主席Malcolm Evans当选副主席。会议重申了轮换原则，以及需要确保通过副主席职位适当组成新的委员会。因此，防范酷刑小组委员会将在2014年担任主席，而强迫失踪问题委员会将通过轮换担任副主席。2015年，强迫失踪问题委员会将接手担任主席。到2015年，所有委员会至少已担任主席一次。因此，会议决定，在2015年，将以2006年为起点来确定副主席，并从那一年开始，恢复按年代顺序的轮换。</w:t>
      </w:r>
    </w:p>
    <w:p w:rsidR="00351F2F" w:rsidRDefault="00351F2F" w:rsidP="00351F2F">
      <w:pPr>
        <w:pStyle w:val="SingleTxt"/>
        <w:rPr>
          <w:rFonts w:hint="eastAsia"/>
        </w:rPr>
      </w:pPr>
      <w:r>
        <w:rPr>
          <w:rFonts w:hint="eastAsia"/>
        </w:rPr>
        <w:t>5.</w:t>
      </w:r>
      <w:r>
        <w:rPr>
          <w:rFonts w:hint="eastAsia"/>
        </w:rPr>
        <w:tab/>
        <w:t>主席们根据临时议程及其说明(</w:t>
      </w:r>
      <w:hyperlink r:id="rId20" w:history="1">
        <w:r w:rsidRPr="00273A39">
          <w:rPr>
            <w:rStyle w:val="Hyperlink"/>
            <w:rFonts w:hint="eastAsia"/>
          </w:rPr>
          <w:t>HRI/MC/2013/1</w:t>
        </w:r>
      </w:hyperlink>
      <w:r>
        <w:rPr>
          <w:rFonts w:hint="eastAsia"/>
        </w:rPr>
        <w:t>)通过了议程。</w:t>
      </w:r>
    </w:p>
    <w:p w:rsidR="00351F2F" w:rsidRDefault="00351F2F" w:rsidP="00351F2F">
      <w:pPr>
        <w:pStyle w:val="SingleTxt"/>
        <w:rPr>
          <w:rFonts w:hint="eastAsia"/>
        </w:rPr>
      </w:pPr>
      <w:r>
        <w:rPr>
          <w:rFonts w:hint="eastAsia"/>
        </w:rPr>
        <w:t>6.</w:t>
      </w:r>
      <w:r>
        <w:rPr>
          <w:rFonts w:hint="eastAsia"/>
        </w:rPr>
        <w:tab/>
        <w:t>然后，第二十五次会议主席Grossman请在亚的斯亚贝巴举行的第二十四次会议主席El Jamri向与会者通报他的活动情况。El Jamri先生在发言中，谈到了在政府间进程发生的重要动态，以及条约机构专家对该进程的贡献。他称赞共同主持人在该政府间进程中与条约机构进行了磋商，并强调，在本次会议上，主席们将有一个难得的机会，来提出一个共同的愿景，因为共同主持人将在未来一个月确定他们的报告。他欣见本次会议是在纽约举行，因为这将对政府间过程产生直接影响。他忆及，在第二十四次会议上，主席们重申他们的建议，即主席会议每年举行一次，而且每隔一年在一个不同区域举行，以便于参与执行进程的所有利益攸关方更容易接触到人权条约机构，并通过加强国际和区域人权机制和机构之间的联系和协同作用提高对他们工作的认识。</w:t>
      </w:r>
    </w:p>
    <w:p w:rsidR="00351F2F" w:rsidRDefault="00351F2F" w:rsidP="00351F2F">
      <w:pPr>
        <w:pStyle w:val="SingleTxt"/>
        <w:rPr>
          <w:rFonts w:hint="eastAsia"/>
        </w:rPr>
      </w:pPr>
      <w:r>
        <w:rPr>
          <w:rFonts w:hint="eastAsia"/>
        </w:rPr>
        <w:t>7.</w:t>
      </w:r>
      <w:r>
        <w:rPr>
          <w:rFonts w:hint="eastAsia"/>
        </w:rPr>
        <w:tab/>
        <w:t>El Jamri先生回忆说，在上一次年度会议上，主席们核准了人权条约机构成员的独立性和公正性的准则(“亚的斯亚贝巴准则”)(</w:t>
      </w:r>
      <w:hyperlink r:id="rId21" w:history="1">
        <w:r w:rsidRPr="00273A39">
          <w:rPr>
            <w:rStyle w:val="Hyperlink"/>
            <w:rFonts w:hint="eastAsia"/>
          </w:rPr>
          <w:t>A/67/222</w:t>
        </w:r>
      </w:hyperlink>
      <w:r>
        <w:rPr>
          <w:rFonts w:hint="eastAsia"/>
        </w:rPr>
        <w:t>，附件一)，该准则构成了体系的信誉和诚信。所有条约机构应通过该准则，并反映在它们的议事规则中。到目前为止，7个条约机构修订了它们的议事规则，或将该准则作为它们规则的附件。他补充说，人权事务高级专员关于加强人权条约机构的报告有助于条约机构集中反思，并指出，报告中提出的建议是近三年协商的结果，条约机构专家在这方面发挥了关键作用。El Jamri先生进一步表示，通过一个综合报告日程表将增加体系的透明度。</w:t>
      </w:r>
    </w:p>
    <w:p w:rsidR="00351F2F" w:rsidRDefault="00351F2F" w:rsidP="00351F2F">
      <w:pPr>
        <w:pStyle w:val="SingleTxt"/>
        <w:rPr>
          <w:rFonts w:hint="eastAsia"/>
        </w:rPr>
      </w:pPr>
      <w:r>
        <w:rPr>
          <w:rFonts w:hint="eastAsia"/>
        </w:rPr>
        <w:t>8.</w:t>
      </w:r>
      <w:r>
        <w:rPr>
          <w:rFonts w:hint="eastAsia"/>
        </w:rPr>
        <w:tab/>
        <w:t>关于实施主席们在第24次会议上通过的建议情况，El Jamri先生介绍了已采取的具体举措，以加强各条约机构之间的合作和非洲的区域机制。他特别指出，非洲人权和人民权利法院院长参与2012年8月举行的消除一切形式种族歧视委员会会议，以及非洲儿童权利与福利问题专家委员会的代表团参与2013年6月举行的儿童权利委员会会议。为了加强区域和国际保护系统之间的协调，并为了确保判例一致，非洲人权和人民权利法院在2012年10月举办了一次研讨会，由非洲次区域法院参加。本着主席们在第24次会议上通过的建议的精神，联合国人权事务高级专员办事处(人权高专办)在亚的斯亚贝巴的东非区域办事处于2013年6月为该次区域律师协会组织了一次培训，以加强他们向国际和区域人权机制提交文函的知识和能力。El Jamri先生指出，加强各条约机构与非洲人权机制之间的合作是一项长期的任务，需要各方继续努力。他赞扬人权高专办东非区域办事处为建设非洲人权机制的能力做出的不懈努力，包括努力探索是否能够建立一个东非区域办事处交换计划，使得非洲人权机制公务员能在日内瓦秘书处的相关条约机构进行培训。</w:t>
      </w:r>
    </w:p>
    <w:p w:rsidR="00351F2F" w:rsidRDefault="00351F2F" w:rsidP="00351F2F">
      <w:pPr>
        <w:pStyle w:val="SingleTxt"/>
        <w:rPr>
          <w:rFonts w:hint="eastAsia"/>
        </w:rPr>
      </w:pPr>
      <w:r>
        <w:rPr>
          <w:rFonts w:hint="eastAsia"/>
        </w:rPr>
        <w:t>9.</w:t>
      </w:r>
      <w:r>
        <w:rPr>
          <w:rFonts w:hint="eastAsia"/>
        </w:rPr>
        <w:tab/>
        <w:t>主席接着介绍了联合国条约机构主席第25次年度会议的工作方案。</w:t>
      </w:r>
    </w:p>
    <w:p w:rsidR="00351F2F" w:rsidRPr="00E43854" w:rsidRDefault="00351F2F" w:rsidP="00351F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51F2F" w:rsidRPr="00E43854" w:rsidRDefault="00351F2F" w:rsidP="00351F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E43854">
        <w:rPr>
          <w:rFonts w:hint="eastAsia"/>
        </w:rPr>
        <w:t>三．</w:t>
      </w:r>
      <w:r>
        <w:rPr>
          <w:rFonts w:hint="eastAsia"/>
        </w:rPr>
        <w:tab/>
      </w:r>
      <w:r w:rsidRPr="00E43854">
        <w:rPr>
          <w:rFonts w:hint="eastAsia"/>
        </w:rPr>
        <w:t>执行人权条约机构主席第二十四次会议建议的情况，包括联合国人权高级专员关于加强条约机构</w:t>
      </w:r>
      <w:r>
        <w:rPr>
          <w:rFonts w:hint="eastAsia"/>
        </w:rPr>
        <w:t>体系</w:t>
      </w:r>
      <w:r w:rsidRPr="00E43854">
        <w:rPr>
          <w:rFonts w:hint="eastAsia"/>
        </w:rPr>
        <w:t>的报告所载的建议</w:t>
      </w:r>
    </w:p>
    <w:p w:rsidR="00351F2F" w:rsidRPr="00E43854" w:rsidRDefault="00351F2F" w:rsidP="00351F2F">
      <w:pPr>
        <w:pStyle w:val="SingleTxt"/>
        <w:spacing w:after="0" w:line="120" w:lineRule="exact"/>
        <w:rPr>
          <w:rFonts w:hint="eastAsia"/>
          <w:sz w:val="10"/>
        </w:rPr>
      </w:pPr>
    </w:p>
    <w:p w:rsidR="00351F2F" w:rsidRPr="00E43854" w:rsidRDefault="00351F2F" w:rsidP="00351F2F">
      <w:pPr>
        <w:pStyle w:val="SingleTxt"/>
        <w:spacing w:after="0" w:line="120" w:lineRule="exact"/>
        <w:rPr>
          <w:rFonts w:hint="eastAsia"/>
          <w:sz w:val="10"/>
        </w:rPr>
      </w:pPr>
    </w:p>
    <w:p w:rsidR="00351F2F" w:rsidRDefault="00351F2F" w:rsidP="00351F2F">
      <w:pPr>
        <w:pStyle w:val="SingleTxt"/>
        <w:rPr>
          <w:rFonts w:hint="eastAsia"/>
        </w:rPr>
      </w:pPr>
      <w:r>
        <w:rPr>
          <w:rFonts w:hint="eastAsia"/>
        </w:rPr>
        <w:t>10.</w:t>
      </w:r>
      <w:r>
        <w:rPr>
          <w:rFonts w:hint="eastAsia"/>
        </w:rPr>
        <w:tab/>
        <w:t>主席回忆说，年度会议目前正在开展的最重要项目之一是，协助协调条约机构的工作方法和议事规则。为此，他提请主席们注意秘书处为协助讨论这个议程项目而编写的三份文件，题为“人权条约机构体系概述和有关缔约国审查的工作方法”(</w:t>
      </w:r>
      <w:hyperlink r:id="rId22" w:history="1">
        <w:r w:rsidRPr="00273A39">
          <w:rPr>
            <w:rStyle w:val="Hyperlink"/>
            <w:rFonts w:hint="eastAsia"/>
          </w:rPr>
          <w:t>HRI/MC/2013/2</w:t>
        </w:r>
      </w:hyperlink>
      <w:r>
        <w:rPr>
          <w:rFonts w:hint="eastAsia"/>
        </w:rPr>
        <w:t>和Corr.1)，“人权条约机构的其他活动和利益攸关方参与人权条约进程”(</w:t>
      </w:r>
      <w:hyperlink r:id="rId23" w:history="1">
        <w:r w:rsidRPr="00273A39">
          <w:rPr>
            <w:rStyle w:val="Hyperlink"/>
            <w:rFonts w:hint="eastAsia"/>
          </w:rPr>
          <w:t>HRI/MC/2013/3</w:t>
        </w:r>
      </w:hyperlink>
      <w:r>
        <w:rPr>
          <w:rFonts w:hint="eastAsia"/>
        </w:rPr>
        <w:t>和Corr.1)，以及“执行联合国人权高级专员关于加强条约机构体系的报告所载建议的情况报告”(</w:t>
      </w:r>
      <w:hyperlink r:id="rId24" w:history="1">
        <w:r w:rsidRPr="00273A39">
          <w:rPr>
            <w:rStyle w:val="Hyperlink"/>
            <w:rFonts w:hint="eastAsia"/>
          </w:rPr>
          <w:t>HRI/MC/2013/4</w:t>
        </w:r>
      </w:hyperlink>
      <w:r>
        <w:rPr>
          <w:rFonts w:hint="eastAsia"/>
        </w:rPr>
        <w:t>)，该报告是根据人权条约机构主席在第二十四次会议上所提建议编写的(见</w:t>
      </w:r>
      <w:hyperlink r:id="rId25" w:history="1">
        <w:r w:rsidRPr="00273A39">
          <w:rPr>
            <w:rStyle w:val="Hyperlink"/>
            <w:rFonts w:hint="eastAsia"/>
          </w:rPr>
          <w:t>A/67/222</w:t>
        </w:r>
      </w:hyperlink>
      <w:r>
        <w:rPr>
          <w:rFonts w:hint="eastAsia"/>
        </w:rPr>
        <w:t>号文件，第32(c))。主席们建议，秘书处应编制并定期更新这方面的执行情况报告供主席会议审议，以审查进展和充分执行情况，同时铭记加强条约机构的进程从定义上说就是一个持续的进程。主席还提到共同召集人分发的题为“前进道路”的工作文件。</w:t>
      </w:r>
    </w:p>
    <w:p w:rsidR="00351F2F" w:rsidRDefault="00351F2F" w:rsidP="00351F2F">
      <w:pPr>
        <w:pStyle w:val="SingleTxt"/>
        <w:rPr>
          <w:rFonts w:hint="eastAsia"/>
        </w:rPr>
      </w:pPr>
      <w:r>
        <w:rPr>
          <w:rFonts w:hint="eastAsia"/>
        </w:rPr>
        <w:t>11.</w:t>
      </w:r>
      <w:r>
        <w:rPr>
          <w:rFonts w:hint="eastAsia"/>
        </w:rPr>
        <w:tab/>
        <w:t>主席指出，统一条约机构工作方法是一个持续的过程，该进程在联合国高级专员的报告分发之前便存在，并会继续进行下去。之后，每位主席汇报了他们各自委员会内部的动态，无论是在统一工作方法方面，还是加强过程的进度和实施情况。新的动态包括，但不限于利用现代技术的情况，包括网播/字幕(残疾人权利委员会)，更多的委员会采用简化申报程序(保护所有移徙工人及其家庭成员权利委员会)，减少了结论性意见长度(儿童权利委员会和禁止酷刑委员会)，根据各委员会情况调整的日历(残疾人权利委员会和强迫失踪问题委员会)。新的议定书生效促成工作方法的改变(经济、社会和文化权利委员会)，以及提出增加会议时间的要求，以满足日益增长的需求。主席也讨论了需要处理的报复问题。</w:t>
      </w:r>
    </w:p>
    <w:p w:rsidR="00351F2F" w:rsidRDefault="00351F2F" w:rsidP="00351F2F">
      <w:pPr>
        <w:pStyle w:val="SingleTxt"/>
        <w:rPr>
          <w:rFonts w:hint="eastAsia"/>
        </w:rPr>
      </w:pPr>
      <w:r>
        <w:rPr>
          <w:rFonts w:hint="eastAsia"/>
        </w:rPr>
        <w:t>12.</w:t>
      </w:r>
      <w:r>
        <w:rPr>
          <w:rFonts w:hint="eastAsia"/>
        </w:rPr>
        <w:tab/>
        <w:t>防范酷刑小组委员会修订了其议事规则，以使它们符合亚的斯亚贝巴准则。在最近的一次务虚会上，人权委员会成员经过讨论认为，亚的斯亚贝巴准则反映该委员会现有的指导方针，并设想将该准则纳入委员会的议事规则。消除种族歧视委员会没有通过任何修正案，因为该委员会已表明，考虑到该委员会目前的议事规则是在四十年前通过，他们打算对该议事规则进行全面审查。</w:t>
      </w:r>
    </w:p>
    <w:p w:rsidR="00351F2F" w:rsidRDefault="00351F2F" w:rsidP="00351F2F">
      <w:pPr>
        <w:pStyle w:val="SingleTxt"/>
        <w:rPr>
          <w:rFonts w:hint="eastAsia"/>
        </w:rPr>
      </w:pPr>
      <w:r>
        <w:rPr>
          <w:rFonts w:hint="eastAsia"/>
        </w:rPr>
        <w:t>13.</w:t>
      </w:r>
      <w:r>
        <w:rPr>
          <w:rFonts w:hint="eastAsia"/>
        </w:rPr>
        <w:tab/>
        <w:t>关于综合报告日程表，主席指出，需要就如何建立一个可预见的、明确透明的报告制度，提出一项共同能接受的宽泛的建议。主席们同意，如果采用一项日程表，其周期性不应超过五年。此外，如果要使得该日程表正常运作，就需要有足够的资源。关于资源问题，主席指出，各委员会内部正采取措施，通过改进工作方法来节省成本。关于选择进入的办法问题，目前尚不明确该方法如何能运作，因为日程表是无法预见的，而且应该避免量身订做的报告。一些条约已规定，在缔约国不提出报告的情况下应对该缔约国进行审查。尽管各委员会很少这么做，</w:t>
      </w:r>
      <w:r w:rsidRPr="00E03287">
        <w:rPr>
          <w:rFonts w:hint="eastAsia"/>
          <w:spacing w:val="2"/>
        </w:rPr>
        <w:t>对于长期不提交报告的缔约国来说，尤其需要这么做。真正的问题是缔约国不遵守报告的规定，但当委员会通知缔约国将对它们进行审查时，它们往往会进行合作。</w:t>
      </w:r>
    </w:p>
    <w:p w:rsidR="00351F2F" w:rsidRDefault="00351F2F" w:rsidP="00351F2F">
      <w:pPr>
        <w:pStyle w:val="SingleTxt"/>
        <w:rPr>
          <w:rFonts w:hint="eastAsia"/>
        </w:rPr>
      </w:pPr>
      <w:r>
        <w:rPr>
          <w:rFonts w:hint="eastAsia"/>
        </w:rPr>
        <w:t>14.</w:t>
      </w:r>
      <w:r>
        <w:rPr>
          <w:rFonts w:hint="eastAsia"/>
        </w:rPr>
        <w:tab/>
        <w:t>在讨论工作方法期间，主席们也讨论了各自委员会如何进行互动对话，以及对每个缔约国和每份报告所花费的时间。该讨论表明，各委员会在审议报告的时间、采用报告员还是国家工作队，以及条约规定的综合等方面作法不一。为此，主席们还讨论了同时采用两个会议室作法、这种作法会影响对话性质，以及即使在两个会议室进行互动对话，也需要在全会上通过结论性意见等问题。在第二十六次会议上，主席们将更深入讨论如何能够协调互动对话方法的问题。</w:t>
      </w:r>
    </w:p>
    <w:p w:rsidR="00351F2F" w:rsidRPr="00E43854" w:rsidRDefault="00351F2F" w:rsidP="00351F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51F2F" w:rsidRPr="00E43854" w:rsidRDefault="00351F2F" w:rsidP="00351F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E43854">
        <w:rPr>
          <w:rFonts w:hint="eastAsia"/>
        </w:rPr>
        <w:t>四．</w:t>
      </w:r>
      <w:r>
        <w:rPr>
          <w:rFonts w:hint="eastAsia"/>
        </w:rPr>
        <w:tab/>
      </w:r>
      <w:r w:rsidRPr="00E43854">
        <w:rPr>
          <w:rFonts w:hint="eastAsia"/>
        </w:rPr>
        <w:t>条约机构和加强条约机构政府间进程</w:t>
      </w:r>
    </w:p>
    <w:p w:rsidR="00351F2F" w:rsidRPr="00E43854" w:rsidRDefault="00351F2F" w:rsidP="00351F2F">
      <w:pPr>
        <w:pStyle w:val="SingleTxt"/>
        <w:spacing w:after="0" w:line="120" w:lineRule="exact"/>
        <w:rPr>
          <w:rFonts w:hint="eastAsia"/>
          <w:sz w:val="10"/>
        </w:rPr>
      </w:pPr>
    </w:p>
    <w:p w:rsidR="00351F2F" w:rsidRPr="00E43854" w:rsidRDefault="00351F2F" w:rsidP="00351F2F">
      <w:pPr>
        <w:pStyle w:val="SingleTxt"/>
        <w:spacing w:after="0" w:line="120" w:lineRule="exact"/>
        <w:rPr>
          <w:rFonts w:hint="eastAsia"/>
          <w:sz w:val="10"/>
        </w:rPr>
      </w:pPr>
    </w:p>
    <w:p w:rsidR="00351F2F" w:rsidRPr="00E43854" w:rsidRDefault="00351F2F" w:rsidP="00351F2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E43854">
        <w:rPr>
          <w:rFonts w:hint="eastAsia"/>
        </w:rPr>
        <w:t>A.</w:t>
      </w:r>
      <w:r w:rsidRPr="00E43854">
        <w:rPr>
          <w:rFonts w:hint="eastAsia"/>
        </w:rPr>
        <w:tab/>
        <w:t>与加强条约机构政府间进程共同</w:t>
      </w:r>
      <w:r>
        <w:rPr>
          <w:rFonts w:hint="eastAsia"/>
        </w:rPr>
        <w:t>召集</w:t>
      </w:r>
      <w:r w:rsidRPr="00E43854">
        <w:rPr>
          <w:rFonts w:hint="eastAsia"/>
        </w:rPr>
        <w:t>人举行的会议</w:t>
      </w:r>
    </w:p>
    <w:p w:rsidR="00351F2F" w:rsidRPr="00E43854" w:rsidRDefault="00351F2F" w:rsidP="00351F2F">
      <w:pPr>
        <w:pStyle w:val="SingleTxt"/>
        <w:spacing w:after="0" w:line="120" w:lineRule="exact"/>
        <w:rPr>
          <w:rFonts w:hint="eastAsia"/>
          <w:sz w:val="10"/>
        </w:rPr>
      </w:pPr>
    </w:p>
    <w:p w:rsidR="00351F2F" w:rsidRDefault="00351F2F" w:rsidP="00351F2F">
      <w:pPr>
        <w:pStyle w:val="SingleTxt"/>
        <w:rPr>
          <w:rFonts w:hint="eastAsia"/>
        </w:rPr>
      </w:pPr>
      <w:r>
        <w:rPr>
          <w:rFonts w:hint="eastAsia"/>
        </w:rPr>
        <w:t>15.</w:t>
      </w:r>
      <w:r>
        <w:rPr>
          <w:rFonts w:hint="eastAsia"/>
        </w:rPr>
        <w:tab/>
        <w:t>5月20日和24日，主席们与加强条约机构政府间进程共同召集人冰岛和印度尼西亚常驻联合国代表举行了会议。主席们对共同召集人表示热烈欢迎，并感谢有机会与他们交换意见，以便能通过加强条约机构强化世界各国的人权保护来实现共同目标。接着，主席们按照逐个议题审议了共同召集人提交的题为“前进道路”文件，并交换了意见。主席们强调任何节余应重新投入到条约机构系统的原则。共同召集人感谢有机会听到主席们对他们的建议所持有的看法。</w:t>
      </w:r>
    </w:p>
    <w:p w:rsidR="00351F2F" w:rsidRDefault="00351F2F" w:rsidP="00351F2F">
      <w:pPr>
        <w:pStyle w:val="SingleTxt"/>
        <w:rPr>
          <w:rFonts w:hint="eastAsia"/>
        </w:rPr>
      </w:pPr>
      <w:r>
        <w:rPr>
          <w:rFonts w:hint="eastAsia"/>
        </w:rPr>
        <w:t>16.</w:t>
      </w:r>
      <w:r>
        <w:rPr>
          <w:rFonts w:hint="eastAsia"/>
        </w:rPr>
        <w:tab/>
        <w:t>共同召集人提供的报告列举31个问题，分为三个部分：(a) 关于背景文件(将进一步修改)的行动达成的总协议；(b) 关于政府间进程不需要采取进一步行动的总协议；(c) 需要进一步讨论的问题——共同召集人的建议。</w:t>
      </w:r>
    </w:p>
    <w:p w:rsidR="00351F2F" w:rsidRDefault="00351F2F" w:rsidP="00351F2F">
      <w:pPr>
        <w:pStyle w:val="SingleTxt"/>
        <w:rPr>
          <w:rFonts w:hint="eastAsia"/>
        </w:rPr>
      </w:pPr>
      <w:r>
        <w:rPr>
          <w:rFonts w:hint="eastAsia"/>
        </w:rPr>
        <w:t>17.</w:t>
      </w:r>
      <w:r>
        <w:rPr>
          <w:rFonts w:hint="eastAsia"/>
        </w:rPr>
        <w:tab/>
        <w:t>主席们普遍欢迎网播和字幕的提议，因为这将确保不断发展的技术一体化，并有助于扩大参与，包括残疾人的参与。主席们指出，提供联合国网播可使得现行特设安排正式化。如果能对会议进行进一步可靠的索引和搜索，例如通过数字记录，那么，可能会减少简要记录的需要。主席们也欢迎使用视频会议的建议，并特别提到儿童权利委员会建立的先例。</w:t>
      </w:r>
    </w:p>
    <w:p w:rsidR="00351F2F" w:rsidRDefault="00351F2F" w:rsidP="00351F2F">
      <w:pPr>
        <w:pStyle w:val="SingleTxt"/>
        <w:rPr>
          <w:rFonts w:hint="eastAsia"/>
        </w:rPr>
      </w:pPr>
      <w:r>
        <w:rPr>
          <w:rFonts w:hint="eastAsia"/>
        </w:rPr>
        <w:t>18.</w:t>
      </w:r>
      <w:r>
        <w:rPr>
          <w:rFonts w:hint="eastAsia"/>
        </w:rPr>
        <w:tab/>
        <w:t>共同召集人指出，采用简化报告程序(“报告之前的问题列表”)可能成为一个重要的节约成本措施。关于提交共同核心文件的问题，可考虑通过增编的更新方式。主席们认为关于年度报告的建议可以接受，因为虽然现在可以通过电子方式查阅结论性意见，但其他文件仍然需要反映在年度报告中。主席们也欢迎严格遵守页数限制的建议。主席们指出，处理积压文件的重要问题与增加会议时间的协调要求，可能会在各委员会之间产生竞争。然而，共同召集人强调需要避免今后提出额外资源的临时请求。</w:t>
      </w:r>
    </w:p>
    <w:p w:rsidR="00351F2F" w:rsidRDefault="00351F2F" w:rsidP="00351F2F">
      <w:pPr>
        <w:pStyle w:val="SingleTxt"/>
        <w:rPr>
          <w:rFonts w:hint="eastAsia"/>
        </w:rPr>
      </w:pPr>
      <w:r>
        <w:rPr>
          <w:rFonts w:hint="eastAsia"/>
        </w:rPr>
        <w:t>19.</w:t>
      </w:r>
      <w:r>
        <w:rPr>
          <w:rFonts w:hint="eastAsia"/>
        </w:rPr>
        <w:tab/>
        <w:t>关于缔约国和条约机构间建设性对话的统一方法，主席们强调指出，鉴于各缔约国之间的差异，为缔约国互动对话统一分配两次会议的办法可能是不合适的，并主张在这方面采取一定程度的灵活性。同样，他们也要求在其他建议方面采取灵活性，如工作队的问题，以及各委员会根据其经验、组成和先例制定的各种工作方法。</w:t>
      </w:r>
    </w:p>
    <w:p w:rsidR="00351F2F" w:rsidRDefault="00351F2F" w:rsidP="00351F2F">
      <w:pPr>
        <w:pStyle w:val="SingleTxt"/>
        <w:rPr>
          <w:rFonts w:hint="eastAsia"/>
        </w:rPr>
      </w:pPr>
      <w:r>
        <w:rPr>
          <w:rFonts w:hint="eastAsia"/>
        </w:rPr>
        <w:t>20.</w:t>
      </w:r>
      <w:r>
        <w:rPr>
          <w:rFonts w:hint="eastAsia"/>
        </w:rPr>
        <w:tab/>
        <w:t>主席们对报复问题表示关切，并同意共同召集人的建议。主席们进一步指出，需要采取共同的对策，其中包括赔偿措施，并建议各委员会指定一个协调人，并探讨建立一个处理报复问题的联合机构。</w:t>
      </w:r>
    </w:p>
    <w:p w:rsidR="00351F2F" w:rsidRDefault="00351F2F" w:rsidP="00351F2F">
      <w:pPr>
        <w:pStyle w:val="SingleTxt"/>
        <w:rPr>
          <w:rFonts w:hint="eastAsia"/>
        </w:rPr>
      </w:pPr>
      <w:r>
        <w:rPr>
          <w:rFonts w:hint="eastAsia"/>
        </w:rPr>
        <w:t>21.</w:t>
      </w:r>
      <w:r>
        <w:rPr>
          <w:rFonts w:hint="eastAsia"/>
        </w:rPr>
        <w:tab/>
        <w:t>主席们讨论了采用两个会议室的利弊问题。主席们指出，尽管在节省时间和金钱方面有明显的好处，但对于像禁止酷刑委员会这样较小委员会来说是有困难的，该委员会只有10名成员，它可能难以找到每个会议室的均衡成员组成。另外，主席们还质疑没有参与互动对话的条约机构成员如何可以适合参与通过结论性意见。</w:t>
      </w:r>
    </w:p>
    <w:p w:rsidR="00351F2F" w:rsidRDefault="00351F2F" w:rsidP="00351F2F">
      <w:pPr>
        <w:pStyle w:val="SingleTxt"/>
        <w:rPr>
          <w:rFonts w:hint="eastAsia"/>
        </w:rPr>
      </w:pPr>
      <w:r>
        <w:rPr>
          <w:rFonts w:hint="eastAsia"/>
        </w:rPr>
        <w:t>22.</w:t>
      </w:r>
      <w:r>
        <w:rPr>
          <w:rFonts w:hint="eastAsia"/>
        </w:rPr>
        <w:tab/>
        <w:t>主席们大力支持在报告和实施结论性意见的方面的能力建设工作。不过，他们强调指出，条约机构开支的节余应完全再投入到条约机构体系，以便体系来应对面临的挑战。共同召集人解释说，许多代表团高度重视能力建设，而且能力建设是任何最终协议的一个关键因素。共同召集人同意，额外资源应用于建设缔约国的报告和实施的能力，但不应该在不利于资源已经不足的体系情况下开展这种努力。</w:t>
      </w:r>
    </w:p>
    <w:p w:rsidR="00351F2F" w:rsidRDefault="00351F2F" w:rsidP="00351F2F">
      <w:pPr>
        <w:pStyle w:val="SingleTxt"/>
        <w:rPr>
          <w:rFonts w:hint="eastAsia"/>
        </w:rPr>
      </w:pPr>
      <w:r>
        <w:rPr>
          <w:rFonts w:hint="eastAsia"/>
        </w:rPr>
        <w:t>23.</w:t>
      </w:r>
      <w:r>
        <w:rPr>
          <w:rFonts w:hint="eastAsia"/>
        </w:rPr>
        <w:tab/>
        <w:t>主席们同意共同召集人关于需要更多可预见性的看法，这种预见性可通过日程表提供。不过，主席们提醒，灵活和“可选择进入”的日程表的建议可能会因为将法律义务变成可选择的义务而违背了条约的规定，并制造了一个“有两种速度”的报告制度。共同召集人指出，这项建议刚与会员国共享，因此，要了解会员国的反应还为时太早。关于联合国高级专员报告中建议的五年综合报告日程表问题，共同召集人指出，一些代表团已对在没有报告情况下进行审议的可能性表示关切。主席们答复说，有几个委员会现在已采用在没有报告情况下进行会员国审议的做法。</w:t>
      </w:r>
    </w:p>
    <w:p w:rsidR="00351F2F" w:rsidRDefault="00351F2F" w:rsidP="00351F2F">
      <w:pPr>
        <w:pStyle w:val="SingleTxt"/>
        <w:rPr>
          <w:rFonts w:hint="eastAsia"/>
        </w:rPr>
      </w:pPr>
      <w:r>
        <w:rPr>
          <w:rFonts w:hint="eastAsia"/>
        </w:rPr>
        <w:t>24.</w:t>
      </w:r>
      <w:r>
        <w:rPr>
          <w:rFonts w:hint="eastAsia"/>
        </w:rPr>
        <w:tab/>
        <w:t>关于亚的斯亚贝巴准则的问题，主席们指出，该准则最近才通过，对其进行审查还为时过早。他们补充说，该准则肯定了已存在的作法，只有条约机构负责实施和评价该准则作为其内部规章制度的作法。关于主席年度会议问题，主席们告知共同召集人在上一次年度会议上提出的建议，即该会议将下放举行，并将在日内瓦和外地之间轮流举行。他们还指出，每隔几年，在纽约举行年度会议将是有意义的，可以更多地与会员国互动。</w:t>
      </w:r>
    </w:p>
    <w:p w:rsidR="00351F2F" w:rsidRPr="00F028D8" w:rsidRDefault="00351F2F" w:rsidP="00351F2F">
      <w:pPr>
        <w:pStyle w:val="SingleTxt"/>
        <w:rPr>
          <w:rFonts w:hint="eastAsia"/>
        </w:rPr>
      </w:pPr>
      <w:r>
        <w:rPr>
          <w:rFonts w:hint="eastAsia"/>
        </w:rPr>
        <w:t>25.</w:t>
      </w:r>
      <w:r>
        <w:rPr>
          <w:rFonts w:hint="eastAsia"/>
        </w:rPr>
        <w:tab/>
        <w:t>最后，共同召集人和主席们均表示，他们对这次意见交流十分满意。共同召集人希望6月中旬完成该进程，并将向大会主席提交一份报告，大会主席将向大会转交该报告。他们还期望，有些建议将在执行过程分短期、中期和长期错开执行。尽管意见各异，共同召集人希望亟需实现成果。</w:t>
      </w:r>
    </w:p>
    <w:p w:rsidR="00351F2F" w:rsidRDefault="00351F2F" w:rsidP="00351F2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B.</w:t>
      </w:r>
      <w:r>
        <w:rPr>
          <w:rFonts w:hint="eastAsia"/>
        </w:rPr>
        <w:tab/>
        <w:t>与各国的非正式磋商</w:t>
      </w:r>
    </w:p>
    <w:p w:rsidR="00351F2F" w:rsidRPr="00351F2F" w:rsidRDefault="00351F2F" w:rsidP="00351F2F">
      <w:pPr>
        <w:pStyle w:val="SingleTxt"/>
        <w:spacing w:after="0" w:line="120" w:lineRule="exact"/>
        <w:ind w:right="0"/>
        <w:rPr>
          <w:rFonts w:hint="eastAsia"/>
          <w:sz w:val="10"/>
        </w:rPr>
      </w:pPr>
    </w:p>
    <w:p w:rsidR="00351F2F" w:rsidRDefault="00351F2F" w:rsidP="00351F2F">
      <w:pPr>
        <w:pStyle w:val="SingleTxt"/>
        <w:rPr>
          <w:rFonts w:hint="eastAsia"/>
        </w:rPr>
      </w:pPr>
      <w:r>
        <w:rPr>
          <w:rFonts w:hint="eastAsia"/>
        </w:rPr>
        <w:t>26.</w:t>
      </w:r>
      <w:r>
        <w:rPr>
          <w:rFonts w:hint="eastAsia"/>
        </w:rPr>
        <w:tab/>
        <w:t>2013年5月21日，主席们与各国举行了非正式磋商，随后的几天与会员国小组进行了非正式交流。与各国的非正式磋商开始时，年度会议主席代表所有条约机构主席发言。他欢迎共同召集人与条约机构的公开对话，并确认前者在促进若干条约机构成员参与该政府间进程的非正式磋商方面的作用，包括从纽约召集的视频会议以及2013年4月对日内瓦的访问。主席说，加强条约机构的进程是否成功，其衡量尺度是该进程能否向权利持有者带来比目前更多的保护。随后，他概述了人权条约机构体系面临的前所未有的挑战，例如缔约国报告和来文审查工作大量积压，缔约国在很大程度上不遵守报告义务，报告提交后又迟迟得不到审查，这些情况威胁到条约机构体系的完整性、一致性和有效性。主席还批评了该体系资源严重不足的状况，这一问题迫使该体系在不安全的程度上依靠预算外资源。主席还表示，条约机构主席对各种报复案件，包括针对向条约机构提供信息的人权维护者的报复案件深感关切，并呼吁让各缔约国的民间组织有更多机会接触条约机构。</w:t>
      </w:r>
    </w:p>
    <w:p w:rsidR="00351F2F" w:rsidRDefault="00351F2F" w:rsidP="00351F2F">
      <w:pPr>
        <w:pStyle w:val="SingleTxt"/>
        <w:rPr>
          <w:rFonts w:hint="eastAsia"/>
        </w:rPr>
      </w:pPr>
      <w:r>
        <w:rPr>
          <w:rFonts w:hint="eastAsia"/>
        </w:rPr>
        <w:t>27.</w:t>
      </w:r>
      <w:r>
        <w:rPr>
          <w:rFonts w:hint="eastAsia"/>
        </w:rPr>
        <w:tab/>
        <w:t>随后，主席列述了他们认为对加强条约机构的进程具有根本意义的原则和基准。这些原则是以各国拟定和批准的人权条约法律为根基，条约机构主席希望在加强条约机构的进程及其成果中忠实地反映这些原则。第一个原则是，该政府间进程的任何成果都应该加强条约机构体系所提供的人权保护。第二个原则是条约机构及其成员的独立性和公正性。条约机构主席在2012年的年度会议上核可了《亚的斯亚贝巴准则》，其中解释了条约机构成员独立性和公正性的概念。</w:t>
      </w:r>
    </w:p>
    <w:p w:rsidR="00351F2F" w:rsidRDefault="00351F2F" w:rsidP="00351F2F">
      <w:pPr>
        <w:pStyle w:val="SingleTxt"/>
        <w:rPr>
          <w:rFonts w:hint="eastAsia"/>
        </w:rPr>
      </w:pPr>
      <w:r>
        <w:rPr>
          <w:rFonts w:hint="eastAsia"/>
        </w:rPr>
        <w:t>28.</w:t>
      </w:r>
      <w:r>
        <w:rPr>
          <w:rFonts w:hint="eastAsia"/>
        </w:rPr>
        <w:tab/>
        <w:t>主席补充说，这些准则是基于人权事务委员会原有准则、相关程序规则以及其他条约机构关于独立性的决定。不到一年后，《亚的斯亚贝巴准则》已通过某种方式纳入所有委员会的程序规则和惯例，这在关于条约机构执行高级专员报告中所载建议情况的报告(</w:t>
      </w:r>
      <w:hyperlink r:id="rId26" w:history="1">
        <w:r w:rsidRPr="00F80163">
          <w:rPr>
            <w:rStyle w:val="Hyperlink"/>
            <w:rFonts w:hint="eastAsia"/>
          </w:rPr>
          <w:t>HRI/MC/2013/4</w:t>
        </w:r>
      </w:hyperlink>
      <w:r>
        <w:rPr>
          <w:rFonts w:hint="eastAsia"/>
        </w:rPr>
        <w:t>)中有所记录。这给了《亚的斯亚贝巴准则》极大的分量。第三，该政府间进程的任何成果都应该是全面和可持续的，这意味着条约机构应该配有用经常资源供资的适当物资和人力资源，以便充分履行各条约为这些机构规定的职责。第四个原则是高效原则，这需要参照该体系尊重、保护和促进人权的目标来检验。在这方面，所有成本节约措施都应该用来对这一极缺资源的体系进行全面重新投资。因此，开展有益的能力建设举措不能依靠条约机构的稀少资源，而应该为此提供更多资源。第五，政府间进程为会员国和条约机构提供了一个独特的机会，可将条约机构的工作现代化，让它们充分利用技术发展，同时也使残疾人普受其益，从而遵守合理便利原则。</w:t>
      </w:r>
    </w:p>
    <w:p w:rsidR="00351F2F" w:rsidRDefault="00351F2F" w:rsidP="00351F2F">
      <w:pPr>
        <w:pStyle w:val="SingleTxt"/>
        <w:rPr>
          <w:rFonts w:hint="eastAsia"/>
        </w:rPr>
      </w:pPr>
      <w:r>
        <w:rPr>
          <w:rFonts w:hint="eastAsia"/>
        </w:rPr>
        <w:t>29.</w:t>
      </w:r>
      <w:r>
        <w:rPr>
          <w:rFonts w:hint="eastAsia"/>
        </w:rPr>
        <w:tab/>
        <w:t>主席进一步强调，加强条约机构的进程在定义上是一个多利益攸关方进程，各国和条约机构都有特定参与权限。主席们非常重视各委员会内部对话，以及主席年度会议一贯举行的非正式磋商。但是，各项条约规定，由条约机构自行确定各自的程序规则和工作方法。主席强调，条约机构致力于不断统一工作方法，在这一意义上，他欢迎高级专员关于加强条约机构的报告。主席最后说，条约机构已经为找出可能解决危机的办法作了大量投入，这一危机如果得不到关注，可能会严重削弱已经不堪重负的体系。</w:t>
      </w:r>
    </w:p>
    <w:p w:rsidR="00351F2F" w:rsidRDefault="00351F2F" w:rsidP="00351F2F">
      <w:pPr>
        <w:pStyle w:val="SingleTxt"/>
        <w:rPr>
          <w:rFonts w:hint="eastAsia"/>
        </w:rPr>
      </w:pPr>
      <w:r>
        <w:rPr>
          <w:rFonts w:hint="eastAsia"/>
        </w:rPr>
        <w:t>30.</w:t>
      </w:r>
      <w:r>
        <w:rPr>
          <w:rFonts w:hint="eastAsia"/>
        </w:rPr>
        <w:tab/>
        <w:t>一些会员国在发表评论时同意主席的意见，即该政府间进程应该找出全面和具体应对现有挑战的办法，并促使各国加强遵守法定报告义务。其他会员国则重申，任何变革提案都应该加强而不是削弱该体系。很多代表表示尊重条约机构的独立自主，并赞扬条约机构通过《亚的斯亚贝巴准则》而自订规章。一些与会者询问，条约机构采取了哪些措施执行这些准则，以及这些准则是否应由各委员会根据最佳做法和利益攸关方的意见进行审查。与会者向主席们询问，他们如何评估民间社会所提供信息的客观性，以及条约机构本身正在采取哪些举措来统一工作方法并确保高效率。与会者还请主席们就以下问题提出意见：是否可能制订报告日历；增加会议时间对条约机构专家的影响；以何种方式和方法避免各委员会特别请求增加资源。</w:t>
      </w:r>
    </w:p>
    <w:p w:rsidR="00351F2F" w:rsidRDefault="00351F2F" w:rsidP="00351F2F">
      <w:pPr>
        <w:pStyle w:val="SingleTxt"/>
        <w:rPr>
          <w:rFonts w:hint="eastAsia"/>
        </w:rPr>
      </w:pPr>
      <w:r>
        <w:rPr>
          <w:rFonts w:hint="eastAsia"/>
        </w:rPr>
        <w:t>31.</w:t>
      </w:r>
      <w:r>
        <w:rPr>
          <w:rFonts w:hint="eastAsia"/>
        </w:rPr>
        <w:tab/>
        <w:t>在随后的对话中，主席们强调，《亚的斯亚贝巴准则》是一个很有价值的解释工具，在决定审查该准则之前，需要给它一段执行和使用的时间。主席们建议，可由一个条约机构联合工作组调查报复问题。关于信息来源的可靠性，条约机构指出，它们的做法是相互参照各种不同来源的信息，包括来自人权机制和联合国实体的信息。信息来源的多样性使条约机构专家能够评价所收到的信息。关于统一工作方法，主席们列举了实例并提出一些可以做得更好的领域。关于语文问题，主席们强调必须保持多样性。关于通过成本节约措施提高效率，主席们强调，任何成本节余都应该再用于条约机构体系。关于不遵守报告义务，主席们指出，一般而言，疏于报告不仅是能力问题，也是政治意愿问题，而且，在没有补充资源和结构解决办法的情况下，即使各国加强遵守报告义务，目前的体系也无力应对。关于日历，一些主席表示，五年报告周期将是可接受的上限。主席们表示关切，传阅中的一些提案建议允许各国随意报告，主席们强调这不符合自愿订立的法定义务。主席们承认综合请求增加资源的长处，但问及所获补充资源在不同条约机构之间的分配由谁来做公断人；他们提醒防止发生竞争甚至矛盾。因此，必须列出客观参数，包括批准现状和现有积压。</w:t>
      </w:r>
    </w:p>
    <w:p w:rsidR="00351F2F" w:rsidRDefault="00351F2F" w:rsidP="00351F2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C.</w:t>
      </w:r>
      <w:r>
        <w:rPr>
          <w:rFonts w:hint="eastAsia"/>
        </w:rPr>
        <w:tab/>
        <w:t>与民间组织和国家人权机构国际协调委员会的非正式磋商</w:t>
      </w:r>
    </w:p>
    <w:p w:rsidR="00351F2F" w:rsidRPr="00351F2F" w:rsidRDefault="00351F2F" w:rsidP="00351F2F">
      <w:pPr>
        <w:pStyle w:val="SingleTxt"/>
        <w:spacing w:after="0" w:line="120" w:lineRule="exact"/>
        <w:ind w:right="0"/>
        <w:rPr>
          <w:rFonts w:hint="eastAsia"/>
          <w:sz w:val="10"/>
        </w:rPr>
      </w:pPr>
    </w:p>
    <w:p w:rsidR="00351F2F" w:rsidRDefault="00351F2F" w:rsidP="00351F2F">
      <w:pPr>
        <w:pStyle w:val="SingleTxt"/>
        <w:rPr>
          <w:rFonts w:hint="eastAsia"/>
        </w:rPr>
      </w:pPr>
      <w:r>
        <w:rPr>
          <w:rFonts w:hint="eastAsia"/>
        </w:rPr>
        <w:t>32.</w:t>
      </w:r>
      <w:r>
        <w:rPr>
          <w:rFonts w:hint="eastAsia"/>
        </w:rPr>
        <w:tab/>
        <w:t>2013年5月22日，条约机构主席与民间组织和国家人权机构国际协调委员会举行了非正式磋商。14个民间组织在联合发言中强调了供主席们考虑的一系列优先领域。发言指出，该政府间进程提供了一个重要机会，提醒各国有义务充分有效地执行条约机构通过的建议和决定，批准各项人权条约及其任择议定书，并取消限制条约范围的保留。关于工作方法，民间组织在联合发言中欢迎条约机构统一工作方法。鉴于针对民间组织和人权维护者的报复行为增多，他们呼吁条约机构制定应对报复行为的共同准则，并尽快指定协调中心，广泛而明确地授权这些中心采取一切可行措施防止和迅速处理报复行为。与此相关，他们强调条约机构应继续与民间组织非公开举行与国家审查有关的正式会议。关于资源问题，民间组织指出，目前条约机构体系面临的挑战是多年供资不足的结果，它造成了报告和来文大量积压。最后，民间组织吁请主席们确保所有条约机构成员国严格遵守《亚的斯亚贝巴准则》。</w:t>
      </w:r>
    </w:p>
    <w:p w:rsidR="00351F2F" w:rsidRDefault="00351F2F" w:rsidP="00351F2F">
      <w:pPr>
        <w:pStyle w:val="SingleTxt"/>
        <w:rPr>
          <w:rFonts w:hint="eastAsia"/>
        </w:rPr>
      </w:pPr>
      <w:r>
        <w:rPr>
          <w:rFonts w:hint="eastAsia"/>
        </w:rPr>
        <w:t>33.</w:t>
      </w:r>
      <w:r>
        <w:rPr>
          <w:rFonts w:hint="eastAsia"/>
        </w:rPr>
        <w:tab/>
        <w:t>其他与会者谈到需要加强实地人权保护工作，并提醒报告周期不应超过条约中规定的报告期。提出的其他意见包括：需要有更多工作人员支助防范酷刑小组委员会；条约机构应继续开展一般性评论和建议方面的工作，使诸多结论意见中总结出的委员会在专题领域的做法得到表述和正式化。与会者强调，对很多个人和团体而言，国际人权条约体系是他们能够藉以主张自己人权的唯一论坛。同样，条约监测系统也为落实人权提供了一定程度的国家问责制，在某些情况下这是唯一可行的问责制。因此有人认为，在没有报告的情况下，条约机构也应继续审查缔约国的情况，这一点至关重要。几名与会者还认为，能力建设援助只应向承诺立即遵守报告义务的缔约国提供。关于日程表的问题，一些民间组织提出可预测性、透明度、遵守报告义务和无一例外地审查所有缔约国情况的原则，认为该政府间进程中提出的任何模式都应该以这些原则为基础。</w:t>
      </w:r>
    </w:p>
    <w:p w:rsidR="00351F2F" w:rsidRDefault="00351F2F" w:rsidP="00351F2F">
      <w:pPr>
        <w:pStyle w:val="SingleTxt"/>
        <w:rPr>
          <w:rFonts w:hint="eastAsia"/>
        </w:rPr>
      </w:pPr>
      <w:r>
        <w:rPr>
          <w:rFonts w:hint="eastAsia"/>
        </w:rPr>
        <w:t>34.</w:t>
      </w:r>
      <w:r>
        <w:rPr>
          <w:rFonts w:hint="eastAsia"/>
        </w:rPr>
        <w:tab/>
        <w:t>主席们欢迎民间组织通过呈件、参与、听证或简报等方式对条约机构工作做出的宝贵贡献。他们请这些组织继续积极参与国家审查，并参与执行条约机构产生的建议。</w:t>
      </w:r>
    </w:p>
    <w:p w:rsidR="00351F2F" w:rsidRPr="00351F2F" w:rsidRDefault="00351F2F" w:rsidP="00351F2F">
      <w:pPr>
        <w:pStyle w:val="SingleTxt"/>
        <w:spacing w:after="0" w:line="120" w:lineRule="exact"/>
        <w:ind w:right="0"/>
        <w:rPr>
          <w:rFonts w:hint="eastAsia"/>
          <w:sz w:val="10"/>
        </w:rPr>
      </w:pPr>
    </w:p>
    <w:p w:rsidR="00351F2F" w:rsidRDefault="00351F2F" w:rsidP="00351F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五.</w:t>
      </w:r>
      <w:r>
        <w:rPr>
          <w:rFonts w:hint="eastAsia"/>
        </w:rPr>
        <w:tab/>
        <w:t>条约机构与2015年后发展议程</w:t>
      </w:r>
    </w:p>
    <w:p w:rsidR="00351F2F" w:rsidRPr="00351F2F" w:rsidRDefault="00351F2F" w:rsidP="00351F2F">
      <w:pPr>
        <w:pStyle w:val="SingleTxt"/>
        <w:spacing w:after="0" w:line="120" w:lineRule="exact"/>
        <w:ind w:right="0"/>
        <w:rPr>
          <w:rFonts w:hint="eastAsia"/>
          <w:sz w:val="10"/>
        </w:rPr>
      </w:pPr>
    </w:p>
    <w:p w:rsidR="00351F2F" w:rsidRPr="00351F2F" w:rsidRDefault="00351F2F" w:rsidP="00351F2F">
      <w:pPr>
        <w:pStyle w:val="SingleTxt"/>
        <w:spacing w:after="0" w:line="120" w:lineRule="exact"/>
        <w:ind w:right="0"/>
        <w:rPr>
          <w:rFonts w:hint="eastAsia"/>
          <w:sz w:val="10"/>
        </w:rPr>
      </w:pPr>
    </w:p>
    <w:p w:rsidR="00351F2F" w:rsidRDefault="00351F2F" w:rsidP="00351F2F">
      <w:pPr>
        <w:pStyle w:val="SingleTxt"/>
        <w:rPr>
          <w:rFonts w:hint="eastAsia"/>
        </w:rPr>
      </w:pPr>
      <w:r>
        <w:rPr>
          <w:rFonts w:hint="eastAsia"/>
        </w:rPr>
        <w:t>35.</w:t>
      </w:r>
      <w:r>
        <w:rPr>
          <w:rFonts w:hint="eastAsia"/>
        </w:rPr>
        <w:tab/>
        <w:t>2013年5月24日，人权高专办发展和经济社会问题处处长克雷格·莫希贝尔介绍了正在编制中的2015年后发展议程。他说，根据最后可能通过的2015年后承诺，条约机构可在国家审查中考量国家履行这些承诺的情况，因此可在2015年后框架中提供一个有力的问责框架。</w:t>
      </w:r>
    </w:p>
    <w:p w:rsidR="00351F2F" w:rsidRDefault="00351F2F" w:rsidP="00351F2F">
      <w:pPr>
        <w:pStyle w:val="SingleTxt"/>
        <w:rPr>
          <w:rFonts w:hint="eastAsia"/>
        </w:rPr>
      </w:pPr>
      <w:r>
        <w:rPr>
          <w:rFonts w:hint="eastAsia"/>
        </w:rPr>
        <w:t>36.</w:t>
      </w:r>
      <w:r>
        <w:rPr>
          <w:rFonts w:hint="eastAsia"/>
        </w:rPr>
        <w:tab/>
        <w:t>他解释说，在起草千年发展目标时，起草人否决了将人权列入，因为人权被视为一个模糊、不确定的概念，而不是一个具体、可衡量的框架。但是，尽管保健、教育和贫穷等重要问题没有采取立足人权的方针，作为联合国大家庭的一部分，人权高专办参与了促进千年发展目标的工作。这些目标是一套狭窄的社会经济指标，没有处理不平等这一紧迫问题，其问责框架也很薄弱。关于“全球发展伙伴关系”的目标8根本不是为实施设计的。</w:t>
      </w:r>
    </w:p>
    <w:p w:rsidR="00351F2F" w:rsidRDefault="00351F2F" w:rsidP="00351F2F">
      <w:pPr>
        <w:pStyle w:val="SingleTxt"/>
        <w:rPr>
          <w:rFonts w:hint="eastAsia"/>
        </w:rPr>
      </w:pPr>
      <w:r>
        <w:rPr>
          <w:rFonts w:hint="eastAsia"/>
        </w:rPr>
        <w:t>37.</w:t>
      </w:r>
      <w:r>
        <w:rPr>
          <w:rFonts w:hint="eastAsia"/>
        </w:rPr>
        <w:tab/>
        <w:t>2015年后的议程用具有规范基础的目标或具体目标和有力的问责制框架取代千年发展目标框架，为国际社会提供了一个自我纠正的机会。人权高专办主持开展了全球专题协商中的一项，并积极参与其他协商。自2015年后进程开始以来，人权高专办坚持不懈地倡导将人权置于新发展议程的核心。根据立足人权的方针，必须围绕包括人权法律在内的国际法框架来建立可持续发展目标。必须强调各项人权原则，例如平等、有意义的参与和问责制原则，所采用的框架应该提到免于恐惧和免于匮乏的权利。该框架还应该考虑到环境问题，并根据发展权原则处理薄弱的目标8和发展议程的国际方面。此外，2015年后的框架还应该将私营部门视为发展的推动者，并考虑到这些非国家行为体的问责制，以及纠正侵犯人权行为的必要性。</w:t>
      </w:r>
    </w:p>
    <w:p w:rsidR="00351F2F" w:rsidRDefault="00351F2F" w:rsidP="00351F2F">
      <w:pPr>
        <w:pStyle w:val="SingleTxt"/>
        <w:rPr>
          <w:rFonts w:hint="eastAsia"/>
        </w:rPr>
      </w:pPr>
      <w:r>
        <w:rPr>
          <w:rFonts w:hint="eastAsia"/>
        </w:rPr>
        <w:t>38.</w:t>
      </w:r>
      <w:r>
        <w:rPr>
          <w:rFonts w:hint="eastAsia"/>
        </w:rPr>
        <w:tab/>
        <w:t>在随后的讨论中，主席们指出，妇女对千年发展目标和2015年后的发展议程起着至关重要的作用。另外，不妨结合2015年后的发展议程看待条约机构的强化，这可能会促使向各国提供预算援助，使它们能够履行义务。与会者还提出如何使人权可衡量的问题，并提出需要适用人权指标。主席们还审视了撒哈拉以南非洲在实现千年发展目标方面的巨大差距。也有人强调，需要与可持续发展联系起来。提到的一个问题是如何处理腐败现象，因为没有善治也就难以实现长期目标。还有人提到需要更广泛的框架，其中必须列明免于酷刑的权利。需要处理一系列广泛因素，特别是防止酷刑的问题。关于问责制，主席们强调条约机构应起到重要作用，这不仅限于政治问责，而且还包括执行权力。</w:t>
      </w:r>
    </w:p>
    <w:p w:rsidR="00351F2F" w:rsidRDefault="00351F2F" w:rsidP="00351F2F">
      <w:pPr>
        <w:pStyle w:val="SingleTxt"/>
        <w:rPr>
          <w:rFonts w:hint="eastAsia"/>
        </w:rPr>
      </w:pPr>
      <w:r>
        <w:rPr>
          <w:rFonts w:hint="eastAsia"/>
        </w:rPr>
        <w:t>39.</w:t>
      </w:r>
      <w:r>
        <w:rPr>
          <w:rFonts w:hint="eastAsia"/>
        </w:rPr>
        <w:tab/>
        <w:t>莫希贝尔先生做出回应，他呼吁条约机构同心协力，通过一项联合声明将人权纳入成果文件。关于妇女的作用，应该有明确的性别平等基准。资源是一个关键问题，但它也常常被用来分散注意力；既然军费支出或拯救银行的支出动辄数万亿，这显然不是缺钱的问题。因此，资源短缺不应作为没有把人权列为优先事项的借口。另外还提到人权高专办关于人权指标的出版物及其最近发布的题为“向谁问责？人权与2015年后的发展议程”的报告。总之，主要挑战是确保从人权角度阐述2015年后的框架。</w:t>
      </w:r>
    </w:p>
    <w:p w:rsidR="00351F2F" w:rsidRPr="00351F2F" w:rsidRDefault="00351F2F" w:rsidP="00351F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51F2F" w:rsidRPr="004529FB" w:rsidRDefault="00351F2F" w:rsidP="00351F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4529FB">
        <w:rPr>
          <w:rFonts w:hint="eastAsia"/>
        </w:rPr>
        <w:t>六．</w:t>
      </w:r>
      <w:r>
        <w:rPr>
          <w:rFonts w:hint="eastAsia"/>
        </w:rPr>
        <w:tab/>
      </w:r>
      <w:r w:rsidRPr="004529FB">
        <w:rPr>
          <w:rFonts w:hint="eastAsia"/>
        </w:rPr>
        <w:t>决定和建议</w:t>
      </w:r>
    </w:p>
    <w:p w:rsidR="00351F2F" w:rsidRPr="00351F2F" w:rsidRDefault="00351F2F" w:rsidP="00351F2F">
      <w:pPr>
        <w:pStyle w:val="SingleTxt"/>
        <w:spacing w:after="0" w:line="120" w:lineRule="exact"/>
        <w:ind w:right="0"/>
        <w:rPr>
          <w:rFonts w:hint="eastAsia"/>
          <w:sz w:val="10"/>
        </w:rPr>
      </w:pPr>
    </w:p>
    <w:p w:rsidR="00351F2F" w:rsidRPr="00351F2F" w:rsidRDefault="00351F2F" w:rsidP="00351F2F">
      <w:pPr>
        <w:pStyle w:val="SingleTxt"/>
        <w:spacing w:after="0" w:line="120" w:lineRule="exact"/>
        <w:ind w:right="0"/>
        <w:rPr>
          <w:rFonts w:hint="eastAsia"/>
          <w:sz w:val="10"/>
        </w:rPr>
      </w:pPr>
    </w:p>
    <w:p w:rsidR="00351F2F" w:rsidRDefault="00351F2F" w:rsidP="00351F2F">
      <w:pPr>
        <w:pStyle w:val="SingleTxt"/>
        <w:rPr>
          <w:rFonts w:hint="eastAsia"/>
        </w:rPr>
      </w:pPr>
      <w:r>
        <w:rPr>
          <w:rFonts w:hint="eastAsia"/>
        </w:rPr>
        <w:t>40.</w:t>
      </w:r>
      <w:r>
        <w:rPr>
          <w:rFonts w:hint="eastAsia"/>
        </w:rPr>
        <w:tab/>
        <w:t>联合国人权条约机构的主席们在其第二十五次会议上通过了以下建议：</w:t>
      </w:r>
    </w:p>
    <w:p w:rsidR="00351F2F" w:rsidRPr="004529FB" w:rsidRDefault="00351F2F" w:rsidP="00351F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4529FB">
        <w:rPr>
          <w:rFonts w:hint="eastAsia"/>
        </w:rPr>
        <w:t>加强条约机构方面的政府间进程：</w:t>
      </w:r>
    </w:p>
    <w:p w:rsidR="00351F2F" w:rsidRPr="00351F2F" w:rsidRDefault="00351F2F" w:rsidP="00351F2F">
      <w:pPr>
        <w:pStyle w:val="SingleTxt"/>
        <w:spacing w:after="0" w:line="120" w:lineRule="exact"/>
        <w:ind w:right="0"/>
        <w:rPr>
          <w:rFonts w:hint="eastAsia"/>
          <w:sz w:val="10"/>
        </w:rPr>
      </w:pPr>
    </w:p>
    <w:p w:rsidR="00351F2F" w:rsidRDefault="00351F2F" w:rsidP="00351F2F">
      <w:pPr>
        <w:pStyle w:val="SingleTxt"/>
        <w:rPr>
          <w:rFonts w:hint="eastAsia"/>
        </w:rPr>
      </w:pPr>
      <w:r>
        <w:rPr>
          <w:rFonts w:hint="eastAsia"/>
        </w:rPr>
        <w:t>41.</w:t>
      </w:r>
      <w:r>
        <w:rPr>
          <w:rFonts w:hint="eastAsia"/>
        </w:rPr>
        <w:tab/>
        <w:t>主席们指出，加强条约机构方面的政府间进程应考虑以下原则：</w:t>
      </w:r>
    </w:p>
    <w:p w:rsidR="00351F2F" w:rsidRDefault="00351F2F" w:rsidP="00351F2F">
      <w:pPr>
        <w:pStyle w:val="SingleTxt"/>
        <w:rPr>
          <w:rFonts w:hint="eastAsia"/>
        </w:rPr>
      </w:pPr>
      <w:r>
        <w:rPr>
          <w:rFonts w:hint="eastAsia"/>
        </w:rPr>
        <w:tab/>
        <w:t>(a)</w:t>
      </w:r>
      <w:r>
        <w:rPr>
          <w:rFonts w:hint="eastAsia"/>
        </w:rPr>
        <w:tab/>
        <w:t>政府间进程的成果应加强条约机构系统提供的人权保护，加强审查条约机构体系规定的义务的履行情况；</w:t>
      </w:r>
    </w:p>
    <w:p w:rsidR="00351F2F" w:rsidRDefault="00351F2F" w:rsidP="00351F2F">
      <w:pPr>
        <w:pStyle w:val="SingleTxt"/>
        <w:rPr>
          <w:rFonts w:hint="eastAsia"/>
        </w:rPr>
      </w:pPr>
      <w:r>
        <w:rPr>
          <w:rFonts w:hint="eastAsia"/>
        </w:rPr>
        <w:tab/>
        <w:t>(b)</w:t>
      </w:r>
      <w:r>
        <w:rPr>
          <w:rFonts w:hint="eastAsia"/>
        </w:rPr>
        <w:tab/>
        <w:t>条约机构成员的独立性是该体系信誉和诚信的来源，是公正对待缔约国的保障。2012年人权条约机构主席第二十四次会议拟订并核可了亚的斯亚贝巴指导原则，该指导原则体现并落实了上述原则；</w:t>
      </w:r>
    </w:p>
    <w:p w:rsidR="00351F2F" w:rsidRDefault="00351F2F" w:rsidP="00351F2F">
      <w:pPr>
        <w:pStyle w:val="SingleTxt"/>
        <w:rPr>
          <w:rFonts w:hint="eastAsia"/>
        </w:rPr>
      </w:pPr>
      <w:r>
        <w:rPr>
          <w:rFonts w:hint="eastAsia"/>
        </w:rPr>
        <w:tab/>
        <w:t>(c)</w:t>
      </w:r>
      <w:r>
        <w:rPr>
          <w:rFonts w:hint="eastAsia"/>
        </w:rPr>
        <w:tab/>
        <w:t>政府间进程的成果应全面和可持续地应对条约机构体系面临的挑战；</w:t>
      </w:r>
    </w:p>
    <w:p w:rsidR="00351F2F" w:rsidRDefault="00351F2F" w:rsidP="00351F2F">
      <w:pPr>
        <w:pStyle w:val="SingleTxt"/>
        <w:rPr>
          <w:rFonts w:hint="eastAsia"/>
        </w:rPr>
      </w:pPr>
      <w:r>
        <w:rPr>
          <w:rFonts w:hint="eastAsia"/>
        </w:rPr>
        <w:tab/>
        <w:t>(d)</w:t>
      </w:r>
      <w:r>
        <w:rPr>
          <w:rFonts w:hint="eastAsia"/>
        </w:rPr>
        <w:tab/>
        <w:t>各项成本节约措施和提高条约机构效率的其他措施的收益必须再投资于条约机构体系；经常预算应增拨资源，为条约机构配备适当的物资和人力资源，以使其充分履行各条约规定的职责；</w:t>
      </w:r>
    </w:p>
    <w:p w:rsidR="00351F2F" w:rsidRDefault="00351F2F" w:rsidP="00351F2F">
      <w:pPr>
        <w:pStyle w:val="SingleTxt"/>
        <w:rPr>
          <w:rFonts w:hint="eastAsia"/>
        </w:rPr>
      </w:pPr>
      <w:r>
        <w:rPr>
          <w:rFonts w:hint="eastAsia"/>
        </w:rPr>
        <w:tab/>
        <w:t>(e)</w:t>
      </w:r>
      <w:r>
        <w:rPr>
          <w:rFonts w:hint="eastAsia"/>
        </w:rPr>
        <w:tab/>
        <w:t>条约机构的工作应现代化，以充分利用技术发展，同时使残疾人可普遍利用条约机构的服务，从而遵守合理便利原则。</w:t>
      </w:r>
    </w:p>
    <w:p w:rsidR="00351F2F" w:rsidRPr="004529FB" w:rsidRDefault="00351F2F" w:rsidP="00351F2F">
      <w:pPr>
        <w:pStyle w:val="SingleTxt"/>
        <w:rPr>
          <w:rFonts w:hint="eastAsia"/>
          <w:spacing w:val="2"/>
        </w:rPr>
      </w:pPr>
      <w:r>
        <w:rPr>
          <w:rFonts w:hint="eastAsia"/>
        </w:rPr>
        <w:t>42.</w:t>
      </w:r>
      <w:r>
        <w:rPr>
          <w:rFonts w:hint="eastAsia"/>
        </w:rPr>
        <w:tab/>
      </w:r>
      <w:r w:rsidRPr="004529FB">
        <w:rPr>
          <w:rFonts w:hint="eastAsia"/>
          <w:spacing w:val="2"/>
        </w:rPr>
        <w:t>主席们重视与会员国、国家集团、共同召集人和民间社会组织进行的广泛协商。</w:t>
      </w:r>
    </w:p>
    <w:p w:rsidR="00351F2F" w:rsidRDefault="00351F2F" w:rsidP="00351F2F">
      <w:pPr>
        <w:pStyle w:val="SingleTxt"/>
        <w:rPr>
          <w:rFonts w:hint="eastAsia"/>
        </w:rPr>
      </w:pPr>
      <w:r>
        <w:rPr>
          <w:rFonts w:hint="eastAsia"/>
        </w:rPr>
        <w:t>43.</w:t>
      </w:r>
      <w:r>
        <w:rPr>
          <w:rFonts w:hint="eastAsia"/>
        </w:rPr>
        <w:tab/>
        <w:t>主席们欢迎联合国高级专员关于加强条约机构的报告。他们对有关综合报告日程表的提案采取积极态度，原则上核可了体现并加强条约规定的缔约国报告义务的综合报告日程表。会员国对综合报告日程表进行讨论后，提出了有关其执行方式的一些建议。主席们认识到，有关各建议利弊的讨论正在进行，而且其中一些建议尚不成熟，但同时重申，结构化报告和审议日程表应符合以下标准：</w:t>
      </w:r>
    </w:p>
    <w:p w:rsidR="00351F2F" w:rsidRDefault="00351F2F" w:rsidP="00351F2F">
      <w:pPr>
        <w:pStyle w:val="SingleTxt"/>
        <w:rPr>
          <w:rFonts w:hint="eastAsia"/>
        </w:rPr>
      </w:pPr>
      <w:r>
        <w:rPr>
          <w:rFonts w:hint="eastAsia"/>
        </w:rPr>
        <w:tab/>
        <w:t>(a)</w:t>
      </w:r>
      <w:r>
        <w:rPr>
          <w:rFonts w:hint="eastAsia"/>
        </w:rPr>
        <w:tab/>
        <w:t>结构化解决办法应通过在普遍遵守报告义务的基础上开展工作，消除对缔约国的不平等待遇；</w:t>
      </w:r>
    </w:p>
    <w:p w:rsidR="00351F2F" w:rsidRDefault="00351F2F" w:rsidP="00351F2F">
      <w:pPr>
        <w:pStyle w:val="SingleTxt"/>
        <w:rPr>
          <w:rFonts w:hint="eastAsia"/>
        </w:rPr>
      </w:pPr>
      <w:r>
        <w:rPr>
          <w:rFonts w:hint="eastAsia"/>
        </w:rPr>
        <w:tab/>
        <w:t>(b)</w:t>
      </w:r>
      <w:r>
        <w:rPr>
          <w:rFonts w:hint="eastAsia"/>
        </w:rPr>
        <w:tab/>
        <w:t>实施的结构化制度应有规律和可预测，以促成有效利用资源，为有关各方的预先规划提供便利；</w:t>
      </w:r>
    </w:p>
    <w:p w:rsidR="00351F2F" w:rsidRDefault="00351F2F" w:rsidP="00351F2F">
      <w:pPr>
        <w:pStyle w:val="SingleTxt"/>
        <w:rPr>
          <w:rFonts w:hint="eastAsia"/>
        </w:rPr>
      </w:pPr>
      <w:r>
        <w:rPr>
          <w:rFonts w:hint="eastAsia"/>
        </w:rPr>
        <w:tab/>
        <w:t>(c)</w:t>
      </w:r>
      <w:r>
        <w:rPr>
          <w:rFonts w:hint="eastAsia"/>
        </w:rPr>
        <w:tab/>
        <w:t>提交报告的时间安排应尽可能符合各条约所定时间，以便不妨碍各缔约国的法定报告义务；</w:t>
      </w:r>
    </w:p>
    <w:p w:rsidR="00351F2F" w:rsidRDefault="00351F2F" w:rsidP="00351F2F">
      <w:pPr>
        <w:pStyle w:val="SingleTxt"/>
        <w:rPr>
          <w:rFonts w:hint="eastAsia"/>
        </w:rPr>
      </w:pPr>
      <w:r>
        <w:rPr>
          <w:rFonts w:hint="eastAsia"/>
        </w:rPr>
        <w:tab/>
        <w:t>(d)</w:t>
      </w:r>
      <w:r>
        <w:rPr>
          <w:rFonts w:hint="eastAsia"/>
        </w:rPr>
        <w:tab/>
        <w:t>不报告应是例外情况而非规范做法；结构化日程表不应对不报告持放任态度；</w:t>
      </w:r>
    </w:p>
    <w:p w:rsidR="00351F2F" w:rsidRDefault="00351F2F" w:rsidP="00351F2F">
      <w:pPr>
        <w:pStyle w:val="SingleTxt"/>
        <w:rPr>
          <w:rFonts w:hint="eastAsia"/>
        </w:rPr>
      </w:pPr>
      <w:r>
        <w:rPr>
          <w:rFonts w:hint="eastAsia"/>
        </w:rPr>
        <w:tab/>
        <w:t>(e)</w:t>
      </w:r>
      <w:r>
        <w:rPr>
          <w:rFonts w:hint="eastAsia"/>
        </w:rPr>
        <w:tab/>
        <w:t>消除积压报告和向大会提出关于会议时间的特别请求的做法。</w:t>
      </w:r>
    </w:p>
    <w:p w:rsidR="00351F2F" w:rsidRPr="004529FB" w:rsidRDefault="00351F2F" w:rsidP="00351F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4529FB">
        <w:rPr>
          <w:rFonts w:hint="eastAsia"/>
        </w:rPr>
        <w:t>条约机构成员的独立性和公正性</w:t>
      </w:r>
    </w:p>
    <w:p w:rsidR="00351F2F" w:rsidRPr="00351F2F" w:rsidRDefault="00351F2F" w:rsidP="00351F2F">
      <w:pPr>
        <w:pStyle w:val="SingleTxt"/>
        <w:spacing w:after="0" w:line="120" w:lineRule="exact"/>
        <w:ind w:right="0"/>
        <w:rPr>
          <w:rFonts w:hint="eastAsia"/>
          <w:sz w:val="10"/>
        </w:rPr>
      </w:pPr>
    </w:p>
    <w:p w:rsidR="00351F2F" w:rsidRDefault="00351F2F" w:rsidP="00351F2F">
      <w:pPr>
        <w:pStyle w:val="SingleTxt"/>
        <w:rPr>
          <w:rFonts w:hint="eastAsia"/>
        </w:rPr>
      </w:pPr>
      <w:r>
        <w:rPr>
          <w:rFonts w:hint="eastAsia"/>
        </w:rPr>
        <w:t>44.</w:t>
      </w:r>
      <w:r>
        <w:rPr>
          <w:rFonts w:hint="eastAsia"/>
        </w:rPr>
        <w:tab/>
        <w:t>大多数委员会已将主席第二十四次年度会议核可的条约机构成员独立性和公正性指导原则(亚的斯亚贝巴指导原则)纳入其各自的程序规则，完成了相关行动。其他委员会正在审议该指导原则。主席们将继续就随时间推移出现的有关指导原则的做法交换意见。</w:t>
      </w:r>
    </w:p>
    <w:p w:rsidR="00351F2F" w:rsidRPr="004529FB" w:rsidRDefault="00351F2F" w:rsidP="00351F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4529FB">
        <w:rPr>
          <w:rFonts w:hint="eastAsia"/>
        </w:rPr>
        <w:t>统一工作方法</w:t>
      </w:r>
    </w:p>
    <w:p w:rsidR="00351F2F" w:rsidRPr="00351F2F" w:rsidRDefault="00351F2F" w:rsidP="00351F2F">
      <w:pPr>
        <w:pStyle w:val="SingleTxt"/>
        <w:spacing w:after="0" w:line="120" w:lineRule="exact"/>
        <w:ind w:right="0"/>
        <w:rPr>
          <w:rFonts w:hint="eastAsia"/>
          <w:sz w:val="10"/>
        </w:rPr>
      </w:pPr>
    </w:p>
    <w:p w:rsidR="00351F2F" w:rsidRDefault="00351F2F" w:rsidP="00351F2F">
      <w:pPr>
        <w:pStyle w:val="SingleTxt"/>
        <w:rPr>
          <w:rFonts w:hint="eastAsia"/>
        </w:rPr>
      </w:pPr>
      <w:r>
        <w:rPr>
          <w:rFonts w:hint="eastAsia"/>
        </w:rPr>
        <w:t>45.</w:t>
      </w:r>
      <w:r>
        <w:rPr>
          <w:rFonts w:hint="eastAsia"/>
        </w:rPr>
        <w:tab/>
        <w:t>条约机构致力于继续调整工作方法。有代表建议，下一次条约机构主席会议讨论以下问题：</w:t>
      </w:r>
    </w:p>
    <w:p w:rsidR="00351F2F" w:rsidRDefault="00351F2F" w:rsidP="00351F2F">
      <w:pPr>
        <w:pStyle w:val="SingleTxt"/>
        <w:rPr>
          <w:rFonts w:hint="eastAsia"/>
        </w:rPr>
      </w:pPr>
      <w:r>
        <w:rPr>
          <w:rFonts w:hint="eastAsia"/>
        </w:rPr>
        <w:tab/>
        <w:t>(a)</w:t>
      </w:r>
      <w:r>
        <w:rPr>
          <w:rFonts w:hint="eastAsia"/>
        </w:rPr>
        <w:tab/>
        <w:t>能否为结论意见设计统一格式(名称、长度、建议数目)；</w:t>
      </w:r>
    </w:p>
    <w:p w:rsidR="00351F2F" w:rsidRDefault="00351F2F" w:rsidP="00351F2F">
      <w:pPr>
        <w:pStyle w:val="SingleTxt"/>
        <w:rPr>
          <w:rFonts w:hint="eastAsia"/>
        </w:rPr>
      </w:pPr>
      <w:r>
        <w:rPr>
          <w:rFonts w:hint="eastAsia"/>
        </w:rPr>
        <w:tab/>
        <w:t>(b)</w:t>
      </w:r>
      <w:r>
        <w:rPr>
          <w:rFonts w:hint="eastAsia"/>
        </w:rPr>
        <w:tab/>
        <w:t>能否统一互动对话方法(如书面指导原则、国家工作队或报告员、问题按主题分类、在条约机构成员和缔约国之间公平分配时间、就以往的结论意见和重大事态发展采取后续行动)。</w:t>
      </w:r>
    </w:p>
    <w:p w:rsidR="00351F2F" w:rsidRPr="004529FB" w:rsidRDefault="00351F2F" w:rsidP="00351F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4529FB">
        <w:rPr>
          <w:rFonts w:hint="eastAsia"/>
        </w:rPr>
        <w:t>联合国人权事务高级专员关于加强条约机构的报告所载建议的执行情况</w:t>
      </w:r>
    </w:p>
    <w:p w:rsidR="00351F2F" w:rsidRPr="00351F2F" w:rsidRDefault="00351F2F" w:rsidP="00351F2F">
      <w:pPr>
        <w:pStyle w:val="SingleTxt"/>
        <w:spacing w:after="0" w:line="120" w:lineRule="exact"/>
        <w:ind w:right="0"/>
        <w:rPr>
          <w:rFonts w:hint="eastAsia"/>
          <w:sz w:val="10"/>
        </w:rPr>
      </w:pPr>
    </w:p>
    <w:p w:rsidR="00351F2F" w:rsidRDefault="00351F2F" w:rsidP="00351F2F">
      <w:pPr>
        <w:pStyle w:val="SingleTxt"/>
        <w:rPr>
          <w:rFonts w:hint="eastAsia"/>
        </w:rPr>
      </w:pPr>
      <w:r>
        <w:rPr>
          <w:rFonts w:hint="eastAsia"/>
        </w:rPr>
        <w:t>46.</w:t>
      </w:r>
      <w:r>
        <w:rPr>
          <w:rFonts w:hint="eastAsia"/>
        </w:rPr>
        <w:tab/>
        <w:t>主席们还申明致力于促进积极审议联合国高级专员报告所载建议。在这方面，主席们强调，应与其他条约机构协调开展此种执行工作，并建议各条约机构应每年向主席会议通报所取得的进展。主席们还建议秘书处编制和定期更新这方面的执行情况报告供主席会议审议，以审查进展情况，同时铭记加强进程本身就是一个持续的进程。为此，会议决定把加强条约机构的议题，尤其是审议高级专员报告所载建议的议题，列入下一次会议的议程。</w:t>
      </w:r>
    </w:p>
    <w:p w:rsidR="00351F2F" w:rsidRPr="004529FB" w:rsidRDefault="00351F2F" w:rsidP="00351F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4529FB">
        <w:rPr>
          <w:rFonts w:hint="eastAsia"/>
        </w:rPr>
        <w:t>缔约国逾期报告或不报告</w:t>
      </w:r>
    </w:p>
    <w:p w:rsidR="00351F2F" w:rsidRPr="00351F2F" w:rsidRDefault="00351F2F" w:rsidP="00351F2F">
      <w:pPr>
        <w:pStyle w:val="SingleTxt"/>
        <w:spacing w:after="0" w:line="120" w:lineRule="exact"/>
        <w:ind w:right="0"/>
        <w:rPr>
          <w:rFonts w:hint="eastAsia"/>
          <w:sz w:val="10"/>
        </w:rPr>
      </w:pPr>
    </w:p>
    <w:p w:rsidR="00351F2F" w:rsidRDefault="00351F2F" w:rsidP="00351F2F">
      <w:pPr>
        <w:pStyle w:val="SingleTxt"/>
        <w:rPr>
          <w:rFonts w:hint="eastAsia"/>
        </w:rPr>
      </w:pPr>
      <w:r>
        <w:rPr>
          <w:rFonts w:hint="eastAsia"/>
        </w:rPr>
        <w:t>47.</w:t>
      </w:r>
      <w:r>
        <w:rPr>
          <w:rFonts w:hint="eastAsia"/>
        </w:rPr>
        <w:tab/>
        <w:t>主席们表示深为关切一些国际人权条约缔约国逾期报告或不报告。根据各条约机构的年度报告，会议建议秘书处定期提供逾期报告或不报告的最新情况，并将其刊登在人权高专办网站上。本项目将列入会议议程的常设项目，今后会议的报告内容将包括逾期报告或不报告的情况。</w:t>
      </w:r>
    </w:p>
    <w:p w:rsidR="00351F2F" w:rsidRPr="004529FB" w:rsidRDefault="00351F2F" w:rsidP="00351F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4529FB">
        <w:rPr>
          <w:rFonts w:hint="eastAsia"/>
        </w:rPr>
        <w:t>加强人权条约机构主席会议</w:t>
      </w:r>
    </w:p>
    <w:p w:rsidR="00351F2F" w:rsidRPr="00351F2F" w:rsidRDefault="00351F2F" w:rsidP="00351F2F">
      <w:pPr>
        <w:pStyle w:val="SingleTxt"/>
        <w:spacing w:after="0" w:line="120" w:lineRule="exact"/>
        <w:ind w:right="0"/>
        <w:rPr>
          <w:rFonts w:hint="eastAsia"/>
          <w:sz w:val="10"/>
        </w:rPr>
      </w:pPr>
    </w:p>
    <w:p w:rsidR="00351F2F" w:rsidRDefault="00351F2F" w:rsidP="00351F2F">
      <w:pPr>
        <w:pStyle w:val="SingleTxt"/>
        <w:rPr>
          <w:rFonts w:hint="eastAsia"/>
        </w:rPr>
      </w:pPr>
      <w:r>
        <w:rPr>
          <w:rFonts w:hint="eastAsia"/>
        </w:rPr>
        <w:t>48.</w:t>
      </w:r>
      <w:r>
        <w:rPr>
          <w:rFonts w:hint="eastAsia"/>
        </w:rPr>
        <w:tab/>
        <w:t>主席们重申发挥先前已被确认的作用，以增强代表性并协调包括审议和通过联合声明在内的共同活动，同时尊重各条约机构的自主性和特异性。主席们还再次建议他们应就整个条约机构体系那些先前已在各委员会内部讨论过的共同工作方法和程序事项采取措施，而且所有条约机构都应执行这些措施，除非某个委员会后来不认同这些措施。</w:t>
      </w:r>
    </w:p>
    <w:p w:rsidR="00351F2F" w:rsidRPr="004529FB" w:rsidRDefault="00351F2F" w:rsidP="00351F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4529FB">
        <w:rPr>
          <w:rFonts w:hint="eastAsia"/>
        </w:rPr>
        <w:t>条约机构及2015年后发展议程</w:t>
      </w:r>
    </w:p>
    <w:p w:rsidR="00351F2F" w:rsidRPr="00351F2F" w:rsidRDefault="00351F2F" w:rsidP="00351F2F">
      <w:pPr>
        <w:pStyle w:val="SingleTxt"/>
        <w:spacing w:after="0" w:line="120" w:lineRule="exact"/>
        <w:ind w:right="0"/>
        <w:rPr>
          <w:rFonts w:hint="eastAsia"/>
          <w:sz w:val="10"/>
        </w:rPr>
      </w:pPr>
    </w:p>
    <w:p w:rsidR="00351F2F" w:rsidRDefault="00351F2F" w:rsidP="00351F2F">
      <w:pPr>
        <w:pStyle w:val="SingleTxt"/>
        <w:rPr>
          <w:rFonts w:hint="eastAsia"/>
        </w:rPr>
      </w:pPr>
      <w:r>
        <w:rPr>
          <w:rFonts w:hint="eastAsia"/>
        </w:rPr>
        <w:t>49.</w:t>
      </w:r>
      <w:r>
        <w:rPr>
          <w:rFonts w:hint="eastAsia"/>
        </w:rPr>
        <w:tab/>
        <w:t>经与利益攸关方协商，主席们审议并通过了关于2015年后发展议程的一项联合声明，该声明涉及将人权问题纳入该议程的重要性(附件)。</w:t>
      </w:r>
    </w:p>
    <w:p w:rsidR="00351F2F" w:rsidRPr="004529FB" w:rsidRDefault="00351F2F" w:rsidP="00351F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4529FB">
        <w:rPr>
          <w:rFonts w:hint="eastAsia"/>
        </w:rPr>
        <w:t>第二十六次主席会议议程</w:t>
      </w:r>
    </w:p>
    <w:p w:rsidR="00351F2F" w:rsidRPr="00351F2F" w:rsidRDefault="00351F2F" w:rsidP="00351F2F">
      <w:pPr>
        <w:pStyle w:val="SingleTxt"/>
        <w:spacing w:after="0" w:line="120" w:lineRule="exact"/>
        <w:ind w:right="0"/>
        <w:rPr>
          <w:rFonts w:hint="eastAsia"/>
          <w:sz w:val="10"/>
        </w:rPr>
      </w:pPr>
    </w:p>
    <w:p w:rsidR="00351F2F" w:rsidRDefault="00351F2F" w:rsidP="00351F2F">
      <w:pPr>
        <w:pStyle w:val="SingleTxt"/>
        <w:rPr>
          <w:rFonts w:hint="eastAsia"/>
        </w:rPr>
      </w:pPr>
      <w:r>
        <w:rPr>
          <w:rFonts w:hint="eastAsia"/>
        </w:rPr>
        <w:t>50.</w:t>
      </w:r>
      <w:r>
        <w:rPr>
          <w:rFonts w:hint="eastAsia"/>
        </w:rPr>
        <w:tab/>
        <w:t>主席们决定其下一次会议将聚焦于：加强条约机构的问题；缔约国逾期报告或不报告；统一工作方法。</w:t>
      </w:r>
    </w:p>
    <w:p w:rsidR="00351F2F" w:rsidRPr="004529FB" w:rsidRDefault="00351F2F" w:rsidP="00351F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4529FB">
        <w:rPr>
          <w:rFonts w:hint="eastAsia"/>
        </w:rPr>
        <w:t>第二十六次会议主席兼报告员及副主席兼报告员</w:t>
      </w:r>
    </w:p>
    <w:p w:rsidR="00351F2F" w:rsidRPr="00351F2F" w:rsidRDefault="00351F2F" w:rsidP="00351F2F">
      <w:pPr>
        <w:pStyle w:val="SingleTxt"/>
        <w:spacing w:after="0" w:line="120" w:lineRule="exact"/>
        <w:ind w:right="0"/>
        <w:rPr>
          <w:rFonts w:hint="eastAsia"/>
          <w:sz w:val="10"/>
        </w:rPr>
      </w:pPr>
    </w:p>
    <w:p w:rsidR="00351F2F" w:rsidRDefault="00351F2F" w:rsidP="00351F2F">
      <w:pPr>
        <w:pStyle w:val="SingleTxt"/>
        <w:rPr>
          <w:rFonts w:hint="eastAsia"/>
        </w:rPr>
      </w:pPr>
      <w:r>
        <w:rPr>
          <w:rFonts w:hint="eastAsia"/>
        </w:rPr>
        <w:t>51.</w:t>
      </w:r>
      <w:r>
        <w:rPr>
          <w:rFonts w:hint="eastAsia"/>
        </w:rPr>
        <w:tab/>
        <w:t>主席们决定，根据轮换和将新的委员会列入名单的原则，2014年第二十六次会议的主席兼报告员为防范酷刑和其他残忍、不人道或有辱人格待遇或处罚小组委员会主席Malcolm Evans；副主席为强迫失踪问题委员会主席Emmanuel Decaux。2015年，将再次以2006年为起点进行轮换。</w:t>
      </w:r>
    </w:p>
    <w:p w:rsidR="00351F2F" w:rsidRDefault="00351F2F" w:rsidP="00351F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Pr="004529FB">
        <w:rPr>
          <w:rFonts w:hint="eastAsia"/>
        </w:rPr>
        <w:t>附件</w:t>
      </w:r>
    </w:p>
    <w:p w:rsidR="00351F2F" w:rsidRPr="00351F2F" w:rsidRDefault="00351F2F" w:rsidP="00351F2F">
      <w:pPr>
        <w:pStyle w:val="SingleTxt"/>
        <w:spacing w:after="0" w:line="120" w:lineRule="exact"/>
        <w:ind w:right="0"/>
        <w:rPr>
          <w:rFonts w:hint="eastAsia"/>
          <w:sz w:val="10"/>
        </w:rPr>
      </w:pPr>
    </w:p>
    <w:p w:rsidR="00351F2F" w:rsidRPr="004529FB" w:rsidRDefault="00351F2F" w:rsidP="00351F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4529FB">
        <w:rPr>
          <w:rFonts w:hint="eastAsia"/>
        </w:rPr>
        <w:t>联合国条约机构主席关于2015年后发展议程的联合声明</w:t>
      </w:r>
    </w:p>
    <w:p w:rsidR="00351F2F" w:rsidRPr="00351F2F" w:rsidRDefault="00351F2F" w:rsidP="00351F2F">
      <w:pPr>
        <w:pStyle w:val="SingleTxt"/>
        <w:spacing w:after="0" w:line="120" w:lineRule="exact"/>
        <w:ind w:right="0"/>
        <w:rPr>
          <w:rFonts w:hint="eastAsia"/>
          <w:sz w:val="10"/>
        </w:rPr>
      </w:pPr>
    </w:p>
    <w:p w:rsidR="00351F2F" w:rsidRPr="00351F2F" w:rsidRDefault="00351F2F" w:rsidP="00351F2F">
      <w:pPr>
        <w:pStyle w:val="SingleTxt"/>
        <w:spacing w:after="0" w:line="120" w:lineRule="exact"/>
        <w:ind w:right="0"/>
        <w:rPr>
          <w:rFonts w:hint="eastAsia"/>
          <w:sz w:val="10"/>
        </w:rPr>
      </w:pPr>
    </w:p>
    <w:p w:rsidR="00351F2F" w:rsidRDefault="00351F2F" w:rsidP="00351F2F">
      <w:pPr>
        <w:pStyle w:val="SingleTxt"/>
        <w:rPr>
          <w:rFonts w:hint="eastAsia"/>
        </w:rPr>
      </w:pPr>
      <w:r>
        <w:rPr>
          <w:rFonts w:hint="eastAsia"/>
        </w:rPr>
        <w:tab/>
        <w:t>联合国10个人权条约机构</w:t>
      </w:r>
      <w:r w:rsidR="00753D4C" w:rsidRPr="00753D4C">
        <w:rPr>
          <w:rStyle w:val="FootnoteReference"/>
        </w:rPr>
        <w:footnoteReference w:customMarkFollows="1" w:id="1"/>
        <w:t>a</w:t>
      </w:r>
      <w:r w:rsidR="00753D4C">
        <w:t xml:space="preserve"> </w:t>
      </w:r>
      <w:r>
        <w:rPr>
          <w:rFonts w:hint="eastAsia"/>
        </w:rPr>
        <w:t>主席欢迎目前就千年发展目标之后的2015年后发展议程进行反思，特别是考虑到即将举行的关于千年发展目标的大会特别活动，以及可持续发展目标开放工作组为就2012年6月20日至22日在巴西里约热内卢举行的联合国可持续发展大会采取后续行动而开展的工作。</w:t>
      </w:r>
    </w:p>
    <w:p w:rsidR="00351F2F" w:rsidRDefault="00351F2F" w:rsidP="00351F2F">
      <w:pPr>
        <w:pStyle w:val="SingleTxt"/>
        <w:rPr>
          <w:rFonts w:hint="eastAsia"/>
        </w:rPr>
      </w:pPr>
      <w:r>
        <w:rPr>
          <w:rFonts w:hint="eastAsia"/>
        </w:rPr>
        <w:tab/>
        <w:t>国际人权法规定了涵盖从保健、教育、住房和劳工标准到政治参与、基本自由和人身安全、司法和不歧视等一系列问题的标准。上述问题和发展之间存在着根本联系。因此，主席们强调发展与人权，包括最弱势群体权利之间的重要联系。我们还强调指出，人是可持续发展方面关切的核心，在环境和自然资源治理方面可发挥至关重要的作用。</w:t>
      </w:r>
    </w:p>
    <w:p w:rsidR="00351F2F" w:rsidRDefault="00351F2F" w:rsidP="00351F2F">
      <w:pPr>
        <w:pStyle w:val="SingleTxt"/>
        <w:rPr>
          <w:rFonts w:hint="eastAsia"/>
        </w:rPr>
      </w:pPr>
      <w:r>
        <w:rPr>
          <w:rFonts w:hint="eastAsia"/>
        </w:rPr>
        <w:tab/>
        <w:t>主席们鼓励国际社会认识到这一联系，并确认可持续的发展目标必须立足于人权、司法和法治。主席们认为，“人权”是一系列广泛的公民、政治、经济、社会和文化权利。特别是，人权与发展之间的联系应以发展权这一重要参考标准为基础，因为“各项人权条约的条款显然呼应了发展权利，强调发展进程是多方面、多层面和复杂的，且发展需要做到包容各方、公平和可持续”。</w:t>
      </w:r>
      <w:r w:rsidR="00753D4C" w:rsidRPr="00753D4C">
        <w:rPr>
          <w:rStyle w:val="FootnoteReference"/>
        </w:rPr>
        <w:footnoteReference w:customMarkFollows="1" w:id="2"/>
        <w:t>b</w:t>
      </w:r>
      <w:r w:rsidR="00753D4C">
        <w:t xml:space="preserve"> </w:t>
      </w:r>
      <w:r>
        <w:rPr>
          <w:rFonts w:hint="eastAsia"/>
        </w:rPr>
        <w:t>在有利于制订和落实发展目标的国际环境方面，“通过在国家和国际层面上系统地适用平等、不歧视、参与、透明度和问责制等核心原则而实现的发展权创建了一个具体框架，而提供国际合作与援助的义务必须在这一框架内履行”。</w:t>
      </w:r>
      <w:r w:rsidR="00753D4C" w:rsidRPr="00753D4C">
        <w:rPr>
          <w:rStyle w:val="FootnoteReference"/>
        </w:rPr>
        <w:footnoteReference w:customMarkFollows="1" w:id="3"/>
        <w:t>c</w:t>
      </w:r>
      <w:r w:rsidR="00753D4C">
        <w:t xml:space="preserve"> </w:t>
      </w:r>
      <w:r>
        <w:rPr>
          <w:rFonts w:hint="eastAsia"/>
        </w:rPr>
        <w:t>必须特别注意解决腐败等更广泛的治理问题，加强信息权和此方面的适当补救措施。</w:t>
      </w:r>
    </w:p>
    <w:p w:rsidR="00351F2F" w:rsidRDefault="00351F2F" w:rsidP="00351F2F">
      <w:pPr>
        <w:pStyle w:val="SingleTxt"/>
        <w:rPr>
          <w:rFonts w:hint="eastAsia"/>
        </w:rPr>
      </w:pPr>
      <w:r>
        <w:rPr>
          <w:rFonts w:hint="eastAsia"/>
        </w:rPr>
        <w:tab/>
        <w:t>在阐明2015年后发展议程方面，必须促进人权指标的使用，这对衡量发展目标是否成功至关重要。</w:t>
      </w:r>
    </w:p>
    <w:p w:rsidR="00351F2F" w:rsidRDefault="00351F2F" w:rsidP="00351F2F">
      <w:pPr>
        <w:pStyle w:val="SingleTxt"/>
        <w:rPr>
          <w:rFonts w:hint="eastAsia"/>
        </w:rPr>
      </w:pPr>
      <w:r>
        <w:rPr>
          <w:rFonts w:hint="eastAsia"/>
        </w:rPr>
        <w:tab/>
        <w:t>目前的千年发展目标对发展作出了一些有益的贡献。但上述目标没有建立与人权的联系，从而产生重大后果。</w:t>
      </w:r>
    </w:p>
    <w:p w:rsidR="00351F2F" w:rsidRDefault="00351F2F" w:rsidP="00351F2F">
      <w:pPr>
        <w:pStyle w:val="SingleTxt"/>
        <w:rPr>
          <w:rFonts w:hint="eastAsia"/>
        </w:rPr>
      </w:pPr>
      <w:r>
        <w:rPr>
          <w:rFonts w:hint="eastAsia"/>
        </w:rPr>
        <w:tab/>
        <w:t>普及初等教育的目标未明确提及人权要求，即初等教育是免费、无歧视的，不排斥穷人、女童、移徙者、土著人口和残疾人等。</w:t>
      </w:r>
    </w:p>
    <w:p w:rsidR="00351F2F" w:rsidRDefault="00351F2F" w:rsidP="00351F2F">
      <w:pPr>
        <w:pStyle w:val="SingleTxt"/>
        <w:rPr>
          <w:rFonts w:hint="eastAsia"/>
        </w:rPr>
      </w:pPr>
      <w:r>
        <w:rPr>
          <w:rFonts w:hint="eastAsia"/>
        </w:rPr>
        <w:tab/>
        <w:t>性别平等目标未保证消除对妇女的歧视，未保证男女平等，今后的议程应将上述问题以及尊重人身自由和安全权、免遭酷刑和其他残忍、不人道或有辱人格的待遇的权利作为全球优先事项加以解决。</w:t>
      </w:r>
    </w:p>
    <w:p w:rsidR="00351F2F" w:rsidRDefault="00351F2F" w:rsidP="00351F2F">
      <w:pPr>
        <w:pStyle w:val="SingleTxt"/>
        <w:rPr>
          <w:rFonts w:hint="eastAsia"/>
        </w:rPr>
      </w:pPr>
      <w:r>
        <w:rPr>
          <w:rFonts w:hint="eastAsia"/>
        </w:rPr>
        <w:tab/>
        <w:t>一些与发展和消除贫穷存在根本联系的人权被忽略或被置于次要地位，如言论和结社自由、劳动和体面工作权以及享有水和环境卫生的权利，上述权利对生命权和实现健康方面的目标很重要。</w:t>
      </w:r>
    </w:p>
    <w:p w:rsidR="00351F2F" w:rsidRDefault="00351F2F" w:rsidP="00351F2F">
      <w:pPr>
        <w:pStyle w:val="SingleTxt"/>
        <w:rPr>
          <w:rFonts w:hint="eastAsia"/>
        </w:rPr>
      </w:pPr>
      <w:r>
        <w:rPr>
          <w:rFonts w:hint="eastAsia"/>
        </w:rPr>
        <w:tab/>
        <w:t>问责制的人权原则和诉诸法律的机会未得到足够重视，挫伤了人们实现目标的积极性，阻碍了其权利在发展进程中被忽视或被践踏的人获得补偿。</w:t>
      </w:r>
    </w:p>
    <w:p w:rsidR="00351F2F" w:rsidRDefault="00351F2F" w:rsidP="00351F2F">
      <w:pPr>
        <w:pStyle w:val="SingleTxt"/>
        <w:rPr>
          <w:rFonts w:hint="eastAsia"/>
        </w:rPr>
      </w:pPr>
      <w:r>
        <w:rPr>
          <w:rFonts w:hint="eastAsia"/>
        </w:rPr>
        <w:tab/>
        <w:t>联合国人权条约机构主席们在纪念联合国千年首脑会议和关于千年发展目标的大会高级别全体会议(2010年9月20日至22日)上发表一项联合声明，明确指出，在涉及千年发展目标方面“实现该目标仍无法满足人权条约的要求，因为人权条约呼吁实现所有人的人权，而不仅仅是实现量化目标”。最终，因未能与人权之间建立明确联系，不平等被掩盖，进展受挫。事实上，在上个十年一些闻名的“成功”发展事例中，内在的压迫、贫困和不平等导致大规模暴力抗议，发展收益降低。</w:t>
      </w:r>
    </w:p>
    <w:p w:rsidR="00351F2F" w:rsidRDefault="00351F2F" w:rsidP="00351F2F">
      <w:pPr>
        <w:pStyle w:val="SingleTxt"/>
        <w:rPr>
          <w:rFonts w:hint="eastAsia"/>
        </w:rPr>
      </w:pPr>
      <w:r>
        <w:rPr>
          <w:rFonts w:hint="eastAsia"/>
        </w:rPr>
        <w:tab/>
        <w:t>因此，主席们欢迎缔约国在联合国可持续发展大会成果文件中确认，未来可持续发展目标必须符合包括国际人权法律在内的国际法以及此种目标的效用。这为制定2015年后发展议程奠定了基础，该议程应符合各国自愿承担的法律义务，实现免于恐惧、免于匮乏的自由。</w:t>
      </w:r>
    </w:p>
    <w:p w:rsidR="00351F2F" w:rsidRDefault="00351F2F" w:rsidP="00351F2F">
      <w:pPr>
        <w:pStyle w:val="SingleTxt"/>
        <w:rPr>
          <w:rFonts w:hint="eastAsia"/>
        </w:rPr>
      </w:pPr>
      <w:r>
        <w:rPr>
          <w:rFonts w:hint="eastAsia"/>
        </w:rPr>
        <w:tab/>
        <w:t>主席们呼吁，国际社会通过2015年后发展议程应该：</w:t>
      </w:r>
    </w:p>
    <w:p w:rsidR="00351F2F" w:rsidRDefault="00351F2F" w:rsidP="00351F2F">
      <w:pPr>
        <w:pStyle w:val="SingleTxt"/>
        <w:rPr>
          <w:rFonts w:hint="eastAsia"/>
        </w:rPr>
      </w:pPr>
      <w:r>
        <w:rPr>
          <w:rFonts w:hint="eastAsia"/>
        </w:rPr>
        <w:tab/>
        <w:t>(a)</w:t>
      </w:r>
      <w:r>
        <w:rPr>
          <w:rFonts w:hint="eastAsia"/>
        </w:rPr>
        <w:tab/>
        <w:t>将人权义务纳入发展议程，其中包括具体人权指标，以便客观评估以人权为基础的可持续发展方面的进展；</w:t>
      </w:r>
    </w:p>
    <w:p w:rsidR="00351F2F" w:rsidRDefault="00351F2F" w:rsidP="00351F2F">
      <w:pPr>
        <w:pStyle w:val="SingleTxt"/>
        <w:rPr>
          <w:rFonts w:hint="eastAsia"/>
        </w:rPr>
      </w:pPr>
      <w:r>
        <w:rPr>
          <w:rFonts w:hint="eastAsia"/>
        </w:rPr>
        <w:tab/>
        <w:t>(b)</w:t>
      </w:r>
      <w:r>
        <w:rPr>
          <w:rFonts w:hint="eastAsia"/>
        </w:rPr>
        <w:tab/>
        <w:t>让包括条约机构和人权理事会特别程序在内的国家和国际人权机制参</w:t>
      </w:r>
      <w:r w:rsidRPr="0093499B">
        <w:rPr>
          <w:rFonts w:hint="eastAsia"/>
          <w:spacing w:val="2"/>
        </w:rPr>
        <w:t>与发展进程，以此作为问责机制和与人权有关的重要资料的来源；这些信息可用于评估实现发展目标方面的进展，发挥预警机制的作用，揭示本来会被掩盖的问题。</w:t>
      </w:r>
    </w:p>
    <w:p w:rsidR="00351F2F" w:rsidRDefault="00351F2F" w:rsidP="00351F2F">
      <w:pPr>
        <w:pStyle w:val="SingleTxt"/>
        <w:rPr>
          <w:rFonts w:hint="eastAsia"/>
        </w:rPr>
      </w:pPr>
      <w:r>
        <w:rPr>
          <w:rFonts w:hint="eastAsia"/>
        </w:rPr>
        <w:tab/>
        <w:t>特别是，主席们呼吁国际社会加强承担发展责任的各行为体的问责。通过将发展目标与各国根据人权条约承担的法定义务联系起来，更易追究发展行为体的责任，更好地界定其职责。这将进一步促使各国履行其在全球会议上作出的承诺。</w:t>
      </w:r>
    </w:p>
    <w:p w:rsidR="00351F2F" w:rsidRDefault="00351F2F" w:rsidP="00351F2F">
      <w:pPr>
        <w:pStyle w:val="SingleTxt"/>
        <w:rPr>
          <w:rFonts w:hint="eastAsia"/>
        </w:rPr>
      </w:pPr>
      <w:r>
        <w:rPr>
          <w:rFonts w:hint="eastAsia"/>
        </w:rPr>
        <w:tab/>
        <w:t>主席们认为，只有加强整个条约机构体系，才能确保问责，并要为此重点关注改善各缔约国的报告行为，更好地遵守针对各国提出的建议。在此方面，建设各国履行公约义务的能力是落实人权准则以及执行2015年后发展议程的共同前提。有必要继续鼓励缔约国定期提交报告，并加强人权在治理和国家发展规划中的核心地位。</w:t>
      </w:r>
    </w:p>
    <w:p w:rsidR="00351F2F" w:rsidRDefault="00351F2F" w:rsidP="00351F2F">
      <w:pPr>
        <w:pStyle w:val="SingleTxt"/>
        <w:rPr>
          <w:rFonts w:hint="eastAsia"/>
        </w:rPr>
      </w:pPr>
      <w:r>
        <w:rPr>
          <w:rFonts w:hint="eastAsia"/>
        </w:rPr>
        <w:tab/>
        <w:t>就主席们而言，各位主席致力于继续深思2015年后发展议程，并将在自身工作中鼓励各委员会审议发展目标对各自条约所载权利的影响。主席们还将鼓励各委员会在其与缔约国的建设性对话中酌情利用发展数据和报告。</w:t>
      </w:r>
    </w:p>
    <w:p w:rsidR="00351F2F" w:rsidRDefault="00351F2F" w:rsidP="00351F2F">
      <w:pPr>
        <w:pStyle w:val="SingleTxt"/>
        <w:rPr>
          <w:rFonts w:hint="eastAsia"/>
        </w:rPr>
      </w:pPr>
      <w:r>
        <w:rPr>
          <w:rFonts w:hint="eastAsia"/>
        </w:rPr>
        <w:tab/>
        <w:t>作为在实现尊重人权的可持续发展目标方面的积极伙伴，主席们将继续感兴趣地关注2015年后发展议程的制定；正如主席们在2010年千年首脑会议上发表的声明中强调指出，任何发展目标的实现“应该是在充分、有效地实现所有人权，普天同享这一更持久道路上迈出的重要一步。”</w:t>
      </w:r>
    </w:p>
    <w:p w:rsidR="00351F2F" w:rsidRDefault="00351F2F" w:rsidP="00351F2F">
      <w:pPr>
        <w:pStyle w:val="SingleTxt"/>
        <w:rPr>
          <w:rFonts w:hint="eastAsia"/>
        </w:rPr>
      </w:pPr>
    </w:p>
    <w:p w:rsidR="00351F2F" w:rsidRDefault="00351F2F" w:rsidP="00351F2F">
      <w:pPr>
        <w:pStyle w:val="SingleTxt"/>
        <w:ind w:left="0"/>
        <w:jc w:val="right"/>
        <w:rPr>
          <w:rFonts w:hint="eastAsia"/>
        </w:rPr>
      </w:pPr>
      <w:r>
        <w:rPr>
          <w:rFonts w:hint="eastAsia"/>
        </w:rPr>
        <w:t>2013年5月</w:t>
      </w:r>
    </w:p>
    <w:p w:rsidR="00EA31C3" w:rsidRPr="00351F2F" w:rsidRDefault="00351F2F" w:rsidP="00351F2F">
      <w:pPr>
        <w:pStyle w:val="SingleTxt"/>
        <w:spacing w:after="0" w:line="240" w:lineRule="auto"/>
        <w:ind w:left="0"/>
        <w:jc w:val="right"/>
      </w:pPr>
      <w:r>
        <w:rPr>
          <w:rFonts w:hint="eastAsia"/>
          <w:noProof/>
          <w:sz w:val="20"/>
        </w:rPr>
        <w:pict>
          <v:line id="_x0000_s1028" style="position:absolute;left:0;text-align:left;z-index:3;mso-position-horizontal:center" from="0,30pt" to="1in,30pt" strokeweight=".25pt"/>
        </w:pict>
      </w:r>
    </w:p>
    <w:sectPr w:rsidR="00EA31C3" w:rsidRPr="00351F2F" w:rsidSect="00703B5F">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9-18T15:39:00Z" w:initials="Start">
    <w:p w:rsidR="00363726" w:rsidRDefault="0036372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NO&gt;&gt;N1343138C&lt;&lt;ODS JOB NO&gt;&gt;</w:t>
      </w:r>
    </w:p>
    <w:p w:rsidR="00363726" w:rsidRDefault="00363726">
      <w:pPr>
        <w:pStyle w:val="CommentText"/>
      </w:pPr>
      <w:r>
        <w:t>&lt;&lt;ODS DOC SYMBOL1&gt;&gt;A/68/334&lt;&lt;ODS DOC SYMBOL1&gt;&gt;</w:t>
      </w:r>
    </w:p>
    <w:p w:rsidR="00363726" w:rsidRDefault="0036372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1762" w:rsidRDefault="00201762">
      <w:r>
        <w:separator/>
      </w:r>
    </w:p>
  </w:endnote>
  <w:endnote w:type="continuationSeparator" w:id="0">
    <w:p w:rsidR="00201762" w:rsidRDefault="002017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63726" w:rsidTr="00703B5F">
      <w:tblPrEx>
        <w:tblCellMar>
          <w:top w:w="0" w:type="dxa"/>
          <w:bottom w:w="0" w:type="dxa"/>
        </w:tblCellMar>
      </w:tblPrEx>
      <w:tc>
        <w:tcPr>
          <w:tcW w:w="5033" w:type="dxa"/>
          <w:shd w:val="clear" w:color="auto" w:fill="auto"/>
        </w:tcPr>
        <w:p w:rsidR="00363726" w:rsidRPr="00703B5F" w:rsidRDefault="00363726" w:rsidP="00703B5F">
          <w:pPr>
            <w:pStyle w:val="Footer"/>
            <w:jc w:val="right"/>
            <w:rPr>
              <w:b w:val="0"/>
              <w:w w:val="103"/>
              <w:sz w:val="14"/>
            </w:rPr>
          </w:pPr>
          <w:fldSimple w:instr=" DOCVARIABLE &quot;FooterJN&quot; \* MERGEFORMAT ">
            <w:r w:rsidR="009653E2">
              <w:rPr>
                <w:b w:val="0"/>
                <w:w w:val="103"/>
                <w:sz w:val="14"/>
              </w:rPr>
              <w:t>13-43138 (C)</w:t>
            </w:r>
          </w:fldSimple>
        </w:p>
      </w:tc>
      <w:tc>
        <w:tcPr>
          <w:tcW w:w="5033" w:type="dxa"/>
          <w:shd w:val="clear" w:color="auto" w:fill="auto"/>
        </w:tcPr>
        <w:p w:rsidR="00363726" w:rsidRPr="00703B5F" w:rsidRDefault="00363726" w:rsidP="00703B5F">
          <w:pPr>
            <w:pStyle w:val="Footer"/>
            <w:jc w:val="left"/>
            <w:rPr>
              <w:w w:val="103"/>
            </w:rPr>
          </w:pPr>
          <w:r>
            <w:rPr>
              <w:w w:val="103"/>
            </w:rPr>
            <w:fldChar w:fldCharType="begin"/>
          </w:r>
          <w:r>
            <w:rPr>
              <w:w w:val="103"/>
            </w:rPr>
            <w:instrText xml:space="preserve"> PAGE  \* Arabic  \* MERGEFORMAT </w:instrText>
          </w:r>
          <w:r>
            <w:rPr>
              <w:w w:val="103"/>
            </w:rPr>
            <w:fldChar w:fldCharType="separate"/>
          </w:r>
          <w:r w:rsidR="009653E2">
            <w:rPr>
              <w:w w:val="103"/>
            </w:rPr>
            <w:t>16</w:t>
          </w:r>
          <w:r>
            <w:rPr>
              <w:w w:val="103"/>
            </w:rPr>
            <w:fldChar w:fldCharType="end"/>
          </w:r>
          <w:r>
            <w:rPr>
              <w:w w:val="103"/>
            </w:rPr>
            <w:t>/</w:t>
          </w:r>
          <w:fldSimple w:instr=" NUMPAGES  \* Arabic  \* MERGEFORMAT ">
            <w:r w:rsidR="009653E2">
              <w:rPr>
                <w:w w:val="103"/>
              </w:rPr>
              <w:t>17</w:t>
            </w:r>
          </w:fldSimple>
        </w:p>
      </w:tc>
    </w:tr>
  </w:tbl>
  <w:p w:rsidR="00363726" w:rsidRPr="00703B5F" w:rsidRDefault="00363726" w:rsidP="00703B5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63726" w:rsidTr="00703B5F">
      <w:tblPrEx>
        <w:tblCellMar>
          <w:top w:w="0" w:type="dxa"/>
          <w:bottom w:w="0" w:type="dxa"/>
        </w:tblCellMar>
      </w:tblPrEx>
      <w:tc>
        <w:tcPr>
          <w:tcW w:w="5033" w:type="dxa"/>
          <w:shd w:val="clear" w:color="auto" w:fill="auto"/>
        </w:tcPr>
        <w:p w:rsidR="00363726" w:rsidRPr="00703B5F" w:rsidRDefault="00363726" w:rsidP="00703B5F">
          <w:pPr>
            <w:pStyle w:val="Footer"/>
            <w:jc w:val="right"/>
          </w:pPr>
          <w:fldSimple w:instr=" PAGE  \* Arabic  \* MERGEFORMAT ">
            <w:r w:rsidR="009653E2">
              <w:t>17</w:t>
            </w:r>
          </w:fldSimple>
          <w:r>
            <w:t>/</w:t>
          </w:r>
          <w:fldSimple w:instr=" NUMPAGES  \* Arabic  \* MERGEFORMAT ">
            <w:r w:rsidR="009653E2">
              <w:t>17</w:t>
            </w:r>
          </w:fldSimple>
        </w:p>
      </w:tc>
      <w:tc>
        <w:tcPr>
          <w:tcW w:w="5033" w:type="dxa"/>
          <w:shd w:val="clear" w:color="auto" w:fill="auto"/>
        </w:tcPr>
        <w:p w:rsidR="00363726" w:rsidRPr="00703B5F" w:rsidRDefault="00363726" w:rsidP="00703B5F">
          <w:pPr>
            <w:pStyle w:val="Footer"/>
            <w:jc w:val="left"/>
            <w:rPr>
              <w:b w:val="0"/>
              <w:w w:val="103"/>
              <w:sz w:val="14"/>
            </w:rPr>
          </w:pPr>
          <w:fldSimple w:instr=" DOCVARIABLE &quot;FooterJN&quot; \* MERGEFORMAT ">
            <w:r w:rsidR="009653E2">
              <w:rPr>
                <w:b w:val="0"/>
                <w:w w:val="103"/>
                <w:sz w:val="14"/>
              </w:rPr>
              <w:t>13-43138 (C)</w:t>
            </w:r>
          </w:fldSimple>
        </w:p>
      </w:tc>
    </w:tr>
  </w:tbl>
  <w:p w:rsidR="00363726" w:rsidRPr="00703B5F" w:rsidRDefault="00363726" w:rsidP="00703B5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363726" w:rsidTr="00703B5F">
      <w:tblPrEx>
        <w:tblCellMar>
          <w:top w:w="0" w:type="dxa"/>
          <w:bottom w:w="0" w:type="dxa"/>
        </w:tblCellMar>
      </w:tblPrEx>
      <w:tc>
        <w:tcPr>
          <w:tcW w:w="5033" w:type="dxa"/>
        </w:tcPr>
        <w:p w:rsidR="00363726" w:rsidRDefault="00363726" w:rsidP="00703B5F">
          <w:pPr>
            <w:pStyle w:val="Footer"/>
            <w:rPr>
              <w:b w:val="0"/>
              <w:sz w:val="21"/>
            </w:rPr>
          </w:pPr>
          <w:fldSimple w:instr=" DOCVARIABLE &quot;jobn&quot; \* MERGEFORMAT ">
            <w:r w:rsidR="009653E2">
              <w:rPr>
                <w:b w:val="0"/>
                <w:sz w:val="21"/>
              </w:rPr>
              <w:t>13-43138 (C)</w:t>
            </w:r>
          </w:fldSimple>
          <w:r>
            <w:rPr>
              <w:b w:val="0"/>
              <w:sz w:val="21"/>
            </w:rPr>
            <w:t xml:space="preserve">    160913    180913</w:t>
          </w:r>
        </w:p>
        <w:p w:rsidR="00363726" w:rsidRPr="00703B5F" w:rsidRDefault="00363726" w:rsidP="00703B5F">
          <w:pPr>
            <w:spacing w:before="80" w:line="210" w:lineRule="exact"/>
            <w:rPr>
              <w:rFonts w:ascii="Barcode 3 of 9 by request" w:hAnsi="Barcode 3 of 9 by request"/>
              <w:sz w:val="24"/>
            </w:rPr>
          </w:pPr>
          <w:r>
            <w:rPr>
              <w:rFonts w:ascii="Barcode 3 of 9 by request" w:hAnsi="Barcode 3 of 9 by request"/>
              <w:sz w:val="24"/>
            </w:rPr>
            <w:t>*1343138C*</w:t>
          </w:r>
        </w:p>
      </w:tc>
      <w:tc>
        <w:tcPr>
          <w:tcW w:w="3686" w:type="dxa"/>
        </w:tcPr>
        <w:p w:rsidR="00363726" w:rsidRDefault="00363726" w:rsidP="00703B5F">
          <w:pPr>
            <w:pStyle w:val="Footer"/>
            <w:jc w:val="right"/>
            <w:rPr>
              <w:b w:val="0"/>
              <w:sz w:val="21"/>
            </w:rPr>
          </w:pPr>
          <w:r w:rsidRPr="00703B5F">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363726" w:rsidRPr="00703B5F" w:rsidRDefault="00363726" w:rsidP="00703B5F">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1762" w:rsidRPr="00753D4C" w:rsidRDefault="00201762" w:rsidP="00753D4C">
      <w:pPr>
        <w:pStyle w:val="Footer"/>
        <w:spacing w:after="80"/>
        <w:ind w:left="792"/>
        <w:rPr>
          <w:sz w:val="16"/>
        </w:rPr>
      </w:pPr>
      <w:r w:rsidRPr="00753D4C">
        <w:rPr>
          <w:sz w:val="16"/>
        </w:rPr>
        <w:t>__________________</w:t>
      </w:r>
    </w:p>
  </w:footnote>
  <w:footnote w:type="continuationSeparator" w:id="0">
    <w:p w:rsidR="00201762" w:rsidRPr="00753D4C" w:rsidRDefault="00201762" w:rsidP="00753D4C">
      <w:pPr>
        <w:pStyle w:val="Footer"/>
        <w:spacing w:after="80"/>
        <w:ind w:left="792"/>
        <w:rPr>
          <w:sz w:val="16"/>
        </w:rPr>
      </w:pPr>
      <w:r w:rsidRPr="00753D4C">
        <w:rPr>
          <w:sz w:val="16"/>
        </w:rPr>
        <w:t>__________________</w:t>
      </w:r>
    </w:p>
  </w:footnote>
  <w:footnote w:id="1">
    <w:p w:rsidR="00363726" w:rsidRDefault="00363726" w:rsidP="00753D4C">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t>a</w:t>
      </w:r>
      <w:r>
        <w:tab/>
      </w:r>
      <w:r w:rsidRPr="00B714D0">
        <w:rPr>
          <w:rFonts w:hint="eastAsia"/>
        </w:rPr>
        <w:t>人权事务委员会</w:t>
      </w:r>
      <w:r>
        <w:rPr>
          <w:rFonts w:hint="eastAsia"/>
        </w:rPr>
        <w:t>；</w:t>
      </w:r>
      <w:r w:rsidRPr="00B714D0">
        <w:rPr>
          <w:rFonts w:hint="eastAsia"/>
        </w:rPr>
        <w:t>经济、社会及文化权利委员会</w:t>
      </w:r>
      <w:r>
        <w:rPr>
          <w:rFonts w:hint="eastAsia"/>
        </w:rPr>
        <w:t>；</w:t>
      </w:r>
      <w:r w:rsidRPr="00B714D0">
        <w:rPr>
          <w:rFonts w:hint="eastAsia"/>
        </w:rPr>
        <w:t>消除种族歧视委员会</w:t>
      </w:r>
      <w:r>
        <w:rPr>
          <w:rFonts w:hint="eastAsia"/>
        </w:rPr>
        <w:t>；</w:t>
      </w:r>
      <w:r w:rsidRPr="00B714D0">
        <w:rPr>
          <w:rFonts w:hint="eastAsia"/>
        </w:rPr>
        <w:t>消除对妇女歧视委员会</w:t>
      </w:r>
      <w:r>
        <w:rPr>
          <w:rFonts w:hint="eastAsia"/>
        </w:rPr>
        <w:t>；</w:t>
      </w:r>
      <w:r w:rsidRPr="00B714D0">
        <w:rPr>
          <w:rFonts w:hint="eastAsia"/>
        </w:rPr>
        <w:t>禁止酷刑委员会</w:t>
      </w:r>
      <w:r>
        <w:rPr>
          <w:rFonts w:hint="eastAsia"/>
        </w:rPr>
        <w:t>；</w:t>
      </w:r>
      <w:r w:rsidRPr="00B714D0">
        <w:rPr>
          <w:rFonts w:hint="eastAsia"/>
        </w:rPr>
        <w:t>儿童权利委员</w:t>
      </w:r>
      <w:r>
        <w:rPr>
          <w:rFonts w:hint="eastAsia"/>
        </w:rPr>
        <w:t>会；保护所有移徙工人及其家庭成员权利委员会；残疾人权利委员会；</w:t>
      </w:r>
      <w:r w:rsidRPr="00B714D0">
        <w:rPr>
          <w:rFonts w:hint="eastAsia"/>
        </w:rPr>
        <w:t>防</w:t>
      </w:r>
      <w:r>
        <w:rPr>
          <w:rFonts w:hint="eastAsia"/>
        </w:rPr>
        <w:t>范</w:t>
      </w:r>
      <w:r w:rsidRPr="00B714D0">
        <w:rPr>
          <w:rFonts w:hint="eastAsia"/>
        </w:rPr>
        <w:t>酷刑小组委员会和强迫失踪问题委员会。</w:t>
      </w:r>
    </w:p>
  </w:footnote>
  <w:footnote w:id="2">
    <w:p w:rsidR="00363726" w:rsidRDefault="00363726" w:rsidP="00753D4C">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t>b</w:t>
      </w:r>
      <w:r>
        <w:tab/>
      </w:r>
      <w:r w:rsidRPr="00B714D0">
        <w:rPr>
          <w:rFonts w:hint="eastAsia"/>
        </w:rPr>
        <w:t>见联合国条约机构主席的联合声明：2011年7月，《发展权利宣言》二十五周年纪念。可查阅：</w:t>
      </w:r>
      <w:hyperlink r:id="rId1" w:history="1">
        <w:r w:rsidRPr="000E79A5">
          <w:rPr>
            <w:rStyle w:val="Hyperlink"/>
            <w:rFonts w:hint="eastAsia"/>
          </w:rPr>
          <w:t>www.ohchr.org</w:t>
        </w:r>
      </w:hyperlink>
      <w:r w:rsidRPr="00B714D0">
        <w:rPr>
          <w:rFonts w:hint="eastAsia"/>
        </w:rPr>
        <w:t>。</w:t>
      </w:r>
    </w:p>
  </w:footnote>
  <w:footnote w:id="3">
    <w:p w:rsidR="00363726" w:rsidRDefault="00363726" w:rsidP="00753D4C">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t>c</w:t>
      </w:r>
      <w:r>
        <w:tab/>
      </w:r>
      <w:r w:rsidRPr="00B714D0">
        <w:rPr>
          <w:rFonts w:hint="eastAsia"/>
        </w:rPr>
        <w:t>《发展权利宣言》发表二十五周年之际所通过的关于发展权的重要性和现实意义的声明，经济、社会及文化权利委员会第四十六届会议通过</w:t>
      </w:r>
      <w:r>
        <w:rPr>
          <w:rFonts w:hint="eastAsia"/>
        </w:rPr>
        <w:t>该声明(</w:t>
      </w:r>
      <w:r w:rsidRPr="00B714D0">
        <w:rPr>
          <w:rFonts w:hint="eastAsia"/>
        </w:rPr>
        <w:t>E/C.12/2011/2</w:t>
      </w:r>
      <w:r>
        <w:rPr>
          <w:rFonts w:hint="eastAsia"/>
        </w:rPr>
        <w:t>)</w:t>
      </w:r>
      <w:r w:rsidRPr="00B714D0">
        <w:rPr>
          <w:rFonts w:hint="eastAsia"/>
        </w:rPr>
        <w:t>，第6段。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63726" w:rsidTr="00703B5F">
      <w:tblPrEx>
        <w:tblCellMar>
          <w:top w:w="0" w:type="dxa"/>
          <w:bottom w:w="0" w:type="dxa"/>
        </w:tblCellMar>
      </w:tblPrEx>
      <w:trPr>
        <w:trHeight w:hRule="exact" w:val="864"/>
      </w:trPr>
      <w:tc>
        <w:tcPr>
          <w:tcW w:w="4838" w:type="dxa"/>
          <w:shd w:val="clear" w:color="auto" w:fill="auto"/>
          <w:vAlign w:val="bottom"/>
        </w:tcPr>
        <w:p w:rsidR="00363726" w:rsidRPr="00703B5F" w:rsidRDefault="00363726" w:rsidP="00703B5F">
          <w:pPr>
            <w:pStyle w:val="Header"/>
            <w:spacing w:after="80"/>
            <w:jc w:val="left"/>
            <w:rPr>
              <w:b/>
              <w:sz w:val="17"/>
            </w:rPr>
          </w:pPr>
          <w:fldSimple w:instr=" DOCVARIABLE &quot;sss1&quot; \* MERGEFORMAT ">
            <w:r w:rsidR="009653E2">
              <w:rPr>
                <w:b/>
                <w:sz w:val="17"/>
              </w:rPr>
              <w:t>A/68/334</w:t>
            </w:r>
          </w:fldSimple>
        </w:p>
      </w:tc>
      <w:tc>
        <w:tcPr>
          <w:tcW w:w="5033" w:type="dxa"/>
          <w:shd w:val="clear" w:color="auto" w:fill="auto"/>
          <w:vAlign w:val="bottom"/>
        </w:tcPr>
        <w:p w:rsidR="00363726" w:rsidRDefault="00363726" w:rsidP="00703B5F">
          <w:pPr>
            <w:pStyle w:val="Header"/>
          </w:pPr>
        </w:p>
      </w:tc>
    </w:tr>
  </w:tbl>
  <w:p w:rsidR="00363726" w:rsidRPr="00703B5F" w:rsidRDefault="00363726" w:rsidP="00703B5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63726" w:rsidTr="00703B5F">
      <w:tblPrEx>
        <w:tblCellMar>
          <w:top w:w="0" w:type="dxa"/>
          <w:bottom w:w="0" w:type="dxa"/>
        </w:tblCellMar>
      </w:tblPrEx>
      <w:trPr>
        <w:trHeight w:hRule="exact" w:val="864"/>
      </w:trPr>
      <w:tc>
        <w:tcPr>
          <w:tcW w:w="4838" w:type="dxa"/>
          <w:shd w:val="clear" w:color="auto" w:fill="auto"/>
          <w:vAlign w:val="bottom"/>
        </w:tcPr>
        <w:p w:rsidR="00363726" w:rsidRDefault="00363726" w:rsidP="00703B5F">
          <w:pPr>
            <w:pStyle w:val="Header"/>
          </w:pPr>
        </w:p>
      </w:tc>
      <w:tc>
        <w:tcPr>
          <w:tcW w:w="5033" w:type="dxa"/>
          <w:shd w:val="clear" w:color="auto" w:fill="auto"/>
          <w:vAlign w:val="bottom"/>
        </w:tcPr>
        <w:p w:rsidR="00363726" w:rsidRPr="00703B5F" w:rsidRDefault="00363726" w:rsidP="00703B5F">
          <w:pPr>
            <w:pStyle w:val="Header"/>
            <w:spacing w:after="80"/>
            <w:jc w:val="right"/>
            <w:rPr>
              <w:b/>
              <w:sz w:val="17"/>
            </w:rPr>
          </w:pPr>
          <w:fldSimple w:instr=" DOCVARIABLE &quot;sss1&quot; \* MERGEFORMAT ">
            <w:r w:rsidR="009653E2">
              <w:rPr>
                <w:b/>
                <w:sz w:val="17"/>
              </w:rPr>
              <w:t>A/68/334</w:t>
            </w:r>
          </w:fldSimple>
        </w:p>
      </w:tc>
    </w:tr>
  </w:tbl>
  <w:p w:rsidR="00363726" w:rsidRPr="00703B5F" w:rsidRDefault="00363726" w:rsidP="00703B5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363726" w:rsidTr="00703B5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63726" w:rsidRDefault="00363726" w:rsidP="00703B5F">
          <w:pPr>
            <w:pStyle w:val="Header"/>
            <w:spacing w:after="120"/>
          </w:pPr>
        </w:p>
      </w:tc>
      <w:tc>
        <w:tcPr>
          <w:tcW w:w="1872" w:type="dxa"/>
          <w:tcBorders>
            <w:bottom w:val="single" w:sz="4" w:space="0" w:color="auto"/>
          </w:tcBorders>
          <w:shd w:val="clear" w:color="auto" w:fill="auto"/>
          <w:vAlign w:val="bottom"/>
        </w:tcPr>
        <w:p w:rsidR="00363726" w:rsidRPr="00703B5F" w:rsidRDefault="00363726" w:rsidP="00703B5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63726" w:rsidRDefault="00363726" w:rsidP="00703B5F">
          <w:pPr>
            <w:pStyle w:val="Header"/>
            <w:spacing w:after="120"/>
          </w:pPr>
        </w:p>
      </w:tc>
      <w:tc>
        <w:tcPr>
          <w:tcW w:w="6523" w:type="dxa"/>
          <w:gridSpan w:val="3"/>
          <w:tcBorders>
            <w:bottom w:val="single" w:sz="4" w:space="0" w:color="auto"/>
          </w:tcBorders>
          <w:shd w:val="clear" w:color="auto" w:fill="auto"/>
          <w:vAlign w:val="bottom"/>
        </w:tcPr>
        <w:p w:rsidR="00363726" w:rsidRPr="00703B5F" w:rsidRDefault="00363726" w:rsidP="00703B5F">
          <w:pPr>
            <w:spacing w:after="80" w:line="240" w:lineRule="auto"/>
            <w:jc w:val="right"/>
            <w:rPr>
              <w:rFonts w:ascii="Times New Roman"/>
              <w:position w:val="-4"/>
            </w:rPr>
          </w:pPr>
          <w:r>
            <w:rPr>
              <w:rFonts w:ascii="Times New Roman"/>
              <w:position w:val="-4"/>
              <w:sz w:val="40"/>
            </w:rPr>
            <w:t>A</w:t>
          </w:r>
          <w:r>
            <w:rPr>
              <w:rFonts w:ascii="Times New Roman"/>
              <w:position w:val="-4"/>
            </w:rPr>
            <w:t>/68/334</w:t>
          </w:r>
        </w:p>
      </w:tc>
    </w:tr>
    <w:tr w:rsidR="00363726" w:rsidRPr="00703B5F" w:rsidTr="00703B5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63726" w:rsidRDefault="00363726" w:rsidP="00703B5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63726" w:rsidRPr="00703B5F" w:rsidRDefault="00363726" w:rsidP="00703B5F">
          <w:pPr>
            <w:pStyle w:val="Header"/>
            <w:spacing w:before="109"/>
            <w:ind w:left="-72"/>
          </w:pPr>
        </w:p>
      </w:tc>
      <w:tc>
        <w:tcPr>
          <w:tcW w:w="5227" w:type="dxa"/>
          <w:gridSpan w:val="3"/>
          <w:tcBorders>
            <w:top w:val="single" w:sz="4" w:space="0" w:color="auto"/>
            <w:bottom w:val="single" w:sz="12" w:space="0" w:color="auto"/>
          </w:tcBorders>
          <w:shd w:val="clear" w:color="auto" w:fill="auto"/>
        </w:tcPr>
        <w:p w:rsidR="00363726" w:rsidRPr="00703B5F" w:rsidRDefault="00363726" w:rsidP="00703B5F">
          <w:pPr>
            <w:pStyle w:val="XLarge"/>
            <w:spacing w:before="109" w:after="140" w:line="440" w:lineRule="exact"/>
            <w:rPr>
              <w:sz w:val="38"/>
            </w:rPr>
          </w:pPr>
          <w:r>
            <w:rPr>
              <w:rFonts w:hint="eastAsia"/>
              <w:sz w:val="38"/>
            </w:rPr>
            <w:t>大  会</w:t>
          </w:r>
        </w:p>
      </w:tc>
      <w:tc>
        <w:tcPr>
          <w:tcW w:w="245" w:type="dxa"/>
          <w:tcBorders>
            <w:top w:val="single" w:sz="4" w:space="0" w:color="auto"/>
            <w:bottom w:val="single" w:sz="12" w:space="0" w:color="auto"/>
          </w:tcBorders>
          <w:shd w:val="clear" w:color="auto" w:fill="auto"/>
        </w:tcPr>
        <w:p w:rsidR="00363726" w:rsidRPr="00703B5F" w:rsidRDefault="00363726" w:rsidP="00703B5F">
          <w:pPr>
            <w:pStyle w:val="Header"/>
            <w:spacing w:before="109"/>
          </w:pPr>
        </w:p>
      </w:tc>
      <w:tc>
        <w:tcPr>
          <w:tcW w:w="3180" w:type="dxa"/>
          <w:gridSpan w:val="2"/>
          <w:tcBorders>
            <w:top w:val="single" w:sz="4" w:space="0" w:color="auto"/>
            <w:bottom w:val="single" w:sz="12" w:space="0" w:color="auto"/>
          </w:tcBorders>
          <w:shd w:val="clear" w:color="auto" w:fill="auto"/>
        </w:tcPr>
        <w:p w:rsidR="00363726" w:rsidRDefault="00363726" w:rsidP="00703B5F">
          <w:pPr>
            <w:spacing w:before="240" w:line="240" w:lineRule="exact"/>
            <w:rPr>
              <w:rFonts w:ascii="Times New Roman"/>
            </w:rPr>
          </w:pPr>
          <w:r>
            <w:rPr>
              <w:rFonts w:ascii="Times New Roman"/>
            </w:rPr>
            <w:t>Distr.: General</w:t>
          </w:r>
        </w:p>
        <w:p w:rsidR="00363726" w:rsidRDefault="00363726" w:rsidP="00703B5F">
          <w:pPr>
            <w:spacing w:line="240" w:lineRule="exact"/>
            <w:rPr>
              <w:rFonts w:ascii="Times New Roman"/>
            </w:rPr>
          </w:pPr>
          <w:r>
            <w:rPr>
              <w:rFonts w:ascii="Times New Roman"/>
            </w:rPr>
            <w:t>19 August 2013</w:t>
          </w:r>
        </w:p>
        <w:p w:rsidR="00363726" w:rsidRDefault="00363726" w:rsidP="00703B5F">
          <w:pPr>
            <w:spacing w:line="240" w:lineRule="exact"/>
            <w:rPr>
              <w:rFonts w:ascii="Times New Roman"/>
            </w:rPr>
          </w:pPr>
          <w:r>
            <w:rPr>
              <w:rFonts w:ascii="Times New Roman"/>
            </w:rPr>
            <w:t>Chinese</w:t>
          </w:r>
        </w:p>
        <w:p w:rsidR="00363726" w:rsidRPr="00703B5F" w:rsidRDefault="00363726" w:rsidP="00703B5F">
          <w:pPr>
            <w:spacing w:line="240" w:lineRule="exact"/>
            <w:rPr>
              <w:rFonts w:ascii="Times New Roman"/>
            </w:rPr>
          </w:pPr>
          <w:r>
            <w:rPr>
              <w:rFonts w:ascii="Times New Roman"/>
            </w:rPr>
            <w:t>Original: English</w:t>
          </w:r>
        </w:p>
      </w:tc>
    </w:tr>
  </w:tbl>
  <w:p w:rsidR="00363726" w:rsidRPr="00703B5F" w:rsidRDefault="00363726" w:rsidP="00703B5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0ECD0BB1"/>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48F776E6"/>
    <w:multiLevelType w:val="multilevel"/>
    <w:tmpl w:val="90F2FD18"/>
    <w:name w:val="TOC2223"/>
    <w:lvl w:ilvl="0">
      <w:start w:val="1"/>
      <w:numFmt w:val="ideographDigital"/>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4B8C071F"/>
    <w:multiLevelType w:val="multilevel"/>
    <w:tmpl w:val="B60C5C6C"/>
    <w:lvl w:ilvl="0">
      <w:start w:val="1"/>
      <w:numFmt w:val="decimal"/>
      <w:lvlText w:val="%1."/>
      <w:lvlJc w:val="left"/>
      <w:pPr>
        <w:tabs>
          <w:tab w:val="num" w:pos="959"/>
        </w:tabs>
        <w:ind w:left="959" w:hanging="420"/>
      </w:pPr>
    </w:lvl>
    <w:lvl w:ilvl="1">
      <w:start w:val="1"/>
      <w:numFmt w:val="lowerLetter"/>
      <w:lvlText w:val="%2)"/>
      <w:lvlJc w:val="left"/>
      <w:pPr>
        <w:tabs>
          <w:tab w:val="num" w:pos="1379"/>
        </w:tabs>
        <w:ind w:left="1379" w:hanging="420"/>
      </w:pPr>
    </w:lvl>
    <w:lvl w:ilvl="2">
      <w:start w:val="1"/>
      <w:numFmt w:val="lowerRoman"/>
      <w:lvlText w:val="%3."/>
      <w:lvlJc w:val="right"/>
      <w:pPr>
        <w:tabs>
          <w:tab w:val="num" w:pos="1799"/>
        </w:tabs>
        <w:ind w:left="1799" w:hanging="420"/>
      </w:pPr>
    </w:lvl>
    <w:lvl w:ilvl="3">
      <w:start w:val="1"/>
      <w:numFmt w:val="decimal"/>
      <w:lvlText w:val="%4."/>
      <w:lvlJc w:val="left"/>
      <w:pPr>
        <w:tabs>
          <w:tab w:val="num" w:pos="2219"/>
        </w:tabs>
        <w:ind w:left="2219" w:hanging="420"/>
      </w:pPr>
    </w:lvl>
    <w:lvl w:ilvl="4">
      <w:start w:val="1"/>
      <w:numFmt w:val="lowerLetter"/>
      <w:lvlText w:val="%5)"/>
      <w:lvlJc w:val="left"/>
      <w:pPr>
        <w:tabs>
          <w:tab w:val="num" w:pos="2639"/>
        </w:tabs>
        <w:ind w:left="2639" w:hanging="420"/>
      </w:pPr>
    </w:lvl>
    <w:lvl w:ilvl="5">
      <w:start w:val="1"/>
      <w:numFmt w:val="lowerRoman"/>
      <w:lvlText w:val="%6."/>
      <w:lvlJc w:val="right"/>
      <w:pPr>
        <w:tabs>
          <w:tab w:val="num" w:pos="3059"/>
        </w:tabs>
        <w:ind w:left="3059" w:hanging="420"/>
      </w:pPr>
    </w:lvl>
    <w:lvl w:ilvl="6">
      <w:start w:val="1"/>
      <w:numFmt w:val="decimal"/>
      <w:lvlText w:val="%7."/>
      <w:lvlJc w:val="left"/>
      <w:pPr>
        <w:tabs>
          <w:tab w:val="num" w:pos="3479"/>
        </w:tabs>
        <w:ind w:left="3479" w:hanging="420"/>
      </w:pPr>
    </w:lvl>
    <w:lvl w:ilvl="7">
      <w:start w:val="1"/>
      <w:numFmt w:val="lowerLetter"/>
      <w:lvlText w:val="%8)"/>
      <w:lvlJc w:val="left"/>
      <w:pPr>
        <w:tabs>
          <w:tab w:val="num" w:pos="3899"/>
        </w:tabs>
        <w:ind w:left="3899" w:hanging="420"/>
      </w:pPr>
    </w:lvl>
    <w:lvl w:ilvl="8">
      <w:start w:val="1"/>
      <w:numFmt w:val="lowerRoman"/>
      <w:lvlText w:val="%9."/>
      <w:lvlJc w:val="right"/>
      <w:pPr>
        <w:tabs>
          <w:tab w:val="num" w:pos="4319"/>
        </w:tabs>
        <w:ind w:left="4319" w:hanging="420"/>
      </w:pPr>
    </w:lvl>
  </w:abstractNum>
  <w:abstractNum w:abstractNumId="5">
    <w:nsid w:val="62AF197D"/>
    <w:multiLevelType w:val="hybridMultilevel"/>
    <w:tmpl w:val="3166710C"/>
    <w:name w:val="TOC2222"/>
    <w:lvl w:ilvl="0" w:tplc="26B672B2">
      <w:start w:val="1"/>
      <w:numFmt w:val="ideographDigital"/>
      <w:lvlText w:val="%1."/>
      <w:lvlJc w:val="left"/>
      <w:pPr>
        <w:tabs>
          <w:tab w:val="num" w:pos="1282"/>
        </w:tabs>
        <w:ind w:left="1282" w:hanging="420"/>
      </w:pPr>
      <w:rPr>
        <w:rFonts w:hint="eastAsia"/>
      </w:rPr>
    </w:lvl>
    <w:lvl w:ilvl="1" w:tplc="04090019" w:tentative="1">
      <w:start w:val="1"/>
      <w:numFmt w:val="lowerLetter"/>
      <w:lvlText w:val="%2)"/>
      <w:lvlJc w:val="left"/>
      <w:pPr>
        <w:tabs>
          <w:tab w:val="num" w:pos="1702"/>
        </w:tabs>
        <w:ind w:left="1702" w:hanging="420"/>
      </w:pPr>
    </w:lvl>
    <w:lvl w:ilvl="2" w:tplc="0409001B" w:tentative="1">
      <w:start w:val="1"/>
      <w:numFmt w:val="lowerRoman"/>
      <w:lvlText w:val="%3."/>
      <w:lvlJc w:val="right"/>
      <w:pPr>
        <w:tabs>
          <w:tab w:val="num" w:pos="2122"/>
        </w:tabs>
        <w:ind w:left="2122" w:hanging="420"/>
      </w:pPr>
    </w:lvl>
    <w:lvl w:ilvl="3" w:tplc="0409000F" w:tentative="1">
      <w:start w:val="1"/>
      <w:numFmt w:val="decimal"/>
      <w:lvlText w:val="%4."/>
      <w:lvlJc w:val="left"/>
      <w:pPr>
        <w:tabs>
          <w:tab w:val="num" w:pos="2542"/>
        </w:tabs>
        <w:ind w:left="2542" w:hanging="420"/>
      </w:pPr>
    </w:lvl>
    <w:lvl w:ilvl="4" w:tplc="04090019" w:tentative="1">
      <w:start w:val="1"/>
      <w:numFmt w:val="lowerLetter"/>
      <w:lvlText w:val="%5)"/>
      <w:lvlJc w:val="left"/>
      <w:pPr>
        <w:tabs>
          <w:tab w:val="num" w:pos="2962"/>
        </w:tabs>
        <w:ind w:left="2962" w:hanging="420"/>
      </w:pPr>
    </w:lvl>
    <w:lvl w:ilvl="5" w:tplc="0409001B" w:tentative="1">
      <w:start w:val="1"/>
      <w:numFmt w:val="lowerRoman"/>
      <w:lvlText w:val="%6."/>
      <w:lvlJc w:val="right"/>
      <w:pPr>
        <w:tabs>
          <w:tab w:val="num" w:pos="3382"/>
        </w:tabs>
        <w:ind w:left="3382" w:hanging="420"/>
      </w:pPr>
    </w:lvl>
    <w:lvl w:ilvl="6" w:tplc="0409000F" w:tentative="1">
      <w:start w:val="1"/>
      <w:numFmt w:val="decimal"/>
      <w:lvlText w:val="%7."/>
      <w:lvlJc w:val="left"/>
      <w:pPr>
        <w:tabs>
          <w:tab w:val="num" w:pos="3802"/>
        </w:tabs>
        <w:ind w:left="3802" w:hanging="420"/>
      </w:pPr>
    </w:lvl>
    <w:lvl w:ilvl="7" w:tplc="04090019" w:tentative="1">
      <w:start w:val="1"/>
      <w:numFmt w:val="lowerLetter"/>
      <w:lvlText w:val="%8)"/>
      <w:lvlJc w:val="left"/>
      <w:pPr>
        <w:tabs>
          <w:tab w:val="num" w:pos="4222"/>
        </w:tabs>
        <w:ind w:left="4222" w:hanging="420"/>
      </w:pPr>
    </w:lvl>
    <w:lvl w:ilvl="8" w:tplc="0409001B" w:tentative="1">
      <w:start w:val="1"/>
      <w:numFmt w:val="lowerRoman"/>
      <w:lvlText w:val="%9."/>
      <w:lvlJc w:val="right"/>
      <w:pPr>
        <w:tabs>
          <w:tab w:val="num" w:pos="4642"/>
        </w:tabs>
        <w:ind w:left="4642" w:hanging="420"/>
      </w:pPr>
    </w:lvl>
  </w:abstractNum>
  <w:abstractNum w:abstractNumId="6">
    <w:nsid w:val="7B135F22"/>
    <w:multiLevelType w:val="hybridMultilevel"/>
    <w:tmpl w:val="B60C5C6C"/>
    <w:lvl w:ilvl="0" w:tplc="0409000F">
      <w:start w:val="1"/>
      <w:numFmt w:val="decimal"/>
      <w:lvlText w:val="%1."/>
      <w:lvlJc w:val="left"/>
      <w:pPr>
        <w:tabs>
          <w:tab w:val="num" w:pos="959"/>
        </w:tabs>
        <w:ind w:left="959" w:hanging="420"/>
      </w:pPr>
    </w:lvl>
    <w:lvl w:ilvl="1" w:tplc="04090019" w:tentative="1">
      <w:start w:val="1"/>
      <w:numFmt w:val="lowerLetter"/>
      <w:lvlText w:val="%2)"/>
      <w:lvlJc w:val="left"/>
      <w:pPr>
        <w:tabs>
          <w:tab w:val="num" w:pos="1379"/>
        </w:tabs>
        <w:ind w:left="1379" w:hanging="420"/>
      </w:pPr>
    </w:lvl>
    <w:lvl w:ilvl="2" w:tplc="0409001B" w:tentative="1">
      <w:start w:val="1"/>
      <w:numFmt w:val="lowerRoman"/>
      <w:lvlText w:val="%3."/>
      <w:lvlJc w:val="right"/>
      <w:pPr>
        <w:tabs>
          <w:tab w:val="num" w:pos="1799"/>
        </w:tabs>
        <w:ind w:left="1799" w:hanging="420"/>
      </w:pPr>
    </w:lvl>
    <w:lvl w:ilvl="3" w:tplc="0409000F" w:tentative="1">
      <w:start w:val="1"/>
      <w:numFmt w:val="decimal"/>
      <w:lvlText w:val="%4."/>
      <w:lvlJc w:val="left"/>
      <w:pPr>
        <w:tabs>
          <w:tab w:val="num" w:pos="2219"/>
        </w:tabs>
        <w:ind w:left="2219" w:hanging="420"/>
      </w:pPr>
    </w:lvl>
    <w:lvl w:ilvl="4" w:tplc="04090019" w:tentative="1">
      <w:start w:val="1"/>
      <w:numFmt w:val="lowerLetter"/>
      <w:lvlText w:val="%5)"/>
      <w:lvlJc w:val="left"/>
      <w:pPr>
        <w:tabs>
          <w:tab w:val="num" w:pos="2639"/>
        </w:tabs>
        <w:ind w:left="2639" w:hanging="420"/>
      </w:pPr>
    </w:lvl>
    <w:lvl w:ilvl="5" w:tplc="0409001B" w:tentative="1">
      <w:start w:val="1"/>
      <w:numFmt w:val="lowerRoman"/>
      <w:lvlText w:val="%6."/>
      <w:lvlJc w:val="right"/>
      <w:pPr>
        <w:tabs>
          <w:tab w:val="num" w:pos="3059"/>
        </w:tabs>
        <w:ind w:left="3059" w:hanging="420"/>
      </w:pPr>
    </w:lvl>
    <w:lvl w:ilvl="6" w:tplc="0409000F" w:tentative="1">
      <w:start w:val="1"/>
      <w:numFmt w:val="decimal"/>
      <w:lvlText w:val="%7."/>
      <w:lvlJc w:val="left"/>
      <w:pPr>
        <w:tabs>
          <w:tab w:val="num" w:pos="3479"/>
        </w:tabs>
        <w:ind w:left="3479" w:hanging="420"/>
      </w:pPr>
    </w:lvl>
    <w:lvl w:ilvl="7" w:tplc="04090019" w:tentative="1">
      <w:start w:val="1"/>
      <w:numFmt w:val="lowerLetter"/>
      <w:lvlText w:val="%8)"/>
      <w:lvlJc w:val="left"/>
      <w:pPr>
        <w:tabs>
          <w:tab w:val="num" w:pos="3899"/>
        </w:tabs>
        <w:ind w:left="3899" w:hanging="420"/>
      </w:pPr>
    </w:lvl>
    <w:lvl w:ilvl="8" w:tplc="0409001B" w:tentative="1">
      <w:start w:val="1"/>
      <w:numFmt w:val="lowerRoman"/>
      <w:lvlText w:val="%9."/>
      <w:lvlJc w:val="right"/>
      <w:pPr>
        <w:tabs>
          <w:tab w:val="num" w:pos="4319"/>
        </w:tabs>
        <w:ind w:left="4319" w:hanging="420"/>
      </w:pPr>
    </w:lvl>
  </w:abstractNum>
  <w:num w:numId="1">
    <w:abstractNumId w:val="0"/>
  </w:num>
  <w:num w:numId="2">
    <w:abstractNumId w:val="2"/>
  </w:num>
  <w:num w:numId="3">
    <w:abstractNumId w:val="6"/>
  </w:num>
  <w:num w:numId="4">
    <w:abstractNumId w:val="4"/>
  </w:num>
  <w:num w:numId="5">
    <w:abstractNumId w:val="5"/>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3138*"/>
    <w:docVar w:name="CreationDt" w:val="18/09/2013 14:51:11"/>
    <w:docVar w:name="DocCategory" w:val="Doc"/>
    <w:docVar w:name="DocType" w:val="Final"/>
    <w:docVar w:name="FooterJN" w:val="13-43138 (C)"/>
    <w:docVar w:name="jobn" w:val="13-43138 (C)"/>
    <w:docVar w:name="jobnDT" w:val="13-43138 (C)   180913"/>
    <w:docVar w:name="jobnDTDT" w:val="13-43138 (C)   180913   180913"/>
    <w:docVar w:name="JobNo" w:val="1343138C"/>
    <w:docVar w:name="OandT" w:val="flp"/>
    <w:docVar w:name="sss1" w:val="A/68/334"/>
    <w:docVar w:name="sss2" w:val="-"/>
    <w:docVar w:name="Symbol1" w:val="A/68/334"/>
    <w:docVar w:name="Symbol2" w:val="-"/>
  </w:docVars>
  <w:rsids>
    <w:rsidRoot w:val="009834FD"/>
    <w:rsid w:val="0000347C"/>
    <w:rsid w:val="00004A80"/>
    <w:rsid w:val="000125BC"/>
    <w:rsid w:val="0001645E"/>
    <w:rsid w:val="00021A2B"/>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E240F"/>
    <w:rsid w:val="000E49A4"/>
    <w:rsid w:val="000F1058"/>
    <w:rsid w:val="000F55DC"/>
    <w:rsid w:val="00101C4E"/>
    <w:rsid w:val="001113F8"/>
    <w:rsid w:val="001212F9"/>
    <w:rsid w:val="00121328"/>
    <w:rsid w:val="0012708E"/>
    <w:rsid w:val="001329F7"/>
    <w:rsid w:val="00141322"/>
    <w:rsid w:val="0015066B"/>
    <w:rsid w:val="00150D3A"/>
    <w:rsid w:val="00153D29"/>
    <w:rsid w:val="00161E69"/>
    <w:rsid w:val="00161F54"/>
    <w:rsid w:val="00170FBE"/>
    <w:rsid w:val="00174233"/>
    <w:rsid w:val="001746A8"/>
    <w:rsid w:val="0017506F"/>
    <w:rsid w:val="001B2814"/>
    <w:rsid w:val="001B4F95"/>
    <w:rsid w:val="001C3329"/>
    <w:rsid w:val="001C3F7F"/>
    <w:rsid w:val="001C5166"/>
    <w:rsid w:val="001D0354"/>
    <w:rsid w:val="001D3F72"/>
    <w:rsid w:val="001E20EC"/>
    <w:rsid w:val="001E4442"/>
    <w:rsid w:val="001E5A51"/>
    <w:rsid w:val="001F03A7"/>
    <w:rsid w:val="001F2F76"/>
    <w:rsid w:val="00201762"/>
    <w:rsid w:val="00203760"/>
    <w:rsid w:val="00207135"/>
    <w:rsid w:val="002145EA"/>
    <w:rsid w:val="00231575"/>
    <w:rsid w:val="00241DB7"/>
    <w:rsid w:val="00246BB8"/>
    <w:rsid w:val="00247382"/>
    <w:rsid w:val="00252E35"/>
    <w:rsid w:val="00254858"/>
    <w:rsid w:val="00257053"/>
    <w:rsid w:val="00263B7B"/>
    <w:rsid w:val="00266257"/>
    <w:rsid w:val="00271BE6"/>
    <w:rsid w:val="0027454D"/>
    <w:rsid w:val="00277AAE"/>
    <w:rsid w:val="00280671"/>
    <w:rsid w:val="002814F9"/>
    <w:rsid w:val="00282D17"/>
    <w:rsid w:val="002A4AEF"/>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307"/>
    <w:rsid w:val="00320C99"/>
    <w:rsid w:val="003274A9"/>
    <w:rsid w:val="00331221"/>
    <w:rsid w:val="00346223"/>
    <w:rsid w:val="00351F2F"/>
    <w:rsid w:val="00363610"/>
    <w:rsid w:val="00363726"/>
    <w:rsid w:val="003649EE"/>
    <w:rsid w:val="00371BC6"/>
    <w:rsid w:val="00373A15"/>
    <w:rsid w:val="00376C04"/>
    <w:rsid w:val="00383ACA"/>
    <w:rsid w:val="00384CB1"/>
    <w:rsid w:val="00394A02"/>
    <w:rsid w:val="003966E8"/>
    <w:rsid w:val="003C7B20"/>
    <w:rsid w:val="003D075F"/>
    <w:rsid w:val="003E4565"/>
    <w:rsid w:val="003E748F"/>
    <w:rsid w:val="003E7612"/>
    <w:rsid w:val="00414423"/>
    <w:rsid w:val="00433853"/>
    <w:rsid w:val="00440B0D"/>
    <w:rsid w:val="004411AD"/>
    <w:rsid w:val="004424EF"/>
    <w:rsid w:val="00453BB0"/>
    <w:rsid w:val="00460162"/>
    <w:rsid w:val="004620A8"/>
    <w:rsid w:val="00466BB5"/>
    <w:rsid w:val="004700CF"/>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111B"/>
    <w:rsid w:val="005335B9"/>
    <w:rsid w:val="00536CCE"/>
    <w:rsid w:val="00552CE5"/>
    <w:rsid w:val="005541E4"/>
    <w:rsid w:val="00554F60"/>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4B61"/>
    <w:rsid w:val="006328DE"/>
    <w:rsid w:val="006353DE"/>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3B5F"/>
    <w:rsid w:val="007052CC"/>
    <w:rsid w:val="00715C4B"/>
    <w:rsid w:val="007319E0"/>
    <w:rsid w:val="007345AA"/>
    <w:rsid w:val="00737B00"/>
    <w:rsid w:val="0075155C"/>
    <w:rsid w:val="00753A05"/>
    <w:rsid w:val="00753D4C"/>
    <w:rsid w:val="00757193"/>
    <w:rsid w:val="00761190"/>
    <w:rsid w:val="00776537"/>
    <w:rsid w:val="00783A25"/>
    <w:rsid w:val="007843DB"/>
    <w:rsid w:val="007877F4"/>
    <w:rsid w:val="007B6BAE"/>
    <w:rsid w:val="007C74B9"/>
    <w:rsid w:val="007E15C5"/>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83DB0"/>
    <w:rsid w:val="00884C8F"/>
    <w:rsid w:val="00896D38"/>
    <w:rsid w:val="008A0216"/>
    <w:rsid w:val="008C076B"/>
    <w:rsid w:val="008C3296"/>
    <w:rsid w:val="008C3413"/>
    <w:rsid w:val="008E2D03"/>
    <w:rsid w:val="008E7BDF"/>
    <w:rsid w:val="008F12C0"/>
    <w:rsid w:val="008F2BB5"/>
    <w:rsid w:val="008F425D"/>
    <w:rsid w:val="008F5472"/>
    <w:rsid w:val="008F5D0F"/>
    <w:rsid w:val="009122E0"/>
    <w:rsid w:val="00913351"/>
    <w:rsid w:val="0093499B"/>
    <w:rsid w:val="0096193C"/>
    <w:rsid w:val="009653E2"/>
    <w:rsid w:val="009769E1"/>
    <w:rsid w:val="00977E0D"/>
    <w:rsid w:val="00982D5C"/>
    <w:rsid w:val="009834FD"/>
    <w:rsid w:val="00986132"/>
    <w:rsid w:val="00986C04"/>
    <w:rsid w:val="009932F9"/>
    <w:rsid w:val="009A11E3"/>
    <w:rsid w:val="009A2F76"/>
    <w:rsid w:val="009B1250"/>
    <w:rsid w:val="009D2AC2"/>
    <w:rsid w:val="009E1774"/>
    <w:rsid w:val="009E2668"/>
    <w:rsid w:val="009E40A3"/>
    <w:rsid w:val="009E5C8C"/>
    <w:rsid w:val="009F10B1"/>
    <w:rsid w:val="009F47E3"/>
    <w:rsid w:val="009F6938"/>
    <w:rsid w:val="00A0537D"/>
    <w:rsid w:val="00A069AD"/>
    <w:rsid w:val="00A17934"/>
    <w:rsid w:val="00A17A85"/>
    <w:rsid w:val="00A20856"/>
    <w:rsid w:val="00A24399"/>
    <w:rsid w:val="00A24CA5"/>
    <w:rsid w:val="00A252DF"/>
    <w:rsid w:val="00A26C97"/>
    <w:rsid w:val="00A27E35"/>
    <w:rsid w:val="00A33D6D"/>
    <w:rsid w:val="00A37345"/>
    <w:rsid w:val="00A40AAE"/>
    <w:rsid w:val="00A40EA9"/>
    <w:rsid w:val="00A4532A"/>
    <w:rsid w:val="00A5206D"/>
    <w:rsid w:val="00A72E47"/>
    <w:rsid w:val="00A778F1"/>
    <w:rsid w:val="00A90956"/>
    <w:rsid w:val="00A95404"/>
    <w:rsid w:val="00A968C5"/>
    <w:rsid w:val="00AA3C28"/>
    <w:rsid w:val="00AA759D"/>
    <w:rsid w:val="00AB2786"/>
    <w:rsid w:val="00AC550F"/>
    <w:rsid w:val="00AD4308"/>
    <w:rsid w:val="00AF2A33"/>
    <w:rsid w:val="00B03EFA"/>
    <w:rsid w:val="00B309DD"/>
    <w:rsid w:val="00B36621"/>
    <w:rsid w:val="00B36D64"/>
    <w:rsid w:val="00B41B48"/>
    <w:rsid w:val="00B55E1D"/>
    <w:rsid w:val="00B56194"/>
    <w:rsid w:val="00B60F41"/>
    <w:rsid w:val="00B61A34"/>
    <w:rsid w:val="00B64E8E"/>
    <w:rsid w:val="00B65E8B"/>
    <w:rsid w:val="00B774BB"/>
    <w:rsid w:val="00B8025A"/>
    <w:rsid w:val="00B827B1"/>
    <w:rsid w:val="00B9116F"/>
    <w:rsid w:val="00BB23A4"/>
    <w:rsid w:val="00BC2276"/>
    <w:rsid w:val="00BD1BFF"/>
    <w:rsid w:val="00BD2150"/>
    <w:rsid w:val="00BE1CC3"/>
    <w:rsid w:val="00BE365A"/>
    <w:rsid w:val="00BE47C4"/>
    <w:rsid w:val="00C052A2"/>
    <w:rsid w:val="00C06A4A"/>
    <w:rsid w:val="00C1391A"/>
    <w:rsid w:val="00C14CE6"/>
    <w:rsid w:val="00C15218"/>
    <w:rsid w:val="00C22BB2"/>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B2B1E"/>
    <w:rsid w:val="00CC053E"/>
    <w:rsid w:val="00CC1E2C"/>
    <w:rsid w:val="00CC3E8B"/>
    <w:rsid w:val="00CC4E84"/>
    <w:rsid w:val="00CD5641"/>
    <w:rsid w:val="00CE474E"/>
    <w:rsid w:val="00CE64AC"/>
    <w:rsid w:val="00CE7DFC"/>
    <w:rsid w:val="00CF49BA"/>
    <w:rsid w:val="00CF7718"/>
    <w:rsid w:val="00D177F1"/>
    <w:rsid w:val="00D323B5"/>
    <w:rsid w:val="00D42ACC"/>
    <w:rsid w:val="00D51DC5"/>
    <w:rsid w:val="00D676D7"/>
    <w:rsid w:val="00D71517"/>
    <w:rsid w:val="00D7168D"/>
    <w:rsid w:val="00D874E1"/>
    <w:rsid w:val="00D9586D"/>
    <w:rsid w:val="00D9749C"/>
    <w:rsid w:val="00DA51B2"/>
    <w:rsid w:val="00DA6965"/>
    <w:rsid w:val="00DB0932"/>
    <w:rsid w:val="00DC2506"/>
    <w:rsid w:val="00DC49FA"/>
    <w:rsid w:val="00DD3D6B"/>
    <w:rsid w:val="00DD4467"/>
    <w:rsid w:val="00DD61C8"/>
    <w:rsid w:val="00DD772B"/>
    <w:rsid w:val="00DF742A"/>
    <w:rsid w:val="00E03287"/>
    <w:rsid w:val="00E041F4"/>
    <w:rsid w:val="00E042FB"/>
    <w:rsid w:val="00E050BA"/>
    <w:rsid w:val="00E25442"/>
    <w:rsid w:val="00E25A1F"/>
    <w:rsid w:val="00E35B72"/>
    <w:rsid w:val="00E37EEB"/>
    <w:rsid w:val="00E46FB6"/>
    <w:rsid w:val="00E5153D"/>
    <w:rsid w:val="00E710FB"/>
    <w:rsid w:val="00E7204C"/>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 w:type="paragraph" w:customStyle="1" w:styleId="GB23126">
    <w:name w:val="样式 (中文) 楷体_GB2312 六号 蓝色 右 段后: 6 磅 行距: 单倍行距"/>
    <w:basedOn w:val="Normal"/>
    <w:rsid w:val="00351F2F"/>
    <w:pPr>
      <w:spacing w:after="120" w:line="240" w:lineRule="auto"/>
      <w:jc w:val="right"/>
    </w:pPr>
    <w:rPr>
      <w:rFonts w:eastAsia="KaiTi_GB2312" w:cs="SimSun"/>
      <w:sz w:val="15"/>
    </w:rPr>
  </w:style>
  <w:style w:type="paragraph" w:customStyle="1" w:styleId="HCh6">
    <w:name w:val="样式 _ H _Ch + (中文) 宋体 段后: 6 磅"/>
    <w:basedOn w:val="HCh"/>
    <w:rsid w:val="00351F2F"/>
    <w:pPr>
      <w:spacing w:after="120"/>
      <w:jc w:val="left"/>
    </w:pPr>
    <w:rPr>
      <w:rFonts w:eastAsia="SimSun" w:cs="SimSu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ch/A/RES/49/178" TargetMode="External"/><Relationship Id="rId26" Type="http://schemas.openxmlformats.org/officeDocument/2006/relationships/hyperlink" Target="http://undocs.org/ch/HRI/MC/2013/4" TargetMode="External"/><Relationship Id="rId3" Type="http://schemas.openxmlformats.org/officeDocument/2006/relationships/settings" Target="settings.xml"/><Relationship Id="rId21" Type="http://schemas.openxmlformats.org/officeDocument/2006/relationships/hyperlink" Target="http://undocs.org/ch/A/67/22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A/RES/57/202" TargetMode="External"/><Relationship Id="rId25" Type="http://schemas.openxmlformats.org/officeDocument/2006/relationships/hyperlink" Target="http://undocs.org/ch/A/67/222" TargetMode="External"/><Relationship Id="rId2" Type="http://schemas.openxmlformats.org/officeDocument/2006/relationships/styles" Target="styles.xml"/><Relationship Id="rId16" Type="http://schemas.openxmlformats.org/officeDocument/2006/relationships/hyperlink" Target="http://undocs.org/ch/A/RES/57/202" TargetMode="External"/><Relationship Id="rId20" Type="http://schemas.openxmlformats.org/officeDocument/2006/relationships/hyperlink" Target="http://undocs.org/ch/HRI/MC/2013/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ch/HRI/MC/2013/4" TargetMode="External"/><Relationship Id="rId5" Type="http://schemas.openxmlformats.org/officeDocument/2006/relationships/footnotes" Target="footnotes.xml"/><Relationship Id="rId15" Type="http://schemas.openxmlformats.org/officeDocument/2006/relationships/hyperlink" Target="http://undocs.org/ch/A/68/150" TargetMode="External"/><Relationship Id="rId23" Type="http://schemas.openxmlformats.org/officeDocument/2006/relationships/hyperlink" Target="http://undocs.org/ch/HRI/MC/2013/3"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ch/A/RES/49/17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ch/HRI/MC/2013/2"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98</TotalTime>
  <Pages>1</Pages>
  <Words>7460</Words>
  <Characters>7833</Characters>
  <Application>Microsoft Office Outlook</Application>
  <DocSecurity>4</DocSecurity>
  <Lines>301</Lines>
  <Paragraphs>144</Paragraphs>
  <ScaleCrop>false</ScaleCrop>
  <Company>United Nations</Company>
  <LinksUpToDate>false</LinksUpToDate>
  <CharactersWithSpaces>15149</CharactersWithSpaces>
  <SharedDoc>false</SharedDoc>
  <HLinks>
    <vt:vector size="78" baseType="variant">
      <vt:variant>
        <vt:i4>3538989</vt:i4>
      </vt:variant>
      <vt:variant>
        <vt:i4>33</vt:i4>
      </vt:variant>
      <vt:variant>
        <vt:i4>0</vt:i4>
      </vt:variant>
      <vt:variant>
        <vt:i4>5</vt:i4>
      </vt:variant>
      <vt:variant>
        <vt:lpwstr>http://undocs.org/ch/HRI/MC/2013/4</vt:lpwstr>
      </vt:variant>
      <vt:variant>
        <vt:lpwstr/>
      </vt:variant>
      <vt:variant>
        <vt:i4>524309</vt:i4>
      </vt:variant>
      <vt:variant>
        <vt:i4>30</vt:i4>
      </vt:variant>
      <vt:variant>
        <vt:i4>0</vt:i4>
      </vt:variant>
      <vt:variant>
        <vt:i4>5</vt:i4>
      </vt:variant>
      <vt:variant>
        <vt:lpwstr>http://undocs.org/ch/A/67/222</vt:lpwstr>
      </vt:variant>
      <vt:variant>
        <vt:lpwstr/>
      </vt:variant>
      <vt:variant>
        <vt:i4>3538989</vt:i4>
      </vt:variant>
      <vt:variant>
        <vt:i4>27</vt:i4>
      </vt:variant>
      <vt:variant>
        <vt:i4>0</vt:i4>
      </vt:variant>
      <vt:variant>
        <vt:i4>5</vt:i4>
      </vt:variant>
      <vt:variant>
        <vt:lpwstr>http://undocs.org/ch/HRI/MC/2013/4</vt:lpwstr>
      </vt:variant>
      <vt:variant>
        <vt:lpwstr/>
      </vt:variant>
      <vt:variant>
        <vt:i4>3211309</vt:i4>
      </vt:variant>
      <vt:variant>
        <vt:i4>24</vt:i4>
      </vt:variant>
      <vt:variant>
        <vt:i4>0</vt:i4>
      </vt:variant>
      <vt:variant>
        <vt:i4>5</vt:i4>
      </vt:variant>
      <vt:variant>
        <vt:lpwstr>http://undocs.org/ch/HRI/MC/2013/3</vt:lpwstr>
      </vt:variant>
      <vt:variant>
        <vt:lpwstr/>
      </vt:variant>
      <vt:variant>
        <vt:i4>3145773</vt:i4>
      </vt:variant>
      <vt:variant>
        <vt:i4>21</vt:i4>
      </vt:variant>
      <vt:variant>
        <vt:i4>0</vt:i4>
      </vt:variant>
      <vt:variant>
        <vt:i4>5</vt:i4>
      </vt:variant>
      <vt:variant>
        <vt:lpwstr>http://undocs.org/ch/HRI/MC/2013/2</vt:lpwstr>
      </vt:variant>
      <vt:variant>
        <vt:lpwstr/>
      </vt:variant>
      <vt:variant>
        <vt:i4>524309</vt:i4>
      </vt:variant>
      <vt:variant>
        <vt:i4>18</vt:i4>
      </vt:variant>
      <vt:variant>
        <vt:i4>0</vt:i4>
      </vt:variant>
      <vt:variant>
        <vt:i4>5</vt:i4>
      </vt:variant>
      <vt:variant>
        <vt:lpwstr>http://undocs.org/ch/A/67/222</vt:lpwstr>
      </vt:variant>
      <vt:variant>
        <vt:lpwstr/>
      </vt:variant>
      <vt:variant>
        <vt:i4>3342381</vt:i4>
      </vt:variant>
      <vt:variant>
        <vt:i4>15</vt:i4>
      </vt:variant>
      <vt:variant>
        <vt:i4>0</vt:i4>
      </vt:variant>
      <vt:variant>
        <vt:i4>5</vt:i4>
      </vt:variant>
      <vt:variant>
        <vt:lpwstr>http://undocs.org/ch/HRI/MC/2013/1</vt:lpwstr>
      </vt:variant>
      <vt:variant>
        <vt:lpwstr/>
      </vt:variant>
      <vt:variant>
        <vt:i4>917586</vt:i4>
      </vt:variant>
      <vt:variant>
        <vt:i4>12</vt:i4>
      </vt:variant>
      <vt:variant>
        <vt:i4>0</vt:i4>
      </vt:variant>
      <vt:variant>
        <vt:i4>5</vt:i4>
      </vt:variant>
      <vt:variant>
        <vt:lpwstr>http://undocs.org/ch/A/RES/49/178</vt:lpwstr>
      </vt:variant>
      <vt:variant>
        <vt:lpwstr/>
      </vt:variant>
      <vt:variant>
        <vt:i4>917586</vt:i4>
      </vt:variant>
      <vt:variant>
        <vt:i4>9</vt:i4>
      </vt:variant>
      <vt:variant>
        <vt:i4>0</vt:i4>
      </vt:variant>
      <vt:variant>
        <vt:i4>5</vt:i4>
      </vt:variant>
      <vt:variant>
        <vt:lpwstr>http://undocs.org/ch/A/RES/49/178</vt:lpwstr>
      </vt:variant>
      <vt:variant>
        <vt:lpwstr/>
      </vt:variant>
      <vt:variant>
        <vt:i4>524383</vt:i4>
      </vt:variant>
      <vt:variant>
        <vt:i4>6</vt:i4>
      </vt:variant>
      <vt:variant>
        <vt:i4>0</vt:i4>
      </vt:variant>
      <vt:variant>
        <vt:i4>5</vt:i4>
      </vt:variant>
      <vt:variant>
        <vt:lpwstr>http://undocs.org/ch/A/RES/57/202</vt:lpwstr>
      </vt:variant>
      <vt:variant>
        <vt:lpwstr/>
      </vt:variant>
      <vt:variant>
        <vt:i4>524383</vt:i4>
      </vt:variant>
      <vt:variant>
        <vt:i4>3</vt:i4>
      </vt:variant>
      <vt:variant>
        <vt:i4>0</vt:i4>
      </vt:variant>
      <vt:variant>
        <vt:i4>5</vt:i4>
      </vt:variant>
      <vt:variant>
        <vt:lpwstr>http://undocs.org/ch/A/RES/57/202</vt:lpwstr>
      </vt:variant>
      <vt:variant>
        <vt:lpwstr/>
      </vt:variant>
      <vt:variant>
        <vt:i4>983065</vt:i4>
      </vt:variant>
      <vt:variant>
        <vt:i4>0</vt:i4>
      </vt:variant>
      <vt:variant>
        <vt:i4>0</vt:i4>
      </vt:variant>
      <vt:variant>
        <vt:i4>5</vt:i4>
      </vt:variant>
      <vt:variant>
        <vt:lpwstr>http://undocs.org/ch/A/68/150</vt:lpwstr>
      </vt:variant>
      <vt:variant>
        <vt:lpwstr/>
      </vt:variant>
      <vt:variant>
        <vt:i4>6094860</vt:i4>
      </vt:variant>
      <vt:variant>
        <vt:i4>0</vt:i4>
      </vt:variant>
      <vt:variant>
        <vt:i4>0</vt:i4>
      </vt:variant>
      <vt:variant>
        <vt:i4>5</vt:i4>
      </vt:variant>
      <vt:variant>
        <vt:lpwstr>http://www.ohchr.org/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20</cp:revision>
  <cp:lastPrinted>2013-09-18T14:26:00Z</cp:lastPrinted>
  <dcterms:created xsi:type="dcterms:W3CDTF">2013-09-18T12:48:00Z</dcterms:created>
  <dcterms:modified xsi:type="dcterms:W3CDTF">2013-09-18T14:32:00Z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1343138</vt:lpwstr>
  </property>
  <property fmtid="{D5CDD505-2E9C-101B-9397-08002B2CF9AE}" pid="3" name="Symbol1">
    <vt:lpwstr>A/68/334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flp</vt:lpwstr>
  </property>
</Properties>
</file>