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C8C" w:rsidRDefault="00DE4C8C" w:rsidP="00DE4C8C">
      <w:pPr>
        <w:spacing w:line="60" w:lineRule="exact"/>
        <w:sectPr w:rsidR="00DE4C8C" w:rsidSect="00DE4C8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7Size =1Lang = C"/>
            <w10:wrap anchorx="page" anchory="page"/>
          </v:shape>
        </w:pict>
      </w:r>
      <w:commentRangeEnd w:id="0"/>
      <w:r>
        <w:rPr>
          <w:rStyle w:val="CommentReference"/>
        </w:rPr>
        <w:commentReference w:id="0"/>
      </w:r>
    </w:p>
    <w:p w:rsidR="00DE4C8C" w:rsidRDefault="00DE4C8C" w:rsidP="00DE4C8C">
      <w:pPr>
        <w:spacing w:line="60" w:lineRule="exact"/>
      </w:pPr>
    </w:p>
    <w:p w:rsidR="00CA478D" w:rsidRDefault="00CA478D" w:rsidP="00CA47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CA478D" w:rsidRPr="00CA478D" w:rsidRDefault="00CA478D" w:rsidP="00CA478D">
      <w:pPr>
        <w:pStyle w:val="SingleTxt"/>
        <w:spacing w:after="0" w:line="120" w:lineRule="exact"/>
        <w:rPr>
          <w:rFonts w:hint="eastAsia"/>
          <w:sz w:val="10"/>
        </w:rPr>
      </w:pPr>
    </w:p>
    <w:p w:rsidR="00CA478D" w:rsidRPr="00CA478D" w:rsidRDefault="00CA478D" w:rsidP="00CA478D">
      <w:pPr>
        <w:pStyle w:val="SingleTxt"/>
        <w:spacing w:after="0" w:line="120" w:lineRule="exact"/>
        <w:rPr>
          <w:rFonts w:hint="eastAsia"/>
          <w:sz w:val="10"/>
        </w:rPr>
      </w:pPr>
    </w:p>
    <w:p w:rsidR="00CA478D" w:rsidRPr="00CA478D" w:rsidRDefault="00CA478D" w:rsidP="00CA478D">
      <w:pPr>
        <w:pStyle w:val="SingleTxt"/>
        <w:spacing w:after="0" w:line="120" w:lineRule="exact"/>
        <w:rPr>
          <w:rFonts w:hint="eastAsia"/>
          <w:sz w:val="10"/>
        </w:rPr>
      </w:pPr>
    </w:p>
    <w:p w:rsidR="00CA478D" w:rsidRPr="00CA478D" w:rsidRDefault="00CA478D" w:rsidP="00CA478D">
      <w:pPr>
        <w:framePr w:w="9792" w:h="432" w:hSpace="180" w:wrap="around" w:hAnchor="page" w:x="1210" w:yAlign="bottom"/>
        <w:spacing w:line="100" w:lineRule="exact"/>
        <w:rPr>
          <w:sz w:val="10"/>
        </w:rPr>
      </w:pPr>
    </w:p>
    <w:p w:rsidR="00CA478D" w:rsidRPr="00CA478D" w:rsidRDefault="00CA478D" w:rsidP="00CA478D">
      <w:pPr>
        <w:framePr w:w="9792" w:h="432" w:hSpace="180" w:wrap="around" w:hAnchor="page" w:x="1210" w:yAlign="bottom"/>
        <w:spacing w:line="60" w:lineRule="exact"/>
        <w:rPr>
          <w:sz w:val="6"/>
        </w:rPr>
      </w:pPr>
      <w:r w:rsidRPr="00CA478D">
        <w:rPr>
          <w:noProof/>
          <w:sz w:val="6"/>
        </w:rPr>
        <w:pict>
          <v:line id="_x0000_s1027" style="position:absolute;left:0;text-align:left;z-index:2;mso-position-horizontal-relative:page" from="108pt,-1pt" to="180pt,-1pt" strokeweight=".25pt">
            <w10:wrap anchorx="page"/>
          </v:line>
        </w:pict>
      </w:r>
    </w:p>
    <w:p w:rsidR="00CA478D" w:rsidRPr="00CA478D" w:rsidRDefault="00CA478D" w:rsidP="00CA478D">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CA478D">
        <w:rPr>
          <w:sz w:val="18"/>
          <w:vertAlign w:val="superscript"/>
        </w:rPr>
        <w:t>*</w:t>
      </w:r>
      <w:r>
        <w:rPr>
          <w:sz w:val="18"/>
        </w:rPr>
        <w:tab/>
      </w:r>
      <w:r w:rsidRPr="00CA478D">
        <w:rPr>
          <w:rFonts w:hint="eastAsia"/>
          <w:sz w:val="18"/>
        </w:rPr>
        <w:t>委员会第五十七届会议上通过</w:t>
      </w:r>
      <w:r w:rsidR="00244653">
        <w:rPr>
          <w:rFonts w:hint="eastAsia"/>
          <w:sz w:val="18"/>
        </w:rPr>
        <w:t>(</w:t>
      </w:r>
      <w:r w:rsidRPr="00CA478D">
        <w:rPr>
          <w:rFonts w:hint="eastAsia"/>
          <w:sz w:val="18"/>
        </w:rPr>
        <w:t>2014年2月10日至28日</w:t>
      </w:r>
      <w:r w:rsidR="00244653">
        <w:rPr>
          <w:rFonts w:hint="eastAsia"/>
          <w:sz w:val="18"/>
        </w:rPr>
        <w:t>)</w:t>
      </w:r>
      <w:r w:rsidR="00A54234">
        <w:rPr>
          <w:rFonts w:hint="eastAsia"/>
          <w:sz w:val="18"/>
        </w:rPr>
        <w:t>。</w:t>
      </w:r>
    </w:p>
    <w:p w:rsidR="00CA478D" w:rsidRDefault="00CA478D" w:rsidP="00CA478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关于芬兰第七次定期报告的结论意见</w:t>
      </w:r>
      <w:r w:rsidRPr="00CA478D">
        <w:rPr>
          <w:rFonts w:hint="eastAsia"/>
          <w:vertAlign w:val="superscript"/>
        </w:rPr>
        <w:t>*</w:t>
      </w:r>
      <w:r>
        <w:rPr>
          <w:rFonts w:hint="eastAsia"/>
        </w:rPr>
        <w:t xml:space="preserve"> </w:t>
      </w:r>
    </w:p>
    <w:p w:rsidR="00CA478D" w:rsidRPr="00CA478D" w:rsidRDefault="00CA478D" w:rsidP="00CA478D">
      <w:pPr>
        <w:pStyle w:val="SingleTxt"/>
        <w:spacing w:after="0" w:line="120" w:lineRule="exact"/>
        <w:rPr>
          <w:sz w:val="10"/>
        </w:rPr>
      </w:pPr>
    </w:p>
    <w:p w:rsidR="00CA478D" w:rsidRPr="00CA478D" w:rsidRDefault="00CA478D" w:rsidP="00CA478D">
      <w:pPr>
        <w:pStyle w:val="SingleTxt"/>
        <w:spacing w:after="0" w:line="120" w:lineRule="exact"/>
        <w:rPr>
          <w:rFonts w:hint="eastAsia"/>
          <w:sz w:val="10"/>
        </w:rPr>
      </w:pPr>
    </w:p>
    <w:p w:rsidR="00CA478D" w:rsidRDefault="00CA478D" w:rsidP="00CA478D">
      <w:pPr>
        <w:pStyle w:val="SingleTxt"/>
        <w:rPr>
          <w:rFonts w:hint="eastAsia"/>
        </w:rPr>
      </w:pPr>
      <w:r>
        <w:rPr>
          <w:rFonts w:hint="eastAsia"/>
        </w:rPr>
        <w:t>1.</w:t>
      </w:r>
      <w:r>
        <w:rPr>
          <w:rFonts w:hint="eastAsia"/>
        </w:rPr>
        <w:tab/>
        <w:t>委员会在2014年2月20日举行的第1201次和第1202次会议上(见</w:t>
      </w:r>
      <w:hyperlink r:id="rId14" w:history="1">
        <w:r w:rsidRPr="00171F0E">
          <w:rPr>
            <w:rStyle w:val="Hyperlink"/>
            <w:rFonts w:hint="eastAsia"/>
          </w:rPr>
          <w:t>CEDAW/C/</w:t>
        </w:r>
        <w:r w:rsidR="00A54234">
          <w:rPr>
            <w:rStyle w:val="Hyperlink"/>
            <w:rFonts w:hint="eastAsia"/>
          </w:rPr>
          <w:t xml:space="preserve"> </w:t>
        </w:r>
        <w:r w:rsidRPr="00171F0E">
          <w:rPr>
            <w:rStyle w:val="Hyperlink"/>
            <w:rFonts w:hint="eastAsia"/>
          </w:rPr>
          <w:t>SR.1201</w:t>
        </w:r>
      </w:hyperlink>
      <w:r>
        <w:rPr>
          <w:rFonts w:hint="eastAsia"/>
        </w:rPr>
        <w:t>和1202)审议了芬兰的第七次定期报告(</w:t>
      </w:r>
      <w:hyperlink r:id="rId15" w:history="1">
        <w:r w:rsidRPr="00171F0E">
          <w:rPr>
            <w:rStyle w:val="Hyperlink"/>
            <w:rFonts w:hint="eastAsia"/>
          </w:rPr>
          <w:t>CEDAW/C/FIN/7</w:t>
        </w:r>
      </w:hyperlink>
      <w:r>
        <w:rPr>
          <w:rFonts w:hint="eastAsia"/>
        </w:rPr>
        <w:t>)。委员会的议题和问题清单载于</w:t>
      </w:r>
      <w:hyperlink r:id="rId16" w:history="1">
        <w:r w:rsidRPr="00171F0E">
          <w:rPr>
            <w:rStyle w:val="Hyperlink"/>
            <w:rFonts w:hint="eastAsia"/>
          </w:rPr>
          <w:t>CEDAW/C/FIN/Q/7</w:t>
        </w:r>
      </w:hyperlink>
      <w:r>
        <w:rPr>
          <w:rFonts w:hint="eastAsia"/>
        </w:rPr>
        <w:t>，芬兰政府的答复载于</w:t>
      </w:r>
      <w:hyperlink r:id="rId17" w:history="1">
        <w:r w:rsidRPr="00171F0E">
          <w:rPr>
            <w:rStyle w:val="Hyperlink"/>
            <w:rFonts w:hint="eastAsia"/>
          </w:rPr>
          <w:t>CEDAW/C/FIN/Q/7/</w:t>
        </w:r>
        <w:r w:rsidR="00A54234">
          <w:rPr>
            <w:rStyle w:val="Hyperlink"/>
            <w:rFonts w:hint="eastAsia"/>
          </w:rPr>
          <w:t xml:space="preserve"> </w:t>
        </w:r>
        <w:r w:rsidRPr="00171F0E">
          <w:rPr>
            <w:rStyle w:val="Hyperlink"/>
            <w:rFonts w:hint="eastAsia"/>
          </w:rPr>
          <w:t>Add.1</w:t>
        </w:r>
      </w:hyperlink>
      <w:r>
        <w:rPr>
          <w:rFonts w:hint="eastAsia"/>
        </w:rPr>
        <w:t>。</w:t>
      </w:r>
    </w:p>
    <w:p w:rsidR="00CA478D" w:rsidRDefault="00CA478D" w:rsidP="00CA47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A.</w:t>
      </w:r>
      <w:r>
        <w:rPr>
          <w:rFonts w:hint="eastAsia"/>
        </w:rPr>
        <w:tab/>
        <w:t>导言</w:t>
      </w:r>
    </w:p>
    <w:p w:rsidR="00CA478D" w:rsidRPr="00CA478D" w:rsidRDefault="00CA478D" w:rsidP="00CA478D">
      <w:pPr>
        <w:pStyle w:val="SingleTxt"/>
        <w:spacing w:after="0" w:line="120" w:lineRule="exact"/>
        <w:rPr>
          <w:rFonts w:hint="eastAsia"/>
          <w:sz w:val="10"/>
        </w:rPr>
      </w:pPr>
    </w:p>
    <w:p w:rsidR="00CA478D" w:rsidRDefault="00CA478D" w:rsidP="00CA478D">
      <w:pPr>
        <w:pStyle w:val="SingleTxt"/>
        <w:rPr>
          <w:rFonts w:hint="eastAsia"/>
        </w:rPr>
      </w:pPr>
      <w:r>
        <w:rPr>
          <w:rFonts w:hint="eastAsia"/>
        </w:rPr>
        <w:t>2.</w:t>
      </w:r>
      <w:r>
        <w:rPr>
          <w:rFonts w:hint="eastAsia"/>
        </w:rPr>
        <w:tab/>
        <w:t>委员会感谢缔约国的第七次定期报告，报告基本符合委员会定期报告编写准则，包括页数限制并顾及委员会以往的结论意见。委员会还感谢缔约国对会前工作组提出的议题和问题清单提交的书面答复。委员会欢迎芬兰代表团的口头发言以及对委员会口头提出的问题所作的进一步澄清。</w:t>
      </w:r>
    </w:p>
    <w:p w:rsidR="00CA478D" w:rsidRDefault="00CA478D" w:rsidP="00CA478D">
      <w:pPr>
        <w:pStyle w:val="SingleTxt"/>
        <w:rPr>
          <w:rFonts w:hint="eastAsia"/>
        </w:rPr>
      </w:pPr>
      <w:r>
        <w:rPr>
          <w:rFonts w:hint="eastAsia"/>
        </w:rPr>
        <w:t>3.</w:t>
      </w:r>
      <w:r>
        <w:rPr>
          <w:rFonts w:hint="eastAsia"/>
        </w:rPr>
        <w:tab/>
        <w:t>委员会赞扬缔约国派出由外交部Arto Kosonen司长率领的代表团，其中包括一位国会议员和几位有关部委代表以及芬兰常驻联合国日内瓦办事处和日内瓦其他国际组织代表团的代表。委员会赞赏同芬兰代表团进行的建设性对话。</w:t>
      </w:r>
    </w:p>
    <w:p w:rsidR="00CA478D" w:rsidRDefault="00CA478D" w:rsidP="00CA47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积极方面</w:t>
      </w:r>
    </w:p>
    <w:p w:rsidR="00CA478D" w:rsidRPr="00CA478D" w:rsidRDefault="00CA478D" w:rsidP="00CA478D">
      <w:pPr>
        <w:pStyle w:val="SingleTxt"/>
        <w:spacing w:after="0" w:line="120" w:lineRule="exact"/>
        <w:rPr>
          <w:rFonts w:hint="eastAsia"/>
          <w:sz w:val="10"/>
        </w:rPr>
      </w:pPr>
    </w:p>
    <w:p w:rsidR="00CA478D" w:rsidRDefault="00CA478D" w:rsidP="00CA478D">
      <w:pPr>
        <w:pStyle w:val="SingleTxt"/>
        <w:rPr>
          <w:rFonts w:hint="eastAsia"/>
        </w:rPr>
      </w:pPr>
      <w:r>
        <w:rPr>
          <w:rFonts w:hint="eastAsia"/>
        </w:rPr>
        <w:t>4.</w:t>
      </w:r>
      <w:r>
        <w:rPr>
          <w:rFonts w:hint="eastAsia"/>
        </w:rPr>
        <w:tab/>
        <w:t>委员会欢迎自2007年审议其第五次和第六次定期报告(</w:t>
      </w:r>
      <w:hyperlink r:id="rId18" w:history="1">
        <w:r w:rsidRPr="00171F0E">
          <w:rPr>
            <w:rStyle w:val="Hyperlink"/>
            <w:rFonts w:hint="eastAsia"/>
          </w:rPr>
          <w:t>CEDAW/C/FIN/5</w:t>
        </w:r>
      </w:hyperlink>
      <w:r>
        <w:rPr>
          <w:rFonts w:hint="eastAsia"/>
        </w:rPr>
        <w:t>和</w:t>
      </w:r>
      <w:hyperlink r:id="rId19" w:history="1">
        <w:r w:rsidRPr="00171F0E">
          <w:rPr>
            <w:rStyle w:val="Hyperlink"/>
            <w:rFonts w:hint="eastAsia"/>
          </w:rPr>
          <w:t>CEDAW/C/FIN/6</w:t>
        </w:r>
      </w:hyperlink>
      <w:r>
        <w:rPr>
          <w:rFonts w:hint="eastAsia"/>
        </w:rPr>
        <w:t>)以来，缔约国在立法改革方面取得的进步，尤其是2008年和2009年通过的《男女平等法》修正案，对《平等法》所禁止的歧视负责的商品和服务供应商可施加有效制裁。</w:t>
      </w:r>
    </w:p>
    <w:p w:rsidR="00CA478D" w:rsidRDefault="00CA478D" w:rsidP="00CA478D">
      <w:pPr>
        <w:pStyle w:val="SingleTxt"/>
        <w:rPr>
          <w:rFonts w:hint="eastAsia"/>
        </w:rPr>
      </w:pPr>
      <w:r>
        <w:rPr>
          <w:rFonts w:hint="eastAsia"/>
        </w:rPr>
        <w:t>5.</w:t>
      </w:r>
      <w:r>
        <w:rPr>
          <w:rFonts w:hint="eastAsia"/>
        </w:rPr>
        <w:tab/>
        <w:t>委员会欢迎缔约国为加快消除对妇女的歧视，促进男女平等，在改善组织和政策框架方面所作的以下努力：</w:t>
      </w:r>
    </w:p>
    <w:p w:rsidR="00CA478D" w:rsidRDefault="00CA478D" w:rsidP="00CA478D">
      <w:pPr>
        <w:pStyle w:val="SingleTxt"/>
        <w:rPr>
          <w:rFonts w:hint="eastAsia"/>
        </w:rPr>
      </w:pPr>
      <w:r>
        <w:rPr>
          <w:rFonts w:hint="eastAsia"/>
        </w:rPr>
        <w:tab/>
        <w:t>(a)</w:t>
      </w:r>
      <w:r>
        <w:rPr>
          <w:rFonts w:hint="eastAsia"/>
        </w:rPr>
        <w:tab/>
        <w:t>2012年6月通过的《2012-2015年实现男女平等政府行动计划》；</w:t>
      </w:r>
    </w:p>
    <w:p w:rsidR="00CA478D" w:rsidRDefault="00CA478D" w:rsidP="00CA478D">
      <w:pPr>
        <w:pStyle w:val="SingleTxt"/>
        <w:rPr>
          <w:rFonts w:hint="eastAsia"/>
        </w:rPr>
      </w:pPr>
      <w:r>
        <w:rPr>
          <w:rFonts w:hint="eastAsia"/>
        </w:rPr>
        <w:tab/>
        <w:t>(b)</w:t>
      </w:r>
      <w:r>
        <w:rPr>
          <w:rFonts w:hint="eastAsia"/>
        </w:rPr>
        <w:tab/>
        <w:t>《2010-2015年减少暴力侵害妇女行为国家行动计划》；</w:t>
      </w:r>
    </w:p>
    <w:p w:rsidR="00CA478D" w:rsidRDefault="00CA478D" w:rsidP="00CA478D">
      <w:pPr>
        <w:pStyle w:val="SingleTxt"/>
        <w:rPr>
          <w:rFonts w:hint="eastAsia"/>
        </w:rPr>
      </w:pPr>
      <w:r>
        <w:rPr>
          <w:rFonts w:hint="eastAsia"/>
        </w:rPr>
        <w:tab/>
        <w:t>(c)</w:t>
      </w:r>
      <w:r>
        <w:rPr>
          <w:rFonts w:hint="eastAsia"/>
        </w:rPr>
        <w:tab/>
        <w:t>《2012-2016年防止女童和妇女割礼行动计划》；</w:t>
      </w:r>
    </w:p>
    <w:p w:rsidR="00CA478D" w:rsidRDefault="00CA478D" w:rsidP="00CA478D">
      <w:pPr>
        <w:pStyle w:val="SingleTxt"/>
        <w:rPr>
          <w:rFonts w:hint="eastAsia"/>
        </w:rPr>
      </w:pPr>
      <w:r>
        <w:rPr>
          <w:rFonts w:hint="eastAsia"/>
        </w:rPr>
        <w:t>6.</w:t>
      </w:r>
      <w:r>
        <w:rPr>
          <w:rFonts w:hint="eastAsia"/>
        </w:rPr>
        <w:tab/>
        <w:t>委员会欢迎缔约国自上次报告审议以来，已批准或加入以下国际文书：</w:t>
      </w:r>
    </w:p>
    <w:p w:rsidR="00CA478D" w:rsidRDefault="00CA478D" w:rsidP="00CA478D">
      <w:pPr>
        <w:pStyle w:val="SingleTxt"/>
        <w:rPr>
          <w:rFonts w:hint="eastAsia"/>
        </w:rPr>
      </w:pPr>
      <w:r>
        <w:rPr>
          <w:rFonts w:hint="eastAsia"/>
        </w:rPr>
        <w:tab/>
        <w:t>(a)</w:t>
      </w:r>
      <w:r>
        <w:rPr>
          <w:rFonts w:hint="eastAsia"/>
        </w:rPr>
        <w:tab/>
        <w:t>《经济、社会及文化权利国际公约任择议定书》</w:t>
      </w:r>
      <w:r w:rsidR="00A54234">
        <w:rPr>
          <w:rFonts w:hint="eastAsia"/>
        </w:rPr>
        <w:t>；</w:t>
      </w:r>
    </w:p>
    <w:p w:rsidR="00CA478D" w:rsidRDefault="00CA478D" w:rsidP="00CA478D">
      <w:pPr>
        <w:pStyle w:val="SingleTxt"/>
        <w:rPr>
          <w:rFonts w:hint="eastAsia"/>
        </w:rPr>
      </w:pPr>
      <w:r>
        <w:rPr>
          <w:rFonts w:hint="eastAsia"/>
        </w:rPr>
        <w:tab/>
        <w:t>(b)</w:t>
      </w:r>
      <w:r>
        <w:rPr>
          <w:rFonts w:hint="eastAsia"/>
        </w:rPr>
        <w:tab/>
        <w:t>《儿童权利公约关于买卖儿童、儿童卖淫和儿童色情制品问题的任择议定书》。</w:t>
      </w:r>
    </w:p>
    <w:p w:rsidR="00CA478D" w:rsidRDefault="00CA478D" w:rsidP="00CA47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C.</w:t>
      </w:r>
      <w:r>
        <w:rPr>
          <w:rFonts w:hint="eastAsia"/>
        </w:rPr>
        <w:tab/>
        <w:t>主要的关切领域和建议</w:t>
      </w:r>
    </w:p>
    <w:p w:rsidR="00CA478D" w:rsidRPr="00CA478D" w:rsidRDefault="00CA478D" w:rsidP="00CA478D">
      <w:pPr>
        <w:pStyle w:val="SingleTxt"/>
        <w:spacing w:after="0" w:line="120" w:lineRule="exact"/>
        <w:rPr>
          <w:rFonts w:hint="eastAsia"/>
          <w:sz w:val="10"/>
        </w:rPr>
      </w:pPr>
    </w:p>
    <w:p w:rsidR="00CA478D" w:rsidRPr="00CA478D" w:rsidRDefault="00CA478D" w:rsidP="00CA478D">
      <w:pPr>
        <w:pStyle w:val="SingleTxt"/>
        <w:rPr>
          <w:rFonts w:ascii="SimHei" w:eastAsia="SimHei" w:hint="eastAsia"/>
        </w:rPr>
      </w:pPr>
      <w:r w:rsidRPr="00CA478D">
        <w:rPr>
          <w:rFonts w:ascii="SimHei" w:eastAsia="SimHei" w:hint="eastAsia"/>
        </w:rPr>
        <w:t>议会</w:t>
      </w:r>
    </w:p>
    <w:p w:rsidR="00CA478D" w:rsidRDefault="00CA478D" w:rsidP="00CA478D">
      <w:pPr>
        <w:pStyle w:val="SingleTxt"/>
        <w:rPr>
          <w:rFonts w:hint="eastAsia"/>
        </w:rPr>
      </w:pPr>
      <w:r>
        <w:rPr>
          <w:rFonts w:hint="eastAsia"/>
        </w:rPr>
        <w:t>7.</w:t>
      </w:r>
      <w:r>
        <w:rPr>
          <w:rFonts w:hint="eastAsia"/>
        </w:rPr>
        <w:tab/>
      </w:r>
      <w:r w:rsidRPr="00CA478D">
        <w:rPr>
          <w:rFonts w:ascii="SimHei" w:eastAsia="SimHei" w:hint="eastAsia"/>
        </w:rPr>
        <w:t>委员会强调立法机构在确保全面执行《公约》方面的关键作用</w:t>
      </w:r>
      <w:r w:rsidR="00244653">
        <w:rPr>
          <w:rFonts w:ascii="SimHei" w:eastAsia="SimHei" w:hint="eastAsia"/>
        </w:rPr>
        <w:t>(</w:t>
      </w:r>
      <w:r w:rsidRPr="00CA478D">
        <w:rPr>
          <w:rFonts w:ascii="SimHei" w:eastAsia="SimHei" w:hint="eastAsia"/>
        </w:rPr>
        <w:t>见委员会关于委员会和议员间关系的声明</w:t>
      </w:r>
      <w:r w:rsidR="00244653">
        <w:rPr>
          <w:rFonts w:ascii="SimHei" w:eastAsia="SimHei" w:hint="eastAsia"/>
        </w:rPr>
        <w:t>，</w:t>
      </w:r>
      <w:r w:rsidRPr="00CA478D">
        <w:rPr>
          <w:rFonts w:ascii="SimHei" w:eastAsia="SimHei" w:hint="eastAsia"/>
        </w:rPr>
        <w:t>2010年第</w:t>
      </w:r>
      <w:r w:rsidR="003E2E0D">
        <w:rPr>
          <w:rFonts w:ascii="SimHei" w:eastAsia="SimHei" w:hint="eastAsia"/>
        </w:rPr>
        <w:t>四十五</w:t>
      </w:r>
      <w:r w:rsidR="0063169D">
        <w:rPr>
          <w:rFonts w:ascii="SimHei" w:eastAsia="SimHei" w:hint="eastAsia"/>
        </w:rPr>
        <w:t>届</w:t>
      </w:r>
      <w:r w:rsidRPr="00CA478D">
        <w:rPr>
          <w:rFonts w:ascii="SimHei" w:eastAsia="SimHei" w:hint="eastAsia"/>
        </w:rPr>
        <w:t>会议通过</w:t>
      </w:r>
      <w:r w:rsidR="00244653">
        <w:rPr>
          <w:rFonts w:ascii="SimHei" w:eastAsia="SimHei" w:hint="eastAsia"/>
        </w:rPr>
        <w:t>)</w:t>
      </w:r>
      <w:r w:rsidRPr="00CA478D">
        <w:rPr>
          <w:rFonts w:ascii="SimHei" w:eastAsia="SimHei" w:hint="eastAsia"/>
        </w:rPr>
        <w:t>。委员会请议会按照其授权，从现在至提交下次报告期间，根据《公约》采取实施本结论意见的必要步骤。</w:t>
      </w:r>
    </w:p>
    <w:p w:rsidR="00CA478D" w:rsidRPr="00CA478D" w:rsidRDefault="00CA478D" w:rsidP="00CA478D">
      <w:pPr>
        <w:pStyle w:val="SingleTxt"/>
        <w:rPr>
          <w:rFonts w:ascii="SimHei" w:eastAsia="SimHei" w:hint="eastAsia"/>
        </w:rPr>
      </w:pPr>
      <w:r w:rsidRPr="00CA478D">
        <w:rPr>
          <w:rFonts w:ascii="SimHei" w:eastAsia="SimHei" w:hint="eastAsia"/>
        </w:rPr>
        <w:t>《公约》、《任</w:t>
      </w:r>
      <w:r w:rsidR="00A54234">
        <w:rPr>
          <w:rFonts w:ascii="SimHei" w:eastAsia="SimHei" w:hint="eastAsia"/>
        </w:rPr>
        <w:t>择</w:t>
      </w:r>
      <w:r w:rsidRPr="00CA478D">
        <w:rPr>
          <w:rFonts w:ascii="SimHei" w:eastAsia="SimHei" w:hint="eastAsia"/>
        </w:rPr>
        <w:t>议定书》和委员会一般性建议的可见度</w:t>
      </w:r>
    </w:p>
    <w:p w:rsidR="00CA478D" w:rsidRDefault="00CA478D" w:rsidP="00CA478D">
      <w:pPr>
        <w:pStyle w:val="SingleTxt"/>
        <w:rPr>
          <w:rFonts w:hint="eastAsia"/>
        </w:rPr>
      </w:pPr>
      <w:r>
        <w:rPr>
          <w:rFonts w:hint="eastAsia"/>
        </w:rPr>
        <w:t>8.</w:t>
      </w:r>
      <w:r>
        <w:rPr>
          <w:rFonts w:hint="eastAsia"/>
        </w:rPr>
        <w:tab/>
        <w:t>委员会注意到，可在外交部的网址查找关于《公约》及其《任</w:t>
      </w:r>
      <w:r w:rsidR="00A54234">
        <w:rPr>
          <w:rFonts w:hint="eastAsia"/>
        </w:rPr>
        <w:t>择</w:t>
      </w:r>
      <w:r>
        <w:rPr>
          <w:rFonts w:hint="eastAsia"/>
        </w:rPr>
        <w:t>议定书》的资料，委员会的结论意见也发送有关部委、部门和非政府组织。然而，令委员会关切的是，缺乏对《公约》的普遍了解，并且在法庭程序中援引或适用有限，无论是对通过《公约任择议定书》解决侵犯妇女权利问题的程序，还是对委员会的一般性建议作为对《公约》权力解释，或是对委员会针对个人来文和查询提出的意见和建议。</w:t>
      </w:r>
    </w:p>
    <w:p w:rsidR="00CA478D" w:rsidRDefault="00CA478D" w:rsidP="00CA478D">
      <w:pPr>
        <w:pStyle w:val="SingleTxt"/>
        <w:rPr>
          <w:rFonts w:hint="eastAsia"/>
        </w:rPr>
      </w:pPr>
      <w:r>
        <w:rPr>
          <w:rFonts w:hint="eastAsia"/>
        </w:rPr>
        <w:t>9.</w:t>
      </w:r>
      <w:r>
        <w:rPr>
          <w:rFonts w:hint="eastAsia"/>
        </w:rPr>
        <w:tab/>
      </w:r>
      <w:r w:rsidRPr="00CA478D">
        <w:rPr>
          <w:rFonts w:ascii="SimHei" w:eastAsia="SimHei" w:hint="eastAsia"/>
        </w:rPr>
        <w:t>委员会建议缔约国根据对《公约任择议定书》第13条的义务，采取具体措施，对《公约》及其《任择议定书》广泛宣传介绍，为了解有关委员会一般性建议及其对个人来文和查询的意见和建议提供便利，包括对律师、法官、检察官、警察和其他执法官员进行培训。</w:t>
      </w:r>
    </w:p>
    <w:p w:rsidR="00CA478D" w:rsidRPr="00CA478D" w:rsidRDefault="00CA478D" w:rsidP="00CA478D">
      <w:pPr>
        <w:pStyle w:val="SingleTxt"/>
        <w:rPr>
          <w:rFonts w:ascii="SimHei" w:eastAsia="SimHei" w:hint="eastAsia"/>
        </w:rPr>
      </w:pPr>
      <w:r w:rsidRPr="00CA478D">
        <w:rPr>
          <w:rFonts w:ascii="SimHei" w:eastAsia="SimHei" w:hint="eastAsia"/>
        </w:rPr>
        <w:t>平等和不歧视的定义</w:t>
      </w:r>
    </w:p>
    <w:p w:rsidR="00CA478D" w:rsidRDefault="00CA478D" w:rsidP="00CA478D">
      <w:pPr>
        <w:pStyle w:val="SingleTxt"/>
        <w:rPr>
          <w:rFonts w:hint="eastAsia"/>
        </w:rPr>
      </w:pPr>
      <w:r>
        <w:rPr>
          <w:rFonts w:hint="eastAsia"/>
        </w:rPr>
        <w:t>10.</w:t>
      </w:r>
      <w:r>
        <w:rPr>
          <w:rFonts w:hint="eastAsia"/>
        </w:rPr>
        <w:tab/>
        <w:t>委员会欢迎对《男女平等法》拟议的修正案，该修正案扩大了性歧视和性别歧视的定义，把基于性别认同和性别表达的歧视也包括在内。然而，委员会关切地注意到，《男女平等法》和《不歧视法》目前在保护妇女不受多重或交叉形式的歧视方面不能提供充分的保护。</w:t>
      </w:r>
    </w:p>
    <w:p w:rsidR="00CA478D" w:rsidRPr="00CA478D" w:rsidRDefault="00CA478D" w:rsidP="00CA478D">
      <w:pPr>
        <w:pStyle w:val="SingleTxt"/>
        <w:rPr>
          <w:rFonts w:ascii="SimHei" w:eastAsia="SimHei" w:hint="eastAsia"/>
        </w:rPr>
      </w:pPr>
      <w:r>
        <w:rPr>
          <w:rFonts w:hint="eastAsia"/>
        </w:rPr>
        <w:t>11.</w:t>
      </w:r>
      <w:r>
        <w:rPr>
          <w:rFonts w:hint="eastAsia"/>
        </w:rPr>
        <w:tab/>
      </w:r>
      <w:r w:rsidRPr="00CA478D">
        <w:rPr>
          <w:rFonts w:ascii="SimHei" w:eastAsia="SimHei" w:hint="eastAsia"/>
        </w:rPr>
        <w:t>委员会敦促缔约国确保，在所有关于性别平等和反歧视的全国性法律中，明确规定保护妇女不受多重或交叉形式歧视的改革能以协调的方式通过。</w:t>
      </w:r>
    </w:p>
    <w:p w:rsidR="00CA478D" w:rsidRDefault="00CA478D" w:rsidP="00CA478D">
      <w:pPr>
        <w:pStyle w:val="SingleTxt"/>
        <w:rPr>
          <w:rFonts w:hint="eastAsia"/>
        </w:rPr>
      </w:pPr>
      <w:r>
        <w:rPr>
          <w:rFonts w:ascii="SimHei" w:eastAsia="SimHei"/>
        </w:rPr>
        <w:br w:type="page"/>
      </w:r>
      <w:r w:rsidRPr="00CA478D">
        <w:rPr>
          <w:rFonts w:ascii="SimHei" w:eastAsia="SimHei" w:hint="eastAsia"/>
        </w:rPr>
        <w:t>提高妇女地位的国家机构和性别平等主流化</w:t>
      </w:r>
    </w:p>
    <w:p w:rsidR="00CA478D" w:rsidRDefault="00CA478D" w:rsidP="00CA478D">
      <w:pPr>
        <w:pStyle w:val="SingleTxt"/>
        <w:rPr>
          <w:rFonts w:hint="eastAsia"/>
        </w:rPr>
      </w:pPr>
      <w:r>
        <w:rPr>
          <w:rFonts w:hint="eastAsia"/>
        </w:rPr>
        <w:t>12.</w:t>
      </w:r>
      <w:r>
        <w:rPr>
          <w:rFonts w:hint="eastAsia"/>
        </w:rPr>
        <w:tab/>
        <w:t>委员会欢迎《2012-2015年政府性别平等行动计划》，《计划》由社会事务和卫生部的性别平等科协调，委员会还欢迎缔约国为加强性别平等主流化的管理架构而作的努力，包括通过编写支持芬兰各部委内性别平等工作的手册，以及为公务员开办的关于性别平等主流化问题的项目和介绍。然而，委员会关切的是，因预算和人力资源限制，缔约国有助于提高妇女地位和有效利用性别平等主流化的措施和政策受到阻碍，如各部在起草法律过程中的性别平等影响评估，这种做法尚未成为通常惯例。委员会对缺乏通过高级别协调机制就这些措施进行协调、有效跟进和监测也表示关切。此外，虽然委员会已注意到用平等待遇监察员取代少数族裔事务监察员的法律草案，但是委员会感到关切的是，缺乏有助于提高妇女地位和性别平等的具体机制，加之对现有机制，如为负责监测和监督《男女平等法》的平等待遇监察员拨款不足。</w:t>
      </w:r>
    </w:p>
    <w:p w:rsidR="00CA478D" w:rsidRDefault="00CA478D" w:rsidP="00CA478D">
      <w:pPr>
        <w:pStyle w:val="SingleTxt"/>
        <w:rPr>
          <w:rFonts w:hint="eastAsia"/>
        </w:rPr>
      </w:pPr>
      <w:r>
        <w:rPr>
          <w:rFonts w:hint="eastAsia"/>
        </w:rPr>
        <w:t>13.</w:t>
      </w:r>
      <w:r>
        <w:rPr>
          <w:rFonts w:hint="eastAsia"/>
        </w:rPr>
        <w:tab/>
      </w:r>
      <w:r w:rsidRPr="00CA478D">
        <w:rPr>
          <w:rFonts w:ascii="SimHei" w:eastAsia="SimHei" w:hint="eastAsia"/>
        </w:rPr>
        <w:t>根据关于有效的国家机制和宣传的一般性建议6，委员会建议缔约国</w:t>
      </w:r>
      <w:r>
        <w:rPr>
          <w:rFonts w:hint="eastAsia"/>
        </w:rPr>
        <w:t>：</w:t>
      </w:r>
    </w:p>
    <w:p w:rsidR="00CA478D" w:rsidRDefault="00CA478D" w:rsidP="00CA478D">
      <w:pPr>
        <w:pStyle w:val="SingleTxt"/>
        <w:rPr>
          <w:rFonts w:hint="eastAsia"/>
        </w:rPr>
      </w:pPr>
      <w:r>
        <w:rPr>
          <w:rFonts w:hint="eastAsia"/>
        </w:rPr>
        <w:tab/>
        <w:t>(a)</w:t>
      </w:r>
      <w:r>
        <w:rPr>
          <w:rFonts w:hint="eastAsia"/>
        </w:rPr>
        <w:tab/>
      </w:r>
      <w:r w:rsidRPr="00CA478D">
        <w:rPr>
          <w:rFonts w:ascii="SimHei" w:eastAsia="SimHei" w:hint="eastAsia"/>
        </w:rPr>
        <w:t>向现有及新的提高妇女地位和性别平等国家机构和组织提供充足的人力、技术和预算资源；</w:t>
      </w:r>
    </w:p>
    <w:p w:rsidR="00CA478D" w:rsidRPr="00CA478D" w:rsidRDefault="00CA478D" w:rsidP="00CA478D">
      <w:pPr>
        <w:pStyle w:val="SingleTxt"/>
        <w:rPr>
          <w:rFonts w:ascii="SimHei" w:eastAsia="SimHei" w:hint="eastAsia"/>
        </w:rPr>
      </w:pPr>
      <w:r>
        <w:rPr>
          <w:rFonts w:hint="eastAsia"/>
        </w:rPr>
        <w:tab/>
        <w:t>(b)</w:t>
      </w:r>
      <w:r>
        <w:rPr>
          <w:rFonts w:hint="eastAsia"/>
        </w:rPr>
        <w:tab/>
      </w:r>
      <w:r w:rsidRPr="00CA478D">
        <w:rPr>
          <w:rFonts w:ascii="SimHei" w:eastAsia="SimHei" w:hint="eastAsia"/>
        </w:rPr>
        <w:t>回顾委员会以往的建议(</w:t>
      </w:r>
      <w:hyperlink r:id="rId20" w:history="1">
        <w:r w:rsidRPr="00171F0E">
          <w:rPr>
            <w:rStyle w:val="Hyperlink"/>
            <w:rFonts w:ascii="SimHei" w:eastAsia="SimHei" w:hint="eastAsia"/>
          </w:rPr>
          <w:t>CEDAW/C/FIN/CO/6</w:t>
        </w:r>
      </w:hyperlink>
      <w:r w:rsidR="00A54234">
        <w:rPr>
          <w:rFonts w:ascii="SimHei" w:eastAsia="SimHei" w:hint="eastAsia"/>
        </w:rPr>
        <w:t>，</w:t>
      </w:r>
      <w:r w:rsidRPr="00CA478D">
        <w:rPr>
          <w:rFonts w:ascii="SimHei" w:eastAsia="SimHei" w:hint="eastAsia"/>
        </w:rPr>
        <w:t>第12段)</w:t>
      </w:r>
      <w:r w:rsidR="00A54234">
        <w:rPr>
          <w:rFonts w:ascii="SimHei" w:eastAsia="SimHei" w:hint="eastAsia"/>
        </w:rPr>
        <w:t>，</w:t>
      </w:r>
      <w:r w:rsidRPr="00CA478D">
        <w:rPr>
          <w:rFonts w:ascii="SimHei" w:eastAsia="SimHei" w:hint="eastAsia"/>
        </w:rPr>
        <w:t>考虑在政府内设立资源充足的高级别协调机制，赋予确保把性别平等有效纳入所有政府政策主流的责任和权力，全面监测妇女状况，制定新政策并有效实施消除歧视妇女的战略和措施；</w:t>
      </w:r>
    </w:p>
    <w:p w:rsidR="00CA478D" w:rsidRPr="00CA478D" w:rsidRDefault="00CA478D" w:rsidP="00CA478D">
      <w:pPr>
        <w:pStyle w:val="SingleTxt"/>
        <w:rPr>
          <w:rFonts w:ascii="SimHei" w:eastAsia="SimHei" w:hint="eastAsia"/>
        </w:rPr>
      </w:pPr>
      <w:r>
        <w:rPr>
          <w:rFonts w:hint="eastAsia"/>
        </w:rPr>
        <w:tab/>
        <w:t>(c)</w:t>
      </w:r>
      <w:r>
        <w:rPr>
          <w:rFonts w:hint="eastAsia"/>
        </w:rPr>
        <w:tab/>
      </w:r>
      <w:r w:rsidRPr="00CA478D">
        <w:rPr>
          <w:rFonts w:ascii="SimHei" w:eastAsia="SimHei" w:hint="eastAsia"/>
        </w:rPr>
        <w:t>采取具体的预算步骤，确保性别平等影响评估成为所有部委起草法律、政策方案和行动计划的通常惯例。</w:t>
      </w:r>
    </w:p>
    <w:p w:rsidR="00CA478D" w:rsidRPr="00CA478D" w:rsidRDefault="00CA478D" w:rsidP="00CA478D">
      <w:pPr>
        <w:pStyle w:val="SingleTxt"/>
        <w:rPr>
          <w:rFonts w:ascii="SimHei" w:eastAsia="SimHei" w:hint="eastAsia"/>
        </w:rPr>
      </w:pPr>
      <w:r w:rsidRPr="00CA478D">
        <w:rPr>
          <w:rFonts w:ascii="SimHei" w:eastAsia="SimHei" w:hint="eastAsia"/>
        </w:rPr>
        <w:t>陈规定型观念和有害做法</w:t>
      </w:r>
    </w:p>
    <w:p w:rsidR="00CA478D" w:rsidRDefault="00CA478D" w:rsidP="00CA478D">
      <w:pPr>
        <w:pStyle w:val="SingleTxt"/>
        <w:rPr>
          <w:rFonts w:hint="eastAsia"/>
        </w:rPr>
      </w:pPr>
      <w:r>
        <w:rPr>
          <w:rFonts w:hint="eastAsia"/>
        </w:rPr>
        <w:t>14.</w:t>
      </w:r>
      <w:r>
        <w:rPr>
          <w:rFonts w:hint="eastAsia"/>
        </w:rPr>
        <w:tab/>
        <w:t>虽然注意到缔约国为解决媒体中性别陈旧定型观念方面所做的努力，包括通过广告道德委员会的良好营销做法原则，禁止广告内容包含把妇女当作性玩物及在性别方面有辱人格、高高在上或贬损不敬的陈旧定型观念，委员会仍重申其关切</w:t>
      </w:r>
      <w:r w:rsidR="00244653">
        <w:rPr>
          <w:rFonts w:hint="eastAsia"/>
        </w:rPr>
        <w:t>(</w:t>
      </w:r>
      <w:hyperlink r:id="rId21" w:history="1">
        <w:r w:rsidRPr="00171F0E">
          <w:rPr>
            <w:rStyle w:val="Hyperlink"/>
            <w:rFonts w:hint="eastAsia"/>
          </w:rPr>
          <w:t>CEDAW/C/FIN/CO/6</w:t>
        </w:r>
      </w:hyperlink>
      <w:r w:rsidR="00A54234">
        <w:rPr>
          <w:rFonts w:hint="eastAsia"/>
        </w:rPr>
        <w:t>，</w:t>
      </w:r>
      <w:r>
        <w:rPr>
          <w:rFonts w:hint="eastAsia"/>
        </w:rPr>
        <w:t>第19段</w:t>
      </w:r>
      <w:r w:rsidR="00244653">
        <w:rPr>
          <w:rFonts w:hint="eastAsia"/>
        </w:rPr>
        <w:t>)</w:t>
      </w:r>
      <w:r>
        <w:rPr>
          <w:rFonts w:hint="eastAsia"/>
        </w:rPr>
        <w:t xml:space="preserve">：缔约国的媒体和广告日益淫秽，沉醉于理想化的体型，把妇女描绘成性玩物，这也许也是青年妇女和女孩患饮食紊乱症的问题日益严重的原因。委员会对因特网论坛和社交媒体中针对妇女和女童、尤其是针对少数族裔妇女的仇恨言论增加表示关切。 </w:t>
      </w:r>
    </w:p>
    <w:p w:rsidR="00CA478D" w:rsidRDefault="00CA478D" w:rsidP="00CA478D">
      <w:pPr>
        <w:pStyle w:val="SingleTxt"/>
        <w:rPr>
          <w:rFonts w:hint="eastAsia"/>
        </w:rPr>
      </w:pPr>
      <w:r>
        <w:rPr>
          <w:rFonts w:hint="eastAsia"/>
        </w:rPr>
        <w:t>15.</w:t>
      </w:r>
      <w:r>
        <w:rPr>
          <w:rFonts w:hint="eastAsia"/>
        </w:rPr>
        <w:tab/>
      </w:r>
      <w:r w:rsidRPr="00CA478D">
        <w:rPr>
          <w:rFonts w:ascii="SimHei" w:eastAsia="SimHei" w:hint="eastAsia"/>
        </w:rPr>
        <w:t>委员会吁请缔约国</w:t>
      </w:r>
      <w:r w:rsidR="00A54234">
        <w:rPr>
          <w:rFonts w:ascii="SimHei" w:eastAsia="SimHei" w:hint="eastAsia"/>
        </w:rPr>
        <w:t>：</w:t>
      </w:r>
    </w:p>
    <w:p w:rsidR="00CA478D" w:rsidRDefault="00CA478D" w:rsidP="00CA478D">
      <w:pPr>
        <w:pStyle w:val="SingleTxt"/>
        <w:rPr>
          <w:rFonts w:hint="eastAsia"/>
        </w:rPr>
      </w:pPr>
      <w:r>
        <w:rPr>
          <w:rFonts w:hint="eastAsia"/>
        </w:rPr>
        <w:tab/>
        <w:t>(a)</w:t>
      </w:r>
      <w:r>
        <w:rPr>
          <w:rFonts w:hint="eastAsia"/>
        </w:rPr>
        <w:tab/>
      </w:r>
      <w:r w:rsidRPr="00CA478D">
        <w:rPr>
          <w:rFonts w:ascii="SimHei" w:eastAsia="SimHei" w:hint="eastAsia"/>
        </w:rPr>
        <w:t>向患饮食紊乱症的女孩和妇女提供对性别问题有敏感认识的心理咨询；</w:t>
      </w:r>
    </w:p>
    <w:p w:rsidR="00CA478D" w:rsidRDefault="00CA478D" w:rsidP="00CA478D">
      <w:pPr>
        <w:pStyle w:val="SingleTxt"/>
        <w:rPr>
          <w:rFonts w:hint="eastAsia"/>
        </w:rPr>
      </w:pPr>
      <w:r>
        <w:rPr>
          <w:rFonts w:hint="eastAsia"/>
        </w:rPr>
        <w:tab/>
        <w:t>(b)</w:t>
      </w:r>
      <w:r>
        <w:rPr>
          <w:rFonts w:hint="eastAsia"/>
        </w:rPr>
        <w:tab/>
      </w:r>
      <w:r w:rsidRPr="00CA478D">
        <w:rPr>
          <w:rFonts w:ascii="SimHei" w:eastAsia="SimHei" w:hint="eastAsia"/>
        </w:rPr>
        <w:t>和媒体一起努力，消除对妇女形象陈规定型化的描述，特别影响到妇女的健康时；</w:t>
      </w:r>
    </w:p>
    <w:p w:rsidR="00CA478D" w:rsidRPr="00CA478D" w:rsidRDefault="00CA478D" w:rsidP="00CA478D">
      <w:pPr>
        <w:pStyle w:val="SingleTxt"/>
        <w:rPr>
          <w:rFonts w:ascii="Times New Roman" w:eastAsia="SimHei"/>
        </w:rPr>
      </w:pPr>
      <w:r>
        <w:rPr>
          <w:rFonts w:hint="eastAsia"/>
        </w:rPr>
        <w:tab/>
        <w:t>(c)</w:t>
      </w:r>
      <w:r>
        <w:rPr>
          <w:rFonts w:hint="eastAsia"/>
        </w:rPr>
        <w:tab/>
      </w:r>
      <w:r w:rsidRPr="00CA478D">
        <w:rPr>
          <w:rFonts w:ascii="SimHei" w:eastAsia="SimHei" w:hint="eastAsia"/>
        </w:rPr>
        <w:t>加强解决媒体中、包括因特网</w:t>
      </w:r>
      <w:r>
        <w:rPr>
          <w:rFonts w:ascii="SimHei" w:eastAsia="SimHei" w:hint="eastAsia"/>
        </w:rPr>
        <w:t>讨论室和社交媒体中针对少数族裔和其他妇女和女孩的仇恨言论的措施。</w:t>
      </w:r>
    </w:p>
    <w:p w:rsidR="00CA478D" w:rsidRDefault="00CA478D" w:rsidP="00CA478D">
      <w:pPr>
        <w:pStyle w:val="SingleTxt"/>
        <w:rPr>
          <w:rFonts w:hint="eastAsia"/>
        </w:rPr>
      </w:pPr>
      <w:r>
        <w:rPr>
          <w:rFonts w:hint="eastAsia"/>
        </w:rPr>
        <w:t>16.</w:t>
      </w:r>
      <w:r>
        <w:rPr>
          <w:rFonts w:hint="eastAsia"/>
        </w:rPr>
        <w:tab/>
        <w:t>2012年8月社会事务和卫生部公布了《2012-2016年关于防止女童和女性割礼行动计划》，委员会对此表示欢迎，但对于国家立法中对残割女童和女性生殖器的做法缺乏明确定为犯罪的规定表示关切。委员会注意到缔约国缺乏残割女性生殖器做法的认定案例，也不存在核准以返回原籍国存在残割女性生殖器风险为由的不驱回申诉，这表明此问题获重视程度之低。</w:t>
      </w:r>
    </w:p>
    <w:p w:rsidR="00CA478D" w:rsidRPr="00CA478D" w:rsidRDefault="00CA478D" w:rsidP="00CA478D">
      <w:pPr>
        <w:pStyle w:val="SingleTxt"/>
        <w:rPr>
          <w:rFonts w:ascii="SimHei" w:eastAsia="SimHei" w:hint="eastAsia"/>
        </w:rPr>
      </w:pPr>
      <w:r>
        <w:rPr>
          <w:rFonts w:hint="eastAsia"/>
        </w:rPr>
        <w:t>17.</w:t>
      </w:r>
      <w:r>
        <w:rPr>
          <w:rFonts w:hint="eastAsia"/>
        </w:rPr>
        <w:tab/>
      </w:r>
      <w:r w:rsidRPr="00CA478D">
        <w:rPr>
          <w:rFonts w:ascii="SimHei" w:eastAsia="SimHei" w:hint="eastAsia"/>
        </w:rPr>
        <w:t>委员会建议缔约国作出铲除残割女性生殖器的努力，包括在已知有此做法的社区宣传这种做法对女童和妇女的害处，并在立法中对残割女性生殖器纳入明确的定罪规定。</w:t>
      </w:r>
    </w:p>
    <w:p w:rsidR="00CA478D" w:rsidRPr="00CA478D" w:rsidRDefault="00CA478D" w:rsidP="00CA478D">
      <w:pPr>
        <w:pStyle w:val="SingleTxt"/>
        <w:rPr>
          <w:rFonts w:ascii="SimHei" w:eastAsia="SimHei" w:hint="eastAsia"/>
        </w:rPr>
      </w:pPr>
      <w:r w:rsidRPr="00CA478D">
        <w:rPr>
          <w:rFonts w:ascii="SimHei" w:eastAsia="SimHei" w:hint="eastAsia"/>
        </w:rPr>
        <w:t>暴力侵害妇女行为</w:t>
      </w:r>
    </w:p>
    <w:p w:rsidR="00CA478D" w:rsidRDefault="00CA478D" w:rsidP="00CA478D">
      <w:pPr>
        <w:pStyle w:val="SingleTxt"/>
        <w:rPr>
          <w:rFonts w:hint="eastAsia"/>
        </w:rPr>
      </w:pPr>
      <w:r>
        <w:rPr>
          <w:rFonts w:hint="eastAsia"/>
        </w:rPr>
        <w:t>18.</w:t>
      </w:r>
      <w:r>
        <w:rPr>
          <w:rFonts w:hint="eastAsia"/>
        </w:rPr>
        <w:tab/>
        <w:t>委员会赞赏缔约国在防止亲密伴侣关系中的暴力和家庭暴力方面的努力，包括通过《2010-2015年减少暴力侵害妇女行为国家行动计划》，并且在建设性对话中，缔约国向委员会保证将很快批准《欧洲委员会防止和反对暴力侵害妇女行为和家庭暴力公约》。然而，委员会仍感关切的是：</w:t>
      </w:r>
    </w:p>
    <w:p w:rsidR="00CA478D" w:rsidRDefault="00CA478D" w:rsidP="00CA478D">
      <w:pPr>
        <w:pStyle w:val="SingleTxt"/>
        <w:rPr>
          <w:rFonts w:hint="eastAsia"/>
        </w:rPr>
      </w:pPr>
      <w:r>
        <w:rPr>
          <w:rFonts w:hint="eastAsia"/>
        </w:rPr>
        <w:tab/>
        <w:t>(a)</w:t>
      </w:r>
      <w:r>
        <w:rPr>
          <w:rFonts w:hint="eastAsia"/>
        </w:rPr>
        <w:tab/>
        <w:t>为执行《2010-2015年减少暴力侵害妇女行为国家行动计划》所划拨的资源不足，暴力侵害妇女的事件仍居高不下；</w:t>
      </w:r>
    </w:p>
    <w:p w:rsidR="00CA478D" w:rsidRDefault="00CA478D" w:rsidP="00CA478D">
      <w:pPr>
        <w:pStyle w:val="SingleTxt"/>
        <w:rPr>
          <w:rFonts w:hint="eastAsia"/>
        </w:rPr>
      </w:pPr>
      <w:r>
        <w:rPr>
          <w:rFonts w:hint="eastAsia"/>
        </w:rPr>
        <w:tab/>
        <w:t>(b)</w:t>
      </w:r>
      <w:r>
        <w:rPr>
          <w:rFonts w:hint="eastAsia"/>
        </w:rPr>
        <w:tab/>
        <w:t>没有有效的组织机制对政府一级为防范和解决暴力侵害妇女行为而采取的措施进行协调、监测和评估；</w:t>
      </w:r>
    </w:p>
    <w:p w:rsidR="00CA478D" w:rsidRDefault="00CA478D" w:rsidP="00CA478D">
      <w:pPr>
        <w:pStyle w:val="SingleTxt"/>
        <w:rPr>
          <w:rFonts w:hint="eastAsia"/>
        </w:rPr>
      </w:pPr>
      <w:r>
        <w:rPr>
          <w:rFonts w:hint="eastAsia"/>
        </w:rPr>
        <w:tab/>
        <w:t>(c)</w:t>
      </w:r>
      <w:r>
        <w:rPr>
          <w:rFonts w:hint="eastAsia"/>
        </w:rPr>
        <w:tab/>
        <w:t>关于家庭暴力的公开议论采用性别中性的语言，侵蚀了这种暴力实为歧视妇女的明确而过分表现的概念；</w:t>
      </w:r>
    </w:p>
    <w:p w:rsidR="00CA478D" w:rsidRDefault="00CA478D" w:rsidP="00CA478D">
      <w:pPr>
        <w:pStyle w:val="SingleTxt"/>
        <w:rPr>
          <w:rFonts w:hint="eastAsia"/>
        </w:rPr>
      </w:pPr>
      <w:r>
        <w:rPr>
          <w:rFonts w:hint="eastAsia"/>
        </w:rPr>
        <w:tab/>
        <w:t>(d)</w:t>
      </w:r>
      <w:r>
        <w:rPr>
          <w:rFonts w:hint="eastAsia"/>
        </w:rPr>
        <w:tab/>
        <w:t>在家庭暴力案例中愈来愈多地采用调解和调和，尽管政府方案和《2012-2015年性别平等国家行动计划》建议限制其使用，尽管委员会以往对这种程序会导致受过家庭暴力的妇女再次成为受害者表达过关切(</w:t>
      </w:r>
      <w:hyperlink r:id="rId22" w:history="1">
        <w:r w:rsidRPr="00171F0E">
          <w:rPr>
            <w:rStyle w:val="Hyperlink"/>
            <w:rFonts w:hint="eastAsia"/>
          </w:rPr>
          <w:t>CEDAW/C/FIN/</w:t>
        </w:r>
        <w:r w:rsidR="00A54234">
          <w:rPr>
            <w:rStyle w:val="Hyperlink"/>
            <w:rFonts w:hint="eastAsia"/>
          </w:rPr>
          <w:t xml:space="preserve"> </w:t>
        </w:r>
        <w:r w:rsidRPr="00171F0E">
          <w:rPr>
            <w:rStyle w:val="Hyperlink"/>
            <w:rFonts w:hint="eastAsia"/>
          </w:rPr>
          <w:t>CO/6</w:t>
        </w:r>
      </w:hyperlink>
      <w:r w:rsidR="00A54234">
        <w:rPr>
          <w:rFonts w:hint="eastAsia"/>
        </w:rPr>
        <w:t>，</w:t>
      </w:r>
      <w:r>
        <w:rPr>
          <w:rFonts w:hint="eastAsia"/>
        </w:rPr>
        <w:t>第15段)</w:t>
      </w:r>
      <w:r w:rsidR="00A54234">
        <w:rPr>
          <w:rFonts w:hint="eastAsia"/>
        </w:rPr>
        <w:t>；</w:t>
      </w:r>
    </w:p>
    <w:p w:rsidR="00CA478D" w:rsidRDefault="00CA478D" w:rsidP="00CA478D">
      <w:pPr>
        <w:pStyle w:val="SingleTxt"/>
        <w:rPr>
          <w:rFonts w:hint="eastAsia"/>
        </w:rPr>
      </w:pPr>
      <w:r>
        <w:rPr>
          <w:rFonts w:hint="eastAsia"/>
        </w:rPr>
        <w:tab/>
        <w:t>(e)</w:t>
      </w:r>
      <w:r>
        <w:rPr>
          <w:rFonts w:hint="eastAsia"/>
        </w:rPr>
        <w:tab/>
        <w:t>《刑法》依然根据肇事者的施暴程度定义强奸罪，而不是以受害者非自愿为定义的中心；《刑法》修正案草案继续把滥用权力导致发生性交定义为性虐待而非强奸，除其他外，这导致对机构内针对弱势人群，特别是残疾妇女的肇事者判刑过轻；强奸案的定罪率(17.5%)也相应地低于伤害罪等其他罪行(49.5%)</w:t>
      </w:r>
      <w:r w:rsidR="00A54234">
        <w:rPr>
          <w:rFonts w:hint="eastAsia"/>
        </w:rPr>
        <w:t>；</w:t>
      </w:r>
    </w:p>
    <w:p w:rsidR="00CA478D" w:rsidRDefault="00CA478D" w:rsidP="00CA478D">
      <w:pPr>
        <w:pStyle w:val="SingleTxt"/>
        <w:rPr>
          <w:rFonts w:hint="eastAsia"/>
        </w:rPr>
      </w:pPr>
      <w:r>
        <w:rPr>
          <w:rFonts w:hint="eastAsia"/>
        </w:rPr>
        <w:tab/>
        <w:t>(f)</w:t>
      </w:r>
      <w:r>
        <w:rPr>
          <w:rFonts w:hint="eastAsia"/>
        </w:rPr>
        <w:tab/>
        <w:t>很多收容所由非政府组织设立和运作，其数量和服务不足以满足女性暴力受害者的需求；</w:t>
      </w:r>
    </w:p>
    <w:p w:rsidR="00CA478D" w:rsidRDefault="00CA478D" w:rsidP="00CA478D">
      <w:pPr>
        <w:pStyle w:val="SingleTxt"/>
        <w:rPr>
          <w:rFonts w:hint="eastAsia"/>
        </w:rPr>
      </w:pPr>
      <w:r>
        <w:rPr>
          <w:rFonts w:hint="eastAsia"/>
        </w:rPr>
        <w:tab/>
        <w:t>(g)</w:t>
      </w:r>
      <w:r>
        <w:rPr>
          <w:rFonts w:hint="eastAsia"/>
        </w:rPr>
        <w:tab/>
        <w:t>缺乏向性别暴力受害者提供的其他服务，如处理强奸的危机中心、24小时帮助热线及应急庇护中心等；</w:t>
      </w:r>
    </w:p>
    <w:p w:rsidR="00CA478D" w:rsidRDefault="00CA478D" w:rsidP="00CA478D">
      <w:pPr>
        <w:pStyle w:val="SingleTxt"/>
        <w:rPr>
          <w:rFonts w:hint="eastAsia"/>
        </w:rPr>
      </w:pPr>
      <w:r>
        <w:rPr>
          <w:rFonts w:hint="eastAsia"/>
        </w:rPr>
        <w:t>19.</w:t>
      </w:r>
      <w:r w:rsidRPr="00CA478D">
        <w:rPr>
          <w:rFonts w:ascii="SimHei" w:eastAsia="SimHei" w:hint="eastAsia"/>
        </w:rPr>
        <w:tab/>
        <w:t>回顾有关暴力侵害妇女行为的一般性建议19，委员会呼吁缔约国：</w:t>
      </w:r>
    </w:p>
    <w:p w:rsidR="00CA478D" w:rsidRPr="00CA478D" w:rsidRDefault="00CA478D" w:rsidP="00CA478D">
      <w:pPr>
        <w:pStyle w:val="SingleTxt"/>
        <w:rPr>
          <w:rFonts w:ascii="SimHei" w:eastAsia="SimHei" w:hint="eastAsia"/>
        </w:rPr>
      </w:pPr>
      <w:r>
        <w:rPr>
          <w:rFonts w:hint="eastAsia"/>
        </w:rPr>
        <w:tab/>
        <w:t>(a)</w:t>
      </w:r>
      <w:r>
        <w:rPr>
          <w:rFonts w:hint="eastAsia"/>
        </w:rPr>
        <w:tab/>
      </w:r>
      <w:r w:rsidRPr="00CA478D">
        <w:rPr>
          <w:rFonts w:ascii="SimHei" w:eastAsia="SimHei" w:hint="eastAsia"/>
        </w:rPr>
        <w:t>为旨在铲除暴力侵害妇女行为的国家行动计划和战略划拨足够资金；</w:t>
      </w:r>
    </w:p>
    <w:p w:rsidR="00CA478D" w:rsidRDefault="00CA478D" w:rsidP="00CA478D">
      <w:pPr>
        <w:pStyle w:val="SingleTxt"/>
        <w:rPr>
          <w:rFonts w:hint="eastAsia"/>
        </w:rPr>
      </w:pPr>
      <w:r>
        <w:rPr>
          <w:rFonts w:hint="eastAsia"/>
        </w:rPr>
        <w:tab/>
        <w:t>(b)</w:t>
      </w:r>
      <w:r>
        <w:rPr>
          <w:rFonts w:hint="eastAsia"/>
        </w:rPr>
        <w:tab/>
      </w:r>
      <w:r w:rsidRPr="00CA478D">
        <w:rPr>
          <w:rFonts w:ascii="SimHei" w:eastAsia="SimHei" w:hint="eastAsia"/>
        </w:rPr>
        <w:t>在政府一级设立有效并且资金充足的组织机制，协调、监测并评估所采取措施的成效；</w:t>
      </w:r>
    </w:p>
    <w:p w:rsidR="00CA478D" w:rsidRPr="00CA478D" w:rsidRDefault="00CA478D" w:rsidP="00CA478D">
      <w:pPr>
        <w:pStyle w:val="SingleTxt"/>
        <w:rPr>
          <w:rFonts w:ascii="SimHei" w:eastAsia="SimHei" w:hint="eastAsia"/>
        </w:rPr>
      </w:pPr>
      <w:r>
        <w:rPr>
          <w:rFonts w:hint="eastAsia"/>
        </w:rPr>
        <w:tab/>
        <w:t>(c)</w:t>
      </w:r>
      <w:r>
        <w:rPr>
          <w:rFonts w:hint="eastAsia"/>
        </w:rPr>
        <w:tab/>
      </w:r>
      <w:r w:rsidRPr="00CA478D">
        <w:rPr>
          <w:rFonts w:ascii="SimHei" w:eastAsia="SimHei" w:hint="eastAsia"/>
        </w:rPr>
        <w:t>采取具体措施，鼓励在公开讨论家庭暴力问题时使用对性别问题有敏感认识的语言，并提供有关其性别平等性质的信息；</w:t>
      </w:r>
    </w:p>
    <w:p w:rsidR="00CA478D" w:rsidRPr="00CA478D" w:rsidRDefault="00CA478D" w:rsidP="00CA478D">
      <w:pPr>
        <w:pStyle w:val="SingleTxt"/>
        <w:rPr>
          <w:rFonts w:ascii="SimHei" w:eastAsia="SimHei" w:hint="eastAsia"/>
        </w:rPr>
      </w:pPr>
      <w:r>
        <w:rPr>
          <w:rFonts w:hint="eastAsia"/>
        </w:rPr>
        <w:tab/>
        <w:t>(d)</w:t>
      </w:r>
      <w:r>
        <w:rPr>
          <w:rFonts w:hint="eastAsia"/>
        </w:rPr>
        <w:tab/>
      </w:r>
      <w:r w:rsidRPr="00CA478D">
        <w:rPr>
          <w:rFonts w:ascii="SimHei" w:eastAsia="SimHei" w:hint="eastAsia"/>
        </w:rPr>
        <w:t>采取立法和其他必要措施，禁止在亲密关系中的暴力和其他形式的家庭暴力案中适用强制性调解和调和；</w:t>
      </w:r>
    </w:p>
    <w:p w:rsidR="00CA478D" w:rsidRPr="00CA478D" w:rsidRDefault="00CA478D" w:rsidP="00CA478D">
      <w:pPr>
        <w:pStyle w:val="SingleTxt"/>
        <w:rPr>
          <w:rFonts w:ascii="SimHei" w:eastAsia="SimHei" w:hint="eastAsia"/>
        </w:rPr>
      </w:pPr>
      <w:r>
        <w:rPr>
          <w:rFonts w:hint="eastAsia"/>
        </w:rPr>
        <w:tab/>
        <w:t>(e)</w:t>
      </w:r>
      <w:r>
        <w:rPr>
          <w:rFonts w:hint="eastAsia"/>
        </w:rPr>
        <w:tab/>
      </w:r>
      <w:r w:rsidRPr="00CA478D">
        <w:rPr>
          <w:rFonts w:ascii="SimHei" w:eastAsia="SimHei" w:hint="eastAsia"/>
        </w:rPr>
        <w:t>审查关于强奸的立法，取消性攻击必须以使用或威胁使用暴力为条件，并以非自愿作为定义的核心；修正《宪法》第20章关于强奸的第1.2节以及载有关于性虐待的第5.1节，以确保强奸的定义也涵盖牵涉滥用权力的非自愿的性行为，如对居住在封闭机构内妇女的强奸案例，把对犯有这类行为的制裁从罚款改为与犯有此类行为相当的最低程度的监禁；并采取具体措施对强奸的肇事者进行全面的调查、起诉和处罚，从而提高强奸案的定罪率；</w:t>
      </w:r>
    </w:p>
    <w:p w:rsidR="00CA478D" w:rsidRPr="00CA478D" w:rsidRDefault="00CA478D" w:rsidP="00CA478D">
      <w:pPr>
        <w:pStyle w:val="SingleTxt"/>
        <w:rPr>
          <w:rFonts w:ascii="SimHei" w:eastAsia="SimHei" w:hint="eastAsia"/>
        </w:rPr>
      </w:pPr>
      <w:r>
        <w:rPr>
          <w:rFonts w:hint="eastAsia"/>
        </w:rPr>
        <w:tab/>
        <w:t>(f)</w:t>
      </w:r>
      <w:r>
        <w:rPr>
          <w:rFonts w:hint="eastAsia"/>
        </w:rPr>
        <w:tab/>
      </w:r>
      <w:r w:rsidRPr="00CA478D">
        <w:rPr>
          <w:rFonts w:ascii="SimHei" w:eastAsia="SimHei" w:hint="eastAsia"/>
        </w:rPr>
        <w:t>确保有足够的收容所，配备合格的工作人员和充足的资金，收容女性暴力受害者，包括需要特殊支持的弱势群体的受害者；</w:t>
      </w:r>
    </w:p>
    <w:p w:rsidR="00CA478D" w:rsidRPr="00CA478D" w:rsidRDefault="00CA478D" w:rsidP="00CA478D">
      <w:pPr>
        <w:pStyle w:val="SingleTxt"/>
        <w:rPr>
          <w:rFonts w:ascii="SimHei" w:eastAsia="SimHei" w:hint="eastAsia"/>
        </w:rPr>
      </w:pPr>
      <w:r>
        <w:rPr>
          <w:rFonts w:hint="eastAsia"/>
        </w:rPr>
        <w:tab/>
        <w:t>(g)</w:t>
      </w:r>
      <w:r>
        <w:rPr>
          <w:rFonts w:hint="eastAsia"/>
        </w:rPr>
        <w:tab/>
      </w:r>
      <w:r w:rsidRPr="00CA478D">
        <w:rPr>
          <w:rFonts w:ascii="SimHei" w:eastAsia="SimHei" w:hint="eastAsia"/>
        </w:rPr>
        <w:t>开办强奸处理危机中心、应急中心和24小时免费帮助热线，向所有女性暴力受害者提供保护和救助，包括移徙妇女、残疾妇女和属于性少数群体的妇女；</w:t>
      </w:r>
    </w:p>
    <w:p w:rsidR="00CA478D" w:rsidRPr="00CA478D" w:rsidRDefault="00CA478D" w:rsidP="00CA478D">
      <w:pPr>
        <w:pStyle w:val="SingleTxt"/>
        <w:rPr>
          <w:rFonts w:ascii="SimHei" w:eastAsia="SimHei" w:hint="eastAsia"/>
        </w:rPr>
      </w:pPr>
      <w:r>
        <w:rPr>
          <w:rFonts w:hint="eastAsia"/>
        </w:rPr>
        <w:tab/>
        <w:t>(h)</w:t>
      </w:r>
      <w:r>
        <w:rPr>
          <w:rFonts w:hint="eastAsia"/>
        </w:rPr>
        <w:tab/>
      </w:r>
      <w:r w:rsidRPr="00CA478D">
        <w:rPr>
          <w:rFonts w:ascii="SimHei" w:eastAsia="SimHei" w:hint="eastAsia"/>
        </w:rPr>
        <w:t>在缔约国表明的时间框架内批准《欧洲委员会防止和反对暴力侵害妇女行为和家庭暴力公约》。</w:t>
      </w:r>
    </w:p>
    <w:p w:rsidR="00CA478D" w:rsidRPr="00CA478D" w:rsidRDefault="00CA478D" w:rsidP="00CA478D">
      <w:pPr>
        <w:pStyle w:val="SingleTxt"/>
        <w:rPr>
          <w:rFonts w:ascii="SimHei" w:eastAsia="SimHei" w:hint="eastAsia"/>
        </w:rPr>
      </w:pPr>
      <w:r w:rsidRPr="00CA478D">
        <w:rPr>
          <w:rFonts w:ascii="SimHei" w:eastAsia="SimHei" w:hint="eastAsia"/>
        </w:rPr>
        <w:t>人口贩运和卖淫剥削</w:t>
      </w:r>
    </w:p>
    <w:p w:rsidR="00CA478D" w:rsidRDefault="00CA478D" w:rsidP="00CA478D">
      <w:pPr>
        <w:pStyle w:val="SingleTxt"/>
        <w:rPr>
          <w:rFonts w:hint="eastAsia"/>
        </w:rPr>
      </w:pPr>
      <w:r>
        <w:rPr>
          <w:rFonts w:hint="eastAsia"/>
        </w:rPr>
        <w:t>20.</w:t>
      </w:r>
      <w:r>
        <w:rPr>
          <w:rFonts w:hint="eastAsia"/>
        </w:rPr>
        <w:tab/>
        <w:t>委员会确认缔约国为评估目前有关贩运人口和援助受害者的立法状况所作的努力。但是，令委员会关切的是，贩运人口和拉皮条的定义仍不清晰，可能导致对人口贩运的受害者及有关的保护空白发生识别错误。再则，人口贩运和卖淫剥削的受害者会担心被缔约国根据《外国人法》驱逐出境而不愿向当局报告此类剥削。委员会也注意到，缔约国在本地区属例外情形，因为邻国都对卖淫的买方定罪。对于缺乏有关卖淫情况的资料和数据，以及缔约国未采取措施减少对卖淫的需求，并且未向愿意从良的妇女提供替代的谋生机会，委员会进一步表示遗憾。</w:t>
      </w:r>
    </w:p>
    <w:p w:rsidR="00CA478D" w:rsidRPr="00CA478D" w:rsidRDefault="00CA478D" w:rsidP="00CA478D">
      <w:pPr>
        <w:pStyle w:val="SingleTxt"/>
        <w:rPr>
          <w:rFonts w:ascii="SimHei" w:eastAsia="SimHei" w:hint="eastAsia"/>
        </w:rPr>
      </w:pPr>
      <w:r>
        <w:rPr>
          <w:rFonts w:hint="eastAsia"/>
        </w:rPr>
        <w:t>21.</w:t>
      </w:r>
      <w:r>
        <w:rPr>
          <w:rFonts w:hint="eastAsia"/>
        </w:rPr>
        <w:tab/>
      </w:r>
      <w:r w:rsidRPr="00CA478D">
        <w:rPr>
          <w:rFonts w:ascii="SimHei" w:eastAsia="SimHei" w:hint="eastAsia"/>
        </w:rPr>
        <w:t>委员会建议缔约国：</w:t>
      </w:r>
    </w:p>
    <w:p w:rsidR="00CA478D" w:rsidRPr="00CA478D" w:rsidRDefault="00CA478D" w:rsidP="00CA478D">
      <w:pPr>
        <w:pStyle w:val="SingleTxt"/>
        <w:rPr>
          <w:rFonts w:ascii="SimHei" w:eastAsia="SimHei" w:hint="eastAsia"/>
        </w:rPr>
      </w:pPr>
      <w:r>
        <w:rPr>
          <w:rFonts w:hint="eastAsia"/>
        </w:rPr>
        <w:tab/>
        <w:t>(a)</w:t>
      </w:r>
      <w:r>
        <w:rPr>
          <w:rFonts w:hint="eastAsia"/>
        </w:rPr>
        <w:tab/>
      </w:r>
      <w:r w:rsidRPr="00CA478D">
        <w:rPr>
          <w:rFonts w:ascii="SimHei" w:eastAsia="SimHei" w:hint="eastAsia"/>
        </w:rPr>
        <w:t>审查有关人口贩运的立法，对贩运和拉皮条作出明确的定义，以确保能正确识别受害者并提供充分的保护和援助；</w:t>
      </w:r>
    </w:p>
    <w:p w:rsidR="00CA478D" w:rsidRPr="00CA478D" w:rsidRDefault="00CA478D" w:rsidP="00CA478D">
      <w:pPr>
        <w:pStyle w:val="SingleTxt"/>
        <w:rPr>
          <w:rFonts w:ascii="SimHei" w:eastAsia="SimHei" w:hint="eastAsia"/>
        </w:rPr>
      </w:pPr>
      <w:r>
        <w:rPr>
          <w:rFonts w:hint="eastAsia"/>
        </w:rPr>
        <w:tab/>
        <w:t>(b)</w:t>
      </w:r>
      <w:r>
        <w:rPr>
          <w:rFonts w:hint="eastAsia"/>
        </w:rPr>
        <w:tab/>
      </w:r>
      <w:r w:rsidRPr="00CA478D">
        <w:rPr>
          <w:rFonts w:ascii="SimHei" w:eastAsia="SimHei" w:hint="eastAsia"/>
        </w:rPr>
        <w:t>评估贩运受害者依照《外国人法》被驱逐的风险，如有必要提出对该法的修订；</w:t>
      </w:r>
    </w:p>
    <w:p w:rsidR="00CA478D" w:rsidRPr="00CA478D" w:rsidRDefault="00CA478D" w:rsidP="00CA478D">
      <w:pPr>
        <w:pStyle w:val="SingleTxt"/>
        <w:rPr>
          <w:rFonts w:ascii="SimHei" w:eastAsia="SimHei" w:hint="eastAsia"/>
        </w:rPr>
      </w:pPr>
      <w:r>
        <w:rPr>
          <w:rFonts w:hint="eastAsia"/>
        </w:rPr>
        <w:tab/>
        <w:t>(c)</w:t>
      </w:r>
      <w:r>
        <w:rPr>
          <w:rFonts w:hint="eastAsia"/>
        </w:rPr>
        <w:tab/>
      </w:r>
      <w:r w:rsidRPr="00CA478D">
        <w:rPr>
          <w:rFonts w:ascii="SimHei" w:eastAsia="SimHei" w:hint="eastAsia"/>
        </w:rPr>
        <w:t>确保贩运受害者中的妇女和女童，不管她们是否能够或愿意对贩运者进行指证，都能获得医疗服务、法律和心理咨询、适足住房、教育、赚取收入的机会，以及康复和重返社会方案的支持；</w:t>
      </w:r>
    </w:p>
    <w:p w:rsidR="00CA478D" w:rsidRPr="00CA478D" w:rsidRDefault="00CA478D" w:rsidP="00CA478D">
      <w:pPr>
        <w:pStyle w:val="SingleTxt"/>
        <w:rPr>
          <w:rFonts w:ascii="SimHei" w:eastAsia="SimHei" w:hint="eastAsia"/>
        </w:rPr>
      </w:pPr>
      <w:r>
        <w:rPr>
          <w:rFonts w:hint="eastAsia"/>
        </w:rPr>
        <w:tab/>
        <w:t>(d)</w:t>
      </w:r>
      <w:r>
        <w:rPr>
          <w:rFonts w:hint="eastAsia"/>
        </w:rPr>
        <w:tab/>
      </w:r>
      <w:r w:rsidRPr="00CA478D">
        <w:rPr>
          <w:rFonts w:ascii="SimHei" w:eastAsia="SimHei" w:hint="eastAsia"/>
        </w:rPr>
        <w:t>采取步骤对卖淫的买方定为犯罪，并采取遏制这种需求的措施；</w:t>
      </w:r>
    </w:p>
    <w:p w:rsidR="00CA478D" w:rsidRPr="00CA478D" w:rsidRDefault="00CA478D" w:rsidP="00CA478D">
      <w:pPr>
        <w:pStyle w:val="SingleTxt"/>
        <w:rPr>
          <w:rFonts w:ascii="SimHei" w:eastAsia="SimHei" w:hint="eastAsia"/>
        </w:rPr>
      </w:pPr>
      <w:r>
        <w:rPr>
          <w:rFonts w:hint="eastAsia"/>
        </w:rPr>
        <w:tab/>
        <w:t>(e)</w:t>
      </w:r>
      <w:r>
        <w:rPr>
          <w:rFonts w:hint="eastAsia"/>
        </w:rPr>
        <w:tab/>
      </w:r>
      <w:r w:rsidRPr="00CA478D">
        <w:rPr>
          <w:rFonts w:ascii="SimHei" w:eastAsia="SimHei" w:hint="eastAsia"/>
        </w:rPr>
        <w:t>收集关于妇女从事卖淫的详细数据，以便制定战略和方案，防止妇女从事卖淫，并通过替代的赚取收入的机会帮助愿意从良的妇女和女孩。</w:t>
      </w:r>
    </w:p>
    <w:p w:rsidR="00CA478D" w:rsidRPr="00CA478D" w:rsidRDefault="00CA478D" w:rsidP="00CA478D">
      <w:pPr>
        <w:pStyle w:val="SingleTxt"/>
        <w:rPr>
          <w:rFonts w:ascii="SimHei" w:eastAsia="SimHei" w:hint="eastAsia"/>
        </w:rPr>
      </w:pPr>
      <w:r w:rsidRPr="00CA478D">
        <w:rPr>
          <w:rFonts w:ascii="SimHei" w:eastAsia="SimHei" w:hint="eastAsia"/>
        </w:rPr>
        <w:t>参与政治和公共生活</w:t>
      </w:r>
    </w:p>
    <w:p w:rsidR="00CA478D" w:rsidRDefault="00CA478D" w:rsidP="00CA478D">
      <w:pPr>
        <w:pStyle w:val="SingleTxt"/>
        <w:rPr>
          <w:rFonts w:hint="eastAsia"/>
        </w:rPr>
      </w:pPr>
      <w:r>
        <w:rPr>
          <w:rFonts w:hint="eastAsia"/>
        </w:rPr>
        <w:t>22.</w:t>
      </w:r>
      <w:r>
        <w:rPr>
          <w:rFonts w:hint="eastAsia"/>
        </w:rPr>
        <w:tab/>
        <w:t>委员会赞扬缔约国的妇女代表在议会</w:t>
      </w:r>
      <w:r w:rsidR="00244653">
        <w:rPr>
          <w:rFonts w:hint="eastAsia"/>
        </w:rPr>
        <w:t>(</w:t>
      </w:r>
      <w:r w:rsidR="00A54234">
        <w:rPr>
          <w:rFonts w:hint="eastAsia"/>
        </w:rPr>
        <w:t>43%</w:t>
      </w:r>
      <w:r w:rsidR="00244653">
        <w:rPr>
          <w:rFonts w:hint="eastAsia"/>
        </w:rPr>
        <w:t>)</w:t>
      </w:r>
      <w:r>
        <w:rPr>
          <w:rFonts w:hint="eastAsia"/>
        </w:rPr>
        <w:t>、政府</w:t>
      </w:r>
      <w:r w:rsidR="00244653">
        <w:rPr>
          <w:rFonts w:hint="eastAsia"/>
        </w:rPr>
        <w:t>(</w:t>
      </w:r>
      <w:r>
        <w:rPr>
          <w:rFonts w:hint="eastAsia"/>
        </w:rPr>
        <w:t>47%)和欧洲议会</w:t>
      </w:r>
      <w:r w:rsidR="00A54234">
        <w:rPr>
          <w:rFonts w:hint="eastAsia"/>
        </w:rPr>
        <w:t>(62%</w:t>
      </w:r>
      <w:r>
        <w:rPr>
          <w:rFonts w:hint="eastAsia"/>
        </w:rPr>
        <w:t>)中比例很高。然而，委员会对私营部门决策职位中女性人数偏低仍然表示关切。委员会还表示关切，移徙妇女、残疾妇女、少数族裔和罗姆妇女在政治和公共生活中代表不足，并注意到缺乏关于她们状况的统计数据。委员会进一步感到关切，关于数据收集的立法出于某些原因禁止收集的数据会妨碍缔约国解决某些妇女群体受歧视问题的努力。</w:t>
      </w:r>
    </w:p>
    <w:p w:rsidR="00CA478D" w:rsidRPr="00022BD9" w:rsidRDefault="00CA478D" w:rsidP="00CA478D">
      <w:pPr>
        <w:pStyle w:val="SingleTxt"/>
        <w:rPr>
          <w:rFonts w:ascii="SimHei" w:eastAsia="SimHei" w:hint="eastAsia"/>
        </w:rPr>
      </w:pPr>
      <w:r>
        <w:rPr>
          <w:rFonts w:hint="eastAsia"/>
        </w:rPr>
        <w:t>23.</w:t>
      </w:r>
      <w:r>
        <w:rPr>
          <w:rFonts w:hint="eastAsia"/>
        </w:rPr>
        <w:tab/>
      </w:r>
      <w:r w:rsidRPr="00022BD9">
        <w:rPr>
          <w:rFonts w:ascii="SimHei" w:eastAsia="SimHei" w:hint="eastAsia"/>
        </w:rPr>
        <w:t>根据关于妇女参与公共生活的一般性建议23，委员会鼓励缔约国根据《公约》第4条第(1)款以及委员会关于暂行特别措施的一般性建议25，采取暂行特别措施，以便：</w:t>
      </w:r>
    </w:p>
    <w:p w:rsidR="00CA478D" w:rsidRPr="00022BD9" w:rsidRDefault="00CA478D" w:rsidP="00CA478D">
      <w:pPr>
        <w:pStyle w:val="SingleTxt"/>
        <w:rPr>
          <w:rFonts w:ascii="SimHei" w:eastAsia="SimHei" w:hint="eastAsia"/>
        </w:rPr>
      </w:pPr>
      <w:r>
        <w:rPr>
          <w:rFonts w:hint="eastAsia"/>
        </w:rPr>
        <w:tab/>
        <w:t>(a)</w:t>
      </w:r>
      <w:r>
        <w:rPr>
          <w:rFonts w:hint="eastAsia"/>
        </w:rPr>
        <w:tab/>
      </w:r>
      <w:r w:rsidRPr="00022BD9">
        <w:rPr>
          <w:rFonts w:ascii="SimHei" w:eastAsia="SimHei" w:hint="eastAsia"/>
        </w:rPr>
        <w:t>确保女性在私营部门领导职位的任职情况能全面体现人口的多样性；</w:t>
      </w:r>
    </w:p>
    <w:p w:rsidR="00CA478D" w:rsidRPr="00022BD9" w:rsidRDefault="00CA478D" w:rsidP="00CA478D">
      <w:pPr>
        <w:pStyle w:val="SingleTxt"/>
        <w:rPr>
          <w:rFonts w:ascii="SimHei" w:eastAsia="SimHei" w:hint="eastAsia"/>
        </w:rPr>
      </w:pPr>
      <w:r>
        <w:rPr>
          <w:rFonts w:hint="eastAsia"/>
        </w:rPr>
        <w:tab/>
        <w:t>(b)</w:t>
      </w:r>
      <w:r>
        <w:rPr>
          <w:rFonts w:hint="eastAsia"/>
        </w:rPr>
        <w:tab/>
      </w:r>
      <w:r w:rsidRPr="00022BD9">
        <w:rPr>
          <w:rFonts w:ascii="SimHei" w:eastAsia="SimHei" w:hint="eastAsia"/>
        </w:rPr>
        <w:t>确保来自弱势群体的女性在政治和公共生活中有其代表，如残疾妇女、少数族裔妇女、罗姆妇女和移徙妇女</w:t>
      </w:r>
      <w:r w:rsidR="00A54234">
        <w:rPr>
          <w:rFonts w:ascii="SimHei" w:eastAsia="SimHei" w:hint="eastAsia"/>
        </w:rPr>
        <w:t>；</w:t>
      </w:r>
    </w:p>
    <w:p w:rsidR="00CA478D" w:rsidRDefault="00CA478D" w:rsidP="00CA478D">
      <w:pPr>
        <w:pStyle w:val="SingleTxt"/>
        <w:rPr>
          <w:rFonts w:hint="eastAsia"/>
        </w:rPr>
      </w:pPr>
      <w:r>
        <w:rPr>
          <w:rFonts w:hint="eastAsia"/>
        </w:rPr>
        <w:tab/>
        <w:t>(c)</w:t>
      </w:r>
      <w:r>
        <w:rPr>
          <w:rFonts w:hint="eastAsia"/>
        </w:rPr>
        <w:tab/>
      </w:r>
      <w:r w:rsidRPr="00022BD9">
        <w:rPr>
          <w:rFonts w:ascii="SimHei" w:eastAsia="SimHei" w:hint="eastAsia"/>
        </w:rPr>
        <w:t>考虑修订立法，允许收集旨在克服歧视上述群体妇女的方案和政策所需要的统计数据</w:t>
      </w:r>
      <w:r w:rsidR="00A54234">
        <w:rPr>
          <w:rFonts w:hint="eastAsia"/>
        </w:rPr>
        <w:t>；</w:t>
      </w:r>
    </w:p>
    <w:p w:rsidR="00CA478D" w:rsidRPr="00022BD9" w:rsidRDefault="00CA478D" w:rsidP="00CA478D">
      <w:pPr>
        <w:pStyle w:val="SingleTxt"/>
        <w:rPr>
          <w:rFonts w:ascii="SimHei" w:eastAsia="SimHei" w:hint="eastAsia"/>
        </w:rPr>
      </w:pPr>
      <w:r>
        <w:rPr>
          <w:rFonts w:hint="eastAsia"/>
        </w:rPr>
        <w:tab/>
        <w:t>(d)</w:t>
      </w:r>
      <w:r>
        <w:rPr>
          <w:rFonts w:hint="eastAsia"/>
        </w:rPr>
        <w:tab/>
      </w:r>
      <w:r w:rsidRPr="00022BD9">
        <w:rPr>
          <w:rFonts w:ascii="SimHei" w:eastAsia="SimHei" w:hint="eastAsia"/>
        </w:rPr>
        <w:t>在下一次定期报告中提供关于妇女参与政治和公共生活的分列资料，包括上述群体妇女的资料。</w:t>
      </w:r>
    </w:p>
    <w:p w:rsidR="00CA478D" w:rsidRPr="00022BD9" w:rsidRDefault="00CA478D" w:rsidP="00CA478D">
      <w:pPr>
        <w:pStyle w:val="SingleTxt"/>
        <w:rPr>
          <w:rFonts w:ascii="SimHei" w:eastAsia="SimHei" w:hint="eastAsia"/>
        </w:rPr>
      </w:pPr>
      <w:r w:rsidRPr="00022BD9">
        <w:rPr>
          <w:rFonts w:ascii="SimHei" w:eastAsia="SimHei" w:hint="eastAsia"/>
        </w:rPr>
        <w:t>教育</w:t>
      </w:r>
    </w:p>
    <w:p w:rsidR="00CA478D" w:rsidRDefault="00CA478D" w:rsidP="00CA478D">
      <w:pPr>
        <w:pStyle w:val="SingleTxt"/>
        <w:rPr>
          <w:rFonts w:hint="eastAsia"/>
        </w:rPr>
      </w:pPr>
      <w:r>
        <w:rPr>
          <w:rFonts w:hint="eastAsia"/>
        </w:rPr>
        <w:t>24.</w:t>
      </w:r>
      <w:r>
        <w:rPr>
          <w:rFonts w:hint="eastAsia"/>
        </w:rPr>
        <w:tab/>
        <w:t>委员会确认在基础义务教育全国性核心课程以及在早期幼儿教育方面进行的改革，两方面改革都纳入了促进性别平等的措施。然而，委员会仍感到关切，因为各种科目的课程中仍然存在传统价值观和性别的陈规定见。担任教授职位的女性人数依然甚少，缔约国的全职教授中女性只占25.5%，对此委员会也表示关注。</w:t>
      </w:r>
    </w:p>
    <w:p w:rsidR="00CA478D" w:rsidRPr="00022BD9" w:rsidRDefault="00CA478D" w:rsidP="00CA478D">
      <w:pPr>
        <w:pStyle w:val="SingleTxt"/>
        <w:rPr>
          <w:rFonts w:ascii="SimHei" w:eastAsia="SimHei" w:hint="eastAsia"/>
        </w:rPr>
      </w:pPr>
      <w:r>
        <w:rPr>
          <w:rFonts w:hint="eastAsia"/>
        </w:rPr>
        <w:t>25.</w:t>
      </w:r>
      <w:r>
        <w:rPr>
          <w:rFonts w:hint="eastAsia"/>
        </w:rPr>
        <w:tab/>
      </w:r>
      <w:r w:rsidRPr="00022BD9">
        <w:rPr>
          <w:rFonts w:ascii="SimHei" w:eastAsia="SimHei" w:hint="eastAsia"/>
        </w:rPr>
        <w:t>委员会建议缔约国宣传教育系统在克服男女之间有差别的专业选择以及未来潜在的不平等方面能起到的重要作用。为此，呼吁缔约国：</w:t>
      </w:r>
    </w:p>
    <w:p w:rsidR="00CA478D" w:rsidRPr="00022BD9" w:rsidRDefault="00CA478D" w:rsidP="00CA478D">
      <w:pPr>
        <w:pStyle w:val="SingleTxt"/>
        <w:rPr>
          <w:rFonts w:ascii="SimHei" w:eastAsia="SimHei" w:hint="eastAsia"/>
        </w:rPr>
      </w:pPr>
      <w:r>
        <w:rPr>
          <w:rFonts w:hint="eastAsia"/>
        </w:rPr>
        <w:tab/>
        <w:t>(a)</w:t>
      </w:r>
      <w:r>
        <w:rPr>
          <w:rFonts w:hint="eastAsia"/>
        </w:rPr>
        <w:tab/>
      </w:r>
      <w:r w:rsidRPr="00022BD9">
        <w:rPr>
          <w:rFonts w:ascii="SimHei" w:eastAsia="SimHei" w:hint="eastAsia"/>
        </w:rPr>
        <w:t>在教育系统内的所有级别，消除可能影响男童和女童进入非传统教育和职业教育领域求学的性别陈规定型观念和结构性障碍；</w:t>
      </w:r>
    </w:p>
    <w:p w:rsidR="00CA478D" w:rsidRPr="00022BD9" w:rsidRDefault="00CA478D" w:rsidP="00CA478D">
      <w:pPr>
        <w:pStyle w:val="SingleTxt"/>
        <w:rPr>
          <w:rFonts w:ascii="SimHei" w:eastAsia="SimHei" w:hint="eastAsia"/>
        </w:rPr>
      </w:pPr>
      <w:r>
        <w:rPr>
          <w:rFonts w:hint="eastAsia"/>
        </w:rPr>
        <w:tab/>
        <w:t>(b)</w:t>
      </w:r>
      <w:r>
        <w:rPr>
          <w:rFonts w:hint="eastAsia"/>
        </w:rPr>
        <w:tab/>
      </w:r>
      <w:r w:rsidRPr="00022BD9">
        <w:rPr>
          <w:rFonts w:ascii="SimHei" w:eastAsia="SimHei" w:hint="eastAsia"/>
        </w:rPr>
        <w:t>考虑采取暂行特别措施，加快学术机构内女性的任命，可通过妇女专用赠款及其他平等权利行动措施，如为鼓励聘用女性全职教授制定明确的指标和时间框架等；</w:t>
      </w:r>
    </w:p>
    <w:p w:rsidR="00CA478D" w:rsidRPr="00022BD9" w:rsidRDefault="00CA478D" w:rsidP="00CA478D">
      <w:pPr>
        <w:pStyle w:val="SingleTxt"/>
        <w:rPr>
          <w:rFonts w:ascii="SimHei" w:eastAsia="SimHei" w:hint="eastAsia"/>
        </w:rPr>
      </w:pPr>
      <w:r w:rsidRPr="00022BD9">
        <w:rPr>
          <w:rFonts w:ascii="SimHei" w:eastAsia="SimHei" w:hint="eastAsia"/>
        </w:rPr>
        <w:t>就业</w:t>
      </w:r>
    </w:p>
    <w:p w:rsidR="00CA478D" w:rsidRDefault="00CA478D" w:rsidP="00CA478D">
      <w:pPr>
        <w:pStyle w:val="SingleTxt"/>
        <w:rPr>
          <w:rFonts w:hint="eastAsia"/>
        </w:rPr>
      </w:pPr>
      <w:r>
        <w:rPr>
          <w:rFonts w:hint="eastAsia"/>
        </w:rPr>
        <w:t>26.</w:t>
      </w:r>
      <w:r>
        <w:rPr>
          <w:rFonts w:hint="eastAsia"/>
        </w:rPr>
        <w:tab/>
        <w:t>委员会注意到《薪酬平等方案》旨在到2015年把男女之间的薪酬差距降到15%，以及在平等计划内加强薪酬调查的做法。但是，委员会对缔约国男女之间继续存在17%的薪酬差距依然表示关切。对移徙和罗姆妇女、单身母亲、老年妇女和残疾妇女中的高失业率和低工资问题也表示关切。对于以怀孕、生育和休产假为由非法解雇妇女，委员会也重复在早先的结论意见中表达的关切(</w:t>
      </w:r>
      <w:hyperlink r:id="rId23" w:history="1">
        <w:r w:rsidRPr="00171F0E">
          <w:rPr>
            <w:rStyle w:val="Hyperlink"/>
            <w:rFonts w:hint="eastAsia"/>
          </w:rPr>
          <w:t>CEDAW/C/</w:t>
        </w:r>
        <w:r w:rsidR="00A54234">
          <w:rPr>
            <w:rStyle w:val="Hyperlink"/>
            <w:rFonts w:hint="eastAsia"/>
          </w:rPr>
          <w:t xml:space="preserve"> </w:t>
        </w:r>
        <w:r w:rsidRPr="00171F0E">
          <w:rPr>
            <w:rStyle w:val="Hyperlink"/>
            <w:rFonts w:hint="eastAsia"/>
          </w:rPr>
          <w:t>FIN/CO/6</w:t>
        </w:r>
      </w:hyperlink>
      <w:r w:rsidR="00A54234">
        <w:rPr>
          <w:rFonts w:hint="eastAsia"/>
        </w:rPr>
        <w:t>，</w:t>
      </w:r>
      <w:r>
        <w:rPr>
          <w:rFonts w:hint="eastAsia"/>
        </w:rPr>
        <w:t>第25段)。对于休育儿假的男性比例仍然很低以及男性和单亲父母能休的家事假仍然相当少，委员会也表示遗憾。</w:t>
      </w:r>
    </w:p>
    <w:p w:rsidR="00CA478D" w:rsidRPr="00022BD9" w:rsidRDefault="00CA478D" w:rsidP="00CA478D">
      <w:pPr>
        <w:pStyle w:val="SingleTxt"/>
        <w:rPr>
          <w:rFonts w:ascii="SimHei" w:eastAsia="SimHei" w:hint="eastAsia"/>
        </w:rPr>
      </w:pPr>
      <w:r>
        <w:rPr>
          <w:rFonts w:hint="eastAsia"/>
        </w:rPr>
        <w:t>27.</w:t>
      </w:r>
      <w:r>
        <w:rPr>
          <w:rFonts w:hint="eastAsia"/>
        </w:rPr>
        <w:tab/>
      </w:r>
      <w:r w:rsidRPr="00022BD9">
        <w:rPr>
          <w:rFonts w:ascii="SimHei" w:eastAsia="SimHei" w:hint="eastAsia"/>
        </w:rPr>
        <w:t>委员会建议缔约国：</w:t>
      </w:r>
    </w:p>
    <w:p w:rsidR="00CA478D" w:rsidRPr="00022BD9" w:rsidRDefault="00CA478D" w:rsidP="00CA478D">
      <w:pPr>
        <w:pStyle w:val="SingleTxt"/>
        <w:rPr>
          <w:rFonts w:ascii="SimHei" w:eastAsia="SimHei" w:hint="eastAsia"/>
        </w:rPr>
      </w:pPr>
      <w:r>
        <w:rPr>
          <w:rFonts w:hint="eastAsia"/>
        </w:rPr>
        <w:tab/>
        <w:t>(a)</w:t>
      </w:r>
      <w:r>
        <w:rPr>
          <w:rFonts w:hint="eastAsia"/>
        </w:rPr>
        <w:tab/>
      </w:r>
      <w:r w:rsidRPr="00022BD9">
        <w:rPr>
          <w:rFonts w:ascii="SimHei" w:eastAsia="SimHei" w:hint="eastAsia"/>
        </w:rPr>
        <w:t>立即采取措施实现《薪酬平等方案》制定的到2015年两性间工资差距降至15%的目标，从而根据国际劳工组织《1951年同酬公约》</w:t>
      </w:r>
      <w:r w:rsidR="00244653">
        <w:rPr>
          <w:rFonts w:ascii="SimHei" w:eastAsia="SimHei" w:hint="eastAsia"/>
        </w:rPr>
        <w:t>(</w:t>
      </w:r>
      <w:r w:rsidRPr="00022BD9">
        <w:rPr>
          <w:rFonts w:ascii="SimHei" w:eastAsia="SimHei" w:hint="eastAsia"/>
        </w:rPr>
        <w:t>第100号</w:t>
      </w:r>
      <w:r w:rsidR="00244653">
        <w:rPr>
          <w:rFonts w:ascii="SimHei" w:eastAsia="SimHei" w:hint="eastAsia"/>
        </w:rPr>
        <w:t>)</w:t>
      </w:r>
      <w:r w:rsidRPr="00022BD9">
        <w:rPr>
          <w:rFonts w:ascii="SimHei" w:eastAsia="SimHei" w:hint="eastAsia"/>
        </w:rPr>
        <w:t>缩小男女之间工资上的差别；</w:t>
      </w:r>
    </w:p>
    <w:p w:rsidR="00CA478D" w:rsidRPr="00022BD9" w:rsidRDefault="00CA478D" w:rsidP="00CA478D">
      <w:pPr>
        <w:pStyle w:val="SingleTxt"/>
        <w:rPr>
          <w:rFonts w:ascii="SimHei" w:eastAsia="SimHei" w:hint="eastAsia"/>
        </w:rPr>
      </w:pPr>
      <w:r>
        <w:rPr>
          <w:rFonts w:hint="eastAsia"/>
        </w:rPr>
        <w:tab/>
        <w:t>(b)</w:t>
      </w:r>
      <w:r>
        <w:rPr>
          <w:rFonts w:hint="eastAsia"/>
        </w:rPr>
        <w:tab/>
      </w:r>
      <w:r w:rsidRPr="00022BD9">
        <w:rPr>
          <w:rFonts w:ascii="SimHei" w:eastAsia="SimHei" w:hint="eastAsia"/>
        </w:rPr>
        <w:t>采取暂行特别措施，加快来自弱势群体妇女，包括移徙妇女、罗姆妇女、单身母亲、老年妇女和残疾妇女参与劳动力市场的过程，并就这些妇女群体的就业和工作条件进行全面的研究，为促进她们有效参与劳动力市场提出建议；</w:t>
      </w:r>
    </w:p>
    <w:p w:rsidR="00CA478D" w:rsidRDefault="00CA478D" w:rsidP="00CA478D">
      <w:pPr>
        <w:pStyle w:val="SingleTxt"/>
        <w:rPr>
          <w:rFonts w:hint="eastAsia"/>
        </w:rPr>
      </w:pPr>
      <w:r>
        <w:rPr>
          <w:rFonts w:hint="eastAsia"/>
        </w:rPr>
        <w:tab/>
        <w:t>(c)</w:t>
      </w:r>
      <w:r>
        <w:rPr>
          <w:rFonts w:hint="eastAsia"/>
        </w:rPr>
        <w:tab/>
      </w:r>
      <w:r w:rsidRPr="00022BD9">
        <w:rPr>
          <w:rFonts w:ascii="SimHei" w:eastAsia="SimHei" w:hint="eastAsia"/>
        </w:rPr>
        <w:t>修订立法，明确禁止雇主以家事假为由不延长定期雇用合同以及禁止以此为由限制合同期限；</w:t>
      </w:r>
    </w:p>
    <w:p w:rsidR="00CA478D" w:rsidRPr="00022BD9" w:rsidRDefault="00CA478D" w:rsidP="00CA478D">
      <w:pPr>
        <w:pStyle w:val="SingleTxt"/>
        <w:rPr>
          <w:rFonts w:ascii="SimHei" w:eastAsia="SimHei" w:hint="eastAsia"/>
        </w:rPr>
      </w:pPr>
      <w:r>
        <w:rPr>
          <w:rFonts w:hint="eastAsia"/>
        </w:rPr>
        <w:tab/>
        <w:t>(d)</w:t>
      </w:r>
      <w:r w:rsidRPr="00022BD9">
        <w:rPr>
          <w:rFonts w:ascii="SimHei" w:eastAsia="SimHei" w:hint="eastAsia"/>
        </w:rPr>
        <w:tab/>
        <w:t>继续确保能兼顾家庭和职业责任的努力，倡导男女平等分摊家庭负担和家务，包括制定鼓励更多男子利用育儿假的机制。</w:t>
      </w:r>
    </w:p>
    <w:p w:rsidR="00CA478D" w:rsidRPr="00022BD9" w:rsidRDefault="00CA478D" w:rsidP="00CA478D">
      <w:pPr>
        <w:pStyle w:val="SingleTxt"/>
        <w:rPr>
          <w:rFonts w:ascii="SimHei" w:eastAsia="SimHei" w:hint="eastAsia"/>
        </w:rPr>
      </w:pPr>
      <w:r w:rsidRPr="00022BD9">
        <w:rPr>
          <w:rFonts w:ascii="SimHei" w:eastAsia="SimHei" w:hint="eastAsia"/>
        </w:rPr>
        <w:t>健康</w:t>
      </w:r>
    </w:p>
    <w:p w:rsidR="00CA478D" w:rsidRDefault="00CA478D" w:rsidP="00CA478D">
      <w:pPr>
        <w:pStyle w:val="SingleTxt"/>
        <w:rPr>
          <w:rFonts w:hint="eastAsia"/>
        </w:rPr>
      </w:pPr>
      <w:r>
        <w:rPr>
          <w:rFonts w:hint="eastAsia"/>
        </w:rPr>
        <w:t>28.</w:t>
      </w:r>
      <w:r>
        <w:rPr>
          <w:rFonts w:hint="eastAsia"/>
        </w:rPr>
        <w:tab/>
        <w:t>委员会关切地注意到，在缔约国的妇女和女孩中，抑郁症、饮食紊乱症、物质滥用、与酗酒有关的疾病和自杀的案件正在增加。委员会还感到关切，根据2002年的《变性人性别法律承认法》，变性人为在法律上获得对其性别的承认，有义务证明自己不能生育或接受绝育。对于法律规定，如果有精神障碍的妇女被认定不具备表示同意的能力，经第三方</w:t>
      </w:r>
      <w:r w:rsidR="00244653">
        <w:rPr>
          <w:rFonts w:hint="eastAsia"/>
        </w:rPr>
        <w:t>(</w:t>
      </w:r>
      <w:r>
        <w:rPr>
          <w:rFonts w:hint="eastAsia"/>
        </w:rPr>
        <w:t>合法代表</w:t>
      </w:r>
      <w:r w:rsidR="00244653">
        <w:rPr>
          <w:rFonts w:hint="eastAsia"/>
        </w:rPr>
        <w:t>)</w:t>
      </w:r>
      <w:r>
        <w:rPr>
          <w:rFonts w:hint="eastAsia"/>
        </w:rPr>
        <w:t>同意，可对该妇女进行绝育或避孕处理，对此委员会也表示关切。</w:t>
      </w:r>
    </w:p>
    <w:p w:rsidR="00CA478D" w:rsidRPr="00022BD9" w:rsidRDefault="00CA478D" w:rsidP="00CA478D">
      <w:pPr>
        <w:pStyle w:val="SingleTxt"/>
        <w:rPr>
          <w:rFonts w:ascii="SimHei" w:eastAsia="SimHei" w:hint="eastAsia"/>
        </w:rPr>
      </w:pPr>
      <w:r>
        <w:rPr>
          <w:rFonts w:hint="eastAsia"/>
        </w:rPr>
        <w:t>29.</w:t>
      </w:r>
      <w:r>
        <w:rPr>
          <w:rFonts w:hint="eastAsia"/>
        </w:rPr>
        <w:tab/>
      </w:r>
      <w:r w:rsidRPr="00022BD9">
        <w:rPr>
          <w:rFonts w:ascii="SimHei" w:eastAsia="SimHei" w:hint="eastAsia"/>
        </w:rPr>
        <w:t>委员会建议缔约国：</w:t>
      </w:r>
    </w:p>
    <w:p w:rsidR="00CA478D" w:rsidRPr="00022BD9" w:rsidRDefault="00CA478D" w:rsidP="00CA478D">
      <w:pPr>
        <w:pStyle w:val="SingleTxt"/>
        <w:rPr>
          <w:rFonts w:ascii="SimHei" w:eastAsia="SimHei" w:hint="eastAsia"/>
        </w:rPr>
      </w:pPr>
      <w:r>
        <w:rPr>
          <w:rFonts w:hint="eastAsia"/>
        </w:rPr>
        <w:tab/>
        <w:t>(a)</w:t>
      </w:r>
      <w:r>
        <w:rPr>
          <w:rFonts w:hint="eastAsia"/>
        </w:rPr>
        <w:tab/>
      </w:r>
      <w:r w:rsidRPr="00022BD9">
        <w:rPr>
          <w:rFonts w:ascii="SimHei" w:eastAsia="SimHei" w:hint="eastAsia"/>
        </w:rPr>
        <w:t>采取必要措施，包括通过针对青春期女孩的宣传和教育活动，尤其可通过媒体，解决青年妇女和女孩中日益恶化的精神健康状况，预防和解决滥用酒精、毒品以及自杀问题；</w:t>
      </w:r>
    </w:p>
    <w:p w:rsidR="00CA478D" w:rsidRPr="00022BD9" w:rsidRDefault="00CA478D" w:rsidP="00CA478D">
      <w:pPr>
        <w:pStyle w:val="SingleTxt"/>
        <w:rPr>
          <w:rFonts w:ascii="SimHei" w:eastAsia="SimHei" w:hint="eastAsia"/>
        </w:rPr>
      </w:pPr>
      <w:r>
        <w:rPr>
          <w:rFonts w:hint="eastAsia"/>
        </w:rPr>
        <w:tab/>
        <w:t>(b)</w:t>
      </w:r>
      <w:r>
        <w:rPr>
          <w:rFonts w:hint="eastAsia"/>
        </w:rPr>
        <w:tab/>
      </w:r>
      <w:r w:rsidRPr="00022BD9">
        <w:rPr>
          <w:rFonts w:ascii="SimHei" w:eastAsia="SimHei" w:hint="eastAsia"/>
        </w:rPr>
        <w:t>早日修订《变性人性别法律承认法》，以确保不需要变性人尊从男性化或女性化的外表或行为的陈规定型观念，不需要个人同意绝育就可获得性别承认；</w:t>
      </w:r>
    </w:p>
    <w:p w:rsidR="00CA478D" w:rsidRPr="00022BD9" w:rsidRDefault="00CA478D" w:rsidP="00CA478D">
      <w:pPr>
        <w:pStyle w:val="SingleTxt"/>
        <w:rPr>
          <w:rFonts w:ascii="SimHei" w:eastAsia="SimHei" w:hint="eastAsia"/>
        </w:rPr>
      </w:pPr>
      <w:r>
        <w:rPr>
          <w:rFonts w:hint="eastAsia"/>
        </w:rPr>
        <w:tab/>
        <w:t>(c)</w:t>
      </w:r>
      <w:r>
        <w:rPr>
          <w:rFonts w:hint="eastAsia"/>
        </w:rPr>
        <w:tab/>
      </w:r>
      <w:r w:rsidRPr="00022BD9">
        <w:rPr>
          <w:rFonts w:ascii="SimHei" w:eastAsia="SimHei" w:hint="eastAsia"/>
        </w:rPr>
        <w:t>立即采取步骤，废止《绝育法》第2节，该节允许对法律能力受限或未经她们同意就被剥夺法律能力的残疾妇女施以绝育。</w:t>
      </w:r>
    </w:p>
    <w:p w:rsidR="00CA478D" w:rsidRPr="00022BD9" w:rsidRDefault="00CA478D" w:rsidP="00CA478D">
      <w:pPr>
        <w:pStyle w:val="SingleTxt"/>
        <w:rPr>
          <w:rFonts w:ascii="SimHei" w:eastAsia="SimHei" w:hint="eastAsia"/>
        </w:rPr>
      </w:pPr>
      <w:r w:rsidRPr="00022BD9">
        <w:rPr>
          <w:rFonts w:ascii="SimHei" w:eastAsia="SimHei" w:hint="eastAsia"/>
        </w:rPr>
        <w:t>弱势群体妇女</w:t>
      </w:r>
    </w:p>
    <w:p w:rsidR="00CA478D" w:rsidRPr="00022BD9" w:rsidRDefault="00CA478D" w:rsidP="00CA478D">
      <w:pPr>
        <w:pStyle w:val="SingleTxt"/>
        <w:rPr>
          <w:rFonts w:ascii="KaiTi_GB2312" w:eastAsia="KaiTi_GB2312" w:hint="eastAsia"/>
        </w:rPr>
      </w:pPr>
      <w:r w:rsidRPr="00022BD9">
        <w:rPr>
          <w:rFonts w:ascii="KaiTi_GB2312" w:eastAsia="KaiTi_GB2312" w:hint="eastAsia"/>
        </w:rPr>
        <w:t>移徙妇女</w:t>
      </w:r>
    </w:p>
    <w:p w:rsidR="00CA478D" w:rsidRDefault="00CA478D" w:rsidP="00CA478D">
      <w:pPr>
        <w:pStyle w:val="SingleTxt"/>
        <w:rPr>
          <w:rFonts w:hint="eastAsia"/>
        </w:rPr>
      </w:pPr>
      <w:r>
        <w:rPr>
          <w:rFonts w:hint="eastAsia"/>
        </w:rPr>
        <w:t>30.</w:t>
      </w:r>
      <w:r>
        <w:rPr>
          <w:rFonts w:hint="eastAsia"/>
        </w:rPr>
        <w:tab/>
        <w:t>委员会欢迎缔约国的政府《融入方案》以及旨在为移徙妇女促进公平机会的无数个包容和融入项目，包括在劳动力市场。然而，委员会仍然感到关切，移徙妇女只能获得有限的就业和健康服务，而且移徙妇女尤其容易遭受各种形式的暴力，包括家庭暴力、女性生殖器残割以及所谓的为名誉杀人，并且由于是法盲或担心失去居住证或者如果她们处于非常规境地会担心被驱逐，当面临这种形式的暴力而寻求社会和保护服务时会遇到困难。</w:t>
      </w:r>
    </w:p>
    <w:p w:rsidR="00CA478D" w:rsidRPr="00022BD9" w:rsidRDefault="00CA478D" w:rsidP="00CA478D">
      <w:pPr>
        <w:pStyle w:val="SingleTxt"/>
        <w:rPr>
          <w:rFonts w:ascii="SimHei" w:eastAsia="SimHei" w:hint="eastAsia"/>
        </w:rPr>
      </w:pPr>
      <w:r>
        <w:rPr>
          <w:rFonts w:hint="eastAsia"/>
        </w:rPr>
        <w:t>31.</w:t>
      </w:r>
      <w:r>
        <w:rPr>
          <w:rFonts w:hint="eastAsia"/>
        </w:rPr>
        <w:tab/>
      </w:r>
      <w:r w:rsidRPr="00022BD9">
        <w:rPr>
          <w:rFonts w:ascii="SimHei" w:eastAsia="SimHei" w:hint="eastAsia"/>
        </w:rPr>
        <w:t>委员会建议缔约国：</w:t>
      </w:r>
    </w:p>
    <w:p w:rsidR="00CA478D" w:rsidRDefault="00CA478D" w:rsidP="00CA478D">
      <w:pPr>
        <w:pStyle w:val="SingleTxt"/>
        <w:rPr>
          <w:rFonts w:hint="eastAsia"/>
        </w:rPr>
      </w:pPr>
      <w:r>
        <w:rPr>
          <w:rFonts w:hint="eastAsia"/>
        </w:rPr>
        <w:tab/>
        <w:t>(a)</w:t>
      </w:r>
      <w:r>
        <w:rPr>
          <w:rFonts w:hint="eastAsia"/>
        </w:rPr>
        <w:tab/>
      </w:r>
      <w:r w:rsidRPr="00022BD9">
        <w:rPr>
          <w:rFonts w:ascii="SimHei" w:eastAsia="SimHei" w:hint="eastAsia"/>
        </w:rPr>
        <w:t>无论是在社会上还是在社区内，加强消除歧视移徙妇女的措施；</w:t>
      </w:r>
    </w:p>
    <w:p w:rsidR="00CA478D" w:rsidRPr="00022BD9" w:rsidRDefault="00CA478D" w:rsidP="00CA478D">
      <w:pPr>
        <w:pStyle w:val="SingleTxt"/>
        <w:rPr>
          <w:rFonts w:ascii="SimHei" w:eastAsia="SimHei" w:hint="eastAsia"/>
        </w:rPr>
      </w:pPr>
      <w:r>
        <w:rPr>
          <w:rFonts w:hint="eastAsia"/>
        </w:rPr>
        <w:tab/>
        <w:t>(b)</w:t>
      </w:r>
      <w:r>
        <w:rPr>
          <w:rFonts w:hint="eastAsia"/>
        </w:rPr>
        <w:tab/>
      </w:r>
      <w:r w:rsidRPr="00022BD9">
        <w:rPr>
          <w:rFonts w:ascii="SimHei" w:eastAsia="SimHei" w:hint="eastAsia"/>
        </w:rPr>
        <w:t>制订有针对性的方案和战略，使移徙妇女更多地了解自己的权利及获得教育、专业培训、就业、医疗保健和其他基本服务的途径，以及如果她们的权利被侵犯可获得免费的法律救助和有效补救的途径；</w:t>
      </w:r>
    </w:p>
    <w:p w:rsidR="00CA478D" w:rsidRPr="00022BD9" w:rsidRDefault="00CA478D" w:rsidP="00CA478D">
      <w:pPr>
        <w:pStyle w:val="SingleTxt"/>
        <w:rPr>
          <w:rFonts w:ascii="SimHei" w:eastAsia="SimHei" w:hint="eastAsia"/>
        </w:rPr>
      </w:pPr>
      <w:r>
        <w:rPr>
          <w:rFonts w:hint="eastAsia"/>
        </w:rPr>
        <w:tab/>
        <w:t>(c)</w:t>
      </w:r>
      <w:r>
        <w:rPr>
          <w:rFonts w:hint="eastAsia"/>
        </w:rPr>
        <w:tab/>
      </w:r>
      <w:r w:rsidRPr="00022BD9">
        <w:rPr>
          <w:rFonts w:ascii="SimHei" w:eastAsia="SimHei" w:hint="eastAsia"/>
        </w:rPr>
        <w:t>对移徙妇女所受到的歧视进行全面研究，收集有关她们就业、医疗保健和所经历的暴力形式的统计资料，以便找到差距，并针对移徙妇女所遇到的多重或交叉形式的歧视制定解决政策。</w:t>
      </w:r>
    </w:p>
    <w:p w:rsidR="00CA478D" w:rsidRPr="00022BD9" w:rsidRDefault="00CA478D" w:rsidP="00CA478D">
      <w:pPr>
        <w:pStyle w:val="SingleTxt"/>
        <w:rPr>
          <w:rFonts w:ascii="KaiTi_GB2312" w:eastAsia="KaiTi_GB2312" w:hint="eastAsia"/>
        </w:rPr>
      </w:pPr>
      <w:r w:rsidRPr="00022BD9">
        <w:rPr>
          <w:rFonts w:ascii="KaiTi_GB2312" w:eastAsia="KaiTi_GB2312" w:hint="eastAsia"/>
        </w:rPr>
        <w:t>残疾妇女</w:t>
      </w:r>
    </w:p>
    <w:p w:rsidR="00CA478D" w:rsidRDefault="00CA478D" w:rsidP="00CA478D">
      <w:pPr>
        <w:pStyle w:val="SingleTxt"/>
        <w:rPr>
          <w:rFonts w:hint="eastAsia"/>
        </w:rPr>
      </w:pPr>
      <w:r>
        <w:rPr>
          <w:rFonts w:hint="eastAsia"/>
        </w:rPr>
        <w:t>32.</w:t>
      </w:r>
      <w:r>
        <w:rPr>
          <w:rFonts w:hint="eastAsia"/>
        </w:rPr>
        <w:tab/>
        <w:t>委员会重申以往表达的关切(</w:t>
      </w:r>
      <w:hyperlink r:id="rId24" w:history="1">
        <w:r w:rsidRPr="00171F0E">
          <w:rPr>
            <w:rStyle w:val="Hyperlink"/>
            <w:rFonts w:hint="eastAsia"/>
          </w:rPr>
          <w:t>CEDAW/C/FIN/CO/6</w:t>
        </w:r>
      </w:hyperlink>
      <w:r w:rsidR="00A54234">
        <w:rPr>
          <w:rFonts w:hint="eastAsia"/>
        </w:rPr>
        <w:t>，</w:t>
      </w:r>
      <w:r>
        <w:rPr>
          <w:rFonts w:hint="eastAsia"/>
        </w:rPr>
        <w:t>第35段)：残疾妇女受到多重形式的歧视，包括在获得教育、就业、医疗保健机会和参与政治生活方面。委员会感到关切的还有，在住房、社会福利、社会保障、医疗保健和其他公共服务方面，《不歧视法》的范畴对基于族裔血统的歧视比对基于残疾的歧视更广。对于残疾妇女遭暴力侵害的高案发率以及缺乏面向受害者的专业服务，尤其是缺乏残疾妇女所能求助的收容所和24小时帮助热线，委员会进一步表示关切。对于缺乏关于缔约国残疾妇女的状况，尤其是关于她们的社会经济地位和生活条件以及对她们的暴力侵害方面足够的资料和数据，委员会表示遗憾。</w:t>
      </w:r>
    </w:p>
    <w:p w:rsidR="00CA478D" w:rsidRPr="00022BD9" w:rsidRDefault="00CA478D" w:rsidP="00CA478D">
      <w:pPr>
        <w:pStyle w:val="SingleTxt"/>
        <w:rPr>
          <w:rFonts w:ascii="SimHei" w:eastAsia="SimHei" w:hint="eastAsia"/>
        </w:rPr>
      </w:pPr>
      <w:r>
        <w:rPr>
          <w:rFonts w:hint="eastAsia"/>
        </w:rPr>
        <w:t>33.</w:t>
      </w:r>
      <w:r>
        <w:rPr>
          <w:rFonts w:hint="eastAsia"/>
        </w:rPr>
        <w:tab/>
      </w:r>
      <w:r w:rsidRPr="00022BD9">
        <w:rPr>
          <w:rFonts w:ascii="SimHei" w:eastAsia="SimHei" w:hint="eastAsia"/>
        </w:rPr>
        <w:t>委员会敦促缔约国：</w:t>
      </w:r>
    </w:p>
    <w:p w:rsidR="00CA478D" w:rsidRPr="00022BD9" w:rsidRDefault="00CA478D" w:rsidP="00CA478D">
      <w:pPr>
        <w:pStyle w:val="SingleTxt"/>
        <w:rPr>
          <w:rFonts w:ascii="SimHei" w:eastAsia="SimHei" w:hint="eastAsia"/>
        </w:rPr>
      </w:pPr>
      <w:r>
        <w:rPr>
          <w:rFonts w:hint="eastAsia"/>
        </w:rPr>
        <w:tab/>
        <w:t>(a)</w:t>
      </w:r>
      <w:r>
        <w:rPr>
          <w:rFonts w:hint="eastAsia"/>
        </w:rPr>
        <w:tab/>
      </w:r>
      <w:r w:rsidRPr="00022BD9">
        <w:rPr>
          <w:rFonts w:ascii="SimHei" w:eastAsia="SimHei" w:hint="eastAsia"/>
        </w:rPr>
        <w:t>采取审查其反歧视立法的步骤，确保在公营和私营部门禁止基于残疾的歧视，向残疾妇女提供补救、制裁和申述机制，包括在遇到多重或交叉形式的歧视时；</w:t>
      </w:r>
    </w:p>
    <w:p w:rsidR="00CA478D" w:rsidRPr="00022BD9" w:rsidRDefault="00CA478D" w:rsidP="00CA478D">
      <w:pPr>
        <w:pStyle w:val="SingleTxt"/>
        <w:rPr>
          <w:rFonts w:ascii="SimHei" w:eastAsia="SimHei" w:hint="eastAsia"/>
        </w:rPr>
      </w:pPr>
      <w:r>
        <w:rPr>
          <w:rFonts w:hint="eastAsia"/>
        </w:rPr>
        <w:tab/>
        <w:t>(b)</w:t>
      </w:r>
      <w:r>
        <w:rPr>
          <w:rFonts w:hint="eastAsia"/>
        </w:rPr>
        <w:tab/>
      </w:r>
      <w:r w:rsidRPr="00022BD9">
        <w:rPr>
          <w:rFonts w:ascii="SimHei" w:eastAsia="SimHei" w:hint="eastAsia"/>
        </w:rPr>
        <w:t>采取具体的步骤，解决暴力侵害残疾妇女问题：提供收容所和24小时受害者支持热线，针对这种暴力对警察进行培训并加强宣传；</w:t>
      </w:r>
    </w:p>
    <w:p w:rsidR="00CA478D" w:rsidRPr="00022BD9" w:rsidRDefault="00CA478D" w:rsidP="00CA478D">
      <w:pPr>
        <w:pStyle w:val="SingleTxt"/>
        <w:rPr>
          <w:rFonts w:ascii="SimHei" w:eastAsia="SimHei" w:hint="eastAsia"/>
        </w:rPr>
      </w:pPr>
      <w:r>
        <w:rPr>
          <w:rFonts w:hint="eastAsia"/>
        </w:rPr>
        <w:tab/>
        <w:t>(c)</w:t>
      </w:r>
      <w:r>
        <w:rPr>
          <w:rFonts w:hint="eastAsia"/>
        </w:rPr>
        <w:tab/>
      </w:r>
      <w:r w:rsidRPr="00022BD9">
        <w:rPr>
          <w:rFonts w:ascii="SimHei" w:eastAsia="SimHei" w:hint="eastAsia"/>
        </w:rPr>
        <w:t>对歧视残疾妇女问题进行定期和全面的研究，并收集关于她们在就业、教育、健康方面以及可能经历的所有形式的暴力方面的详细统计数据。</w:t>
      </w:r>
    </w:p>
    <w:p w:rsidR="00CA478D" w:rsidRPr="00022BD9" w:rsidRDefault="00CA478D" w:rsidP="00CA478D">
      <w:pPr>
        <w:pStyle w:val="SingleTxt"/>
        <w:rPr>
          <w:rFonts w:ascii="KaiTi_GB2312" w:eastAsia="KaiTi_GB2312" w:hint="eastAsia"/>
        </w:rPr>
      </w:pPr>
      <w:r w:rsidRPr="00022BD9">
        <w:rPr>
          <w:rFonts w:ascii="KaiTi_GB2312" w:eastAsia="KaiTi_GB2312" w:hint="eastAsia"/>
        </w:rPr>
        <w:t>罗姆妇女</w:t>
      </w:r>
    </w:p>
    <w:p w:rsidR="00CA478D" w:rsidRDefault="00CA478D" w:rsidP="00CA478D">
      <w:pPr>
        <w:pStyle w:val="SingleTxt"/>
        <w:rPr>
          <w:rFonts w:hint="eastAsia"/>
        </w:rPr>
      </w:pPr>
      <w:r>
        <w:rPr>
          <w:rFonts w:hint="eastAsia"/>
        </w:rPr>
        <w:t>34.</w:t>
      </w:r>
      <w:r>
        <w:rPr>
          <w:rFonts w:hint="eastAsia"/>
        </w:rPr>
        <w:tab/>
        <w:t>委员会注意到缔约国为加强防范对罗姆妇女和女孩的歧视所采取的措施，包括2009年通过的关于罗姆人的国家政策。但是，委员会注意到，这种措施缺乏足够的性别视角，没有充分解决罗姆妇女面临的多重或交叉形式的歧视。委员会还感到关切的是，总体而言，普遍缺乏关于罗姆妇女的资料，例如她们的高失业率以及她们在获得基本服务和保护方面面临的困难，其中包括向家庭暴力受害者提供收容所。</w:t>
      </w:r>
    </w:p>
    <w:p w:rsidR="00CA478D" w:rsidRPr="00022BD9" w:rsidRDefault="00CA478D" w:rsidP="00CA478D">
      <w:pPr>
        <w:pStyle w:val="SingleTxt"/>
        <w:rPr>
          <w:rFonts w:ascii="SimHei" w:eastAsia="SimHei" w:hint="eastAsia"/>
        </w:rPr>
      </w:pPr>
      <w:r>
        <w:rPr>
          <w:rFonts w:hint="eastAsia"/>
        </w:rPr>
        <w:t>35.</w:t>
      </w:r>
      <w:r>
        <w:rPr>
          <w:rFonts w:hint="eastAsia"/>
        </w:rPr>
        <w:tab/>
      </w:r>
      <w:r w:rsidRPr="00022BD9">
        <w:rPr>
          <w:rFonts w:ascii="SimHei" w:eastAsia="SimHei" w:hint="eastAsia"/>
        </w:rPr>
        <w:t>委员会建议缔约国：</w:t>
      </w:r>
    </w:p>
    <w:p w:rsidR="00CA478D" w:rsidRPr="00022BD9" w:rsidRDefault="00CA478D" w:rsidP="00CA478D">
      <w:pPr>
        <w:pStyle w:val="SingleTxt"/>
        <w:rPr>
          <w:rFonts w:ascii="SimHei" w:eastAsia="SimHei" w:hint="eastAsia"/>
        </w:rPr>
      </w:pPr>
      <w:r>
        <w:rPr>
          <w:rFonts w:hint="eastAsia"/>
        </w:rPr>
        <w:tab/>
        <w:t>(a)</w:t>
      </w:r>
      <w:r>
        <w:rPr>
          <w:rFonts w:hint="eastAsia"/>
        </w:rPr>
        <w:tab/>
      </w:r>
      <w:r w:rsidRPr="00022BD9">
        <w:rPr>
          <w:rFonts w:ascii="SimHei" w:eastAsia="SimHei" w:hint="eastAsia"/>
        </w:rPr>
        <w:t>把性别视角纳入所有通过的解决歧视罗姆人问题的政策中，并采取考虑到罗姆妇女所受多重形式歧视的有效措施；</w:t>
      </w:r>
    </w:p>
    <w:p w:rsidR="00CA478D" w:rsidRPr="00022BD9" w:rsidRDefault="00CA478D" w:rsidP="00CA478D">
      <w:pPr>
        <w:pStyle w:val="SingleTxt"/>
        <w:rPr>
          <w:rFonts w:ascii="SimHei" w:eastAsia="SimHei" w:hint="eastAsia"/>
        </w:rPr>
      </w:pPr>
      <w:r>
        <w:rPr>
          <w:rFonts w:hint="eastAsia"/>
        </w:rPr>
        <w:tab/>
        <w:t>(b)</w:t>
      </w:r>
      <w:r>
        <w:rPr>
          <w:rFonts w:hint="eastAsia"/>
        </w:rPr>
        <w:tab/>
      </w:r>
      <w:r w:rsidRPr="00022BD9">
        <w:rPr>
          <w:rFonts w:ascii="SimHei" w:eastAsia="SimHei" w:hint="eastAsia"/>
        </w:rPr>
        <w:t>在其社区和整个社会采取积极主动的措施，防止对罗姆妇女的歧视，打击对她们实施的暴力，提高她们获得社会服务和法律补救的机会，并对罗姆妇女和女孩就享有平等权利和不受歧视进行教育；</w:t>
      </w:r>
    </w:p>
    <w:p w:rsidR="00CA478D" w:rsidRPr="00022BD9" w:rsidRDefault="00CA478D" w:rsidP="00CA478D">
      <w:pPr>
        <w:pStyle w:val="SingleTxt"/>
        <w:rPr>
          <w:rFonts w:ascii="SimHei" w:eastAsia="SimHei" w:hint="eastAsia"/>
        </w:rPr>
      </w:pPr>
      <w:r>
        <w:rPr>
          <w:rFonts w:hint="eastAsia"/>
        </w:rPr>
        <w:tab/>
        <w:t>(c)</w:t>
      </w:r>
      <w:r>
        <w:rPr>
          <w:rFonts w:hint="eastAsia"/>
        </w:rPr>
        <w:tab/>
      </w:r>
      <w:r w:rsidRPr="00022BD9">
        <w:rPr>
          <w:rFonts w:ascii="SimHei" w:eastAsia="SimHei" w:hint="eastAsia"/>
        </w:rPr>
        <w:t>收集关于罗姆妇女获得教育、就业、医疗保健的机会以及受暴力侵害的罗姆人获得庇护方面的资料，以及所采取的措施在增加这些机会并取得成果方面的资料。</w:t>
      </w:r>
    </w:p>
    <w:p w:rsidR="00CA478D" w:rsidRPr="00022BD9" w:rsidRDefault="00CA478D" w:rsidP="00CA478D">
      <w:pPr>
        <w:pStyle w:val="SingleTxt"/>
        <w:rPr>
          <w:rFonts w:ascii="KaiTi_GB2312" w:eastAsia="KaiTi_GB2312" w:hint="eastAsia"/>
        </w:rPr>
      </w:pPr>
      <w:r w:rsidRPr="00022BD9">
        <w:rPr>
          <w:rFonts w:ascii="KaiTi_GB2312" w:eastAsia="KaiTi_GB2312" w:hint="eastAsia"/>
        </w:rPr>
        <w:t>萨米妇女</w:t>
      </w:r>
    </w:p>
    <w:p w:rsidR="00CA478D" w:rsidRDefault="00CA478D" w:rsidP="00CA478D">
      <w:pPr>
        <w:pStyle w:val="SingleTxt"/>
        <w:rPr>
          <w:rFonts w:hint="eastAsia"/>
        </w:rPr>
      </w:pPr>
      <w:r>
        <w:rPr>
          <w:rFonts w:hint="eastAsia"/>
        </w:rPr>
        <w:t>36.</w:t>
      </w:r>
      <w:r>
        <w:rPr>
          <w:rFonts w:hint="eastAsia"/>
        </w:rPr>
        <w:tab/>
        <w:t>委员会对萨米妇女在萨米议会及其他政治决策机构中代表比例低表示关注。委员会还注意到，妇幼诊所、医院、日托和教育机构鲜有提供萨米语的服务。委员会还对芬兰北部缺乏向萨米妇女中的家庭暴力受害者提供收容所表示关切。</w:t>
      </w:r>
    </w:p>
    <w:p w:rsidR="00CA478D" w:rsidRPr="00022BD9" w:rsidRDefault="00CA478D" w:rsidP="00CA478D">
      <w:pPr>
        <w:pStyle w:val="SingleTxt"/>
        <w:rPr>
          <w:rFonts w:ascii="SimHei" w:eastAsia="SimHei" w:hint="eastAsia"/>
        </w:rPr>
      </w:pPr>
      <w:r>
        <w:rPr>
          <w:rFonts w:hint="eastAsia"/>
        </w:rPr>
        <w:t>37.</w:t>
      </w:r>
      <w:r w:rsidRPr="00022BD9">
        <w:rPr>
          <w:rFonts w:ascii="SimHei" w:eastAsia="SimHei" w:hint="eastAsia"/>
        </w:rPr>
        <w:tab/>
        <w:t>委员会建议缔约国：</w:t>
      </w:r>
    </w:p>
    <w:p w:rsidR="00CA478D" w:rsidRPr="00022BD9" w:rsidRDefault="00CA478D" w:rsidP="00CA478D">
      <w:pPr>
        <w:pStyle w:val="SingleTxt"/>
        <w:rPr>
          <w:rFonts w:ascii="SimHei" w:eastAsia="SimHei" w:hint="eastAsia"/>
        </w:rPr>
      </w:pPr>
      <w:r>
        <w:rPr>
          <w:rFonts w:hint="eastAsia"/>
        </w:rPr>
        <w:tab/>
        <w:t>(a)</w:t>
      </w:r>
      <w:r>
        <w:rPr>
          <w:rFonts w:hint="eastAsia"/>
        </w:rPr>
        <w:tab/>
      </w:r>
      <w:r w:rsidRPr="00022BD9">
        <w:rPr>
          <w:rFonts w:ascii="SimHei" w:eastAsia="SimHei" w:hint="eastAsia"/>
        </w:rPr>
        <w:t>确保性别视角纳入所有涉及萨米人的政策和方案的主流；</w:t>
      </w:r>
    </w:p>
    <w:p w:rsidR="00CA478D" w:rsidRPr="00022BD9" w:rsidRDefault="00CA478D" w:rsidP="00CA478D">
      <w:pPr>
        <w:pStyle w:val="SingleTxt"/>
        <w:rPr>
          <w:rFonts w:ascii="SimHei" w:eastAsia="SimHei" w:hint="eastAsia"/>
        </w:rPr>
      </w:pPr>
      <w:r>
        <w:rPr>
          <w:rFonts w:hint="eastAsia"/>
        </w:rPr>
        <w:tab/>
        <w:t>(b)</w:t>
      </w:r>
      <w:r>
        <w:rPr>
          <w:rFonts w:hint="eastAsia"/>
        </w:rPr>
        <w:tab/>
      </w:r>
      <w:r w:rsidRPr="00022BD9">
        <w:rPr>
          <w:rFonts w:ascii="SimHei" w:eastAsia="SimHei" w:hint="eastAsia"/>
        </w:rPr>
        <w:t>采取具体措施，增加萨米妇女在社区及整个缔约国社会的政治和公共生活中的代表比例；</w:t>
      </w:r>
    </w:p>
    <w:p w:rsidR="00CA478D" w:rsidRPr="00022BD9" w:rsidRDefault="00CA478D" w:rsidP="00CA478D">
      <w:pPr>
        <w:pStyle w:val="SingleTxt"/>
        <w:rPr>
          <w:rFonts w:ascii="SimHei" w:eastAsia="SimHei" w:hint="eastAsia"/>
        </w:rPr>
      </w:pPr>
      <w:r>
        <w:rPr>
          <w:rFonts w:hint="eastAsia"/>
        </w:rPr>
        <w:tab/>
        <w:t>(c)</w:t>
      </w:r>
      <w:r>
        <w:rPr>
          <w:rFonts w:hint="eastAsia"/>
        </w:rPr>
        <w:tab/>
      </w:r>
      <w:r w:rsidRPr="00022BD9">
        <w:rPr>
          <w:rFonts w:ascii="SimHei" w:eastAsia="SimHei" w:hint="eastAsia"/>
        </w:rPr>
        <w:t>采取步骤，确保所有萨米妇女都能获得充分的社会和保健服务，包括孕产妇保健；</w:t>
      </w:r>
    </w:p>
    <w:p w:rsidR="00CA478D" w:rsidRPr="00022BD9" w:rsidRDefault="00CA478D" w:rsidP="00CA478D">
      <w:pPr>
        <w:pStyle w:val="SingleTxt"/>
        <w:rPr>
          <w:rFonts w:ascii="KaiTi_GB2312" w:eastAsia="KaiTi_GB2312" w:hint="eastAsia"/>
        </w:rPr>
      </w:pPr>
      <w:r>
        <w:rPr>
          <w:rFonts w:hint="eastAsia"/>
        </w:rPr>
        <w:tab/>
        <w:t>(d)</w:t>
      </w:r>
      <w:r>
        <w:rPr>
          <w:rFonts w:hint="eastAsia"/>
        </w:rPr>
        <w:tab/>
      </w:r>
      <w:r w:rsidRPr="00A54234">
        <w:rPr>
          <w:rFonts w:ascii="SimHei" w:eastAsia="SimHei" w:hAnsi="SimHei" w:hint="eastAsia"/>
        </w:rPr>
        <w:t>确保萨米妇女中家庭暴力受害者能获得庇护以及针对她们需求的服务。</w:t>
      </w:r>
    </w:p>
    <w:p w:rsidR="00CA478D" w:rsidRPr="00A54234" w:rsidRDefault="00CA478D" w:rsidP="00CA478D">
      <w:pPr>
        <w:pStyle w:val="SingleTxt"/>
        <w:rPr>
          <w:rFonts w:ascii="SimHei" w:eastAsia="SimHei" w:hAnsi="SimHei" w:hint="eastAsia"/>
        </w:rPr>
      </w:pPr>
      <w:r w:rsidRPr="00A54234">
        <w:rPr>
          <w:rFonts w:ascii="SimHei" w:eastAsia="SimHei" w:hAnsi="SimHei" w:hint="eastAsia"/>
        </w:rPr>
        <w:t>婚姻和家庭关系</w:t>
      </w:r>
    </w:p>
    <w:p w:rsidR="00CA478D" w:rsidRDefault="00CA478D" w:rsidP="00CA478D">
      <w:pPr>
        <w:pStyle w:val="SingleTxt"/>
        <w:rPr>
          <w:rFonts w:hint="eastAsia"/>
        </w:rPr>
      </w:pPr>
      <w:r>
        <w:rPr>
          <w:rFonts w:hint="eastAsia"/>
        </w:rPr>
        <w:t>38.</w:t>
      </w:r>
      <w:r>
        <w:rPr>
          <w:rFonts w:hint="eastAsia"/>
        </w:rPr>
        <w:tab/>
        <w:t>委员会感到关切，目前的财产制度鼓励达成婚姻财产协议，规定财产分割，将损害女方离婚后的经济状况。委员会还表示关切，在索取婚姻权益时，养老金权益和其他与工作有关的福利，加上今后的创收能力都不被视作婚姻财产的一部分，这就使妇女在分居或离婚后处于更加不利的经济地位。委员会还感到关切，在判决离婚后对儿童的监护权时，家庭暴力问题未加以考虑。</w:t>
      </w:r>
    </w:p>
    <w:p w:rsidR="00CA478D" w:rsidRPr="00326028" w:rsidRDefault="00CA478D" w:rsidP="00CA478D">
      <w:pPr>
        <w:pStyle w:val="SingleTxt"/>
        <w:rPr>
          <w:rFonts w:ascii="KaiTi_GB2312" w:eastAsia="KaiTi_GB2312" w:hint="eastAsia"/>
        </w:rPr>
      </w:pPr>
      <w:r>
        <w:rPr>
          <w:rFonts w:hint="eastAsia"/>
        </w:rPr>
        <w:t>39.</w:t>
      </w:r>
      <w:r>
        <w:rPr>
          <w:rFonts w:hint="eastAsia"/>
        </w:rPr>
        <w:tab/>
      </w:r>
      <w:r w:rsidRPr="00A54234">
        <w:rPr>
          <w:rFonts w:ascii="SimHei" w:eastAsia="SimHei" w:hAnsi="SimHei" w:hint="eastAsia"/>
        </w:rPr>
        <w:t>根据《公约》第16条以及关于婚姻、家庭关系及其解体的经济后果的一般性建议29，委员会建议缔约国：</w:t>
      </w:r>
    </w:p>
    <w:p w:rsidR="00CA478D" w:rsidRPr="00A54234" w:rsidRDefault="00CA478D" w:rsidP="00CA478D">
      <w:pPr>
        <w:pStyle w:val="SingleTxt"/>
        <w:rPr>
          <w:rFonts w:ascii="SimHei" w:eastAsia="SimHei" w:hAnsi="SimHei" w:hint="eastAsia"/>
        </w:rPr>
      </w:pPr>
      <w:r>
        <w:rPr>
          <w:rFonts w:hint="eastAsia"/>
        </w:rPr>
        <w:tab/>
        <w:t>(a)</w:t>
      </w:r>
      <w:r>
        <w:rPr>
          <w:rFonts w:hint="eastAsia"/>
        </w:rPr>
        <w:tab/>
      </w:r>
      <w:r w:rsidRPr="00A54234">
        <w:rPr>
          <w:rFonts w:ascii="SimHei" w:eastAsia="SimHei" w:hAnsi="SimHei" w:hint="eastAsia"/>
        </w:rPr>
        <w:t>就离婚对配偶双方的经济后果进行研究，特别注意今后的创收能力、养老金权益以及与工作有关的福利方面两性的差异，重新审查鼓励财产分离的婚姻制度；</w:t>
      </w:r>
    </w:p>
    <w:p w:rsidR="00CA478D" w:rsidRPr="00326028" w:rsidRDefault="00CA478D" w:rsidP="00CA478D">
      <w:pPr>
        <w:pStyle w:val="SingleTxt"/>
        <w:rPr>
          <w:rFonts w:ascii="KaiTi_GB2312" w:eastAsia="KaiTi_GB2312" w:hint="eastAsia"/>
        </w:rPr>
      </w:pPr>
      <w:r>
        <w:rPr>
          <w:rFonts w:hint="eastAsia"/>
        </w:rPr>
        <w:tab/>
        <w:t>(b)</w:t>
      </w:r>
      <w:r>
        <w:rPr>
          <w:rFonts w:hint="eastAsia"/>
        </w:rPr>
        <w:tab/>
      </w:r>
      <w:r w:rsidRPr="00A54234">
        <w:rPr>
          <w:rFonts w:ascii="SimHei" w:eastAsia="SimHei" w:hAnsi="SimHei" w:hint="eastAsia"/>
        </w:rPr>
        <w:t>考虑修改婚后财产的定义，以便把养老金权益和其他与工作有关的福利以及今后的收入也纳入婚姻权益；</w:t>
      </w:r>
    </w:p>
    <w:p w:rsidR="00CA478D" w:rsidRPr="00A54234" w:rsidRDefault="00CA478D" w:rsidP="00CA478D">
      <w:pPr>
        <w:pStyle w:val="SingleTxt"/>
        <w:rPr>
          <w:rFonts w:ascii="SimHei" w:eastAsia="SimHei" w:hAnsi="SimHei" w:hint="eastAsia"/>
        </w:rPr>
      </w:pPr>
      <w:r>
        <w:rPr>
          <w:rFonts w:hint="eastAsia"/>
        </w:rPr>
        <w:tab/>
        <w:t>(c)</w:t>
      </w:r>
      <w:r>
        <w:rPr>
          <w:rFonts w:hint="eastAsia"/>
        </w:rPr>
        <w:tab/>
      </w:r>
      <w:r w:rsidRPr="00A54234">
        <w:rPr>
          <w:rFonts w:ascii="SimHei" w:eastAsia="SimHei" w:hAnsi="SimHei" w:hint="eastAsia"/>
        </w:rPr>
        <w:t>采取措施确保家庭暴力将成为判决儿童监护权时得到系统考虑的因素</w:t>
      </w:r>
      <w:r w:rsidR="00A54234">
        <w:rPr>
          <w:rFonts w:ascii="SimHei" w:eastAsia="SimHei" w:hAnsi="SimHei" w:hint="eastAsia"/>
        </w:rPr>
        <w:t>；</w:t>
      </w:r>
    </w:p>
    <w:p w:rsidR="00CA478D" w:rsidRPr="00A54234" w:rsidRDefault="00CA478D" w:rsidP="00CA478D">
      <w:pPr>
        <w:pStyle w:val="SingleTxt"/>
        <w:rPr>
          <w:rFonts w:ascii="SimHei" w:eastAsia="SimHei" w:hAnsi="SimHei" w:hint="eastAsia"/>
        </w:rPr>
      </w:pPr>
      <w:r w:rsidRPr="00A54234">
        <w:rPr>
          <w:rFonts w:ascii="SimHei" w:eastAsia="SimHei" w:hAnsi="SimHei" w:hint="eastAsia"/>
        </w:rPr>
        <w:t>《北京宣言》和《行动纲要》</w:t>
      </w:r>
    </w:p>
    <w:p w:rsidR="00CA478D" w:rsidRPr="00326028" w:rsidRDefault="00CA478D" w:rsidP="00CA478D">
      <w:pPr>
        <w:pStyle w:val="SingleTxt"/>
        <w:rPr>
          <w:rFonts w:ascii="SimHei" w:eastAsia="SimHei" w:hint="eastAsia"/>
        </w:rPr>
      </w:pPr>
      <w:r>
        <w:rPr>
          <w:rFonts w:hint="eastAsia"/>
        </w:rPr>
        <w:t>40.</w:t>
      </w:r>
      <w:r>
        <w:rPr>
          <w:rFonts w:hint="eastAsia"/>
        </w:rPr>
        <w:tab/>
      </w:r>
      <w:r w:rsidRPr="00326028">
        <w:rPr>
          <w:rFonts w:ascii="SimHei" w:eastAsia="SimHei" w:hint="eastAsia"/>
        </w:rPr>
        <w:t>委员会吁请缔约国在履行《公约》的规定时运用《北京宣言》和《行动纲要》；</w:t>
      </w:r>
    </w:p>
    <w:p w:rsidR="00CA478D" w:rsidRPr="00326028" w:rsidRDefault="00CA478D" w:rsidP="00CA478D">
      <w:pPr>
        <w:pStyle w:val="SingleTxt"/>
        <w:rPr>
          <w:rFonts w:ascii="SimHei" w:eastAsia="SimHei" w:hint="eastAsia"/>
        </w:rPr>
      </w:pPr>
      <w:r w:rsidRPr="00326028">
        <w:rPr>
          <w:rFonts w:ascii="SimHei" w:eastAsia="SimHei" w:hint="eastAsia"/>
        </w:rPr>
        <w:t>千年发展目标及2015年后的发展框架</w:t>
      </w:r>
    </w:p>
    <w:p w:rsidR="00CA478D" w:rsidRPr="00326028" w:rsidRDefault="00CA478D" w:rsidP="00CA478D">
      <w:pPr>
        <w:pStyle w:val="SingleTxt"/>
        <w:rPr>
          <w:rFonts w:ascii="SimHei" w:eastAsia="SimHei" w:hint="eastAsia"/>
        </w:rPr>
      </w:pPr>
      <w:r>
        <w:rPr>
          <w:rFonts w:hint="eastAsia"/>
        </w:rPr>
        <w:t>41.</w:t>
      </w:r>
      <w:r>
        <w:rPr>
          <w:rFonts w:hint="eastAsia"/>
        </w:rPr>
        <w:tab/>
      </w:r>
      <w:r w:rsidRPr="00326028">
        <w:rPr>
          <w:rFonts w:ascii="SimHei" w:eastAsia="SimHei" w:hint="eastAsia"/>
        </w:rPr>
        <w:t>委员会呼吁，根据《公约》的规定，把性别视角融入实现千年发展目标的一切努力以及2015年后的发展框架。</w:t>
      </w:r>
    </w:p>
    <w:p w:rsidR="00CA478D" w:rsidRPr="00326028" w:rsidRDefault="00CA478D" w:rsidP="00CA478D">
      <w:pPr>
        <w:pStyle w:val="SingleTxt"/>
        <w:rPr>
          <w:rFonts w:ascii="SimHei" w:eastAsia="SimHei" w:hint="eastAsia"/>
        </w:rPr>
      </w:pPr>
      <w:r w:rsidRPr="00326028">
        <w:rPr>
          <w:rFonts w:ascii="SimHei" w:eastAsia="SimHei" w:hint="eastAsia"/>
        </w:rPr>
        <w:t>散发</w:t>
      </w:r>
    </w:p>
    <w:p w:rsidR="00CA478D" w:rsidRPr="00326028" w:rsidRDefault="00CA478D" w:rsidP="00CA478D">
      <w:pPr>
        <w:pStyle w:val="SingleTxt"/>
        <w:rPr>
          <w:rFonts w:ascii="SimHei" w:eastAsia="SimHei" w:hint="eastAsia"/>
        </w:rPr>
      </w:pPr>
      <w:r>
        <w:rPr>
          <w:rFonts w:hint="eastAsia"/>
        </w:rPr>
        <w:t>42.</w:t>
      </w:r>
      <w:r>
        <w:rPr>
          <w:rFonts w:hint="eastAsia"/>
        </w:rPr>
        <w:tab/>
      </w:r>
      <w:r w:rsidRPr="00326028">
        <w:rPr>
          <w:rFonts w:ascii="SimHei" w:eastAsia="SimHei" w:hint="eastAsia"/>
        </w:rPr>
        <w:t>委员会回顾缔约国有义务系统地、不断地履行《公约》的规定。敦促缔约国优先重视实施本结论意见以及从现在起至提交下一次定期报告期间提出的建议。因此，委员会要求以缔约国的官方语言将本结论意见及时发送各级</w:t>
      </w:r>
      <w:r w:rsidR="00244653">
        <w:rPr>
          <w:rFonts w:ascii="SimHei" w:eastAsia="SimHei" w:hint="eastAsia"/>
        </w:rPr>
        <w:t>(</w:t>
      </w:r>
      <w:r w:rsidRPr="00326028">
        <w:rPr>
          <w:rFonts w:ascii="SimHei" w:eastAsia="SimHei" w:hint="eastAsia"/>
        </w:rPr>
        <w:t>全国性、地区性和地方性</w:t>
      </w:r>
      <w:r w:rsidR="00244653">
        <w:rPr>
          <w:rFonts w:ascii="SimHei" w:eastAsia="SimHei" w:hint="eastAsia"/>
        </w:rPr>
        <w:t>)</w:t>
      </w:r>
      <w:r w:rsidRPr="00326028">
        <w:rPr>
          <w:rFonts w:ascii="SimHei" w:eastAsia="SimHei" w:hint="eastAsia"/>
        </w:rPr>
        <w:t>主管国家机构，特别是政府部委、议会和司法机构，以便得到全面实施。委员会鼓励缔约国同所有有关利益攸关方合作，如雇主协会、工会、人权和妇女组织、大学、研究机构和媒体等。委员会还进一步建议，其结论意见应以适当方式发送至地方社区一级，以便得到实施。此外，委员会请缔约国继续向所有的利益攸关方散发《公约》及其《任择议定书》和有关的判例，以及委员会的一般性建议。</w:t>
      </w:r>
    </w:p>
    <w:p w:rsidR="00CA478D" w:rsidRPr="00326028" w:rsidRDefault="00CA478D" w:rsidP="00CA478D">
      <w:pPr>
        <w:pStyle w:val="SingleTxt"/>
        <w:rPr>
          <w:rFonts w:ascii="SimHei" w:eastAsia="SimHei" w:hint="eastAsia"/>
        </w:rPr>
      </w:pPr>
      <w:r w:rsidRPr="00326028">
        <w:rPr>
          <w:rFonts w:ascii="SimHei" w:eastAsia="SimHei" w:hint="eastAsia"/>
        </w:rPr>
        <w:t>其他条约的批准</w:t>
      </w:r>
    </w:p>
    <w:p w:rsidR="00CA478D" w:rsidRPr="00326028" w:rsidRDefault="00CA478D" w:rsidP="00CA478D">
      <w:pPr>
        <w:pStyle w:val="SingleTxt"/>
        <w:rPr>
          <w:rFonts w:ascii="SimHei" w:eastAsia="SimHei" w:hint="eastAsia"/>
        </w:rPr>
      </w:pPr>
      <w:r>
        <w:rPr>
          <w:rFonts w:hint="eastAsia"/>
        </w:rPr>
        <w:t>43.</w:t>
      </w:r>
      <w:r w:rsidRPr="00326028">
        <w:rPr>
          <w:rFonts w:ascii="SimHei" w:eastAsia="SimHei" w:hint="eastAsia"/>
        </w:rPr>
        <w:tab/>
        <w:t>委员会指出，缔约国遵守九项主要的国际人权文书</w:t>
      </w:r>
      <w:r w:rsidR="00C63C9B">
        <w:rPr>
          <w:rStyle w:val="FootnoteReference"/>
          <w:rFonts w:ascii="SimHei" w:eastAsia="SimHei"/>
        </w:rPr>
        <w:footnoteReference w:id="1"/>
      </w:r>
      <w:r w:rsidRPr="00326028">
        <w:rPr>
          <w:rFonts w:ascii="SimHei" w:eastAsia="SimHei" w:hint="eastAsia"/>
        </w:rPr>
        <w:t xml:space="preserve"> 将促进妇女在生活的各个方面享有人权和基本自由。因此，委员会鼓励缔约国考虑批准其尚未加入的条约，即《残疾人权利公约》和《保护所有移徙工人及其家庭成员权利国际公约》。</w:t>
      </w:r>
    </w:p>
    <w:p w:rsidR="00CA478D" w:rsidRPr="00326028" w:rsidRDefault="00CA478D" w:rsidP="00FE45CC">
      <w:pPr>
        <w:pStyle w:val="SingleTxt"/>
        <w:tabs>
          <w:tab w:val="left" w:pos="945"/>
        </w:tabs>
        <w:rPr>
          <w:rFonts w:ascii="SimHei" w:eastAsia="SimHei" w:hint="eastAsia"/>
        </w:rPr>
      </w:pPr>
      <w:r w:rsidRPr="00326028">
        <w:rPr>
          <w:rFonts w:ascii="SimHei" w:eastAsia="SimHei" w:hint="eastAsia"/>
        </w:rPr>
        <w:t>结论意见的后续行动</w:t>
      </w:r>
    </w:p>
    <w:p w:rsidR="00CA478D" w:rsidRPr="00326028" w:rsidRDefault="00CA478D" w:rsidP="00CA478D">
      <w:pPr>
        <w:pStyle w:val="SingleTxt"/>
        <w:rPr>
          <w:rFonts w:ascii="SimHei" w:eastAsia="SimHei" w:hint="eastAsia"/>
        </w:rPr>
      </w:pPr>
      <w:r>
        <w:rPr>
          <w:rFonts w:hint="eastAsia"/>
        </w:rPr>
        <w:t>44.</w:t>
      </w:r>
      <w:r>
        <w:rPr>
          <w:rFonts w:hint="eastAsia"/>
        </w:rPr>
        <w:tab/>
      </w:r>
      <w:r w:rsidRPr="00326028">
        <w:rPr>
          <w:rFonts w:ascii="SimHei" w:eastAsia="SimHei" w:hint="eastAsia"/>
        </w:rPr>
        <w:t>委员会请缔约国在两年之内，就实施上述第19段第(a)、(b)、(d)、</w:t>
      </w:r>
      <w:r w:rsidR="00A54234">
        <w:rPr>
          <w:rFonts w:ascii="SimHei" w:eastAsia="SimHei" w:hint="eastAsia"/>
        </w:rPr>
        <w:t>(e)</w:t>
      </w:r>
      <w:r w:rsidRPr="00326028">
        <w:rPr>
          <w:rFonts w:ascii="SimHei" w:eastAsia="SimHei" w:hint="eastAsia"/>
        </w:rPr>
        <w:t>、(f)、(g)和(h)分段的建议所采取的步骤提交书面资料。</w:t>
      </w:r>
    </w:p>
    <w:p w:rsidR="00CA478D" w:rsidRPr="00326028" w:rsidRDefault="00CA478D" w:rsidP="00CA478D">
      <w:pPr>
        <w:pStyle w:val="SingleTxt"/>
        <w:rPr>
          <w:rFonts w:ascii="SimHei" w:eastAsia="SimHei" w:hint="eastAsia"/>
        </w:rPr>
      </w:pPr>
      <w:r w:rsidRPr="00326028">
        <w:rPr>
          <w:rFonts w:ascii="SimHei" w:eastAsia="SimHei" w:hint="eastAsia"/>
        </w:rPr>
        <w:t>下一次报告的编写</w:t>
      </w:r>
    </w:p>
    <w:p w:rsidR="00CA478D" w:rsidRPr="00326028" w:rsidRDefault="00CA478D" w:rsidP="00CA478D">
      <w:pPr>
        <w:pStyle w:val="SingleTxt"/>
        <w:rPr>
          <w:rFonts w:ascii="SimHei" w:eastAsia="SimHei" w:hint="eastAsia"/>
        </w:rPr>
      </w:pPr>
      <w:r>
        <w:rPr>
          <w:rFonts w:hint="eastAsia"/>
        </w:rPr>
        <w:t>45.</w:t>
      </w:r>
      <w:r>
        <w:rPr>
          <w:rFonts w:hint="eastAsia"/>
        </w:rPr>
        <w:tab/>
      </w:r>
      <w:r w:rsidRPr="00326028">
        <w:rPr>
          <w:rFonts w:ascii="SimHei" w:eastAsia="SimHei" w:hint="eastAsia"/>
        </w:rPr>
        <w:t>委员会请缔约国于2018年2月提交第八次定期报告。</w:t>
      </w:r>
    </w:p>
    <w:p w:rsidR="00CA478D" w:rsidRDefault="00CA478D" w:rsidP="003E2E0D">
      <w:pPr>
        <w:pStyle w:val="SingleTxt"/>
        <w:spacing w:after="120"/>
        <w:rPr>
          <w:rFonts w:ascii="SimHei" w:eastAsia="SimHei" w:hint="eastAsia"/>
          <w:sz w:val="20"/>
        </w:rPr>
      </w:pPr>
      <w:r>
        <w:rPr>
          <w:rFonts w:hint="eastAsia"/>
        </w:rPr>
        <w:t>46.</w:t>
      </w:r>
      <w:r w:rsidRPr="00326028">
        <w:rPr>
          <w:rFonts w:ascii="SimHei" w:eastAsia="SimHei" w:hint="eastAsia"/>
        </w:rPr>
        <w:tab/>
        <w:t>委员会请缔约国遵照国际人权条约的统一报告准则，包括编写共同核心文件和提交条约专要</w:t>
      </w:r>
      <w:r w:rsidRPr="00326028">
        <w:rPr>
          <w:rFonts w:ascii="SimHei" w:eastAsia="SimHei" w:hint="eastAsia"/>
          <w:sz w:val="20"/>
        </w:rPr>
        <w:t>文件的准则(</w:t>
      </w:r>
      <w:hyperlink r:id="rId25" w:history="1">
        <w:r w:rsidRPr="00171F0E">
          <w:rPr>
            <w:rStyle w:val="Hyperlink"/>
            <w:rFonts w:ascii="SimHei" w:eastAsia="SimHei" w:hint="eastAsia"/>
            <w:sz w:val="20"/>
          </w:rPr>
          <w:t>HRI/MC/2006/3</w:t>
        </w:r>
      </w:hyperlink>
      <w:r w:rsidRPr="00326028">
        <w:rPr>
          <w:rFonts w:ascii="SimHei" w:eastAsia="SimHei" w:hint="eastAsia"/>
          <w:sz w:val="20"/>
        </w:rPr>
        <w:t>和Corr.1)。</w:t>
      </w:r>
    </w:p>
    <w:p w:rsidR="00EA31C3" w:rsidRPr="00326028" w:rsidRDefault="00326028" w:rsidP="00326028">
      <w:pPr>
        <w:pStyle w:val="SingleTxt"/>
        <w:spacing w:after="0" w:line="240" w:lineRule="auto"/>
        <w:rPr>
          <w:rFonts w:hint="eastAsia"/>
          <w:sz w:val="20"/>
        </w:rPr>
      </w:pPr>
      <w:r>
        <w:rPr>
          <w:rFonts w:hint="eastAsia"/>
          <w:noProof/>
          <w:sz w:val="20"/>
        </w:rPr>
        <w:pict>
          <v:line id="_x0000_s1029" style="position:absolute;left:0;text-align:left;z-index:3;mso-position-horizontal:center" from="0,30pt" to="1in,30pt" strokeweight=".25pt"/>
        </w:pict>
      </w:r>
    </w:p>
    <w:sectPr w:rsidR="00EA31C3" w:rsidRPr="00326028" w:rsidSect="00DE4C8C">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4T16:02:00Z" w:initials="Start">
    <w:p w:rsidR="00F801EF" w:rsidRDefault="00F801E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NO&gt;&gt;N1425801C&lt;&lt;ODS JOB NO&gt;&gt;</w:t>
      </w:r>
    </w:p>
    <w:p w:rsidR="00F801EF" w:rsidRDefault="00F801EF">
      <w:pPr>
        <w:pStyle w:val="CommentText"/>
      </w:pPr>
      <w:r>
        <w:t>&lt;&lt;ODS DOC SYMBOL1&gt;&gt;CEDAW/C/FIN/CO/7&lt;&lt;ODS DOC SYMBOL1&gt;&gt;</w:t>
      </w:r>
    </w:p>
    <w:p w:rsidR="00F801EF" w:rsidRDefault="00F801E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58D8" w:rsidRDefault="00EF58D8">
      <w:r>
        <w:separator/>
      </w:r>
    </w:p>
  </w:endnote>
  <w:endnote w:type="continuationSeparator" w:id="0">
    <w:p w:rsidR="00EF58D8" w:rsidRDefault="00EF58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801EF" w:rsidTr="00DE4C8C">
      <w:tblPrEx>
        <w:tblCellMar>
          <w:top w:w="0" w:type="dxa"/>
          <w:bottom w:w="0" w:type="dxa"/>
        </w:tblCellMar>
      </w:tblPrEx>
      <w:tc>
        <w:tcPr>
          <w:tcW w:w="5033" w:type="dxa"/>
          <w:shd w:val="clear" w:color="auto" w:fill="auto"/>
        </w:tcPr>
        <w:p w:rsidR="00F801EF" w:rsidRPr="00DE4C8C" w:rsidRDefault="00F801EF" w:rsidP="00DE4C8C">
          <w:pPr>
            <w:pStyle w:val="Footer"/>
            <w:jc w:val="right"/>
            <w:rPr>
              <w:b w:val="0"/>
              <w:w w:val="103"/>
              <w:sz w:val="14"/>
            </w:rPr>
          </w:pPr>
          <w:fldSimple w:instr=" DOCVARIABLE &quot;FooterJN&quot; \* MERGEFORMAT ">
            <w:r>
              <w:rPr>
                <w:b w:val="0"/>
                <w:w w:val="103"/>
                <w:sz w:val="14"/>
              </w:rPr>
              <w:t>14-25801 (C)</w:t>
            </w:r>
          </w:fldSimple>
        </w:p>
      </w:tc>
      <w:tc>
        <w:tcPr>
          <w:tcW w:w="5033" w:type="dxa"/>
          <w:shd w:val="clear" w:color="auto" w:fill="auto"/>
        </w:tcPr>
        <w:p w:rsidR="00F801EF" w:rsidRPr="00DE4C8C" w:rsidRDefault="00F801EF" w:rsidP="00DE4C8C">
          <w:pPr>
            <w:pStyle w:val="Footer"/>
            <w:jc w:val="left"/>
            <w:rPr>
              <w:w w:val="103"/>
            </w:rPr>
          </w:pPr>
          <w:r>
            <w:rPr>
              <w:w w:val="103"/>
            </w:rPr>
            <w:fldChar w:fldCharType="begin"/>
          </w:r>
          <w:r>
            <w:rPr>
              <w:w w:val="103"/>
            </w:rPr>
            <w:instrText xml:space="preserve"> PAGE  \* Arabic  \* MERGEFORMAT </w:instrText>
          </w:r>
          <w:r>
            <w:rPr>
              <w:w w:val="103"/>
            </w:rPr>
            <w:fldChar w:fldCharType="separate"/>
          </w:r>
          <w:r w:rsidR="00991B31">
            <w:rPr>
              <w:w w:val="103"/>
            </w:rPr>
            <w:t>2</w:t>
          </w:r>
          <w:r>
            <w:rPr>
              <w:w w:val="103"/>
            </w:rPr>
            <w:fldChar w:fldCharType="end"/>
          </w:r>
          <w:r>
            <w:rPr>
              <w:w w:val="103"/>
            </w:rPr>
            <w:t>/</w:t>
          </w:r>
          <w:fldSimple w:instr=" NUMPAGES  \* Arabic  \* MERGEFORMAT ">
            <w:r w:rsidR="00991B31">
              <w:rPr>
                <w:w w:val="103"/>
              </w:rPr>
              <w:t>11</w:t>
            </w:r>
          </w:fldSimple>
        </w:p>
      </w:tc>
    </w:tr>
  </w:tbl>
  <w:p w:rsidR="00F801EF" w:rsidRPr="00DE4C8C" w:rsidRDefault="00F801EF" w:rsidP="00DE4C8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801EF" w:rsidTr="00DE4C8C">
      <w:tblPrEx>
        <w:tblCellMar>
          <w:top w:w="0" w:type="dxa"/>
          <w:bottom w:w="0" w:type="dxa"/>
        </w:tblCellMar>
      </w:tblPrEx>
      <w:tc>
        <w:tcPr>
          <w:tcW w:w="5033" w:type="dxa"/>
          <w:shd w:val="clear" w:color="auto" w:fill="auto"/>
        </w:tcPr>
        <w:p w:rsidR="00F801EF" w:rsidRPr="00DE4C8C" w:rsidRDefault="00F801EF" w:rsidP="00DE4C8C">
          <w:pPr>
            <w:pStyle w:val="Footer"/>
            <w:jc w:val="right"/>
          </w:pPr>
          <w:fldSimple w:instr=" PAGE  \* Arabic  \* MERGEFORMAT ">
            <w:r w:rsidR="00991B31">
              <w:t>11</w:t>
            </w:r>
          </w:fldSimple>
          <w:r>
            <w:t>/</w:t>
          </w:r>
          <w:fldSimple w:instr=" NUMPAGES  \* Arabic  \* MERGEFORMAT ">
            <w:r>
              <w:t>11</w:t>
            </w:r>
          </w:fldSimple>
        </w:p>
      </w:tc>
      <w:tc>
        <w:tcPr>
          <w:tcW w:w="5033" w:type="dxa"/>
          <w:shd w:val="clear" w:color="auto" w:fill="auto"/>
        </w:tcPr>
        <w:p w:rsidR="00F801EF" w:rsidRPr="00DE4C8C" w:rsidRDefault="00F801EF" w:rsidP="00DE4C8C">
          <w:pPr>
            <w:pStyle w:val="Footer"/>
            <w:jc w:val="left"/>
            <w:rPr>
              <w:b w:val="0"/>
              <w:w w:val="103"/>
              <w:sz w:val="14"/>
            </w:rPr>
          </w:pPr>
          <w:fldSimple w:instr=" DOCVARIABLE &quot;FooterJN&quot; \* MERGEFORMAT ">
            <w:r>
              <w:rPr>
                <w:b w:val="0"/>
                <w:w w:val="103"/>
                <w:sz w:val="14"/>
              </w:rPr>
              <w:t>14-25801 (C)</w:t>
            </w:r>
          </w:fldSimple>
        </w:p>
      </w:tc>
    </w:tr>
  </w:tbl>
  <w:p w:rsidR="00F801EF" w:rsidRPr="00DE4C8C" w:rsidRDefault="00F801EF" w:rsidP="00DE4C8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F801EF" w:rsidTr="00DE4C8C">
      <w:tblPrEx>
        <w:tblCellMar>
          <w:top w:w="0" w:type="dxa"/>
          <w:bottom w:w="0" w:type="dxa"/>
        </w:tblCellMar>
      </w:tblPrEx>
      <w:tc>
        <w:tcPr>
          <w:tcW w:w="5033" w:type="dxa"/>
        </w:tcPr>
        <w:p w:rsidR="00F801EF" w:rsidRDefault="00F801EF" w:rsidP="00DE4C8C">
          <w:pPr>
            <w:pStyle w:val="Footer"/>
            <w:rPr>
              <w:b w:val="0"/>
              <w:sz w:val="21"/>
            </w:rPr>
          </w:pPr>
          <w:fldSimple w:instr=" DOCVARIABLE &quot;jobn&quot; \* MERGEFORMAT ">
            <w:r>
              <w:rPr>
                <w:b w:val="0"/>
                <w:sz w:val="21"/>
              </w:rPr>
              <w:t>14-25801 (C)</w:t>
            </w:r>
          </w:fldSimple>
          <w:r>
            <w:rPr>
              <w:b w:val="0"/>
              <w:sz w:val="21"/>
            </w:rPr>
            <w:t xml:space="preserve">    040414    0</w:t>
          </w:r>
          <w:r>
            <w:rPr>
              <w:rFonts w:hint="eastAsia"/>
              <w:b w:val="0"/>
              <w:sz w:val="21"/>
            </w:rPr>
            <w:t>7</w:t>
          </w:r>
          <w:r>
            <w:rPr>
              <w:b w:val="0"/>
              <w:sz w:val="21"/>
            </w:rPr>
            <w:t>0414</w:t>
          </w:r>
        </w:p>
        <w:p w:rsidR="00F801EF" w:rsidRPr="00DE4C8C" w:rsidRDefault="00F801EF" w:rsidP="00DE4C8C">
          <w:pPr>
            <w:spacing w:before="80" w:line="210" w:lineRule="exact"/>
            <w:rPr>
              <w:rFonts w:ascii="Barcode 3 of 9 by request" w:hAnsi="Barcode 3 of 9 by request"/>
              <w:sz w:val="24"/>
            </w:rPr>
          </w:pPr>
          <w:r>
            <w:rPr>
              <w:rFonts w:ascii="Barcode 3 of 9 by request" w:hAnsi="Barcode 3 of 9 by request"/>
              <w:sz w:val="24"/>
            </w:rPr>
            <w:t>*1425801*</w:t>
          </w:r>
        </w:p>
      </w:tc>
      <w:tc>
        <w:tcPr>
          <w:tcW w:w="3686" w:type="dxa"/>
        </w:tcPr>
        <w:p w:rsidR="00F801EF" w:rsidRDefault="00F801EF" w:rsidP="00DE4C8C">
          <w:pPr>
            <w:pStyle w:val="Footer"/>
            <w:jc w:val="right"/>
            <w:rPr>
              <w:b w:val="0"/>
              <w:sz w:val="21"/>
            </w:rPr>
          </w:pPr>
          <w:r w:rsidRPr="00DE4C8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F801EF" w:rsidRPr="00DE4C8C" w:rsidRDefault="00F801EF" w:rsidP="00DE4C8C">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58D8" w:rsidRPr="00C63C9B" w:rsidRDefault="00EF58D8" w:rsidP="00C63C9B">
      <w:pPr>
        <w:pStyle w:val="Footer"/>
        <w:spacing w:after="80"/>
        <w:ind w:left="792"/>
        <w:rPr>
          <w:sz w:val="16"/>
        </w:rPr>
      </w:pPr>
      <w:r w:rsidRPr="00C63C9B">
        <w:rPr>
          <w:sz w:val="16"/>
        </w:rPr>
        <w:t>__________________</w:t>
      </w:r>
    </w:p>
  </w:footnote>
  <w:footnote w:type="continuationSeparator" w:id="0">
    <w:p w:rsidR="00EF58D8" w:rsidRPr="00C63C9B" w:rsidRDefault="00EF58D8" w:rsidP="00C63C9B">
      <w:pPr>
        <w:pStyle w:val="Footer"/>
        <w:spacing w:after="80"/>
        <w:ind w:left="792"/>
        <w:rPr>
          <w:sz w:val="16"/>
        </w:rPr>
      </w:pPr>
      <w:r w:rsidRPr="00C63C9B">
        <w:rPr>
          <w:sz w:val="16"/>
        </w:rPr>
        <w:t>__________________</w:t>
      </w:r>
    </w:p>
  </w:footnote>
  <w:footnote w:id="1">
    <w:p w:rsidR="00F801EF" w:rsidRPr="00C63C9B" w:rsidRDefault="00F801EF" w:rsidP="00C63C9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63C9B">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801EF" w:rsidTr="00DE4C8C">
      <w:tblPrEx>
        <w:tblCellMar>
          <w:top w:w="0" w:type="dxa"/>
          <w:bottom w:w="0" w:type="dxa"/>
        </w:tblCellMar>
      </w:tblPrEx>
      <w:trPr>
        <w:trHeight w:hRule="exact" w:val="864"/>
      </w:trPr>
      <w:tc>
        <w:tcPr>
          <w:tcW w:w="4838" w:type="dxa"/>
          <w:shd w:val="clear" w:color="auto" w:fill="auto"/>
          <w:vAlign w:val="bottom"/>
        </w:tcPr>
        <w:p w:rsidR="00F801EF" w:rsidRPr="00DE4C8C" w:rsidRDefault="00F801EF" w:rsidP="00DE4C8C">
          <w:pPr>
            <w:pStyle w:val="Header"/>
            <w:spacing w:after="80"/>
            <w:jc w:val="left"/>
            <w:rPr>
              <w:b/>
              <w:sz w:val="17"/>
            </w:rPr>
          </w:pPr>
          <w:fldSimple w:instr=" DOCVARIABLE &quot;sss1&quot; \* MERGEFORMAT ">
            <w:r>
              <w:rPr>
                <w:b/>
                <w:sz w:val="17"/>
              </w:rPr>
              <w:t>CEDAW/C/FIN/CO/7</w:t>
            </w:r>
          </w:fldSimple>
        </w:p>
      </w:tc>
      <w:tc>
        <w:tcPr>
          <w:tcW w:w="5033" w:type="dxa"/>
          <w:shd w:val="clear" w:color="auto" w:fill="auto"/>
          <w:vAlign w:val="bottom"/>
        </w:tcPr>
        <w:p w:rsidR="00F801EF" w:rsidRDefault="00F801EF" w:rsidP="00DE4C8C">
          <w:pPr>
            <w:pStyle w:val="Header"/>
          </w:pPr>
        </w:p>
      </w:tc>
    </w:tr>
  </w:tbl>
  <w:p w:rsidR="00F801EF" w:rsidRPr="00DE4C8C" w:rsidRDefault="00F801EF" w:rsidP="00DE4C8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801EF" w:rsidTr="00DE4C8C">
      <w:tblPrEx>
        <w:tblCellMar>
          <w:top w:w="0" w:type="dxa"/>
          <w:bottom w:w="0" w:type="dxa"/>
        </w:tblCellMar>
      </w:tblPrEx>
      <w:trPr>
        <w:trHeight w:hRule="exact" w:val="864"/>
      </w:trPr>
      <w:tc>
        <w:tcPr>
          <w:tcW w:w="4838" w:type="dxa"/>
          <w:shd w:val="clear" w:color="auto" w:fill="auto"/>
          <w:vAlign w:val="bottom"/>
        </w:tcPr>
        <w:p w:rsidR="00F801EF" w:rsidRDefault="00F801EF" w:rsidP="00DE4C8C">
          <w:pPr>
            <w:pStyle w:val="Header"/>
          </w:pPr>
        </w:p>
      </w:tc>
      <w:tc>
        <w:tcPr>
          <w:tcW w:w="5033" w:type="dxa"/>
          <w:shd w:val="clear" w:color="auto" w:fill="auto"/>
          <w:vAlign w:val="bottom"/>
        </w:tcPr>
        <w:p w:rsidR="00F801EF" w:rsidRPr="00DE4C8C" w:rsidRDefault="00F801EF" w:rsidP="00DE4C8C">
          <w:pPr>
            <w:pStyle w:val="Header"/>
            <w:spacing w:after="80"/>
            <w:jc w:val="right"/>
            <w:rPr>
              <w:b/>
              <w:sz w:val="17"/>
            </w:rPr>
          </w:pPr>
          <w:fldSimple w:instr=" DOCVARIABLE &quot;sss1&quot; \* MERGEFORMAT ">
            <w:r>
              <w:rPr>
                <w:b/>
                <w:sz w:val="17"/>
              </w:rPr>
              <w:t>CEDAW/C/FIN/CO/7</w:t>
            </w:r>
          </w:fldSimple>
        </w:p>
      </w:tc>
    </w:tr>
  </w:tbl>
  <w:p w:rsidR="00F801EF" w:rsidRPr="00DE4C8C" w:rsidRDefault="00F801EF" w:rsidP="00DE4C8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F801EF" w:rsidTr="00DE4C8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801EF" w:rsidRDefault="00F801EF" w:rsidP="00DE4C8C">
          <w:pPr>
            <w:pStyle w:val="Header"/>
            <w:spacing w:after="120"/>
          </w:pPr>
        </w:p>
      </w:tc>
      <w:tc>
        <w:tcPr>
          <w:tcW w:w="1872" w:type="dxa"/>
          <w:tcBorders>
            <w:bottom w:val="single" w:sz="4" w:space="0" w:color="auto"/>
          </w:tcBorders>
          <w:shd w:val="clear" w:color="auto" w:fill="auto"/>
          <w:vAlign w:val="bottom"/>
        </w:tcPr>
        <w:p w:rsidR="00F801EF" w:rsidRPr="00DE4C8C" w:rsidRDefault="00F801EF" w:rsidP="00DE4C8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801EF" w:rsidRDefault="00F801EF" w:rsidP="00DE4C8C">
          <w:pPr>
            <w:pStyle w:val="Header"/>
            <w:spacing w:after="120"/>
          </w:pPr>
        </w:p>
      </w:tc>
      <w:tc>
        <w:tcPr>
          <w:tcW w:w="6523" w:type="dxa"/>
          <w:gridSpan w:val="3"/>
          <w:tcBorders>
            <w:bottom w:val="single" w:sz="4" w:space="0" w:color="auto"/>
          </w:tcBorders>
          <w:shd w:val="clear" w:color="auto" w:fill="auto"/>
          <w:vAlign w:val="bottom"/>
        </w:tcPr>
        <w:p w:rsidR="00F801EF" w:rsidRPr="00DE4C8C" w:rsidRDefault="00F801EF" w:rsidP="00DE4C8C">
          <w:pPr>
            <w:spacing w:after="80" w:line="240" w:lineRule="auto"/>
            <w:jc w:val="right"/>
            <w:rPr>
              <w:rFonts w:ascii="Times New Roman"/>
              <w:position w:val="-4"/>
            </w:rPr>
          </w:pPr>
          <w:r>
            <w:rPr>
              <w:rFonts w:ascii="Times New Roman"/>
              <w:position w:val="-4"/>
              <w:sz w:val="40"/>
            </w:rPr>
            <w:t>CEDAW</w:t>
          </w:r>
          <w:r>
            <w:rPr>
              <w:rFonts w:ascii="Times New Roman"/>
              <w:position w:val="-4"/>
            </w:rPr>
            <w:t>/C/FIN/CO/7</w:t>
          </w:r>
        </w:p>
      </w:tc>
    </w:tr>
    <w:tr w:rsidR="00F801EF" w:rsidRPr="00DE4C8C" w:rsidTr="00DE4C8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801EF" w:rsidRDefault="00F801EF" w:rsidP="00DE4C8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801EF" w:rsidRPr="00DE4C8C" w:rsidRDefault="00F801EF" w:rsidP="00DE4C8C">
          <w:pPr>
            <w:pStyle w:val="Header"/>
            <w:spacing w:before="109"/>
            <w:ind w:left="-72"/>
          </w:pPr>
        </w:p>
      </w:tc>
      <w:tc>
        <w:tcPr>
          <w:tcW w:w="5227" w:type="dxa"/>
          <w:gridSpan w:val="3"/>
          <w:tcBorders>
            <w:top w:val="single" w:sz="4" w:space="0" w:color="auto"/>
            <w:bottom w:val="single" w:sz="12" w:space="0" w:color="auto"/>
          </w:tcBorders>
          <w:shd w:val="clear" w:color="auto" w:fill="auto"/>
        </w:tcPr>
        <w:p w:rsidR="00F801EF" w:rsidRPr="00DE4C8C" w:rsidRDefault="00F801EF" w:rsidP="00DE4C8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801EF" w:rsidRPr="00DE4C8C" w:rsidRDefault="00F801EF" w:rsidP="00DE4C8C">
          <w:pPr>
            <w:pStyle w:val="Header"/>
            <w:spacing w:before="109"/>
          </w:pPr>
        </w:p>
      </w:tc>
      <w:tc>
        <w:tcPr>
          <w:tcW w:w="3180" w:type="dxa"/>
          <w:gridSpan w:val="2"/>
          <w:tcBorders>
            <w:top w:val="single" w:sz="4" w:space="0" w:color="auto"/>
            <w:bottom w:val="single" w:sz="12" w:space="0" w:color="auto"/>
          </w:tcBorders>
          <w:shd w:val="clear" w:color="auto" w:fill="auto"/>
        </w:tcPr>
        <w:p w:rsidR="00F801EF" w:rsidRDefault="00F801EF" w:rsidP="00DE4C8C">
          <w:pPr>
            <w:spacing w:before="240" w:line="240" w:lineRule="exact"/>
            <w:rPr>
              <w:rFonts w:ascii="Times New Roman"/>
            </w:rPr>
          </w:pPr>
          <w:r>
            <w:rPr>
              <w:rFonts w:ascii="Times New Roman"/>
            </w:rPr>
            <w:t>Distr.: General</w:t>
          </w:r>
        </w:p>
        <w:p w:rsidR="00F801EF" w:rsidRDefault="00F801EF" w:rsidP="00DE4C8C">
          <w:pPr>
            <w:spacing w:line="240" w:lineRule="exact"/>
            <w:rPr>
              <w:rFonts w:ascii="Times New Roman"/>
            </w:rPr>
          </w:pPr>
          <w:r>
            <w:rPr>
              <w:rFonts w:ascii="Times New Roman"/>
            </w:rPr>
            <w:t>10 March 2014</w:t>
          </w:r>
        </w:p>
        <w:p w:rsidR="00F801EF" w:rsidRDefault="00F801EF" w:rsidP="00DE4C8C">
          <w:pPr>
            <w:spacing w:line="240" w:lineRule="exact"/>
            <w:rPr>
              <w:rFonts w:ascii="Times New Roman"/>
            </w:rPr>
          </w:pPr>
          <w:r>
            <w:rPr>
              <w:rFonts w:ascii="Times New Roman"/>
            </w:rPr>
            <w:t>Chinese</w:t>
          </w:r>
        </w:p>
        <w:p w:rsidR="00F801EF" w:rsidRPr="00DE4C8C" w:rsidRDefault="00F801EF" w:rsidP="00DE4C8C">
          <w:pPr>
            <w:spacing w:line="240" w:lineRule="exact"/>
            <w:rPr>
              <w:rFonts w:ascii="Times New Roman"/>
            </w:rPr>
          </w:pPr>
          <w:r>
            <w:rPr>
              <w:rFonts w:ascii="Times New Roman"/>
            </w:rPr>
            <w:t>Original: English</w:t>
          </w:r>
        </w:p>
      </w:tc>
    </w:tr>
  </w:tbl>
  <w:p w:rsidR="00F801EF" w:rsidRPr="00DE4C8C" w:rsidRDefault="00F801EF" w:rsidP="00DE4C8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01*"/>
    <w:docVar w:name="CreationDt" w:val="04/04/2014 15:45:52"/>
    <w:docVar w:name="DocCategory" w:val="Doc"/>
    <w:docVar w:name="DocType" w:val="Final"/>
    <w:docVar w:name="FooterJN" w:val="14-25801 (C)"/>
    <w:docVar w:name="jobn" w:val="14-25801 (C)"/>
    <w:docVar w:name="jobnDT" w:val="14-25801 (C)   040414"/>
    <w:docVar w:name="jobnDTDT" w:val="14-25801 (C)   040414   040414"/>
    <w:docVar w:name="JobNo" w:val="1425801C"/>
    <w:docVar w:name="OandT" w:val="zxs"/>
    <w:docVar w:name="sss1" w:val="CEDAW/C/FIN/CO/7"/>
    <w:docVar w:name="sss2" w:val="-"/>
    <w:docVar w:name="Symbol1" w:val="CEDAW/C/FIN/CO/7"/>
    <w:docVar w:name="Symbol2" w:val="-"/>
  </w:docVars>
  <w:rsids>
    <w:rsidRoot w:val="00F965EB"/>
    <w:rsid w:val="0000347C"/>
    <w:rsid w:val="000125BC"/>
    <w:rsid w:val="0001645E"/>
    <w:rsid w:val="00021A2B"/>
    <w:rsid w:val="00022BD9"/>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1F0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E5FCB"/>
    <w:rsid w:val="001F03A7"/>
    <w:rsid w:val="001F2F76"/>
    <w:rsid w:val="001F6F25"/>
    <w:rsid w:val="00203760"/>
    <w:rsid w:val="00207135"/>
    <w:rsid w:val="002145EA"/>
    <w:rsid w:val="00231575"/>
    <w:rsid w:val="00241DB7"/>
    <w:rsid w:val="00244653"/>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2F533D"/>
    <w:rsid w:val="003063F6"/>
    <w:rsid w:val="00320C99"/>
    <w:rsid w:val="00326028"/>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2E0D"/>
    <w:rsid w:val="003E4565"/>
    <w:rsid w:val="003E748F"/>
    <w:rsid w:val="003E7612"/>
    <w:rsid w:val="003F405D"/>
    <w:rsid w:val="00414423"/>
    <w:rsid w:val="00423F28"/>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1F5E"/>
    <w:rsid w:val="005C5FC3"/>
    <w:rsid w:val="005D0F04"/>
    <w:rsid w:val="005D2204"/>
    <w:rsid w:val="005F12F0"/>
    <w:rsid w:val="005F1AAD"/>
    <w:rsid w:val="005F3273"/>
    <w:rsid w:val="005F34A3"/>
    <w:rsid w:val="00610CF2"/>
    <w:rsid w:val="00617802"/>
    <w:rsid w:val="0063169D"/>
    <w:rsid w:val="006328DE"/>
    <w:rsid w:val="006353DE"/>
    <w:rsid w:val="006432CB"/>
    <w:rsid w:val="006479F1"/>
    <w:rsid w:val="00650BEE"/>
    <w:rsid w:val="006520FA"/>
    <w:rsid w:val="0065377D"/>
    <w:rsid w:val="00666F57"/>
    <w:rsid w:val="006740A7"/>
    <w:rsid w:val="006767D5"/>
    <w:rsid w:val="0068384B"/>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5256"/>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1B31"/>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4234"/>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3C9B"/>
    <w:rsid w:val="00C672B6"/>
    <w:rsid w:val="00C76854"/>
    <w:rsid w:val="00C76CFA"/>
    <w:rsid w:val="00C900C5"/>
    <w:rsid w:val="00C92AE0"/>
    <w:rsid w:val="00C943B4"/>
    <w:rsid w:val="00CA450F"/>
    <w:rsid w:val="00CA478D"/>
    <w:rsid w:val="00CA4BBC"/>
    <w:rsid w:val="00CA7E8C"/>
    <w:rsid w:val="00CB2B1E"/>
    <w:rsid w:val="00CC053E"/>
    <w:rsid w:val="00CC1E2C"/>
    <w:rsid w:val="00CC3E8B"/>
    <w:rsid w:val="00CC4E84"/>
    <w:rsid w:val="00CD5641"/>
    <w:rsid w:val="00CD740C"/>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E4C8C"/>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A3EE8"/>
    <w:rsid w:val="00EB33AC"/>
    <w:rsid w:val="00EC669D"/>
    <w:rsid w:val="00EC6F21"/>
    <w:rsid w:val="00EE0913"/>
    <w:rsid w:val="00EF58D8"/>
    <w:rsid w:val="00F01440"/>
    <w:rsid w:val="00F020E7"/>
    <w:rsid w:val="00F03676"/>
    <w:rsid w:val="00F04C64"/>
    <w:rsid w:val="00F13305"/>
    <w:rsid w:val="00F3596A"/>
    <w:rsid w:val="00F40463"/>
    <w:rsid w:val="00F50336"/>
    <w:rsid w:val="00F55E5B"/>
    <w:rsid w:val="00F569BC"/>
    <w:rsid w:val="00F62E3F"/>
    <w:rsid w:val="00F67F90"/>
    <w:rsid w:val="00F77B3E"/>
    <w:rsid w:val="00F801EF"/>
    <w:rsid w:val="00F833CB"/>
    <w:rsid w:val="00F87754"/>
    <w:rsid w:val="00F90A4B"/>
    <w:rsid w:val="00F90C56"/>
    <w:rsid w:val="00F965EB"/>
    <w:rsid w:val="00FC1CE4"/>
    <w:rsid w:val="00FC5915"/>
    <w:rsid w:val="00FD594E"/>
    <w:rsid w:val="00FD75B9"/>
    <w:rsid w:val="00FE45CC"/>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EDAW/C/FIN/5"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undocs.org/ch/CEDAW/C/FIN/CO/6"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FIN/Q/7/Add.1" TargetMode="External"/><Relationship Id="rId25" Type="http://schemas.openxmlformats.org/officeDocument/2006/relationships/hyperlink" Target="http://undocs.org/ch/HRI/MC/2006/3" TargetMode="External"/><Relationship Id="rId2" Type="http://schemas.openxmlformats.org/officeDocument/2006/relationships/settings" Target="settings.xml"/><Relationship Id="rId16" Type="http://schemas.openxmlformats.org/officeDocument/2006/relationships/hyperlink" Target="http://undocs.org/ch/CEDAW/C/FIN/Q/7" TargetMode="External"/><Relationship Id="rId20" Type="http://schemas.openxmlformats.org/officeDocument/2006/relationships/hyperlink" Target="http://undocs.org/ch/CEDAW/C/FIN/CO/6"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h/CEDAW/C/FIN/CO/6" TargetMode="External"/><Relationship Id="rId5" Type="http://schemas.openxmlformats.org/officeDocument/2006/relationships/endnotes" Target="endnotes.xml"/><Relationship Id="rId15" Type="http://schemas.openxmlformats.org/officeDocument/2006/relationships/hyperlink" Target="http://undocs.org/ch/CEDAW/C/FIN/7" TargetMode="External"/><Relationship Id="rId23" Type="http://schemas.openxmlformats.org/officeDocument/2006/relationships/hyperlink" Target="http://undocs.org/ch/CEDAW/C/FIN/CO/6" TargetMode="External"/><Relationship Id="rId10" Type="http://schemas.openxmlformats.org/officeDocument/2006/relationships/header" Target="header3.xml"/><Relationship Id="rId19" Type="http://schemas.openxmlformats.org/officeDocument/2006/relationships/hyperlink" Target="http://undocs.org/ch/CEDAW/C/FIN/6"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SR.1201" TargetMode="External"/><Relationship Id="rId22" Type="http://schemas.openxmlformats.org/officeDocument/2006/relationships/hyperlink" Target="http://undocs.org/ch/CEDAW/C/FIN/CO/6"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1</Pages>
  <Words>1484</Words>
  <Characters>8465</Characters>
  <Application>Microsoft Office Outlook</Application>
  <DocSecurity>4</DocSecurity>
  <Lines>70</Lines>
  <Paragraphs>19</Paragraphs>
  <ScaleCrop>false</ScaleCrop>
  <Company>United Nations</Company>
  <LinksUpToDate>false</LinksUpToDate>
  <CharactersWithSpaces>9930</CharactersWithSpaces>
  <SharedDoc>false</SharedDoc>
  <HLinks>
    <vt:vector size="72" baseType="variant">
      <vt:variant>
        <vt:i4>3407916</vt:i4>
      </vt:variant>
      <vt:variant>
        <vt:i4>33</vt:i4>
      </vt:variant>
      <vt:variant>
        <vt:i4>0</vt:i4>
      </vt:variant>
      <vt:variant>
        <vt:i4>5</vt:i4>
      </vt:variant>
      <vt:variant>
        <vt:lpwstr>http://undocs.org/ch/HRI/MC/2006/3</vt:lpwstr>
      </vt:variant>
      <vt:variant>
        <vt:lpwstr/>
      </vt:variant>
      <vt:variant>
        <vt:i4>1376274</vt:i4>
      </vt:variant>
      <vt:variant>
        <vt:i4>30</vt:i4>
      </vt:variant>
      <vt:variant>
        <vt:i4>0</vt:i4>
      </vt:variant>
      <vt:variant>
        <vt:i4>5</vt:i4>
      </vt:variant>
      <vt:variant>
        <vt:lpwstr>http://undocs.org/ch/CEDAW/C/FIN/CO/6</vt:lpwstr>
      </vt:variant>
      <vt:variant>
        <vt:lpwstr/>
      </vt:variant>
      <vt:variant>
        <vt:i4>1376274</vt:i4>
      </vt:variant>
      <vt:variant>
        <vt:i4>27</vt:i4>
      </vt:variant>
      <vt:variant>
        <vt:i4>0</vt:i4>
      </vt:variant>
      <vt:variant>
        <vt:i4>5</vt:i4>
      </vt:variant>
      <vt:variant>
        <vt:lpwstr>http://undocs.org/ch/CEDAW/C/FIN/CO/6</vt:lpwstr>
      </vt:variant>
      <vt:variant>
        <vt:lpwstr/>
      </vt:variant>
      <vt:variant>
        <vt:i4>1376274</vt:i4>
      </vt:variant>
      <vt:variant>
        <vt:i4>24</vt:i4>
      </vt:variant>
      <vt:variant>
        <vt:i4>0</vt:i4>
      </vt:variant>
      <vt:variant>
        <vt:i4>5</vt:i4>
      </vt:variant>
      <vt:variant>
        <vt:lpwstr>http://undocs.org/ch/CEDAW/C/FIN/CO/6</vt:lpwstr>
      </vt:variant>
      <vt:variant>
        <vt:lpwstr/>
      </vt:variant>
      <vt:variant>
        <vt:i4>1376274</vt:i4>
      </vt:variant>
      <vt:variant>
        <vt:i4>21</vt:i4>
      </vt:variant>
      <vt:variant>
        <vt:i4>0</vt:i4>
      </vt:variant>
      <vt:variant>
        <vt:i4>5</vt:i4>
      </vt:variant>
      <vt:variant>
        <vt:lpwstr>http://undocs.org/ch/CEDAW/C/FIN/CO/6</vt:lpwstr>
      </vt:variant>
      <vt:variant>
        <vt:lpwstr/>
      </vt:variant>
      <vt:variant>
        <vt:i4>1376274</vt:i4>
      </vt:variant>
      <vt:variant>
        <vt:i4>18</vt:i4>
      </vt:variant>
      <vt:variant>
        <vt:i4>0</vt:i4>
      </vt:variant>
      <vt:variant>
        <vt:i4>5</vt:i4>
      </vt:variant>
      <vt:variant>
        <vt:lpwstr>http://undocs.org/ch/CEDAW/C/FIN/CO/6</vt:lpwstr>
      </vt:variant>
      <vt:variant>
        <vt:lpwstr/>
      </vt:variant>
      <vt:variant>
        <vt:i4>7274621</vt:i4>
      </vt:variant>
      <vt:variant>
        <vt:i4>15</vt:i4>
      </vt:variant>
      <vt:variant>
        <vt:i4>0</vt:i4>
      </vt:variant>
      <vt:variant>
        <vt:i4>5</vt:i4>
      </vt:variant>
      <vt:variant>
        <vt:lpwstr>http://undocs.org/ch/CEDAW/C/FIN/6</vt:lpwstr>
      </vt:variant>
      <vt:variant>
        <vt:lpwstr/>
      </vt:variant>
      <vt:variant>
        <vt:i4>7078013</vt:i4>
      </vt:variant>
      <vt:variant>
        <vt:i4>12</vt:i4>
      </vt:variant>
      <vt:variant>
        <vt:i4>0</vt:i4>
      </vt:variant>
      <vt:variant>
        <vt:i4>5</vt:i4>
      </vt:variant>
      <vt:variant>
        <vt:lpwstr>http://undocs.org/ch/CEDAW/C/FIN/5</vt:lpwstr>
      </vt:variant>
      <vt:variant>
        <vt:lpwstr/>
      </vt:variant>
      <vt:variant>
        <vt:i4>2818103</vt:i4>
      </vt:variant>
      <vt:variant>
        <vt:i4>9</vt:i4>
      </vt:variant>
      <vt:variant>
        <vt:i4>0</vt:i4>
      </vt:variant>
      <vt:variant>
        <vt:i4>5</vt:i4>
      </vt:variant>
      <vt:variant>
        <vt:lpwstr>http://undocs.org/ch/CEDAW/C/FIN/Q/7/Add.1</vt:lpwstr>
      </vt:variant>
      <vt:variant>
        <vt:lpwstr/>
      </vt:variant>
      <vt:variant>
        <vt:i4>2031698</vt:i4>
      </vt:variant>
      <vt:variant>
        <vt:i4>6</vt:i4>
      </vt:variant>
      <vt:variant>
        <vt:i4>0</vt:i4>
      </vt:variant>
      <vt:variant>
        <vt:i4>5</vt:i4>
      </vt:variant>
      <vt:variant>
        <vt:lpwstr>http://undocs.org/ch/CEDAW/C/FIN/Q/7</vt:lpwstr>
      </vt:variant>
      <vt:variant>
        <vt:lpwstr/>
      </vt:variant>
      <vt:variant>
        <vt:i4>7209085</vt:i4>
      </vt:variant>
      <vt:variant>
        <vt:i4>3</vt:i4>
      </vt:variant>
      <vt:variant>
        <vt:i4>0</vt:i4>
      </vt:variant>
      <vt:variant>
        <vt:i4>5</vt:i4>
      </vt:variant>
      <vt:variant>
        <vt:lpwstr>http://undocs.org/ch/CEDAW/C/FIN/7</vt:lpwstr>
      </vt:variant>
      <vt:variant>
        <vt:lpwstr/>
      </vt:variant>
      <vt:variant>
        <vt:i4>983112</vt:i4>
      </vt:variant>
      <vt:variant>
        <vt:i4>0</vt:i4>
      </vt:variant>
      <vt:variant>
        <vt:i4>0</vt:i4>
      </vt:variant>
      <vt:variant>
        <vt:i4>5</vt:i4>
      </vt:variant>
      <vt:variant>
        <vt:lpwstr>http://undocs.org/ch/CEDAW/C/SR.1201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ZXS</dc:creator>
  <cp:keywords/>
  <dc:description/>
  <cp:lastModifiedBy>CTPU ZXS</cp:lastModifiedBy>
  <cp:revision>22</cp:revision>
  <cp:lastPrinted>2014-04-07T10:06:00Z</cp:lastPrinted>
  <dcterms:created xsi:type="dcterms:W3CDTF">2014-04-04T13:45:00Z</dcterms:created>
  <dcterms:modified xsi:type="dcterms:W3CDTF">2014-04-07T10:13:00Z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1425801</vt:lpwstr>
  </property>
  <property fmtid="{D5CDD505-2E9C-101B-9397-08002B2CF9AE}" pid="3" name="Symbol1">
    <vt:lpwstr>CEDAW/C/FIN/CO/7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zxs</vt:lpwstr>
  </property>
</Properties>
</file>