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9218C" w:rsidRPr="0069218C" w14:paraId="3F5F79D9" w14:textId="77777777" w:rsidTr="00E56EE3">
        <w:trPr>
          <w:trHeight w:hRule="exact" w:val="851"/>
        </w:trPr>
        <w:tc>
          <w:tcPr>
            <w:tcW w:w="1280" w:type="dxa"/>
            <w:tcBorders>
              <w:bottom w:val="single" w:sz="4" w:space="0" w:color="auto"/>
            </w:tcBorders>
            <w:shd w:val="clear" w:color="auto" w:fill="auto"/>
          </w:tcPr>
          <w:p w14:paraId="0EB4B167" w14:textId="77777777" w:rsidR="002D5AAC" w:rsidRPr="0069218C" w:rsidRDefault="002D5AAC" w:rsidP="00E56EE3"/>
        </w:tc>
        <w:tc>
          <w:tcPr>
            <w:tcW w:w="2273" w:type="dxa"/>
            <w:tcBorders>
              <w:bottom w:val="single" w:sz="4" w:space="0" w:color="auto"/>
            </w:tcBorders>
            <w:shd w:val="clear" w:color="auto" w:fill="auto"/>
            <w:vAlign w:val="bottom"/>
          </w:tcPr>
          <w:p w14:paraId="45066DB9" w14:textId="77777777" w:rsidR="002D5AAC" w:rsidRPr="0069218C" w:rsidRDefault="001145BC" w:rsidP="00E56EE3">
            <w:pPr>
              <w:spacing w:after="80" w:line="300" w:lineRule="exact"/>
              <w:rPr>
                <w:sz w:val="28"/>
              </w:rPr>
            </w:pPr>
            <w:r w:rsidRPr="0069218C">
              <w:rPr>
                <w:sz w:val="28"/>
              </w:rPr>
              <w:t>Naciones Unidas</w:t>
            </w:r>
          </w:p>
        </w:tc>
        <w:tc>
          <w:tcPr>
            <w:tcW w:w="6086" w:type="dxa"/>
            <w:gridSpan w:val="2"/>
            <w:tcBorders>
              <w:bottom w:val="single" w:sz="4" w:space="0" w:color="auto"/>
            </w:tcBorders>
            <w:shd w:val="clear" w:color="auto" w:fill="auto"/>
            <w:vAlign w:val="bottom"/>
          </w:tcPr>
          <w:p w14:paraId="22AC199E" w14:textId="1E8D63C4" w:rsidR="002D5AAC" w:rsidRPr="00686ECF" w:rsidRDefault="00686ECF" w:rsidP="00686ECF">
            <w:pPr>
              <w:jc w:val="right"/>
            </w:pPr>
            <w:r w:rsidRPr="00686ECF">
              <w:rPr>
                <w:sz w:val="40"/>
              </w:rPr>
              <w:t>E</w:t>
            </w:r>
            <w:r>
              <w:t>/C.12/SLV/RQ/6</w:t>
            </w:r>
          </w:p>
        </w:tc>
      </w:tr>
      <w:tr w:rsidR="0069218C" w:rsidRPr="0069218C" w14:paraId="12D93840" w14:textId="77777777" w:rsidTr="00E56EE3">
        <w:trPr>
          <w:trHeight w:hRule="exact" w:val="2835"/>
        </w:trPr>
        <w:tc>
          <w:tcPr>
            <w:tcW w:w="1280" w:type="dxa"/>
            <w:tcBorders>
              <w:top w:val="single" w:sz="4" w:space="0" w:color="auto"/>
              <w:bottom w:val="single" w:sz="12" w:space="0" w:color="auto"/>
            </w:tcBorders>
            <w:shd w:val="clear" w:color="auto" w:fill="auto"/>
          </w:tcPr>
          <w:p w14:paraId="4CD23D31" w14:textId="77777777" w:rsidR="002D5AAC" w:rsidRPr="0069218C" w:rsidRDefault="001145BC" w:rsidP="00E56EE3">
            <w:pPr>
              <w:spacing w:before="120"/>
              <w:jc w:val="center"/>
            </w:pPr>
            <w:r w:rsidRPr="0069218C">
              <w:rPr>
                <w:noProof/>
                <w:lang w:val="en-GB" w:eastAsia="en-GB"/>
              </w:rPr>
              <w:drawing>
                <wp:inline distT="0" distB="0" distL="0" distR="0" wp14:anchorId="767DCB90" wp14:editId="52F74BC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88265F4" w14:textId="77777777" w:rsidR="002D5AAC" w:rsidRPr="0069218C" w:rsidRDefault="001145BC" w:rsidP="009149EE">
            <w:pPr>
              <w:spacing w:before="120" w:line="420" w:lineRule="exact"/>
              <w:rPr>
                <w:b/>
                <w:sz w:val="34"/>
                <w:szCs w:val="34"/>
              </w:rPr>
            </w:pPr>
            <w:r w:rsidRPr="0069218C">
              <w:rPr>
                <w:b/>
                <w:sz w:val="40"/>
                <w:szCs w:val="40"/>
              </w:rPr>
              <w:t>Consejo Económico y Social</w:t>
            </w:r>
          </w:p>
        </w:tc>
        <w:tc>
          <w:tcPr>
            <w:tcW w:w="2819" w:type="dxa"/>
            <w:tcBorders>
              <w:top w:val="single" w:sz="4" w:space="0" w:color="auto"/>
              <w:bottom w:val="single" w:sz="12" w:space="0" w:color="auto"/>
            </w:tcBorders>
            <w:shd w:val="clear" w:color="auto" w:fill="auto"/>
          </w:tcPr>
          <w:p w14:paraId="7D8E23B8" w14:textId="77777777" w:rsidR="00935A0B" w:rsidRPr="0069218C" w:rsidRDefault="001145BC" w:rsidP="00935A0B">
            <w:pPr>
              <w:spacing w:before="240" w:line="240" w:lineRule="exact"/>
            </w:pPr>
            <w:r w:rsidRPr="0069218C">
              <w:t xml:space="preserve">Distr. </w:t>
            </w:r>
            <w:r w:rsidR="006551F6" w:rsidRPr="0069218C">
              <w:t>general</w:t>
            </w:r>
          </w:p>
          <w:p w14:paraId="50FD4121" w14:textId="6E248327" w:rsidR="001145BC" w:rsidRDefault="00294EA4" w:rsidP="00935A0B">
            <w:r>
              <w:t>6</w:t>
            </w:r>
            <w:r w:rsidR="001145BC" w:rsidRPr="0069218C">
              <w:t xml:space="preserve"> de mayo de 2022</w:t>
            </w:r>
          </w:p>
          <w:p w14:paraId="1EB86F6C" w14:textId="77777777" w:rsidR="00FE03A9" w:rsidRDefault="00FE03A9" w:rsidP="00935A0B"/>
          <w:p w14:paraId="5C63C5B4" w14:textId="77777777" w:rsidR="00935A0B" w:rsidRPr="0069218C" w:rsidRDefault="001145BC" w:rsidP="00935A0B">
            <w:r w:rsidRPr="0069218C">
              <w:t>Original: español</w:t>
            </w:r>
          </w:p>
          <w:p w14:paraId="7AA47995" w14:textId="77777777" w:rsidR="002D5AAC" w:rsidRPr="0069218C" w:rsidRDefault="00935A0B" w:rsidP="00935A0B">
            <w:pPr>
              <w:spacing w:line="240" w:lineRule="exact"/>
            </w:pPr>
            <w:r w:rsidRPr="0069218C">
              <w:t>Español, francés e inglés únicamente</w:t>
            </w:r>
          </w:p>
        </w:tc>
      </w:tr>
    </w:tbl>
    <w:p w14:paraId="324FB11D" w14:textId="77777777" w:rsidR="00E3142F" w:rsidRPr="0069218C" w:rsidRDefault="001145BC" w:rsidP="00E939A3">
      <w:pPr>
        <w:spacing w:before="120"/>
        <w:rPr>
          <w:b/>
          <w:sz w:val="24"/>
        </w:rPr>
      </w:pPr>
      <w:r w:rsidRPr="0069218C">
        <w:rPr>
          <w:b/>
          <w:sz w:val="24"/>
        </w:rPr>
        <w:t>Comité de Derechos Económicos, Sociales y Culturales</w:t>
      </w:r>
    </w:p>
    <w:p w14:paraId="364A726A" w14:textId="4CAFD417" w:rsidR="002D4163" w:rsidRPr="00C77B10" w:rsidRDefault="007C4599" w:rsidP="002D4163">
      <w:pPr>
        <w:rPr>
          <w:b/>
        </w:rPr>
      </w:pPr>
      <w:r w:rsidRPr="00C77B10">
        <w:rPr>
          <w:b/>
        </w:rPr>
        <w:t>72</w:t>
      </w:r>
      <w:r w:rsidR="00306E53">
        <w:rPr>
          <w:b/>
        </w:rPr>
        <w:t>º</w:t>
      </w:r>
      <w:r w:rsidR="001145BC" w:rsidRPr="00C77B10">
        <w:rPr>
          <w:b/>
        </w:rPr>
        <w:t xml:space="preserve"> período de sesiones</w:t>
      </w:r>
    </w:p>
    <w:p w14:paraId="6A550449" w14:textId="3BC6962E" w:rsidR="00306E53" w:rsidRPr="00C77B10" w:rsidRDefault="008E67A3" w:rsidP="00306E53">
      <w:r w:rsidRPr="00C77B10">
        <w:t>26 de se</w:t>
      </w:r>
      <w:r w:rsidR="00A26749" w:rsidRPr="00C77B10">
        <w:t>pt</w:t>
      </w:r>
      <w:r w:rsidRPr="00C77B10">
        <w:t>iembre a 14 de o</w:t>
      </w:r>
      <w:r w:rsidR="00A26749" w:rsidRPr="00C77B10">
        <w:t>c</w:t>
      </w:r>
      <w:r w:rsidRPr="00C77B10">
        <w:t>t</w:t>
      </w:r>
      <w:r w:rsidR="00A26749" w:rsidRPr="00C77B10">
        <w:t>u</w:t>
      </w:r>
      <w:r w:rsidRPr="00C77B10">
        <w:t xml:space="preserve">bre </w:t>
      </w:r>
      <w:r w:rsidR="00E17E4E">
        <w:t xml:space="preserve">de </w:t>
      </w:r>
      <w:r w:rsidRPr="00C77B10">
        <w:t>2022</w:t>
      </w:r>
    </w:p>
    <w:p w14:paraId="5AB28565" w14:textId="09C86D80" w:rsidR="002D4163" w:rsidRPr="0069218C" w:rsidRDefault="001145BC" w:rsidP="002D4163">
      <w:r w:rsidRPr="0069218C">
        <w:rPr>
          <w:b/>
          <w:bCs/>
        </w:rPr>
        <w:t xml:space="preserve">Examen de los informes: informes presentados </w:t>
      </w:r>
      <w:r w:rsidR="001043C1">
        <w:rPr>
          <w:b/>
          <w:bCs/>
        </w:rPr>
        <w:br/>
      </w:r>
      <w:r w:rsidRPr="0069218C">
        <w:rPr>
          <w:b/>
          <w:bCs/>
        </w:rPr>
        <w:t>por los Estados partes</w:t>
      </w:r>
      <w:r w:rsidR="001043C1">
        <w:rPr>
          <w:b/>
          <w:bCs/>
        </w:rPr>
        <w:t xml:space="preserve"> </w:t>
      </w:r>
      <w:r w:rsidRPr="0069218C">
        <w:rPr>
          <w:b/>
          <w:bCs/>
        </w:rPr>
        <w:t xml:space="preserve">en virtud de los artículos </w:t>
      </w:r>
      <w:r w:rsidR="001043C1">
        <w:rPr>
          <w:b/>
          <w:bCs/>
        </w:rPr>
        <w:br/>
      </w:r>
      <w:r w:rsidRPr="0069218C">
        <w:rPr>
          <w:b/>
          <w:bCs/>
        </w:rPr>
        <w:t>16 y 17 del Pacto</w:t>
      </w:r>
    </w:p>
    <w:p w14:paraId="0DB4613D" w14:textId="627D3E1F" w:rsidR="002D4163" w:rsidRPr="0069218C" w:rsidRDefault="001145BC" w:rsidP="00E17E4E">
      <w:pPr>
        <w:pStyle w:val="HMG"/>
      </w:pPr>
      <w:r w:rsidRPr="0069218C">
        <w:tab/>
      </w:r>
      <w:r w:rsidRPr="0069218C">
        <w:tab/>
        <w:t>Respuestas de El Salvador a la lista de cuestiones</w:t>
      </w:r>
      <w:r w:rsidR="0054386B" w:rsidRPr="0069218C">
        <w:t xml:space="preserve"> relativa a</w:t>
      </w:r>
      <w:r w:rsidR="00E17E4E">
        <w:t xml:space="preserve"> </w:t>
      </w:r>
      <w:r w:rsidR="0054386B" w:rsidRPr="0069218C">
        <w:t>su sexto informe periódico</w:t>
      </w:r>
      <w:r w:rsidR="00386B6B" w:rsidRPr="00EC3773">
        <w:rPr>
          <w:rStyle w:val="Refdenotaalpie"/>
          <w:b w:val="0"/>
          <w:sz w:val="20"/>
          <w:vertAlign w:val="baseline"/>
        </w:rPr>
        <w:footnoteReference w:customMarkFollows="1" w:id="1"/>
        <w:t>*</w:t>
      </w:r>
      <w:r w:rsidR="00386B6B" w:rsidRPr="00EC3773">
        <w:rPr>
          <w:sz w:val="20"/>
          <w:vertAlign w:val="superscript"/>
        </w:rPr>
        <w:t>,</w:t>
      </w:r>
      <w:r w:rsidR="00386B6B" w:rsidRPr="00EC3773">
        <w:rPr>
          <w:rStyle w:val="Refdenotaalpie"/>
          <w:b w:val="0"/>
          <w:sz w:val="20"/>
          <w:vertAlign w:val="baseline"/>
        </w:rPr>
        <w:footnoteReference w:customMarkFollows="1" w:id="2"/>
        <w:t>**</w:t>
      </w:r>
    </w:p>
    <w:p w14:paraId="5C032A10" w14:textId="77777777" w:rsidR="002D4163" w:rsidRPr="0069218C" w:rsidRDefault="001145BC" w:rsidP="001C2C73">
      <w:pPr>
        <w:pStyle w:val="SingleTxtG"/>
        <w:jc w:val="right"/>
      </w:pPr>
      <w:r w:rsidRPr="0069218C">
        <w:t xml:space="preserve">[Fecha de recepción: </w:t>
      </w:r>
      <w:r w:rsidR="00FE03A9" w:rsidRPr="0069218C">
        <w:t xml:space="preserve">3 de </w:t>
      </w:r>
      <w:r w:rsidR="00FE03A9" w:rsidRPr="00FE03A9">
        <w:t xml:space="preserve">marzo </w:t>
      </w:r>
      <w:r w:rsidR="00FE03A9" w:rsidRPr="0069218C">
        <w:t>de 2022</w:t>
      </w:r>
      <w:r w:rsidRPr="0069218C">
        <w:t>]</w:t>
      </w:r>
    </w:p>
    <w:p w14:paraId="00719DE7" w14:textId="77777777" w:rsidR="0069218C" w:rsidRDefault="0069218C">
      <w:pPr>
        <w:spacing w:line="240" w:lineRule="auto"/>
        <w:rPr>
          <w:bCs/>
        </w:rPr>
      </w:pPr>
      <w:r>
        <w:rPr>
          <w:bCs/>
        </w:rPr>
        <w:br w:type="page"/>
      </w:r>
    </w:p>
    <w:p w14:paraId="21C36496" w14:textId="3691F30D" w:rsidR="0069218C" w:rsidRPr="0069218C" w:rsidRDefault="00C44B04" w:rsidP="001C2C73">
      <w:pPr>
        <w:pStyle w:val="SingleTxtG"/>
        <w:tabs>
          <w:tab w:val="clear" w:pos="1701"/>
          <w:tab w:val="clear" w:pos="2268"/>
          <w:tab w:val="clear" w:pos="2835"/>
        </w:tabs>
        <w:rPr>
          <w:bCs/>
          <w:lang w:val="es-SV"/>
        </w:rPr>
      </w:pPr>
      <w:r w:rsidRPr="0069218C">
        <w:rPr>
          <w:bCs/>
          <w:lang w:val="es-SV"/>
        </w:rPr>
        <w:lastRenderedPageBreak/>
        <w:t>1.</w:t>
      </w:r>
      <w:r w:rsidRPr="0069218C">
        <w:rPr>
          <w:bCs/>
          <w:lang w:val="es-SV"/>
        </w:rPr>
        <w:tab/>
      </w:r>
      <w:r w:rsidR="0069218C" w:rsidRPr="0069218C">
        <w:rPr>
          <w:bCs/>
          <w:lang w:val="es-SV"/>
        </w:rPr>
        <w:t>La República de El Salvador, se complace en presentar su informe complementario relativo a la Lista de Cuestiones al Sexto Informe del Pacto Internacional de Derechos Económicos, Sociales y Culturales,</w:t>
      </w:r>
      <w:r w:rsidR="009C4946">
        <w:rPr>
          <w:bCs/>
          <w:lang w:val="es-SV"/>
        </w:rPr>
        <w:t xml:space="preserve"> </w:t>
      </w:r>
      <w:r w:rsidR="0069218C" w:rsidRPr="0069218C">
        <w:rPr>
          <w:bCs/>
          <w:lang w:val="es-SV"/>
        </w:rPr>
        <w:t>emitidas por el Comité de Expertos en noviembre de 2020,</w:t>
      </w:r>
      <w:r w:rsidR="009C4946">
        <w:rPr>
          <w:bCs/>
          <w:lang w:val="es-SV"/>
        </w:rPr>
        <w:t xml:space="preserve"> </w:t>
      </w:r>
      <w:r w:rsidR="0069218C" w:rsidRPr="0069218C">
        <w:rPr>
          <w:bCs/>
          <w:lang w:val="es-SV"/>
        </w:rPr>
        <w:t>derivado de la consulta de al menos 27 instituciones del Estado competentes en los temas de interés del Comité. Atendiendo las indicaciones del formato y el límite de caracteres, se hará referencia al articulado que contiene lo observado por el Comité, los datos estadísticos y otros informes se adjuntan como anexos.</w:t>
      </w:r>
    </w:p>
    <w:p w14:paraId="5FF694C6" w14:textId="7CCBFA96" w:rsidR="0069218C" w:rsidRPr="0069218C" w:rsidRDefault="009C4946" w:rsidP="00E17E4E">
      <w:pPr>
        <w:pStyle w:val="HChG"/>
        <w:rPr>
          <w:u w:val="single"/>
          <w:lang w:val="es-SV"/>
        </w:rPr>
      </w:pPr>
      <w:r>
        <w:rPr>
          <w:lang w:val="es-SV"/>
        </w:rPr>
        <w:tab/>
      </w:r>
      <w:r w:rsidR="00C478A7">
        <w:rPr>
          <w:lang w:val="es-SV"/>
        </w:rPr>
        <w:t>I</w:t>
      </w:r>
      <w:r w:rsidR="0069218C" w:rsidRPr="0069218C">
        <w:rPr>
          <w:lang w:val="es-SV"/>
        </w:rPr>
        <w:t xml:space="preserve">. </w:t>
      </w:r>
      <w:r>
        <w:rPr>
          <w:lang w:val="es-SV"/>
        </w:rPr>
        <w:tab/>
      </w:r>
      <w:r w:rsidR="0069218C" w:rsidRPr="0069218C">
        <w:rPr>
          <w:lang w:val="es-SV"/>
        </w:rPr>
        <w:t>Información general</w:t>
      </w:r>
    </w:p>
    <w:p w14:paraId="11B663CF" w14:textId="09239EDB" w:rsidR="0069218C" w:rsidRPr="0069218C" w:rsidRDefault="00C44B04" w:rsidP="001C2C73">
      <w:pPr>
        <w:pStyle w:val="SingleTxtG"/>
        <w:tabs>
          <w:tab w:val="clear" w:pos="1701"/>
          <w:tab w:val="clear" w:pos="2268"/>
          <w:tab w:val="clear" w:pos="2835"/>
        </w:tabs>
        <w:rPr>
          <w:bCs/>
          <w:lang w:val="es-SV"/>
        </w:rPr>
      </w:pPr>
      <w:r w:rsidRPr="0069218C">
        <w:rPr>
          <w:bCs/>
          <w:lang w:val="es-SV"/>
        </w:rPr>
        <w:t>2.</w:t>
      </w:r>
      <w:r w:rsidRPr="0069218C">
        <w:rPr>
          <w:bCs/>
          <w:lang w:val="es-SV"/>
        </w:rPr>
        <w:tab/>
      </w:r>
      <w:r w:rsidR="0069218C" w:rsidRPr="0069218C">
        <w:rPr>
          <w:bCs/>
          <w:lang w:val="es-SV"/>
        </w:rPr>
        <w:t>El Gobierno inició a partir de junio de 2019, un proceso de reestructuración institucional para optimizar recursos y mejorar la capacidad de respuesta a las necesidades de la población, por lo que se asumieron las funciones de algunas instituciones a través de la aprobación de Decretos Ejecutivos; tal es el caso de la creación de la Oficina de la Comisionada Presidencial para Asuntos de Operaciones y Gabinete, en sustitución de la Secretaria Técnica y de Planificación de la Presidencia.</w:t>
      </w:r>
    </w:p>
    <w:p w14:paraId="1D1FBF56" w14:textId="4FE46C82" w:rsidR="001145BC" w:rsidRDefault="00C44B04" w:rsidP="001C2C73">
      <w:pPr>
        <w:pStyle w:val="SingleTxtG"/>
        <w:tabs>
          <w:tab w:val="clear" w:pos="1701"/>
          <w:tab w:val="clear" w:pos="2268"/>
          <w:tab w:val="clear" w:pos="2835"/>
        </w:tabs>
        <w:rPr>
          <w:bCs/>
          <w:lang w:val="es-SV"/>
        </w:rPr>
      </w:pPr>
      <w:r>
        <w:rPr>
          <w:bCs/>
          <w:lang w:val="es-SV"/>
        </w:rPr>
        <w:t>3.</w:t>
      </w:r>
      <w:r>
        <w:rPr>
          <w:bCs/>
          <w:lang w:val="es-SV"/>
        </w:rPr>
        <w:tab/>
      </w:r>
      <w:r w:rsidR="0069218C" w:rsidRPr="0069218C">
        <w:rPr>
          <w:bCs/>
          <w:lang w:val="es-SV"/>
        </w:rPr>
        <w:t xml:space="preserve">Las funciones de la Secretaría de Vulnerabilidad fueron asumidas por la Comisión Nacional de Protección Civil, institución a la cual estaba adscrita y el Ministerio de Desarrollo Local, MINDEL, asumió los programas de la Secretaría de Inclusión Social, SIS, incluyendo el programa Ciudad Mujer. </w:t>
      </w:r>
    </w:p>
    <w:p w14:paraId="65FC167D" w14:textId="522C416C" w:rsidR="001145BC" w:rsidRDefault="00C44B04" w:rsidP="001C2C73">
      <w:pPr>
        <w:pStyle w:val="SingleTxtG"/>
        <w:tabs>
          <w:tab w:val="clear" w:pos="1701"/>
          <w:tab w:val="clear" w:pos="2268"/>
          <w:tab w:val="clear" w:pos="2835"/>
        </w:tabs>
        <w:rPr>
          <w:bCs/>
          <w:lang w:val="es-ES_tradnl"/>
        </w:rPr>
      </w:pPr>
      <w:r>
        <w:rPr>
          <w:bCs/>
          <w:lang w:val="es-ES_tradnl"/>
        </w:rPr>
        <w:t>4.</w:t>
      </w:r>
      <w:r>
        <w:rPr>
          <w:bCs/>
          <w:lang w:val="es-ES_tradnl"/>
        </w:rPr>
        <w:tab/>
      </w:r>
      <w:r w:rsidR="0069218C" w:rsidRPr="0069218C">
        <w:rPr>
          <w:bCs/>
          <w:lang w:val="es-SV"/>
        </w:rPr>
        <w:t>De acuerdo a la Ley de Desarrollo, Protección e Inclusión Social, la Oficina de la Comisionada Presidencial para Operaciones y Gabinete es la responsable de elaborar el Plan de Desarrollo Social 2019-2024, el cual retoma en su marco normativo los DESC y ha sido referente de los programas sociales. Así mismo,</w:t>
      </w:r>
      <w:r w:rsidR="009C4946">
        <w:rPr>
          <w:bCs/>
          <w:lang w:val="es-SV"/>
        </w:rPr>
        <w:t xml:space="preserve"> </w:t>
      </w:r>
      <w:r w:rsidR="0069218C" w:rsidRPr="0069218C">
        <w:rPr>
          <w:bCs/>
          <w:lang w:val="es-SV"/>
        </w:rPr>
        <w:t xml:space="preserve">cuenta con la Estrategia para la Erradicación de la Pobreza que contiene aspectos relacionados a las pensiones, vivienda y programas agrícolas, entre otros. El Estado desea expresar su reconocimiento a la labor esencial para la construcción de la democracia que impulsan </w:t>
      </w:r>
      <w:r w:rsidR="0069218C" w:rsidRPr="0069218C">
        <w:rPr>
          <w:bCs/>
          <w:lang w:val="es-ES_tradnl"/>
        </w:rPr>
        <w:t>las defensoras y los defensores de derechos humanos, esto incluye el ámbito de derechos económicos, sociales y culturales; no dando lugar a una política estatal que limite su quehacer.</w:t>
      </w:r>
    </w:p>
    <w:p w14:paraId="12F7A7DC" w14:textId="43F25F24" w:rsidR="0069218C" w:rsidRPr="0069218C" w:rsidRDefault="00C44B04" w:rsidP="001C2C73">
      <w:pPr>
        <w:pStyle w:val="SingleTxtG"/>
        <w:tabs>
          <w:tab w:val="clear" w:pos="1701"/>
          <w:tab w:val="clear" w:pos="2268"/>
          <w:tab w:val="clear" w:pos="2835"/>
        </w:tabs>
        <w:rPr>
          <w:bCs/>
          <w:lang w:val="es-ES_tradnl"/>
        </w:rPr>
      </w:pPr>
      <w:r w:rsidRPr="0069218C">
        <w:rPr>
          <w:bCs/>
          <w:lang w:val="es-ES_tradnl"/>
        </w:rPr>
        <w:t>5.</w:t>
      </w:r>
      <w:r w:rsidRPr="0069218C">
        <w:rPr>
          <w:bCs/>
          <w:lang w:val="es-ES_tradnl"/>
        </w:rPr>
        <w:tab/>
      </w:r>
      <w:r w:rsidR="0069218C" w:rsidRPr="0069218C">
        <w:rPr>
          <w:bCs/>
          <w:lang w:val="es-ES_tradnl"/>
        </w:rPr>
        <w:t xml:space="preserve">El </w:t>
      </w:r>
      <w:r w:rsidR="0069218C" w:rsidRPr="001145BC">
        <w:rPr>
          <w:bCs/>
          <w:lang w:val="es-SV"/>
        </w:rPr>
        <w:t>Código</w:t>
      </w:r>
      <w:r w:rsidR="0069218C" w:rsidRPr="0069218C">
        <w:rPr>
          <w:bCs/>
          <w:lang w:val="es-ES_tradnl"/>
        </w:rPr>
        <w:t xml:space="preserve"> Penal contempla como una condición agravante de la responsabilidad penal que el hecho delictivo recaiga en la víctima dada su “labor humanitaria”, en atención a la promoción y protección de los derechos humanos; cualquier</w:t>
      </w:r>
      <w:r w:rsidR="0069218C" w:rsidRPr="0069218C">
        <w:rPr>
          <w:bCs/>
          <w:lang w:val="es-SV"/>
        </w:rPr>
        <w:t xml:space="preserve"> situación de afectación a derechos que constituya delito, puede denunciarse ante la Fiscalía General de la República.</w:t>
      </w:r>
    </w:p>
    <w:p w14:paraId="41EF4C5C" w14:textId="56C7A42E" w:rsidR="0069218C" w:rsidRPr="0069218C" w:rsidRDefault="00C44B04" w:rsidP="001C2C73">
      <w:pPr>
        <w:pStyle w:val="SingleTxtG"/>
        <w:tabs>
          <w:tab w:val="clear" w:pos="1701"/>
          <w:tab w:val="clear" w:pos="2268"/>
          <w:tab w:val="clear" w:pos="2835"/>
        </w:tabs>
        <w:rPr>
          <w:bCs/>
          <w:lang w:val="es-SV"/>
        </w:rPr>
      </w:pPr>
      <w:r w:rsidRPr="0069218C">
        <w:rPr>
          <w:bCs/>
          <w:lang w:val="es-SV"/>
        </w:rPr>
        <w:t>6.</w:t>
      </w:r>
      <w:r w:rsidRPr="0069218C">
        <w:rPr>
          <w:bCs/>
          <w:lang w:val="es-SV"/>
        </w:rPr>
        <w:tab/>
      </w:r>
      <w:r w:rsidR="0069218C" w:rsidRPr="0069218C">
        <w:rPr>
          <w:bCs/>
          <w:lang w:val="es-SV"/>
        </w:rPr>
        <w:t>La garantía de independencia de los poderes del Estado se encuentra reconocida en la Constitución y en las leyes secundarias. En ese sentido, la organización y el funcionamiento del Órgano Judicial está regulado por la Ley Orgánica Judicial.</w:t>
      </w:r>
    </w:p>
    <w:p w14:paraId="14512A0F" w14:textId="024972D9" w:rsidR="0069218C" w:rsidRPr="0069218C" w:rsidRDefault="00C44B04" w:rsidP="001C2C73">
      <w:pPr>
        <w:pStyle w:val="SingleTxtG"/>
        <w:tabs>
          <w:tab w:val="clear" w:pos="1701"/>
          <w:tab w:val="clear" w:pos="2268"/>
          <w:tab w:val="clear" w:pos="2835"/>
        </w:tabs>
        <w:rPr>
          <w:bCs/>
          <w:lang w:val="es-SV"/>
        </w:rPr>
      </w:pPr>
      <w:r w:rsidRPr="0069218C">
        <w:rPr>
          <w:bCs/>
          <w:lang w:val="es-SV"/>
        </w:rPr>
        <w:t>7.</w:t>
      </w:r>
      <w:r w:rsidRPr="0069218C">
        <w:rPr>
          <w:bCs/>
          <w:lang w:val="es-SV"/>
        </w:rPr>
        <w:tab/>
      </w:r>
      <w:r w:rsidR="0069218C" w:rsidRPr="0069218C">
        <w:rPr>
          <w:bCs/>
          <w:lang w:val="es-SV"/>
        </w:rPr>
        <w:t>En lo que respecta a la independencia funcional de los Magistrados y Jueces, esta se garantiza con el establecimiento de la Carrera Judicial, que constituye en sí misma una garantía de estabilidad e independencia de los Magistrados y Jueces. La independencia en el ejercicio de su función jurisdiccional, está consagrada por la Constitución, que establece que estos son independientes y que están sometidos exclusivamente a la misma Constitución y a las leyes del país, por lo que los jueces, sin distinción de jerarquía, son independientes para juzgar las causas que ante ellos se controvierten.</w:t>
      </w:r>
    </w:p>
    <w:p w14:paraId="08C7439D" w14:textId="51E9680C" w:rsidR="0069218C" w:rsidRPr="0069218C" w:rsidRDefault="00C44B04" w:rsidP="001C2C73">
      <w:pPr>
        <w:pStyle w:val="SingleTxtG"/>
        <w:tabs>
          <w:tab w:val="clear" w:pos="1701"/>
          <w:tab w:val="clear" w:pos="2268"/>
          <w:tab w:val="clear" w:pos="2835"/>
        </w:tabs>
        <w:rPr>
          <w:bCs/>
          <w:lang w:val="es-SV"/>
        </w:rPr>
      </w:pPr>
      <w:r w:rsidRPr="0069218C">
        <w:rPr>
          <w:bCs/>
          <w:lang w:val="es-SV"/>
        </w:rPr>
        <w:t>8.</w:t>
      </w:r>
      <w:r w:rsidRPr="0069218C">
        <w:rPr>
          <w:bCs/>
          <w:lang w:val="es-SV"/>
        </w:rPr>
        <w:tab/>
      </w:r>
      <w:r w:rsidR="0069218C" w:rsidRPr="0069218C">
        <w:rPr>
          <w:bCs/>
          <w:lang w:val="es-SV"/>
        </w:rPr>
        <w:t>Los magistrados de la Corte Suprema de Justicia, CSJ, son elegidos por la Asamblea Legislativa, para un período de nueve años, con posibilidad de reelección, previa postulación y evaluación, de acuerdo con los requisitos establecidos en la normativa aplicable.</w:t>
      </w:r>
    </w:p>
    <w:p w14:paraId="5F79A06C" w14:textId="6D46D86B" w:rsidR="001145BC" w:rsidRDefault="00C44B04" w:rsidP="001C2C73">
      <w:pPr>
        <w:pStyle w:val="SingleTxtG"/>
        <w:tabs>
          <w:tab w:val="clear" w:pos="1701"/>
          <w:tab w:val="clear" w:pos="2268"/>
          <w:tab w:val="clear" w:pos="2835"/>
        </w:tabs>
        <w:rPr>
          <w:bCs/>
          <w:lang w:val="es-SV"/>
        </w:rPr>
      </w:pPr>
      <w:r>
        <w:rPr>
          <w:bCs/>
          <w:lang w:val="es-SV"/>
        </w:rPr>
        <w:t>9.</w:t>
      </w:r>
      <w:r>
        <w:rPr>
          <w:bCs/>
          <w:lang w:val="es-SV"/>
        </w:rPr>
        <w:tab/>
      </w:r>
      <w:r w:rsidR="0069218C" w:rsidRPr="0069218C">
        <w:rPr>
          <w:bCs/>
          <w:lang w:val="es-SV"/>
        </w:rPr>
        <w:t>El Plan Nacional de Cambio Climático, establece las prioridades del país en adaptación y mitigación ante el cambio climático, estimando las capacidades técnicas, financieras y las instituciones públicas con responsabilidades para su implementación. El objetivo es incrementar la resiliencia de los medios de vida ante las amenazas y crisis, sus acciones están orientadas al desarrollo e implementación de un sistema de identificación y evaluación de riesgos climáticos; el desarrollo de instrumentos y mecanismos para el blindaje climático de la política de protección social, la reducción de riesgos comunitarios y el restablecimiento oportuno, incluidos los medios de vida locales.</w:t>
      </w:r>
    </w:p>
    <w:p w14:paraId="580C2686" w14:textId="6A8BFA07" w:rsidR="001145BC" w:rsidRDefault="00C44B04" w:rsidP="001C2C73">
      <w:pPr>
        <w:pStyle w:val="SingleTxtG"/>
        <w:tabs>
          <w:tab w:val="clear" w:pos="1701"/>
          <w:tab w:val="clear" w:pos="2268"/>
          <w:tab w:val="clear" w:pos="2835"/>
        </w:tabs>
        <w:rPr>
          <w:bCs/>
          <w:lang w:val="es-SV"/>
        </w:rPr>
      </w:pPr>
      <w:r>
        <w:rPr>
          <w:bCs/>
          <w:lang w:val="es-SV"/>
        </w:rPr>
        <w:lastRenderedPageBreak/>
        <w:t>10.</w:t>
      </w:r>
      <w:r>
        <w:rPr>
          <w:bCs/>
          <w:lang w:val="es-SV"/>
        </w:rPr>
        <w:tab/>
      </w:r>
      <w:r w:rsidR="0069218C" w:rsidRPr="0069218C">
        <w:rPr>
          <w:bCs/>
          <w:lang w:val="es-SV"/>
        </w:rPr>
        <w:t>La Estrategia Nacional de Cambio Climático, cuenta con tres ejes: a) Mecanismos para enfrentar pérdidas y daños recurrentes</w:t>
      </w:r>
      <w:r w:rsidR="00AB7771">
        <w:rPr>
          <w:bCs/>
          <w:lang w:val="es-SV"/>
        </w:rPr>
        <w:t>;</w:t>
      </w:r>
      <w:r w:rsidR="0069218C" w:rsidRPr="0069218C">
        <w:rPr>
          <w:bCs/>
          <w:lang w:val="es-SV"/>
        </w:rPr>
        <w:t xml:space="preserve"> b) Adaptación al cambio climático y; c)</w:t>
      </w:r>
      <w:r w:rsidR="00AB7771">
        <w:rPr>
          <w:bCs/>
          <w:lang w:val="es-SV"/>
        </w:rPr>
        <w:t> </w:t>
      </w:r>
      <w:r w:rsidR="0069218C" w:rsidRPr="0069218C">
        <w:rPr>
          <w:bCs/>
          <w:lang w:val="es-SV"/>
        </w:rPr>
        <w:t>Mitigación al cambio climático con co-beneficios.</w:t>
      </w:r>
    </w:p>
    <w:p w14:paraId="652ED3F8" w14:textId="6546DB7F" w:rsidR="001145BC" w:rsidRDefault="00C44B04" w:rsidP="001C2C73">
      <w:pPr>
        <w:pStyle w:val="SingleTxtG"/>
        <w:tabs>
          <w:tab w:val="clear" w:pos="1701"/>
          <w:tab w:val="clear" w:pos="2268"/>
          <w:tab w:val="clear" w:pos="2835"/>
        </w:tabs>
        <w:rPr>
          <w:bCs/>
          <w:lang w:val="es-SV"/>
        </w:rPr>
      </w:pPr>
      <w:r>
        <w:rPr>
          <w:bCs/>
          <w:lang w:val="es-SV"/>
        </w:rPr>
        <w:t>11.</w:t>
      </w:r>
      <w:r>
        <w:rPr>
          <w:bCs/>
          <w:lang w:val="es-SV"/>
        </w:rPr>
        <w:tab/>
      </w:r>
      <w:r w:rsidR="0069218C" w:rsidRPr="0069218C">
        <w:rPr>
          <w:bCs/>
          <w:lang w:val="es-SV"/>
        </w:rPr>
        <w:t xml:space="preserve">Entre las medidas de adaptación a los efectos adversos del cambio climático en el disfrute de los DESC, se cuenta con el Programa de restauración de ecosistemas y paisajes que busca mejorar los medios de vida, fortalecer el desarrollo territorial y la seguridad alimentaria; reducir la vulnerabilidad a través de la restauración de las funciones de ecosistemas relacionadas directamente con el régimen hidrológico; y contribuir a que la población se adapte a los efectos adversos del cambio climático, a través de la restauración de la infraestructura natural y la gestión integrada de los recursos naturales, entre otras acciones. </w:t>
      </w:r>
    </w:p>
    <w:p w14:paraId="5086C382" w14:textId="13169B0C" w:rsidR="001145BC" w:rsidRDefault="00C44B04" w:rsidP="001C2C73">
      <w:pPr>
        <w:pStyle w:val="SingleTxtG"/>
        <w:tabs>
          <w:tab w:val="clear" w:pos="1701"/>
          <w:tab w:val="clear" w:pos="2268"/>
          <w:tab w:val="clear" w:pos="2835"/>
        </w:tabs>
        <w:rPr>
          <w:bCs/>
          <w:lang w:val="es-SV"/>
        </w:rPr>
      </w:pPr>
      <w:r>
        <w:rPr>
          <w:bCs/>
          <w:lang w:val="es-SV"/>
        </w:rPr>
        <w:t>12.</w:t>
      </w:r>
      <w:r>
        <w:rPr>
          <w:bCs/>
          <w:lang w:val="es-SV"/>
        </w:rPr>
        <w:tab/>
      </w:r>
      <w:r w:rsidR="0069218C" w:rsidRPr="0069218C">
        <w:rPr>
          <w:bCs/>
          <w:lang w:val="es-SV"/>
        </w:rPr>
        <w:t>Otra medida ha sido el fortalecimiento del monitoreo de amenazas, con la instalación y funcionamiento de ocho radares meteorológicos, la instalación de más de 100 nuevas estaciones de transmisión telemétricas, entre ellas meteorológicas, hidrológicas, pluviométricas, mareográficas y sísmicas; observadores locales, 600 personas capacitadas y equipadas; centro de monitoreo</w:t>
      </w:r>
      <w:r w:rsidR="009C4946">
        <w:rPr>
          <w:bCs/>
          <w:lang w:val="es-SV"/>
        </w:rPr>
        <w:t xml:space="preserve"> </w:t>
      </w:r>
      <w:r w:rsidR="0069218C" w:rsidRPr="0069218C">
        <w:rPr>
          <w:bCs/>
          <w:lang w:val="es-SV"/>
        </w:rPr>
        <w:t>integrado de amenazas, habilitado 24/7 y una articulación estratégica con Unidades Ambientales Municipales.</w:t>
      </w:r>
    </w:p>
    <w:p w14:paraId="5D073A13" w14:textId="275F6E48" w:rsidR="001145BC" w:rsidRDefault="00C44B04" w:rsidP="001C2C73">
      <w:pPr>
        <w:pStyle w:val="SingleTxtG"/>
        <w:tabs>
          <w:tab w:val="clear" w:pos="1701"/>
          <w:tab w:val="clear" w:pos="2268"/>
          <w:tab w:val="clear" w:pos="2835"/>
        </w:tabs>
        <w:rPr>
          <w:bCs/>
          <w:lang w:val="es-SV"/>
        </w:rPr>
      </w:pPr>
      <w:r>
        <w:rPr>
          <w:bCs/>
          <w:lang w:val="es-SV"/>
        </w:rPr>
        <w:t>13.</w:t>
      </w:r>
      <w:r>
        <w:rPr>
          <w:bCs/>
          <w:lang w:val="es-SV"/>
        </w:rPr>
        <w:tab/>
      </w:r>
      <w:r w:rsidR="0069218C" w:rsidRPr="0069218C">
        <w:rPr>
          <w:bCs/>
          <w:lang w:val="es-SV"/>
        </w:rPr>
        <w:t xml:space="preserve">El manejo preventivo de las sequías con la preparación pro-activa de los sistemas para reducir el riesgo y los impactos; el desarrollo de acciones de construcción de resiliencia y adaptación, con énfasis a la recuperación de las tierras degradadas y la restauración de ecosistemas; el fortalecimiento de los sistemas de monitoreo e información agroclimática y establecimiento de sistemas de alerta temprana, son otras medidas. En el ámbito de la agricultura, el desarrollo de variedades de frijol, maíz y sorgo de mayor capacidad productiva y contenido proteico, resistentes a enfermedades, a los insectos, plagas, a la baja humedad y altas temperaturas; la construcción de reservorios de agua lluvia para el riego de cultivos en época seca, mitigar los efectos de las sequías en las zonas del corredor seco y proveer agua a los animales. </w:t>
      </w:r>
    </w:p>
    <w:p w14:paraId="794BE1A9" w14:textId="1703DA7A" w:rsidR="001145BC" w:rsidRDefault="00C44B04" w:rsidP="001C2C73">
      <w:pPr>
        <w:pStyle w:val="SingleTxtG"/>
        <w:tabs>
          <w:tab w:val="clear" w:pos="1701"/>
          <w:tab w:val="clear" w:pos="2268"/>
          <w:tab w:val="clear" w:pos="2835"/>
        </w:tabs>
        <w:rPr>
          <w:bCs/>
          <w:lang w:val="es-SV"/>
        </w:rPr>
      </w:pPr>
      <w:r>
        <w:rPr>
          <w:bCs/>
          <w:lang w:val="es-SV"/>
        </w:rPr>
        <w:t>14.</w:t>
      </w:r>
      <w:r>
        <w:rPr>
          <w:bCs/>
          <w:lang w:val="es-SV"/>
        </w:rPr>
        <w:tab/>
      </w:r>
      <w:r w:rsidR="0069218C" w:rsidRPr="0069218C">
        <w:rPr>
          <w:bCs/>
          <w:lang w:val="es-SV"/>
        </w:rPr>
        <w:t>Asimismo, se aplica el enfoque de adaptación basado en ecosistemas, para reducir la vulnerabilidad de las comunidades locales y zonas urbanas a los efectos del Cambio Climático, se ejecutan diferentes proyectos; como: “Construyendo Resiliencia Climática de los Sistemas Urbanos, a través de la Adaptación basada en Ecosistemas en la Ciudad de San</w:t>
      </w:r>
      <w:r w:rsidR="00AB7771">
        <w:rPr>
          <w:bCs/>
          <w:lang w:val="es-SV"/>
        </w:rPr>
        <w:t> </w:t>
      </w:r>
      <w:r w:rsidR="0069218C" w:rsidRPr="0069218C">
        <w:rPr>
          <w:bCs/>
          <w:lang w:val="es-SV"/>
        </w:rPr>
        <w:t>Salvador”, bajo el cual se busca el fortalecimiento de las capacidades en la planificación urbana.</w:t>
      </w:r>
    </w:p>
    <w:p w14:paraId="6F1D0CC6" w14:textId="50553FBF" w:rsidR="001145BC" w:rsidRDefault="00C44B04" w:rsidP="001C2C73">
      <w:pPr>
        <w:pStyle w:val="SingleTxtG"/>
        <w:tabs>
          <w:tab w:val="clear" w:pos="1701"/>
          <w:tab w:val="clear" w:pos="2268"/>
          <w:tab w:val="clear" w:pos="2835"/>
        </w:tabs>
        <w:rPr>
          <w:bCs/>
          <w:lang w:val="es-SV"/>
        </w:rPr>
      </w:pPr>
      <w:r>
        <w:rPr>
          <w:bCs/>
          <w:lang w:val="es-SV"/>
        </w:rPr>
        <w:t>15.</w:t>
      </w:r>
      <w:r>
        <w:rPr>
          <w:bCs/>
          <w:lang w:val="es-SV"/>
        </w:rPr>
        <w:tab/>
      </w:r>
      <w:r w:rsidR="0069218C" w:rsidRPr="0069218C">
        <w:rPr>
          <w:bCs/>
          <w:lang w:val="es-SV"/>
        </w:rPr>
        <w:t>La declaratoria de Pandemia de la OMS sobre el Coronavirus (COVID-19), paso hacer una</w:t>
      </w:r>
      <w:r w:rsidR="009C4946">
        <w:rPr>
          <w:bCs/>
          <w:lang w:val="es-SV"/>
        </w:rPr>
        <w:t xml:space="preserve"> </w:t>
      </w:r>
      <w:r w:rsidR="0069218C" w:rsidRPr="0069218C">
        <w:rPr>
          <w:bCs/>
          <w:lang w:val="es-SV"/>
        </w:rPr>
        <w:t>emergencia de salud pública a nivel mundial, por ello, el Ministerio de Salud emitió el Acuerdo Ministerial Nº 301, el 23 de enero de 2020, como medida preventiva para la salud pública, con base en el contexto epidemiológico internacional y ante el avance de la enfermedad a nivel nacional.</w:t>
      </w:r>
    </w:p>
    <w:p w14:paraId="487FF5D9" w14:textId="3A259F18" w:rsidR="0069218C" w:rsidRPr="0069218C" w:rsidRDefault="00C44B04" w:rsidP="001C2C73">
      <w:pPr>
        <w:pStyle w:val="SingleTxtG"/>
        <w:tabs>
          <w:tab w:val="clear" w:pos="1701"/>
          <w:tab w:val="clear" w:pos="2268"/>
          <w:tab w:val="clear" w:pos="2835"/>
        </w:tabs>
        <w:rPr>
          <w:bCs/>
          <w:lang w:val="es-SV"/>
        </w:rPr>
      </w:pPr>
      <w:r w:rsidRPr="0069218C">
        <w:rPr>
          <w:bCs/>
          <w:lang w:val="es-SV"/>
        </w:rPr>
        <w:t>16.</w:t>
      </w:r>
      <w:r w:rsidRPr="0069218C">
        <w:rPr>
          <w:bCs/>
          <w:lang w:val="es-SV"/>
        </w:rPr>
        <w:tab/>
      </w:r>
      <w:r w:rsidR="0069218C" w:rsidRPr="0069218C">
        <w:rPr>
          <w:bCs/>
          <w:lang w:val="es-SV"/>
        </w:rPr>
        <w:t>Bajo la normativa (Constitución y Código de Salud), se emitieron diversas directrices que obedecieron a la situación de la pandemia por lo que el MINSAL bajo sus facultades tomó medidas ante la amenaza de epidemia u otra calamidad que pudiera afectar la salud, declaró zonas sujetas a control sanitario y tomó medidas extraordinarias de prevención, con base en criterios técnicos y científicos valorados por autoridades sanitarias competentes.</w:t>
      </w:r>
    </w:p>
    <w:p w14:paraId="700771A7" w14:textId="76EE970C" w:rsidR="001145BC" w:rsidRDefault="00C44B04" w:rsidP="001C2C73">
      <w:pPr>
        <w:pStyle w:val="SingleTxtG"/>
        <w:tabs>
          <w:tab w:val="clear" w:pos="1701"/>
          <w:tab w:val="clear" w:pos="2268"/>
          <w:tab w:val="clear" w:pos="2835"/>
        </w:tabs>
        <w:rPr>
          <w:bCs/>
          <w:lang w:val="es-SV"/>
        </w:rPr>
      </w:pPr>
      <w:r>
        <w:rPr>
          <w:bCs/>
          <w:lang w:val="es-SV"/>
        </w:rPr>
        <w:t>17.</w:t>
      </w:r>
      <w:r>
        <w:rPr>
          <w:bCs/>
          <w:lang w:val="es-SV"/>
        </w:rPr>
        <w:tab/>
      </w:r>
      <w:r w:rsidR="0069218C" w:rsidRPr="0069218C">
        <w:rPr>
          <w:bCs/>
          <w:lang w:val="es-SV"/>
        </w:rPr>
        <w:t xml:space="preserve">El derecho a la salud, tiene una faceta individual como colectiva, siendo la salud un bien público la Constitución ha previsto que ante situaciones extraordinarias, la suspensión general de un derecho fundamental, en la totalidad o en una parte del territorio puede generarse; de ahí que el Órgano Legislativo aprobó la Ley de Restricción Temporal de Derechos Constitucionales Concretos para Atender la Pandemia COVID-19, con base en el art. 29 de la Constitución publicada en el D.O. del 15 de marzo de 2020. </w:t>
      </w:r>
    </w:p>
    <w:p w14:paraId="689FFC1E" w14:textId="09E13E6F" w:rsidR="001145BC" w:rsidRDefault="00C44B04" w:rsidP="001C2C73">
      <w:pPr>
        <w:pStyle w:val="SingleTxtG"/>
        <w:tabs>
          <w:tab w:val="clear" w:pos="1701"/>
          <w:tab w:val="clear" w:pos="2268"/>
          <w:tab w:val="clear" w:pos="2835"/>
        </w:tabs>
        <w:rPr>
          <w:bCs/>
          <w:lang w:val="es-SV"/>
        </w:rPr>
      </w:pPr>
      <w:r>
        <w:rPr>
          <w:bCs/>
          <w:lang w:val="es-SV"/>
        </w:rPr>
        <w:t>18.</w:t>
      </w:r>
      <w:r>
        <w:rPr>
          <w:bCs/>
          <w:lang w:val="es-SV"/>
        </w:rPr>
        <w:tab/>
      </w:r>
      <w:r w:rsidR="0069218C" w:rsidRPr="0069218C">
        <w:rPr>
          <w:bCs/>
          <w:lang w:val="es-SV"/>
        </w:rPr>
        <w:t>En este contexto, las medidas administrativas y legislativas para la contención de la pandemia por C</w:t>
      </w:r>
      <w:r w:rsidR="00AB7771">
        <w:rPr>
          <w:bCs/>
          <w:lang w:val="es-SV"/>
        </w:rPr>
        <w:t>OVID</w:t>
      </w:r>
      <w:r w:rsidR="0069218C" w:rsidRPr="0069218C">
        <w:rPr>
          <w:bCs/>
          <w:lang w:val="es-SV"/>
        </w:rPr>
        <w:t>-19, fueron adoptadas bajo criterios de estricta excepcionalidad y temporalidad; adoptando previsiones suficientes y medidas de supervisión para garantizar la atención y la salud de los salvadoreños de forma inmediata y adecuada; sin causar más afectaciones que las estrictamente necesarias.</w:t>
      </w:r>
    </w:p>
    <w:p w14:paraId="5C97ECD4" w14:textId="183EB2A7" w:rsidR="0069218C" w:rsidRPr="009C4946" w:rsidRDefault="009C4946" w:rsidP="00E17E4E">
      <w:pPr>
        <w:pStyle w:val="HChG"/>
      </w:pPr>
      <w:r>
        <w:rPr>
          <w:lang w:val="es-MX"/>
        </w:rPr>
        <w:lastRenderedPageBreak/>
        <w:tab/>
      </w:r>
      <w:r w:rsidR="00C478A7">
        <w:rPr>
          <w:lang w:val="es-MX"/>
        </w:rPr>
        <w:t>II</w:t>
      </w:r>
      <w:r>
        <w:rPr>
          <w:lang w:val="es-MX"/>
        </w:rPr>
        <w:t>.</w:t>
      </w:r>
      <w:r>
        <w:rPr>
          <w:lang w:val="es-MX"/>
        </w:rPr>
        <w:tab/>
      </w:r>
      <w:r w:rsidR="0069218C" w:rsidRPr="0069218C">
        <w:rPr>
          <w:lang w:val="es-MX"/>
        </w:rPr>
        <w:t>Cuestiones relativas a las disposiciones generales del</w:t>
      </w:r>
      <w:r w:rsidR="00E17E4E">
        <w:rPr>
          <w:lang w:val="es-MX"/>
        </w:rPr>
        <w:t xml:space="preserve"> </w:t>
      </w:r>
      <w:r w:rsidR="0069218C" w:rsidRPr="0069218C">
        <w:rPr>
          <w:lang w:val="es-MX"/>
        </w:rPr>
        <w:t>Pacto</w:t>
      </w:r>
      <w:r w:rsidR="00294EA4">
        <w:rPr>
          <w:lang w:val="es-MX"/>
        </w:rPr>
        <w:br/>
      </w:r>
      <w:r w:rsidR="0069218C" w:rsidRPr="0069218C">
        <w:rPr>
          <w:lang w:val="es-MX"/>
        </w:rPr>
        <w:t xml:space="preserve">(arts. </w:t>
      </w:r>
      <w:r w:rsidR="0069218C" w:rsidRPr="009C4946">
        <w:t>1 a 5)</w:t>
      </w:r>
    </w:p>
    <w:p w14:paraId="4B656A5D" w14:textId="275B99D0" w:rsidR="001145BC" w:rsidRDefault="0069218C" w:rsidP="009C4946">
      <w:pPr>
        <w:pStyle w:val="H23G"/>
        <w:ind w:firstLine="0"/>
      </w:pPr>
      <w:r w:rsidRPr="0069218C">
        <w:rPr>
          <w:lang w:val="es-MX"/>
        </w:rPr>
        <w:t xml:space="preserve">Derecho a la libre disposición de las riquezas y los recursos </w:t>
      </w:r>
      <w:r w:rsidR="00AB7771">
        <w:rPr>
          <w:lang w:val="es-MX"/>
        </w:rPr>
        <w:br/>
      </w:r>
      <w:r w:rsidRPr="0069218C">
        <w:rPr>
          <w:lang w:val="es-MX"/>
        </w:rPr>
        <w:t xml:space="preserve">naturales (art. 1, párr. </w:t>
      </w:r>
      <w:r w:rsidRPr="0069218C">
        <w:t xml:space="preserve">2) </w:t>
      </w:r>
      <w:r w:rsidR="00294EA4">
        <w:br/>
      </w:r>
      <w:r w:rsidRPr="0069218C">
        <w:t>Máximo de los recursos disponibles (art. 2, párr. 1)</w:t>
      </w:r>
    </w:p>
    <w:p w14:paraId="0CAE5A77" w14:textId="2A9780AB" w:rsidR="0069218C" w:rsidRPr="0069218C" w:rsidRDefault="00C44B04" w:rsidP="001C2C73">
      <w:pPr>
        <w:pStyle w:val="SingleTxtG"/>
        <w:tabs>
          <w:tab w:val="clear" w:pos="1701"/>
          <w:tab w:val="clear" w:pos="2268"/>
          <w:tab w:val="clear" w:pos="2835"/>
        </w:tabs>
        <w:rPr>
          <w:bCs/>
          <w:lang w:val="es-SV"/>
        </w:rPr>
      </w:pPr>
      <w:r w:rsidRPr="0069218C">
        <w:rPr>
          <w:bCs/>
          <w:lang w:val="es-SV"/>
        </w:rPr>
        <w:t>19.</w:t>
      </w:r>
      <w:r w:rsidRPr="0069218C">
        <w:rPr>
          <w:bCs/>
          <w:lang w:val="es-SV"/>
        </w:rPr>
        <w:tab/>
      </w:r>
      <w:r w:rsidR="0069218C" w:rsidRPr="0069218C">
        <w:rPr>
          <w:bCs/>
          <w:lang w:val="es-SV"/>
        </w:rPr>
        <w:t xml:space="preserve">El Plan de Acción Nacional de Pueblos Indígenas de El Salvador (PLANPIES) ha sido retomado en la Política Nacional de Pueblos Indígenas y a su vez está contenido en el Plan Cuscatlán, si bien se registró un retraso en la implementación de la Política Nacional de Pueblos Indígenas por la Pandemia COVID-19 y las tormentas Amanda, ETA e IOTA, se desarrollaron acciones para la revitalización y promoción de la expresión cultural indígena, en cumplimiento de la política nacional. </w:t>
      </w:r>
    </w:p>
    <w:p w14:paraId="17D13131" w14:textId="35D0E96B" w:rsidR="0069218C" w:rsidRPr="0069218C" w:rsidRDefault="00C44B04" w:rsidP="001C2C73">
      <w:pPr>
        <w:pStyle w:val="SingleTxtG"/>
        <w:tabs>
          <w:tab w:val="clear" w:pos="1701"/>
          <w:tab w:val="clear" w:pos="2268"/>
          <w:tab w:val="clear" w:pos="2835"/>
        </w:tabs>
        <w:rPr>
          <w:bCs/>
          <w:lang w:val="es-SV"/>
        </w:rPr>
      </w:pPr>
      <w:r w:rsidRPr="0069218C">
        <w:rPr>
          <w:bCs/>
          <w:lang w:val="es-SV"/>
        </w:rPr>
        <w:t>20.</w:t>
      </w:r>
      <w:r w:rsidRPr="0069218C">
        <w:rPr>
          <w:bCs/>
          <w:lang w:val="es-SV"/>
        </w:rPr>
        <w:tab/>
      </w:r>
      <w:r w:rsidR="0069218C" w:rsidRPr="0069218C">
        <w:rPr>
          <w:bCs/>
          <w:lang w:val="es-SV"/>
        </w:rPr>
        <w:t>En relación al Convenio 169 de la OIT aún se encuentra en su etapa de revisión.</w:t>
      </w:r>
    </w:p>
    <w:p w14:paraId="4F58F3D9" w14:textId="77777777" w:rsidR="0069218C" w:rsidRPr="009C4946" w:rsidRDefault="0069218C" w:rsidP="009C4946">
      <w:pPr>
        <w:pStyle w:val="H23G"/>
        <w:ind w:firstLine="0"/>
        <w:rPr>
          <w:lang w:val="es-MX"/>
        </w:rPr>
      </w:pPr>
      <w:r w:rsidRPr="009C4946">
        <w:rPr>
          <w:lang w:val="es-MX"/>
        </w:rPr>
        <w:tab/>
        <w:t>Máximo de los recursos disponibles (art. 2, párr. 1)</w:t>
      </w:r>
    </w:p>
    <w:p w14:paraId="228FBDE0" w14:textId="7874D9B5" w:rsidR="0069218C" w:rsidRDefault="00C44B04" w:rsidP="001C2C73">
      <w:pPr>
        <w:pStyle w:val="SingleTxtG"/>
        <w:tabs>
          <w:tab w:val="clear" w:pos="1701"/>
          <w:tab w:val="clear" w:pos="2268"/>
          <w:tab w:val="clear" w:pos="2835"/>
        </w:tabs>
        <w:rPr>
          <w:bCs/>
          <w:lang w:val="es-SV"/>
        </w:rPr>
      </w:pPr>
      <w:r>
        <w:rPr>
          <w:bCs/>
          <w:lang w:val="es-SV"/>
        </w:rPr>
        <w:t>21.</w:t>
      </w:r>
      <w:r>
        <w:rPr>
          <w:bCs/>
          <w:lang w:val="es-SV"/>
        </w:rPr>
        <w:tab/>
      </w:r>
      <w:r w:rsidR="003322F1">
        <w:rPr>
          <w:bCs/>
          <w:lang w:val="es-SV"/>
        </w:rPr>
        <w:t xml:space="preserve">a): </w:t>
      </w:r>
      <w:r w:rsidR="0069218C" w:rsidRPr="0069218C">
        <w:rPr>
          <w:bCs/>
          <w:lang w:val="es-SV"/>
        </w:rPr>
        <w:t>El Salvador informa sobre la proporción de la población en situación de pobreza de 2010 a 2020, así como, el porcentaje de la población que vive en pobreza extrema de 2016 a 2020.</w:t>
      </w:r>
    </w:p>
    <w:tbl>
      <w:tblPr>
        <w:tblW w:w="5000" w:type="pct"/>
        <w:tblCellMar>
          <w:left w:w="0" w:type="dxa"/>
          <w:right w:w="0" w:type="dxa"/>
        </w:tblCellMar>
        <w:tblLook w:val="04A0" w:firstRow="1" w:lastRow="0" w:firstColumn="1" w:lastColumn="0" w:noHBand="0" w:noVBand="1"/>
      </w:tblPr>
      <w:tblGrid>
        <w:gridCol w:w="2216"/>
        <w:gridCol w:w="978"/>
        <w:gridCol w:w="586"/>
        <w:gridCol w:w="586"/>
        <w:gridCol w:w="586"/>
        <w:gridCol w:w="586"/>
        <w:gridCol w:w="586"/>
        <w:gridCol w:w="587"/>
        <w:gridCol w:w="587"/>
        <w:gridCol w:w="587"/>
        <w:gridCol w:w="587"/>
        <w:gridCol w:w="587"/>
        <w:gridCol w:w="579"/>
      </w:tblGrid>
      <w:tr w:rsidR="003322F1" w:rsidRPr="003322F1" w14:paraId="5CFF5254" w14:textId="77777777" w:rsidTr="001C2C73">
        <w:trPr>
          <w:tblHeader/>
        </w:trPr>
        <w:tc>
          <w:tcPr>
            <w:tcW w:w="1155" w:type="pct"/>
            <w:tcBorders>
              <w:top w:val="single" w:sz="4" w:space="0" w:color="auto"/>
              <w:bottom w:val="single" w:sz="12" w:space="0" w:color="auto"/>
            </w:tcBorders>
            <w:shd w:val="clear" w:color="auto" w:fill="auto"/>
            <w:vAlign w:val="bottom"/>
            <w:hideMark/>
          </w:tcPr>
          <w:p w14:paraId="7F73FF61" w14:textId="77777777" w:rsidR="003322F1" w:rsidRPr="003322F1" w:rsidRDefault="003322F1" w:rsidP="003322F1">
            <w:pPr>
              <w:spacing w:before="80" w:after="80" w:line="200" w:lineRule="exact"/>
              <w:rPr>
                <w:rFonts w:eastAsia="Times New Roman"/>
                <w:bCs/>
                <w:i/>
                <w:sz w:val="16"/>
                <w:lang w:val="en-US" w:eastAsia="en-US"/>
              </w:rPr>
            </w:pPr>
            <w:r w:rsidRPr="003322F1">
              <w:rPr>
                <w:rFonts w:eastAsia="Times New Roman"/>
                <w:bCs/>
                <w:i/>
                <w:sz w:val="16"/>
                <w:lang w:val="en-US" w:eastAsia="en-US"/>
              </w:rPr>
              <w:t>Nombre del Indicador</w:t>
            </w:r>
          </w:p>
        </w:tc>
        <w:tc>
          <w:tcPr>
            <w:tcW w:w="450" w:type="pct"/>
            <w:tcBorders>
              <w:top w:val="single" w:sz="4" w:space="0" w:color="auto"/>
              <w:bottom w:val="single" w:sz="12" w:space="0" w:color="auto"/>
            </w:tcBorders>
            <w:shd w:val="clear" w:color="auto" w:fill="auto"/>
            <w:vAlign w:val="bottom"/>
            <w:hideMark/>
          </w:tcPr>
          <w:p w14:paraId="2019379B" w14:textId="77777777" w:rsidR="003322F1" w:rsidRPr="003322F1" w:rsidRDefault="003322F1" w:rsidP="001C2C73">
            <w:pPr>
              <w:spacing w:before="80" w:after="80" w:line="200" w:lineRule="exact"/>
              <w:rPr>
                <w:rFonts w:eastAsia="Times New Roman"/>
                <w:bCs/>
                <w:i/>
                <w:sz w:val="16"/>
                <w:lang w:val="en-US" w:eastAsia="en-US"/>
              </w:rPr>
            </w:pPr>
            <w:r w:rsidRPr="003322F1">
              <w:rPr>
                <w:rFonts w:eastAsia="Times New Roman"/>
                <w:bCs/>
                <w:i/>
                <w:sz w:val="16"/>
                <w:lang w:val="en-US" w:eastAsia="en-US"/>
              </w:rPr>
              <w:t>Desagregación</w:t>
            </w:r>
          </w:p>
        </w:tc>
        <w:tc>
          <w:tcPr>
            <w:tcW w:w="309" w:type="pct"/>
            <w:tcBorders>
              <w:top w:val="single" w:sz="4" w:space="0" w:color="auto"/>
              <w:bottom w:val="single" w:sz="12" w:space="0" w:color="auto"/>
            </w:tcBorders>
            <w:shd w:val="clear" w:color="auto" w:fill="auto"/>
            <w:vAlign w:val="bottom"/>
            <w:hideMark/>
          </w:tcPr>
          <w:p w14:paraId="02770975"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2010</w:t>
            </w:r>
          </w:p>
        </w:tc>
        <w:tc>
          <w:tcPr>
            <w:tcW w:w="309" w:type="pct"/>
            <w:tcBorders>
              <w:top w:val="single" w:sz="4" w:space="0" w:color="auto"/>
              <w:bottom w:val="single" w:sz="12" w:space="0" w:color="auto"/>
            </w:tcBorders>
            <w:shd w:val="clear" w:color="auto" w:fill="auto"/>
            <w:vAlign w:val="bottom"/>
            <w:hideMark/>
          </w:tcPr>
          <w:p w14:paraId="2BB2804F"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2011</w:t>
            </w:r>
          </w:p>
        </w:tc>
        <w:tc>
          <w:tcPr>
            <w:tcW w:w="309" w:type="pct"/>
            <w:tcBorders>
              <w:top w:val="single" w:sz="4" w:space="0" w:color="auto"/>
              <w:bottom w:val="single" w:sz="12" w:space="0" w:color="auto"/>
            </w:tcBorders>
            <w:shd w:val="clear" w:color="auto" w:fill="auto"/>
            <w:vAlign w:val="bottom"/>
            <w:hideMark/>
          </w:tcPr>
          <w:p w14:paraId="79F11005"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2012</w:t>
            </w:r>
          </w:p>
        </w:tc>
        <w:tc>
          <w:tcPr>
            <w:tcW w:w="309" w:type="pct"/>
            <w:tcBorders>
              <w:top w:val="single" w:sz="4" w:space="0" w:color="auto"/>
              <w:bottom w:val="single" w:sz="12" w:space="0" w:color="auto"/>
            </w:tcBorders>
            <w:shd w:val="clear" w:color="auto" w:fill="auto"/>
            <w:vAlign w:val="bottom"/>
            <w:hideMark/>
          </w:tcPr>
          <w:p w14:paraId="30007EF0"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2013</w:t>
            </w:r>
          </w:p>
        </w:tc>
        <w:tc>
          <w:tcPr>
            <w:tcW w:w="309" w:type="pct"/>
            <w:tcBorders>
              <w:top w:val="single" w:sz="4" w:space="0" w:color="auto"/>
              <w:bottom w:val="single" w:sz="12" w:space="0" w:color="auto"/>
            </w:tcBorders>
            <w:shd w:val="clear" w:color="auto" w:fill="auto"/>
            <w:vAlign w:val="bottom"/>
            <w:hideMark/>
          </w:tcPr>
          <w:p w14:paraId="1E127F0D"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2014</w:t>
            </w:r>
          </w:p>
        </w:tc>
        <w:tc>
          <w:tcPr>
            <w:tcW w:w="309" w:type="pct"/>
            <w:tcBorders>
              <w:top w:val="single" w:sz="4" w:space="0" w:color="auto"/>
              <w:bottom w:val="single" w:sz="12" w:space="0" w:color="auto"/>
            </w:tcBorders>
            <w:shd w:val="clear" w:color="auto" w:fill="auto"/>
            <w:vAlign w:val="bottom"/>
            <w:hideMark/>
          </w:tcPr>
          <w:p w14:paraId="46A0E299"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2015</w:t>
            </w:r>
          </w:p>
        </w:tc>
        <w:tc>
          <w:tcPr>
            <w:tcW w:w="309" w:type="pct"/>
            <w:tcBorders>
              <w:top w:val="single" w:sz="4" w:space="0" w:color="auto"/>
              <w:bottom w:val="single" w:sz="12" w:space="0" w:color="auto"/>
            </w:tcBorders>
            <w:shd w:val="clear" w:color="auto" w:fill="auto"/>
            <w:vAlign w:val="bottom"/>
            <w:hideMark/>
          </w:tcPr>
          <w:p w14:paraId="2521EF5C"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2016</w:t>
            </w:r>
          </w:p>
        </w:tc>
        <w:tc>
          <w:tcPr>
            <w:tcW w:w="309" w:type="pct"/>
            <w:tcBorders>
              <w:top w:val="single" w:sz="4" w:space="0" w:color="auto"/>
              <w:bottom w:val="single" w:sz="12" w:space="0" w:color="auto"/>
            </w:tcBorders>
            <w:shd w:val="clear" w:color="auto" w:fill="auto"/>
            <w:vAlign w:val="bottom"/>
            <w:hideMark/>
          </w:tcPr>
          <w:p w14:paraId="21E865DB"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2017</w:t>
            </w:r>
          </w:p>
        </w:tc>
        <w:tc>
          <w:tcPr>
            <w:tcW w:w="309" w:type="pct"/>
            <w:tcBorders>
              <w:top w:val="single" w:sz="4" w:space="0" w:color="auto"/>
              <w:bottom w:val="single" w:sz="12" w:space="0" w:color="auto"/>
            </w:tcBorders>
            <w:shd w:val="clear" w:color="auto" w:fill="auto"/>
            <w:vAlign w:val="bottom"/>
            <w:hideMark/>
          </w:tcPr>
          <w:p w14:paraId="6B983655"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2018</w:t>
            </w:r>
          </w:p>
        </w:tc>
        <w:tc>
          <w:tcPr>
            <w:tcW w:w="309" w:type="pct"/>
            <w:tcBorders>
              <w:top w:val="single" w:sz="4" w:space="0" w:color="auto"/>
              <w:bottom w:val="single" w:sz="12" w:space="0" w:color="auto"/>
            </w:tcBorders>
            <w:shd w:val="clear" w:color="auto" w:fill="auto"/>
            <w:vAlign w:val="bottom"/>
            <w:hideMark/>
          </w:tcPr>
          <w:p w14:paraId="4969486D"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2019</w:t>
            </w:r>
          </w:p>
        </w:tc>
        <w:tc>
          <w:tcPr>
            <w:tcW w:w="305" w:type="pct"/>
            <w:tcBorders>
              <w:top w:val="single" w:sz="4" w:space="0" w:color="auto"/>
              <w:bottom w:val="single" w:sz="12" w:space="0" w:color="auto"/>
            </w:tcBorders>
            <w:shd w:val="clear" w:color="auto" w:fill="auto"/>
            <w:vAlign w:val="bottom"/>
            <w:hideMark/>
          </w:tcPr>
          <w:p w14:paraId="670C46A7" w14:textId="77777777" w:rsidR="003322F1" w:rsidRPr="003322F1" w:rsidRDefault="003322F1" w:rsidP="003322F1">
            <w:pPr>
              <w:spacing w:before="80" w:after="80" w:line="200" w:lineRule="exact"/>
              <w:jc w:val="right"/>
              <w:rPr>
                <w:rFonts w:eastAsia="Times New Roman"/>
                <w:bCs/>
                <w:i/>
                <w:sz w:val="16"/>
                <w:lang w:val="en-US" w:eastAsia="en-US"/>
              </w:rPr>
            </w:pPr>
            <w:r w:rsidRPr="003322F1">
              <w:rPr>
                <w:rFonts w:eastAsia="Times New Roman"/>
                <w:bCs/>
                <w:i/>
                <w:sz w:val="16"/>
                <w:lang w:val="en-US" w:eastAsia="en-US"/>
              </w:rPr>
              <w:t>2020</w:t>
            </w:r>
          </w:p>
        </w:tc>
      </w:tr>
      <w:tr w:rsidR="003322F1" w:rsidRPr="003322F1" w14:paraId="376129A7" w14:textId="77777777" w:rsidTr="001C2C73">
        <w:tc>
          <w:tcPr>
            <w:tcW w:w="1155" w:type="pct"/>
            <w:vMerge w:val="restart"/>
            <w:tcBorders>
              <w:top w:val="single" w:sz="12" w:space="0" w:color="auto"/>
            </w:tcBorders>
            <w:shd w:val="clear" w:color="auto" w:fill="auto"/>
            <w:hideMark/>
          </w:tcPr>
          <w:p w14:paraId="4A063C4D" w14:textId="77777777" w:rsidR="003322F1" w:rsidRPr="003322F1" w:rsidRDefault="003322F1" w:rsidP="003322F1">
            <w:pPr>
              <w:spacing w:before="40" w:after="40" w:line="220" w:lineRule="exact"/>
              <w:rPr>
                <w:rFonts w:eastAsia="Times New Roman"/>
                <w:b/>
                <w:bCs/>
                <w:sz w:val="18"/>
                <w:lang w:eastAsia="en-US"/>
              </w:rPr>
            </w:pPr>
            <w:r w:rsidRPr="003322F1">
              <w:rPr>
                <w:rFonts w:eastAsia="Times New Roman"/>
                <w:b/>
                <w:bCs/>
                <w:sz w:val="18"/>
                <w:lang w:eastAsia="en-US"/>
              </w:rPr>
              <w:t>Proporción de la población en situación de pobreza</w:t>
            </w:r>
          </w:p>
        </w:tc>
        <w:tc>
          <w:tcPr>
            <w:tcW w:w="450" w:type="pct"/>
            <w:tcBorders>
              <w:top w:val="single" w:sz="12" w:space="0" w:color="auto"/>
            </w:tcBorders>
            <w:shd w:val="clear" w:color="auto" w:fill="auto"/>
            <w:vAlign w:val="bottom"/>
            <w:hideMark/>
          </w:tcPr>
          <w:p w14:paraId="6C44435E" w14:textId="77777777" w:rsidR="003322F1" w:rsidRPr="003322F1" w:rsidRDefault="003322F1" w:rsidP="001C2C73">
            <w:pPr>
              <w:spacing w:before="40" w:after="40" w:line="220" w:lineRule="exact"/>
              <w:rPr>
                <w:rFonts w:eastAsia="Times New Roman"/>
                <w:sz w:val="18"/>
                <w:lang w:val="en-US" w:eastAsia="en-US"/>
              </w:rPr>
            </w:pPr>
            <w:r w:rsidRPr="003322F1">
              <w:rPr>
                <w:rFonts w:eastAsia="Times New Roman"/>
                <w:sz w:val="18"/>
                <w:lang w:val="en-US" w:eastAsia="en-US"/>
              </w:rPr>
              <w:t>Nacional</w:t>
            </w:r>
          </w:p>
        </w:tc>
        <w:tc>
          <w:tcPr>
            <w:tcW w:w="309" w:type="pct"/>
            <w:tcBorders>
              <w:top w:val="single" w:sz="12" w:space="0" w:color="auto"/>
            </w:tcBorders>
            <w:shd w:val="clear" w:color="auto" w:fill="auto"/>
            <w:vAlign w:val="bottom"/>
            <w:hideMark/>
          </w:tcPr>
          <w:p w14:paraId="11D94E7C" w14:textId="1EB4F1C6"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42</w:t>
            </w:r>
            <w:r w:rsidR="00294EA4">
              <w:rPr>
                <w:rFonts w:eastAsia="Times New Roman"/>
                <w:sz w:val="18"/>
                <w:lang w:val="en-US" w:eastAsia="en-US"/>
              </w:rPr>
              <w:t>,</w:t>
            </w:r>
            <w:r w:rsidRPr="003322F1">
              <w:rPr>
                <w:rFonts w:eastAsia="Times New Roman"/>
                <w:sz w:val="18"/>
                <w:lang w:val="en-US" w:eastAsia="en-US"/>
              </w:rPr>
              <w:t>5</w:t>
            </w:r>
          </w:p>
        </w:tc>
        <w:tc>
          <w:tcPr>
            <w:tcW w:w="309" w:type="pct"/>
            <w:tcBorders>
              <w:top w:val="single" w:sz="12" w:space="0" w:color="auto"/>
            </w:tcBorders>
            <w:shd w:val="clear" w:color="auto" w:fill="auto"/>
            <w:vAlign w:val="bottom"/>
            <w:hideMark/>
          </w:tcPr>
          <w:p w14:paraId="58A49CB9" w14:textId="1EAC0D9A"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47</w:t>
            </w:r>
            <w:r w:rsidR="00294EA4">
              <w:rPr>
                <w:rFonts w:eastAsia="Times New Roman"/>
                <w:sz w:val="18"/>
                <w:lang w:val="en-US" w:eastAsia="en-US"/>
              </w:rPr>
              <w:t>,</w:t>
            </w:r>
            <w:r w:rsidRPr="003322F1">
              <w:rPr>
                <w:rFonts w:eastAsia="Times New Roman"/>
                <w:sz w:val="18"/>
                <w:lang w:val="en-US" w:eastAsia="en-US"/>
              </w:rPr>
              <w:t>5</w:t>
            </w:r>
          </w:p>
        </w:tc>
        <w:tc>
          <w:tcPr>
            <w:tcW w:w="309" w:type="pct"/>
            <w:tcBorders>
              <w:top w:val="single" w:sz="12" w:space="0" w:color="auto"/>
            </w:tcBorders>
            <w:shd w:val="clear" w:color="auto" w:fill="auto"/>
            <w:vAlign w:val="bottom"/>
            <w:hideMark/>
          </w:tcPr>
          <w:p w14:paraId="3E1D4F75" w14:textId="49928A29"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40</w:t>
            </w:r>
            <w:r w:rsidR="00294EA4">
              <w:rPr>
                <w:rFonts w:eastAsia="Times New Roman"/>
                <w:sz w:val="18"/>
                <w:lang w:val="en-US" w:eastAsia="en-US"/>
              </w:rPr>
              <w:t>,</w:t>
            </w:r>
            <w:r w:rsidRPr="003322F1">
              <w:rPr>
                <w:rFonts w:eastAsia="Times New Roman"/>
                <w:sz w:val="18"/>
                <w:lang w:val="en-US" w:eastAsia="en-US"/>
              </w:rPr>
              <w:t>7</w:t>
            </w:r>
          </w:p>
        </w:tc>
        <w:tc>
          <w:tcPr>
            <w:tcW w:w="309" w:type="pct"/>
            <w:tcBorders>
              <w:top w:val="single" w:sz="12" w:space="0" w:color="auto"/>
            </w:tcBorders>
            <w:shd w:val="clear" w:color="auto" w:fill="auto"/>
            <w:vAlign w:val="bottom"/>
            <w:hideMark/>
          </w:tcPr>
          <w:p w14:paraId="057E04B6" w14:textId="15CB3019"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34</w:t>
            </w:r>
            <w:r w:rsidR="00294EA4">
              <w:rPr>
                <w:rFonts w:eastAsia="Times New Roman"/>
                <w:sz w:val="18"/>
                <w:lang w:val="en-US" w:eastAsia="en-US"/>
              </w:rPr>
              <w:t>,</w:t>
            </w:r>
            <w:r w:rsidRPr="003322F1">
              <w:rPr>
                <w:rFonts w:eastAsia="Times New Roman"/>
                <w:sz w:val="18"/>
                <w:lang w:val="en-US" w:eastAsia="en-US"/>
              </w:rPr>
              <w:t>8</w:t>
            </w:r>
          </w:p>
        </w:tc>
        <w:tc>
          <w:tcPr>
            <w:tcW w:w="309" w:type="pct"/>
            <w:tcBorders>
              <w:top w:val="single" w:sz="12" w:space="0" w:color="auto"/>
            </w:tcBorders>
            <w:shd w:val="clear" w:color="auto" w:fill="auto"/>
            <w:vAlign w:val="bottom"/>
            <w:hideMark/>
          </w:tcPr>
          <w:p w14:paraId="4E877F5A" w14:textId="2F00E375"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37</w:t>
            </w:r>
            <w:r w:rsidR="00294EA4">
              <w:rPr>
                <w:rFonts w:eastAsia="Times New Roman"/>
                <w:sz w:val="18"/>
                <w:lang w:val="en-US" w:eastAsia="en-US"/>
              </w:rPr>
              <w:t>,</w:t>
            </w:r>
            <w:r w:rsidRPr="003322F1">
              <w:rPr>
                <w:rFonts w:eastAsia="Times New Roman"/>
                <w:sz w:val="18"/>
                <w:lang w:val="en-US" w:eastAsia="en-US"/>
              </w:rPr>
              <w:t>2</w:t>
            </w:r>
          </w:p>
        </w:tc>
        <w:tc>
          <w:tcPr>
            <w:tcW w:w="309" w:type="pct"/>
            <w:tcBorders>
              <w:top w:val="single" w:sz="12" w:space="0" w:color="auto"/>
            </w:tcBorders>
            <w:shd w:val="clear" w:color="auto" w:fill="auto"/>
            <w:vAlign w:val="bottom"/>
            <w:hideMark/>
          </w:tcPr>
          <w:p w14:paraId="3F2D733E" w14:textId="5022D812"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40</w:t>
            </w:r>
            <w:r w:rsidR="00294EA4">
              <w:rPr>
                <w:rFonts w:eastAsia="Times New Roman"/>
                <w:sz w:val="18"/>
                <w:lang w:val="en-US" w:eastAsia="en-US"/>
              </w:rPr>
              <w:t>,</w:t>
            </w:r>
            <w:r w:rsidRPr="003322F1">
              <w:rPr>
                <w:rFonts w:eastAsia="Times New Roman"/>
                <w:sz w:val="18"/>
                <w:lang w:val="en-US" w:eastAsia="en-US"/>
              </w:rPr>
              <w:t>6</w:t>
            </w:r>
          </w:p>
        </w:tc>
        <w:tc>
          <w:tcPr>
            <w:tcW w:w="309" w:type="pct"/>
            <w:tcBorders>
              <w:top w:val="single" w:sz="12" w:space="0" w:color="auto"/>
            </w:tcBorders>
            <w:shd w:val="clear" w:color="auto" w:fill="auto"/>
            <w:vAlign w:val="bottom"/>
            <w:hideMark/>
          </w:tcPr>
          <w:p w14:paraId="4DAAD94E" w14:textId="63C7F8D6"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38</w:t>
            </w:r>
            <w:r w:rsidR="00294EA4">
              <w:rPr>
                <w:rFonts w:eastAsia="Times New Roman"/>
                <w:sz w:val="18"/>
                <w:lang w:val="en-US" w:eastAsia="en-US"/>
              </w:rPr>
              <w:t>,</w:t>
            </w:r>
            <w:r w:rsidRPr="003322F1">
              <w:rPr>
                <w:rFonts w:eastAsia="Times New Roman"/>
                <w:sz w:val="18"/>
                <w:lang w:val="en-US" w:eastAsia="en-US"/>
              </w:rPr>
              <w:t>2</w:t>
            </w:r>
          </w:p>
        </w:tc>
        <w:tc>
          <w:tcPr>
            <w:tcW w:w="309" w:type="pct"/>
            <w:tcBorders>
              <w:top w:val="single" w:sz="12" w:space="0" w:color="auto"/>
            </w:tcBorders>
            <w:shd w:val="clear" w:color="auto" w:fill="auto"/>
            <w:vAlign w:val="bottom"/>
            <w:hideMark/>
          </w:tcPr>
          <w:p w14:paraId="2E5F5FA0" w14:textId="09A222D4"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33</w:t>
            </w:r>
            <w:r w:rsidR="00294EA4">
              <w:rPr>
                <w:rFonts w:eastAsia="Times New Roman"/>
                <w:sz w:val="18"/>
                <w:lang w:val="en-US" w:eastAsia="en-US"/>
              </w:rPr>
              <w:t>,</w:t>
            </w:r>
            <w:r w:rsidRPr="003322F1">
              <w:rPr>
                <w:rFonts w:eastAsia="Times New Roman"/>
                <w:sz w:val="18"/>
                <w:lang w:val="en-US" w:eastAsia="en-US"/>
              </w:rPr>
              <w:t>7</w:t>
            </w:r>
          </w:p>
        </w:tc>
        <w:tc>
          <w:tcPr>
            <w:tcW w:w="309" w:type="pct"/>
            <w:tcBorders>
              <w:top w:val="single" w:sz="12" w:space="0" w:color="auto"/>
            </w:tcBorders>
            <w:shd w:val="clear" w:color="auto" w:fill="auto"/>
            <w:vAlign w:val="bottom"/>
            <w:hideMark/>
          </w:tcPr>
          <w:p w14:paraId="1BE4523F" w14:textId="2C1EE6E0"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30</w:t>
            </w:r>
            <w:r w:rsidR="00294EA4">
              <w:rPr>
                <w:rFonts w:eastAsia="Times New Roman"/>
                <w:sz w:val="18"/>
                <w:lang w:val="en-US" w:eastAsia="en-US"/>
              </w:rPr>
              <w:t>,</w:t>
            </w:r>
            <w:r w:rsidRPr="003322F1">
              <w:rPr>
                <w:rFonts w:eastAsia="Times New Roman"/>
                <w:sz w:val="18"/>
                <w:lang w:val="en-US" w:eastAsia="en-US"/>
              </w:rPr>
              <w:t>9</w:t>
            </w:r>
          </w:p>
        </w:tc>
        <w:tc>
          <w:tcPr>
            <w:tcW w:w="309" w:type="pct"/>
            <w:tcBorders>
              <w:top w:val="single" w:sz="12" w:space="0" w:color="auto"/>
            </w:tcBorders>
            <w:shd w:val="clear" w:color="auto" w:fill="auto"/>
            <w:vAlign w:val="bottom"/>
            <w:hideMark/>
          </w:tcPr>
          <w:p w14:paraId="2133FB8D" w14:textId="388BDA45"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26</w:t>
            </w:r>
            <w:r w:rsidR="00294EA4">
              <w:rPr>
                <w:rFonts w:eastAsia="Times New Roman"/>
                <w:sz w:val="18"/>
                <w:lang w:val="en-US" w:eastAsia="en-US"/>
              </w:rPr>
              <w:t>,</w:t>
            </w:r>
            <w:r w:rsidRPr="003322F1">
              <w:rPr>
                <w:rFonts w:eastAsia="Times New Roman"/>
                <w:sz w:val="18"/>
                <w:lang w:val="en-US" w:eastAsia="en-US"/>
              </w:rPr>
              <w:t>8</w:t>
            </w:r>
          </w:p>
        </w:tc>
        <w:tc>
          <w:tcPr>
            <w:tcW w:w="305" w:type="pct"/>
            <w:tcBorders>
              <w:top w:val="single" w:sz="12" w:space="0" w:color="auto"/>
            </w:tcBorders>
            <w:shd w:val="clear" w:color="auto" w:fill="auto"/>
            <w:vAlign w:val="bottom"/>
            <w:hideMark/>
          </w:tcPr>
          <w:p w14:paraId="624620B2" w14:textId="68415A10"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28</w:t>
            </w:r>
            <w:r w:rsidR="00294EA4">
              <w:rPr>
                <w:rFonts w:eastAsia="Times New Roman"/>
                <w:sz w:val="18"/>
                <w:lang w:val="en-US" w:eastAsia="en-US"/>
              </w:rPr>
              <w:t>,</w:t>
            </w:r>
            <w:r w:rsidRPr="003322F1">
              <w:rPr>
                <w:rFonts w:eastAsia="Times New Roman"/>
                <w:sz w:val="18"/>
                <w:lang w:val="en-US" w:eastAsia="en-US"/>
              </w:rPr>
              <w:t>7</w:t>
            </w:r>
          </w:p>
        </w:tc>
      </w:tr>
      <w:tr w:rsidR="003322F1" w:rsidRPr="003322F1" w14:paraId="3D356F28" w14:textId="77777777" w:rsidTr="001C2C73">
        <w:tc>
          <w:tcPr>
            <w:tcW w:w="1155" w:type="pct"/>
            <w:vMerge/>
            <w:shd w:val="clear" w:color="auto" w:fill="auto"/>
            <w:hideMark/>
          </w:tcPr>
          <w:p w14:paraId="2587AF1B" w14:textId="77777777" w:rsidR="003322F1" w:rsidRPr="003322F1" w:rsidRDefault="003322F1" w:rsidP="003322F1">
            <w:pPr>
              <w:spacing w:before="40" w:after="40" w:line="220" w:lineRule="exact"/>
              <w:rPr>
                <w:rFonts w:eastAsia="Times New Roman"/>
                <w:b/>
                <w:bCs/>
                <w:sz w:val="18"/>
                <w:lang w:val="en-US" w:eastAsia="en-US"/>
              </w:rPr>
            </w:pPr>
          </w:p>
        </w:tc>
        <w:tc>
          <w:tcPr>
            <w:tcW w:w="450" w:type="pct"/>
            <w:shd w:val="clear" w:color="auto" w:fill="auto"/>
            <w:vAlign w:val="bottom"/>
            <w:hideMark/>
          </w:tcPr>
          <w:p w14:paraId="61556491" w14:textId="77777777" w:rsidR="003322F1" w:rsidRPr="003322F1" w:rsidRDefault="003322F1" w:rsidP="001C2C73">
            <w:pPr>
              <w:spacing w:before="40" w:after="40" w:line="220" w:lineRule="exact"/>
              <w:rPr>
                <w:rFonts w:eastAsia="Times New Roman"/>
                <w:sz w:val="18"/>
                <w:lang w:val="en-US" w:eastAsia="en-US"/>
              </w:rPr>
            </w:pPr>
            <w:r w:rsidRPr="003322F1">
              <w:rPr>
                <w:rFonts w:eastAsia="Times New Roman"/>
                <w:sz w:val="18"/>
                <w:lang w:val="en-US" w:eastAsia="en-US"/>
              </w:rPr>
              <w:t>Area Urbana</w:t>
            </w:r>
          </w:p>
        </w:tc>
        <w:tc>
          <w:tcPr>
            <w:tcW w:w="309" w:type="pct"/>
            <w:shd w:val="clear" w:color="auto" w:fill="auto"/>
            <w:vAlign w:val="bottom"/>
            <w:hideMark/>
          </w:tcPr>
          <w:p w14:paraId="23FFECA3" w14:textId="2E28FF37"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38</w:t>
            </w:r>
            <w:r w:rsidR="00294EA4">
              <w:rPr>
                <w:rFonts w:eastAsia="Times New Roman"/>
                <w:sz w:val="18"/>
                <w:lang w:val="en-US" w:eastAsia="en-US"/>
              </w:rPr>
              <w:t>,</w:t>
            </w:r>
            <w:r w:rsidRPr="003322F1">
              <w:rPr>
                <w:rFonts w:eastAsia="Times New Roman"/>
                <w:sz w:val="18"/>
                <w:lang w:val="en-US" w:eastAsia="en-US"/>
              </w:rPr>
              <w:t>2</w:t>
            </w:r>
          </w:p>
        </w:tc>
        <w:tc>
          <w:tcPr>
            <w:tcW w:w="309" w:type="pct"/>
            <w:shd w:val="clear" w:color="auto" w:fill="auto"/>
            <w:vAlign w:val="bottom"/>
            <w:hideMark/>
          </w:tcPr>
          <w:p w14:paraId="2C25FA83" w14:textId="75D3ADEE"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41</w:t>
            </w:r>
            <w:r w:rsidR="00294EA4">
              <w:rPr>
                <w:rFonts w:eastAsia="Times New Roman"/>
                <w:sz w:val="18"/>
                <w:lang w:val="en-US" w:eastAsia="en-US"/>
              </w:rPr>
              <w:t>,</w:t>
            </w:r>
            <w:r w:rsidRPr="003322F1">
              <w:rPr>
                <w:rFonts w:eastAsia="Times New Roman"/>
                <w:sz w:val="18"/>
                <w:lang w:val="en-US" w:eastAsia="en-US"/>
              </w:rPr>
              <w:t>7</w:t>
            </w:r>
          </w:p>
        </w:tc>
        <w:tc>
          <w:tcPr>
            <w:tcW w:w="309" w:type="pct"/>
            <w:shd w:val="clear" w:color="auto" w:fill="auto"/>
            <w:vAlign w:val="bottom"/>
            <w:hideMark/>
          </w:tcPr>
          <w:p w14:paraId="48085080" w14:textId="54C47234"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35</w:t>
            </w:r>
            <w:r w:rsidR="00294EA4">
              <w:rPr>
                <w:rFonts w:eastAsia="Times New Roman"/>
                <w:sz w:val="18"/>
                <w:lang w:val="en-US" w:eastAsia="en-US"/>
              </w:rPr>
              <w:t>,</w:t>
            </w:r>
            <w:r w:rsidRPr="003322F1">
              <w:rPr>
                <w:rFonts w:eastAsia="Times New Roman"/>
                <w:sz w:val="18"/>
                <w:lang w:val="en-US" w:eastAsia="en-US"/>
              </w:rPr>
              <w:t>1</w:t>
            </w:r>
          </w:p>
        </w:tc>
        <w:tc>
          <w:tcPr>
            <w:tcW w:w="309" w:type="pct"/>
            <w:shd w:val="clear" w:color="auto" w:fill="auto"/>
            <w:vAlign w:val="bottom"/>
            <w:hideMark/>
          </w:tcPr>
          <w:p w14:paraId="02052156" w14:textId="0F5E20B7"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30</w:t>
            </w:r>
            <w:r w:rsidR="00294EA4">
              <w:rPr>
                <w:rFonts w:eastAsia="Times New Roman"/>
                <w:sz w:val="18"/>
                <w:lang w:val="en-US" w:eastAsia="en-US"/>
              </w:rPr>
              <w:t>,</w:t>
            </w:r>
            <w:r w:rsidRPr="003322F1">
              <w:rPr>
                <w:rFonts w:eastAsia="Times New Roman"/>
                <w:sz w:val="18"/>
                <w:lang w:val="en-US" w:eastAsia="en-US"/>
              </w:rPr>
              <w:t>6</w:t>
            </w:r>
          </w:p>
        </w:tc>
        <w:tc>
          <w:tcPr>
            <w:tcW w:w="309" w:type="pct"/>
            <w:shd w:val="clear" w:color="auto" w:fill="auto"/>
            <w:vAlign w:val="bottom"/>
            <w:hideMark/>
          </w:tcPr>
          <w:p w14:paraId="19DC83C3" w14:textId="2919CE92"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33</w:t>
            </w:r>
            <w:r w:rsidR="00294EA4">
              <w:rPr>
                <w:rFonts w:eastAsia="Times New Roman"/>
                <w:sz w:val="18"/>
                <w:lang w:val="en-US" w:eastAsia="en-US"/>
              </w:rPr>
              <w:t>,</w:t>
            </w:r>
            <w:r w:rsidRPr="003322F1">
              <w:rPr>
                <w:rFonts w:eastAsia="Times New Roman"/>
                <w:sz w:val="18"/>
                <w:lang w:val="en-US" w:eastAsia="en-US"/>
              </w:rPr>
              <w:t>3</w:t>
            </w:r>
          </w:p>
        </w:tc>
        <w:tc>
          <w:tcPr>
            <w:tcW w:w="309" w:type="pct"/>
            <w:shd w:val="clear" w:color="auto" w:fill="auto"/>
            <w:vAlign w:val="bottom"/>
            <w:hideMark/>
          </w:tcPr>
          <w:p w14:paraId="3BB78711" w14:textId="5E167275"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37</w:t>
            </w:r>
            <w:r w:rsidR="00294EA4">
              <w:rPr>
                <w:rFonts w:eastAsia="Times New Roman"/>
                <w:sz w:val="18"/>
                <w:lang w:val="en-US" w:eastAsia="en-US"/>
              </w:rPr>
              <w:t>,</w:t>
            </w:r>
            <w:r w:rsidRPr="003322F1">
              <w:rPr>
                <w:rFonts w:eastAsia="Times New Roman"/>
                <w:sz w:val="18"/>
                <w:lang w:val="en-US" w:eastAsia="en-US"/>
              </w:rPr>
              <w:t>9</w:t>
            </w:r>
          </w:p>
        </w:tc>
        <w:tc>
          <w:tcPr>
            <w:tcW w:w="309" w:type="pct"/>
            <w:shd w:val="clear" w:color="auto" w:fill="auto"/>
            <w:vAlign w:val="bottom"/>
            <w:hideMark/>
          </w:tcPr>
          <w:p w14:paraId="0AC55CA3" w14:textId="1E31CDEB"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34</w:t>
            </w:r>
            <w:r w:rsidR="00294EA4">
              <w:rPr>
                <w:rFonts w:eastAsia="Times New Roman"/>
                <w:sz w:val="18"/>
                <w:lang w:val="en-US" w:eastAsia="en-US"/>
              </w:rPr>
              <w:t>,</w:t>
            </w:r>
            <w:r w:rsidRPr="003322F1">
              <w:rPr>
                <w:rFonts w:eastAsia="Times New Roman"/>
                <w:sz w:val="18"/>
                <w:lang w:val="en-US" w:eastAsia="en-US"/>
              </w:rPr>
              <w:t>5</w:t>
            </w:r>
          </w:p>
        </w:tc>
        <w:tc>
          <w:tcPr>
            <w:tcW w:w="309" w:type="pct"/>
            <w:shd w:val="clear" w:color="auto" w:fill="auto"/>
            <w:vAlign w:val="bottom"/>
            <w:hideMark/>
          </w:tcPr>
          <w:p w14:paraId="507F9B4D" w14:textId="77B57AEC"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31</w:t>
            </w:r>
            <w:r w:rsidR="00294EA4">
              <w:rPr>
                <w:rFonts w:eastAsia="Times New Roman"/>
                <w:sz w:val="18"/>
                <w:lang w:val="en-US" w:eastAsia="en-US"/>
              </w:rPr>
              <w:t>,</w:t>
            </w:r>
            <w:r w:rsidRPr="003322F1">
              <w:rPr>
                <w:rFonts w:eastAsia="Times New Roman"/>
                <w:sz w:val="18"/>
                <w:lang w:val="en-US" w:eastAsia="en-US"/>
              </w:rPr>
              <w:t>2</w:t>
            </w:r>
          </w:p>
        </w:tc>
        <w:tc>
          <w:tcPr>
            <w:tcW w:w="309" w:type="pct"/>
            <w:shd w:val="clear" w:color="auto" w:fill="auto"/>
            <w:vAlign w:val="bottom"/>
            <w:hideMark/>
          </w:tcPr>
          <w:p w14:paraId="4A75BAC1" w14:textId="0839A5AD"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28</w:t>
            </w:r>
            <w:r w:rsidR="00294EA4">
              <w:rPr>
                <w:rFonts w:eastAsia="Times New Roman"/>
                <w:sz w:val="18"/>
                <w:lang w:val="en-US" w:eastAsia="en-US"/>
              </w:rPr>
              <w:t>,</w:t>
            </w:r>
            <w:r w:rsidRPr="003322F1">
              <w:rPr>
                <w:rFonts w:eastAsia="Times New Roman"/>
                <w:sz w:val="18"/>
                <w:lang w:val="en-US" w:eastAsia="en-US"/>
              </w:rPr>
              <w:t>3</w:t>
            </w:r>
          </w:p>
        </w:tc>
        <w:tc>
          <w:tcPr>
            <w:tcW w:w="309" w:type="pct"/>
            <w:shd w:val="clear" w:color="auto" w:fill="auto"/>
            <w:vAlign w:val="bottom"/>
            <w:hideMark/>
          </w:tcPr>
          <w:p w14:paraId="218A5987" w14:textId="26958DBB"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25</w:t>
            </w:r>
            <w:r w:rsidR="00294EA4">
              <w:rPr>
                <w:rFonts w:eastAsia="Times New Roman"/>
                <w:sz w:val="18"/>
                <w:lang w:val="en-US" w:eastAsia="en-US"/>
              </w:rPr>
              <w:t>,</w:t>
            </w:r>
            <w:r w:rsidRPr="003322F1">
              <w:rPr>
                <w:rFonts w:eastAsia="Times New Roman"/>
                <w:sz w:val="18"/>
                <w:lang w:val="en-US" w:eastAsia="en-US"/>
              </w:rPr>
              <w:t>2</w:t>
            </w:r>
          </w:p>
        </w:tc>
        <w:tc>
          <w:tcPr>
            <w:tcW w:w="305" w:type="pct"/>
            <w:shd w:val="clear" w:color="auto" w:fill="auto"/>
            <w:vAlign w:val="bottom"/>
            <w:hideMark/>
          </w:tcPr>
          <w:p w14:paraId="53995A99" w14:textId="526AF508"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27</w:t>
            </w:r>
            <w:r w:rsidR="00294EA4">
              <w:rPr>
                <w:rFonts w:eastAsia="Times New Roman"/>
                <w:sz w:val="18"/>
                <w:lang w:val="en-US" w:eastAsia="en-US"/>
              </w:rPr>
              <w:t>,</w:t>
            </w:r>
            <w:r w:rsidRPr="003322F1">
              <w:rPr>
                <w:rFonts w:eastAsia="Times New Roman"/>
                <w:sz w:val="18"/>
                <w:lang w:val="en-US" w:eastAsia="en-US"/>
              </w:rPr>
              <w:t>1</w:t>
            </w:r>
          </w:p>
        </w:tc>
      </w:tr>
      <w:tr w:rsidR="003322F1" w:rsidRPr="003322F1" w14:paraId="00319EB3" w14:textId="77777777" w:rsidTr="001C2C73">
        <w:tc>
          <w:tcPr>
            <w:tcW w:w="1155" w:type="pct"/>
            <w:vMerge/>
            <w:shd w:val="clear" w:color="auto" w:fill="auto"/>
            <w:hideMark/>
          </w:tcPr>
          <w:p w14:paraId="45F627A0" w14:textId="77777777" w:rsidR="003322F1" w:rsidRPr="003322F1" w:rsidRDefault="003322F1" w:rsidP="003322F1">
            <w:pPr>
              <w:spacing w:before="40" w:after="40" w:line="220" w:lineRule="exact"/>
              <w:rPr>
                <w:rFonts w:eastAsia="Times New Roman"/>
                <w:b/>
                <w:bCs/>
                <w:sz w:val="18"/>
                <w:lang w:val="en-US" w:eastAsia="en-US"/>
              </w:rPr>
            </w:pPr>
          </w:p>
        </w:tc>
        <w:tc>
          <w:tcPr>
            <w:tcW w:w="450" w:type="pct"/>
            <w:shd w:val="clear" w:color="auto" w:fill="auto"/>
            <w:vAlign w:val="bottom"/>
            <w:hideMark/>
          </w:tcPr>
          <w:p w14:paraId="0F5AF3A7" w14:textId="77777777" w:rsidR="003322F1" w:rsidRPr="003322F1" w:rsidRDefault="003322F1" w:rsidP="001C2C73">
            <w:pPr>
              <w:spacing w:before="40" w:after="40" w:line="220" w:lineRule="exact"/>
              <w:rPr>
                <w:rFonts w:eastAsia="Times New Roman"/>
                <w:sz w:val="18"/>
                <w:lang w:val="en-US" w:eastAsia="en-US"/>
              </w:rPr>
            </w:pPr>
            <w:r w:rsidRPr="003322F1">
              <w:rPr>
                <w:rFonts w:eastAsia="Times New Roman"/>
                <w:sz w:val="18"/>
                <w:lang w:val="en-US" w:eastAsia="en-US"/>
              </w:rPr>
              <w:t>Area Rural</w:t>
            </w:r>
          </w:p>
        </w:tc>
        <w:tc>
          <w:tcPr>
            <w:tcW w:w="309" w:type="pct"/>
            <w:shd w:val="clear" w:color="auto" w:fill="auto"/>
            <w:vAlign w:val="bottom"/>
            <w:hideMark/>
          </w:tcPr>
          <w:p w14:paraId="2F420EEF" w14:textId="6C47134A"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49</w:t>
            </w:r>
            <w:r w:rsidR="00294EA4">
              <w:rPr>
                <w:rFonts w:eastAsia="Times New Roman"/>
                <w:sz w:val="18"/>
                <w:lang w:val="en-US" w:eastAsia="en-US"/>
              </w:rPr>
              <w:t>,</w:t>
            </w:r>
            <w:r w:rsidRPr="003322F1">
              <w:rPr>
                <w:rFonts w:eastAsia="Times New Roman"/>
                <w:sz w:val="18"/>
                <w:lang w:val="en-US" w:eastAsia="en-US"/>
              </w:rPr>
              <w:t>6</w:t>
            </w:r>
          </w:p>
        </w:tc>
        <w:tc>
          <w:tcPr>
            <w:tcW w:w="309" w:type="pct"/>
            <w:shd w:val="clear" w:color="auto" w:fill="auto"/>
            <w:vAlign w:val="bottom"/>
            <w:hideMark/>
          </w:tcPr>
          <w:p w14:paraId="1443A252" w14:textId="7DBBE07C"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57</w:t>
            </w:r>
            <w:r w:rsidR="00294EA4">
              <w:rPr>
                <w:rFonts w:eastAsia="Times New Roman"/>
                <w:sz w:val="18"/>
                <w:lang w:val="en-US" w:eastAsia="en-US"/>
              </w:rPr>
              <w:t>,</w:t>
            </w:r>
            <w:r w:rsidRPr="003322F1">
              <w:rPr>
                <w:rFonts w:eastAsia="Times New Roman"/>
                <w:sz w:val="18"/>
                <w:lang w:val="en-US" w:eastAsia="en-US"/>
              </w:rPr>
              <w:t>2</w:t>
            </w:r>
          </w:p>
        </w:tc>
        <w:tc>
          <w:tcPr>
            <w:tcW w:w="309" w:type="pct"/>
            <w:shd w:val="clear" w:color="auto" w:fill="auto"/>
            <w:vAlign w:val="bottom"/>
            <w:hideMark/>
          </w:tcPr>
          <w:p w14:paraId="01B6DFD0" w14:textId="2B9FF6C0"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50</w:t>
            </w:r>
            <w:r w:rsidR="00294EA4">
              <w:rPr>
                <w:rFonts w:eastAsia="Times New Roman"/>
                <w:sz w:val="18"/>
                <w:lang w:val="en-US" w:eastAsia="en-US"/>
              </w:rPr>
              <w:t>,</w:t>
            </w:r>
            <w:r w:rsidRPr="003322F1">
              <w:rPr>
                <w:rFonts w:eastAsia="Times New Roman"/>
                <w:sz w:val="18"/>
                <w:lang w:val="en-US" w:eastAsia="en-US"/>
              </w:rPr>
              <w:t>0</w:t>
            </w:r>
          </w:p>
        </w:tc>
        <w:tc>
          <w:tcPr>
            <w:tcW w:w="309" w:type="pct"/>
            <w:shd w:val="clear" w:color="auto" w:fill="auto"/>
            <w:vAlign w:val="bottom"/>
            <w:hideMark/>
          </w:tcPr>
          <w:p w14:paraId="5FB4CEA1" w14:textId="32C9E769"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41</w:t>
            </w:r>
            <w:r w:rsidR="00294EA4">
              <w:rPr>
                <w:rFonts w:eastAsia="Times New Roman"/>
                <w:sz w:val="18"/>
                <w:lang w:val="en-US" w:eastAsia="en-US"/>
              </w:rPr>
              <w:t>,</w:t>
            </w:r>
            <w:r w:rsidRPr="003322F1">
              <w:rPr>
                <w:rFonts w:eastAsia="Times New Roman"/>
                <w:sz w:val="18"/>
                <w:lang w:val="en-US" w:eastAsia="en-US"/>
              </w:rPr>
              <w:t>7</w:t>
            </w:r>
          </w:p>
        </w:tc>
        <w:tc>
          <w:tcPr>
            <w:tcW w:w="309" w:type="pct"/>
            <w:shd w:val="clear" w:color="auto" w:fill="auto"/>
            <w:vAlign w:val="bottom"/>
            <w:hideMark/>
          </w:tcPr>
          <w:p w14:paraId="3667ECCE" w14:textId="06BF81D0"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43</w:t>
            </w:r>
            <w:r w:rsidR="00294EA4">
              <w:rPr>
                <w:rFonts w:eastAsia="Times New Roman"/>
                <w:sz w:val="18"/>
                <w:lang w:val="en-US" w:eastAsia="en-US"/>
              </w:rPr>
              <w:t>,</w:t>
            </w:r>
            <w:r w:rsidRPr="003322F1">
              <w:rPr>
                <w:rFonts w:eastAsia="Times New Roman"/>
                <w:sz w:val="18"/>
                <w:lang w:val="en-US" w:eastAsia="en-US"/>
              </w:rPr>
              <w:t>7</w:t>
            </w:r>
          </w:p>
        </w:tc>
        <w:tc>
          <w:tcPr>
            <w:tcW w:w="309" w:type="pct"/>
            <w:shd w:val="clear" w:color="auto" w:fill="auto"/>
            <w:vAlign w:val="bottom"/>
            <w:hideMark/>
          </w:tcPr>
          <w:p w14:paraId="4BF45E0C" w14:textId="7BE3B3CB"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45</w:t>
            </w:r>
            <w:r w:rsidR="00294EA4">
              <w:rPr>
                <w:rFonts w:eastAsia="Times New Roman"/>
                <w:sz w:val="18"/>
                <w:lang w:val="en-US" w:eastAsia="en-US"/>
              </w:rPr>
              <w:t>,</w:t>
            </w:r>
            <w:r w:rsidRPr="003322F1">
              <w:rPr>
                <w:rFonts w:eastAsia="Times New Roman"/>
                <w:sz w:val="18"/>
                <w:lang w:val="en-US" w:eastAsia="en-US"/>
              </w:rPr>
              <w:t>1</w:t>
            </w:r>
          </w:p>
        </w:tc>
        <w:tc>
          <w:tcPr>
            <w:tcW w:w="309" w:type="pct"/>
            <w:shd w:val="clear" w:color="auto" w:fill="auto"/>
            <w:vAlign w:val="bottom"/>
            <w:hideMark/>
          </w:tcPr>
          <w:p w14:paraId="78C8C993" w14:textId="69756B87"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44</w:t>
            </w:r>
            <w:r w:rsidR="00294EA4">
              <w:rPr>
                <w:rFonts w:eastAsia="Times New Roman"/>
                <w:sz w:val="18"/>
                <w:lang w:val="en-US" w:eastAsia="en-US"/>
              </w:rPr>
              <w:t>,</w:t>
            </w:r>
            <w:r w:rsidRPr="003322F1">
              <w:rPr>
                <w:rFonts w:eastAsia="Times New Roman"/>
                <w:sz w:val="18"/>
                <w:lang w:val="en-US" w:eastAsia="en-US"/>
              </w:rPr>
              <w:t>2</w:t>
            </w:r>
          </w:p>
        </w:tc>
        <w:tc>
          <w:tcPr>
            <w:tcW w:w="309" w:type="pct"/>
            <w:shd w:val="clear" w:color="auto" w:fill="auto"/>
            <w:vAlign w:val="bottom"/>
            <w:hideMark/>
          </w:tcPr>
          <w:p w14:paraId="49E9F6BA" w14:textId="58AB12C0"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37</w:t>
            </w:r>
            <w:r w:rsidR="00294EA4">
              <w:rPr>
                <w:rFonts w:eastAsia="Times New Roman"/>
                <w:sz w:val="18"/>
                <w:lang w:val="en-US" w:eastAsia="en-US"/>
              </w:rPr>
              <w:t>,</w:t>
            </w:r>
            <w:r w:rsidRPr="003322F1">
              <w:rPr>
                <w:rFonts w:eastAsia="Times New Roman"/>
                <w:sz w:val="18"/>
                <w:lang w:val="en-US" w:eastAsia="en-US"/>
              </w:rPr>
              <w:t>4</w:t>
            </w:r>
          </w:p>
        </w:tc>
        <w:tc>
          <w:tcPr>
            <w:tcW w:w="309" w:type="pct"/>
            <w:shd w:val="clear" w:color="auto" w:fill="auto"/>
            <w:vAlign w:val="bottom"/>
            <w:hideMark/>
          </w:tcPr>
          <w:p w14:paraId="2FAB0DD2" w14:textId="35FB417E"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35</w:t>
            </w:r>
            <w:r w:rsidR="00294EA4">
              <w:rPr>
                <w:rFonts w:eastAsia="Times New Roman"/>
                <w:sz w:val="18"/>
                <w:lang w:val="en-US" w:eastAsia="en-US"/>
              </w:rPr>
              <w:t>,</w:t>
            </w:r>
            <w:r w:rsidRPr="003322F1">
              <w:rPr>
                <w:rFonts w:eastAsia="Times New Roman"/>
                <w:sz w:val="18"/>
                <w:lang w:val="en-US" w:eastAsia="en-US"/>
              </w:rPr>
              <w:t>1</w:t>
            </w:r>
          </w:p>
        </w:tc>
        <w:tc>
          <w:tcPr>
            <w:tcW w:w="309" w:type="pct"/>
            <w:shd w:val="clear" w:color="auto" w:fill="auto"/>
            <w:vAlign w:val="bottom"/>
            <w:hideMark/>
          </w:tcPr>
          <w:p w14:paraId="503DF95F" w14:textId="030C4E47"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29</w:t>
            </w:r>
            <w:r w:rsidR="00294EA4">
              <w:rPr>
                <w:rFonts w:eastAsia="Times New Roman"/>
                <w:sz w:val="18"/>
                <w:lang w:val="en-US" w:eastAsia="en-US"/>
              </w:rPr>
              <w:t>,</w:t>
            </w:r>
            <w:r w:rsidRPr="003322F1">
              <w:rPr>
                <w:rFonts w:eastAsia="Times New Roman"/>
                <w:sz w:val="18"/>
                <w:lang w:val="en-US" w:eastAsia="en-US"/>
              </w:rPr>
              <w:t>4</w:t>
            </w:r>
          </w:p>
        </w:tc>
        <w:tc>
          <w:tcPr>
            <w:tcW w:w="305" w:type="pct"/>
            <w:shd w:val="clear" w:color="auto" w:fill="auto"/>
            <w:vAlign w:val="bottom"/>
            <w:hideMark/>
          </w:tcPr>
          <w:p w14:paraId="7494814F" w14:textId="0A23A28F"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31</w:t>
            </w:r>
            <w:r w:rsidR="00294EA4">
              <w:rPr>
                <w:rFonts w:eastAsia="Times New Roman"/>
                <w:sz w:val="18"/>
                <w:lang w:val="en-US" w:eastAsia="en-US"/>
              </w:rPr>
              <w:t>,</w:t>
            </w:r>
            <w:r w:rsidRPr="003322F1">
              <w:rPr>
                <w:rFonts w:eastAsia="Times New Roman"/>
                <w:sz w:val="18"/>
                <w:lang w:val="en-US" w:eastAsia="en-US"/>
              </w:rPr>
              <w:t>3</w:t>
            </w:r>
          </w:p>
        </w:tc>
      </w:tr>
      <w:tr w:rsidR="003322F1" w:rsidRPr="003322F1" w14:paraId="5B570774" w14:textId="77777777" w:rsidTr="001C2C73">
        <w:tc>
          <w:tcPr>
            <w:tcW w:w="1155" w:type="pct"/>
            <w:tcBorders>
              <w:bottom w:val="single" w:sz="12" w:space="0" w:color="auto"/>
            </w:tcBorders>
            <w:shd w:val="clear" w:color="auto" w:fill="auto"/>
            <w:hideMark/>
          </w:tcPr>
          <w:p w14:paraId="0AA1FB31" w14:textId="28E979AE" w:rsidR="003322F1" w:rsidRPr="003322F1" w:rsidRDefault="00294EA4" w:rsidP="003322F1">
            <w:pPr>
              <w:spacing w:before="40" w:after="40" w:line="220" w:lineRule="exact"/>
              <w:rPr>
                <w:rFonts w:eastAsia="Times New Roman"/>
                <w:b/>
                <w:bCs/>
                <w:sz w:val="18"/>
                <w:lang w:eastAsia="en-US"/>
              </w:rPr>
            </w:pPr>
            <w:r>
              <w:rPr>
                <w:rFonts w:eastAsia="Times New Roman"/>
                <w:b/>
                <w:bCs/>
                <w:sz w:val="18"/>
                <w:lang w:eastAsia="en-US"/>
              </w:rPr>
              <w:t>D</w:t>
            </w:r>
            <w:r w:rsidR="003322F1" w:rsidRPr="003322F1">
              <w:rPr>
                <w:rFonts w:eastAsia="Times New Roman"/>
                <w:b/>
                <w:bCs/>
                <w:sz w:val="18"/>
                <w:lang w:eastAsia="en-US"/>
              </w:rPr>
              <w:t>ecil más rico de la población entre en el decil 40</w:t>
            </w:r>
            <w:r w:rsidR="001043C1">
              <w:rPr>
                <w:rFonts w:eastAsia="Times New Roman"/>
                <w:b/>
                <w:bCs/>
                <w:sz w:val="18"/>
                <w:lang w:eastAsia="en-US"/>
              </w:rPr>
              <w:t> %</w:t>
            </w:r>
            <w:r w:rsidR="003322F1" w:rsidRPr="003322F1">
              <w:rPr>
                <w:rFonts w:eastAsia="Times New Roman"/>
                <w:b/>
                <w:bCs/>
                <w:sz w:val="18"/>
                <w:lang w:eastAsia="en-US"/>
              </w:rPr>
              <w:t xml:space="preserve"> más pobre de la población </w:t>
            </w:r>
          </w:p>
        </w:tc>
        <w:tc>
          <w:tcPr>
            <w:tcW w:w="450" w:type="pct"/>
            <w:tcBorders>
              <w:bottom w:val="single" w:sz="12" w:space="0" w:color="auto"/>
            </w:tcBorders>
            <w:shd w:val="clear" w:color="auto" w:fill="auto"/>
            <w:vAlign w:val="bottom"/>
            <w:hideMark/>
          </w:tcPr>
          <w:p w14:paraId="032E4931" w14:textId="77777777" w:rsidR="003322F1" w:rsidRPr="003322F1" w:rsidRDefault="003322F1" w:rsidP="001C2C73">
            <w:pPr>
              <w:spacing w:before="40" w:after="40" w:line="220" w:lineRule="exact"/>
              <w:rPr>
                <w:rFonts w:eastAsia="Times New Roman"/>
                <w:sz w:val="18"/>
                <w:lang w:val="en-US" w:eastAsia="en-US"/>
              </w:rPr>
            </w:pPr>
            <w:r w:rsidRPr="003322F1">
              <w:rPr>
                <w:rFonts w:eastAsia="Times New Roman"/>
                <w:sz w:val="18"/>
                <w:lang w:val="en-US" w:eastAsia="en-US"/>
              </w:rPr>
              <w:t>Nacional</w:t>
            </w:r>
          </w:p>
        </w:tc>
        <w:tc>
          <w:tcPr>
            <w:tcW w:w="309" w:type="pct"/>
            <w:tcBorders>
              <w:bottom w:val="single" w:sz="12" w:space="0" w:color="auto"/>
            </w:tcBorders>
            <w:shd w:val="clear" w:color="auto" w:fill="auto"/>
            <w:vAlign w:val="bottom"/>
            <w:hideMark/>
          </w:tcPr>
          <w:p w14:paraId="21BA9C1C" w14:textId="1FEDD547"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w:t>
            </w:r>
            <w:r w:rsidR="00294EA4">
              <w:rPr>
                <w:rFonts w:eastAsia="Times New Roman"/>
                <w:sz w:val="18"/>
                <w:lang w:val="en-US" w:eastAsia="en-US"/>
              </w:rPr>
              <w:t>,</w:t>
            </w:r>
            <w:r w:rsidRPr="003322F1">
              <w:rPr>
                <w:rFonts w:eastAsia="Times New Roman"/>
                <w:sz w:val="18"/>
                <w:lang w:val="en-US" w:eastAsia="en-US"/>
              </w:rPr>
              <w:t>4</w:t>
            </w:r>
          </w:p>
        </w:tc>
        <w:tc>
          <w:tcPr>
            <w:tcW w:w="309" w:type="pct"/>
            <w:tcBorders>
              <w:bottom w:val="single" w:sz="12" w:space="0" w:color="auto"/>
            </w:tcBorders>
            <w:shd w:val="clear" w:color="auto" w:fill="auto"/>
            <w:vAlign w:val="bottom"/>
            <w:hideMark/>
          </w:tcPr>
          <w:p w14:paraId="0F03950E" w14:textId="021BC473"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w:t>
            </w:r>
            <w:r w:rsidR="00294EA4">
              <w:rPr>
                <w:rFonts w:eastAsia="Times New Roman"/>
                <w:sz w:val="18"/>
                <w:lang w:val="en-US" w:eastAsia="en-US"/>
              </w:rPr>
              <w:t>,</w:t>
            </w:r>
            <w:r w:rsidRPr="003322F1">
              <w:rPr>
                <w:rFonts w:eastAsia="Times New Roman"/>
                <w:sz w:val="18"/>
                <w:lang w:val="en-US" w:eastAsia="en-US"/>
              </w:rPr>
              <w:t>4</w:t>
            </w:r>
          </w:p>
        </w:tc>
        <w:tc>
          <w:tcPr>
            <w:tcW w:w="309" w:type="pct"/>
            <w:tcBorders>
              <w:bottom w:val="single" w:sz="12" w:space="0" w:color="auto"/>
            </w:tcBorders>
            <w:shd w:val="clear" w:color="auto" w:fill="auto"/>
            <w:vAlign w:val="bottom"/>
            <w:hideMark/>
          </w:tcPr>
          <w:p w14:paraId="1779E420" w14:textId="7E4C1BB8"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w:t>
            </w:r>
            <w:r w:rsidR="00294EA4">
              <w:rPr>
                <w:rFonts w:eastAsia="Times New Roman"/>
                <w:sz w:val="18"/>
                <w:lang w:val="en-US" w:eastAsia="en-US"/>
              </w:rPr>
              <w:t>,</w:t>
            </w:r>
            <w:r w:rsidRPr="003322F1">
              <w:rPr>
                <w:rFonts w:eastAsia="Times New Roman"/>
                <w:sz w:val="18"/>
                <w:lang w:val="en-US" w:eastAsia="en-US"/>
              </w:rPr>
              <w:t>8</w:t>
            </w:r>
          </w:p>
        </w:tc>
        <w:tc>
          <w:tcPr>
            <w:tcW w:w="309" w:type="pct"/>
            <w:tcBorders>
              <w:bottom w:val="single" w:sz="12" w:space="0" w:color="auto"/>
            </w:tcBorders>
            <w:shd w:val="clear" w:color="auto" w:fill="auto"/>
            <w:vAlign w:val="bottom"/>
            <w:hideMark/>
          </w:tcPr>
          <w:p w14:paraId="3A314F48" w14:textId="48D06349"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w:t>
            </w:r>
            <w:r w:rsidR="00294EA4">
              <w:rPr>
                <w:rFonts w:eastAsia="Times New Roman"/>
                <w:sz w:val="18"/>
                <w:lang w:val="en-US" w:eastAsia="en-US"/>
              </w:rPr>
              <w:t>,</w:t>
            </w:r>
            <w:r w:rsidRPr="003322F1">
              <w:rPr>
                <w:rFonts w:eastAsia="Times New Roman"/>
                <w:sz w:val="18"/>
                <w:lang w:val="en-US" w:eastAsia="en-US"/>
              </w:rPr>
              <w:t>9</w:t>
            </w:r>
          </w:p>
        </w:tc>
        <w:tc>
          <w:tcPr>
            <w:tcW w:w="309" w:type="pct"/>
            <w:tcBorders>
              <w:bottom w:val="single" w:sz="12" w:space="0" w:color="auto"/>
            </w:tcBorders>
            <w:shd w:val="clear" w:color="auto" w:fill="auto"/>
            <w:vAlign w:val="bottom"/>
            <w:hideMark/>
          </w:tcPr>
          <w:p w14:paraId="10BB44B7" w14:textId="7D7DBD02"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3</w:t>
            </w:r>
            <w:r w:rsidR="00294EA4">
              <w:rPr>
                <w:rFonts w:eastAsia="Times New Roman"/>
                <w:sz w:val="18"/>
                <w:lang w:val="en-US" w:eastAsia="en-US"/>
              </w:rPr>
              <w:t>,</w:t>
            </w:r>
            <w:r w:rsidRPr="003322F1">
              <w:rPr>
                <w:rFonts w:eastAsia="Times New Roman"/>
                <w:sz w:val="18"/>
                <w:lang w:val="en-US" w:eastAsia="en-US"/>
              </w:rPr>
              <w:t>6</w:t>
            </w:r>
          </w:p>
        </w:tc>
        <w:tc>
          <w:tcPr>
            <w:tcW w:w="309" w:type="pct"/>
            <w:tcBorders>
              <w:bottom w:val="single" w:sz="12" w:space="0" w:color="auto"/>
            </w:tcBorders>
            <w:shd w:val="clear" w:color="auto" w:fill="auto"/>
            <w:vAlign w:val="bottom"/>
            <w:hideMark/>
          </w:tcPr>
          <w:p w14:paraId="7B47E5DC" w14:textId="5BC8FF98"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1</w:t>
            </w:r>
            <w:r w:rsidR="00294EA4">
              <w:rPr>
                <w:rFonts w:eastAsia="Times New Roman"/>
                <w:sz w:val="18"/>
                <w:lang w:val="en-US" w:eastAsia="en-US"/>
              </w:rPr>
              <w:t>,</w:t>
            </w:r>
            <w:r w:rsidRPr="003322F1">
              <w:rPr>
                <w:rFonts w:eastAsia="Times New Roman"/>
                <w:sz w:val="18"/>
                <w:lang w:val="en-US" w:eastAsia="en-US"/>
              </w:rPr>
              <w:t>9</w:t>
            </w:r>
          </w:p>
        </w:tc>
        <w:tc>
          <w:tcPr>
            <w:tcW w:w="309" w:type="pct"/>
            <w:tcBorders>
              <w:bottom w:val="single" w:sz="12" w:space="0" w:color="auto"/>
            </w:tcBorders>
            <w:shd w:val="clear" w:color="auto" w:fill="auto"/>
            <w:vAlign w:val="bottom"/>
            <w:hideMark/>
          </w:tcPr>
          <w:p w14:paraId="104A30C5" w14:textId="49024C73"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1</w:t>
            </w:r>
            <w:r w:rsidR="00294EA4">
              <w:rPr>
                <w:rFonts w:eastAsia="Times New Roman"/>
                <w:sz w:val="18"/>
                <w:lang w:val="en-US" w:eastAsia="en-US"/>
              </w:rPr>
              <w:t>,</w:t>
            </w:r>
            <w:r w:rsidRPr="003322F1">
              <w:rPr>
                <w:rFonts w:eastAsia="Times New Roman"/>
                <w:sz w:val="18"/>
                <w:lang w:val="en-US" w:eastAsia="en-US"/>
              </w:rPr>
              <w:t>9</w:t>
            </w:r>
          </w:p>
        </w:tc>
        <w:tc>
          <w:tcPr>
            <w:tcW w:w="309" w:type="pct"/>
            <w:tcBorders>
              <w:bottom w:val="single" w:sz="12" w:space="0" w:color="auto"/>
            </w:tcBorders>
            <w:shd w:val="clear" w:color="auto" w:fill="auto"/>
            <w:vAlign w:val="bottom"/>
            <w:hideMark/>
          </w:tcPr>
          <w:p w14:paraId="093DB52F" w14:textId="783BB6A2"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1</w:t>
            </w:r>
            <w:r w:rsidR="00294EA4">
              <w:rPr>
                <w:rFonts w:eastAsia="Times New Roman"/>
                <w:sz w:val="18"/>
                <w:lang w:val="en-US" w:eastAsia="en-US"/>
              </w:rPr>
              <w:t>,</w:t>
            </w:r>
            <w:r w:rsidRPr="003322F1">
              <w:rPr>
                <w:rFonts w:eastAsia="Times New Roman"/>
                <w:sz w:val="18"/>
                <w:lang w:val="en-US" w:eastAsia="en-US"/>
              </w:rPr>
              <w:t>8</w:t>
            </w:r>
          </w:p>
        </w:tc>
        <w:tc>
          <w:tcPr>
            <w:tcW w:w="309" w:type="pct"/>
            <w:tcBorders>
              <w:bottom w:val="single" w:sz="12" w:space="0" w:color="auto"/>
            </w:tcBorders>
            <w:shd w:val="clear" w:color="auto" w:fill="auto"/>
            <w:vAlign w:val="bottom"/>
            <w:hideMark/>
          </w:tcPr>
          <w:p w14:paraId="1F5C87B8" w14:textId="25DA6368"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1</w:t>
            </w:r>
            <w:r w:rsidR="00294EA4">
              <w:rPr>
                <w:rFonts w:eastAsia="Times New Roman"/>
                <w:sz w:val="18"/>
                <w:lang w:val="en-US" w:eastAsia="en-US"/>
              </w:rPr>
              <w:t>,</w:t>
            </w:r>
            <w:r w:rsidRPr="003322F1">
              <w:rPr>
                <w:rFonts w:eastAsia="Times New Roman"/>
                <w:sz w:val="18"/>
                <w:lang w:val="en-US" w:eastAsia="en-US"/>
              </w:rPr>
              <w:t>8</w:t>
            </w:r>
          </w:p>
        </w:tc>
        <w:tc>
          <w:tcPr>
            <w:tcW w:w="309" w:type="pct"/>
            <w:tcBorders>
              <w:bottom w:val="single" w:sz="12" w:space="0" w:color="auto"/>
            </w:tcBorders>
            <w:shd w:val="clear" w:color="auto" w:fill="auto"/>
            <w:vAlign w:val="bottom"/>
            <w:hideMark/>
          </w:tcPr>
          <w:p w14:paraId="3BCF67CC" w14:textId="46245EAE"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1</w:t>
            </w:r>
            <w:r w:rsidR="00294EA4">
              <w:rPr>
                <w:rFonts w:eastAsia="Times New Roman"/>
                <w:sz w:val="18"/>
                <w:lang w:val="en-US" w:eastAsia="en-US"/>
              </w:rPr>
              <w:t>,</w:t>
            </w:r>
            <w:r w:rsidRPr="003322F1">
              <w:rPr>
                <w:rFonts w:eastAsia="Times New Roman"/>
                <w:sz w:val="18"/>
                <w:lang w:val="en-US" w:eastAsia="en-US"/>
              </w:rPr>
              <w:t>8</w:t>
            </w:r>
          </w:p>
        </w:tc>
        <w:tc>
          <w:tcPr>
            <w:tcW w:w="305" w:type="pct"/>
            <w:tcBorders>
              <w:bottom w:val="single" w:sz="12" w:space="0" w:color="auto"/>
            </w:tcBorders>
            <w:shd w:val="clear" w:color="auto" w:fill="auto"/>
            <w:vAlign w:val="bottom"/>
            <w:hideMark/>
          </w:tcPr>
          <w:p w14:paraId="1ECDE1AA" w14:textId="7C510124" w:rsidR="003322F1" w:rsidRPr="003322F1" w:rsidRDefault="003322F1" w:rsidP="003322F1">
            <w:pPr>
              <w:spacing w:before="40" w:after="40" w:line="220" w:lineRule="exact"/>
              <w:jc w:val="right"/>
              <w:rPr>
                <w:rFonts w:eastAsia="Times New Roman"/>
                <w:sz w:val="18"/>
                <w:lang w:val="en-US" w:eastAsia="en-US"/>
              </w:rPr>
            </w:pPr>
            <w:r w:rsidRPr="003322F1">
              <w:rPr>
                <w:rFonts w:eastAsia="Times New Roman"/>
                <w:sz w:val="18"/>
                <w:lang w:val="en-US" w:eastAsia="en-US"/>
              </w:rPr>
              <w:t>2</w:t>
            </w:r>
            <w:r w:rsidR="00294EA4">
              <w:rPr>
                <w:rFonts w:eastAsia="Times New Roman"/>
                <w:sz w:val="18"/>
                <w:lang w:val="en-US" w:eastAsia="en-US"/>
              </w:rPr>
              <w:t>,</w:t>
            </w:r>
            <w:r w:rsidRPr="003322F1">
              <w:rPr>
                <w:rFonts w:eastAsia="Times New Roman"/>
                <w:sz w:val="18"/>
                <w:lang w:val="en-US" w:eastAsia="en-US"/>
              </w:rPr>
              <w:t>2</w:t>
            </w:r>
          </w:p>
        </w:tc>
      </w:tr>
    </w:tbl>
    <w:p w14:paraId="34C5DF08" w14:textId="4AA5AA4E" w:rsidR="003322F1" w:rsidRPr="003322F1" w:rsidRDefault="003322F1" w:rsidP="001C2C73">
      <w:pPr>
        <w:pStyle w:val="SingleTxtG"/>
        <w:spacing w:before="120" w:after="240"/>
        <w:ind w:left="170"/>
        <w:rPr>
          <w:sz w:val="18"/>
          <w:lang w:eastAsia="en-US"/>
        </w:rPr>
      </w:pPr>
      <w:r w:rsidRPr="003322F1">
        <w:rPr>
          <w:i/>
          <w:sz w:val="18"/>
          <w:lang w:eastAsia="en-US"/>
        </w:rPr>
        <w:t>Fuente</w:t>
      </w:r>
      <w:r w:rsidR="00294EA4">
        <w:rPr>
          <w:i/>
          <w:sz w:val="18"/>
          <w:lang w:eastAsia="en-US"/>
        </w:rPr>
        <w:t>:</w:t>
      </w:r>
      <w:r w:rsidRPr="003322F1">
        <w:rPr>
          <w:sz w:val="18"/>
          <w:lang w:eastAsia="en-US"/>
        </w:rPr>
        <w:t xml:space="preserve"> DIGESTYC, EHPM, 2010-2020.</w:t>
      </w:r>
    </w:p>
    <w:p w14:paraId="260A1358" w14:textId="06251365" w:rsidR="003322F1" w:rsidRDefault="003322F1" w:rsidP="001C2C73">
      <w:pPr>
        <w:pStyle w:val="Ttulo1"/>
        <w:spacing w:after="120"/>
        <w:rPr>
          <w:b/>
          <w:lang w:val="es-ES"/>
        </w:rPr>
      </w:pPr>
      <w:r w:rsidRPr="003322F1">
        <w:rPr>
          <w:b/>
          <w:lang w:val="es-ES"/>
        </w:rPr>
        <w:t>Porcentaje de la población que vive en pobreza extrema</w:t>
      </w:r>
    </w:p>
    <w:tbl>
      <w:tblPr>
        <w:tblW w:w="7370" w:type="dxa"/>
        <w:tblInd w:w="1134" w:type="dxa"/>
        <w:tblLayout w:type="fixed"/>
        <w:tblCellMar>
          <w:left w:w="0" w:type="dxa"/>
          <w:right w:w="0" w:type="dxa"/>
        </w:tblCellMar>
        <w:tblLook w:val="04A0" w:firstRow="1" w:lastRow="0" w:firstColumn="1" w:lastColumn="0" w:noHBand="0" w:noVBand="1"/>
      </w:tblPr>
      <w:tblGrid>
        <w:gridCol w:w="1469"/>
        <w:gridCol w:w="1181"/>
        <w:gridCol w:w="1180"/>
        <w:gridCol w:w="1180"/>
        <w:gridCol w:w="1180"/>
        <w:gridCol w:w="1180"/>
      </w:tblGrid>
      <w:tr w:rsidR="003322F1" w:rsidRPr="003322F1" w14:paraId="23B0ACC1" w14:textId="77777777" w:rsidTr="003322F1">
        <w:trPr>
          <w:tblHeader/>
        </w:trPr>
        <w:tc>
          <w:tcPr>
            <w:tcW w:w="1469" w:type="dxa"/>
            <w:tcBorders>
              <w:top w:val="single" w:sz="4" w:space="0" w:color="auto"/>
              <w:bottom w:val="single" w:sz="12" w:space="0" w:color="auto"/>
            </w:tcBorders>
            <w:shd w:val="clear" w:color="auto" w:fill="auto"/>
            <w:vAlign w:val="bottom"/>
            <w:hideMark/>
          </w:tcPr>
          <w:p w14:paraId="6B94DDD9" w14:textId="77777777" w:rsidR="003322F1" w:rsidRPr="003322F1" w:rsidRDefault="003322F1" w:rsidP="003322F1">
            <w:pPr>
              <w:spacing w:before="80" w:after="80" w:line="200" w:lineRule="exact"/>
              <w:rPr>
                <w:rFonts w:eastAsia="Times New Roman"/>
                <w:i/>
                <w:iCs/>
                <w:sz w:val="16"/>
                <w:szCs w:val="16"/>
                <w:lang w:val="en-GB" w:eastAsia="en-GB"/>
              </w:rPr>
            </w:pPr>
            <w:r w:rsidRPr="003322F1">
              <w:rPr>
                <w:rFonts w:eastAsia="Times New Roman"/>
                <w:i/>
                <w:iCs/>
                <w:sz w:val="16"/>
                <w:szCs w:val="16"/>
                <w:lang w:eastAsia="en-GB"/>
              </w:rPr>
              <w:t>Desagregación</w:t>
            </w:r>
          </w:p>
        </w:tc>
        <w:tc>
          <w:tcPr>
            <w:tcW w:w="1181" w:type="dxa"/>
            <w:tcBorders>
              <w:top w:val="single" w:sz="4" w:space="0" w:color="auto"/>
              <w:bottom w:val="single" w:sz="12" w:space="0" w:color="auto"/>
            </w:tcBorders>
            <w:shd w:val="clear" w:color="auto" w:fill="auto"/>
            <w:vAlign w:val="bottom"/>
            <w:hideMark/>
          </w:tcPr>
          <w:p w14:paraId="490FC797" w14:textId="77777777" w:rsidR="003322F1" w:rsidRPr="003322F1" w:rsidRDefault="003322F1" w:rsidP="003322F1">
            <w:pPr>
              <w:spacing w:before="80" w:after="80" w:line="200" w:lineRule="exact"/>
              <w:jc w:val="right"/>
              <w:rPr>
                <w:rFonts w:eastAsia="Times New Roman"/>
                <w:i/>
                <w:iCs/>
                <w:sz w:val="16"/>
                <w:szCs w:val="16"/>
                <w:lang w:val="en-GB" w:eastAsia="en-GB"/>
              </w:rPr>
            </w:pPr>
            <w:r w:rsidRPr="003322F1">
              <w:rPr>
                <w:rFonts w:eastAsia="Times New Roman"/>
                <w:i/>
                <w:iCs/>
                <w:sz w:val="16"/>
                <w:szCs w:val="16"/>
                <w:lang w:eastAsia="en-GB"/>
              </w:rPr>
              <w:t>2016</w:t>
            </w:r>
          </w:p>
        </w:tc>
        <w:tc>
          <w:tcPr>
            <w:tcW w:w="1180" w:type="dxa"/>
            <w:tcBorders>
              <w:top w:val="single" w:sz="4" w:space="0" w:color="auto"/>
              <w:bottom w:val="single" w:sz="12" w:space="0" w:color="auto"/>
            </w:tcBorders>
            <w:shd w:val="clear" w:color="auto" w:fill="auto"/>
            <w:vAlign w:val="bottom"/>
            <w:hideMark/>
          </w:tcPr>
          <w:p w14:paraId="7D68CC23" w14:textId="77777777" w:rsidR="003322F1" w:rsidRPr="003322F1" w:rsidRDefault="003322F1" w:rsidP="003322F1">
            <w:pPr>
              <w:spacing w:before="80" w:after="80" w:line="200" w:lineRule="exact"/>
              <w:jc w:val="right"/>
              <w:rPr>
                <w:rFonts w:eastAsia="Times New Roman"/>
                <w:i/>
                <w:iCs/>
                <w:sz w:val="16"/>
                <w:szCs w:val="16"/>
                <w:lang w:val="en-GB" w:eastAsia="en-GB"/>
              </w:rPr>
            </w:pPr>
            <w:r w:rsidRPr="003322F1">
              <w:rPr>
                <w:rFonts w:eastAsia="Times New Roman"/>
                <w:i/>
                <w:iCs/>
                <w:sz w:val="16"/>
                <w:szCs w:val="16"/>
                <w:lang w:eastAsia="en-GB"/>
              </w:rPr>
              <w:t>2017</w:t>
            </w:r>
          </w:p>
        </w:tc>
        <w:tc>
          <w:tcPr>
            <w:tcW w:w="1180" w:type="dxa"/>
            <w:tcBorders>
              <w:top w:val="single" w:sz="4" w:space="0" w:color="auto"/>
              <w:bottom w:val="single" w:sz="12" w:space="0" w:color="auto"/>
            </w:tcBorders>
            <w:shd w:val="clear" w:color="auto" w:fill="auto"/>
            <w:vAlign w:val="bottom"/>
            <w:hideMark/>
          </w:tcPr>
          <w:p w14:paraId="386C4437" w14:textId="77777777" w:rsidR="003322F1" w:rsidRPr="003322F1" w:rsidRDefault="003322F1" w:rsidP="003322F1">
            <w:pPr>
              <w:spacing w:before="80" w:after="80" w:line="200" w:lineRule="exact"/>
              <w:jc w:val="right"/>
              <w:rPr>
                <w:rFonts w:eastAsia="Times New Roman"/>
                <w:i/>
                <w:iCs/>
                <w:sz w:val="16"/>
                <w:szCs w:val="16"/>
                <w:lang w:val="en-GB" w:eastAsia="en-GB"/>
              </w:rPr>
            </w:pPr>
            <w:r w:rsidRPr="003322F1">
              <w:rPr>
                <w:rFonts w:eastAsia="Times New Roman"/>
                <w:i/>
                <w:iCs/>
                <w:sz w:val="16"/>
                <w:szCs w:val="16"/>
                <w:lang w:eastAsia="en-GB"/>
              </w:rPr>
              <w:t>2018</w:t>
            </w:r>
          </w:p>
        </w:tc>
        <w:tc>
          <w:tcPr>
            <w:tcW w:w="1180" w:type="dxa"/>
            <w:tcBorders>
              <w:top w:val="single" w:sz="4" w:space="0" w:color="auto"/>
              <w:bottom w:val="single" w:sz="12" w:space="0" w:color="auto"/>
            </w:tcBorders>
            <w:shd w:val="clear" w:color="auto" w:fill="auto"/>
            <w:vAlign w:val="bottom"/>
            <w:hideMark/>
          </w:tcPr>
          <w:p w14:paraId="2C81C23B" w14:textId="77777777" w:rsidR="003322F1" w:rsidRPr="003322F1" w:rsidRDefault="003322F1" w:rsidP="003322F1">
            <w:pPr>
              <w:spacing w:before="80" w:after="80" w:line="200" w:lineRule="exact"/>
              <w:jc w:val="right"/>
              <w:rPr>
                <w:rFonts w:eastAsia="Times New Roman"/>
                <w:i/>
                <w:iCs/>
                <w:sz w:val="16"/>
                <w:szCs w:val="16"/>
                <w:lang w:val="en-GB" w:eastAsia="en-GB"/>
              </w:rPr>
            </w:pPr>
            <w:r w:rsidRPr="003322F1">
              <w:rPr>
                <w:rFonts w:eastAsia="Times New Roman"/>
                <w:i/>
                <w:iCs/>
                <w:sz w:val="16"/>
                <w:szCs w:val="16"/>
                <w:lang w:eastAsia="en-GB"/>
              </w:rPr>
              <w:t>2019</w:t>
            </w:r>
          </w:p>
        </w:tc>
        <w:tc>
          <w:tcPr>
            <w:tcW w:w="1180" w:type="dxa"/>
            <w:tcBorders>
              <w:top w:val="single" w:sz="4" w:space="0" w:color="auto"/>
              <w:bottom w:val="single" w:sz="12" w:space="0" w:color="auto"/>
            </w:tcBorders>
            <w:shd w:val="clear" w:color="auto" w:fill="auto"/>
            <w:vAlign w:val="bottom"/>
            <w:hideMark/>
          </w:tcPr>
          <w:p w14:paraId="09051985" w14:textId="77777777" w:rsidR="003322F1" w:rsidRPr="003322F1" w:rsidRDefault="003322F1" w:rsidP="003322F1">
            <w:pPr>
              <w:spacing w:before="80" w:after="80" w:line="200" w:lineRule="exact"/>
              <w:jc w:val="right"/>
              <w:rPr>
                <w:rFonts w:eastAsia="Times New Roman"/>
                <w:i/>
                <w:iCs/>
                <w:sz w:val="16"/>
                <w:szCs w:val="16"/>
                <w:lang w:val="en-GB" w:eastAsia="en-GB"/>
              </w:rPr>
            </w:pPr>
            <w:r w:rsidRPr="003322F1">
              <w:rPr>
                <w:rFonts w:eastAsia="Times New Roman"/>
                <w:i/>
                <w:iCs/>
                <w:sz w:val="16"/>
                <w:szCs w:val="16"/>
                <w:lang w:eastAsia="en-GB"/>
              </w:rPr>
              <w:t>2020</w:t>
            </w:r>
          </w:p>
        </w:tc>
      </w:tr>
      <w:tr w:rsidR="003322F1" w:rsidRPr="003322F1" w14:paraId="74BBEDC4" w14:textId="77777777" w:rsidTr="003322F1">
        <w:tc>
          <w:tcPr>
            <w:tcW w:w="1469" w:type="dxa"/>
            <w:tcBorders>
              <w:top w:val="single" w:sz="12" w:space="0" w:color="auto"/>
            </w:tcBorders>
            <w:shd w:val="clear" w:color="auto" w:fill="auto"/>
            <w:hideMark/>
          </w:tcPr>
          <w:p w14:paraId="4BE02CBF" w14:textId="77777777" w:rsidR="003322F1" w:rsidRPr="003322F1" w:rsidRDefault="003322F1" w:rsidP="003322F1">
            <w:pPr>
              <w:spacing w:before="40" w:after="40" w:line="220" w:lineRule="exact"/>
              <w:rPr>
                <w:rFonts w:eastAsia="Times New Roman"/>
                <w:sz w:val="18"/>
                <w:szCs w:val="18"/>
                <w:lang w:val="en-GB" w:eastAsia="en-GB"/>
              </w:rPr>
            </w:pPr>
            <w:r w:rsidRPr="003322F1">
              <w:rPr>
                <w:rFonts w:eastAsia="Times New Roman"/>
                <w:sz w:val="18"/>
                <w:szCs w:val="18"/>
                <w:lang w:eastAsia="en-GB"/>
              </w:rPr>
              <w:t>Nacional</w:t>
            </w:r>
          </w:p>
        </w:tc>
        <w:tc>
          <w:tcPr>
            <w:tcW w:w="1181" w:type="dxa"/>
            <w:tcBorders>
              <w:top w:val="single" w:sz="12" w:space="0" w:color="auto"/>
            </w:tcBorders>
            <w:shd w:val="clear" w:color="auto" w:fill="auto"/>
            <w:vAlign w:val="bottom"/>
            <w:hideMark/>
          </w:tcPr>
          <w:p w14:paraId="722183E9" w14:textId="50833F49"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9</w:t>
            </w:r>
            <w:r w:rsidR="003B0B16">
              <w:rPr>
                <w:rFonts w:eastAsia="Times New Roman"/>
                <w:sz w:val="18"/>
                <w:szCs w:val="18"/>
                <w:lang w:eastAsia="en-GB"/>
              </w:rPr>
              <w:t>,</w:t>
            </w:r>
            <w:r w:rsidRPr="003322F1">
              <w:rPr>
                <w:rFonts w:eastAsia="Times New Roman"/>
                <w:sz w:val="18"/>
                <w:szCs w:val="18"/>
                <w:lang w:eastAsia="en-GB"/>
              </w:rPr>
              <w:t>9</w:t>
            </w:r>
          </w:p>
        </w:tc>
        <w:tc>
          <w:tcPr>
            <w:tcW w:w="1180" w:type="dxa"/>
            <w:tcBorders>
              <w:top w:val="single" w:sz="12" w:space="0" w:color="auto"/>
            </w:tcBorders>
            <w:shd w:val="clear" w:color="auto" w:fill="auto"/>
            <w:vAlign w:val="bottom"/>
            <w:hideMark/>
          </w:tcPr>
          <w:p w14:paraId="0ACE6A66" w14:textId="561FC243"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7</w:t>
            </w:r>
            <w:r w:rsidR="003B0B16">
              <w:rPr>
                <w:rFonts w:eastAsia="Times New Roman"/>
                <w:sz w:val="18"/>
                <w:szCs w:val="18"/>
                <w:lang w:eastAsia="en-GB"/>
              </w:rPr>
              <w:t>,</w:t>
            </w:r>
            <w:r w:rsidRPr="003322F1">
              <w:rPr>
                <w:rFonts w:eastAsia="Times New Roman"/>
                <w:sz w:val="18"/>
                <w:szCs w:val="18"/>
                <w:lang w:eastAsia="en-GB"/>
              </w:rPr>
              <w:t>5</w:t>
            </w:r>
          </w:p>
        </w:tc>
        <w:tc>
          <w:tcPr>
            <w:tcW w:w="1180" w:type="dxa"/>
            <w:tcBorders>
              <w:top w:val="single" w:sz="12" w:space="0" w:color="auto"/>
            </w:tcBorders>
            <w:shd w:val="clear" w:color="auto" w:fill="auto"/>
            <w:vAlign w:val="bottom"/>
            <w:hideMark/>
          </w:tcPr>
          <w:p w14:paraId="2BD47C22" w14:textId="1B6C7004"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7</w:t>
            </w:r>
            <w:r w:rsidR="003B0B16">
              <w:rPr>
                <w:rFonts w:eastAsia="Times New Roman"/>
                <w:sz w:val="18"/>
                <w:szCs w:val="18"/>
                <w:lang w:eastAsia="en-GB"/>
              </w:rPr>
              <w:t>,</w:t>
            </w:r>
            <w:r w:rsidRPr="003322F1">
              <w:rPr>
                <w:rFonts w:eastAsia="Times New Roman"/>
                <w:sz w:val="18"/>
                <w:szCs w:val="18"/>
                <w:lang w:eastAsia="en-GB"/>
              </w:rPr>
              <w:t>3</w:t>
            </w:r>
          </w:p>
        </w:tc>
        <w:tc>
          <w:tcPr>
            <w:tcW w:w="1180" w:type="dxa"/>
            <w:tcBorders>
              <w:top w:val="single" w:sz="12" w:space="0" w:color="auto"/>
            </w:tcBorders>
            <w:shd w:val="clear" w:color="auto" w:fill="auto"/>
            <w:vAlign w:val="bottom"/>
            <w:hideMark/>
          </w:tcPr>
          <w:p w14:paraId="11AAFD38" w14:textId="2A11FD9B"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5</w:t>
            </w:r>
            <w:r w:rsidR="003B0B16">
              <w:rPr>
                <w:rFonts w:eastAsia="Times New Roman"/>
                <w:sz w:val="18"/>
                <w:szCs w:val="18"/>
                <w:lang w:eastAsia="en-GB"/>
              </w:rPr>
              <w:t>,</w:t>
            </w:r>
            <w:r w:rsidRPr="003322F1">
              <w:rPr>
                <w:rFonts w:eastAsia="Times New Roman"/>
                <w:sz w:val="18"/>
                <w:szCs w:val="18"/>
                <w:lang w:eastAsia="en-GB"/>
              </w:rPr>
              <w:t>5</w:t>
            </w:r>
          </w:p>
        </w:tc>
        <w:tc>
          <w:tcPr>
            <w:tcW w:w="1180" w:type="dxa"/>
            <w:tcBorders>
              <w:top w:val="single" w:sz="12" w:space="0" w:color="auto"/>
            </w:tcBorders>
            <w:shd w:val="clear" w:color="auto" w:fill="auto"/>
            <w:vAlign w:val="bottom"/>
            <w:hideMark/>
          </w:tcPr>
          <w:p w14:paraId="67C11127" w14:textId="0F3AE6F9"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8</w:t>
            </w:r>
            <w:r w:rsidR="003B0B16">
              <w:rPr>
                <w:rFonts w:eastAsia="Times New Roman"/>
                <w:sz w:val="18"/>
                <w:szCs w:val="18"/>
                <w:lang w:eastAsia="en-GB"/>
              </w:rPr>
              <w:t>,</w:t>
            </w:r>
            <w:r w:rsidRPr="003322F1">
              <w:rPr>
                <w:rFonts w:eastAsia="Times New Roman"/>
                <w:sz w:val="18"/>
                <w:szCs w:val="18"/>
                <w:lang w:eastAsia="en-GB"/>
              </w:rPr>
              <w:t>7</w:t>
            </w:r>
          </w:p>
        </w:tc>
      </w:tr>
      <w:tr w:rsidR="003322F1" w:rsidRPr="003322F1" w14:paraId="4C3A0BBC" w14:textId="77777777" w:rsidTr="003322F1">
        <w:tc>
          <w:tcPr>
            <w:tcW w:w="1469" w:type="dxa"/>
            <w:shd w:val="clear" w:color="auto" w:fill="auto"/>
            <w:hideMark/>
          </w:tcPr>
          <w:p w14:paraId="689D67EB" w14:textId="77777777" w:rsidR="003322F1" w:rsidRPr="003322F1" w:rsidRDefault="003322F1" w:rsidP="003322F1">
            <w:pPr>
              <w:spacing w:before="40" w:after="40" w:line="220" w:lineRule="exact"/>
              <w:rPr>
                <w:rFonts w:eastAsia="Times New Roman"/>
                <w:sz w:val="18"/>
                <w:szCs w:val="18"/>
                <w:lang w:val="en-GB" w:eastAsia="en-GB"/>
              </w:rPr>
            </w:pPr>
            <w:r w:rsidRPr="003322F1">
              <w:rPr>
                <w:rFonts w:eastAsia="Times New Roman"/>
                <w:sz w:val="18"/>
                <w:szCs w:val="18"/>
                <w:lang w:eastAsia="en-GB"/>
              </w:rPr>
              <w:t>Urbana</w:t>
            </w:r>
          </w:p>
        </w:tc>
        <w:tc>
          <w:tcPr>
            <w:tcW w:w="1181" w:type="dxa"/>
            <w:shd w:val="clear" w:color="auto" w:fill="auto"/>
            <w:vAlign w:val="bottom"/>
            <w:hideMark/>
          </w:tcPr>
          <w:p w14:paraId="79A89BFA" w14:textId="61BB92C1"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7</w:t>
            </w:r>
            <w:r w:rsidR="003B0B16">
              <w:rPr>
                <w:rFonts w:eastAsia="Times New Roman"/>
                <w:sz w:val="18"/>
                <w:szCs w:val="18"/>
                <w:lang w:eastAsia="en-GB"/>
              </w:rPr>
              <w:t>,</w:t>
            </w:r>
            <w:r w:rsidRPr="003322F1">
              <w:rPr>
                <w:rFonts w:eastAsia="Times New Roman"/>
                <w:sz w:val="18"/>
                <w:szCs w:val="18"/>
                <w:lang w:eastAsia="en-GB"/>
              </w:rPr>
              <w:t>7</w:t>
            </w:r>
          </w:p>
        </w:tc>
        <w:tc>
          <w:tcPr>
            <w:tcW w:w="1180" w:type="dxa"/>
            <w:shd w:val="clear" w:color="auto" w:fill="auto"/>
            <w:vAlign w:val="bottom"/>
            <w:hideMark/>
          </w:tcPr>
          <w:p w14:paraId="5474BE74" w14:textId="73F9EE12"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6</w:t>
            </w:r>
            <w:r w:rsidR="003B0B16">
              <w:rPr>
                <w:rFonts w:eastAsia="Times New Roman"/>
                <w:sz w:val="18"/>
                <w:szCs w:val="18"/>
                <w:lang w:eastAsia="en-GB"/>
              </w:rPr>
              <w:t>,</w:t>
            </w:r>
            <w:r w:rsidRPr="003322F1">
              <w:rPr>
                <w:rFonts w:eastAsia="Times New Roman"/>
                <w:sz w:val="18"/>
                <w:szCs w:val="18"/>
                <w:lang w:eastAsia="en-GB"/>
              </w:rPr>
              <w:t>2</w:t>
            </w:r>
          </w:p>
        </w:tc>
        <w:tc>
          <w:tcPr>
            <w:tcW w:w="1180" w:type="dxa"/>
            <w:shd w:val="clear" w:color="auto" w:fill="auto"/>
            <w:vAlign w:val="bottom"/>
            <w:hideMark/>
          </w:tcPr>
          <w:p w14:paraId="1DBB5311" w14:textId="562F2153"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6</w:t>
            </w:r>
            <w:r w:rsidR="003B0B16">
              <w:rPr>
                <w:rFonts w:eastAsia="Times New Roman"/>
                <w:sz w:val="18"/>
                <w:szCs w:val="18"/>
                <w:lang w:eastAsia="en-GB"/>
              </w:rPr>
              <w:t>,</w:t>
            </w:r>
            <w:r w:rsidRPr="003322F1">
              <w:rPr>
                <w:rFonts w:eastAsia="Times New Roman"/>
                <w:sz w:val="18"/>
                <w:szCs w:val="18"/>
                <w:lang w:eastAsia="en-GB"/>
              </w:rPr>
              <w:t>3</w:t>
            </w:r>
          </w:p>
        </w:tc>
        <w:tc>
          <w:tcPr>
            <w:tcW w:w="1180" w:type="dxa"/>
            <w:shd w:val="clear" w:color="auto" w:fill="auto"/>
            <w:vAlign w:val="bottom"/>
            <w:hideMark/>
          </w:tcPr>
          <w:p w14:paraId="366E6E5F" w14:textId="691E3F7F"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4</w:t>
            </w:r>
            <w:r w:rsidR="003B0B16">
              <w:rPr>
                <w:rFonts w:eastAsia="Times New Roman"/>
                <w:sz w:val="18"/>
                <w:szCs w:val="18"/>
                <w:lang w:eastAsia="en-GB"/>
              </w:rPr>
              <w:t>,</w:t>
            </w:r>
            <w:r w:rsidRPr="003322F1">
              <w:rPr>
                <w:rFonts w:eastAsia="Times New Roman"/>
                <w:sz w:val="18"/>
                <w:szCs w:val="18"/>
                <w:lang w:eastAsia="en-GB"/>
              </w:rPr>
              <w:t>9</w:t>
            </w:r>
          </w:p>
        </w:tc>
        <w:tc>
          <w:tcPr>
            <w:tcW w:w="1180" w:type="dxa"/>
            <w:shd w:val="clear" w:color="auto" w:fill="auto"/>
            <w:vAlign w:val="bottom"/>
            <w:hideMark/>
          </w:tcPr>
          <w:p w14:paraId="458CF905" w14:textId="4876DCE1"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6</w:t>
            </w:r>
            <w:r w:rsidR="003B0B16">
              <w:rPr>
                <w:rFonts w:eastAsia="Times New Roman"/>
                <w:sz w:val="18"/>
                <w:szCs w:val="18"/>
                <w:lang w:eastAsia="en-GB"/>
              </w:rPr>
              <w:t>,</w:t>
            </w:r>
            <w:r w:rsidRPr="003322F1">
              <w:rPr>
                <w:rFonts w:eastAsia="Times New Roman"/>
                <w:sz w:val="18"/>
                <w:szCs w:val="18"/>
                <w:lang w:eastAsia="en-GB"/>
              </w:rPr>
              <w:t>8</w:t>
            </w:r>
          </w:p>
        </w:tc>
      </w:tr>
      <w:tr w:rsidR="003322F1" w:rsidRPr="003322F1" w14:paraId="55223163" w14:textId="77777777" w:rsidTr="003322F1">
        <w:tc>
          <w:tcPr>
            <w:tcW w:w="1469" w:type="dxa"/>
            <w:tcBorders>
              <w:bottom w:val="single" w:sz="12" w:space="0" w:color="auto"/>
            </w:tcBorders>
            <w:shd w:val="clear" w:color="auto" w:fill="auto"/>
            <w:hideMark/>
          </w:tcPr>
          <w:p w14:paraId="69E0F9BF" w14:textId="77777777" w:rsidR="003322F1" w:rsidRPr="003322F1" w:rsidRDefault="003322F1" w:rsidP="003322F1">
            <w:pPr>
              <w:spacing w:before="40" w:after="40" w:line="220" w:lineRule="exact"/>
              <w:rPr>
                <w:rFonts w:eastAsia="Times New Roman"/>
                <w:sz w:val="18"/>
                <w:szCs w:val="18"/>
                <w:lang w:val="en-GB" w:eastAsia="en-GB"/>
              </w:rPr>
            </w:pPr>
            <w:r w:rsidRPr="003322F1">
              <w:rPr>
                <w:rFonts w:eastAsia="Times New Roman"/>
                <w:sz w:val="18"/>
                <w:szCs w:val="18"/>
                <w:lang w:eastAsia="en-GB"/>
              </w:rPr>
              <w:t>Rural</w:t>
            </w:r>
          </w:p>
        </w:tc>
        <w:tc>
          <w:tcPr>
            <w:tcW w:w="1181" w:type="dxa"/>
            <w:tcBorders>
              <w:bottom w:val="single" w:sz="12" w:space="0" w:color="auto"/>
            </w:tcBorders>
            <w:shd w:val="clear" w:color="auto" w:fill="auto"/>
            <w:vAlign w:val="bottom"/>
            <w:hideMark/>
          </w:tcPr>
          <w:p w14:paraId="76D9F50B" w14:textId="1304733E"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13</w:t>
            </w:r>
            <w:r w:rsidR="003B0B16">
              <w:rPr>
                <w:rFonts w:eastAsia="Times New Roman"/>
                <w:sz w:val="18"/>
                <w:szCs w:val="18"/>
                <w:lang w:eastAsia="en-GB"/>
              </w:rPr>
              <w:t>,</w:t>
            </w:r>
            <w:r w:rsidRPr="003322F1">
              <w:rPr>
                <w:rFonts w:eastAsia="Times New Roman"/>
                <w:sz w:val="18"/>
                <w:szCs w:val="18"/>
                <w:lang w:eastAsia="en-GB"/>
              </w:rPr>
              <w:t>4</w:t>
            </w:r>
          </w:p>
        </w:tc>
        <w:tc>
          <w:tcPr>
            <w:tcW w:w="1180" w:type="dxa"/>
            <w:tcBorders>
              <w:bottom w:val="single" w:sz="12" w:space="0" w:color="auto"/>
            </w:tcBorders>
            <w:shd w:val="clear" w:color="auto" w:fill="auto"/>
            <w:vAlign w:val="bottom"/>
            <w:hideMark/>
          </w:tcPr>
          <w:p w14:paraId="229A8CFA" w14:textId="2CC5BA49"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9</w:t>
            </w:r>
            <w:r w:rsidR="003B0B16">
              <w:rPr>
                <w:rFonts w:eastAsia="Times New Roman"/>
                <w:sz w:val="18"/>
                <w:szCs w:val="18"/>
                <w:lang w:eastAsia="en-GB"/>
              </w:rPr>
              <w:t>,</w:t>
            </w:r>
            <w:r w:rsidRPr="003322F1">
              <w:rPr>
                <w:rFonts w:eastAsia="Times New Roman"/>
                <w:sz w:val="18"/>
                <w:szCs w:val="18"/>
                <w:lang w:eastAsia="en-GB"/>
              </w:rPr>
              <w:t>6</w:t>
            </w:r>
          </w:p>
        </w:tc>
        <w:tc>
          <w:tcPr>
            <w:tcW w:w="1180" w:type="dxa"/>
            <w:tcBorders>
              <w:bottom w:val="single" w:sz="12" w:space="0" w:color="auto"/>
            </w:tcBorders>
            <w:shd w:val="clear" w:color="auto" w:fill="auto"/>
            <w:vAlign w:val="bottom"/>
            <w:hideMark/>
          </w:tcPr>
          <w:p w14:paraId="1E1F0E8A" w14:textId="77777777"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9</w:t>
            </w:r>
          </w:p>
        </w:tc>
        <w:tc>
          <w:tcPr>
            <w:tcW w:w="1180" w:type="dxa"/>
            <w:tcBorders>
              <w:bottom w:val="single" w:sz="12" w:space="0" w:color="auto"/>
            </w:tcBorders>
            <w:shd w:val="clear" w:color="auto" w:fill="auto"/>
            <w:vAlign w:val="bottom"/>
            <w:hideMark/>
          </w:tcPr>
          <w:p w14:paraId="287D950F" w14:textId="3888552B"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6</w:t>
            </w:r>
            <w:r w:rsidR="003B0B16">
              <w:rPr>
                <w:rFonts w:eastAsia="Times New Roman"/>
                <w:sz w:val="18"/>
                <w:szCs w:val="18"/>
                <w:lang w:eastAsia="en-GB"/>
              </w:rPr>
              <w:t>,</w:t>
            </w:r>
            <w:r w:rsidRPr="003322F1">
              <w:rPr>
                <w:rFonts w:eastAsia="Times New Roman"/>
                <w:sz w:val="18"/>
                <w:szCs w:val="18"/>
                <w:lang w:eastAsia="en-GB"/>
              </w:rPr>
              <w:t>5</w:t>
            </w:r>
          </w:p>
        </w:tc>
        <w:tc>
          <w:tcPr>
            <w:tcW w:w="1180" w:type="dxa"/>
            <w:tcBorders>
              <w:bottom w:val="single" w:sz="12" w:space="0" w:color="auto"/>
            </w:tcBorders>
            <w:shd w:val="clear" w:color="auto" w:fill="auto"/>
            <w:vAlign w:val="bottom"/>
            <w:hideMark/>
          </w:tcPr>
          <w:p w14:paraId="74CC1A84" w14:textId="61381382" w:rsidR="003322F1" w:rsidRPr="003322F1" w:rsidRDefault="003322F1" w:rsidP="003322F1">
            <w:pPr>
              <w:spacing w:before="40" w:after="40" w:line="220" w:lineRule="exact"/>
              <w:jc w:val="right"/>
              <w:rPr>
                <w:rFonts w:eastAsia="Times New Roman"/>
                <w:sz w:val="18"/>
                <w:szCs w:val="18"/>
                <w:lang w:val="en-GB" w:eastAsia="en-GB"/>
              </w:rPr>
            </w:pPr>
            <w:r w:rsidRPr="003322F1">
              <w:rPr>
                <w:rFonts w:eastAsia="Times New Roman"/>
                <w:sz w:val="18"/>
                <w:szCs w:val="18"/>
                <w:lang w:eastAsia="en-GB"/>
              </w:rPr>
              <w:t>11</w:t>
            </w:r>
            <w:r w:rsidR="003B0B16">
              <w:rPr>
                <w:rFonts w:eastAsia="Times New Roman"/>
                <w:sz w:val="18"/>
                <w:szCs w:val="18"/>
                <w:lang w:eastAsia="en-GB"/>
              </w:rPr>
              <w:t>,</w:t>
            </w:r>
            <w:r w:rsidRPr="003322F1">
              <w:rPr>
                <w:rFonts w:eastAsia="Times New Roman"/>
                <w:sz w:val="18"/>
                <w:szCs w:val="18"/>
                <w:lang w:eastAsia="en-GB"/>
              </w:rPr>
              <w:t>7</w:t>
            </w:r>
          </w:p>
        </w:tc>
      </w:tr>
    </w:tbl>
    <w:p w14:paraId="1BCD917D" w14:textId="1AEA8F17" w:rsidR="001145BC" w:rsidRDefault="00C44B04" w:rsidP="001C2C73">
      <w:pPr>
        <w:pStyle w:val="SingleTxtG"/>
        <w:tabs>
          <w:tab w:val="clear" w:pos="1701"/>
          <w:tab w:val="clear" w:pos="2268"/>
          <w:tab w:val="clear" w:pos="2835"/>
        </w:tabs>
        <w:spacing w:before="240"/>
        <w:rPr>
          <w:bCs/>
          <w:lang w:val="es-SV"/>
        </w:rPr>
      </w:pPr>
      <w:r>
        <w:rPr>
          <w:bCs/>
          <w:lang w:val="es-SV"/>
        </w:rPr>
        <w:t>22.</w:t>
      </w:r>
      <w:r>
        <w:rPr>
          <w:bCs/>
          <w:lang w:val="es-SV"/>
        </w:rPr>
        <w:tab/>
      </w:r>
      <w:r w:rsidR="003322F1">
        <w:rPr>
          <w:bCs/>
          <w:lang w:val="es-SV"/>
        </w:rPr>
        <w:t>b</w:t>
      </w:r>
      <w:r w:rsidR="001878DA">
        <w:rPr>
          <w:bCs/>
          <w:lang w:val="es-SV"/>
        </w:rPr>
        <w:t>)</w:t>
      </w:r>
      <w:r w:rsidR="003322F1">
        <w:rPr>
          <w:bCs/>
          <w:lang w:val="es-SV"/>
        </w:rPr>
        <w:t xml:space="preserve"> y c</w:t>
      </w:r>
      <w:r w:rsidR="001878DA">
        <w:rPr>
          <w:bCs/>
          <w:lang w:val="es-SV"/>
        </w:rPr>
        <w:t>)</w:t>
      </w:r>
      <w:r w:rsidR="003322F1">
        <w:rPr>
          <w:bCs/>
          <w:lang w:val="es-SV"/>
        </w:rPr>
        <w:t xml:space="preserve">: </w:t>
      </w:r>
      <w:r w:rsidR="0069218C" w:rsidRPr="0069218C">
        <w:rPr>
          <w:bCs/>
          <w:lang w:val="es-SV"/>
        </w:rPr>
        <w:t>En lo relativo a los literales b y c, en la tabla se muestra el comportamiento de los ingresos tributarios, en millones de dólares, el porcentaje que representa respecto al total y la composición por rubro de la carga tributaria.</w:t>
      </w:r>
      <w:r w:rsidR="009C4946">
        <w:rPr>
          <w:bCs/>
          <w:lang w:val="es-SV"/>
        </w:rPr>
        <w:t xml:space="preserve"> </w:t>
      </w:r>
      <w:r w:rsidR="0069218C" w:rsidRPr="0069218C">
        <w:rPr>
          <w:bCs/>
          <w:lang w:val="es-SV"/>
        </w:rPr>
        <w:t>Se muestra que el impuesto sobre la Renta mejora en términos de progresividad en el sistema tributario al pasar de 35</w:t>
      </w:r>
      <w:r w:rsidR="00294EA4">
        <w:rPr>
          <w:bCs/>
          <w:lang w:val="es-SV"/>
        </w:rPr>
        <w:t>,</w:t>
      </w:r>
      <w:r w:rsidR="0069218C" w:rsidRPr="0069218C">
        <w:rPr>
          <w:bCs/>
          <w:lang w:val="es-SV"/>
        </w:rPr>
        <w:t>7</w:t>
      </w:r>
      <w:r w:rsidR="001043C1">
        <w:rPr>
          <w:bCs/>
          <w:lang w:val="es-SV"/>
        </w:rPr>
        <w:t> %</w:t>
      </w:r>
      <w:r w:rsidR="0069218C" w:rsidRPr="0069218C">
        <w:rPr>
          <w:bCs/>
          <w:lang w:val="es-SV"/>
        </w:rPr>
        <w:t xml:space="preserve"> en el 2012 a 39</w:t>
      </w:r>
      <w:r w:rsidR="00294EA4">
        <w:rPr>
          <w:bCs/>
          <w:lang w:val="es-SV"/>
        </w:rPr>
        <w:t>,</w:t>
      </w:r>
      <w:r w:rsidR="0069218C" w:rsidRPr="0069218C">
        <w:rPr>
          <w:bCs/>
          <w:lang w:val="es-SV"/>
        </w:rPr>
        <w:t>3</w:t>
      </w:r>
      <w:r w:rsidR="001043C1">
        <w:rPr>
          <w:bCs/>
          <w:lang w:val="es-SV"/>
        </w:rPr>
        <w:t> %</w:t>
      </w:r>
      <w:r w:rsidR="0069218C" w:rsidRPr="0069218C">
        <w:rPr>
          <w:bCs/>
          <w:lang w:val="es-SV"/>
        </w:rPr>
        <w:t xml:space="preserve"> en 2019, producto de la reforma al impuesto sobre la Renta de 2012; que modificó la tarifa del impuesto al pasar del 25</w:t>
      </w:r>
      <w:r w:rsidR="001043C1">
        <w:rPr>
          <w:bCs/>
          <w:lang w:val="es-SV"/>
        </w:rPr>
        <w:t> %</w:t>
      </w:r>
      <w:r w:rsidR="0069218C" w:rsidRPr="0069218C">
        <w:rPr>
          <w:bCs/>
          <w:lang w:val="es-SV"/>
        </w:rPr>
        <w:t xml:space="preserve"> al 30</w:t>
      </w:r>
      <w:r w:rsidR="001043C1">
        <w:rPr>
          <w:bCs/>
          <w:lang w:val="es-SV"/>
        </w:rPr>
        <w:t> %</w:t>
      </w:r>
      <w:r w:rsidR="0069218C" w:rsidRPr="0069218C">
        <w:rPr>
          <w:bCs/>
          <w:lang w:val="es-SV"/>
        </w:rPr>
        <w:t xml:space="preserve"> para las personas jurídicas, manteniendo el</w:t>
      </w:r>
      <w:r w:rsidR="00AB7771">
        <w:rPr>
          <w:bCs/>
          <w:lang w:val="es-SV"/>
        </w:rPr>
        <w:t> </w:t>
      </w:r>
      <w:r w:rsidR="0069218C" w:rsidRPr="0069218C">
        <w:rPr>
          <w:bCs/>
          <w:lang w:val="es-SV"/>
        </w:rPr>
        <w:t>25</w:t>
      </w:r>
      <w:r w:rsidR="001043C1">
        <w:rPr>
          <w:bCs/>
          <w:lang w:val="es-SV"/>
        </w:rPr>
        <w:t> %</w:t>
      </w:r>
      <w:r w:rsidR="0069218C" w:rsidRPr="0069218C">
        <w:rPr>
          <w:bCs/>
          <w:lang w:val="es-SV"/>
        </w:rPr>
        <w:t xml:space="preserve"> para los sujetos gravables menores a $150.000</w:t>
      </w:r>
      <w:r w:rsidR="00294EA4">
        <w:rPr>
          <w:bCs/>
          <w:lang w:val="es-SV"/>
        </w:rPr>
        <w:t>,</w:t>
      </w:r>
      <w:r w:rsidR="0069218C" w:rsidRPr="0069218C">
        <w:rPr>
          <w:bCs/>
          <w:lang w:val="es-SV"/>
        </w:rPr>
        <w:t>00; mientras que el IVA experimento una tendencia decreciente en alrededor de 5</w:t>
      </w:r>
      <w:r w:rsidR="00294EA4">
        <w:rPr>
          <w:bCs/>
          <w:lang w:val="es-SV"/>
        </w:rPr>
        <w:t>,</w:t>
      </w:r>
      <w:r w:rsidR="0069218C" w:rsidRPr="0069218C">
        <w:rPr>
          <w:bCs/>
          <w:lang w:val="es-SV"/>
        </w:rPr>
        <w:t>0 puntos en dicho período.</w:t>
      </w:r>
    </w:p>
    <w:p w14:paraId="385318D1" w14:textId="77777777" w:rsidR="0069218C" w:rsidRPr="003322F1" w:rsidRDefault="0069218C" w:rsidP="001C2C73">
      <w:pPr>
        <w:pStyle w:val="Ttulo1"/>
        <w:ind w:left="0"/>
        <w:rPr>
          <w:b/>
          <w:lang w:val="es-ES"/>
        </w:rPr>
      </w:pPr>
      <w:r w:rsidRPr="003322F1">
        <w:rPr>
          <w:b/>
          <w:lang w:val="es-ES"/>
        </w:rPr>
        <w:lastRenderedPageBreak/>
        <w:t xml:space="preserve">Estructura de Ingresos Tributarios a diciembre 2009-2019 </w:t>
      </w:r>
    </w:p>
    <w:p w14:paraId="66EBCA70" w14:textId="1634288B" w:rsidR="001145BC" w:rsidRPr="001C2C73" w:rsidRDefault="0069218C" w:rsidP="001C2C73">
      <w:pPr>
        <w:pStyle w:val="SingleTxtG"/>
        <w:ind w:left="0"/>
        <w:rPr>
          <w:lang w:val="es-SV"/>
        </w:rPr>
      </w:pPr>
      <w:r w:rsidRPr="001C2C73">
        <w:rPr>
          <w:noProof/>
          <w:sz w:val="16"/>
          <w:szCs w:val="16"/>
          <w:lang w:val="en-GB" w:eastAsia="en-GB"/>
        </w:rPr>
        <w:drawing>
          <wp:anchor distT="0" distB="0" distL="114300" distR="114300" simplePos="0" relativeHeight="251659264" behindDoc="0" locked="0" layoutInCell="1" allowOverlap="1" wp14:anchorId="7423ADF1" wp14:editId="17D4F8C7">
            <wp:simplePos x="0" y="0"/>
            <wp:positionH relativeFrom="margin">
              <wp:align>left</wp:align>
            </wp:positionH>
            <wp:positionV relativeFrom="paragraph">
              <wp:posOffset>272415</wp:posOffset>
            </wp:positionV>
            <wp:extent cx="5857875" cy="2866390"/>
            <wp:effectExtent l="0" t="0" r="9525" b="0"/>
            <wp:wrapSquare wrapText="bothSides"/>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srcRect l="38623" t="41310" r="19763" b="21083"/>
                    <a:stretch/>
                  </pic:blipFill>
                  <pic:spPr bwMode="auto">
                    <a:xfrm>
                      <a:off x="0" y="0"/>
                      <a:ext cx="5857875" cy="2866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1C2C73">
        <w:rPr>
          <w:sz w:val="16"/>
          <w:szCs w:val="16"/>
          <w:lang w:val="es-SV"/>
        </w:rPr>
        <w:t>(</w:t>
      </w:r>
      <w:r w:rsidR="00294EA4">
        <w:rPr>
          <w:sz w:val="16"/>
          <w:szCs w:val="16"/>
          <w:lang w:val="es-SV"/>
        </w:rPr>
        <w:t>En m</w:t>
      </w:r>
      <w:r w:rsidRPr="001C2C73">
        <w:rPr>
          <w:sz w:val="16"/>
          <w:szCs w:val="16"/>
          <w:lang w:val="es-SV"/>
        </w:rPr>
        <w:t>illones de $, como</w:t>
      </w:r>
      <w:r w:rsidR="001043C1">
        <w:rPr>
          <w:sz w:val="16"/>
          <w:szCs w:val="16"/>
          <w:lang w:val="es-SV"/>
        </w:rPr>
        <w:t> %</w:t>
      </w:r>
      <w:r w:rsidRPr="001C2C73">
        <w:rPr>
          <w:sz w:val="16"/>
          <w:szCs w:val="16"/>
          <w:lang w:val="es-SV"/>
        </w:rPr>
        <w:t xml:space="preserve"> del Total de ingresos y</w:t>
      </w:r>
      <w:r w:rsidR="001043C1">
        <w:rPr>
          <w:sz w:val="16"/>
          <w:szCs w:val="16"/>
          <w:lang w:val="es-SV"/>
        </w:rPr>
        <w:t> %</w:t>
      </w:r>
      <w:r w:rsidRPr="001C2C73">
        <w:rPr>
          <w:sz w:val="16"/>
          <w:szCs w:val="16"/>
          <w:lang w:val="es-SV"/>
        </w:rPr>
        <w:t xml:space="preserve"> del PIB)</w:t>
      </w:r>
    </w:p>
    <w:p w14:paraId="7EC21395" w14:textId="25FC8E63" w:rsidR="001145BC" w:rsidRDefault="00C44B04" w:rsidP="001C2C73">
      <w:pPr>
        <w:pStyle w:val="SingleTxtG"/>
        <w:tabs>
          <w:tab w:val="clear" w:pos="1701"/>
          <w:tab w:val="clear" w:pos="2268"/>
          <w:tab w:val="clear" w:pos="2835"/>
        </w:tabs>
        <w:spacing w:before="240"/>
        <w:rPr>
          <w:bCs/>
          <w:lang w:val="es-SV"/>
        </w:rPr>
      </w:pPr>
      <w:r>
        <w:rPr>
          <w:bCs/>
          <w:lang w:val="es-SV"/>
        </w:rPr>
        <w:t>23.</w:t>
      </w:r>
      <w:r>
        <w:rPr>
          <w:bCs/>
          <w:lang w:val="es-SV"/>
        </w:rPr>
        <w:tab/>
      </w:r>
      <w:r w:rsidR="003322F1">
        <w:rPr>
          <w:bCs/>
          <w:lang w:val="es-SV"/>
        </w:rPr>
        <w:t>d</w:t>
      </w:r>
      <w:r w:rsidR="001878DA">
        <w:rPr>
          <w:bCs/>
          <w:lang w:val="es-SV"/>
        </w:rPr>
        <w:t>)</w:t>
      </w:r>
      <w:r w:rsidR="003322F1">
        <w:rPr>
          <w:bCs/>
          <w:lang w:val="es-SV"/>
        </w:rPr>
        <w:t xml:space="preserve">: </w:t>
      </w:r>
      <w:r w:rsidR="0069218C" w:rsidRPr="0069218C">
        <w:rPr>
          <w:bCs/>
          <w:lang w:val="es-SV"/>
        </w:rPr>
        <w:t>La ejecución del gasto total del Sector Público No Financiero, SPNF al cuarto trimestre de 2019 ascendió a $6</w:t>
      </w:r>
      <w:r w:rsidR="00294EA4">
        <w:rPr>
          <w:bCs/>
          <w:lang w:val="es-SV"/>
        </w:rPr>
        <w:t>.</w:t>
      </w:r>
      <w:r w:rsidR="0069218C" w:rsidRPr="0069218C">
        <w:rPr>
          <w:bCs/>
          <w:lang w:val="es-SV"/>
        </w:rPr>
        <w:t>628</w:t>
      </w:r>
      <w:r w:rsidR="00294EA4">
        <w:rPr>
          <w:bCs/>
          <w:lang w:val="es-SV"/>
        </w:rPr>
        <w:t>,</w:t>
      </w:r>
      <w:r w:rsidR="0069218C" w:rsidRPr="0069218C">
        <w:rPr>
          <w:bCs/>
          <w:lang w:val="es-SV"/>
        </w:rPr>
        <w:t>0 millones, con un incremento respecto a 2018, de $310</w:t>
      </w:r>
      <w:r w:rsidR="00FE7D1B">
        <w:rPr>
          <w:bCs/>
          <w:lang w:val="es-SV"/>
        </w:rPr>
        <w:t>,</w:t>
      </w:r>
      <w:r w:rsidR="0069218C" w:rsidRPr="0069218C">
        <w:rPr>
          <w:bCs/>
          <w:lang w:val="es-SV"/>
        </w:rPr>
        <w:t>7 millones, como producto de aumentos en los gastos corrientes de $318</w:t>
      </w:r>
      <w:r w:rsidR="00294EA4">
        <w:rPr>
          <w:bCs/>
          <w:lang w:val="es-SV"/>
        </w:rPr>
        <w:t>,</w:t>
      </w:r>
      <w:r w:rsidR="0069218C" w:rsidRPr="0069218C">
        <w:rPr>
          <w:bCs/>
          <w:lang w:val="es-SV"/>
        </w:rPr>
        <w:t>1 millones y una disminución del gasto de capital de $7</w:t>
      </w:r>
      <w:r w:rsidR="00294EA4">
        <w:rPr>
          <w:bCs/>
          <w:lang w:val="es-SV"/>
        </w:rPr>
        <w:t>,</w:t>
      </w:r>
      <w:r w:rsidR="0069218C" w:rsidRPr="0069218C">
        <w:rPr>
          <w:bCs/>
          <w:lang w:val="es-SV"/>
        </w:rPr>
        <w:t>6 millones. El Gasto total representó en términos del PIB un 24</w:t>
      </w:r>
      <w:r w:rsidR="00294EA4">
        <w:rPr>
          <w:bCs/>
          <w:lang w:val="es-SV"/>
        </w:rPr>
        <w:t>,</w:t>
      </w:r>
      <w:r w:rsidR="0069218C" w:rsidRPr="0069218C">
        <w:rPr>
          <w:bCs/>
          <w:lang w:val="es-SV"/>
        </w:rPr>
        <w:t>8</w:t>
      </w:r>
      <w:r w:rsidR="001043C1">
        <w:rPr>
          <w:bCs/>
          <w:lang w:val="es-SV"/>
        </w:rPr>
        <w:t> %</w:t>
      </w:r>
      <w:r w:rsidR="0069218C" w:rsidRPr="0069218C">
        <w:rPr>
          <w:bCs/>
          <w:lang w:val="es-SV"/>
        </w:rPr>
        <w:t>, mayor en 0</w:t>
      </w:r>
      <w:r w:rsidR="00294EA4">
        <w:rPr>
          <w:bCs/>
          <w:lang w:val="es-SV"/>
        </w:rPr>
        <w:t>,</w:t>
      </w:r>
      <w:r w:rsidR="0069218C" w:rsidRPr="0069218C">
        <w:rPr>
          <w:bCs/>
          <w:lang w:val="es-SV"/>
        </w:rPr>
        <w:t xml:space="preserve">6 puntos porcentuales al resultado obtenido del año anterior. </w:t>
      </w:r>
    </w:p>
    <w:p w14:paraId="767646B8" w14:textId="5765B693" w:rsidR="001145BC" w:rsidRDefault="0069218C" w:rsidP="0069218C">
      <w:pPr>
        <w:pStyle w:val="SingleTxtG"/>
        <w:rPr>
          <w:b/>
          <w:bCs/>
          <w:lang w:val="es-SV"/>
        </w:rPr>
      </w:pPr>
      <w:r w:rsidRPr="0069218C">
        <w:rPr>
          <w:b/>
          <w:bCs/>
          <w:lang w:val="es-SV"/>
        </w:rPr>
        <w:t>Evolución del Gasto Público Total del SPNF 2009-2019</w:t>
      </w:r>
    </w:p>
    <w:p w14:paraId="3283E9F8" w14:textId="77777777" w:rsidR="0069218C" w:rsidRPr="0069218C" w:rsidRDefault="0069218C" w:rsidP="0069218C">
      <w:pPr>
        <w:pStyle w:val="SingleTxtG"/>
        <w:rPr>
          <w:bCs/>
          <w:lang w:val="es-SV"/>
        </w:rPr>
      </w:pPr>
      <w:r w:rsidRPr="0069218C">
        <w:rPr>
          <w:bCs/>
          <w:noProof/>
          <w:lang w:val="en-GB" w:eastAsia="en-GB"/>
        </w:rPr>
        <w:drawing>
          <wp:inline distT="0" distB="0" distL="0" distR="0" wp14:anchorId="6058B871" wp14:editId="46A8B233">
            <wp:extent cx="4799707" cy="240982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42468" t="40821" r="24038" b="23362"/>
                    <a:stretch>
                      <a:fillRect/>
                    </a:stretch>
                  </pic:blipFill>
                  <pic:spPr bwMode="auto">
                    <a:xfrm>
                      <a:off x="0" y="0"/>
                      <a:ext cx="4812778" cy="2416388"/>
                    </a:xfrm>
                    <a:prstGeom prst="rect">
                      <a:avLst/>
                    </a:prstGeom>
                    <a:noFill/>
                    <a:ln w="9525">
                      <a:noFill/>
                      <a:miter lim="800000"/>
                      <a:headEnd/>
                      <a:tailEnd/>
                    </a:ln>
                  </pic:spPr>
                </pic:pic>
              </a:graphicData>
            </a:graphic>
          </wp:inline>
        </w:drawing>
      </w:r>
    </w:p>
    <w:p w14:paraId="09B3A2F1" w14:textId="64EF425B" w:rsidR="001145BC" w:rsidRDefault="00C44B04" w:rsidP="001C2C73">
      <w:pPr>
        <w:pStyle w:val="SingleTxtG"/>
        <w:tabs>
          <w:tab w:val="clear" w:pos="1701"/>
          <w:tab w:val="clear" w:pos="2268"/>
          <w:tab w:val="clear" w:pos="2835"/>
        </w:tabs>
        <w:spacing w:before="120"/>
        <w:rPr>
          <w:bCs/>
          <w:lang w:val="es-SV"/>
        </w:rPr>
      </w:pPr>
      <w:r>
        <w:rPr>
          <w:bCs/>
          <w:lang w:val="es-SV"/>
        </w:rPr>
        <w:t>24.</w:t>
      </w:r>
      <w:r>
        <w:rPr>
          <w:bCs/>
          <w:lang w:val="es-SV"/>
        </w:rPr>
        <w:tab/>
      </w:r>
      <w:r w:rsidR="0069218C" w:rsidRPr="0069218C">
        <w:rPr>
          <w:bCs/>
          <w:lang w:val="es-SV"/>
        </w:rPr>
        <w:t>f</w:t>
      </w:r>
      <w:r w:rsidR="001878DA">
        <w:rPr>
          <w:bCs/>
          <w:lang w:val="es-SV"/>
        </w:rPr>
        <w:t>)</w:t>
      </w:r>
      <w:r w:rsidR="00E73FAF">
        <w:rPr>
          <w:bCs/>
          <w:lang w:val="es-SV"/>
        </w:rPr>
        <w:t xml:space="preserve">: </w:t>
      </w:r>
      <w:r w:rsidR="0069218C" w:rsidRPr="0069218C">
        <w:rPr>
          <w:bCs/>
          <w:lang w:val="es-SV"/>
        </w:rPr>
        <w:t>Para pelear el impacto económico de la pandemia, se ejecutaron un conjunto de medidas; como la suspensión temporal del pago de servicios de agua potable, electricidad, y telecomunicaciones y la suspensión de desconexión del servicio de agua potable mientras duro la emergencia; una transferencia de US$300 a casi 1,5 millones de familias vulnerables; un bono mensual de US$150 a los empleados públicos esenciales y; la prórroga del pago del impuesto sobre la renta del ejercicio 2019, se brind</w:t>
      </w:r>
      <w:r w:rsidR="00FE7D1B">
        <w:rPr>
          <w:bCs/>
          <w:lang w:val="es-SV"/>
        </w:rPr>
        <w:t>ó</w:t>
      </w:r>
      <w:r w:rsidR="0069218C" w:rsidRPr="0069218C">
        <w:rPr>
          <w:bCs/>
          <w:lang w:val="es-SV"/>
        </w:rPr>
        <w:t xml:space="preserve"> un alivio tributario temporal (pagos diferidos) y focalizado a las personas y empresas que se vieron afectadas por la emergencia, el congelamiento de los pagos de alquileres comerciales durante tres meses, el no cobro de los créditos hipotecarios, personales, tarjetas de crédito, capital de trabajo y de emprendimientos no aplicando moras, multas o intereses. </w:t>
      </w:r>
    </w:p>
    <w:p w14:paraId="4B7EB4D7" w14:textId="41082711" w:rsidR="001145BC" w:rsidRDefault="00C44B04" w:rsidP="001C2C73">
      <w:pPr>
        <w:pStyle w:val="SingleTxtG"/>
        <w:tabs>
          <w:tab w:val="clear" w:pos="1701"/>
          <w:tab w:val="clear" w:pos="2268"/>
          <w:tab w:val="clear" w:pos="2835"/>
        </w:tabs>
        <w:rPr>
          <w:bCs/>
          <w:lang w:val="es-SV"/>
        </w:rPr>
      </w:pPr>
      <w:r>
        <w:rPr>
          <w:bCs/>
          <w:lang w:val="es-SV"/>
        </w:rPr>
        <w:t>25.</w:t>
      </w:r>
      <w:r>
        <w:rPr>
          <w:bCs/>
          <w:lang w:val="es-SV"/>
        </w:rPr>
        <w:tab/>
      </w:r>
      <w:r w:rsidR="0069218C" w:rsidRPr="0069218C">
        <w:rPr>
          <w:bCs/>
          <w:lang w:val="es-SV"/>
        </w:rPr>
        <w:t xml:space="preserve">El Estado, consiente que la transparencia y el acceso a la información pública son condiciones básicas para el fortalecimiento de las instituciones públicas, la democracia y la </w:t>
      </w:r>
      <w:r w:rsidR="0069218C" w:rsidRPr="0069218C">
        <w:rPr>
          <w:bCs/>
          <w:lang w:val="es-SV"/>
        </w:rPr>
        <w:lastRenderedPageBreak/>
        <w:t>plena vigencia del Estado de derecho, cuenta con una Ley y un Instituto de Acceso a la Información Pública.</w:t>
      </w:r>
      <w:r w:rsidR="009C4946">
        <w:rPr>
          <w:bCs/>
          <w:lang w:val="es-SV"/>
        </w:rPr>
        <w:t xml:space="preserve"> </w:t>
      </w:r>
    </w:p>
    <w:p w14:paraId="56EC8C46" w14:textId="6C7E36C5" w:rsidR="001145BC" w:rsidRDefault="00C44B04" w:rsidP="001C2C73">
      <w:pPr>
        <w:pStyle w:val="SingleTxtG"/>
        <w:tabs>
          <w:tab w:val="clear" w:pos="1701"/>
          <w:tab w:val="clear" w:pos="2268"/>
          <w:tab w:val="clear" w:pos="2835"/>
        </w:tabs>
        <w:rPr>
          <w:bCs/>
          <w:lang w:val="es-SV"/>
        </w:rPr>
      </w:pPr>
      <w:r>
        <w:rPr>
          <w:bCs/>
          <w:lang w:val="es-SV"/>
        </w:rPr>
        <w:t>26.</w:t>
      </w:r>
      <w:r>
        <w:rPr>
          <w:bCs/>
          <w:lang w:val="es-SV"/>
        </w:rPr>
        <w:tab/>
      </w:r>
      <w:r w:rsidR="0069218C" w:rsidRPr="0069218C">
        <w:rPr>
          <w:bCs/>
          <w:lang w:val="es-SV"/>
        </w:rPr>
        <w:t>Al tomar posesión el Gobierno del Presidente Nayib Bukele, en junio de 2019, encontró un trabajo gubernamental poco activo, en el que la cultura del mínimo esfuerzo predominaba institucionalmente, con un aparato estatal en su mayoría obsoleto. Por ello, se realizó una profunda revisión del sistema institucional y se identificó la necesidad de realizar una reestructuración de éstas.</w:t>
      </w:r>
    </w:p>
    <w:p w14:paraId="4BCE300C" w14:textId="7DD8428E" w:rsidR="001145BC" w:rsidRDefault="00C44B04" w:rsidP="001C2C73">
      <w:pPr>
        <w:pStyle w:val="SingleTxtG"/>
        <w:tabs>
          <w:tab w:val="clear" w:pos="1701"/>
          <w:tab w:val="clear" w:pos="2268"/>
          <w:tab w:val="clear" w:pos="2835"/>
        </w:tabs>
        <w:rPr>
          <w:bCs/>
          <w:lang w:val="es-SV"/>
        </w:rPr>
      </w:pPr>
      <w:r>
        <w:rPr>
          <w:bCs/>
          <w:lang w:val="es-SV"/>
        </w:rPr>
        <w:t>27.</w:t>
      </w:r>
      <w:r>
        <w:rPr>
          <w:bCs/>
          <w:lang w:val="es-SV"/>
        </w:rPr>
        <w:tab/>
      </w:r>
      <w:r w:rsidR="0069218C" w:rsidRPr="0069218C">
        <w:rPr>
          <w:bCs/>
          <w:lang w:val="es-SV"/>
        </w:rPr>
        <w:t>Como parte de dicha reestructuración, se incorporó entre las funciones de la Secretaría Jurídica de la Presidencia la realización de gestiones que propicien la transparencia, la rendición de cuentas, la participación ciudadana en la gestión gubernamental, así como organizar la Unidad de Acceso a la Información Pública y coordinar a todas las Unidades de Acceso a la Información Pública del Órgano Ejecutivo.</w:t>
      </w:r>
    </w:p>
    <w:p w14:paraId="4016154D" w14:textId="1F904C9F" w:rsidR="001145BC" w:rsidRDefault="00C44B04" w:rsidP="001C2C73">
      <w:pPr>
        <w:pStyle w:val="SingleTxtG"/>
        <w:tabs>
          <w:tab w:val="clear" w:pos="1701"/>
          <w:tab w:val="clear" w:pos="2268"/>
          <w:tab w:val="clear" w:pos="2835"/>
        </w:tabs>
        <w:rPr>
          <w:bCs/>
          <w:lang w:val="es-SV"/>
        </w:rPr>
      </w:pPr>
      <w:r>
        <w:rPr>
          <w:bCs/>
          <w:lang w:val="es-SV"/>
        </w:rPr>
        <w:t>28.</w:t>
      </w:r>
      <w:r>
        <w:rPr>
          <w:bCs/>
          <w:lang w:val="es-SV"/>
        </w:rPr>
        <w:tab/>
      </w:r>
      <w:r w:rsidR="0069218C" w:rsidRPr="0069218C">
        <w:rPr>
          <w:bCs/>
          <w:lang w:val="es-SV"/>
        </w:rPr>
        <w:t xml:space="preserve">Adicionalmente, se reformó la Ley Orgánica de la Policía Nacional Civil para que la Subdirección de Investigaciones contra la Corrupción tuviera bajo su responsabilidad funcional las siguientes divisiones: Especializada de Investigación contra la Corrupción; Análisis de Información sobre la Corrupción; Investigación Patrimonial; Extinción de Dominio y Delitos Financieros y la Unidad Técnicas Operativas. </w:t>
      </w:r>
    </w:p>
    <w:p w14:paraId="2A3BF5C1" w14:textId="15209F69" w:rsidR="001145BC" w:rsidRDefault="00C44B04" w:rsidP="001C2C73">
      <w:pPr>
        <w:pStyle w:val="SingleTxtG"/>
        <w:tabs>
          <w:tab w:val="clear" w:pos="1701"/>
          <w:tab w:val="clear" w:pos="2268"/>
          <w:tab w:val="clear" w:pos="2835"/>
        </w:tabs>
        <w:rPr>
          <w:bCs/>
          <w:lang w:val="es-SV"/>
        </w:rPr>
      </w:pPr>
      <w:r>
        <w:rPr>
          <w:bCs/>
          <w:lang w:val="es-SV"/>
        </w:rPr>
        <w:t>29.</w:t>
      </w:r>
      <w:r>
        <w:rPr>
          <w:bCs/>
          <w:lang w:val="es-SV"/>
        </w:rPr>
        <w:tab/>
      </w:r>
      <w:r w:rsidR="0069218C" w:rsidRPr="0069218C">
        <w:rPr>
          <w:bCs/>
          <w:lang w:val="es-SV"/>
        </w:rPr>
        <w:t xml:space="preserve">Se cuenta con una reforma al Código Procesal Penal en su artículo 32 que contempla la imprescriptibilidad de los delitos de corrupción, aprobado el 7 de septiembre de 2021. Asimismo, se ha conformado al interior de la Asamblea Legislativa una “Comisión Especial para investigar la entrega de sobresueldos provenientes de fondos públicos de Casa Presidencial a funcionarios, personas naturales o jurídicas de gobiernos anteriores”. </w:t>
      </w:r>
    </w:p>
    <w:p w14:paraId="594FAB3A" w14:textId="30A06A74" w:rsidR="001145BC" w:rsidRDefault="00C44B04" w:rsidP="001C2C73">
      <w:pPr>
        <w:pStyle w:val="SingleTxtG"/>
        <w:tabs>
          <w:tab w:val="clear" w:pos="1701"/>
          <w:tab w:val="clear" w:pos="2268"/>
          <w:tab w:val="clear" w:pos="2835"/>
        </w:tabs>
        <w:rPr>
          <w:bCs/>
          <w:lang w:val="es-SV"/>
        </w:rPr>
      </w:pPr>
      <w:r>
        <w:rPr>
          <w:bCs/>
          <w:lang w:val="es-SV"/>
        </w:rPr>
        <w:t>30.</w:t>
      </w:r>
      <w:r>
        <w:rPr>
          <w:bCs/>
          <w:lang w:val="es-SV"/>
        </w:rPr>
        <w:tab/>
      </w:r>
      <w:r w:rsidR="0069218C" w:rsidRPr="0069218C">
        <w:rPr>
          <w:bCs/>
          <w:lang w:val="es-SV"/>
        </w:rPr>
        <w:t xml:space="preserve">Por lo tanto, contamos con instituciones especializadas de control, como la FGR, el Tribunal de Ética Gubernamental, la Corte de Cuentas, Sección de Probidad de la CSJ y el Instituto de Acceso a la Información Pública, entre otras, cuyas atribuciones legales y competencias están relacionadas con la garantía del acceso a la información, la transparencia en la administración y el combate a la corrupción. </w:t>
      </w:r>
    </w:p>
    <w:p w14:paraId="6068C029" w14:textId="77777777" w:rsidR="001145BC" w:rsidRPr="009C4946" w:rsidRDefault="0069218C" w:rsidP="009C4946">
      <w:pPr>
        <w:pStyle w:val="H23G"/>
        <w:ind w:firstLine="0"/>
        <w:rPr>
          <w:lang w:val="es-MX"/>
        </w:rPr>
      </w:pPr>
      <w:r w:rsidRPr="009C4946">
        <w:rPr>
          <w:lang w:val="es-MX"/>
        </w:rPr>
        <w:t>No Discriminación (artículo 2, párrafo 2)</w:t>
      </w:r>
    </w:p>
    <w:p w14:paraId="2DA0DAE8" w14:textId="79118822" w:rsidR="0069218C" w:rsidRPr="0069218C" w:rsidRDefault="00C44B04" w:rsidP="001C2C73">
      <w:pPr>
        <w:pStyle w:val="SingleTxtG"/>
        <w:tabs>
          <w:tab w:val="clear" w:pos="1701"/>
          <w:tab w:val="clear" w:pos="2268"/>
          <w:tab w:val="clear" w:pos="2835"/>
        </w:tabs>
        <w:rPr>
          <w:bCs/>
          <w:lang w:val="es-SV"/>
        </w:rPr>
      </w:pPr>
      <w:r w:rsidRPr="0069218C">
        <w:rPr>
          <w:bCs/>
          <w:lang w:val="es-SV"/>
        </w:rPr>
        <w:t>31.</w:t>
      </w:r>
      <w:r w:rsidRPr="0069218C">
        <w:rPr>
          <w:bCs/>
          <w:lang w:val="es-SV"/>
        </w:rPr>
        <w:tab/>
      </w:r>
      <w:r w:rsidR="0069218C" w:rsidRPr="0069218C">
        <w:rPr>
          <w:bCs/>
          <w:lang w:val="es-SV"/>
        </w:rPr>
        <w:t>La Ley Especial de Inclusión de las Personas con Discapacidad en vigor a partir del 1 de enero de 2021 derogó la Ley de Equiparación de Oportunidades para las Personas con Discapacidad. Con esta nueva Ley se dio paso a la reestructuración del Consejo Nacional para la Inclusión de las Personas con Discapacidad.</w:t>
      </w:r>
    </w:p>
    <w:p w14:paraId="0EFAD358" w14:textId="56761F4C" w:rsidR="0069218C" w:rsidRPr="0069218C" w:rsidRDefault="00C44B04" w:rsidP="001C2C73">
      <w:pPr>
        <w:pStyle w:val="SingleTxtG"/>
        <w:tabs>
          <w:tab w:val="clear" w:pos="1701"/>
          <w:tab w:val="clear" w:pos="2268"/>
          <w:tab w:val="clear" w:pos="2835"/>
        </w:tabs>
        <w:rPr>
          <w:bCs/>
          <w:lang w:val="es-SV"/>
        </w:rPr>
      </w:pPr>
      <w:r w:rsidRPr="0069218C">
        <w:rPr>
          <w:bCs/>
          <w:lang w:val="es-SV"/>
        </w:rPr>
        <w:t>32.</w:t>
      </w:r>
      <w:r w:rsidRPr="0069218C">
        <w:rPr>
          <w:bCs/>
          <w:lang w:val="es-SV"/>
        </w:rPr>
        <w:tab/>
      </w:r>
      <w:r w:rsidR="0069218C" w:rsidRPr="0069218C">
        <w:rPr>
          <w:bCs/>
          <w:lang w:val="es-SV"/>
        </w:rPr>
        <w:t xml:space="preserve">El Banco de Desarrollo de El Salvador, en el marco de la Pandemia, otorgó subsidios no reembolsables bajo el programa de Fidecomiso para la Recuperación Económica de las Empresas Salvadoreñas, FIREMPRESA, a 285 personas con discapacidad por montos máximos de </w:t>
      </w:r>
      <w:r w:rsidR="00293A18">
        <w:rPr>
          <w:bCs/>
          <w:lang w:val="es-SV"/>
        </w:rPr>
        <w:t>US</w:t>
      </w:r>
      <w:r w:rsidR="0069218C" w:rsidRPr="0069218C">
        <w:rPr>
          <w:bCs/>
          <w:lang w:val="es-SV"/>
        </w:rPr>
        <w:t>$1</w:t>
      </w:r>
      <w:r w:rsidR="00B27C05">
        <w:rPr>
          <w:bCs/>
          <w:lang w:val="es-SV"/>
        </w:rPr>
        <w:t>.</w:t>
      </w:r>
      <w:r w:rsidR="0069218C" w:rsidRPr="0069218C">
        <w:rPr>
          <w:bCs/>
          <w:lang w:val="es-SV"/>
        </w:rPr>
        <w:t>500</w:t>
      </w:r>
      <w:r w:rsidR="00B27C05">
        <w:rPr>
          <w:bCs/>
          <w:lang w:val="es-SV"/>
        </w:rPr>
        <w:t>,</w:t>
      </w:r>
      <w:r w:rsidR="0069218C" w:rsidRPr="0069218C">
        <w:rPr>
          <w:bCs/>
          <w:lang w:val="es-SV"/>
        </w:rPr>
        <w:t>00 dólares para el fortalecimiento de negocios o actividades productivas</w:t>
      </w:r>
      <w:r w:rsidR="00B27C05">
        <w:rPr>
          <w:bCs/>
          <w:lang w:val="es-SV"/>
        </w:rPr>
        <w:t>.</w:t>
      </w:r>
    </w:p>
    <w:p w14:paraId="478AA15F" w14:textId="7FA73912" w:rsidR="0069218C" w:rsidRPr="0069218C" w:rsidRDefault="00C44B04" w:rsidP="001C2C73">
      <w:pPr>
        <w:pStyle w:val="SingleTxtG"/>
        <w:tabs>
          <w:tab w:val="clear" w:pos="1701"/>
          <w:tab w:val="clear" w:pos="2268"/>
          <w:tab w:val="clear" w:pos="2835"/>
        </w:tabs>
        <w:rPr>
          <w:bCs/>
          <w:lang w:val="es-SV"/>
        </w:rPr>
      </w:pPr>
      <w:r w:rsidRPr="0069218C">
        <w:rPr>
          <w:bCs/>
          <w:lang w:val="es-SV"/>
        </w:rPr>
        <w:t>33.</w:t>
      </w:r>
      <w:r w:rsidRPr="0069218C">
        <w:rPr>
          <w:bCs/>
          <w:lang w:val="es-SV"/>
        </w:rPr>
        <w:tab/>
      </w:r>
      <w:r w:rsidR="0069218C" w:rsidRPr="0069218C">
        <w:rPr>
          <w:bCs/>
          <w:lang w:val="es-SV"/>
        </w:rPr>
        <w:t>El Instituto Salvadoreño de Rehabilitación Integral, ISRI, reporta acciones en el ámbito de la formación laboral de 2019 y 2020.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3"/>
        <w:gridCol w:w="2518"/>
        <w:gridCol w:w="2579"/>
      </w:tblGrid>
      <w:tr w:rsidR="001145BC" w:rsidRPr="001145BC" w14:paraId="1F09FCED" w14:textId="77777777" w:rsidTr="001C2C73">
        <w:trPr>
          <w:tblHeader/>
        </w:trPr>
        <w:tc>
          <w:tcPr>
            <w:tcW w:w="7370" w:type="dxa"/>
            <w:gridSpan w:val="3"/>
            <w:tcBorders>
              <w:top w:val="single" w:sz="4" w:space="0" w:color="auto"/>
              <w:bottom w:val="single" w:sz="4" w:space="0" w:color="auto"/>
            </w:tcBorders>
            <w:shd w:val="clear" w:color="auto" w:fill="auto"/>
            <w:vAlign w:val="bottom"/>
          </w:tcPr>
          <w:p w14:paraId="2C5DA184" w14:textId="77777777" w:rsidR="0069218C" w:rsidRPr="001145BC" w:rsidRDefault="0069218C" w:rsidP="001C2C73">
            <w:pPr>
              <w:pStyle w:val="SingleTxtG"/>
              <w:tabs>
                <w:tab w:val="clear" w:pos="1701"/>
                <w:tab w:val="clear" w:pos="2268"/>
                <w:tab w:val="clear" w:pos="2835"/>
              </w:tabs>
              <w:spacing w:before="80" w:after="80" w:line="200" w:lineRule="exact"/>
              <w:ind w:left="0" w:right="0"/>
              <w:jc w:val="center"/>
              <w:rPr>
                <w:bCs/>
                <w:i/>
                <w:sz w:val="16"/>
                <w:lang w:val="es-SV"/>
              </w:rPr>
            </w:pPr>
            <w:r w:rsidRPr="001145BC">
              <w:rPr>
                <w:bCs/>
                <w:i/>
                <w:sz w:val="16"/>
                <w:lang w:val="es-SV"/>
              </w:rPr>
              <w:t>Talleres de formación laboral</w:t>
            </w:r>
          </w:p>
        </w:tc>
      </w:tr>
      <w:tr w:rsidR="001145BC" w:rsidRPr="001145BC" w14:paraId="1CDEDCA5" w14:textId="77777777" w:rsidTr="001C2C73">
        <w:tc>
          <w:tcPr>
            <w:tcW w:w="2273" w:type="dxa"/>
            <w:tcBorders>
              <w:top w:val="single" w:sz="4" w:space="0" w:color="auto"/>
              <w:bottom w:val="single" w:sz="12" w:space="0" w:color="auto"/>
            </w:tcBorders>
            <w:shd w:val="clear" w:color="auto" w:fill="auto"/>
          </w:tcPr>
          <w:p w14:paraId="5D38DDDF" w14:textId="77777777" w:rsidR="0069218C" w:rsidRPr="001C2C73" w:rsidRDefault="0069218C" w:rsidP="001C2C73">
            <w:pPr>
              <w:pStyle w:val="SingleTxtG"/>
              <w:tabs>
                <w:tab w:val="clear" w:pos="1701"/>
                <w:tab w:val="clear" w:pos="2268"/>
                <w:tab w:val="clear" w:pos="2835"/>
              </w:tabs>
              <w:spacing w:before="80" w:after="80" w:line="200" w:lineRule="exact"/>
              <w:ind w:left="0" w:right="0"/>
              <w:jc w:val="left"/>
              <w:rPr>
                <w:bCs/>
                <w:i/>
                <w:sz w:val="16"/>
                <w:lang w:val="es-SV"/>
              </w:rPr>
            </w:pPr>
            <w:r w:rsidRPr="001C2C73">
              <w:rPr>
                <w:bCs/>
                <w:i/>
                <w:sz w:val="16"/>
                <w:lang w:val="es-SV"/>
              </w:rPr>
              <w:t>Año</w:t>
            </w:r>
          </w:p>
        </w:tc>
        <w:tc>
          <w:tcPr>
            <w:tcW w:w="2518" w:type="dxa"/>
            <w:tcBorders>
              <w:top w:val="single" w:sz="4" w:space="0" w:color="auto"/>
              <w:bottom w:val="single" w:sz="12" w:space="0" w:color="auto"/>
            </w:tcBorders>
            <w:shd w:val="clear" w:color="auto" w:fill="auto"/>
          </w:tcPr>
          <w:p w14:paraId="69A4A2AE" w14:textId="77777777" w:rsidR="0069218C" w:rsidRPr="001C2C73" w:rsidRDefault="0069218C" w:rsidP="001C2C73">
            <w:pPr>
              <w:pStyle w:val="SingleTxtG"/>
              <w:tabs>
                <w:tab w:val="clear" w:pos="1701"/>
                <w:tab w:val="clear" w:pos="2268"/>
                <w:tab w:val="clear" w:pos="2835"/>
              </w:tabs>
              <w:spacing w:before="80" w:after="80" w:line="200" w:lineRule="exact"/>
              <w:ind w:left="0" w:right="0"/>
              <w:jc w:val="right"/>
              <w:rPr>
                <w:bCs/>
                <w:i/>
                <w:sz w:val="16"/>
                <w:lang w:val="es-SV"/>
              </w:rPr>
            </w:pPr>
            <w:r w:rsidRPr="001C2C73">
              <w:rPr>
                <w:bCs/>
                <w:i/>
                <w:sz w:val="16"/>
                <w:lang w:val="es-SV"/>
              </w:rPr>
              <w:t xml:space="preserve">Mujeres </w:t>
            </w:r>
          </w:p>
        </w:tc>
        <w:tc>
          <w:tcPr>
            <w:tcW w:w="2579" w:type="dxa"/>
            <w:tcBorders>
              <w:top w:val="single" w:sz="4" w:space="0" w:color="auto"/>
              <w:bottom w:val="single" w:sz="12" w:space="0" w:color="auto"/>
            </w:tcBorders>
            <w:shd w:val="clear" w:color="auto" w:fill="auto"/>
          </w:tcPr>
          <w:p w14:paraId="6C01D1EA" w14:textId="77777777" w:rsidR="0069218C" w:rsidRPr="001C2C73" w:rsidRDefault="0069218C" w:rsidP="001C2C73">
            <w:pPr>
              <w:pStyle w:val="SingleTxtG"/>
              <w:tabs>
                <w:tab w:val="clear" w:pos="1701"/>
                <w:tab w:val="clear" w:pos="2268"/>
                <w:tab w:val="clear" w:pos="2835"/>
              </w:tabs>
              <w:spacing w:before="80" w:after="80" w:line="200" w:lineRule="exact"/>
              <w:ind w:left="0" w:right="0"/>
              <w:jc w:val="right"/>
              <w:rPr>
                <w:bCs/>
                <w:i/>
                <w:sz w:val="16"/>
                <w:lang w:val="es-SV"/>
              </w:rPr>
            </w:pPr>
            <w:r w:rsidRPr="001C2C73">
              <w:rPr>
                <w:bCs/>
                <w:i/>
                <w:sz w:val="16"/>
                <w:lang w:val="es-SV"/>
              </w:rPr>
              <w:t>Hombres</w:t>
            </w:r>
          </w:p>
        </w:tc>
      </w:tr>
      <w:tr w:rsidR="001145BC" w:rsidRPr="001145BC" w14:paraId="463CFDAD" w14:textId="77777777" w:rsidTr="001C2C73">
        <w:tc>
          <w:tcPr>
            <w:tcW w:w="2273" w:type="dxa"/>
            <w:tcBorders>
              <w:top w:val="single" w:sz="12" w:space="0" w:color="auto"/>
            </w:tcBorders>
            <w:shd w:val="clear" w:color="auto" w:fill="auto"/>
          </w:tcPr>
          <w:p w14:paraId="2CC3694E"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2019</w:t>
            </w:r>
          </w:p>
        </w:tc>
        <w:tc>
          <w:tcPr>
            <w:tcW w:w="2518" w:type="dxa"/>
            <w:tcBorders>
              <w:top w:val="single" w:sz="12" w:space="0" w:color="auto"/>
            </w:tcBorders>
            <w:shd w:val="clear" w:color="auto" w:fill="auto"/>
          </w:tcPr>
          <w:p w14:paraId="5FAB9420" w14:textId="77777777" w:rsidR="0069218C" w:rsidRPr="001145BC" w:rsidRDefault="0069218C" w:rsidP="001C2C73">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44</w:t>
            </w:r>
          </w:p>
        </w:tc>
        <w:tc>
          <w:tcPr>
            <w:tcW w:w="2579" w:type="dxa"/>
            <w:tcBorders>
              <w:top w:val="single" w:sz="12" w:space="0" w:color="auto"/>
            </w:tcBorders>
            <w:shd w:val="clear" w:color="auto" w:fill="auto"/>
          </w:tcPr>
          <w:p w14:paraId="545E71B5" w14:textId="77777777" w:rsidR="0069218C" w:rsidRPr="001145BC" w:rsidRDefault="0069218C" w:rsidP="001C2C73">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72</w:t>
            </w:r>
          </w:p>
        </w:tc>
      </w:tr>
      <w:tr w:rsidR="001145BC" w:rsidRPr="001145BC" w14:paraId="5009BBE1" w14:textId="77777777" w:rsidTr="009C4946">
        <w:tc>
          <w:tcPr>
            <w:tcW w:w="2273" w:type="dxa"/>
            <w:tcBorders>
              <w:bottom w:val="single" w:sz="12" w:space="0" w:color="auto"/>
            </w:tcBorders>
            <w:shd w:val="clear" w:color="auto" w:fill="auto"/>
          </w:tcPr>
          <w:p w14:paraId="2CDCB648"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2020</w:t>
            </w:r>
          </w:p>
        </w:tc>
        <w:tc>
          <w:tcPr>
            <w:tcW w:w="2518" w:type="dxa"/>
            <w:tcBorders>
              <w:bottom w:val="single" w:sz="12" w:space="0" w:color="auto"/>
            </w:tcBorders>
            <w:shd w:val="clear" w:color="auto" w:fill="auto"/>
          </w:tcPr>
          <w:p w14:paraId="2A49B93B" w14:textId="77777777" w:rsidR="0069218C" w:rsidRPr="001145BC" w:rsidRDefault="0069218C" w:rsidP="001C2C73">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20</w:t>
            </w:r>
          </w:p>
        </w:tc>
        <w:tc>
          <w:tcPr>
            <w:tcW w:w="2579" w:type="dxa"/>
            <w:tcBorders>
              <w:bottom w:val="single" w:sz="12" w:space="0" w:color="auto"/>
            </w:tcBorders>
            <w:shd w:val="clear" w:color="auto" w:fill="auto"/>
          </w:tcPr>
          <w:p w14:paraId="6953D470" w14:textId="77777777" w:rsidR="0069218C" w:rsidRPr="001145BC" w:rsidRDefault="0069218C" w:rsidP="001C2C73">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33</w:t>
            </w:r>
          </w:p>
        </w:tc>
      </w:tr>
    </w:tbl>
    <w:p w14:paraId="207995DC" w14:textId="77777777" w:rsidR="0069218C" w:rsidRPr="0069218C" w:rsidRDefault="0069218C" w:rsidP="0069218C">
      <w:pPr>
        <w:pStyle w:val="SingleTxtG"/>
        <w:rPr>
          <w:bCs/>
          <w:lang w:val="es-SV"/>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956"/>
        <w:gridCol w:w="2295"/>
      </w:tblGrid>
      <w:tr w:rsidR="001145BC" w:rsidRPr="001145BC" w14:paraId="1D33A032" w14:textId="77777777" w:rsidTr="001C2C73">
        <w:trPr>
          <w:tblHeader/>
        </w:trPr>
        <w:tc>
          <w:tcPr>
            <w:tcW w:w="3119" w:type="dxa"/>
            <w:tcBorders>
              <w:top w:val="single" w:sz="4" w:space="0" w:color="auto"/>
              <w:bottom w:val="single" w:sz="12" w:space="0" w:color="auto"/>
            </w:tcBorders>
            <w:shd w:val="clear" w:color="auto" w:fill="auto"/>
            <w:vAlign w:val="bottom"/>
          </w:tcPr>
          <w:p w14:paraId="7376DAB5"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left"/>
              <w:rPr>
                <w:bCs/>
                <w:i/>
                <w:sz w:val="16"/>
                <w:lang w:val="es-SV"/>
              </w:rPr>
            </w:pPr>
            <w:r w:rsidRPr="001145BC">
              <w:rPr>
                <w:bCs/>
                <w:i/>
                <w:sz w:val="16"/>
                <w:lang w:val="es-SV"/>
              </w:rPr>
              <w:t>Medidas realizadas</w:t>
            </w:r>
          </w:p>
        </w:tc>
        <w:tc>
          <w:tcPr>
            <w:tcW w:w="1956" w:type="dxa"/>
            <w:tcBorders>
              <w:top w:val="single" w:sz="4" w:space="0" w:color="auto"/>
              <w:bottom w:val="single" w:sz="12" w:space="0" w:color="auto"/>
            </w:tcBorders>
            <w:shd w:val="clear" w:color="auto" w:fill="auto"/>
            <w:vAlign w:val="bottom"/>
          </w:tcPr>
          <w:p w14:paraId="31B13E07"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s-SV"/>
              </w:rPr>
            </w:pPr>
            <w:r w:rsidRPr="001145BC">
              <w:rPr>
                <w:bCs/>
                <w:i/>
                <w:sz w:val="16"/>
                <w:lang w:val="es-SV"/>
              </w:rPr>
              <w:t>2019</w:t>
            </w:r>
          </w:p>
        </w:tc>
        <w:tc>
          <w:tcPr>
            <w:tcW w:w="2295" w:type="dxa"/>
            <w:tcBorders>
              <w:top w:val="single" w:sz="4" w:space="0" w:color="auto"/>
              <w:bottom w:val="single" w:sz="12" w:space="0" w:color="auto"/>
            </w:tcBorders>
            <w:shd w:val="clear" w:color="auto" w:fill="auto"/>
            <w:vAlign w:val="bottom"/>
          </w:tcPr>
          <w:p w14:paraId="77A55826"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s-SV"/>
              </w:rPr>
            </w:pPr>
            <w:r w:rsidRPr="001145BC">
              <w:rPr>
                <w:bCs/>
                <w:i/>
                <w:sz w:val="16"/>
                <w:lang w:val="es-SV"/>
              </w:rPr>
              <w:t>2020</w:t>
            </w:r>
          </w:p>
        </w:tc>
      </w:tr>
      <w:tr w:rsidR="001145BC" w:rsidRPr="001145BC" w14:paraId="4DDAB2FE" w14:textId="77777777" w:rsidTr="001C2C73">
        <w:tc>
          <w:tcPr>
            <w:tcW w:w="3119" w:type="dxa"/>
            <w:tcBorders>
              <w:top w:val="single" w:sz="12" w:space="0" w:color="auto"/>
            </w:tcBorders>
            <w:shd w:val="clear" w:color="auto" w:fill="auto"/>
          </w:tcPr>
          <w:p w14:paraId="60955157"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Visitas de promoción laboral a empresas</w:t>
            </w:r>
          </w:p>
        </w:tc>
        <w:tc>
          <w:tcPr>
            <w:tcW w:w="1956" w:type="dxa"/>
            <w:tcBorders>
              <w:top w:val="single" w:sz="12" w:space="0" w:color="auto"/>
            </w:tcBorders>
            <w:shd w:val="clear" w:color="auto" w:fill="auto"/>
            <w:vAlign w:val="bottom"/>
          </w:tcPr>
          <w:p w14:paraId="5B5E52C4"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112</w:t>
            </w:r>
          </w:p>
        </w:tc>
        <w:tc>
          <w:tcPr>
            <w:tcW w:w="2295" w:type="dxa"/>
            <w:tcBorders>
              <w:top w:val="single" w:sz="12" w:space="0" w:color="auto"/>
            </w:tcBorders>
            <w:shd w:val="clear" w:color="auto" w:fill="auto"/>
            <w:vAlign w:val="bottom"/>
          </w:tcPr>
          <w:p w14:paraId="4C9A1314"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51</w:t>
            </w:r>
          </w:p>
        </w:tc>
      </w:tr>
      <w:tr w:rsidR="001145BC" w:rsidRPr="001145BC" w14:paraId="4422C83E" w14:textId="77777777" w:rsidTr="001C2C73">
        <w:tc>
          <w:tcPr>
            <w:tcW w:w="3119" w:type="dxa"/>
            <w:shd w:val="clear" w:color="auto" w:fill="auto"/>
          </w:tcPr>
          <w:p w14:paraId="5A11941C"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Seguimiento laboral</w:t>
            </w:r>
          </w:p>
        </w:tc>
        <w:tc>
          <w:tcPr>
            <w:tcW w:w="1956" w:type="dxa"/>
            <w:shd w:val="clear" w:color="auto" w:fill="auto"/>
            <w:vAlign w:val="bottom"/>
          </w:tcPr>
          <w:p w14:paraId="6F6BEE34"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103</w:t>
            </w:r>
          </w:p>
        </w:tc>
        <w:tc>
          <w:tcPr>
            <w:tcW w:w="2295" w:type="dxa"/>
            <w:shd w:val="clear" w:color="auto" w:fill="auto"/>
            <w:vAlign w:val="bottom"/>
          </w:tcPr>
          <w:p w14:paraId="1A9E40A5"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177</w:t>
            </w:r>
          </w:p>
        </w:tc>
      </w:tr>
      <w:tr w:rsidR="001145BC" w:rsidRPr="001145BC" w14:paraId="64371E27" w14:textId="77777777" w:rsidTr="001C2C73">
        <w:tc>
          <w:tcPr>
            <w:tcW w:w="3119" w:type="dxa"/>
            <w:tcBorders>
              <w:bottom w:val="single" w:sz="12" w:space="0" w:color="auto"/>
            </w:tcBorders>
            <w:shd w:val="clear" w:color="auto" w:fill="auto"/>
          </w:tcPr>
          <w:p w14:paraId="0568C540"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Inserción laboral</w:t>
            </w:r>
          </w:p>
        </w:tc>
        <w:tc>
          <w:tcPr>
            <w:tcW w:w="1956" w:type="dxa"/>
            <w:tcBorders>
              <w:bottom w:val="single" w:sz="12" w:space="0" w:color="auto"/>
            </w:tcBorders>
            <w:shd w:val="clear" w:color="auto" w:fill="auto"/>
            <w:vAlign w:val="bottom"/>
          </w:tcPr>
          <w:p w14:paraId="1F63C9BF"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45</w:t>
            </w:r>
          </w:p>
        </w:tc>
        <w:tc>
          <w:tcPr>
            <w:tcW w:w="2295" w:type="dxa"/>
            <w:tcBorders>
              <w:bottom w:val="single" w:sz="12" w:space="0" w:color="auto"/>
            </w:tcBorders>
            <w:shd w:val="clear" w:color="auto" w:fill="auto"/>
            <w:vAlign w:val="bottom"/>
          </w:tcPr>
          <w:p w14:paraId="523F5F48"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p>
        </w:tc>
      </w:tr>
    </w:tbl>
    <w:p w14:paraId="318CA592" w14:textId="2B47E19E" w:rsidR="001145BC" w:rsidRDefault="00C44B04" w:rsidP="001C2C73">
      <w:pPr>
        <w:pStyle w:val="SingleTxtG"/>
        <w:tabs>
          <w:tab w:val="clear" w:pos="1701"/>
          <w:tab w:val="clear" w:pos="2268"/>
          <w:tab w:val="clear" w:pos="2835"/>
        </w:tabs>
        <w:spacing w:before="240"/>
        <w:rPr>
          <w:bCs/>
          <w:lang w:val="es-SV"/>
        </w:rPr>
      </w:pPr>
      <w:r>
        <w:rPr>
          <w:bCs/>
          <w:lang w:val="es-SV"/>
        </w:rPr>
        <w:lastRenderedPageBreak/>
        <w:t>34.</w:t>
      </w:r>
      <w:r>
        <w:rPr>
          <w:bCs/>
          <w:lang w:val="es-SV"/>
        </w:rPr>
        <w:tab/>
      </w:r>
      <w:r w:rsidR="0069218C" w:rsidRPr="0069218C">
        <w:rPr>
          <w:bCs/>
          <w:lang w:val="es-SV"/>
        </w:rPr>
        <w:t>El Órgano Ejecutivo en su Reglamento Interno (RIOE), establece como competencias del Ministerio de Cultura y del Ministerio de Desarrollo Local, asumir lo relacionado a los derechos de las personas LGBTI; creando además la Unidad de Diversidad y Género, ejecutar</w:t>
      </w:r>
      <w:r w:rsidR="009C4946">
        <w:rPr>
          <w:bCs/>
          <w:lang w:val="es-SV"/>
        </w:rPr>
        <w:t xml:space="preserve"> </w:t>
      </w:r>
      <w:r w:rsidR="0069218C" w:rsidRPr="0069218C">
        <w:rPr>
          <w:bCs/>
          <w:lang w:val="es-SV"/>
        </w:rPr>
        <w:t>acciones para la promoción de la no discriminación basada en la orientación sexual e identidad y expresión de género, descritas en el Plan Operativo Quinquenal 2019-2024 en sus ejes 5 y 6 que corresponden a acciones interinstitucionales y territoriales de implementación de las medidas de no discriminación, lo cual permite tanto la divulgación como las alianzas para cumplir con lo establecido en los decretos ejecutivos 56 (2010) y 20 (2019), realizar procesos formativos y de instalación de capacidades para el respeto y la inclusión, del mismo modo, asesorar procesos para que se considere el enfoque de respeto.</w:t>
      </w:r>
    </w:p>
    <w:p w14:paraId="7BB89EFD" w14:textId="77777777" w:rsidR="0069218C" w:rsidRPr="009C4946" w:rsidRDefault="0069218C" w:rsidP="009C4946">
      <w:pPr>
        <w:pStyle w:val="H23G"/>
        <w:ind w:firstLine="0"/>
        <w:rPr>
          <w:lang w:val="es-MX"/>
        </w:rPr>
      </w:pPr>
      <w:r w:rsidRPr="009C4946">
        <w:rPr>
          <w:lang w:val="es-MX"/>
        </w:rPr>
        <w:t>Igualdad de derechos entre hombres y mujeres (art. 3)</w:t>
      </w:r>
    </w:p>
    <w:p w14:paraId="74B83EA7" w14:textId="0B1F780D" w:rsidR="001145BC" w:rsidRDefault="00C44B04" w:rsidP="001C2C73">
      <w:pPr>
        <w:pStyle w:val="SingleTxtG"/>
        <w:tabs>
          <w:tab w:val="clear" w:pos="1701"/>
          <w:tab w:val="clear" w:pos="2268"/>
          <w:tab w:val="clear" w:pos="2835"/>
        </w:tabs>
        <w:rPr>
          <w:bCs/>
          <w:lang w:val="es-SV"/>
        </w:rPr>
      </w:pPr>
      <w:r>
        <w:rPr>
          <w:bCs/>
          <w:lang w:val="es-SV"/>
        </w:rPr>
        <w:t>35.</w:t>
      </w:r>
      <w:r>
        <w:rPr>
          <w:bCs/>
          <w:lang w:val="es-SV"/>
        </w:rPr>
        <w:tab/>
      </w:r>
      <w:r w:rsidR="0069218C" w:rsidRPr="0069218C">
        <w:rPr>
          <w:bCs/>
          <w:lang w:val="es-SV"/>
        </w:rPr>
        <w:t>El ISDEMU cuenta con la Escuela de Formación para la Igualdad Sustantiva (EFIS)</w:t>
      </w:r>
      <w:r w:rsidR="0069218C" w:rsidRPr="0069218C">
        <w:rPr>
          <w:bCs/>
          <w:vertAlign w:val="superscript"/>
          <w:lang w:val="en-GB"/>
        </w:rPr>
        <w:footnoteReference w:id="3"/>
      </w:r>
      <w:r w:rsidR="0069218C" w:rsidRPr="0069218C">
        <w:rPr>
          <w:bCs/>
        </w:rPr>
        <w:t xml:space="preserve">, </w:t>
      </w:r>
      <w:r w:rsidR="0069218C" w:rsidRPr="0069218C">
        <w:rPr>
          <w:bCs/>
          <w:lang w:val="es-SV"/>
        </w:rPr>
        <w:t>de enero 2017 a diciembre 2020, la Unidad de Formación Especializada, capacito a más de 4</w:t>
      </w:r>
      <w:r w:rsidR="00FF61CE">
        <w:rPr>
          <w:bCs/>
          <w:lang w:val="es-SV"/>
        </w:rPr>
        <w:t>.</w:t>
      </w:r>
      <w:r w:rsidR="0069218C" w:rsidRPr="0069218C">
        <w:rPr>
          <w:bCs/>
          <w:lang w:val="es-SV"/>
        </w:rPr>
        <w:t>226 personas, (2</w:t>
      </w:r>
      <w:r w:rsidR="00FF61CE">
        <w:rPr>
          <w:bCs/>
          <w:lang w:val="es-SV"/>
        </w:rPr>
        <w:t>.</w:t>
      </w:r>
      <w:r w:rsidR="0069218C" w:rsidRPr="0069218C">
        <w:rPr>
          <w:bCs/>
          <w:lang w:val="es-SV"/>
        </w:rPr>
        <w:t>548 mujeres (60</w:t>
      </w:r>
      <w:r w:rsidR="00FF61CE">
        <w:rPr>
          <w:bCs/>
          <w:lang w:val="es-SV"/>
        </w:rPr>
        <w:t>,</w:t>
      </w:r>
      <w:r w:rsidR="0069218C" w:rsidRPr="0069218C">
        <w:rPr>
          <w:bCs/>
          <w:lang w:val="es-SV"/>
        </w:rPr>
        <w:t>3</w:t>
      </w:r>
      <w:r w:rsidR="001043C1">
        <w:rPr>
          <w:bCs/>
          <w:lang w:val="es-SV"/>
        </w:rPr>
        <w:t> %</w:t>
      </w:r>
      <w:r w:rsidR="0069218C" w:rsidRPr="0069218C">
        <w:rPr>
          <w:bCs/>
          <w:lang w:val="es-SV"/>
        </w:rPr>
        <w:t>) y 1</w:t>
      </w:r>
      <w:r w:rsidR="00FF61CE">
        <w:rPr>
          <w:bCs/>
          <w:lang w:val="es-SV"/>
        </w:rPr>
        <w:t>.</w:t>
      </w:r>
      <w:r w:rsidR="0069218C" w:rsidRPr="0069218C">
        <w:rPr>
          <w:bCs/>
          <w:lang w:val="es-SV"/>
        </w:rPr>
        <w:t>678 hombres (39</w:t>
      </w:r>
      <w:r w:rsidR="00FF61CE">
        <w:rPr>
          <w:bCs/>
          <w:lang w:val="es-SV"/>
        </w:rPr>
        <w:t>,</w:t>
      </w:r>
      <w:r w:rsidR="0069218C" w:rsidRPr="0069218C">
        <w:rPr>
          <w:bCs/>
          <w:lang w:val="es-SV"/>
        </w:rPr>
        <w:t>7</w:t>
      </w:r>
      <w:r w:rsidR="001043C1">
        <w:rPr>
          <w:bCs/>
          <w:lang w:val="es-SV"/>
        </w:rPr>
        <w:t> %</w:t>
      </w:r>
      <w:r w:rsidR="0069218C" w:rsidRPr="0069218C">
        <w:rPr>
          <w:bCs/>
          <w:lang w:val="es-SV"/>
        </w:rPr>
        <w:t>) en temas de Igualdad Sustantiva; Vida Libre de Violencia para las Mujeres; Masculinidades; Marco Normativo; Salud Sexual y Reproductiva y Alfabetización en derechos de las Mujeres</w:t>
      </w:r>
      <w:r w:rsidR="001878DA">
        <w:rPr>
          <w:bCs/>
          <w:lang w:val="es-SV"/>
        </w:rPr>
        <w:t>:</w:t>
      </w:r>
    </w:p>
    <w:p w14:paraId="5B48787D" w14:textId="1A5827B6" w:rsidR="001145BC" w:rsidRDefault="00C44B04" w:rsidP="001C2C73">
      <w:pPr>
        <w:pStyle w:val="Bullet1G"/>
        <w:numPr>
          <w:ilvl w:val="0"/>
          <w:numId w:val="0"/>
        </w:numPr>
        <w:tabs>
          <w:tab w:val="left" w:pos="1701"/>
        </w:tabs>
        <w:ind w:left="1701" w:hanging="170"/>
        <w:rPr>
          <w:lang w:val="es-SV"/>
        </w:rPr>
      </w:pPr>
      <w:r>
        <w:rPr>
          <w:lang w:val="es-SV"/>
        </w:rPr>
        <w:t>•</w:t>
      </w:r>
      <w:r>
        <w:rPr>
          <w:lang w:val="es-SV"/>
        </w:rPr>
        <w:tab/>
      </w:r>
      <w:r w:rsidR="0069218C" w:rsidRPr="0069218C">
        <w:rPr>
          <w:lang w:val="es-MX"/>
        </w:rPr>
        <w:t xml:space="preserve">De julio a diciembre 2021, con el propósito de estimular la autonomía económica de la población de </w:t>
      </w:r>
      <w:r w:rsidR="0069218C" w:rsidRPr="0069218C">
        <w:rPr>
          <w:lang w:val="es-SV"/>
        </w:rPr>
        <w:t>m</w:t>
      </w:r>
      <w:r w:rsidR="0069218C" w:rsidRPr="0069218C">
        <w:rPr>
          <w:lang w:val="es-MX"/>
        </w:rPr>
        <w:t xml:space="preserve">ujeres </w:t>
      </w:r>
      <w:r w:rsidR="0069218C" w:rsidRPr="0069218C">
        <w:rPr>
          <w:lang w:val="es-SV"/>
        </w:rPr>
        <w:t>l</w:t>
      </w:r>
      <w:r w:rsidR="0069218C" w:rsidRPr="0069218C">
        <w:rPr>
          <w:lang w:val="es-MX"/>
        </w:rPr>
        <w:t xml:space="preserve">esbianas, bisexuales y </w:t>
      </w:r>
      <w:r w:rsidR="0069218C" w:rsidRPr="0069218C">
        <w:rPr>
          <w:lang w:val="es-SV"/>
        </w:rPr>
        <w:t>t</w:t>
      </w:r>
      <w:r w:rsidR="0069218C" w:rsidRPr="0069218C">
        <w:rPr>
          <w:lang w:val="es-MX"/>
        </w:rPr>
        <w:t>rans MICULTURA, ISDEMU y BANDESAL, promovieron su incorporación al Programa de Derechos</w:t>
      </w:r>
      <w:r w:rsidR="0069218C" w:rsidRPr="0069218C">
        <w:rPr>
          <w:lang w:val="es-SV"/>
        </w:rPr>
        <w:t xml:space="preserve"> </w:t>
      </w:r>
      <w:r w:rsidR="0069218C" w:rsidRPr="0069218C">
        <w:rPr>
          <w:lang w:val="es-MX"/>
        </w:rPr>
        <w:t xml:space="preserve">Humanos y Educación Financiera. Asimismo, las sedes de Ciudad Mujer capacitaron </w:t>
      </w:r>
      <w:r w:rsidR="0069218C" w:rsidRPr="0069218C">
        <w:rPr>
          <w:lang w:val="es-SV"/>
        </w:rPr>
        <w:t>en Diversidad Sexual con miras a incluir a mujeres de esta población en el Programa de Proyección Profesional para Mujeres de la Secretaria de Innovación</w:t>
      </w:r>
      <w:r w:rsidR="00B27C05">
        <w:rPr>
          <w:lang w:val="es-MX"/>
        </w:rPr>
        <w:t>.</w:t>
      </w:r>
    </w:p>
    <w:p w14:paraId="06433BF0" w14:textId="3839E735" w:rsidR="001145BC" w:rsidRDefault="00C44B04" w:rsidP="001C2C73">
      <w:pPr>
        <w:pStyle w:val="Bullet1G"/>
        <w:numPr>
          <w:ilvl w:val="0"/>
          <w:numId w:val="0"/>
        </w:numPr>
        <w:tabs>
          <w:tab w:val="left" w:pos="1701"/>
        </w:tabs>
        <w:ind w:left="1701" w:hanging="170"/>
        <w:rPr>
          <w:lang w:val="es-MX"/>
        </w:rPr>
      </w:pPr>
      <w:r>
        <w:rPr>
          <w:lang w:val="es-MX"/>
        </w:rPr>
        <w:t>•</w:t>
      </w:r>
      <w:r>
        <w:rPr>
          <w:lang w:val="es-MX"/>
        </w:rPr>
        <w:tab/>
      </w:r>
      <w:r w:rsidR="0069218C" w:rsidRPr="0069218C">
        <w:rPr>
          <w:lang w:val="es-SV"/>
        </w:rPr>
        <w:t>En relación a la participación de mujeres en cargos de decisión, esta se increment</w:t>
      </w:r>
      <w:r w:rsidR="00C472CE">
        <w:rPr>
          <w:lang w:val="es-SV"/>
        </w:rPr>
        <w:t>ó</w:t>
      </w:r>
      <w:r w:rsidR="0069218C" w:rsidRPr="0069218C">
        <w:rPr>
          <w:lang w:val="es-SV"/>
        </w:rPr>
        <w:t xml:space="preserve"> en el Órgano Ejecutivo, pasando de 5 mujeres (35</w:t>
      </w:r>
      <w:r w:rsidR="00FF61CE">
        <w:rPr>
          <w:lang w:val="es-SV"/>
        </w:rPr>
        <w:t>,</w:t>
      </w:r>
      <w:r w:rsidR="0069218C" w:rsidRPr="0069218C">
        <w:rPr>
          <w:lang w:val="es-SV"/>
        </w:rPr>
        <w:t>7</w:t>
      </w:r>
      <w:r w:rsidR="001043C1">
        <w:rPr>
          <w:lang w:val="es-SV"/>
        </w:rPr>
        <w:t> %</w:t>
      </w:r>
      <w:r w:rsidR="0069218C" w:rsidRPr="0069218C">
        <w:rPr>
          <w:lang w:val="es-SV"/>
        </w:rPr>
        <w:t>) en el período presidencial 2014</w:t>
      </w:r>
      <w:r w:rsidR="00FF61CE">
        <w:rPr>
          <w:lang w:val="es-SV"/>
        </w:rPr>
        <w:noBreakHyphen/>
      </w:r>
      <w:r w:rsidR="0069218C" w:rsidRPr="0069218C">
        <w:rPr>
          <w:lang w:val="es-SV"/>
        </w:rPr>
        <w:t>2019 a 7 mujeres (43</w:t>
      </w:r>
      <w:r w:rsidR="00FF61CE">
        <w:rPr>
          <w:lang w:val="es-SV"/>
        </w:rPr>
        <w:t>,</w:t>
      </w:r>
      <w:r w:rsidR="0069218C" w:rsidRPr="0069218C">
        <w:rPr>
          <w:lang w:val="es-SV"/>
        </w:rPr>
        <w:t>8</w:t>
      </w:r>
      <w:r w:rsidR="001043C1">
        <w:rPr>
          <w:lang w:val="es-SV"/>
        </w:rPr>
        <w:t> %</w:t>
      </w:r>
      <w:r w:rsidR="0069218C" w:rsidRPr="0069218C">
        <w:rPr>
          <w:lang w:val="es-SV"/>
        </w:rPr>
        <w:t xml:space="preserve">) en 2019-2024. </w:t>
      </w:r>
      <w:r w:rsidR="0069218C" w:rsidRPr="0069218C">
        <w:t>A nivel de</w:t>
      </w:r>
      <w:r w:rsidR="0069218C" w:rsidRPr="0069218C">
        <w:rPr>
          <w:lang w:val="es-SV"/>
        </w:rPr>
        <w:t xml:space="preserve"> poder local, de las 262 Municipalidades,</w:t>
      </w:r>
      <w:r w:rsidR="009C4946">
        <w:rPr>
          <w:lang w:val="es-SV"/>
        </w:rPr>
        <w:t xml:space="preserve"> </w:t>
      </w:r>
      <w:r w:rsidR="0069218C" w:rsidRPr="0069218C">
        <w:rPr>
          <w:lang w:val="es-SV"/>
        </w:rPr>
        <w:t>29 de ellas (11</w:t>
      </w:r>
      <w:r w:rsidR="00FF61CE">
        <w:rPr>
          <w:lang w:val="es-SV"/>
        </w:rPr>
        <w:t>,</w:t>
      </w:r>
      <w:r w:rsidR="0069218C" w:rsidRPr="0069218C">
        <w:rPr>
          <w:lang w:val="es-SV"/>
        </w:rPr>
        <w:t>1</w:t>
      </w:r>
      <w:r w:rsidR="001043C1">
        <w:rPr>
          <w:lang w:val="es-SV"/>
        </w:rPr>
        <w:t> %</w:t>
      </w:r>
      <w:r w:rsidR="0069218C" w:rsidRPr="0069218C">
        <w:rPr>
          <w:lang w:val="es-SV"/>
        </w:rPr>
        <w:t xml:space="preserve">) son lideradas por mujeres. En el </w:t>
      </w:r>
      <w:r w:rsidR="0069218C" w:rsidRPr="0069218C">
        <w:rPr>
          <w:lang w:val="es-MX"/>
        </w:rPr>
        <w:t>Órgano Judicial, la Corte Plena está conformada por 15 miembros, de éstas cuatro son mujeres magistradas. En el Órgano Legislativo en el período 2021-2024, 23 son mujeres diputadas, (27</w:t>
      </w:r>
      <w:r w:rsidR="00FF61CE">
        <w:rPr>
          <w:lang w:val="es-MX"/>
        </w:rPr>
        <w:t>,</w:t>
      </w:r>
      <w:r w:rsidR="0069218C" w:rsidRPr="0069218C">
        <w:rPr>
          <w:lang w:val="es-MX"/>
        </w:rPr>
        <w:t>38</w:t>
      </w:r>
      <w:r w:rsidR="001043C1">
        <w:rPr>
          <w:lang w:val="es-MX"/>
        </w:rPr>
        <w:t> %</w:t>
      </w:r>
      <w:r w:rsidR="0069218C" w:rsidRPr="0069218C">
        <w:rPr>
          <w:lang w:val="es-MX"/>
        </w:rPr>
        <w:t>).</w:t>
      </w:r>
    </w:p>
    <w:p w14:paraId="5C5F2893" w14:textId="6E20936D" w:rsidR="0069218C" w:rsidRPr="009C4946" w:rsidRDefault="004B15F2" w:rsidP="00E17E4E">
      <w:pPr>
        <w:pStyle w:val="HChG"/>
        <w:rPr>
          <w:lang w:val="es-MX"/>
        </w:rPr>
      </w:pPr>
      <w:r>
        <w:rPr>
          <w:lang w:val="es-MX"/>
        </w:rPr>
        <w:tab/>
      </w:r>
      <w:r w:rsidR="00C478A7">
        <w:rPr>
          <w:lang w:val="es-MX"/>
        </w:rPr>
        <w:t>III</w:t>
      </w:r>
      <w:r>
        <w:rPr>
          <w:lang w:val="es-MX"/>
        </w:rPr>
        <w:t>.</w:t>
      </w:r>
      <w:r>
        <w:rPr>
          <w:lang w:val="es-MX"/>
        </w:rPr>
        <w:tab/>
      </w:r>
      <w:r w:rsidR="0069218C" w:rsidRPr="009C4946">
        <w:rPr>
          <w:lang w:val="es-MX"/>
        </w:rPr>
        <w:t xml:space="preserve">Cuestiones relativas a disposiciones específicas del Pacto </w:t>
      </w:r>
      <w:r w:rsidR="003B0B16">
        <w:rPr>
          <w:lang w:val="es-MX"/>
        </w:rPr>
        <w:br/>
      </w:r>
      <w:r w:rsidR="0069218C" w:rsidRPr="009C4946">
        <w:rPr>
          <w:lang w:val="es-MX"/>
        </w:rPr>
        <w:t>(arts. 6 a 15)</w:t>
      </w:r>
    </w:p>
    <w:p w14:paraId="49A466B2" w14:textId="77777777" w:rsidR="001145BC" w:rsidRPr="004B15F2" w:rsidRDefault="0069218C" w:rsidP="004B15F2">
      <w:pPr>
        <w:pStyle w:val="H23G"/>
        <w:ind w:firstLine="0"/>
        <w:rPr>
          <w:lang w:val="es-MX"/>
        </w:rPr>
      </w:pPr>
      <w:r w:rsidRPr="004B15F2">
        <w:rPr>
          <w:lang w:val="es-MX"/>
        </w:rPr>
        <w:t>Derecho a trabajar (art. 6)</w:t>
      </w:r>
    </w:p>
    <w:p w14:paraId="43048598" w14:textId="0FEEB5B1" w:rsidR="001145BC" w:rsidRDefault="00C44B04" w:rsidP="001C2C73">
      <w:pPr>
        <w:pStyle w:val="SingleTxtG"/>
        <w:tabs>
          <w:tab w:val="clear" w:pos="1701"/>
          <w:tab w:val="clear" w:pos="2268"/>
          <w:tab w:val="clear" w:pos="2835"/>
        </w:tabs>
        <w:rPr>
          <w:b/>
          <w:bCs/>
          <w:lang w:val="es-SV"/>
        </w:rPr>
      </w:pPr>
      <w:r>
        <w:rPr>
          <w:bCs/>
          <w:lang w:val="es-SV"/>
        </w:rPr>
        <w:t>36.</w:t>
      </w:r>
      <w:r>
        <w:rPr>
          <w:bCs/>
          <w:lang w:val="es-SV"/>
        </w:rPr>
        <w:tab/>
      </w:r>
      <w:r w:rsidR="0069218C" w:rsidRPr="0069218C">
        <w:rPr>
          <w:bCs/>
          <w:lang w:val="es-SV"/>
        </w:rPr>
        <w:t>La Dirección General de Estadísticas y Censos, DIGESTYC, presenta la evolución en tasa de empleo formal e informal en el área urbana desglosados por sexo, edad y zona urbana, de 2016 a 2020. Actualmente no hay una forma de medición de la informalidad en el país del sector rural.</w:t>
      </w:r>
    </w:p>
    <w:p w14:paraId="1F85E446" w14:textId="77777777" w:rsidR="0069218C" w:rsidRPr="00386B6B" w:rsidRDefault="0069218C" w:rsidP="001C2C73">
      <w:pPr>
        <w:pStyle w:val="Ttulo1"/>
        <w:spacing w:after="120"/>
        <w:rPr>
          <w:b/>
          <w:lang w:val="es-ES"/>
        </w:rPr>
      </w:pPr>
      <w:r w:rsidRPr="00386B6B">
        <w:rPr>
          <w:b/>
          <w:lang w:val="es-ES"/>
        </w:rPr>
        <w:t>Tasa de empleo informal área urbana</w:t>
      </w:r>
    </w:p>
    <w:tbl>
      <w:tblPr>
        <w:tblW w:w="7370" w:type="dxa"/>
        <w:tblInd w:w="1134" w:type="dxa"/>
        <w:tblLayout w:type="fixed"/>
        <w:tblCellMar>
          <w:left w:w="0" w:type="dxa"/>
          <w:right w:w="0" w:type="dxa"/>
        </w:tblCellMar>
        <w:tblLook w:val="04A0" w:firstRow="1" w:lastRow="0" w:firstColumn="1" w:lastColumn="0" w:noHBand="0" w:noVBand="1"/>
      </w:tblPr>
      <w:tblGrid>
        <w:gridCol w:w="1494"/>
        <w:gridCol w:w="1176"/>
        <w:gridCol w:w="1175"/>
        <w:gridCol w:w="1175"/>
        <w:gridCol w:w="1175"/>
        <w:gridCol w:w="1175"/>
      </w:tblGrid>
      <w:tr w:rsidR="001145BC" w:rsidRPr="001145BC" w14:paraId="477C3727" w14:textId="77777777" w:rsidTr="009C4946">
        <w:trPr>
          <w:tblHeader/>
        </w:trPr>
        <w:tc>
          <w:tcPr>
            <w:tcW w:w="1494" w:type="dxa"/>
            <w:tcBorders>
              <w:top w:val="single" w:sz="4" w:space="0" w:color="auto"/>
              <w:bottom w:val="single" w:sz="12" w:space="0" w:color="auto"/>
            </w:tcBorders>
            <w:shd w:val="clear" w:color="auto" w:fill="auto"/>
            <w:vAlign w:val="bottom"/>
            <w:hideMark/>
          </w:tcPr>
          <w:p w14:paraId="6E9312EA"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left"/>
              <w:rPr>
                <w:bCs/>
                <w:i/>
                <w:sz w:val="16"/>
                <w:lang w:val="es-SV"/>
              </w:rPr>
            </w:pPr>
            <w:r w:rsidRPr="001145BC">
              <w:rPr>
                <w:bCs/>
                <w:i/>
                <w:sz w:val="16"/>
                <w:lang w:val="en-US"/>
              </w:rPr>
              <w:t>Desagregación</w:t>
            </w:r>
          </w:p>
        </w:tc>
        <w:tc>
          <w:tcPr>
            <w:tcW w:w="1176" w:type="dxa"/>
            <w:tcBorders>
              <w:top w:val="single" w:sz="4" w:space="0" w:color="auto"/>
              <w:bottom w:val="single" w:sz="12" w:space="0" w:color="auto"/>
            </w:tcBorders>
            <w:shd w:val="clear" w:color="auto" w:fill="auto"/>
            <w:vAlign w:val="bottom"/>
            <w:hideMark/>
          </w:tcPr>
          <w:p w14:paraId="1B4991C6"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2016</w:t>
            </w:r>
          </w:p>
        </w:tc>
        <w:tc>
          <w:tcPr>
            <w:tcW w:w="1175" w:type="dxa"/>
            <w:tcBorders>
              <w:top w:val="single" w:sz="4" w:space="0" w:color="auto"/>
              <w:bottom w:val="single" w:sz="12" w:space="0" w:color="auto"/>
            </w:tcBorders>
            <w:shd w:val="clear" w:color="auto" w:fill="auto"/>
            <w:vAlign w:val="bottom"/>
            <w:hideMark/>
          </w:tcPr>
          <w:p w14:paraId="706A08A8"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2017</w:t>
            </w:r>
          </w:p>
        </w:tc>
        <w:tc>
          <w:tcPr>
            <w:tcW w:w="1175" w:type="dxa"/>
            <w:tcBorders>
              <w:top w:val="single" w:sz="4" w:space="0" w:color="auto"/>
              <w:bottom w:val="single" w:sz="12" w:space="0" w:color="auto"/>
            </w:tcBorders>
            <w:shd w:val="clear" w:color="auto" w:fill="auto"/>
            <w:vAlign w:val="bottom"/>
            <w:hideMark/>
          </w:tcPr>
          <w:p w14:paraId="2EDB09EC"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2018</w:t>
            </w:r>
          </w:p>
        </w:tc>
        <w:tc>
          <w:tcPr>
            <w:tcW w:w="1175" w:type="dxa"/>
            <w:tcBorders>
              <w:top w:val="single" w:sz="4" w:space="0" w:color="auto"/>
              <w:bottom w:val="single" w:sz="12" w:space="0" w:color="auto"/>
            </w:tcBorders>
            <w:shd w:val="clear" w:color="auto" w:fill="auto"/>
            <w:vAlign w:val="bottom"/>
            <w:hideMark/>
          </w:tcPr>
          <w:p w14:paraId="24186400"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2019</w:t>
            </w:r>
          </w:p>
        </w:tc>
        <w:tc>
          <w:tcPr>
            <w:tcW w:w="1175" w:type="dxa"/>
            <w:tcBorders>
              <w:top w:val="single" w:sz="4" w:space="0" w:color="auto"/>
              <w:bottom w:val="single" w:sz="12" w:space="0" w:color="auto"/>
            </w:tcBorders>
            <w:shd w:val="clear" w:color="auto" w:fill="auto"/>
            <w:vAlign w:val="bottom"/>
            <w:hideMark/>
          </w:tcPr>
          <w:p w14:paraId="56C10F7E"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2020</w:t>
            </w:r>
          </w:p>
        </w:tc>
      </w:tr>
      <w:tr w:rsidR="001145BC" w:rsidRPr="001C2C73" w14:paraId="5843DE68" w14:textId="77777777" w:rsidTr="009C4946">
        <w:tc>
          <w:tcPr>
            <w:tcW w:w="1494" w:type="dxa"/>
            <w:tcBorders>
              <w:top w:val="single" w:sz="12" w:space="0" w:color="auto"/>
            </w:tcBorders>
            <w:shd w:val="clear" w:color="auto" w:fill="auto"/>
            <w:hideMark/>
          </w:tcPr>
          <w:p w14:paraId="035CBFF8" w14:textId="77777777" w:rsidR="0069218C" w:rsidRPr="001C2C73" w:rsidRDefault="0069218C" w:rsidP="001145BC">
            <w:pPr>
              <w:pStyle w:val="SingleTxtG"/>
              <w:tabs>
                <w:tab w:val="clear" w:pos="1701"/>
                <w:tab w:val="clear" w:pos="2268"/>
                <w:tab w:val="clear" w:pos="2835"/>
              </w:tabs>
              <w:spacing w:before="40" w:after="40" w:line="220" w:lineRule="exact"/>
              <w:ind w:left="0" w:right="0"/>
              <w:jc w:val="left"/>
              <w:rPr>
                <w:b/>
                <w:bCs/>
                <w:sz w:val="18"/>
                <w:lang w:val="en-US"/>
              </w:rPr>
            </w:pPr>
            <w:r w:rsidRPr="001C2C73">
              <w:rPr>
                <w:b/>
                <w:bCs/>
                <w:sz w:val="18"/>
                <w:lang w:val="es-SV"/>
              </w:rPr>
              <w:t>Nacional</w:t>
            </w:r>
          </w:p>
        </w:tc>
        <w:tc>
          <w:tcPr>
            <w:tcW w:w="1176" w:type="dxa"/>
            <w:tcBorders>
              <w:top w:val="single" w:sz="12" w:space="0" w:color="auto"/>
            </w:tcBorders>
            <w:shd w:val="clear" w:color="auto" w:fill="auto"/>
            <w:vAlign w:val="bottom"/>
            <w:hideMark/>
          </w:tcPr>
          <w:p w14:paraId="183D36AF" w14:textId="2067BBB7"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42</w:t>
            </w:r>
            <w:r w:rsidR="003B0B16" w:rsidRPr="001C2C73">
              <w:rPr>
                <w:b/>
                <w:bCs/>
                <w:sz w:val="18"/>
                <w:lang w:val="en-US"/>
              </w:rPr>
              <w:t>,</w:t>
            </w:r>
            <w:r w:rsidRPr="001C2C73">
              <w:rPr>
                <w:b/>
                <w:bCs/>
                <w:sz w:val="18"/>
                <w:lang w:val="en-US"/>
              </w:rPr>
              <w:t>3</w:t>
            </w:r>
          </w:p>
        </w:tc>
        <w:tc>
          <w:tcPr>
            <w:tcW w:w="1175" w:type="dxa"/>
            <w:tcBorders>
              <w:top w:val="single" w:sz="12" w:space="0" w:color="auto"/>
            </w:tcBorders>
            <w:shd w:val="clear" w:color="auto" w:fill="auto"/>
            <w:vAlign w:val="bottom"/>
            <w:hideMark/>
          </w:tcPr>
          <w:p w14:paraId="7F6783C7" w14:textId="46991EB1"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42</w:t>
            </w:r>
            <w:r w:rsidR="003B0B16" w:rsidRPr="001C2C73">
              <w:rPr>
                <w:b/>
                <w:bCs/>
                <w:sz w:val="18"/>
                <w:lang w:val="en-US"/>
              </w:rPr>
              <w:t>,</w:t>
            </w:r>
            <w:r w:rsidRPr="001C2C73">
              <w:rPr>
                <w:b/>
                <w:bCs/>
                <w:sz w:val="18"/>
                <w:lang w:val="en-US"/>
              </w:rPr>
              <w:t>7</w:t>
            </w:r>
          </w:p>
        </w:tc>
        <w:tc>
          <w:tcPr>
            <w:tcW w:w="1175" w:type="dxa"/>
            <w:tcBorders>
              <w:top w:val="single" w:sz="12" w:space="0" w:color="auto"/>
            </w:tcBorders>
            <w:shd w:val="clear" w:color="auto" w:fill="auto"/>
            <w:vAlign w:val="bottom"/>
            <w:hideMark/>
          </w:tcPr>
          <w:p w14:paraId="41376FF0" w14:textId="7B3B4384"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42</w:t>
            </w:r>
            <w:r w:rsidR="003B0B16" w:rsidRPr="001C2C73">
              <w:rPr>
                <w:b/>
                <w:bCs/>
                <w:sz w:val="18"/>
                <w:lang w:val="en-US"/>
              </w:rPr>
              <w:t>,</w:t>
            </w:r>
            <w:r w:rsidRPr="001C2C73">
              <w:rPr>
                <w:b/>
                <w:bCs/>
                <w:sz w:val="18"/>
                <w:lang w:val="en-US"/>
              </w:rPr>
              <w:t>0</w:t>
            </w:r>
          </w:p>
        </w:tc>
        <w:tc>
          <w:tcPr>
            <w:tcW w:w="1175" w:type="dxa"/>
            <w:tcBorders>
              <w:top w:val="single" w:sz="12" w:space="0" w:color="auto"/>
            </w:tcBorders>
            <w:shd w:val="clear" w:color="auto" w:fill="auto"/>
            <w:vAlign w:val="bottom"/>
            <w:hideMark/>
          </w:tcPr>
          <w:p w14:paraId="06CE33C4" w14:textId="2B9A0947"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42</w:t>
            </w:r>
            <w:r w:rsidR="003B0B16" w:rsidRPr="001C2C73">
              <w:rPr>
                <w:b/>
                <w:bCs/>
                <w:sz w:val="18"/>
                <w:lang w:val="en-US"/>
              </w:rPr>
              <w:t>,</w:t>
            </w:r>
            <w:r w:rsidRPr="001C2C73">
              <w:rPr>
                <w:b/>
                <w:bCs/>
                <w:sz w:val="18"/>
                <w:lang w:val="en-US"/>
              </w:rPr>
              <w:t>6</w:t>
            </w:r>
          </w:p>
        </w:tc>
        <w:tc>
          <w:tcPr>
            <w:tcW w:w="1175" w:type="dxa"/>
            <w:tcBorders>
              <w:top w:val="single" w:sz="12" w:space="0" w:color="auto"/>
            </w:tcBorders>
            <w:shd w:val="clear" w:color="auto" w:fill="auto"/>
            <w:vAlign w:val="bottom"/>
            <w:hideMark/>
          </w:tcPr>
          <w:p w14:paraId="2FA4970F" w14:textId="4F62B90A"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47</w:t>
            </w:r>
            <w:r w:rsidR="003B0B16" w:rsidRPr="001C2C73">
              <w:rPr>
                <w:b/>
                <w:bCs/>
                <w:sz w:val="18"/>
                <w:lang w:val="en-US"/>
              </w:rPr>
              <w:t>,</w:t>
            </w:r>
            <w:r w:rsidRPr="001C2C73">
              <w:rPr>
                <w:b/>
                <w:bCs/>
                <w:sz w:val="18"/>
                <w:lang w:val="en-US"/>
              </w:rPr>
              <w:t>7</w:t>
            </w:r>
          </w:p>
        </w:tc>
      </w:tr>
      <w:tr w:rsidR="001145BC" w:rsidRPr="001145BC" w14:paraId="7104CFED" w14:textId="77777777" w:rsidTr="009C4946">
        <w:tc>
          <w:tcPr>
            <w:tcW w:w="1494" w:type="dxa"/>
            <w:shd w:val="clear" w:color="auto" w:fill="auto"/>
            <w:hideMark/>
          </w:tcPr>
          <w:p w14:paraId="3EB83251"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Hombre</w:t>
            </w:r>
          </w:p>
        </w:tc>
        <w:tc>
          <w:tcPr>
            <w:tcW w:w="1176" w:type="dxa"/>
            <w:shd w:val="clear" w:color="auto" w:fill="auto"/>
            <w:vAlign w:val="bottom"/>
            <w:hideMark/>
          </w:tcPr>
          <w:p w14:paraId="3B6F34E7" w14:textId="1961A314"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35</w:t>
            </w:r>
            <w:r w:rsidR="003B0B16">
              <w:rPr>
                <w:bCs/>
                <w:sz w:val="18"/>
                <w:lang w:val="en-US"/>
              </w:rPr>
              <w:t>,</w:t>
            </w:r>
            <w:r w:rsidRPr="001145BC">
              <w:rPr>
                <w:bCs/>
                <w:sz w:val="18"/>
                <w:lang w:val="en-US"/>
              </w:rPr>
              <w:t>0</w:t>
            </w:r>
          </w:p>
        </w:tc>
        <w:tc>
          <w:tcPr>
            <w:tcW w:w="1175" w:type="dxa"/>
            <w:shd w:val="clear" w:color="auto" w:fill="auto"/>
            <w:vAlign w:val="bottom"/>
            <w:hideMark/>
          </w:tcPr>
          <w:p w14:paraId="344D55D7" w14:textId="51BA0610"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35</w:t>
            </w:r>
            <w:r w:rsidR="003B0B16">
              <w:rPr>
                <w:bCs/>
                <w:sz w:val="18"/>
                <w:lang w:val="en-US"/>
              </w:rPr>
              <w:t>,</w:t>
            </w:r>
            <w:r w:rsidRPr="001145BC">
              <w:rPr>
                <w:bCs/>
                <w:sz w:val="18"/>
                <w:lang w:val="en-US"/>
              </w:rPr>
              <w:t>9</w:t>
            </w:r>
          </w:p>
        </w:tc>
        <w:tc>
          <w:tcPr>
            <w:tcW w:w="1175" w:type="dxa"/>
            <w:shd w:val="clear" w:color="auto" w:fill="auto"/>
            <w:vAlign w:val="bottom"/>
            <w:hideMark/>
          </w:tcPr>
          <w:p w14:paraId="15E2DD5E" w14:textId="68877ECF"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36</w:t>
            </w:r>
            <w:r w:rsidR="003B0B16">
              <w:rPr>
                <w:bCs/>
                <w:sz w:val="18"/>
                <w:lang w:val="en-US"/>
              </w:rPr>
              <w:t>,</w:t>
            </w:r>
            <w:r w:rsidRPr="001145BC">
              <w:rPr>
                <w:bCs/>
                <w:sz w:val="18"/>
                <w:lang w:val="en-US"/>
              </w:rPr>
              <w:t>3</w:t>
            </w:r>
          </w:p>
        </w:tc>
        <w:tc>
          <w:tcPr>
            <w:tcW w:w="1175" w:type="dxa"/>
            <w:shd w:val="clear" w:color="auto" w:fill="auto"/>
            <w:vAlign w:val="bottom"/>
            <w:hideMark/>
          </w:tcPr>
          <w:p w14:paraId="3B5324D5" w14:textId="3118B3BA"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36</w:t>
            </w:r>
            <w:r w:rsidR="003B0B16">
              <w:rPr>
                <w:bCs/>
                <w:sz w:val="18"/>
                <w:lang w:val="en-US"/>
              </w:rPr>
              <w:t>,</w:t>
            </w:r>
            <w:r w:rsidRPr="001145BC">
              <w:rPr>
                <w:bCs/>
                <w:sz w:val="18"/>
                <w:lang w:val="en-US"/>
              </w:rPr>
              <w:t>9</w:t>
            </w:r>
          </w:p>
        </w:tc>
        <w:tc>
          <w:tcPr>
            <w:tcW w:w="1175" w:type="dxa"/>
            <w:shd w:val="clear" w:color="auto" w:fill="auto"/>
            <w:vAlign w:val="bottom"/>
            <w:hideMark/>
          </w:tcPr>
          <w:p w14:paraId="7FB8D65E" w14:textId="1BB3A8F6"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42</w:t>
            </w:r>
            <w:r w:rsidR="003B0B16">
              <w:rPr>
                <w:bCs/>
                <w:sz w:val="18"/>
                <w:lang w:val="en-US"/>
              </w:rPr>
              <w:t>,</w:t>
            </w:r>
            <w:r w:rsidRPr="001145BC">
              <w:rPr>
                <w:bCs/>
                <w:sz w:val="18"/>
                <w:lang w:val="en-US"/>
              </w:rPr>
              <w:t>1</w:t>
            </w:r>
          </w:p>
        </w:tc>
      </w:tr>
      <w:tr w:rsidR="001145BC" w:rsidRPr="001145BC" w14:paraId="2FA6C73C" w14:textId="77777777" w:rsidTr="009C4946">
        <w:tc>
          <w:tcPr>
            <w:tcW w:w="1494" w:type="dxa"/>
            <w:shd w:val="clear" w:color="auto" w:fill="auto"/>
            <w:hideMark/>
          </w:tcPr>
          <w:p w14:paraId="60A9B9FF"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s-SV"/>
              </w:rPr>
              <w:t>Mujer</w:t>
            </w:r>
          </w:p>
        </w:tc>
        <w:tc>
          <w:tcPr>
            <w:tcW w:w="1176" w:type="dxa"/>
            <w:shd w:val="clear" w:color="auto" w:fill="auto"/>
            <w:vAlign w:val="bottom"/>
            <w:hideMark/>
          </w:tcPr>
          <w:p w14:paraId="6A515210" w14:textId="5665964B"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50</w:t>
            </w:r>
            <w:r w:rsidR="003B0B16">
              <w:rPr>
                <w:bCs/>
                <w:sz w:val="18"/>
                <w:lang w:val="en-US"/>
              </w:rPr>
              <w:t>,</w:t>
            </w:r>
            <w:r w:rsidRPr="001145BC">
              <w:rPr>
                <w:bCs/>
                <w:sz w:val="18"/>
                <w:lang w:val="en-US"/>
              </w:rPr>
              <w:t>8</w:t>
            </w:r>
          </w:p>
        </w:tc>
        <w:tc>
          <w:tcPr>
            <w:tcW w:w="1175" w:type="dxa"/>
            <w:shd w:val="clear" w:color="auto" w:fill="auto"/>
            <w:vAlign w:val="bottom"/>
            <w:hideMark/>
          </w:tcPr>
          <w:p w14:paraId="4CC61544" w14:textId="1243AC8A"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50</w:t>
            </w:r>
            <w:r w:rsidR="003B0B16">
              <w:rPr>
                <w:bCs/>
                <w:sz w:val="18"/>
                <w:lang w:val="en-US"/>
              </w:rPr>
              <w:t>,</w:t>
            </w:r>
            <w:r w:rsidRPr="001145BC">
              <w:rPr>
                <w:bCs/>
                <w:sz w:val="18"/>
                <w:lang w:val="en-US"/>
              </w:rPr>
              <w:t>7</w:t>
            </w:r>
          </w:p>
        </w:tc>
        <w:tc>
          <w:tcPr>
            <w:tcW w:w="1175" w:type="dxa"/>
            <w:shd w:val="clear" w:color="auto" w:fill="auto"/>
            <w:vAlign w:val="bottom"/>
            <w:hideMark/>
          </w:tcPr>
          <w:p w14:paraId="662AA94B" w14:textId="493EF62F"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48</w:t>
            </w:r>
            <w:r w:rsidR="003B0B16">
              <w:rPr>
                <w:bCs/>
                <w:sz w:val="18"/>
                <w:lang w:val="en-US"/>
              </w:rPr>
              <w:t>,</w:t>
            </w:r>
            <w:r w:rsidRPr="001145BC">
              <w:rPr>
                <w:bCs/>
                <w:sz w:val="18"/>
                <w:lang w:val="en-US"/>
              </w:rPr>
              <w:t>8</w:t>
            </w:r>
          </w:p>
        </w:tc>
        <w:tc>
          <w:tcPr>
            <w:tcW w:w="1175" w:type="dxa"/>
            <w:shd w:val="clear" w:color="auto" w:fill="auto"/>
            <w:vAlign w:val="bottom"/>
            <w:hideMark/>
          </w:tcPr>
          <w:p w14:paraId="0DAD890D" w14:textId="0F7750EE"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49</w:t>
            </w:r>
            <w:r w:rsidR="003B0B16">
              <w:rPr>
                <w:bCs/>
                <w:sz w:val="18"/>
                <w:lang w:val="en-US"/>
              </w:rPr>
              <w:t>,</w:t>
            </w:r>
            <w:r w:rsidRPr="001145BC">
              <w:rPr>
                <w:bCs/>
                <w:sz w:val="18"/>
                <w:lang w:val="en-US"/>
              </w:rPr>
              <w:t>6</w:t>
            </w:r>
          </w:p>
        </w:tc>
        <w:tc>
          <w:tcPr>
            <w:tcW w:w="1175" w:type="dxa"/>
            <w:shd w:val="clear" w:color="auto" w:fill="auto"/>
            <w:vAlign w:val="bottom"/>
            <w:hideMark/>
          </w:tcPr>
          <w:p w14:paraId="556F734A" w14:textId="6F68647E"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54</w:t>
            </w:r>
            <w:r w:rsidR="003B0B16">
              <w:rPr>
                <w:bCs/>
                <w:sz w:val="18"/>
                <w:lang w:val="en-US"/>
              </w:rPr>
              <w:t>,</w:t>
            </w:r>
            <w:r w:rsidRPr="001145BC">
              <w:rPr>
                <w:bCs/>
                <w:sz w:val="18"/>
                <w:lang w:val="en-US"/>
              </w:rPr>
              <w:t>4</w:t>
            </w:r>
          </w:p>
        </w:tc>
      </w:tr>
      <w:tr w:rsidR="001145BC" w:rsidRPr="001145BC" w14:paraId="647C29A9" w14:textId="77777777" w:rsidTr="009C4946">
        <w:tc>
          <w:tcPr>
            <w:tcW w:w="1494" w:type="dxa"/>
            <w:shd w:val="clear" w:color="auto" w:fill="auto"/>
            <w:noWrap/>
            <w:hideMark/>
          </w:tcPr>
          <w:p w14:paraId="2C360B1C" w14:textId="12E43228"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 xml:space="preserve">16 a 29 </w:t>
            </w:r>
            <w:r w:rsidR="00FF61CE">
              <w:rPr>
                <w:bCs/>
                <w:sz w:val="18"/>
                <w:lang w:val="en-US"/>
              </w:rPr>
              <w:t>a</w:t>
            </w:r>
            <w:r w:rsidRPr="001145BC">
              <w:rPr>
                <w:bCs/>
                <w:sz w:val="18"/>
                <w:lang w:val="en-US"/>
              </w:rPr>
              <w:t>ños</w:t>
            </w:r>
          </w:p>
        </w:tc>
        <w:tc>
          <w:tcPr>
            <w:tcW w:w="1176" w:type="dxa"/>
            <w:shd w:val="clear" w:color="auto" w:fill="auto"/>
            <w:vAlign w:val="bottom"/>
            <w:hideMark/>
          </w:tcPr>
          <w:p w14:paraId="3055017F" w14:textId="5764F016"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37</w:t>
            </w:r>
            <w:r w:rsidR="003B0B16">
              <w:rPr>
                <w:bCs/>
                <w:sz w:val="18"/>
                <w:lang w:val="en-US"/>
              </w:rPr>
              <w:t>,</w:t>
            </w:r>
            <w:r w:rsidRPr="001145BC">
              <w:rPr>
                <w:bCs/>
                <w:sz w:val="18"/>
                <w:lang w:val="en-US"/>
              </w:rPr>
              <w:t>5</w:t>
            </w:r>
          </w:p>
        </w:tc>
        <w:tc>
          <w:tcPr>
            <w:tcW w:w="1175" w:type="dxa"/>
            <w:shd w:val="clear" w:color="auto" w:fill="auto"/>
            <w:vAlign w:val="bottom"/>
            <w:hideMark/>
          </w:tcPr>
          <w:p w14:paraId="48273430" w14:textId="565B67BD"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37</w:t>
            </w:r>
            <w:r w:rsidR="003B0B16">
              <w:rPr>
                <w:bCs/>
                <w:sz w:val="18"/>
                <w:lang w:val="en-US"/>
              </w:rPr>
              <w:t>,</w:t>
            </w:r>
            <w:r w:rsidRPr="001145BC">
              <w:rPr>
                <w:bCs/>
                <w:sz w:val="18"/>
                <w:lang w:val="en-US"/>
              </w:rPr>
              <w:t>4</w:t>
            </w:r>
          </w:p>
        </w:tc>
        <w:tc>
          <w:tcPr>
            <w:tcW w:w="1175" w:type="dxa"/>
            <w:shd w:val="clear" w:color="auto" w:fill="auto"/>
            <w:vAlign w:val="bottom"/>
            <w:hideMark/>
          </w:tcPr>
          <w:p w14:paraId="2309E11E" w14:textId="0BA79F2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36</w:t>
            </w:r>
            <w:r w:rsidR="003B0B16">
              <w:rPr>
                <w:bCs/>
                <w:sz w:val="18"/>
                <w:lang w:val="en-US"/>
              </w:rPr>
              <w:t>,</w:t>
            </w:r>
            <w:r w:rsidRPr="001145BC">
              <w:rPr>
                <w:bCs/>
                <w:sz w:val="18"/>
                <w:lang w:val="en-US"/>
              </w:rPr>
              <w:t>9</w:t>
            </w:r>
          </w:p>
        </w:tc>
        <w:tc>
          <w:tcPr>
            <w:tcW w:w="1175" w:type="dxa"/>
            <w:shd w:val="clear" w:color="auto" w:fill="auto"/>
            <w:vAlign w:val="bottom"/>
            <w:hideMark/>
          </w:tcPr>
          <w:p w14:paraId="4D0E00E8" w14:textId="38910DFB"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38</w:t>
            </w:r>
            <w:r w:rsidR="003B0B16">
              <w:rPr>
                <w:bCs/>
                <w:sz w:val="18"/>
                <w:lang w:val="en-US"/>
              </w:rPr>
              <w:t>,</w:t>
            </w:r>
            <w:r w:rsidRPr="001145BC">
              <w:rPr>
                <w:bCs/>
                <w:sz w:val="18"/>
                <w:lang w:val="en-US"/>
              </w:rPr>
              <w:t>2</w:t>
            </w:r>
          </w:p>
        </w:tc>
        <w:tc>
          <w:tcPr>
            <w:tcW w:w="1175" w:type="dxa"/>
            <w:shd w:val="clear" w:color="auto" w:fill="auto"/>
            <w:vAlign w:val="bottom"/>
            <w:hideMark/>
          </w:tcPr>
          <w:p w14:paraId="2D45A949" w14:textId="2FD23139"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43</w:t>
            </w:r>
            <w:r w:rsidR="003B0B16">
              <w:rPr>
                <w:bCs/>
                <w:sz w:val="18"/>
                <w:lang w:val="en-US"/>
              </w:rPr>
              <w:t>,</w:t>
            </w:r>
            <w:r w:rsidRPr="001145BC">
              <w:rPr>
                <w:bCs/>
                <w:sz w:val="18"/>
                <w:lang w:val="en-US"/>
              </w:rPr>
              <w:t>0</w:t>
            </w:r>
          </w:p>
        </w:tc>
      </w:tr>
      <w:tr w:rsidR="001145BC" w:rsidRPr="001145BC" w14:paraId="0C161DCD" w14:textId="77777777" w:rsidTr="009C4946">
        <w:tc>
          <w:tcPr>
            <w:tcW w:w="1494" w:type="dxa"/>
            <w:shd w:val="clear" w:color="auto" w:fill="auto"/>
            <w:noWrap/>
            <w:hideMark/>
          </w:tcPr>
          <w:p w14:paraId="0A5737ED" w14:textId="2DB725C9"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 xml:space="preserve">30 a 59 </w:t>
            </w:r>
            <w:r w:rsidR="00FF61CE">
              <w:rPr>
                <w:bCs/>
                <w:sz w:val="18"/>
                <w:lang w:val="en-US"/>
              </w:rPr>
              <w:t>a</w:t>
            </w:r>
            <w:r w:rsidRPr="001145BC">
              <w:rPr>
                <w:bCs/>
                <w:sz w:val="18"/>
                <w:lang w:val="en-US"/>
              </w:rPr>
              <w:t>ños</w:t>
            </w:r>
          </w:p>
        </w:tc>
        <w:tc>
          <w:tcPr>
            <w:tcW w:w="1176" w:type="dxa"/>
            <w:shd w:val="clear" w:color="auto" w:fill="auto"/>
            <w:vAlign w:val="bottom"/>
            <w:hideMark/>
          </w:tcPr>
          <w:p w14:paraId="4F09386B" w14:textId="66314DD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42</w:t>
            </w:r>
            <w:r w:rsidR="003B0B16">
              <w:rPr>
                <w:bCs/>
                <w:sz w:val="18"/>
                <w:lang w:val="en-US"/>
              </w:rPr>
              <w:t>,</w:t>
            </w:r>
            <w:r w:rsidRPr="001145BC">
              <w:rPr>
                <w:bCs/>
                <w:sz w:val="18"/>
                <w:lang w:val="en-US"/>
              </w:rPr>
              <w:t>6</w:t>
            </w:r>
          </w:p>
        </w:tc>
        <w:tc>
          <w:tcPr>
            <w:tcW w:w="1175" w:type="dxa"/>
            <w:shd w:val="clear" w:color="auto" w:fill="auto"/>
            <w:vAlign w:val="bottom"/>
            <w:hideMark/>
          </w:tcPr>
          <w:p w14:paraId="2FC638FD" w14:textId="0C83DEF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43</w:t>
            </w:r>
            <w:r w:rsidR="003B0B16">
              <w:rPr>
                <w:bCs/>
                <w:sz w:val="18"/>
                <w:lang w:val="en-US"/>
              </w:rPr>
              <w:t>,</w:t>
            </w:r>
            <w:r w:rsidRPr="001145BC">
              <w:rPr>
                <w:bCs/>
                <w:sz w:val="18"/>
                <w:lang w:val="en-US"/>
              </w:rPr>
              <w:t>1</w:t>
            </w:r>
          </w:p>
        </w:tc>
        <w:tc>
          <w:tcPr>
            <w:tcW w:w="1175" w:type="dxa"/>
            <w:shd w:val="clear" w:color="auto" w:fill="auto"/>
            <w:vAlign w:val="bottom"/>
            <w:hideMark/>
          </w:tcPr>
          <w:p w14:paraId="62850CC3" w14:textId="3A0D6380"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42</w:t>
            </w:r>
            <w:r w:rsidR="003B0B16">
              <w:rPr>
                <w:bCs/>
                <w:sz w:val="18"/>
                <w:lang w:val="en-US"/>
              </w:rPr>
              <w:t>,</w:t>
            </w:r>
            <w:r w:rsidRPr="001145BC">
              <w:rPr>
                <w:bCs/>
                <w:sz w:val="18"/>
                <w:lang w:val="en-US"/>
              </w:rPr>
              <w:t>0</w:t>
            </w:r>
          </w:p>
        </w:tc>
        <w:tc>
          <w:tcPr>
            <w:tcW w:w="1175" w:type="dxa"/>
            <w:shd w:val="clear" w:color="auto" w:fill="auto"/>
            <w:vAlign w:val="bottom"/>
            <w:hideMark/>
          </w:tcPr>
          <w:p w14:paraId="2547804A" w14:textId="2EAF0110"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42</w:t>
            </w:r>
            <w:r w:rsidR="003B0B16">
              <w:rPr>
                <w:bCs/>
                <w:sz w:val="18"/>
                <w:lang w:val="en-US"/>
              </w:rPr>
              <w:t>,</w:t>
            </w:r>
            <w:r w:rsidRPr="001145BC">
              <w:rPr>
                <w:bCs/>
                <w:sz w:val="18"/>
                <w:lang w:val="en-US"/>
              </w:rPr>
              <w:t>9</w:t>
            </w:r>
          </w:p>
        </w:tc>
        <w:tc>
          <w:tcPr>
            <w:tcW w:w="1175" w:type="dxa"/>
            <w:shd w:val="clear" w:color="auto" w:fill="auto"/>
            <w:vAlign w:val="bottom"/>
            <w:hideMark/>
          </w:tcPr>
          <w:p w14:paraId="43115C7E" w14:textId="0AC89B4E"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48</w:t>
            </w:r>
            <w:r w:rsidR="003B0B16">
              <w:rPr>
                <w:bCs/>
                <w:sz w:val="18"/>
                <w:lang w:val="en-US"/>
              </w:rPr>
              <w:t>,</w:t>
            </w:r>
            <w:r w:rsidRPr="001145BC">
              <w:rPr>
                <w:bCs/>
                <w:sz w:val="18"/>
                <w:lang w:val="en-US"/>
              </w:rPr>
              <w:t>2</w:t>
            </w:r>
          </w:p>
        </w:tc>
      </w:tr>
      <w:tr w:rsidR="001145BC" w:rsidRPr="001145BC" w14:paraId="3878433B" w14:textId="77777777" w:rsidTr="009C4946">
        <w:tc>
          <w:tcPr>
            <w:tcW w:w="1494" w:type="dxa"/>
            <w:tcBorders>
              <w:bottom w:val="single" w:sz="12" w:space="0" w:color="auto"/>
            </w:tcBorders>
            <w:shd w:val="clear" w:color="auto" w:fill="auto"/>
            <w:noWrap/>
            <w:hideMark/>
          </w:tcPr>
          <w:p w14:paraId="4781F4A6" w14:textId="4CFAC6AB"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 xml:space="preserve">60 </w:t>
            </w:r>
            <w:r w:rsidR="00FF61CE">
              <w:rPr>
                <w:bCs/>
                <w:sz w:val="18"/>
                <w:lang w:val="en-US"/>
              </w:rPr>
              <w:t>a</w:t>
            </w:r>
            <w:r w:rsidRPr="001145BC">
              <w:rPr>
                <w:bCs/>
                <w:sz w:val="18"/>
                <w:lang w:val="en-US"/>
              </w:rPr>
              <w:t>ños y más</w:t>
            </w:r>
          </w:p>
        </w:tc>
        <w:tc>
          <w:tcPr>
            <w:tcW w:w="1176" w:type="dxa"/>
            <w:tcBorders>
              <w:bottom w:val="single" w:sz="12" w:space="0" w:color="auto"/>
            </w:tcBorders>
            <w:shd w:val="clear" w:color="auto" w:fill="auto"/>
            <w:vAlign w:val="bottom"/>
            <w:hideMark/>
          </w:tcPr>
          <w:p w14:paraId="5F936077" w14:textId="4BA464F6"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53</w:t>
            </w:r>
            <w:r w:rsidR="003B0B16">
              <w:rPr>
                <w:bCs/>
                <w:sz w:val="18"/>
                <w:lang w:val="en-US"/>
              </w:rPr>
              <w:t>,</w:t>
            </w:r>
            <w:r w:rsidRPr="001145BC">
              <w:rPr>
                <w:bCs/>
                <w:sz w:val="18"/>
                <w:lang w:val="en-US"/>
              </w:rPr>
              <w:t>8</w:t>
            </w:r>
          </w:p>
        </w:tc>
        <w:tc>
          <w:tcPr>
            <w:tcW w:w="1175" w:type="dxa"/>
            <w:tcBorders>
              <w:bottom w:val="single" w:sz="12" w:space="0" w:color="auto"/>
            </w:tcBorders>
            <w:shd w:val="clear" w:color="auto" w:fill="auto"/>
            <w:vAlign w:val="bottom"/>
            <w:hideMark/>
          </w:tcPr>
          <w:p w14:paraId="33E89F1B" w14:textId="7CC21F3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55</w:t>
            </w:r>
            <w:r w:rsidR="003B0B16">
              <w:rPr>
                <w:bCs/>
                <w:sz w:val="18"/>
                <w:lang w:val="en-US"/>
              </w:rPr>
              <w:t>,</w:t>
            </w:r>
            <w:r w:rsidRPr="001145BC">
              <w:rPr>
                <w:bCs/>
                <w:sz w:val="18"/>
                <w:lang w:val="en-US"/>
              </w:rPr>
              <w:t>3</w:t>
            </w:r>
          </w:p>
        </w:tc>
        <w:tc>
          <w:tcPr>
            <w:tcW w:w="1175" w:type="dxa"/>
            <w:tcBorders>
              <w:bottom w:val="single" w:sz="12" w:space="0" w:color="auto"/>
            </w:tcBorders>
            <w:shd w:val="clear" w:color="auto" w:fill="auto"/>
            <w:vAlign w:val="bottom"/>
            <w:hideMark/>
          </w:tcPr>
          <w:p w14:paraId="7E2C9B88" w14:textId="3E343F6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56</w:t>
            </w:r>
            <w:r w:rsidR="003B0B16">
              <w:rPr>
                <w:bCs/>
                <w:sz w:val="18"/>
                <w:lang w:val="en-US"/>
              </w:rPr>
              <w:t>,</w:t>
            </w:r>
            <w:r w:rsidRPr="001145BC">
              <w:rPr>
                <w:bCs/>
                <w:sz w:val="18"/>
                <w:lang w:val="en-US"/>
              </w:rPr>
              <w:t>4</w:t>
            </w:r>
          </w:p>
        </w:tc>
        <w:tc>
          <w:tcPr>
            <w:tcW w:w="1175" w:type="dxa"/>
            <w:tcBorders>
              <w:bottom w:val="single" w:sz="12" w:space="0" w:color="auto"/>
            </w:tcBorders>
            <w:shd w:val="clear" w:color="auto" w:fill="auto"/>
            <w:vAlign w:val="bottom"/>
            <w:hideMark/>
          </w:tcPr>
          <w:p w14:paraId="1057B09D" w14:textId="7570EB5E"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53</w:t>
            </w:r>
            <w:r w:rsidR="003B0B16">
              <w:rPr>
                <w:bCs/>
                <w:sz w:val="18"/>
                <w:lang w:val="en-US"/>
              </w:rPr>
              <w:t>,</w:t>
            </w:r>
            <w:r w:rsidRPr="001145BC">
              <w:rPr>
                <w:bCs/>
                <w:sz w:val="18"/>
                <w:lang w:val="en-US"/>
              </w:rPr>
              <w:t>0</w:t>
            </w:r>
          </w:p>
        </w:tc>
        <w:tc>
          <w:tcPr>
            <w:tcW w:w="1175" w:type="dxa"/>
            <w:tcBorders>
              <w:bottom w:val="single" w:sz="12" w:space="0" w:color="auto"/>
            </w:tcBorders>
            <w:shd w:val="clear" w:color="auto" w:fill="auto"/>
            <w:vAlign w:val="bottom"/>
            <w:hideMark/>
          </w:tcPr>
          <w:p w14:paraId="0F1F226C" w14:textId="080261A6"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57</w:t>
            </w:r>
            <w:r w:rsidR="003B0B16">
              <w:rPr>
                <w:bCs/>
                <w:sz w:val="18"/>
                <w:lang w:val="en-US"/>
              </w:rPr>
              <w:t>,</w:t>
            </w:r>
            <w:r w:rsidRPr="001145BC">
              <w:rPr>
                <w:bCs/>
                <w:sz w:val="18"/>
                <w:lang w:val="en-US"/>
              </w:rPr>
              <w:t>7</w:t>
            </w:r>
          </w:p>
        </w:tc>
      </w:tr>
    </w:tbl>
    <w:p w14:paraId="78B7F889" w14:textId="77777777" w:rsidR="0069218C" w:rsidRPr="00386B6B" w:rsidRDefault="0069218C" w:rsidP="001C2C73">
      <w:pPr>
        <w:pStyle w:val="Ttulo1"/>
        <w:spacing w:before="240" w:after="120"/>
        <w:rPr>
          <w:b/>
          <w:lang w:val="es-ES"/>
        </w:rPr>
      </w:pPr>
      <w:r w:rsidRPr="00386B6B">
        <w:rPr>
          <w:b/>
          <w:lang w:val="es-ES"/>
        </w:rPr>
        <w:lastRenderedPageBreak/>
        <w:t>Tasa de empleo formal área urbana</w:t>
      </w:r>
    </w:p>
    <w:tbl>
      <w:tblPr>
        <w:tblW w:w="7370" w:type="dxa"/>
        <w:tblInd w:w="1134" w:type="dxa"/>
        <w:tblLayout w:type="fixed"/>
        <w:tblCellMar>
          <w:left w:w="0" w:type="dxa"/>
          <w:right w:w="0" w:type="dxa"/>
        </w:tblCellMar>
        <w:tblLook w:val="04A0" w:firstRow="1" w:lastRow="0" w:firstColumn="1" w:lastColumn="0" w:noHBand="0" w:noVBand="1"/>
      </w:tblPr>
      <w:tblGrid>
        <w:gridCol w:w="1494"/>
        <w:gridCol w:w="1176"/>
        <w:gridCol w:w="1175"/>
        <w:gridCol w:w="1175"/>
        <w:gridCol w:w="1175"/>
        <w:gridCol w:w="1175"/>
      </w:tblGrid>
      <w:tr w:rsidR="001145BC" w:rsidRPr="001145BC" w14:paraId="51BA9B4C" w14:textId="77777777" w:rsidTr="009C4946">
        <w:trPr>
          <w:tblHeader/>
        </w:trPr>
        <w:tc>
          <w:tcPr>
            <w:tcW w:w="1494" w:type="dxa"/>
            <w:tcBorders>
              <w:top w:val="single" w:sz="4" w:space="0" w:color="auto"/>
              <w:bottom w:val="single" w:sz="12" w:space="0" w:color="auto"/>
            </w:tcBorders>
            <w:shd w:val="clear" w:color="auto" w:fill="auto"/>
            <w:vAlign w:val="bottom"/>
            <w:hideMark/>
          </w:tcPr>
          <w:p w14:paraId="44C69243"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left"/>
              <w:rPr>
                <w:bCs/>
                <w:i/>
                <w:sz w:val="16"/>
                <w:lang w:val="en-US"/>
              </w:rPr>
            </w:pPr>
            <w:r w:rsidRPr="001145BC">
              <w:rPr>
                <w:bCs/>
                <w:i/>
                <w:sz w:val="16"/>
                <w:lang w:val="en-US"/>
              </w:rPr>
              <w:t>Desagregación</w:t>
            </w:r>
          </w:p>
        </w:tc>
        <w:tc>
          <w:tcPr>
            <w:tcW w:w="1176" w:type="dxa"/>
            <w:tcBorders>
              <w:top w:val="single" w:sz="4" w:space="0" w:color="auto"/>
              <w:bottom w:val="single" w:sz="12" w:space="0" w:color="auto"/>
            </w:tcBorders>
            <w:shd w:val="clear" w:color="auto" w:fill="auto"/>
            <w:vAlign w:val="bottom"/>
            <w:hideMark/>
          </w:tcPr>
          <w:p w14:paraId="10E5DCCC"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2016</w:t>
            </w:r>
          </w:p>
        </w:tc>
        <w:tc>
          <w:tcPr>
            <w:tcW w:w="1175" w:type="dxa"/>
            <w:tcBorders>
              <w:top w:val="single" w:sz="4" w:space="0" w:color="auto"/>
              <w:bottom w:val="single" w:sz="12" w:space="0" w:color="auto"/>
            </w:tcBorders>
            <w:shd w:val="clear" w:color="auto" w:fill="auto"/>
            <w:vAlign w:val="bottom"/>
            <w:hideMark/>
          </w:tcPr>
          <w:p w14:paraId="5D544A63"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2017</w:t>
            </w:r>
          </w:p>
        </w:tc>
        <w:tc>
          <w:tcPr>
            <w:tcW w:w="1175" w:type="dxa"/>
            <w:tcBorders>
              <w:top w:val="single" w:sz="4" w:space="0" w:color="auto"/>
              <w:bottom w:val="single" w:sz="12" w:space="0" w:color="auto"/>
            </w:tcBorders>
            <w:shd w:val="clear" w:color="auto" w:fill="auto"/>
            <w:vAlign w:val="bottom"/>
            <w:hideMark/>
          </w:tcPr>
          <w:p w14:paraId="05B68E5C"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2018</w:t>
            </w:r>
          </w:p>
        </w:tc>
        <w:tc>
          <w:tcPr>
            <w:tcW w:w="1175" w:type="dxa"/>
            <w:tcBorders>
              <w:top w:val="single" w:sz="4" w:space="0" w:color="auto"/>
              <w:bottom w:val="single" w:sz="12" w:space="0" w:color="auto"/>
            </w:tcBorders>
            <w:shd w:val="clear" w:color="auto" w:fill="auto"/>
            <w:vAlign w:val="bottom"/>
            <w:hideMark/>
          </w:tcPr>
          <w:p w14:paraId="47802375"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2019</w:t>
            </w:r>
          </w:p>
        </w:tc>
        <w:tc>
          <w:tcPr>
            <w:tcW w:w="1175" w:type="dxa"/>
            <w:tcBorders>
              <w:top w:val="single" w:sz="4" w:space="0" w:color="auto"/>
              <w:bottom w:val="single" w:sz="12" w:space="0" w:color="auto"/>
            </w:tcBorders>
            <w:shd w:val="clear" w:color="auto" w:fill="auto"/>
            <w:vAlign w:val="bottom"/>
            <w:hideMark/>
          </w:tcPr>
          <w:p w14:paraId="19DD16A6"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n-US"/>
              </w:rPr>
            </w:pPr>
            <w:r w:rsidRPr="001145BC">
              <w:rPr>
                <w:bCs/>
                <w:i/>
                <w:sz w:val="16"/>
                <w:lang w:val="en-US"/>
              </w:rPr>
              <w:t>2020</w:t>
            </w:r>
          </w:p>
        </w:tc>
      </w:tr>
      <w:tr w:rsidR="001145BC" w:rsidRPr="001C2C73" w14:paraId="4A01A40C" w14:textId="77777777" w:rsidTr="009C4946">
        <w:tc>
          <w:tcPr>
            <w:tcW w:w="1494" w:type="dxa"/>
            <w:tcBorders>
              <w:top w:val="single" w:sz="12" w:space="0" w:color="auto"/>
            </w:tcBorders>
            <w:shd w:val="clear" w:color="auto" w:fill="auto"/>
            <w:hideMark/>
          </w:tcPr>
          <w:p w14:paraId="7EE486E6" w14:textId="77777777" w:rsidR="0069218C" w:rsidRPr="001C2C73" w:rsidRDefault="0069218C" w:rsidP="001145BC">
            <w:pPr>
              <w:pStyle w:val="SingleTxtG"/>
              <w:tabs>
                <w:tab w:val="clear" w:pos="1701"/>
                <w:tab w:val="clear" w:pos="2268"/>
                <w:tab w:val="clear" w:pos="2835"/>
              </w:tabs>
              <w:spacing w:before="40" w:after="40" w:line="220" w:lineRule="exact"/>
              <w:ind w:left="0" w:right="0"/>
              <w:jc w:val="left"/>
              <w:rPr>
                <w:b/>
                <w:bCs/>
                <w:sz w:val="18"/>
                <w:lang w:val="en-US"/>
              </w:rPr>
            </w:pPr>
            <w:r w:rsidRPr="001C2C73">
              <w:rPr>
                <w:b/>
                <w:bCs/>
                <w:sz w:val="18"/>
                <w:lang w:val="es-SV"/>
              </w:rPr>
              <w:t>Nacional</w:t>
            </w:r>
          </w:p>
        </w:tc>
        <w:tc>
          <w:tcPr>
            <w:tcW w:w="1176" w:type="dxa"/>
            <w:tcBorders>
              <w:top w:val="single" w:sz="12" w:space="0" w:color="auto"/>
            </w:tcBorders>
            <w:shd w:val="clear" w:color="auto" w:fill="auto"/>
            <w:vAlign w:val="bottom"/>
            <w:hideMark/>
          </w:tcPr>
          <w:p w14:paraId="20183306" w14:textId="5E68D161"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50</w:t>
            </w:r>
            <w:r w:rsidR="003B0B16" w:rsidRPr="001C2C73">
              <w:rPr>
                <w:b/>
                <w:bCs/>
                <w:sz w:val="18"/>
                <w:lang w:val="en-US"/>
              </w:rPr>
              <w:t>,</w:t>
            </w:r>
            <w:r w:rsidRPr="001C2C73">
              <w:rPr>
                <w:b/>
                <w:bCs/>
                <w:sz w:val="18"/>
                <w:lang w:val="en-US"/>
              </w:rPr>
              <w:t>9</w:t>
            </w:r>
          </w:p>
        </w:tc>
        <w:tc>
          <w:tcPr>
            <w:tcW w:w="1175" w:type="dxa"/>
            <w:tcBorders>
              <w:top w:val="single" w:sz="12" w:space="0" w:color="auto"/>
            </w:tcBorders>
            <w:shd w:val="clear" w:color="auto" w:fill="auto"/>
            <w:vAlign w:val="bottom"/>
            <w:hideMark/>
          </w:tcPr>
          <w:p w14:paraId="5B6A1E42" w14:textId="7635594A"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50</w:t>
            </w:r>
            <w:r w:rsidR="003B0B16" w:rsidRPr="001C2C73">
              <w:rPr>
                <w:b/>
                <w:bCs/>
                <w:sz w:val="18"/>
                <w:lang w:val="en-US"/>
              </w:rPr>
              <w:t>,</w:t>
            </w:r>
            <w:r w:rsidRPr="001C2C73">
              <w:rPr>
                <w:b/>
                <w:bCs/>
                <w:sz w:val="18"/>
                <w:lang w:val="en-US"/>
              </w:rPr>
              <w:t>5</w:t>
            </w:r>
          </w:p>
        </w:tc>
        <w:tc>
          <w:tcPr>
            <w:tcW w:w="1175" w:type="dxa"/>
            <w:tcBorders>
              <w:top w:val="single" w:sz="12" w:space="0" w:color="auto"/>
            </w:tcBorders>
            <w:shd w:val="clear" w:color="auto" w:fill="auto"/>
            <w:vAlign w:val="bottom"/>
            <w:hideMark/>
          </w:tcPr>
          <w:p w14:paraId="1117A2D8" w14:textId="77AF7107"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52</w:t>
            </w:r>
            <w:r w:rsidR="003B0B16" w:rsidRPr="001C2C73">
              <w:rPr>
                <w:b/>
                <w:bCs/>
                <w:sz w:val="18"/>
                <w:lang w:val="en-US"/>
              </w:rPr>
              <w:t>,</w:t>
            </w:r>
            <w:r w:rsidRPr="001C2C73">
              <w:rPr>
                <w:b/>
                <w:bCs/>
                <w:sz w:val="18"/>
                <w:lang w:val="en-US"/>
              </w:rPr>
              <w:t>0</w:t>
            </w:r>
          </w:p>
        </w:tc>
        <w:tc>
          <w:tcPr>
            <w:tcW w:w="1175" w:type="dxa"/>
            <w:tcBorders>
              <w:top w:val="single" w:sz="12" w:space="0" w:color="auto"/>
            </w:tcBorders>
            <w:shd w:val="clear" w:color="auto" w:fill="auto"/>
            <w:vAlign w:val="bottom"/>
            <w:hideMark/>
          </w:tcPr>
          <w:p w14:paraId="52CEFC47" w14:textId="20901135"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51</w:t>
            </w:r>
            <w:r w:rsidR="003B0B16" w:rsidRPr="001C2C73">
              <w:rPr>
                <w:b/>
                <w:bCs/>
                <w:sz w:val="18"/>
                <w:lang w:val="en-US"/>
              </w:rPr>
              <w:t>,</w:t>
            </w:r>
            <w:r w:rsidRPr="001C2C73">
              <w:rPr>
                <w:b/>
                <w:bCs/>
                <w:sz w:val="18"/>
                <w:lang w:val="en-US"/>
              </w:rPr>
              <w:t>2</w:t>
            </w:r>
          </w:p>
        </w:tc>
        <w:tc>
          <w:tcPr>
            <w:tcW w:w="1175" w:type="dxa"/>
            <w:tcBorders>
              <w:top w:val="single" w:sz="12" w:space="0" w:color="auto"/>
            </w:tcBorders>
            <w:shd w:val="clear" w:color="auto" w:fill="auto"/>
            <w:vAlign w:val="bottom"/>
            <w:hideMark/>
          </w:tcPr>
          <w:p w14:paraId="69B11864" w14:textId="51F0D4E0" w:rsidR="0069218C" w:rsidRPr="001C2C73" w:rsidRDefault="0069218C" w:rsidP="001145BC">
            <w:pPr>
              <w:pStyle w:val="SingleTxtG"/>
              <w:tabs>
                <w:tab w:val="clear" w:pos="1701"/>
                <w:tab w:val="clear" w:pos="2268"/>
                <w:tab w:val="clear" w:pos="2835"/>
              </w:tabs>
              <w:spacing w:before="40" w:after="40" w:line="220" w:lineRule="exact"/>
              <w:ind w:left="0" w:right="0"/>
              <w:jc w:val="right"/>
              <w:rPr>
                <w:b/>
                <w:bCs/>
                <w:sz w:val="18"/>
                <w:lang w:val="en-US"/>
              </w:rPr>
            </w:pPr>
            <w:r w:rsidRPr="001C2C73">
              <w:rPr>
                <w:b/>
                <w:bCs/>
                <w:sz w:val="18"/>
                <w:lang w:val="en-US"/>
              </w:rPr>
              <w:t>45</w:t>
            </w:r>
            <w:r w:rsidR="003B0B16" w:rsidRPr="001C2C73">
              <w:rPr>
                <w:b/>
                <w:bCs/>
                <w:sz w:val="18"/>
                <w:lang w:val="en-US"/>
              </w:rPr>
              <w:t>,</w:t>
            </w:r>
            <w:r w:rsidRPr="001C2C73">
              <w:rPr>
                <w:b/>
                <w:bCs/>
                <w:sz w:val="18"/>
                <w:lang w:val="en-US"/>
              </w:rPr>
              <w:t>5</w:t>
            </w:r>
          </w:p>
        </w:tc>
      </w:tr>
      <w:tr w:rsidR="001145BC" w:rsidRPr="001145BC" w14:paraId="6B97C35E" w14:textId="77777777" w:rsidTr="009C4946">
        <w:tc>
          <w:tcPr>
            <w:tcW w:w="1494" w:type="dxa"/>
            <w:shd w:val="clear" w:color="auto" w:fill="auto"/>
            <w:hideMark/>
          </w:tcPr>
          <w:p w14:paraId="3BFF3388"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Hombre</w:t>
            </w:r>
          </w:p>
        </w:tc>
        <w:tc>
          <w:tcPr>
            <w:tcW w:w="1176" w:type="dxa"/>
            <w:shd w:val="clear" w:color="auto" w:fill="auto"/>
            <w:vAlign w:val="bottom"/>
            <w:hideMark/>
          </w:tcPr>
          <w:p w14:paraId="4868B3B6" w14:textId="1F237F2D"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56</w:t>
            </w:r>
            <w:r w:rsidR="003B0B16">
              <w:rPr>
                <w:bCs/>
                <w:sz w:val="18"/>
                <w:lang w:val="en-US"/>
              </w:rPr>
              <w:t>,</w:t>
            </w:r>
            <w:r w:rsidRPr="001145BC">
              <w:rPr>
                <w:bCs/>
                <w:sz w:val="18"/>
                <w:lang w:val="en-US"/>
              </w:rPr>
              <w:t>7</w:t>
            </w:r>
          </w:p>
        </w:tc>
        <w:tc>
          <w:tcPr>
            <w:tcW w:w="1175" w:type="dxa"/>
            <w:shd w:val="clear" w:color="auto" w:fill="auto"/>
            <w:vAlign w:val="bottom"/>
            <w:hideMark/>
          </w:tcPr>
          <w:p w14:paraId="73C315A5" w14:textId="2FD2A71B"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55</w:t>
            </w:r>
            <w:r w:rsidR="003B0B16">
              <w:rPr>
                <w:bCs/>
                <w:sz w:val="18"/>
                <w:lang w:val="en-US"/>
              </w:rPr>
              <w:t>,</w:t>
            </w:r>
            <w:r w:rsidRPr="001145BC">
              <w:rPr>
                <w:bCs/>
                <w:sz w:val="18"/>
                <w:lang w:val="en-US"/>
              </w:rPr>
              <w:t>9</w:t>
            </w:r>
          </w:p>
        </w:tc>
        <w:tc>
          <w:tcPr>
            <w:tcW w:w="1175" w:type="dxa"/>
            <w:shd w:val="clear" w:color="auto" w:fill="auto"/>
            <w:vAlign w:val="bottom"/>
            <w:hideMark/>
          </w:tcPr>
          <w:p w14:paraId="1E22548D" w14:textId="3F6194C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56</w:t>
            </w:r>
            <w:r w:rsidR="003B0B16">
              <w:rPr>
                <w:bCs/>
                <w:sz w:val="18"/>
                <w:lang w:val="en-US"/>
              </w:rPr>
              <w:t>,</w:t>
            </w:r>
            <w:r w:rsidRPr="001145BC">
              <w:rPr>
                <w:bCs/>
                <w:sz w:val="18"/>
                <w:lang w:val="en-US"/>
              </w:rPr>
              <w:t>5</w:t>
            </w:r>
          </w:p>
        </w:tc>
        <w:tc>
          <w:tcPr>
            <w:tcW w:w="1175" w:type="dxa"/>
            <w:shd w:val="clear" w:color="auto" w:fill="auto"/>
            <w:vAlign w:val="bottom"/>
            <w:hideMark/>
          </w:tcPr>
          <w:p w14:paraId="26127792" w14:textId="1D951ADE"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56</w:t>
            </w:r>
            <w:r w:rsidR="003B0B16">
              <w:rPr>
                <w:bCs/>
                <w:sz w:val="18"/>
                <w:lang w:val="en-US"/>
              </w:rPr>
              <w:t>,</w:t>
            </w:r>
            <w:r w:rsidRPr="001145BC">
              <w:rPr>
                <w:bCs/>
                <w:sz w:val="18"/>
                <w:lang w:val="en-US"/>
              </w:rPr>
              <w:t>6</w:t>
            </w:r>
          </w:p>
        </w:tc>
        <w:tc>
          <w:tcPr>
            <w:tcW w:w="1175" w:type="dxa"/>
            <w:shd w:val="clear" w:color="auto" w:fill="auto"/>
            <w:vAlign w:val="bottom"/>
            <w:hideMark/>
          </w:tcPr>
          <w:p w14:paraId="2D81E76B" w14:textId="7C346D31"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50</w:t>
            </w:r>
            <w:r w:rsidR="003B0B16">
              <w:rPr>
                <w:bCs/>
                <w:sz w:val="18"/>
                <w:lang w:val="en-US"/>
              </w:rPr>
              <w:t>,</w:t>
            </w:r>
            <w:r w:rsidRPr="001145BC">
              <w:rPr>
                <w:bCs/>
                <w:sz w:val="18"/>
                <w:lang w:val="en-US"/>
              </w:rPr>
              <w:t>7</w:t>
            </w:r>
          </w:p>
        </w:tc>
      </w:tr>
      <w:tr w:rsidR="001145BC" w:rsidRPr="001145BC" w14:paraId="1704A06E" w14:textId="77777777" w:rsidTr="009C4946">
        <w:tc>
          <w:tcPr>
            <w:tcW w:w="1494" w:type="dxa"/>
            <w:shd w:val="clear" w:color="auto" w:fill="auto"/>
            <w:hideMark/>
          </w:tcPr>
          <w:p w14:paraId="382EE2A3"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s-SV"/>
              </w:rPr>
              <w:t>Mujer</w:t>
            </w:r>
          </w:p>
        </w:tc>
        <w:tc>
          <w:tcPr>
            <w:tcW w:w="1176" w:type="dxa"/>
            <w:shd w:val="clear" w:color="auto" w:fill="auto"/>
            <w:vAlign w:val="bottom"/>
            <w:hideMark/>
          </w:tcPr>
          <w:p w14:paraId="79B959DC" w14:textId="024DFA00"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44</w:t>
            </w:r>
            <w:r w:rsidR="003B0B16">
              <w:rPr>
                <w:bCs/>
                <w:sz w:val="18"/>
                <w:lang w:val="en-US"/>
              </w:rPr>
              <w:t>,</w:t>
            </w:r>
            <w:r w:rsidRPr="001145BC">
              <w:rPr>
                <w:bCs/>
                <w:sz w:val="18"/>
                <w:lang w:val="en-US"/>
              </w:rPr>
              <w:t>0</w:t>
            </w:r>
          </w:p>
        </w:tc>
        <w:tc>
          <w:tcPr>
            <w:tcW w:w="1175" w:type="dxa"/>
            <w:shd w:val="clear" w:color="auto" w:fill="auto"/>
            <w:vAlign w:val="bottom"/>
            <w:hideMark/>
          </w:tcPr>
          <w:p w14:paraId="56B9342C" w14:textId="047C7598"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44</w:t>
            </w:r>
            <w:r w:rsidR="003B0B16">
              <w:rPr>
                <w:bCs/>
                <w:sz w:val="18"/>
                <w:lang w:val="en-US"/>
              </w:rPr>
              <w:t>,</w:t>
            </w:r>
            <w:r w:rsidRPr="001145BC">
              <w:rPr>
                <w:bCs/>
                <w:sz w:val="18"/>
                <w:lang w:val="en-US"/>
              </w:rPr>
              <w:t>2</w:t>
            </w:r>
          </w:p>
        </w:tc>
        <w:tc>
          <w:tcPr>
            <w:tcW w:w="1175" w:type="dxa"/>
            <w:shd w:val="clear" w:color="auto" w:fill="auto"/>
            <w:vAlign w:val="bottom"/>
            <w:hideMark/>
          </w:tcPr>
          <w:p w14:paraId="1A136184" w14:textId="35B8066A"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46</w:t>
            </w:r>
            <w:r w:rsidR="003B0B16">
              <w:rPr>
                <w:bCs/>
                <w:sz w:val="18"/>
                <w:lang w:val="en-US"/>
              </w:rPr>
              <w:t>,</w:t>
            </w:r>
            <w:r w:rsidRPr="001145BC">
              <w:rPr>
                <w:bCs/>
                <w:sz w:val="18"/>
                <w:lang w:val="en-US"/>
              </w:rPr>
              <w:t>6</w:t>
            </w:r>
          </w:p>
        </w:tc>
        <w:tc>
          <w:tcPr>
            <w:tcW w:w="1175" w:type="dxa"/>
            <w:shd w:val="clear" w:color="auto" w:fill="auto"/>
            <w:vAlign w:val="bottom"/>
            <w:hideMark/>
          </w:tcPr>
          <w:p w14:paraId="7490BD25" w14:textId="6FDAD1D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44</w:t>
            </w:r>
            <w:r w:rsidR="003B0B16">
              <w:rPr>
                <w:bCs/>
                <w:sz w:val="18"/>
                <w:lang w:val="en-US"/>
              </w:rPr>
              <w:t>,</w:t>
            </w:r>
            <w:r w:rsidRPr="001145BC">
              <w:rPr>
                <w:bCs/>
                <w:sz w:val="18"/>
                <w:lang w:val="en-US"/>
              </w:rPr>
              <w:t>8</w:t>
            </w:r>
          </w:p>
        </w:tc>
        <w:tc>
          <w:tcPr>
            <w:tcW w:w="1175" w:type="dxa"/>
            <w:shd w:val="clear" w:color="auto" w:fill="auto"/>
            <w:vAlign w:val="bottom"/>
            <w:hideMark/>
          </w:tcPr>
          <w:p w14:paraId="6FB53D7C" w14:textId="38B0D848"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39</w:t>
            </w:r>
            <w:r w:rsidR="003B0B16">
              <w:rPr>
                <w:bCs/>
                <w:sz w:val="18"/>
                <w:lang w:val="en-US"/>
              </w:rPr>
              <w:t>,</w:t>
            </w:r>
            <w:r w:rsidRPr="001145BC">
              <w:rPr>
                <w:bCs/>
                <w:sz w:val="18"/>
                <w:lang w:val="en-US"/>
              </w:rPr>
              <w:t>1</w:t>
            </w:r>
          </w:p>
        </w:tc>
      </w:tr>
      <w:tr w:rsidR="001145BC" w:rsidRPr="001145BC" w14:paraId="5CC25149" w14:textId="77777777" w:rsidTr="009C4946">
        <w:tc>
          <w:tcPr>
            <w:tcW w:w="1494" w:type="dxa"/>
            <w:shd w:val="clear" w:color="auto" w:fill="auto"/>
            <w:noWrap/>
            <w:hideMark/>
          </w:tcPr>
          <w:p w14:paraId="278B6278"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 xml:space="preserve">16 a 29 </w:t>
            </w:r>
            <w:r w:rsidRPr="001145BC">
              <w:rPr>
                <w:bCs/>
                <w:sz w:val="18"/>
                <w:lang w:val="es-SV"/>
              </w:rPr>
              <w:t>años</w:t>
            </w:r>
          </w:p>
        </w:tc>
        <w:tc>
          <w:tcPr>
            <w:tcW w:w="1176" w:type="dxa"/>
            <w:shd w:val="clear" w:color="auto" w:fill="auto"/>
            <w:vAlign w:val="bottom"/>
            <w:hideMark/>
          </w:tcPr>
          <w:p w14:paraId="294D6C83" w14:textId="73661E64"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48</w:t>
            </w:r>
            <w:r w:rsidR="003B0B16">
              <w:rPr>
                <w:bCs/>
                <w:sz w:val="18"/>
                <w:lang w:val="en-US"/>
              </w:rPr>
              <w:t>,</w:t>
            </w:r>
            <w:r w:rsidRPr="001145BC">
              <w:rPr>
                <w:bCs/>
                <w:sz w:val="18"/>
                <w:lang w:val="en-US"/>
              </w:rPr>
              <w:t>9</w:t>
            </w:r>
          </w:p>
        </w:tc>
        <w:tc>
          <w:tcPr>
            <w:tcW w:w="1175" w:type="dxa"/>
            <w:shd w:val="clear" w:color="auto" w:fill="auto"/>
            <w:vAlign w:val="bottom"/>
            <w:hideMark/>
          </w:tcPr>
          <w:p w14:paraId="1A48AC0B" w14:textId="2FA8D32C"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49</w:t>
            </w:r>
            <w:r w:rsidR="003B0B16">
              <w:rPr>
                <w:bCs/>
                <w:sz w:val="18"/>
                <w:lang w:val="en-US"/>
              </w:rPr>
              <w:t>,</w:t>
            </w:r>
            <w:r w:rsidRPr="001145BC">
              <w:rPr>
                <w:bCs/>
                <w:sz w:val="18"/>
                <w:lang w:val="en-US"/>
              </w:rPr>
              <w:t>4</w:t>
            </w:r>
          </w:p>
        </w:tc>
        <w:tc>
          <w:tcPr>
            <w:tcW w:w="1175" w:type="dxa"/>
            <w:shd w:val="clear" w:color="auto" w:fill="auto"/>
            <w:vAlign w:val="bottom"/>
            <w:hideMark/>
          </w:tcPr>
          <w:p w14:paraId="70FCDC4A" w14:textId="7ABA07BD"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50</w:t>
            </w:r>
            <w:r w:rsidR="003B0B16">
              <w:rPr>
                <w:bCs/>
                <w:sz w:val="18"/>
                <w:lang w:val="en-US"/>
              </w:rPr>
              <w:t>,</w:t>
            </w:r>
            <w:r w:rsidRPr="001145BC">
              <w:rPr>
                <w:bCs/>
                <w:sz w:val="18"/>
                <w:lang w:val="en-US"/>
              </w:rPr>
              <w:t>6</w:t>
            </w:r>
          </w:p>
        </w:tc>
        <w:tc>
          <w:tcPr>
            <w:tcW w:w="1175" w:type="dxa"/>
            <w:shd w:val="clear" w:color="auto" w:fill="auto"/>
            <w:vAlign w:val="bottom"/>
            <w:hideMark/>
          </w:tcPr>
          <w:p w14:paraId="2F9BE8DD" w14:textId="4DC7C5CF"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49</w:t>
            </w:r>
            <w:r w:rsidR="003B0B16">
              <w:rPr>
                <w:bCs/>
                <w:sz w:val="18"/>
                <w:lang w:val="en-US"/>
              </w:rPr>
              <w:t>,</w:t>
            </w:r>
            <w:r w:rsidRPr="001145BC">
              <w:rPr>
                <w:bCs/>
                <w:sz w:val="18"/>
                <w:lang w:val="en-US"/>
              </w:rPr>
              <w:t>5</w:t>
            </w:r>
          </w:p>
        </w:tc>
        <w:tc>
          <w:tcPr>
            <w:tcW w:w="1175" w:type="dxa"/>
            <w:shd w:val="clear" w:color="auto" w:fill="auto"/>
            <w:vAlign w:val="bottom"/>
            <w:hideMark/>
          </w:tcPr>
          <w:p w14:paraId="0B412202" w14:textId="03FC82A0"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42</w:t>
            </w:r>
            <w:r w:rsidR="003B0B16">
              <w:rPr>
                <w:bCs/>
                <w:sz w:val="18"/>
                <w:lang w:val="en-US"/>
              </w:rPr>
              <w:t>,</w:t>
            </w:r>
            <w:r w:rsidRPr="001145BC">
              <w:rPr>
                <w:bCs/>
                <w:sz w:val="18"/>
                <w:lang w:val="en-US"/>
              </w:rPr>
              <w:t>6</w:t>
            </w:r>
          </w:p>
        </w:tc>
      </w:tr>
      <w:tr w:rsidR="001145BC" w:rsidRPr="001145BC" w14:paraId="796E3DD2" w14:textId="77777777" w:rsidTr="009C4946">
        <w:tc>
          <w:tcPr>
            <w:tcW w:w="1494" w:type="dxa"/>
            <w:shd w:val="clear" w:color="auto" w:fill="auto"/>
            <w:noWrap/>
            <w:hideMark/>
          </w:tcPr>
          <w:p w14:paraId="25B53DF4"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 xml:space="preserve">30 a 59 </w:t>
            </w:r>
            <w:r w:rsidRPr="001145BC">
              <w:rPr>
                <w:bCs/>
                <w:sz w:val="18"/>
                <w:lang w:val="es-SV"/>
              </w:rPr>
              <w:t>años</w:t>
            </w:r>
          </w:p>
        </w:tc>
        <w:tc>
          <w:tcPr>
            <w:tcW w:w="1176" w:type="dxa"/>
            <w:shd w:val="clear" w:color="auto" w:fill="auto"/>
            <w:vAlign w:val="bottom"/>
            <w:hideMark/>
          </w:tcPr>
          <w:p w14:paraId="35168AB7" w14:textId="092BE13C"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53</w:t>
            </w:r>
            <w:r w:rsidR="003B0B16">
              <w:rPr>
                <w:bCs/>
                <w:sz w:val="18"/>
                <w:lang w:val="en-US"/>
              </w:rPr>
              <w:t>,</w:t>
            </w:r>
            <w:r w:rsidRPr="001145BC">
              <w:rPr>
                <w:bCs/>
                <w:sz w:val="18"/>
                <w:lang w:val="en-US"/>
              </w:rPr>
              <w:t>4</w:t>
            </w:r>
          </w:p>
        </w:tc>
        <w:tc>
          <w:tcPr>
            <w:tcW w:w="1175" w:type="dxa"/>
            <w:shd w:val="clear" w:color="auto" w:fill="auto"/>
            <w:vAlign w:val="bottom"/>
            <w:hideMark/>
          </w:tcPr>
          <w:p w14:paraId="3CD4567D" w14:textId="736C7B9B"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52</w:t>
            </w:r>
            <w:r w:rsidR="003B0B16">
              <w:rPr>
                <w:bCs/>
                <w:sz w:val="18"/>
                <w:lang w:val="en-US"/>
              </w:rPr>
              <w:t>,</w:t>
            </w:r>
            <w:r w:rsidRPr="001145BC">
              <w:rPr>
                <w:bCs/>
                <w:sz w:val="18"/>
                <w:lang w:val="en-US"/>
              </w:rPr>
              <w:t>7</w:t>
            </w:r>
          </w:p>
        </w:tc>
        <w:tc>
          <w:tcPr>
            <w:tcW w:w="1175" w:type="dxa"/>
            <w:shd w:val="clear" w:color="auto" w:fill="auto"/>
            <w:vAlign w:val="bottom"/>
            <w:hideMark/>
          </w:tcPr>
          <w:p w14:paraId="3906C23E" w14:textId="23CEEE1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54</w:t>
            </w:r>
            <w:r w:rsidR="003B0B16">
              <w:rPr>
                <w:bCs/>
                <w:sz w:val="18"/>
                <w:lang w:val="en-US"/>
              </w:rPr>
              <w:t>,</w:t>
            </w:r>
            <w:r w:rsidRPr="001145BC">
              <w:rPr>
                <w:bCs/>
                <w:sz w:val="18"/>
                <w:lang w:val="en-US"/>
              </w:rPr>
              <w:t>5</w:t>
            </w:r>
          </w:p>
        </w:tc>
        <w:tc>
          <w:tcPr>
            <w:tcW w:w="1175" w:type="dxa"/>
            <w:shd w:val="clear" w:color="auto" w:fill="auto"/>
            <w:vAlign w:val="bottom"/>
            <w:hideMark/>
          </w:tcPr>
          <w:p w14:paraId="53568D47" w14:textId="5490705F"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53</w:t>
            </w:r>
            <w:r w:rsidR="003B0B16">
              <w:rPr>
                <w:bCs/>
                <w:sz w:val="18"/>
                <w:lang w:val="en-US"/>
              </w:rPr>
              <w:t>,</w:t>
            </w:r>
            <w:r w:rsidRPr="001145BC">
              <w:rPr>
                <w:bCs/>
                <w:sz w:val="18"/>
                <w:lang w:val="en-US"/>
              </w:rPr>
              <w:t>6</w:t>
            </w:r>
          </w:p>
        </w:tc>
        <w:tc>
          <w:tcPr>
            <w:tcW w:w="1175" w:type="dxa"/>
            <w:shd w:val="clear" w:color="auto" w:fill="auto"/>
            <w:vAlign w:val="bottom"/>
            <w:hideMark/>
          </w:tcPr>
          <w:p w14:paraId="3A76C4F2" w14:textId="4433D70F"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47</w:t>
            </w:r>
            <w:r w:rsidR="003B0B16">
              <w:rPr>
                <w:bCs/>
                <w:sz w:val="18"/>
                <w:lang w:val="en-US"/>
              </w:rPr>
              <w:t>,</w:t>
            </w:r>
            <w:r w:rsidRPr="001145BC">
              <w:rPr>
                <w:bCs/>
                <w:sz w:val="18"/>
                <w:lang w:val="en-US"/>
              </w:rPr>
              <w:t>8</w:t>
            </w:r>
          </w:p>
        </w:tc>
      </w:tr>
      <w:tr w:rsidR="001145BC" w:rsidRPr="001145BC" w14:paraId="266DC3B2" w14:textId="77777777" w:rsidTr="009C4946">
        <w:tc>
          <w:tcPr>
            <w:tcW w:w="1494" w:type="dxa"/>
            <w:tcBorders>
              <w:bottom w:val="single" w:sz="12" w:space="0" w:color="auto"/>
            </w:tcBorders>
            <w:shd w:val="clear" w:color="auto" w:fill="auto"/>
            <w:noWrap/>
            <w:hideMark/>
          </w:tcPr>
          <w:p w14:paraId="15468D30"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n-US"/>
              </w:rPr>
            </w:pPr>
            <w:r w:rsidRPr="001145BC">
              <w:rPr>
                <w:bCs/>
                <w:sz w:val="18"/>
                <w:lang w:val="en-US"/>
              </w:rPr>
              <w:t xml:space="preserve">60 </w:t>
            </w:r>
            <w:r w:rsidRPr="001145BC">
              <w:rPr>
                <w:bCs/>
                <w:sz w:val="18"/>
                <w:lang w:val="es-SV"/>
              </w:rPr>
              <w:t>años</w:t>
            </w:r>
            <w:r w:rsidRPr="001145BC">
              <w:rPr>
                <w:bCs/>
                <w:sz w:val="18"/>
                <w:lang w:val="en-US"/>
              </w:rPr>
              <w:t xml:space="preserve"> y más</w:t>
            </w:r>
          </w:p>
        </w:tc>
        <w:tc>
          <w:tcPr>
            <w:tcW w:w="1176" w:type="dxa"/>
            <w:tcBorders>
              <w:bottom w:val="single" w:sz="12" w:space="0" w:color="auto"/>
            </w:tcBorders>
            <w:shd w:val="clear" w:color="auto" w:fill="auto"/>
            <w:vAlign w:val="bottom"/>
            <w:hideMark/>
          </w:tcPr>
          <w:p w14:paraId="4EA3337E" w14:textId="13CE3F88"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42</w:t>
            </w:r>
            <w:r w:rsidR="003B0B16">
              <w:rPr>
                <w:bCs/>
                <w:sz w:val="18"/>
                <w:lang w:val="en-US"/>
              </w:rPr>
              <w:t>,</w:t>
            </w:r>
            <w:r w:rsidRPr="001145BC">
              <w:rPr>
                <w:bCs/>
                <w:sz w:val="18"/>
                <w:lang w:val="en-US"/>
              </w:rPr>
              <w:t>4</w:t>
            </w:r>
          </w:p>
        </w:tc>
        <w:tc>
          <w:tcPr>
            <w:tcW w:w="1175" w:type="dxa"/>
            <w:tcBorders>
              <w:bottom w:val="single" w:sz="12" w:space="0" w:color="auto"/>
            </w:tcBorders>
            <w:shd w:val="clear" w:color="auto" w:fill="auto"/>
            <w:vAlign w:val="bottom"/>
            <w:hideMark/>
          </w:tcPr>
          <w:p w14:paraId="65FB466F" w14:textId="6A67F92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41</w:t>
            </w:r>
            <w:r w:rsidR="003B0B16">
              <w:rPr>
                <w:bCs/>
                <w:sz w:val="18"/>
                <w:lang w:val="en-US"/>
              </w:rPr>
              <w:t>,</w:t>
            </w:r>
            <w:r w:rsidRPr="001145BC">
              <w:rPr>
                <w:bCs/>
                <w:sz w:val="18"/>
                <w:lang w:val="en-US"/>
              </w:rPr>
              <w:t>2</w:t>
            </w:r>
          </w:p>
        </w:tc>
        <w:tc>
          <w:tcPr>
            <w:tcW w:w="1175" w:type="dxa"/>
            <w:tcBorders>
              <w:bottom w:val="single" w:sz="12" w:space="0" w:color="auto"/>
            </w:tcBorders>
            <w:shd w:val="clear" w:color="auto" w:fill="auto"/>
            <w:vAlign w:val="bottom"/>
            <w:hideMark/>
          </w:tcPr>
          <w:p w14:paraId="73C9EC1C" w14:textId="31CE4893"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41</w:t>
            </w:r>
            <w:r w:rsidR="003B0B16">
              <w:rPr>
                <w:bCs/>
                <w:sz w:val="18"/>
                <w:lang w:val="en-US"/>
              </w:rPr>
              <w:t>,</w:t>
            </w:r>
            <w:r w:rsidRPr="001145BC">
              <w:rPr>
                <w:bCs/>
                <w:sz w:val="18"/>
                <w:lang w:val="en-US"/>
              </w:rPr>
              <w:t>5</w:t>
            </w:r>
          </w:p>
        </w:tc>
        <w:tc>
          <w:tcPr>
            <w:tcW w:w="1175" w:type="dxa"/>
            <w:tcBorders>
              <w:bottom w:val="single" w:sz="12" w:space="0" w:color="auto"/>
            </w:tcBorders>
            <w:shd w:val="clear" w:color="auto" w:fill="auto"/>
            <w:vAlign w:val="bottom"/>
            <w:hideMark/>
          </w:tcPr>
          <w:p w14:paraId="2473DB92" w14:textId="51C30F76"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43</w:t>
            </w:r>
            <w:r w:rsidR="003B0B16">
              <w:rPr>
                <w:bCs/>
                <w:sz w:val="18"/>
                <w:lang w:val="en-US"/>
              </w:rPr>
              <w:t>,</w:t>
            </w:r>
            <w:r w:rsidRPr="001145BC">
              <w:rPr>
                <w:bCs/>
                <w:sz w:val="18"/>
                <w:lang w:val="en-US"/>
              </w:rPr>
              <w:t>3</w:t>
            </w:r>
          </w:p>
        </w:tc>
        <w:tc>
          <w:tcPr>
            <w:tcW w:w="1175" w:type="dxa"/>
            <w:tcBorders>
              <w:bottom w:val="single" w:sz="12" w:space="0" w:color="auto"/>
            </w:tcBorders>
            <w:shd w:val="clear" w:color="auto" w:fill="auto"/>
            <w:vAlign w:val="bottom"/>
            <w:hideMark/>
          </w:tcPr>
          <w:p w14:paraId="0BBB2B03" w14:textId="4334F676"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n-US"/>
              </w:rPr>
            </w:pPr>
            <w:r w:rsidRPr="001145BC">
              <w:rPr>
                <w:bCs/>
                <w:sz w:val="18"/>
                <w:lang w:val="en-US"/>
              </w:rPr>
              <w:t>39</w:t>
            </w:r>
            <w:r w:rsidR="003B0B16">
              <w:rPr>
                <w:bCs/>
                <w:sz w:val="18"/>
                <w:lang w:val="en-US"/>
              </w:rPr>
              <w:t>,</w:t>
            </w:r>
            <w:r w:rsidRPr="001145BC">
              <w:rPr>
                <w:bCs/>
                <w:sz w:val="18"/>
                <w:lang w:val="en-US"/>
              </w:rPr>
              <w:t>9</w:t>
            </w:r>
          </w:p>
        </w:tc>
      </w:tr>
    </w:tbl>
    <w:p w14:paraId="5BF94094" w14:textId="3D055084" w:rsidR="001145BC" w:rsidRDefault="00C44B04" w:rsidP="001C2C73">
      <w:pPr>
        <w:pStyle w:val="SingleTxtG"/>
        <w:tabs>
          <w:tab w:val="clear" w:pos="1701"/>
          <w:tab w:val="clear" w:pos="2268"/>
          <w:tab w:val="clear" w:pos="2835"/>
        </w:tabs>
        <w:spacing w:before="240"/>
        <w:rPr>
          <w:bCs/>
          <w:lang w:val="es-SV"/>
        </w:rPr>
      </w:pPr>
      <w:r>
        <w:rPr>
          <w:bCs/>
          <w:lang w:val="es-SV"/>
        </w:rPr>
        <w:t>37.</w:t>
      </w:r>
      <w:r>
        <w:rPr>
          <w:bCs/>
          <w:lang w:val="es-SV"/>
        </w:rPr>
        <w:tab/>
      </w:r>
      <w:r w:rsidR="0069218C" w:rsidRPr="0069218C">
        <w:rPr>
          <w:bCs/>
          <w:lang w:val="es-SV"/>
        </w:rPr>
        <w:t xml:space="preserve">El MTPS, impulsa a nivel nacional el acceso al empleo formal en condición segura y con ingresos justos principalmente para jóvenes, personas con discapacidad y mujeres. Entre ellos, el programa del Instituto Nacional de la Juventud “Mi Primer Trabajo” y el programa “Oportunidades” lanzado en octubre 2021 con el cual se subsidiará más de la mitad del salario por tres meses a las empresas que contraten jóvenes de 18 a 21 años o a personas mayores de 40 años, con más de 18 meses sin laborar. </w:t>
      </w:r>
    </w:p>
    <w:p w14:paraId="042F6175" w14:textId="03AA72DE" w:rsidR="001145BC" w:rsidRDefault="00C44B04" w:rsidP="001C2C73">
      <w:pPr>
        <w:pStyle w:val="SingleTxtG"/>
        <w:tabs>
          <w:tab w:val="clear" w:pos="1701"/>
          <w:tab w:val="clear" w:pos="2268"/>
          <w:tab w:val="clear" w:pos="2835"/>
        </w:tabs>
        <w:rPr>
          <w:bCs/>
          <w:lang w:val="es-SV"/>
        </w:rPr>
      </w:pPr>
      <w:r>
        <w:rPr>
          <w:bCs/>
          <w:lang w:val="es-SV"/>
        </w:rPr>
        <w:t>38.</w:t>
      </w:r>
      <w:r>
        <w:rPr>
          <w:bCs/>
          <w:lang w:val="es-SV"/>
        </w:rPr>
        <w:tab/>
      </w:r>
      <w:r w:rsidR="0069218C" w:rsidRPr="0069218C">
        <w:rPr>
          <w:bCs/>
          <w:lang w:val="es-SV"/>
        </w:rPr>
        <w:t>Sobre el acceso a los servicios de previsión social, los trabajadores independientes pueden cotizar en una Cuenta Individual de Ahorro para Pensiones (CIAP) y acceder al régimen especial para trabajadores que permite un acceso a los beneficios de salud del ISSS.</w:t>
      </w:r>
    </w:p>
    <w:p w14:paraId="28BA8A5D" w14:textId="162C9FF2" w:rsidR="001145BC" w:rsidRDefault="00C44B04" w:rsidP="001C2C73">
      <w:pPr>
        <w:pStyle w:val="SingleTxtG"/>
        <w:tabs>
          <w:tab w:val="clear" w:pos="1701"/>
          <w:tab w:val="clear" w:pos="2268"/>
          <w:tab w:val="clear" w:pos="2835"/>
        </w:tabs>
        <w:rPr>
          <w:bCs/>
          <w:lang w:val="es-SV"/>
        </w:rPr>
      </w:pPr>
      <w:r>
        <w:rPr>
          <w:bCs/>
          <w:lang w:val="es-SV"/>
        </w:rPr>
        <w:t>39.</w:t>
      </w:r>
      <w:r>
        <w:rPr>
          <w:bCs/>
          <w:lang w:val="es-SV"/>
        </w:rPr>
        <w:tab/>
      </w:r>
      <w:r w:rsidR="0069218C" w:rsidRPr="0069218C">
        <w:rPr>
          <w:bCs/>
          <w:lang w:val="es-SV"/>
        </w:rPr>
        <w:t>A través del BANDESAL se creó el Fideicomiso para la Recuperación Económica de las Empresas Salvadoreñas (Firempresa), y con créditos por un monto de US$139</w:t>
      </w:r>
      <w:r w:rsidR="00FF61CE">
        <w:rPr>
          <w:bCs/>
          <w:lang w:val="es-SV"/>
        </w:rPr>
        <w:t>,</w:t>
      </w:r>
      <w:r w:rsidR="0069218C" w:rsidRPr="0069218C">
        <w:rPr>
          <w:bCs/>
          <w:lang w:val="es-SV"/>
        </w:rPr>
        <w:t>2 millones se ha beneficiado a más de 27</w:t>
      </w:r>
      <w:r w:rsidR="00FF61CE">
        <w:rPr>
          <w:bCs/>
          <w:lang w:val="es-SV"/>
        </w:rPr>
        <w:t>.</w:t>
      </w:r>
      <w:r w:rsidR="0069218C" w:rsidRPr="0069218C">
        <w:rPr>
          <w:bCs/>
          <w:lang w:val="es-SV"/>
        </w:rPr>
        <w:t>000 empresarios formales e informales. As</w:t>
      </w:r>
      <w:r w:rsidR="00FF61CE">
        <w:rPr>
          <w:bCs/>
          <w:lang w:val="es-SV"/>
        </w:rPr>
        <w:t>i</w:t>
      </w:r>
      <w:r w:rsidR="0069218C" w:rsidRPr="0069218C">
        <w:rPr>
          <w:bCs/>
          <w:lang w:val="es-SV"/>
        </w:rPr>
        <w:t>mismo, la Defensoría del Consumidor verifica los precios de productos de la canasta básica para evitar la especulación y el acaparamiento. A la fecha se mantiene la entrega de paquetes alimentarios del Programa de Emergencia Sanitaria (PES), para beneficiar la economía de las familias salvadoreñas a nivel nacional.</w:t>
      </w:r>
    </w:p>
    <w:p w14:paraId="175AE8DB" w14:textId="77777777" w:rsidR="001145BC" w:rsidRPr="009C4946" w:rsidRDefault="0069218C" w:rsidP="009C4946">
      <w:pPr>
        <w:pStyle w:val="H23G"/>
        <w:ind w:firstLine="0"/>
        <w:rPr>
          <w:lang w:val="es-MX"/>
        </w:rPr>
      </w:pPr>
      <w:r w:rsidRPr="009C4946">
        <w:rPr>
          <w:lang w:val="es-MX"/>
        </w:rPr>
        <w:t>Derecho a condiciones de trabajo equitativas y satisfactorias (art. 7)</w:t>
      </w:r>
    </w:p>
    <w:p w14:paraId="15A3CF96" w14:textId="4900BCA3" w:rsidR="0069218C" w:rsidRPr="0069218C" w:rsidRDefault="00C44B04" w:rsidP="001C2C73">
      <w:pPr>
        <w:pStyle w:val="SingleTxtG"/>
        <w:tabs>
          <w:tab w:val="clear" w:pos="1701"/>
          <w:tab w:val="clear" w:pos="2268"/>
          <w:tab w:val="clear" w:pos="2835"/>
        </w:tabs>
        <w:rPr>
          <w:bCs/>
          <w:lang w:val="es-SV"/>
        </w:rPr>
      </w:pPr>
      <w:r w:rsidRPr="0069218C">
        <w:rPr>
          <w:bCs/>
          <w:lang w:val="es-SV"/>
        </w:rPr>
        <w:t>40.</w:t>
      </w:r>
      <w:r w:rsidRPr="0069218C">
        <w:rPr>
          <w:bCs/>
          <w:lang w:val="es-SV"/>
        </w:rPr>
        <w:tab/>
      </w:r>
      <w:r w:rsidR="0069218C" w:rsidRPr="0069218C">
        <w:rPr>
          <w:bCs/>
          <w:lang w:val="es-SV"/>
        </w:rPr>
        <w:t>En 2021, se aprobó un incremento del 20</w:t>
      </w:r>
      <w:r w:rsidR="001043C1">
        <w:rPr>
          <w:bCs/>
          <w:lang w:val="es-SV"/>
        </w:rPr>
        <w:t> %</w:t>
      </w:r>
      <w:r w:rsidR="0069218C" w:rsidRPr="0069218C">
        <w:rPr>
          <w:bCs/>
          <w:lang w:val="es-SV"/>
        </w:rPr>
        <w:t xml:space="preserve"> al salario mínimo para todos los rubros de la economía nacional (D.O. de fecha 7 de julio de 2021)</w:t>
      </w:r>
      <w:r w:rsidR="0069218C" w:rsidRPr="0069218C">
        <w:rPr>
          <w:bCs/>
          <w:vertAlign w:val="superscript"/>
          <w:lang w:val="es-SV"/>
        </w:rPr>
        <w:footnoteReference w:id="4"/>
      </w:r>
      <w:r w:rsidR="0069218C" w:rsidRPr="0069218C">
        <w:rPr>
          <w:bCs/>
          <w:lang w:val="es-SV"/>
        </w:rPr>
        <w:t>.</w:t>
      </w:r>
      <w:r w:rsidR="009C4946">
        <w:rPr>
          <w:bCs/>
          <w:lang w:val="es-SV"/>
        </w:rPr>
        <w:t xml:space="preserve"> </w:t>
      </w:r>
      <w:r w:rsidR="0069218C" w:rsidRPr="0069218C">
        <w:rPr>
          <w:bCs/>
          <w:lang w:val="es-SV"/>
        </w:rPr>
        <w:t>Actualmente, la economía salvadoreña se fortalece y dinamiza gracias a las medidas oportunas que fueron implementadas por el Gobierno en el manejo de la crisis mundial que generó la pandemia por COVID-19.</w:t>
      </w:r>
    </w:p>
    <w:p w14:paraId="485F5F8B" w14:textId="444E1395" w:rsidR="001145BC" w:rsidRDefault="00C44B04" w:rsidP="001C2C73">
      <w:pPr>
        <w:pStyle w:val="SingleTxtG"/>
        <w:tabs>
          <w:tab w:val="clear" w:pos="1701"/>
          <w:tab w:val="clear" w:pos="2268"/>
          <w:tab w:val="clear" w:pos="2835"/>
        </w:tabs>
        <w:rPr>
          <w:bCs/>
          <w:lang w:val="es-SV"/>
        </w:rPr>
      </w:pPr>
      <w:r>
        <w:rPr>
          <w:bCs/>
          <w:lang w:val="es-SV"/>
        </w:rPr>
        <w:t>41.</w:t>
      </w:r>
      <w:r>
        <w:rPr>
          <w:bCs/>
          <w:lang w:val="es-SV"/>
        </w:rPr>
        <w:tab/>
      </w:r>
      <w:r w:rsidR="0069218C" w:rsidRPr="0069218C">
        <w:rPr>
          <w:bCs/>
          <w:lang w:val="es-SV"/>
        </w:rPr>
        <w:t xml:space="preserve">La Dirección General de Inspección de Trabajo, realiza inspecciones para combatir la explotación laboral en los rubros de seguridad privada y trabajo </w:t>
      </w:r>
      <w:r w:rsidR="0069218C" w:rsidRPr="00E73FAF">
        <w:rPr>
          <w:bCs/>
          <w:lang w:val="es-SV"/>
        </w:rPr>
        <w:t>doméstico. Anexo 1.</w:t>
      </w:r>
      <w:r w:rsidR="0069218C" w:rsidRPr="0069218C">
        <w:rPr>
          <w:bCs/>
          <w:lang w:val="es-SV"/>
        </w:rPr>
        <w:t xml:space="preserve"> </w:t>
      </w:r>
    </w:p>
    <w:p w14:paraId="0DE13E3A" w14:textId="0C3765EE" w:rsidR="001145BC" w:rsidRPr="001878DA" w:rsidRDefault="00C44B04" w:rsidP="001C2C73">
      <w:pPr>
        <w:pStyle w:val="SingleTxtG"/>
        <w:tabs>
          <w:tab w:val="clear" w:pos="1701"/>
          <w:tab w:val="clear" w:pos="2268"/>
          <w:tab w:val="clear" w:pos="2835"/>
        </w:tabs>
        <w:rPr>
          <w:bCs/>
          <w:lang w:val="es-SV"/>
        </w:rPr>
      </w:pPr>
      <w:r w:rsidRPr="001878DA">
        <w:rPr>
          <w:bCs/>
          <w:lang w:val="es-SV"/>
        </w:rPr>
        <w:t>42.</w:t>
      </w:r>
      <w:r w:rsidRPr="001878DA">
        <w:rPr>
          <w:bCs/>
          <w:lang w:val="es-SV"/>
        </w:rPr>
        <w:tab/>
      </w:r>
      <w:r w:rsidR="0069218C" w:rsidRPr="0069218C">
        <w:rPr>
          <w:bCs/>
          <w:lang w:val="es-SV"/>
        </w:rPr>
        <w:t>Por su parte, la</w:t>
      </w:r>
      <w:r w:rsidR="0069218C" w:rsidRPr="0069218C">
        <w:rPr>
          <w:bCs/>
          <w:iCs/>
          <w:lang w:val="es-SV"/>
        </w:rPr>
        <w:t xml:space="preserve"> FGR, registro en 2019, 80 casos de explotación sexual y trabajo forzado, de éstos </w:t>
      </w:r>
      <w:r w:rsidR="0069218C" w:rsidRPr="001145BC">
        <w:rPr>
          <w:bCs/>
          <w:lang w:val="es-SV"/>
        </w:rPr>
        <w:t>nueve</w:t>
      </w:r>
      <w:r w:rsidR="0069218C" w:rsidRPr="0069218C">
        <w:rPr>
          <w:bCs/>
          <w:iCs/>
          <w:lang w:val="es-SV"/>
        </w:rPr>
        <w:t xml:space="preserve"> fueron judicializados y tres tuvieron condena, dos por explotación sexual y uno por trabajo forzado. Se adjuntan datos de 2020 y de enero a octubre de 2021 relativos a los delitos en comento</w:t>
      </w:r>
      <w:r w:rsidR="0069218C" w:rsidRPr="001878DA">
        <w:rPr>
          <w:bCs/>
          <w:iCs/>
          <w:lang w:val="es-SV"/>
        </w:rPr>
        <w:t>. Anexo 2.</w:t>
      </w:r>
    </w:p>
    <w:p w14:paraId="151CEBAC" w14:textId="77777777" w:rsidR="001145BC" w:rsidRPr="009C4946" w:rsidRDefault="0069218C" w:rsidP="009C4946">
      <w:pPr>
        <w:pStyle w:val="H23G"/>
        <w:ind w:firstLine="0"/>
        <w:rPr>
          <w:lang w:val="es-MX"/>
        </w:rPr>
      </w:pPr>
      <w:r w:rsidRPr="009C4946">
        <w:rPr>
          <w:lang w:val="es-MX"/>
        </w:rPr>
        <w:t>Derechos sindicales (art. 8)</w:t>
      </w:r>
    </w:p>
    <w:p w14:paraId="1189EC98" w14:textId="4700FEAF" w:rsidR="001145BC" w:rsidRDefault="00C44B04" w:rsidP="001C2C73">
      <w:pPr>
        <w:pStyle w:val="SingleTxtG"/>
        <w:tabs>
          <w:tab w:val="clear" w:pos="1701"/>
          <w:tab w:val="clear" w:pos="2268"/>
          <w:tab w:val="clear" w:pos="2835"/>
        </w:tabs>
        <w:rPr>
          <w:bCs/>
          <w:lang w:val="es-SV"/>
        </w:rPr>
      </w:pPr>
      <w:r>
        <w:rPr>
          <w:bCs/>
          <w:lang w:val="es-SV"/>
        </w:rPr>
        <w:t>43.</w:t>
      </w:r>
      <w:r>
        <w:rPr>
          <w:bCs/>
          <w:lang w:val="es-SV"/>
        </w:rPr>
        <w:tab/>
      </w:r>
      <w:r w:rsidR="0069218C" w:rsidRPr="0069218C">
        <w:rPr>
          <w:bCs/>
          <w:lang w:val="es-SV"/>
        </w:rPr>
        <w:t>La Constitución de la República (art.</w:t>
      </w:r>
      <w:r w:rsidR="00FF61CE">
        <w:rPr>
          <w:bCs/>
          <w:lang w:val="es-SV"/>
        </w:rPr>
        <w:t xml:space="preserve"> </w:t>
      </w:r>
      <w:r w:rsidR="0069218C" w:rsidRPr="0069218C">
        <w:rPr>
          <w:bCs/>
          <w:lang w:val="es-SV"/>
        </w:rPr>
        <w:t>48) reconoce el derecho de los patronos al paro y el de los trabajadores a la huelga, salvo en los servicios públicos esenciales determinados por la Ley y, el Código de Trabajo establece (art.</w:t>
      </w:r>
      <w:r w:rsidR="00FF61CE">
        <w:rPr>
          <w:bCs/>
          <w:lang w:val="es-SV"/>
        </w:rPr>
        <w:t xml:space="preserve"> </w:t>
      </w:r>
      <w:r w:rsidR="0069218C" w:rsidRPr="0069218C">
        <w:rPr>
          <w:bCs/>
          <w:lang w:val="es-SV"/>
        </w:rPr>
        <w:t>553 letra (a)) que la huelga se declarara ilegal si fuese de un servicio esencial.</w:t>
      </w:r>
    </w:p>
    <w:p w14:paraId="73464527" w14:textId="3C519C1F" w:rsidR="001145BC" w:rsidRDefault="00C44B04" w:rsidP="001C2C73">
      <w:pPr>
        <w:pStyle w:val="SingleTxtG"/>
        <w:tabs>
          <w:tab w:val="clear" w:pos="1701"/>
          <w:tab w:val="clear" w:pos="2268"/>
          <w:tab w:val="clear" w:pos="2835"/>
        </w:tabs>
        <w:rPr>
          <w:bCs/>
          <w:lang w:val="es-SV"/>
        </w:rPr>
      </w:pPr>
      <w:r>
        <w:rPr>
          <w:bCs/>
          <w:lang w:val="es-SV"/>
        </w:rPr>
        <w:t>44.</w:t>
      </w:r>
      <w:r>
        <w:rPr>
          <w:bCs/>
          <w:lang w:val="es-SV"/>
        </w:rPr>
        <w:tab/>
      </w:r>
      <w:r w:rsidR="0069218C" w:rsidRPr="0069218C">
        <w:rPr>
          <w:bCs/>
          <w:lang w:val="es-SV"/>
        </w:rPr>
        <w:t>El porcentaje de rechazo a solicitudes de inscripción de Sindicatos es del 12</w:t>
      </w:r>
      <w:r w:rsidR="001043C1">
        <w:rPr>
          <w:bCs/>
          <w:lang w:val="es-SV"/>
        </w:rPr>
        <w:t> %</w:t>
      </w:r>
      <w:r w:rsidR="0069218C" w:rsidRPr="0069218C">
        <w:rPr>
          <w:bCs/>
          <w:lang w:val="es-SV"/>
        </w:rPr>
        <w:t xml:space="preserve"> debido a que la mayoría no cumplen con el mínimo de personas para constituirlo según los registros del Departamento Nacional de Organizaciones Sociales desde el 2016 al 2021.</w:t>
      </w:r>
    </w:p>
    <w:p w14:paraId="69D7E360" w14:textId="082C65A4" w:rsidR="001145BC" w:rsidRDefault="00C44B04" w:rsidP="001C2C73">
      <w:pPr>
        <w:pStyle w:val="SingleTxtG"/>
        <w:tabs>
          <w:tab w:val="clear" w:pos="1701"/>
          <w:tab w:val="clear" w:pos="2268"/>
          <w:tab w:val="clear" w:pos="2835"/>
        </w:tabs>
        <w:rPr>
          <w:b/>
          <w:bCs/>
          <w:lang w:val="es-ES_tradnl"/>
        </w:rPr>
      </w:pPr>
      <w:r>
        <w:rPr>
          <w:bCs/>
          <w:lang w:val="es-ES_tradnl"/>
        </w:rPr>
        <w:t>45.</w:t>
      </w:r>
      <w:r>
        <w:rPr>
          <w:bCs/>
          <w:lang w:val="es-ES_tradnl"/>
        </w:rPr>
        <w:tab/>
      </w:r>
      <w:r w:rsidR="0069218C" w:rsidRPr="0069218C">
        <w:rPr>
          <w:bCs/>
          <w:lang w:val="es-ES_tradnl"/>
        </w:rPr>
        <w:t xml:space="preserve">La FGR, da cuenta en el ámbito de la protección social y el ejercicio del derecho a huelga, se cuenta con datos sobre denuncias recibidas y sentencias emitidas sobre </w:t>
      </w:r>
      <w:r w:rsidR="00B27C05" w:rsidRPr="0069218C">
        <w:rPr>
          <w:bCs/>
          <w:lang w:val="es-SV"/>
        </w:rPr>
        <w:t>infracción</w:t>
      </w:r>
      <w:r w:rsidR="0069218C" w:rsidRPr="0069218C">
        <w:rPr>
          <w:bCs/>
          <w:lang w:val="es-SV"/>
        </w:rPr>
        <w:t xml:space="preserve"> </w:t>
      </w:r>
      <w:r w:rsidR="0069218C" w:rsidRPr="0069218C">
        <w:rPr>
          <w:bCs/>
          <w:lang w:val="es-SV"/>
        </w:rPr>
        <w:lastRenderedPageBreak/>
        <w:t>de las condiciones laborales o de seguridad social (Art. 244 CP), apropiación o retención de cuotas laborales (Art. 245 CP), discriminación laboral (Art. 246 CP) y coacción al ejercicio de la libertad sindical o del derecho de huelga (Art. 247 C</w:t>
      </w:r>
      <w:r w:rsidR="0069218C" w:rsidRPr="001878DA">
        <w:rPr>
          <w:bCs/>
          <w:lang w:val="es-SV"/>
        </w:rPr>
        <w:t>P). Anexo</w:t>
      </w:r>
      <w:r w:rsidR="00E701D9">
        <w:rPr>
          <w:bCs/>
          <w:lang w:val="es-SV"/>
        </w:rPr>
        <w:t>s</w:t>
      </w:r>
      <w:r w:rsidR="0069218C" w:rsidRPr="001878DA">
        <w:rPr>
          <w:bCs/>
          <w:lang w:val="es-SV"/>
        </w:rPr>
        <w:t xml:space="preserve"> 3 y 4.</w:t>
      </w:r>
    </w:p>
    <w:p w14:paraId="1A3ABD9B" w14:textId="1818584F" w:rsidR="0069218C" w:rsidRPr="0069218C" w:rsidRDefault="00C44B04" w:rsidP="001C2C73">
      <w:pPr>
        <w:pStyle w:val="SingleTxtG"/>
        <w:tabs>
          <w:tab w:val="clear" w:pos="1701"/>
          <w:tab w:val="clear" w:pos="2268"/>
          <w:tab w:val="clear" w:pos="2835"/>
        </w:tabs>
        <w:rPr>
          <w:bCs/>
          <w:lang w:val="es-SV"/>
        </w:rPr>
      </w:pPr>
      <w:r w:rsidRPr="0069218C">
        <w:rPr>
          <w:bCs/>
          <w:lang w:val="es-SV"/>
        </w:rPr>
        <w:t>46.</w:t>
      </w:r>
      <w:r w:rsidRPr="0069218C">
        <w:rPr>
          <w:bCs/>
          <w:lang w:val="es-SV"/>
        </w:rPr>
        <w:tab/>
      </w:r>
      <w:r w:rsidR="0069218C" w:rsidRPr="0069218C">
        <w:rPr>
          <w:bCs/>
          <w:lang w:val="es-SV"/>
        </w:rPr>
        <w:t>En cuanto a la denuncia del Sindicato de Trabajadores del ISSS en 2019, la documentación fue presentada a la Dirección General de Trabajo y la misma se limitó a verificar que el procedimiento fuera de conformidad al Código de Trabajo, a los estatutos del Sindicato y a resolver con base en los mismos.</w:t>
      </w:r>
    </w:p>
    <w:p w14:paraId="5A88B414" w14:textId="77777777" w:rsidR="0069218C" w:rsidRPr="009C4946" w:rsidRDefault="0069218C" w:rsidP="009C4946">
      <w:pPr>
        <w:pStyle w:val="H23G"/>
        <w:ind w:firstLine="0"/>
        <w:rPr>
          <w:lang w:val="es-MX"/>
        </w:rPr>
      </w:pPr>
      <w:r w:rsidRPr="009C4946">
        <w:rPr>
          <w:lang w:val="es-MX"/>
        </w:rPr>
        <w:t>Derecho a la seguridad social (art. 9)</w:t>
      </w:r>
    </w:p>
    <w:p w14:paraId="49715C20" w14:textId="125A974E" w:rsidR="0069218C" w:rsidRPr="0069218C" w:rsidRDefault="00C44B04" w:rsidP="001C2C73">
      <w:pPr>
        <w:pStyle w:val="SingleTxtG"/>
        <w:tabs>
          <w:tab w:val="clear" w:pos="1701"/>
          <w:tab w:val="clear" w:pos="2268"/>
          <w:tab w:val="clear" w:pos="2835"/>
        </w:tabs>
        <w:rPr>
          <w:b/>
          <w:bCs/>
          <w:lang w:val="es-MX"/>
        </w:rPr>
      </w:pPr>
      <w:r w:rsidRPr="0069218C">
        <w:rPr>
          <w:bCs/>
          <w:lang w:val="es-MX"/>
        </w:rPr>
        <w:t>47.</w:t>
      </w:r>
      <w:r w:rsidRPr="0069218C">
        <w:rPr>
          <w:bCs/>
          <w:lang w:val="es-MX"/>
        </w:rPr>
        <w:tab/>
      </w:r>
      <w:r w:rsidR="0069218C" w:rsidRPr="0069218C">
        <w:rPr>
          <w:bCs/>
          <w:lang w:val="es-SV"/>
        </w:rPr>
        <w:t>El MINDEL, mediante el Programa Pensión Básica Universal otorgó 38</w:t>
      </w:r>
      <w:r w:rsidR="00FF61CE">
        <w:rPr>
          <w:bCs/>
          <w:lang w:val="es-SV"/>
        </w:rPr>
        <w:t>.</w:t>
      </w:r>
      <w:r w:rsidR="0069218C" w:rsidRPr="0069218C">
        <w:rPr>
          <w:bCs/>
          <w:lang w:val="es-SV"/>
        </w:rPr>
        <w:t>207 pensiones a personas mayores de 70 años o más, de éstas 18</w:t>
      </w:r>
      <w:r w:rsidR="00FF61CE">
        <w:rPr>
          <w:bCs/>
          <w:lang w:val="es-SV"/>
        </w:rPr>
        <w:t>.</w:t>
      </w:r>
      <w:r w:rsidR="0069218C" w:rsidRPr="0069218C">
        <w:rPr>
          <w:bCs/>
          <w:lang w:val="es-SV"/>
        </w:rPr>
        <w:t>806 hombres y 19</w:t>
      </w:r>
      <w:r w:rsidR="00FF61CE">
        <w:rPr>
          <w:bCs/>
          <w:lang w:val="es-SV"/>
        </w:rPr>
        <w:t>.</w:t>
      </w:r>
      <w:r w:rsidR="0069218C" w:rsidRPr="0069218C">
        <w:rPr>
          <w:bCs/>
          <w:lang w:val="es-SV"/>
        </w:rPr>
        <w:t>401 mujeres. Asimismo a través de la Estrategia de Erradicación de la Pobreza “Familias Sostenibles” realizo 1</w:t>
      </w:r>
      <w:r w:rsidR="00FF61CE">
        <w:rPr>
          <w:bCs/>
          <w:lang w:val="es-SV"/>
        </w:rPr>
        <w:t>.</w:t>
      </w:r>
      <w:r w:rsidR="0069218C" w:rsidRPr="0069218C">
        <w:rPr>
          <w:bCs/>
          <w:lang w:val="es-SV"/>
        </w:rPr>
        <w:t xml:space="preserve">132 transferencias monetarias (pensión solidaria) a </w:t>
      </w:r>
      <w:r w:rsidR="0069218C" w:rsidRPr="0069218C">
        <w:rPr>
          <w:bCs/>
          <w:lang w:val="es-MX"/>
        </w:rPr>
        <w:t xml:space="preserve">personas con discapacidad severa (555 mujeres y 577 hombres). </w:t>
      </w:r>
    </w:p>
    <w:p w14:paraId="1CE810F1" w14:textId="386B4B40" w:rsidR="001145BC" w:rsidRDefault="00C44B04" w:rsidP="001C2C73">
      <w:pPr>
        <w:pStyle w:val="SingleTxtG"/>
        <w:tabs>
          <w:tab w:val="clear" w:pos="1701"/>
          <w:tab w:val="clear" w:pos="2268"/>
          <w:tab w:val="clear" w:pos="2835"/>
        </w:tabs>
        <w:rPr>
          <w:bCs/>
          <w:lang w:val="es-SV"/>
        </w:rPr>
      </w:pPr>
      <w:r>
        <w:rPr>
          <w:bCs/>
          <w:lang w:val="es-SV"/>
        </w:rPr>
        <w:t>48.</w:t>
      </w:r>
      <w:r>
        <w:rPr>
          <w:bCs/>
          <w:lang w:val="es-SV"/>
        </w:rPr>
        <w:tab/>
      </w:r>
      <w:r w:rsidR="0069218C" w:rsidRPr="0069218C">
        <w:rPr>
          <w:bCs/>
          <w:lang w:val="es-SV"/>
        </w:rPr>
        <w:t>En relación al régimen de protección de trabajadores domésticos y agrícolas, cotizan a finales de 2020, un promedio 2</w:t>
      </w:r>
      <w:r w:rsidR="00FF61CE">
        <w:rPr>
          <w:bCs/>
          <w:lang w:val="es-SV"/>
        </w:rPr>
        <w:t>.</w:t>
      </w:r>
      <w:r w:rsidR="0069218C" w:rsidRPr="0069218C">
        <w:rPr>
          <w:bCs/>
          <w:lang w:val="es-SV"/>
        </w:rPr>
        <w:t>539 trabajadores independientes.</w:t>
      </w:r>
    </w:p>
    <w:p w14:paraId="0DDEB4D0" w14:textId="6243F752" w:rsidR="0069218C" w:rsidRPr="0069218C" w:rsidRDefault="00C44B04" w:rsidP="001C2C73">
      <w:pPr>
        <w:pStyle w:val="SingleTxtG"/>
        <w:tabs>
          <w:tab w:val="clear" w:pos="1701"/>
          <w:tab w:val="clear" w:pos="2268"/>
          <w:tab w:val="clear" w:pos="2835"/>
        </w:tabs>
        <w:rPr>
          <w:bCs/>
          <w:lang w:val="es-SV"/>
        </w:rPr>
      </w:pPr>
      <w:r w:rsidRPr="0069218C">
        <w:rPr>
          <w:bCs/>
          <w:lang w:val="es-SV"/>
        </w:rPr>
        <w:t>49.</w:t>
      </w:r>
      <w:r w:rsidRPr="0069218C">
        <w:rPr>
          <w:bCs/>
          <w:lang w:val="es-SV"/>
        </w:rPr>
        <w:tab/>
      </w:r>
      <w:r w:rsidR="0069218C" w:rsidRPr="0069218C">
        <w:rPr>
          <w:bCs/>
          <w:lang w:val="es-SV"/>
        </w:rPr>
        <w:t xml:space="preserve">El ISSS ya considera la incorporación a prestaciones de cobertura social de trabajadoras del servicio doméstico, a través del retiro de un formulario en las oficinas administrativas centrales o de manera electrónica a través de </w:t>
      </w:r>
      <w:hyperlink r:id="rId14" w:history="1">
        <w:r w:rsidR="0069218C" w:rsidRPr="0069218C">
          <w:rPr>
            <w:rStyle w:val="Hipervnculo"/>
            <w:bCs/>
            <w:lang w:val="es-SV"/>
          </w:rPr>
          <w:t>www.isss.gob.sv</w:t>
        </w:r>
      </w:hyperlink>
      <w:r w:rsidR="0069218C" w:rsidRPr="0069218C">
        <w:rPr>
          <w:bCs/>
          <w:lang w:val="es-SV"/>
        </w:rPr>
        <w:t xml:space="preserve">. Asimismo, el Seguro social ha implementado dos regímenes de cobertura en salud de carácter contributivo, uno para salvadoreños en el exterior y su </w:t>
      </w:r>
      <w:r w:rsidR="00FF61CE" w:rsidRPr="0069218C">
        <w:rPr>
          <w:bCs/>
          <w:lang w:val="es-SV"/>
        </w:rPr>
        <w:t>núcleo</w:t>
      </w:r>
      <w:r w:rsidR="0069218C" w:rsidRPr="0069218C">
        <w:rPr>
          <w:bCs/>
          <w:lang w:val="es-SV"/>
        </w:rPr>
        <w:t xml:space="preserve"> familiar y otro para trabajadores independientes, esperando que haya una inscripción constante en el tiempo para que aumente la cobertu</w:t>
      </w:r>
      <w:r w:rsidR="00FF61CE">
        <w:rPr>
          <w:bCs/>
          <w:lang w:val="es-SV"/>
        </w:rPr>
        <w:t>r</w:t>
      </w:r>
      <w:r w:rsidR="0069218C" w:rsidRPr="0069218C">
        <w:rPr>
          <w:bCs/>
          <w:lang w:val="es-SV"/>
        </w:rPr>
        <w:t>a porcentual visiblemente.</w:t>
      </w:r>
    </w:p>
    <w:p w14:paraId="33CB3913" w14:textId="77777777" w:rsidR="0069218C" w:rsidRPr="009C4946" w:rsidRDefault="0069218C" w:rsidP="009C4946">
      <w:pPr>
        <w:pStyle w:val="H23G"/>
        <w:ind w:firstLine="0"/>
        <w:rPr>
          <w:lang w:val="es-MX"/>
        </w:rPr>
      </w:pPr>
      <w:r w:rsidRPr="009C4946">
        <w:rPr>
          <w:lang w:val="es-MX"/>
        </w:rPr>
        <w:t>Protección de la familia y el niño (art. 10)</w:t>
      </w:r>
    </w:p>
    <w:p w14:paraId="16595982" w14:textId="6473EDC3" w:rsidR="001145BC" w:rsidRDefault="00C44B04" w:rsidP="001C2C73">
      <w:pPr>
        <w:pStyle w:val="SingleTxtG"/>
        <w:tabs>
          <w:tab w:val="clear" w:pos="1701"/>
          <w:tab w:val="clear" w:pos="2268"/>
          <w:tab w:val="clear" w:pos="2835"/>
        </w:tabs>
        <w:rPr>
          <w:bCs/>
          <w:lang w:val="es-CO"/>
        </w:rPr>
      </w:pPr>
      <w:r>
        <w:rPr>
          <w:bCs/>
          <w:lang w:val="es-CO"/>
        </w:rPr>
        <w:t>50.</w:t>
      </w:r>
      <w:r>
        <w:rPr>
          <w:bCs/>
          <w:lang w:val="es-CO"/>
        </w:rPr>
        <w:tab/>
      </w:r>
      <w:r w:rsidR="0069218C" w:rsidRPr="0069218C">
        <w:rPr>
          <w:bCs/>
          <w:lang w:val="es-CO"/>
        </w:rPr>
        <w:t xml:space="preserve">El </w:t>
      </w:r>
      <w:r w:rsidR="0069218C" w:rsidRPr="00DE494F">
        <w:rPr>
          <w:bCs/>
          <w:lang w:val="es-SV"/>
        </w:rPr>
        <w:t>MTPS</w:t>
      </w:r>
      <w:r w:rsidR="0069218C" w:rsidRPr="00DE494F">
        <w:rPr>
          <w:bCs/>
          <w:lang w:val="es-CO"/>
        </w:rPr>
        <w:t xml:space="preserve"> monitorea el trabajo forzoso de conformidad con la Ley Especial Contra la Trata de Personas, la </w:t>
      </w:r>
      <w:r w:rsidR="0069218C" w:rsidRPr="00DE494F">
        <w:rPr>
          <w:bCs/>
          <w:iCs/>
          <w:lang w:val="es-CO"/>
        </w:rPr>
        <w:t xml:space="preserve">Política Nacional Contra la Trata de Personas y un Protocolo de Actuación Interinstitucional, en el año </w:t>
      </w:r>
      <w:r w:rsidR="0069218C" w:rsidRPr="00DE494F">
        <w:rPr>
          <w:bCs/>
          <w:lang w:val="es-CO"/>
        </w:rPr>
        <w:t>2020, realizó 557 inspecciones de trabajo infantil, en edad mínima de admisión de empleo y/o labores peligrosas, encontrando cero casos sin permiso de trabajo y un caso con permiso de trabajo. Asimismo, mediante el Plan de Desarrollo, Protección e Inclusión Social (2019-2024), se prevé incrementar la protección y restitución de derechos de niñas</w:t>
      </w:r>
      <w:r w:rsidR="0069218C" w:rsidRPr="0069218C">
        <w:rPr>
          <w:bCs/>
          <w:lang w:val="es-CO"/>
        </w:rPr>
        <w:t xml:space="preserve"> y niños en su primera infancia, así como medidas para la eliminación del trabajo infantil informal y agrícola. </w:t>
      </w:r>
    </w:p>
    <w:p w14:paraId="7CCB8E44" w14:textId="347DD94A" w:rsidR="001145BC" w:rsidRPr="009C4946" w:rsidRDefault="00C44B04" w:rsidP="001C2C73">
      <w:pPr>
        <w:pStyle w:val="SingleTxtG"/>
        <w:tabs>
          <w:tab w:val="clear" w:pos="1701"/>
          <w:tab w:val="clear" w:pos="2268"/>
          <w:tab w:val="clear" w:pos="2835"/>
        </w:tabs>
        <w:rPr>
          <w:bCs/>
          <w:lang w:val="es-SV"/>
        </w:rPr>
      </w:pPr>
      <w:r w:rsidRPr="009C4946">
        <w:rPr>
          <w:bCs/>
          <w:lang w:val="es-SV"/>
        </w:rPr>
        <w:t>51.</w:t>
      </w:r>
      <w:r w:rsidRPr="009C4946">
        <w:rPr>
          <w:bCs/>
          <w:lang w:val="es-SV"/>
        </w:rPr>
        <w:tab/>
      </w:r>
      <w:r w:rsidR="0069218C" w:rsidRPr="0069218C">
        <w:rPr>
          <w:bCs/>
          <w:lang w:val="es-SV"/>
        </w:rPr>
        <w:t xml:space="preserve">El Consejo Nacional de la Niñez y de la Adolescencia (CONNA) a junio de 2021, cuenta con 141 Comités Locales </w:t>
      </w:r>
      <w:r w:rsidR="0069218C" w:rsidRPr="009C4946">
        <w:rPr>
          <w:bCs/>
          <w:lang w:val="es-SV"/>
        </w:rPr>
        <w:t xml:space="preserve">de Derechos de la Niñez y de la Adolescencia, quienes ejecutan políticas y planes para la garantía de derechos colectivos, (Artículos153; 155, literal I, LEPINA), dichos Comités en 2019 realizaron acciones de prevención y erradicación del trabajo infantil y la explotación económica y social de NNA; sin embargo en 2020 por la situación de la Pandemia no se realizaron acciones directas. Anexo 5. </w:t>
      </w:r>
    </w:p>
    <w:p w14:paraId="281DAFD4" w14:textId="4ABD4A79" w:rsidR="0069218C" w:rsidRPr="009C4946" w:rsidRDefault="00C44B04" w:rsidP="001C2C73">
      <w:pPr>
        <w:pStyle w:val="SingleTxtG"/>
        <w:tabs>
          <w:tab w:val="clear" w:pos="1701"/>
          <w:tab w:val="clear" w:pos="2268"/>
          <w:tab w:val="clear" w:pos="2835"/>
        </w:tabs>
        <w:rPr>
          <w:bCs/>
          <w:lang w:val="es-SV"/>
        </w:rPr>
      </w:pPr>
      <w:r w:rsidRPr="009C4946">
        <w:rPr>
          <w:bCs/>
          <w:lang w:val="es-SV"/>
        </w:rPr>
        <w:t>52.</w:t>
      </w:r>
      <w:r w:rsidRPr="009C4946">
        <w:rPr>
          <w:bCs/>
          <w:lang w:val="es-SV"/>
        </w:rPr>
        <w:tab/>
      </w:r>
      <w:r w:rsidR="0069218C" w:rsidRPr="009C4946">
        <w:rPr>
          <w:bCs/>
          <w:lang w:val="es-SV"/>
        </w:rPr>
        <w:t>Se ha realizado un proceso de promoción para la prevención del Trabajo Infantil, con un total de 40 participantes y también acciones para prevenir la explotación económica y social de NNA en estado de calle. Anexo</w:t>
      </w:r>
      <w:r w:rsidR="00FF61CE">
        <w:rPr>
          <w:bCs/>
          <w:lang w:val="es-SV"/>
        </w:rPr>
        <w:t>s</w:t>
      </w:r>
      <w:r w:rsidR="0069218C" w:rsidRPr="009C4946">
        <w:rPr>
          <w:bCs/>
          <w:lang w:val="es-SV"/>
        </w:rPr>
        <w:t xml:space="preserve"> 6 y 7.</w:t>
      </w:r>
    </w:p>
    <w:p w14:paraId="15EF2BDD" w14:textId="2D8B0EA3" w:rsidR="0069218C" w:rsidRPr="00E73FAF" w:rsidRDefault="00C44B04" w:rsidP="001C2C73">
      <w:pPr>
        <w:pStyle w:val="SingleTxtG"/>
        <w:tabs>
          <w:tab w:val="clear" w:pos="1701"/>
          <w:tab w:val="clear" w:pos="2268"/>
          <w:tab w:val="clear" w:pos="2835"/>
        </w:tabs>
        <w:rPr>
          <w:bCs/>
          <w:lang w:val="es-SV"/>
        </w:rPr>
      </w:pPr>
      <w:r w:rsidRPr="00E73FAF">
        <w:rPr>
          <w:bCs/>
          <w:lang w:val="es-SV"/>
        </w:rPr>
        <w:t>53.</w:t>
      </w:r>
      <w:r w:rsidRPr="00E73FAF">
        <w:rPr>
          <w:bCs/>
          <w:lang w:val="es-SV"/>
        </w:rPr>
        <w:tab/>
      </w:r>
      <w:r w:rsidR="0069218C" w:rsidRPr="0069218C">
        <w:rPr>
          <w:bCs/>
          <w:lang w:val="es-SV"/>
        </w:rPr>
        <w:t xml:space="preserve">En </w:t>
      </w:r>
      <w:r w:rsidR="0069218C" w:rsidRPr="00E73FAF">
        <w:rPr>
          <w:bCs/>
          <w:lang w:val="es-SV"/>
        </w:rPr>
        <w:t>2020 se elaboró la “Ruta para la atención de amenazas y vulneraciones a derechos de niñez y adolescencia en conexión con la calle” que permitió la articulación interinstitucional para brindar atención a estos NNA en sus diferentes modalidades, implementándose un plan piloto en las zonas de San Salvador, en donde se concentra mayor cantidad de NNA en situación de calle.</w:t>
      </w:r>
    </w:p>
    <w:p w14:paraId="13727A94" w14:textId="19E2D17B" w:rsidR="001145BC" w:rsidRPr="009C4946" w:rsidRDefault="00C44B04" w:rsidP="001C2C73">
      <w:pPr>
        <w:pStyle w:val="SingleTxtG"/>
        <w:tabs>
          <w:tab w:val="clear" w:pos="1701"/>
          <w:tab w:val="clear" w:pos="2268"/>
          <w:tab w:val="clear" w:pos="2835"/>
        </w:tabs>
        <w:rPr>
          <w:bCs/>
          <w:lang w:val="es-SV"/>
        </w:rPr>
      </w:pPr>
      <w:r w:rsidRPr="009C4946">
        <w:rPr>
          <w:bCs/>
          <w:lang w:val="es-SV"/>
        </w:rPr>
        <w:t>54.</w:t>
      </w:r>
      <w:r w:rsidRPr="009C4946">
        <w:rPr>
          <w:bCs/>
          <w:lang w:val="es-SV"/>
        </w:rPr>
        <w:tab/>
      </w:r>
      <w:r w:rsidR="0069218C" w:rsidRPr="009C4946">
        <w:rPr>
          <w:bCs/>
          <w:lang w:val="es-SV"/>
        </w:rPr>
        <w:t>De las cifras reportadas en las Encuestas de Hogares de Propósitos Múltiples (EHPM) de la DIGESTYC, podría inferirse que las medidas adoptadas por El Salvador para la disminución y eliminación del trabajo infantil han sido positivas en tanto se redujo el porcentaje de niñas y niños en situación de trabajo infantil, sin embargo, continúa siendo un reto. Anexo 8.</w:t>
      </w:r>
    </w:p>
    <w:p w14:paraId="29D54992" w14:textId="1B86B537" w:rsidR="001145BC" w:rsidRPr="009C4946" w:rsidRDefault="00C44B04" w:rsidP="001C2C73">
      <w:pPr>
        <w:pStyle w:val="SingleTxtG"/>
        <w:tabs>
          <w:tab w:val="clear" w:pos="1701"/>
          <w:tab w:val="clear" w:pos="2268"/>
          <w:tab w:val="clear" w:pos="2835"/>
        </w:tabs>
        <w:rPr>
          <w:bCs/>
          <w:lang w:val="es-SV"/>
        </w:rPr>
      </w:pPr>
      <w:r w:rsidRPr="009C4946">
        <w:rPr>
          <w:bCs/>
          <w:lang w:val="es-SV"/>
        </w:rPr>
        <w:t>55.</w:t>
      </w:r>
      <w:r w:rsidRPr="009C4946">
        <w:rPr>
          <w:bCs/>
          <w:lang w:val="es-SV"/>
        </w:rPr>
        <w:tab/>
      </w:r>
      <w:r w:rsidR="0069218C" w:rsidRPr="009C4946">
        <w:rPr>
          <w:bCs/>
          <w:lang w:val="es-SV"/>
        </w:rPr>
        <w:t>En cuanto a los casos de violencia contra mujeres comparativo en los últimos cinco años, el ISDEMU reporta datos estadísticos que se detallan en los anexos 9, 10 y 11.</w:t>
      </w:r>
    </w:p>
    <w:p w14:paraId="76743CA7" w14:textId="3909C7AE" w:rsidR="001145BC" w:rsidRPr="009C4946" w:rsidRDefault="00C44B04" w:rsidP="001C2C73">
      <w:pPr>
        <w:pStyle w:val="SingleTxtG"/>
        <w:tabs>
          <w:tab w:val="clear" w:pos="1701"/>
          <w:tab w:val="clear" w:pos="2268"/>
          <w:tab w:val="clear" w:pos="2835"/>
        </w:tabs>
        <w:rPr>
          <w:bCs/>
          <w:lang w:val="es-SV"/>
        </w:rPr>
      </w:pPr>
      <w:r w:rsidRPr="009C4946">
        <w:rPr>
          <w:bCs/>
          <w:lang w:val="es-SV"/>
        </w:rPr>
        <w:lastRenderedPageBreak/>
        <w:t>56.</w:t>
      </w:r>
      <w:r w:rsidRPr="009C4946">
        <w:rPr>
          <w:bCs/>
          <w:lang w:val="es-SV"/>
        </w:rPr>
        <w:tab/>
      </w:r>
      <w:r w:rsidR="0069218C" w:rsidRPr="009C4946">
        <w:rPr>
          <w:bCs/>
          <w:lang w:val="es-SV"/>
        </w:rPr>
        <w:t>La FGR reporta a octubre de 2021, un total de 12</w:t>
      </w:r>
      <w:r w:rsidR="00FF61CE">
        <w:rPr>
          <w:bCs/>
          <w:lang w:val="es-SV"/>
        </w:rPr>
        <w:t>.</w:t>
      </w:r>
      <w:r w:rsidR="0069218C" w:rsidRPr="009C4946">
        <w:rPr>
          <w:bCs/>
          <w:lang w:val="es-SV"/>
        </w:rPr>
        <w:t>624 casos, de éstos, se judicializaron 4</w:t>
      </w:r>
      <w:r w:rsidR="00FF61CE">
        <w:rPr>
          <w:bCs/>
          <w:lang w:val="es-SV"/>
        </w:rPr>
        <w:t>.</w:t>
      </w:r>
      <w:r w:rsidR="0069218C" w:rsidRPr="009C4946">
        <w:rPr>
          <w:bCs/>
          <w:lang w:val="es-SV"/>
        </w:rPr>
        <w:t>528</w:t>
      </w:r>
      <w:r w:rsidR="009C4946" w:rsidRPr="009C4946">
        <w:rPr>
          <w:bCs/>
          <w:lang w:val="es-SV"/>
        </w:rPr>
        <w:t xml:space="preserve"> </w:t>
      </w:r>
      <w:r w:rsidR="0069218C" w:rsidRPr="009C4946">
        <w:rPr>
          <w:bCs/>
          <w:lang w:val="es-SV"/>
        </w:rPr>
        <w:t>vinculados a actos de violencia contra las mujeres; se encuentran en investigación activa en sede judicial 3</w:t>
      </w:r>
      <w:r w:rsidR="00FF61CE">
        <w:rPr>
          <w:bCs/>
          <w:lang w:val="es-SV"/>
        </w:rPr>
        <w:t>.</w:t>
      </w:r>
      <w:r w:rsidR="0069218C" w:rsidRPr="009C4946">
        <w:rPr>
          <w:bCs/>
          <w:lang w:val="es-SV"/>
        </w:rPr>
        <w:t>585; y 4</w:t>
      </w:r>
      <w:r w:rsidR="00FF61CE">
        <w:rPr>
          <w:bCs/>
          <w:lang w:val="es-SV"/>
        </w:rPr>
        <w:t>.</w:t>
      </w:r>
      <w:r w:rsidR="0069218C" w:rsidRPr="009C4946">
        <w:rPr>
          <w:bCs/>
          <w:lang w:val="es-SV"/>
        </w:rPr>
        <w:t>411 casos archivados relativos a delitos como feminicidios y feminicidio agravado, obstaculización al acceso a la justicia, difusión de pornografía, entre otros.</w:t>
      </w:r>
      <w:r w:rsidR="009C4946" w:rsidRPr="009C4946">
        <w:rPr>
          <w:bCs/>
          <w:lang w:val="es-SV"/>
        </w:rPr>
        <w:t xml:space="preserve"> </w:t>
      </w:r>
      <w:r w:rsidR="0069218C" w:rsidRPr="009C4946">
        <w:rPr>
          <w:bCs/>
          <w:lang w:val="es-SV"/>
        </w:rPr>
        <w:t>Anexo 12.</w:t>
      </w:r>
    </w:p>
    <w:p w14:paraId="6447D1F8" w14:textId="5665C472" w:rsidR="001145BC" w:rsidRPr="009C4946" w:rsidRDefault="00C44B04" w:rsidP="001C2C73">
      <w:pPr>
        <w:pStyle w:val="SingleTxtG"/>
        <w:tabs>
          <w:tab w:val="clear" w:pos="1701"/>
          <w:tab w:val="clear" w:pos="2268"/>
          <w:tab w:val="clear" w:pos="2835"/>
        </w:tabs>
        <w:rPr>
          <w:bCs/>
          <w:lang w:val="es-SV"/>
        </w:rPr>
      </w:pPr>
      <w:r w:rsidRPr="009C4946">
        <w:rPr>
          <w:bCs/>
          <w:lang w:val="es-SV"/>
        </w:rPr>
        <w:t>57.</w:t>
      </w:r>
      <w:r w:rsidRPr="009C4946">
        <w:rPr>
          <w:bCs/>
          <w:lang w:val="es-SV"/>
        </w:rPr>
        <w:tab/>
      </w:r>
      <w:r w:rsidR="0069218C" w:rsidRPr="009C4946">
        <w:rPr>
          <w:bCs/>
          <w:lang w:val="es-SV"/>
        </w:rPr>
        <w:t>En 2019 se obtuvo un total de 86 sentencias, de estas 49 absolutorias y 37 condenatorias; en 2020, 49 sentencias, 21 absolutorias y 28 condenatorias; y al 12 de octubre de 2021, se registraban 29 sentencias absolutorias y 36 condenatorias. Anexo 13.</w:t>
      </w:r>
    </w:p>
    <w:p w14:paraId="324F0850" w14:textId="27DE3F9B" w:rsidR="001145BC" w:rsidRPr="009C4946" w:rsidRDefault="00C44B04" w:rsidP="001C2C73">
      <w:pPr>
        <w:pStyle w:val="SingleTxtG"/>
        <w:tabs>
          <w:tab w:val="clear" w:pos="1701"/>
          <w:tab w:val="clear" w:pos="2268"/>
          <w:tab w:val="clear" w:pos="2835"/>
        </w:tabs>
        <w:rPr>
          <w:bCs/>
          <w:lang w:val="es-SV"/>
        </w:rPr>
      </w:pPr>
      <w:r w:rsidRPr="009C4946">
        <w:rPr>
          <w:bCs/>
          <w:lang w:val="es-SV"/>
        </w:rPr>
        <w:t>58.</w:t>
      </w:r>
      <w:r w:rsidRPr="009C4946">
        <w:rPr>
          <w:bCs/>
          <w:lang w:val="es-SV"/>
        </w:rPr>
        <w:tab/>
      </w:r>
      <w:r w:rsidR="0069218C" w:rsidRPr="009C4946">
        <w:rPr>
          <w:bCs/>
          <w:lang w:val="es-SV"/>
        </w:rPr>
        <w:t>El total de casos de feminicidio y feminicidio agravado corresponde a 106 casos, (53</w:t>
      </w:r>
      <w:r w:rsidR="001043C1">
        <w:rPr>
          <w:bCs/>
          <w:lang w:val="es-SV"/>
        </w:rPr>
        <w:t> %</w:t>
      </w:r>
      <w:r w:rsidR="0069218C" w:rsidRPr="009C4946">
        <w:rPr>
          <w:bCs/>
          <w:lang w:val="es-SV"/>
        </w:rPr>
        <w:t>), de este total, se sentenciaron 71 casos (66</w:t>
      </w:r>
      <w:r w:rsidR="00FF61CE">
        <w:rPr>
          <w:bCs/>
          <w:lang w:val="es-SV"/>
        </w:rPr>
        <w:t>,</w:t>
      </w:r>
      <w:r w:rsidR="0069218C" w:rsidRPr="009C4946">
        <w:rPr>
          <w:bCs/>
          <w:lang w:val="es-SV"/>
        </w:rPr>
        <w:t>98</w:t>
      </w:r>
      <w:r w:rsidR="001043C1">
        <w:rPr>
          <w:bCs/>
          <w:lang w:val="es-SV"/>
        </w:rPr>
        <w:t> %</w:t>
      </w:r>
      <w:r w:rsidR="0069218C" w:rsidRPr="009C4946">
        <w:rPr>
          <w:bCs/>
          <w:lang w:val="es-SV"/>
        </w:rPr>
        <w:t>); el 34</w:t>
      </w:r>
      <w:r w:rsidR="00FF61CE">
        <w:rPr>
          <w:bCs/>
          <w:lang w:val="es-SV"/>
        </w:rPr>
        <w:t>,</w:t>
      </w:r>
      <w:r w:rsidR="0069218C" w:rsidRPr="009C4946">
        <w:rPr>
          <w:bCs/>
          <w:lang w:val="es-SV"/>
        </w:rPr>
        <w:t>14</w:t>
      </w:r>
      <w:r w:rsidR="001043C1">
        <w:rPr>
          <w:bCs/>
          <w:lang w:val="es-SV"/>
        </w:rPr>
        <w:t> %</w:t>
      </w:r>
      <w:r w:rsidR="0069218C" w:rsidRPr="009C4946">
        <w:rPr>
          <w:bCs/>
          <w:lang w:val="es-SV"/>
        </w:rPr>
        <w:t xml:space="preserve"> corresponde a sanción por expresiones de violencia contra las mujeres y el resto de las sentencias condenatorias relativas a la difusión de pornografía y la sustracción patrimonial. </w:t>
      </w:r>
    </w:p>
    <w:p w14:paraId="1CFEAA26" w14:textId="4961D3A3" w:rsidR="0069218C" w:rsidRPr="009C4946" w:rsidRDefault="00C44B04" w:rsidP="001C2C73">
      <w:pPr>
        <w:pStyle w:val="SingleTxtG"/>
        <w:tabs>
          <w:tab w:val="clear" w:pos="1701"/>
          <w:tab w:val="clear" w:pos="2268"/>
          <w:tab w:val="clear" w:pos="2835"/>
        </w:tabs>
        <w:rPr>
          <w:bCs/>
          <w:lang w:val="es-SV"/>
        </w:rPr>
      </w:pPr>
      <w:r w:rsidRPr="009C4946">
        <w:rPr>
          <w:bCs/>
          <w:lang w:val="es-SV"/>
        </w:rPr>
        <w:t>59.</w:t>
      </w:r>
      <w:r w:rsidRPr="009C4946">
        <w:rPr>
          <w:bCs/>
          <w:lang w:val="es-SV"/>
        </w:rPr>
        <w:tab/>
      </w:r>
      <w:r w:rsidR="0069218C" w:rsidRPr="009C4946">
        <w:rPr>
          <w:bCs/>
          <w:lang w:val="es-SV"/>
        </w:rPr>
        <w:t>En cuanto a la evolución de los casos de v</w:t>
      </w:r>
      <w:r w:rsidR="00FF61CE">
        <w:rPr>
          <w:bCs/>
          <w:lang w:val="es-SV"/>
        </w:rPr>
        <w:t>í</w:t>
      </w:r>
      <w:r w:rsidR="0069218C" w:rsidRPr="009C4946">
        <w:rPr>
          <w:bCs/>
          <w:lang w:val="es-SV"/>
        </w:rPr>
        <w:t>ctimas por delitos contemplados en el Código Penal, la FGR reporta que en 2019 se registr</w:t>
      </w:r>
      <w:r w:rsidR="00FF61CE">
        <w:rPr>
          <w:bCs/>
          <w:lang w:val="es-SV"/>
        </w:rPr>
        <w:t>ó</w:t>
      </w:r>
      <w:r w:rsidR="0069218C" w:rsidRPr="009C4946">
        <w:rPr>
          <w:bCs/>
          <w:lang w:val="es-SV"/>
        </w:rPr>
        <w:t xml:space="preserve"> un total de 4</w:t>
      </w:r>
      <w:r w:rsidR="00FF61CE">
        <w:rPr>
          <w:bCs/>
          <w:lang w:val="es-SV"/>
        </w:rPr>
        <w:t>.</w:t>
      </w:r>
      <w:r w:rsidR="0069218C" w:rsidRPr="009C4946">
        <w:rPr>
          <w:bCs/>
          <w:lang w:val="es-SV"/>
        </w:rPr>
        <w:t>938; en 2020 un total de 3</w:t>
      </w:r>
      <w:r w:rsidR="00FF61CE">
        <w:rPr>
          <w:bCs/>
          <w:lang w:val="es-SV"/>
        </w:rPr>
        <w:t>.</w:t>
      </w:r>
      <w:r w:rsidR="0069218C" w:rsidRPr="009C4946">
        <w:rPr>
          <w:bCs/>
          <w:lang w:val="es-SV"/>
        </w:rPr>
        <w:t>720 y de enero a julio de 2021, un total de 2</w:t>
      </w:r>
      <w:r w:rsidR="00FF61CE">
        <w:rPr>
          <w:bCs/>
          <w:lang w:val="es-SV"/>
        </w:rPr>
        <w:t>.</w:t>
      </w:r>
      <w:r w:rsidR="0069218C" w:rsidRPr="009C4946">
        <w:rPr>
          <w:bCs/>
          <w:lang w:val="es-SV"/>
        </w:rPr>
        <w:t>674 casos. Asimismo, se presentan datos de casos de menores de 18 años. Anexos 14 y 15.</w:t>
      </w:r>
    </w:p>
    <w:p w14:paraId="70D23969" w14:textId="77777777" w:rsidR="001145BC" w:rsidRPr="009C4946" w:rsidRDefault="0069218C" w:rsidP="009C4946">
      <w:pPr>
        <w:pStyle w:val="H23G"/>
        <w:ind w:firstLine="0"/>
        <w:rPr>
          <w:lang w:val="es-MX"/>
        </w:rPr>
      </w:pPr>
      <w:r w:rsidRPr="009C4946">
        <w:rPr>
          <w:lang w:val="es-MX"/>
        </w:rPr>
        <w:t>Derecho a un nivel de vida adecuado (art. 11)</w:t>
      </w:r>
    </w:p>
    <w:p w14:paraId="4BF16788" w14:textId="70163072" w:rsidR="001145BC" w:rsidRDefault="00C44B04" w:rsidP="001C2C73">
      <w:pPr>
        <w:pStyle w:val="SingleTxtG"/>
        <w:tabs>
          <w:tab w:val="clear" w:pos="1701"/>
          <w:tab w:val="clear" w:pos="2268"/>
          <w:tab w:val="clear" w:pos="2835"/>
        </w:tabs>
        <w:rPr>
          <w:bCs/>
          <w:lang w:val="es-SV"/>
        </w:rPr>
      </w:pPr>
      <w:r>
        <w:rPr>
          <w:bCs/>
          <w:lang w:val="es-SV"/>
        </w:rPr>
        <w:t>60.</w:t>
      </w:r>
      <w:r>
        <w:rPr>
          <w:bCs/>
          <w:lang w:val="es-SV"/>
        </w:rPr>
        <w:tab/>
      </w:r>
      <w:r w:rsidR="0069218C" w:rsidRPr="0069218C">
        <w:rPr>
          <w:bCs/>
          <w:lang w:val="es-SV"/>
        </w:rPr>
        <w:t>El</w:t>
      </w:r>
      <w:r w:rsidR="009C4946">
        <w:rPr>
          <w:bCs/>
          <w:lang w:val="es-SV"/>
        </w:rPr>
        <w:t xml:space="preserve"> </w:t>
      </w:r>
      <w:r w:rsidR="0069218C" w:rsidRPr="0069218C">
        <w:rPr>
          <w:bCs/>
          <w:lang w:val="es-SV"/>
        </w:rPr>
        <w:t>Plan de Desarrollo Social contiene acciones concretas en materia de combate a la pobreza, atención a la primera infancia, la creación y consolidación de un nuevo sistema educativo y de salud, el combate y eliminación del flagelo de la violencia, la generación de empleo y la protección social contributiva y no contributiva, para avanzar hacia la transformación social.</w:t>
      </w:r>
    </w:p>
    <w:p w14:paraId="071DA5F3" w14:textId="03305414" w:rsidR="001145BC" w:rsidRDefault="00C44B04" w:rsidP="001C2C73">
      <w:pPr>
        <w:pStyle w:val="SingleTxtG"/>
        <w:tabs>
          <w:tab w:val="clear" w:pos="1701"/>
          <w:tab w:val="clear" w:pos="2268"/>
          <w:tab w:val="clear" w:pos="2835"/>
        </w:tabs>
        <w:rPr>
          <w:bCs/>
          <w:lang w:val="es-SV"/>
        </w:rPr>
      </w:pPr>
      <w:r>
        <w:rPr>
          <w:bCs/>
          <w:lang w:val="es-SV"/>
        </w:rPr>
        <w:t>61.</w:t>
      </w:r>
      <w:r>
        <w:rPr>
          <w:bCs/>
          <w:lang w:val="es-SV"/>
        </w:rPr>
        <w:tab/>
      </w:r>
      <w:r w:rsidR="0069218C" w:rsidRPr="0069218C">
        <w:rPr>
          <w:bCs/>
          <w:lang w:val="es-SV"/>
        </w:rPr>
        <w:t>Se trata de un plan intersectorial que integra un marco de resultados, redes de causalidad basadas en evidencias y en la incidencia de causas y factores de riesgo en el país.</w:t>
      </w:r>
    </w:p>
    <w:p w14:paraId="17741114" w14:textId="77777777" w:rsidR="001145BC" w:rsidRDefault="0069218C" w:rsidP="009C4946">
      <w:pPr>
        <w:pStyle w:val="SingleTxtG"/>
        <w:jc w:val="center"/>
        <w:rPr>
          <w:bCs/>
          <w:lang w:val="es-SV"/>
        </w:rPr>
      </w:pPr>
      <w:r w:rsidRPr="0069218C">
        <w:rPr>
          <w:bCs/>
          <w:noProof/>
          <w:lang w:val="en-GB" w:eastAsia="en-GB"/>
        </w:rPr>
        <w:drawing>
          <wp:inline distT="0" distB="0" distL="0" distR="0" wp14:anchorId="50C91EA0" wp14:editId="4EA8C0A2">
            <wp:extent cx="3966962" cy="252412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cstate="print"/>
                    <a:srcRect/>
                    <a:stretch>
                      <a:fillRect/>
                    </a:stretch>
                  </pic:blipFill>
                  <pic:spPr bwMode="auto">
                    <a:xfrm>
                      <a:off x="0" y="0"/>
                      <a:ext cx="3981799" cy="2533566"/>
                    </a:xfrm>
                    <a:prstGeom prst="rect">
                      <a:avLst/>
                    </a:prstGeom>
                    <a:noFill/>
                    <a:ln w="9525">
                      <a:noFill/>
                      <a:miter lim="800000"/>
                      <a:headEnd/>
                      <a:tailEnd/>
                    </a:ln>
                  </pic:spPr>
                </pic:pic>
              </a:graphicData>
            </a:graphic>
          </wp:inline>
        </w:drawing>
      </w:r>
    </w:p>
    <w:p w14:paraId="5ABFEFC6" w14:textId="79245DD3" w:rsidR="001145BC" w:rsidRDefault="00C44B04" w:rsidP="001C2C73">
      <w:pPr>
        <w:pStyle w:val="SingleTxtG"/>
        <w:tabs>
          <w:tab w:val="clear" w:pos="1701"/>
          <w:tab w:val="clear" w:pos="2268"/>
          <w:tab w:val="clear" w:pos="2835"/>
        </w:tabs>
        <w:spacing w:before="240"/>
        <w:rPr>
          <w:bCs/>
          <w:lang w:val="es-SV"/>
        </w:rPr>
      </w:pPr>
      <w:r>
        <w:rPr>
          <w:bCs/>
          <w:lang w:val="es-SV"/>
        </w:rPr>
        <w:t>62.</w:t>
      </w:r>
      <w:r>
        <w:rPr>
          <w:bCs/>
          <w:lang w:val="es-SV"/>
        </w:rPr>
        <w:tab/>
      </w:r>
      <w:r w:rsidR="0069218C" w:rsidRPr="0069218C">
        <w:rPr>
          <w:bCs/>
          <w:lang w:val="es-SV"/>
        </w:rPr>
        <w:t>El Plan Social es un instrumento cuya apuesta es la articulación y complementariedad con otras estrategias del Gobierno, buscando las sinergias y coincidencia de objetivos. Las principales interacciones se presentan a continuación</w:t>
      </w:r>
      <w:r w:rsidR="001878DA">
        <w:rPr>
          <w:bCs/>
          <w:lang w:val="es-SV"/>
        </w:rPr>
        <w:t>.</w:t>
      </w:r>
    </w:p>
    <w:p w14:paraId="105E7206" w14:textId="77777777" w:rsidR="001145BC" w:rsidRDefault="0069218C" w:rsidP="009C4946">
      <w:pPr>
        <w:pStyle w:val="SingleTxtG"/>
        <w:tabs>
          <w:tab w:val="clear" w:pos="1701"/>
          <w:tab w:val="clear" w:pos="2268"/>
          <w:tab w:val="clear" w:pos="2835"/>
        </w:tabs>
        <w:jc w:val="center"/>
        <w:rPr>
          <w:bCs/>
          <w:lang w:val="es-SV"/>
        </w:rPr>
      </w:pPr>
      <w:r w:rsidRPr="001145BC">
        <w:rPr>
          <w:bCs/>
          <w:noProof/>
          <w:lang w:val="en-GB" w:eastAsia="en-GB"/>
        </w:rPr>
        <w:lastRenderedPageBreak/>
        <w:drawing>
          <wp:inline distT="0" distB="0" distL="0" distR="0" wp14:anchorId="3AF2DEE5" wp14:editId="125DBB14">
            <wp:extent cx="3883390" cy="2257425"/>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cstate="print"/>
                    <a:srcRect t="2089" b="8357"/>
                    <a:stretch>
                      <a:fillRect/>
                    </a:stretch>
                  </pic:blipFill>
                  <pic:spPr bwMode="auto">
                    <a:xfrm>
                      <a:off x="0" y="0"/>
                      <a:ext cx="3894628" cy="2263958"/>
                    </a:xfrm>
                    <a:prstGeom prst="rect">
                      <a:avLst/>
                    </a:prstGeom>
                    <a:noFill/>
                    <a:ln w="9525">
                      <a:noFill/>
                      <a:miter lim="800000"/>
                      <a:headEnd/>
                      <a:tailEnd/>
                    </a:ln>
                  </pic:spPr>
                </pic:pic>
              </a:graphicData>
            </a:graphic>
          </wp:inline>
        </w:drawing>
      </w:r>
    </w:p>
    <w:p w14:paraId="124903A9" w14:textId="74291208" w:rsidR="001145BC" w:rsidRDefault="00C44B04" w:rsidP="001C2C73">
      <w:pPr>
        <w:pStyle w:val="SingleTxtG"/>
        <w:tabs>
          <w:tab w:val="clear" w:pos="1701"/>
          <w:tab w:val="clear" w:pos="2268"/>
          <w:tab w:val="clear" w:pos="2835"/>
        </w:tabs>
        <w:spacing w:before="240"/>
        <w:rPr>
          <w:bCs/>
          <w:lang w:val="es-SV"/>
        </w:rPr>
      </w:pPr>
      <w:r>
        <w:rPr>
          <w:bCs/>
          <w:lang w:val="es-SV"/>
        </w:rPr>
        <w:t>63.</w:t>
      </w:r>
      <w:r>
        <w:rPr>
          <w:bCs/>
          <w:lang w:val="es-SV"/>
        </w:rPr>
        <w:tab/>
      </w:r>
      <w:r w:rsidR="0069218C" w:rsidRPr="0069218C">
        <w:rPr>
          <w:bCs/>
          <w:lang w:val="es-SV"/>
        </w:rPr>
        <w:t>El PDS cuenta con distintas herramientas informáticas de monitoreo y evaluación: i)</w:t>
      </w:r>
      <w:r w:rsidR="00FF61CE">
        <w:rPr>
          <w:bCs/>
          <w:lang w:val="es-SV"/>
        </w:rPr>
        <w:t> </w:t>
      </w:r>
      <w:r w:rsidR="0069218C" w:rsidRPr="0069218C">
        <w:rPr>
          <w:bCs/>
          <w:lang w:val="es-SV"/>
        </w:rPr>
        <w:t>de indicadores del Plan</w:t>
      </w:r>
      <w:r w:rsidR="009C4946">
        <w:rPr>
          <w:bCs/>
          <w:lang w:val="es-SV"/>
        </w:rPr>
        <w:t xml:space="preserve"> </w:t>
      </w:r>
      <w:r w:rsidR="0069218C" w:rsidRPr="0069218C">
        <w:rPr>
          <w:bCs/>
          <w:lang w:val="es-SV"/>
        </w:rPr>
        <w:t>2019-2024</w:t>
      </w:r>
      <w:r w:rsidR="00C472CE">
        <w:rPr>
          <w:bCs/>
          <w:lang w:val="es-SV"/>
        </w:rPr>
        <w:t>;</w:t>
      </w:r>
      <w:r w:rsidR="0069218C" w:rsidRPr="0069218C">
        <w:rPr>
          <w:bCs/>
          <w:lang w:val="es-SV"/>
        </w:rPr>
        <w:t xml:space="preserve"> ii) de indicadores de la pobreza multidimensional; y iii) del Registro Único de Participantes de los programas sociales. </w:t>
      </w:r>
    </w:p>
    <w:p w14:paraId="161E15B5" w14:textId="4777D999" w:rsidR="001145BC" w:rsidRDefault="00C44B04" w:rsidP="001C2C73">
      <w:pPr>
        <w:pStyle w:val="SingleTxtG"/>
        <w:tabs>
          <w:tab w:val="clear" w:pos="1701"/>
          <w:tab w:val="clear" w:pos="2268"/>
          <w:tab w:val="clear" w:pos="2835"/>
        </w:tabs>
        <w:rPr>
          <w:bCs/>
          <w:lang w:val="es-SV"/>
        </w:rPr>
      </w:pPr>
      <w:r>
        <w:rPr>
          <w:bCs/>
          <w:lang w:val="es-SV"/>
        </w:rPr>
        <w:t>64.</w:t>
      </w:r>
      <w:r>
        <w:rPr>
          <w:bCs/>
          <w:lang w:val="es-SV"/>
        </w:rPr>
        <w:tab/>
      </w:r>
      <w:r w:rsidR="0069218C" w:rsidRPr="0069218C">
        <w:rPr>
          <w:bCs/>
          <w:lang w:val="es-SV"/>
        </w:rPr>
        <w:t>Como sucedió alrededor del mundo, la pandemia impactó en los indicadores de la pobreza, en</w:t>
      </w:r>
      <w:r w:rsidR="009C4946">
        <w:rPr>
          <w:bCs/>
          <w:lang w:val="es-SV"/>
        </w:rPr>
        <w:t xml:space="preserve"> </w:t>
      </w:r>
      <w:r w:rsidR="0069218C" w:rsidRPr="0069218C">
        <w:rPr>
          <w:bCs/>
          <w:lang w:val="es-SV"/>
        </w:rPr>
        <w:t>El Salvador aumentó de 5</w:t>
      </w:r>
      <w:r w:rsidR="003B0B16">
        <w:rPr>
          <w:bCs/>
          <w:lang w:val="es-SV"/>
        </w:rPr>
        <w:t>,</w:t>
      </w:r>
      <w:r w:rsidR="0069218C" w:rsidRPr="0069218C">
        <w:rPr>
          <w:bCs/>
          <w:lang w:val="es-SV"/>
        </w:rPr>
        <w:t>5</w:t>
      </w:r>
      <w:r w:rsidR="001043C1">
        <w:rPr>
          <w:bCs/>
          <w:lang w:val="es-SV"/>
        </w:rPr>
        <w:t> %</w:t>
      </w:r>
      <w:r w:rsidR="0069218C" w:rsidRPr="0069218C">
        <w:rPr>
          <w:bCs/>
          <w:lang w:val="es-SV"/>
        </w:rPr>
        <w:t xml:space="preserve"> de hogares en extrema pobreza en el 2019 a 8</w:t>
      </w:r>
      <w:r w:rsidR="00FF61CE">
        <w:rPr>
          <w:bCs/>
          <w:lang w:val="es-SV"/>
        </w:rPr>
        <w:t>,</w:t>
      </w:r>
      <w:r w:rsidR="0069218C" w:rsidRPr="0069218C">
        <w:rPr>
          <w:bCs/>
          <w:lang w:val="es-SV"/>
        </w:rPr>
        <w:t xml:space="preserve">6 para el año 2020 (EHPM, 2020). </w:t>
      </w:r>
    </w:p>
    <w:p w14:paraId="1B3373C8" w14:textId="43E3C4B4" w:rsidR="0069218C" w:rsidRPr="009C4946" w:rsidRDefault="00C44B04" w:rsidP="001C2C73">
      <w:pPr>
        <w:pStyle w:val="SingleTxtG"/>
        <w:tabs>
          <w:tab w:val="clear" w:pos="1701"/>
          <w:tab w:val="clear" w:pos="2268"/>
          <w:tab w:val="clear" w:pos="2835"/>
        </w:tabs>
        <w:rPr>
          <w:bCs/>
          <w:lang w:val="es-SV"/>
        </w:rPr>
      </w:pPr>
      <w:r w:rsidRPr="009C4946">
        <w:rPr>
          <w:bCs/>
          <w:lang w:val="es-SV"/>
        </w:rPr>
        <w:t>65.</w:t>
      </w:r>
      <w:r w:rsidRPr="009C4946">
        <w:rPr>
          <w:bCs/>
          <w:lang w:val="es-SV"/>
        </w:rPr>
        <w:tab/>
      </w:r>
      <w:r w:rsidR="0069218C" w:rsidRPr="009C4946">
        <w:rPr>
          <w:bCs/>
          <w:lang w:val="es-SV"/>
        </w:rPr>
        <w:t xml:space="preserve">El Gobierno del Presidente Nayib Bukele, ante esta situación dio respuesta a través de programas de protección social de emergencia </w:t>
      </w:r>
      <w:r w:rsidR="00FF61CE">
        <w:rPr>
          <w:bCs/>
          <w:lang w:val="es-SV"/>
        </w:rPr>
        <w:t>—</w:t>
      </w:r>
      <w:r w:rsidR="0069218C" w:rsidRPr="009C4946">
        <w:rPr>
          <w:bCs/>
          <w:lang w:val="es-SV"/>
        </w:rPr>
        <w:t>esfuerzo que se continúa realizando</w:t>
      </w:r>
      <w:r w:rsidR="00FF61CE">
        <w:rPr>
          <w:bCs/>
          <w:lang w:val="es-SV"/>
        </w:rPr>
        <w:t>—</w:t>
      </w:r>
      <w:r w:rsidR="0069218C" w:rsidRPr="009C4946">
        <w:rPr>
          <w:bCs/>
          <w:lang w:val="es-SV"/>
        </w:rPr>
        <w:t xml:space="preserve"> orientado a cubrir principalmente a los hogares pobres o aquellos que enfrentan mayor riesgo de caer en pobreza. </w:t>
      </w:r>
    </w:p>
    <w:tbl>
      <w:tblPr>
        <w:tblW w:w="5000" w:type="pct"/>
        <w:tblCellMar>
          <w:left w:w="0" w:type="dxa"/>
          <w:right w:w="0" w:type="dxa"/>
        </w:tblCellMar>
        <w:tblLook w:val="04A0" w:firstRow="1" w:lastRow="0" w:firstColumn="1" w:lastColumn="0" w:noHBand="0" w:noVBand="1"/>
      </w:tblPr>
      <w:tblGrid>
        <w:gridCol w:w="1845"/>
        <w:gridCol w:w="2124"/>
        <w:gridCol w:w="1845"/>
        <w:gridCol w:w="1700"/>
        <w:gridCol w:w="2124"/>
      </w:tblGrid>
      <w:tr w:rsidR="001145BC" w:rsidRPr="001145BC" w14:paraId="0300A4DE" w14:textId="77777777" w:rsidTr="001C2C73">
        <w:trPr>
          <w:tblHeader/>
        </w:trPr>
        <w:tc>
          <w:tcPr>
            <w:tcW w:w="957" w:type="pct"/>
            <w:tcBorders>
              <w:top w:val="single" w:sz="4" w:space="0" w:color="auto"/>
              <w:bottom w:val="single" w:sz="12" w:space="0" w:color="auto"/>
            </w:tcBorders>
            <w:shd w:val="clear" w:color="auto" w:fill="auto"/>
            <w:vAlign w:val="bottom"/>
          </w:tcPr>
          <w:p w14:paraId="1FED8DE2" w14:textId="77777777" w:rsidR="0069218C" w:rsidRPr="001145BC" w:rsidRDefault="00DE494F" w:rsidP="001145BC">
            <w:pPr>
              <w:spacing w:before="80" w:after="80" w:line="200" w:lineRule="exact"/>
              <w:ind w:right="113"/>
              <w:rPr>
                <w:i/>
                <w:sz w:val="16"/>
                <w:lang w:val="es-SV"/>
              </w:rPr>
            </w:pPr>
            <w:r w:rsidRPr="001145BC">
              <w:rPr>
                <w:i/>
                <w:sz w:val="16"/>
                <w:lang w:val="es-SV"/>
              </w:rPr>
              <w:t>Transferencias monetarias</w:t>
            </w:r>
          </w:p>
        </w:tc>
        <w:tc>
          <w:tcPr>
            <w:tcW w:w="1102" w:type="pct"/>
            <w:tcBorders>
              <w:top w:val="single" w:sz="4" w:space="0" w:color="auto"/>
              <w:bottom w:val="single" w:sz="12" w:space="0" w:color="auto"/>
            </w:tcBorders>
            <w:shd w:val="clear" w:color="auto" w:fill="auto"/>
            <w:vAlign w:val="bottom"/>
          </w:tcPr>
          <w:p w14:paraId="7768E2DA" w14:textId="77777777" w:rsidR="0069218C" w:rsidRPr="001145BC" w:rsidRDefault="00DE494F" w:rsidP="001145BC">
            <w:pPr>
              <w:spacing w:before="80" w:after="80" w:line="200" w:lineRule="exact"/>
              <w:ind w:right="113"/>
              <w:rPr>
                <w:i/>
                <w:sz w:val="16"/>
                <w:lang w:val="es-SV"/>
              </w:rPr>
            </w:pPr>
            <w:r w:rsidRPr="001145BC">
              <w:rPr>
                <w:i/>
                <w:sz w:val="16"/>
                <w:lang w:val="es-SV"/>
              </w:rPr>
              <w:t>Transferencias en especie</w:t>
            </w:r>
          </w:p>
        </w:tc>
        <w:tc>
          <w:tcPr>
            <w:tcW w:w="957" w:type="pct"/>
            <w:tcBorders>
              <w:top w:val="single" w:sz="4" w:space="0" w:color="auto"/>
              <w:bottom w:val="single" w:sz="12" w:space="0" w:color="auto"/>
            </w:tcBorders>
            <w:shd w:val="clear" w:color="auto" w:fill="auto"/>
            <w:vAlign w:val="bottom"/>
          </w:tcPr>
          <w:p w14:paraId="0DD3B78A" w14:textId="77777777" w:rsidR="0069218C" w:rsidRPr="001145BC" w:rsidRDefault="00DE494F" w:rsidP="001145BC">
            <w:pPr>
              <w:spacing w:before="80" w:after="80" w:line="200" w:lineRule="exact"/>
              <w:ind w:right="113"/>
              <w:rPr>
                <w:i/>
                <w:sz w:val="16"/>
                <w:lang w:val="es-SV"/>
              </w:rPr>
            </w:pPr>
            <w:r w:rsidRPr="001145BC">
              <w:rPr>
                <w:i/>
                <w:sz w:val="16"/>
                <w:lang w:val="es-SV"/>
              </w:rPr>
              <w:t>Suministro de servicios básicos</w:t>
            </w:r>
          </w:p>
        </w:tc>
        <w:tc>
          <w:tcPr>
            <w:tcW w:w="882" w:type="pct"/>
            <w:tcBorders>
              <w:top w:val="single" w:sz="4" w:space="0" w:color="auto"/>
              <w:bottom w:val="single" w:sz="12" w:space="0" w:color="auto"/>
            </w:tcBorders>
            <w:shd w:val="clear" w:color="auto" w:fill="auto"/>
            <w:vAlign w:val="bottom"/>
          </w:tcPr>
          <w:p w14:paraId="0E34E3CE" w14:textId="77777777" w:rsidR="0069218C" w:rsidRPr="001145BC" w:rsidRDefault="00DE494F" w:rsidP="001145BC">
            <w:pPr>
              <w:spacing w:before="80" w:after="80" w:line="200" w:lineRule="exact"/>
              <w:ind w:right="113"/>
              <w:rPr>
                <w:i/>
                <w:sz w:val="16"/>
                <w:lang w:val="es-SV"/>
              </w:rPr>
            </w:pPr>
            <w:r w:rsidRPr="001145BC">
              <w:rPr>
                <w:i/>
                <w:sz w:val="16"/>
                <w:lang w:val="es-SV"/>
              </w:rPr>
              <w:t>Protección social para trabajadores formales</w:t>
            </w:r>
          </w:p>
        </w:tc>
        <w:tc>
          <w:tcPr>
            <w:tcW w:w="1102" w:type="pct"/>
            <w:tcBorders>
              <w:top w:val="single" w:sz="4" w:space="0" w:color="auto"/>
              <w:bottom w:val="single" w:sz="12" w:space="0" w:color="auto"/>
            </w:tcBorders>
            <w:shd w:val="clear" w:color="auto" w:fill="auto"/>
            <w:vAlign w:val="bottom"/>
          </w:tcPr>
          <w:p w14:paraId="1E1411EE" w14:textId="77777777" w:rsidR="0069218C" w:rsidRPr="001145BC" w:rsidRDefault="00DE494F" w:rsidP="001145BC">
            <w:pPr>
              <w:spacing w:before="80" w:after="80" w:line="200" w:lineRule="exact"/>
              <w:ind w:right="113"/>
              <w:rPr>
                <w:i/>
                <w:sz w:val="16"/>
                <w:lang w:val="es-SV"/>
              </w:rPr>
            </w:pPr>
            <w:r w:rsidRPr="001145BC">
              <w:rPr>
                <w:i/>
                <w:sz w:val="16"/>
                <w:lang w:val="es-SV"/>
              </w:rPr>
              <w:t>Otros apoyos directos a personas y familias</w:t>
            </w:r>
          </w:p>
        </w:tc>
      </w:tr>
      <w:tr w:rsidR="001145BC" w:rsidRPr="001145BC" w14:paraId="1349E745" w14:textId="77777777" w:rsidTr="001C2C73">
        <w:trPr>
          <w:trHeight w:hRule="exact" w:val="113"/>
          <w:tblHeader/>
        </w:trPr>
        <w:tc>
          <w:tcPr>
            <w:tcW w:w="957" w:type="pct"/>
            <w:tcBorders>
              <w:top w:val="single" w:sz="12" w:space="0" w:color="auto"/>
            </w:tcBorders>
            <w:shd w:val="clear" w:color="auto" w:fill="auto"/>
          </w:tcPr>
          <w:p w14:paraId="4AC17E1D" w14:textId="77777777" w:rsidR="001145BC" w:rsidRPr="001145BC" w:rsidRDefault="001145BC" w:rsidP="001145BC">
            <w:pPr>
              <w:spacing w:before="40" w:after="120"/>
              <w:ind w:right="113"/>
              <w:rPr>
                <w:lang w:val="es-SV"/>
              </w:rPr>
            </w:pPr>
          </w:p>
        </w:tc>
        <w:tc>
          <w:tcPr>
            <w:tcW w:w="1102" w:type="pct"/>
            <w:tcBorders>
              <w:top w:val="single" w:sz="12" w:space="0" w:color="auto"/>
            </w:tcBorders>
            <w:shd w:val="clear" w:color="auto" w:fill="auto"/>
          </w:tcPr>
          <w:p w14:paraId="7C0FF17B" w14:textId="77777777" w:rsidR="001145BC" w:rsidRPr="001145BC" w:rsidRDefault="001145BC" w:rsidP="001145BC">
            <w:pPr>
              <w:spacing w:before="40" w:after="120"/>
              <w:ind w:right="113"/>
              <w:rPr>
                <w:lang w:val="es-SV"/>
              </w:rPr>
            </w:pPr>
          </w:p>
        </w:tc>
        <w:tc>
          <w:tcPr>
            <w:tcW w:w="957" w:type="pct"/>
            <w:tcBorders>
              <w:top w:val="single" w:sz="12" w:space="0" w:color="auto"/>
            </w:tcBorders>
            <w:shd w:val="clear" w:color="auto" w:fill="auto"/>
          </w:tcPr>
          <w:p w14:paraId="0AAFEF74" w14:textId="77777777" w:rsidR="001145BC" w:rsidRPr="001145BC" w:rsidRDefault="001145BC" w:rsidP="001145BC">
            <w:pPr>
              <w:spacing w:before="40" w:after="120"/>
              <w:ind w:right="113"/>
              <w:rPr>
                <w:lang w:val="es-SV"/>
              </w:rPr>
            </w:pPr>
          </w:p>
        </w:tc>
        <w:tc>
          <w:tcPr>
            <w:tcW w:w="882" w:type="pct"/>
            <w:tcBorders>
              <w:top w:val="single" w:sz="12" w:space="0" w:color="auto"/>
            </w:tcBorders>
            <w:shd w:val="clear" w:color="auto" w:fill="auto"/>
          </w:tcPr>
          <w:p w14:paraId="1A81DAAF" w14:textId="77777777" w:rsidR="001145BC" w:rsidRPr="001145BC" w:rsidRDefault="001145BC" w:rsidP="001145BC">
            <w:pPr>
              <w:spacing w:before="40" w:after="120"/>
              <w:ind w:right="113"/>
              <w:rPr>
                <w:lang w:val="es-SV"/>
              </w:rPr>
            </w:pPr>
          </w:p>
        </w:tc>
        <w:tc>
          <w:tcPr>
            <w:tcW w:w="1102" w:type="pct"/>
            <w:tcBorders>
              <w:top w:val="single" w:sz="12" w:space="0" w:color="auto"/>
            </w:tcBorders>
            <w:shd w:val="clear" w:color="auto" w:fill="auto"/>
          </w:tcPr>
          <w:p w14:paraId="02AF1F21" w14:textId="77777777" w:rsidR="001145BC" w:rsidRPr="001145BC" w:rsidRDefault="001145BC" w:rsidP="001145BC">
            <w:pPr>
              <w:spacing w:before="40" w:after="120"/>
              <w:ind w:right="113"/>
              <w:rPr>
                <w:lang w:val="es-SV"/>
              </w:rPr>
            </w:pPr>
          </w:p>
        </w:tc>
      </w:tr>
      <w:tr w:rsidR="001145BC" w:rsidRPr="001145BC" w14:paraId="2096A0B2" w14:textId="77777777" w:rsidTr="001C2C73">
        <w:tc>
          <w:tcPr>
            <w:tcW w:w="957" w:type="pct"/>
            <w:tcBorders>
              <w:bottom w:val="single" w:sz="12" w:space="0" w:color="auto"/>
            </w:tcBorders>
            <w:shd w:val="clear" w:color="auto" w:fill="auto"/>
          </w:tcPr>
          <w:p w14:paraId="6ADE660F" w14:textId="13FDFDCB" w:rsidR="0069218C" w:rsidRPr="001145BC" w:rsidRDefault="0069218C" w:rsidP="001C2C73">
            <w:pPr>
              <w:spacing w:before="40" w:after="120"/>
              <w:ind w:right="113"/>
              <w:rPr>
                <w:b/>
                <w:lang w:val="es-SV"/>
              </w:rPr>
            </w:pPr>
            <w:r w:rsidRPr="001145BC">
              <w:rPr>
                <w:b/>
                <w:lang w:val="es-SV"/>
              </w:rPr>
              <w:t>Nuevo programa de transferencia monetaria</w:t>
            </w:r>
          </w:p>
        </w:tc>
        <w:tc>
          <w:tcPr>
            <w:tcW w:w="1102" w:type="pct"/>
            <w:tcBorders>
              <w:bottom w:val="single" w:sz="12" w:space="0" w:color="auto"/>
            </w:tcBorders>
            <w:shd w:val="clear" w:color="auto" w:fill="auto"/>
          </w:tcPr>
          <w:p w14:paraId="70FE32F9" w14:textId="3E1B6419" w:rsidR="0069218C" w:rsidRPr="001145BC" w:rsidRDefault="0069218C" w:rsidP="001145BC">
            <w:pPr>
              <w:spacing w:before="40" w:after="120"/>
              <w:ind w:right="113"/>
              <w:rPr>
                <w:lang w:val="es-SV"/>
              </w:rPr>
            </w:pPr>
            <w:r w:rsidRPr="001145BC">
              <w:rPr>
                <w:lang w:val="es-SV"/>
              </w:rPr>
              <w:t>Programa de Emergencia Sanitaria (PES) (canastas alimentarias)</w:t>
            </w:r>
          </w:p>
          <w:p w14:paraId="62F67F74" w14:textId="77777777" w:rsidR="0069218C" w:rsidRPr="001145BC" w:rsidRDefault="0069218C" w:rsidP="001145BC">
            <w:pPr>
              <w:spacing w:before="40" w:after="120"/>
              <w:ind w:right="113"/>
              <w:rPr>
                <w:lang w:val="es-SV"/>
              </w:rPr>
            </w:pPr>
            <w:r w:rsidRPr="001145BC">
              <w:rPr>
                <w:lang w:val="es-SV"/>
              </w:rPr>
              <w:t>Adaptación del programa de alimentación escolar</w:t>
            </w:r>
            <w:r w:rsidR="009C4946">
              <w:rPr>
                <w:lang w:val="es-SV"/>
              </w:rPr>
              <w:t xml:space="preserve"> </w:t>
            </w:r>
            <w:r w:rsidRPr="001145BC">
              <w:rPr>
                <w:lang w:val="es-SV"/>
              </w:rPr>
              <w:t>(entrega de raciones equivalentes directamente en el hogar de los estudiantes)</w:t>
            </w:r>
          </w:p>
        </w:tc>
        <w:tc>
          <w:tcPr>
            <w:tcW w:w="957" w:type="pct"/>
            <w:tcBorders>
              <w:bottom w:val="single" w:sz="12" w:space="0" w:color="auto"/>
            </w:tcBorders>
            <w:shd w:val="clear" w:color="auto" w:fill="auto"/>
          </w:tcPr>
          <w:p w14:paraId="649DF970" w14:textId="11FE0467" w:rsidR="0069218C" w:rsidRPr="001145BC" w:rsidRDefault="0069218C" w:rsidP="001C2C73">
            <w:pPr>
              <w:spacing w:before="40" w:after="120"/>
              <w:ind w:right="113"/>
              <w:rPr>
                <w:lang w:val="es-SV"/>
              </w:rPr>
            </w:pPr>
            <w:r w:rsidRPr="001145BC">
              <w:rPr>
                <w:lang w:val="es-SV"/>
              </w:rPr>
              <w:t>Postergación del pago de cuentas de</w:t>
            </w:r>
            <w:r w:rsidRPr="001145BC">
              <w:rPr>
                <w:vertAlign w:val="superscript"/>
                <w:lang w:val="es-SV"/>
              </w:rPr>
              <w:footnoteReference w:id="5"/>
            </w:r>
            <w:r w:rsidRPr="001145BC">
              <w:rPr>
                <w:lang w:val="es-SV"/>
              </w:rPr>
              <w:t xml:space="preserve"> agua, electricidad y TIC (telefonía, internet, TV)</w:t>
            </w:r>
          </w:p>
        </w:tc>
        <w:tc>
          <w:tcPr>
            <w:tcW w:w="882" w:type="pct"/>
            <w:tcBorders>
              <w:bottom w:val="single" w:sz="12" w:space="0" w:color="auto"/>
            </w:tcBorders>
            <w:shd w:val="clear" w:color="auto" w:fill="auto"/>
          </w:tcPr>
          <w:p w14:paraId="1B771FC5" w14:textId="77777777" w:rsidR="001145BC" w:rsidRPr="001145BC" w:rsidRDefault="0069218C" w:rsidP="001145BC">
            <w:pPr>
              <w:spacing w:before="40" w:after="120"/>
              <w:ind w:right="113"/>
              <w:rPr>
                <w:lang w:val="es-SV"/>
              </w:rPr>
            </w:pPr>
            <w:r w:rsidRPr="001145BC">
              <w:rPr>
                <w:lang w:val="es-SV"/>
              </w:rPr>
              <w:t xml:space="preserve">Reducción de exposición al COVID-19 (teletrabajo) </w:t>
            </w:r>
          </w:p>
          <w:p w14:paraId="440A997D" w14:textId="77777777" w:rsidR="0069218C" w:rsidRPr="001145BC" w:rsidRDefault="0069218C" w:rsidP="001145BC">
            <w:pPr>
              <w:spacing w:before="40" w:after="120"/>
              <w:ind w:right="113"/>
              <w:rPr>
                <w:lang w:val="es-SV"/>
              </w:rPr>
            </w:pPr>
            <w:r w:rsidRPr="001145BC">
              <w:rPr>
                <w:lang w:val="es-SV"/>
              </w:rPr>
              <w:t>Protección de ingresos y puestos de trabajo (prohibición de despidos)</w:t>
            </w:r>
          </w:p>
        </w:tc>
        <w:tc>
          <w:tcPr>
            <w:tcW w:w="1102" w:type="pct"/>
            <w:tcBorders>
              <w:bottom w:val="single" w:sz="12" w:space="0" w:color="auto"/>
            </w:tcBorders>
            <w:shd w:val="clear" w:color="auto" w:fill="auto"/>
          </w:tcPr>
          <w:p w14:paraId="65AF30D7" w14:textId="77777777" w:rsidR="0069218C" w:rsidRPr="001145BC" w:rsidRDefault="0069218C" w:rsidP="001145BC">
            <w:pPr>
              <w:spacing w:before="40" w:after="120"/>
              <w:ind w:right="113"/>
              <w:rPr>
                <w:lang w:val="es-SV"/>
              </w:rPr>
            </w:pPr>
            <w:r w:rsidRPr="001145BC">
              <w:rPr>
                <w:lang w:val="es-SV"/>
              </w:rPr>
              <w:t>-</w:t>
            </w:r>
            <w:r w:rsidR="009C4946">
              <w:rPr>
                <w:lang w:val="es-SV"/>
              </w:rPr>
              <w:t xml:space="preserve"> </w:t>
            </w:r>
            <w:r w:rsidRPr="001145BC">
              <w:rPr>
                <w:lang w:val="es-SV"/>
              </w:rPr>
              <w:t xml:space="preserve">Alivios tributarios </w:t>
            </w:r>
          </w:p>
          <w:p w14:paraId="0CF19F8B" w14:textId="77777777" w:rsidR="0069218C" w:rsidRPr="001145BC" w:rsidRDefault="0069218C" w:rsidP="001145BC">
            <w:pPr>
              <w:spacing w:before="40" w:after="120"/>
              <w:ind w:right="113"/>
              <w:rPr>
                <w:lang w:val="es-SV"/>
              </w:rPr>
            </w:pPr>
            <w:r w:rsidRPr="001145BC">
              <w:rPr>
                <w:lang w:val="es-SV"/>
              </w:rPr>
              <w:t>-</w:t>
            </w:r>
            <w:r w:rsidR="009C4946">
              <w:rPr>
                <w:lang w:val="es-SV"/>
              </w:rPr>
              <w:t xml:space="preserve"> </w:t>
            </w:r>
            <w:r w:rsidRPr="001145BC">
              <w:rPr>
                <w:lang w:val="es-SV"/>
              </w:rPr>
              <w:t>Alivio de deudas</w:t>
            </w:r>
          </w:p>
          <w:p w14:paraId="2C825F81" w14:textId="77777777" w:rsidR="0069218C" w:rsidRPr="001145BC" w:rsidRDefault="0069218C" w:rsidP="001145BC">
            <w:pPr>
              <w:spacing w:before="40" w:after="120"/>
              <w:ind w:right="113"/>
              <w:rPr>
                <w:lang w:val="es-SV"/>
              </w:rPr>
            </w:pPr>
            <w:r w:rsidRPr="001145BC">
              <w:rPr>
                <w:lang w:val="es-SV"/>
              </w:rPr>
              <w:t>-</w:t>
            </w:r>
            <w:r w:rsidR="009C4946">
              <w:rPr>
                <w:lang w:val="es-SV"/>
              </w:rPr>
              <w:t xml:space="preserve"> </w:t>
            </w:r>
            <w:r w:rsidRPr="001145BC">
              <w:rPr>
                <w:lang w:val="es-SV"/>
              </w:rPr>
              <w:t>Control de precios (productos de la canasta básica y de bienes o servicios relacionados directamente con la prevención, tratamiento, contención y atención de la pandemia)</w:t>
            </w:r>
          </w:p>
        </w:tc>
      </w:tr>
    </w:tbl>
    <w:p w14:paraId="4D9F956B" w14:textId="2757534A" w:rsidR="001145BC" w:rsidRDefault="00C44B04" w:rsidP="001C2C73">
      <w:pPr>
        <w:pStyle w:val="SingleTxtG"/>
        <w:tabs>
          <w:tab w:val="clear" w:pos="1701"/>
          <w:tab w:val="clear" w:pos="2268"/>
          <w:tab w:val="clear" w:pos="2835"/>
        </w:tabs>
        <w:spacing w:before="240"/>
        <w:rPr>
          <w:bCs/>
          <w:lang w:val="es-SV"/>
        </w:rPr>
      </w:pPr>
      <w:r>
        <w:rPr>
          <w:bCs/>
          <w:lang w:val="es-SV"/>
        </w:rPr>
        <w:t>66.</w:t>
      </w:r>
      <w:r>
        <w:rPr>
          <w:bCs/>
          <w:lang w:val="es-SV"/>
        </w:rPr>
        <w:tab/>
      </w:r>
      <w:r w:rsidR="0069218C" w:rsidRPr="0069218C">
        <w:rPr>
          <w:bCs/>
          <w:lang w:val="es-SV"/>
        </w:rPr>
        <w:t>Se realizó una inversión para mejorar la atención en salud de la población, mediante la contratación de personal, compra de insumos y equipos, el inicio de la construcción y modernización de toda la infraestructura hospitalaria, hasta contar con un hospital especializado en tratamiento de COVID-19 en sus fases de cuidados intermedios e intensivos. Actualmente, se implementa un eficiente esquema de vacunación contra la COVID-19, caracterizado por ser universal, gratuito y voluntario, que ha posicionado a El Salvador con una de las más altas tasas de vacunación per cápita en la región</w:t>
      </w:r>
      <w:r w:rsidR="0069218C" w:rsidRPr="0069218C">
        <w:rPr>
          <w:bCs/>
          <w:vertAlign w:val="superscript"/>
          <w:lang w:val="es-SV"/>
        </w:rPr>
        <w:footnoteReference w:id="6"/>
      </w:r>
      <w:r w:rsidR="0069218C" w:rsidRPr="0069218C">
        <w:rPr>
          <w:bCs/>
          <w:lang w:val="es-SV"/>
        </w:rPr>
        <w:t xml:space="preserve">. </w:t>
      </w:r>
    </w:p>
    <w:p w14:paraId="7E341205" w14:textId="531D551E" w:rsidR="001145BC" w:rsidRDefault="00C44B04" w:rsidP="001C2C73">
      <w:pPr>
        <w:pStyle w:val="SingleTxtG"/>
        <w:tabs>
          <w:tab w:val="clear" w:pos="1701"/>
          <w:tab w:val="clear" w:pos="2268"/>
          <w:tab w:val="clear" w:pos="2835"/>
        </w:tabs>
        <w:rPr>
          <w:bCs/>
          <w:lang w:val="es-SV"/>
        </w:rPr>
      </w:pPr>
      <w:r>
        <w:rPr>
          <w:bCs/>
          <w:lang w:val="es-SV"/>
        </w:rPr>
        <w:lastRenderedPageBreak/>
        <w:t>67.</w:t>
      </w:r>
      <w:r>
        <w:rPr>
          <w:bCs/>
          <w:lang w:val="es-SV"/>
        </w:rPr>
        <w:tab/>
      </w:r>
      <w:r w:rsidR="0069218C" w:rsidRPr="0069218C">
        <w:rPr>
          <w:bCs/>
          <w:lang w:val="es-SV"/>
        </w:rPr>
        <w:t>En el sistema educativo se hicieron esfuerzos para dar continuidad al año lectivo, las que se detallan en el apartado de Educación</w:t>
      </w:r>
      <w:r w:rsidR="0069218C" w:rsidRPr="0069218C">
        <w:rPr>
          <w:bCs/>
          <w:vertAlign w:val="superscript"/>
          <w:lang w:val="es-SV"/>
        </w:rPr>
        <w:footnoteReference w:id="7"/>
      </w:r>
      <w:r w:rsidR="0069218C" w:rsidRPr="0069218C">
        <w:rPr>
          <w:bCs/>
          <w:lang w:val="es-SV"/>
        </w:rPr>
        <w:t>.</w:t>
      </w:r>
    </w:p>
    <w:p w14:paraId="2EA43617" w14:textId="7E0D4095" w:rsidR="001145BC" w:rsidRDefault="00C44B04" w:rsidP="001C2C73">
      <w:pPr>
        <w:pStyle w:val="SingleTxtG"/>
        <w:tabs>
          <w:tab w:val="clear" w:pos="1701"/>
          <w:tab w:val="clear" w:pos="2268"/>
          <w:tab w:val="clear" w:pos="2835"/>
        </w:tabs>
        <w:rPr>
          <w:bCs/>
          <w:lang w:val="es-SV"/>
        </w:rPr>
      </w:pPr>
      <w:r>
        <w:rPr>
          <w:bCs/>
          <w:lang w:val="es-SV"/>
        </w:rPr>
        <w:t>68.</w:t>
      </w:r>
      <w:r>
        <w:rPr>
          <w:bCs/>
          <w:lang w:val="es-SV"/>
        </w:rPr>
        <w:tab/>
      </w:r>
      <w:r w:rsidR="0069218C" w:rsidRPr="0069218C">
        <w:rPr>
          <w:bCs/>
          <w:lang w:val="es-SV"/>
        </w:rPr>
        <w:t>El Gobierno incrementó la inversión social a niveles sin precedentes en 2021, elevando los presupuestos de educación, salud y seguridad. El presupuesto de Educación es de $1</w:t>
      </w:r>
      <w:r w:rsidR="00F56C5E">
        <w:rPr>
          <w:bCs/>
          <w:lang w:val="es-SV"/>
        </w:rPr>
        <w:t>.</w:t>
      </w:r>
      <w:r w:rsidR="0069218C" w:rsidRPr="0069218C">
        <w:rPr>
          <w:bCs/>
          <w:lang w:val="es-SV"/>
        </w:rPr>
        <w:t>320</w:t>
      </w:r>
      <w:r w:rsidR="00F56C5E">
        <w:rPr>
          <w:bCs/>
          <w:lang w:val="es-SV"/>
        </w:rPr>
        <w:t>,</w:t>
      </w:r>
      <w:r w:rsidR="0069218C" w:rsidRPr="0069218C">
        <w:rPr>
          <w:bCs/>
          <w:lang w:val="es-SV"/>
        </w:rPr>
        <w:t>4 millones, que representa un aumento de $281</w:t>
      </w:r>
      <w:r w:rsidR="00F56C5E">
        <w:rPr>
          <w:bCs/>
          <w:lang w:val="es-SV"/>
        </w:rPr>
        <w:t>,</w:t>
      </w:r>
      <w:r w:rsidR="0069218C" w:rsidRPr="0069218C">
        <w:rPr>
          <w:bCs/>
          <w:lang w:val="es-SV"/>
        </w:rPr>
        <w:t>2 millones.</w:t>
      </w:r>
      <w:r w:rsidR="009C4946">
        <w:rPr>
          <w:bCs/>
          <w:lang w:val="es-SV"/>
        </w:rPr>
        <w:t xml:space="preserve"> </w:t>
      </w:r>
      <w:r w:rsidR="0069218C" w:rsidRPr="0069218C">
        <w:rPr>
          <w:bCs/>
          <w:lang w:val="es-SV"/>
        </w:rPr>
        <w:t>El presupuesto de Salud llega de igual manera a una cifra récord de $1</w:t>
      </w:r>
      <w:r w:rsidR="00F56C5E">
        <w:rPr>
          <w:bCs/>
          <w:lang w:val="es-SV"/>
        </w:rPr>
        <w:t>.</w:t>
      </w:r>
      <w:r w:rsidR="0069218C" w:rsidRPr="0069218C">
        <w:rPr>
          <w:bCs/>
          <w:lang w:val="es-SV"/>
        </w:rPr>
        <w:t>304</w:t>
      </w:r>
      <w:r w:rsidR="00F56C5E">
        <w:rPr>
          <w:bCs/>
          <w:lang w:val="es-SV"/>
        </w:rPr>
        <w:t>,</w:t>
      </w:r>
      <w:r w:rsidR="0069218C" w:rsidRPr="0069218C">
        <w:rPr>
          <w:bCs/>
          <w:lang w:val="es-SV"/>
        </w:rPr>
        <w:t>3 millones, con un incremento de $276</w:t>
      </w:r>
      <w:r w:rsidR="00F56C5E">
        <w:rPr>
          <w:bCs/>
          <w:lang w:val="es-SV"/>
        </w:rPr>
        <w:t>,</w:t>
      </w:r>
      <w:r w:rsidR="0069218C" w:rsidRPr="0069218C">
        <w:rPr>
          <w:bCs/>
          <w:lang w:val="es-SV"/>
        </w:rPr>
        <w:t>5 millones, que significa una inversión de 3</w:t>
      </w:r>
      <w:r w:rsidR="00F56C5E">
        <w:rPr>
          <w:bCs/>
          <w:lang w:val="es-SV"/>
        </w:rPr>
        <w:t>,</w:t>
      </w:r>
      <w:r w:rsidR="0069218C" w:rsidRPr="0069218C">
        <w:rPr>
          <w:bCs/>
          <w:lang w:val="es-SV"/>
        </w:rPr>
        <w:t>9</w:t>
      </w:r>
      <w:r w:rsidR="001043C1">
        <w:rPr>
          <w:bCs/>
          <w:lang w:val="es-SV"/>
        </w:rPr>
        <w:t> %</w:t>
      </w:r>
      <w:r w:rsidR="0069218C" w:rsidRPr="0069218C">
        <w:rPr>
          <w:bCs/>
          <w:lang w:val="es-SV"/>
        </w:rPr>
        <w:t xml:space="preserve"> respecto al PIB relacionado. </w:t>
      </w:r>
    </w:p>
    <w:p w14:paraId="6CBBD5F6" w14:textId="192DE264" w:rsidR="001145BC" w:rsidRDefault="00C44B04" w:rsidP="001C2C73">
      <w:pPr>
        <w:pStyle w:val="SingleTxtG"/>
        <w:tabs>
          <w:tab w:val="clear" w:pos="1701"/>
          <w:tab w:val="clear" w:pos="2268"/>
          <w:tab w:val="clear" w:pos="2835"/>
        </w:tabs>
        <w:rPr>
          <w:bCs/>
          <w:lang w:val="es-SV"/>
        </w:rPr>
      </w:pPr>
      <w:r>
        <w:rPr>
          <w:bCs/>
          <w:lang w:val="es-SV"/>
        </w:rPr>
        <w:t>69.</w:t>
      </w:r>
      <w:r>
        <w:rPr>
          <w:bCs/>
          <w:lang w:val="es-SV"/>
        </w:rPr>
        <w:tab/>
      </w:r>
      <w:r w:rsidR="0069218C" w:rsidRPr="0069218C">
        <w:rPr>
          <w:bCs/>
          <w:lang w:val="es-SV"/>
        </w:rPr>
        <w:t>La inversión social para el quinquenio tendrá progresividad para lograr avanzar hacia la universalidad y garantía de los derechos humanos fundamentales para toda la población, priorizando el gasto en poblaciones con mayor grado de vulnerabilidad y exclusión.</w:t>
      </w:r>
    </w:p>
    <w:p w14:paraId="7D0C34C0" w14:textId="0363728B" w:rsidR="001145BC" w:rsidRDefault="00C44B04" w:rsidP="001C2C73">
      <w:pPr>
        <w:pStyle w:val="SingleTxtG"/>
        <w:tabs>
          <w:tab w:val="clear" w:pos="1701"/>
          <w:tab w:val="clear" w:pos="2268"/>
          <w:tab w:val="clear" w:pos="2835"/>
        </w:tabs>
        <w:rPr>
          <w:bCs/>
          <w:lang w:val="es-SV"/>
        </w:rPr>
      </w:pPr>
      <w:r>
        <w:rPr>
          <w:bCs/>
          <w:lang w:val="es-SV"/>
        </w:rPr>
        <w:t>70.</w:t>
      </w:r>
      <w:r>
        <w:rPr>
          <w:bCs/>
          <w:lang w:val="es-SV"/>
        </w:rPr>
        <w:tab/>
      </w:r>
      <w:r w:rsidR="0069218C" w:rsidRPr="0069218C">
        <w:rPr>
          <w:bCs/>
          <w:lang w:val="es-SV"/>
        </w:rPr>
        <w:t xml:space="preserve">Un hito para el país es la reciente aprobación de la </w:t>
      </w:r>
      <w:r w:rsidR="0069218C" w:rsidRPr="001C2C73">
        <w:rPr>
          <w:bCs/>
          <w:lang w:val="es-SV"/>
        </w:rPr>
        <w:t>Ley Nacer con Cariño</w:t>
      </w:r>
      <w:r w:rsidR="0069218C" w:rsidRPr="0069218C">
        <w:rPr>
          <w:bCs/>
          <w:lang w:val="es-SV"/>
        </w:rPr>
        <w:t xml:space="preserve"> para un parto respetado y un cuidado cariñoso y sensible para el recién nacido</w:t>
      </w:r>
      <w:r w:rsidR="0069218C" w:rsidRPr="0069218C">
        <w:rPr>
          <w:bCs/>
          <w:vertAlign w:val="superscript"/>
          <w:lang w:val="es-SV"/>
        </w:rPr>
        <w:footnoteReference w:id="8"/>
      </w:r>
      <w:r w:rsidR="001878DA">
        <w:rPr>
          <w:bCs/>
          <w:lang w:val="es-SV"/>
        </w:rPr>
        <w:t>,</w:t>
      </w:r>
      <w:r w:rsidR="0069218C" w:rsidRPr="0069218C">
        <w:rPr>
          <w:bCs/>
          <w:lang w:val="es-SV"/>
        </w:rPr>
        <w:t xml:space="preserve"> impulsada por la Primera Dama de la República, Gabriela de Bukele, a cargo del MINSAL. “Nacer con Cariño” comprende la etapa preconcepcional, embarazo, puerperio y del recién nacido y brinda acompañamiento bajo los principios de supremacía de la dignidad humana y de interés superior del niño, para tomar decisiones que propicien el desarrollo físico, moral y social de la primera infancia. </w:t>
      </w:r>
    </w:p>
    <w:p w14:paraId="5850A9A7" w14:textId="41CD7DE4" w:rsidR="001145BC" w:rsidRDefault="00C44B04" w:rsidP="001C2C73">
      <w:pPr>
        <w:pStyle w:val="SingleTxtG"/>
        <w:tabs>
          <w:tab w:val="clear" w:pos="1701"/>
          <w:tab w:val="clear" w:pos="2268"/>
          <w:tab w:val="clear" w:pos="2835"/>
        </w:tabs>
        <w:rPr>
          <w:bCs/>
          <w:lang w:val="es-SV"/>
        </w:rPr>
      </w:pPr>
      <w:r>
        <w:rPr>
          <w:bCs/>
          <w:lang w:val="es-SV"/>
        </w:rPr>
        <w:t>71.</w:t>
      </w:r>
      <w:r>
        <w:rPr>
          <w:bCs/>
          <w:lang w:val="es-SV"/>
        </w:rPr>
        <w:tab/>
      </w:r>
      <w:r w:rsidR="0069218C" w:rsidRPr="0069218C">
        <w:rPr>
          <w:bCs/>
          <w:lang w:val="es-SV"/>
        </w:rPr>
        <w:t xml:space="preserve">Finalmente, en el marco del Sistema Nacional de Desarrollo, Protección e Inclusión Social y su Subsistema de Protección Social Universal, se continúa fortaleciendo la política social y los programas respectivos, para otorgar seguridad a las personas frente a los riesgos y desafíos que enfrentan en el ciclo de vida, particularmente para aquellas que carecen de seguridad social contributiva y las que se encuentran en condición de vulnerabilidad económica, social y ambiental. </w:t>
      </w:r>
    </w:p>
    <w:p w14:paraId="298947E8" w14:textId="32F92F16" w:rsidR="001145BC" w:rsidRDefault="00C44B04" w:rsidP="001C2C73">
      <w:pPr>
        <w:pStyle w:val="SingleTxtG"/>
        <w:tabs>
          <w:tab w:val="clear" w:pos="1701"/>
          <w:tab w:val="clear" w:pos="2268"/>
          <w:tab w:val="clear" w:pos="2835"/>
        </w:tabs>
        <w:rPr>
          <w:bCs/>
          <w:lang w:val="es-SV"/>
        </w:rPr>
      </w:pPr>
      <w:r>
        <w:rPr>
          <w:bCs/>
          <w:lang w:val="es-SV"/>
        </w:rPr>
        <w:t>72.</w:t>
      </w:r>
      <w:r>
        <w:rPr>
          <w:bCs/>
          <w:lang w:val="es-SV"/>
        </w:rPr>
        <w:tab/>
      </w:r>
      <w:r w:rsidR="0069218C" w:rsidRPr="0069218C">
        <w:rPr>
          <w:bCs/>
          <w:lang w:val="es-SV"/>
        </w:rPr>
        <w:t>Existe acciones concretas que dan cuenta del compromiso del Estado y en particular de la gestión de Gobierno del Presidente Bukele por mejoras sustantivas en las condiciones de vida de la población; un ejemplo de ello, es la situación de la comunidad El Espino, cuyos habitantes fueron desalojados por orden judicial en el año 2018. Esta administración, realizó el proyecto habitacional el Espino, proveyendo de una vivienda adecuada a 63 familias; el cual conto con una inversión de US$511</w:t>
      </w:r>
      <w:r w:rsidR="00F56C5E">
        <w:rPr>
          <w:bCs/>
          <w:lang w:val="es-SV"/>
        </w:rPr>
        <w:t>.</w:t>
      </w:r>
      <w:r w:rsidR="0069218C" w:rsidRPr="0069218C">
        <w:rPr>
          <w:bCs/>
          <w:lang w:val="es-SV"/>
        </w:rPr>
        <w:t>941</w:t>
      </w:r>
      <w:r w:rsidR="00F56C5E">
        <w:rPr>
          <w:bCs/>
          <w:lang w:val="es-SV"/>
        </w:rPr>
        <w:t>,</w:t>
      </w:r>
      <w:r w:rsidR="0069218C" w:rsidRPr="0069218C">
        <w:rPr>
          <w:bCs/>
          <w:lang w:val="es-SV"/>
        </w:rPr>
        <w:t>50.</w:t>
      </w:r>
      <w:r w:rsidR="009C4946">
        <w:rPr>
          <w:bCs/>
          <w:lang w:val="es-SV"/>
        </w:rPr>
        <w:t xml:space="preserve"> </w:t>
      </w:r>
    </w:p>
    <w:p w14:paraId="129859C3" w14:textId="1C903144" w:rsidR="001145BC" w:rsidRDefault="00C44B04" w:rsidP="001C2C73">
      <w:pPr>
        <w:pStyle w:val="SingleTxtG"/>
        <w:tabs>
          <w:tab w:val="clear" w:pos="1701"/>
          <w:tab w:val="clear" w:pos="2268"/>
          <w:tab w:val="clear" w:pos="2835"/>
        </w:tabs>
        <w:rPr>
          <w:bCs/>
          <w:lang w:val="es-SV"/>
        </w:rPr>
      </w:pPr>
      <w:r>
        <w:rPr>
          <w:bCs/>
          <w:lang w:val="es-SV"/>
        </w:rPr>
        <w:t>73.</w:t>
      </w:r>
      <w:r>
        <w:rPr>
          <w:bCs/>
          <w:lang w:val="es-SV"/>
        </w:rPr>
        <w:tab/>
      </w:r>
      <w:r w:rsidR="0069218C" w:rsidRPr="0069218C">
        <w:rPr>
          <w:bCs/>
          <w:lang w:val="es-SV"/>
        </w:rPr>
        <w:t>La Administración Nacional de Acueductos y Alcantarillados, ANDA, es el mayor operador a nivel urbano y los proveedores a nivel rural son las municipalidades, asociaciones comunales, Juntas Rurales de Agua, comités de agua, operadores privados y ONG, quienes administran 2</w:t>
      </w:r>
      <w:r w:rsidR="00F56C5E">
        <w:rPr>
          <w:bCs/>
          <w:lang w:val="es-SV"/>
        </w:rPr>
        <w:t>.</w:t>
      </w:r>
      <w:r w:rsidR="0069218C" w:rsidRPr="0069218C">
        <w:rPr>
          <w:bCs/>
          <w:lang w:val="es-SV"/>
        </w:rPr>
        <w:t xml:space="preserve">260 sistemas en todo el país. </w:t>
      </w:r>
    </w:p>
    <w:p w14:paraId="79B85671" w14:textId="43363D01" w:rsidR="0069218C" w:rsidRPr="009C4946" w:rsidRDefault="00C44B04" w:rsidP="001C2C73">
      <w:pPr>
        <w:pStyle w:val="SingleTxtG"/>
        <w:tabs>
          <w:tab w:val="clear" w:pos="1701"/>
          <w:tab w:val="clear" w:pos="2268"/>
          <w:tab w:val="clear" w:pos="2835"/>
        </w:tabs>
        <w:rPr>
          <w:bCs/>
          <w:lang w:val="es-SV"/>
        </w:rPr>
      </w:pPr>
      <w:r w:rsidRPr="009C4946">
        <w:rPr>
          <w:bCs/>
          <w:lang w:val="es-SV"/>
        </w:rPr>
        <w:t>74.</w:t>
      </w:r>
      <w:r w:rsidRPr="009C4946">
        <w:rPr>
          <w:bCs/>
          <w:lang w:val="es-SV"/>
        </w:rPr>
        <w:tab/>
      </w:r>
      <w:r w:rsidR="0069218C" w:rsidRPr="009C4946">
        <w:rPr>
          <w:bCs/>
          <w:lang w:val="es-SV"/>
        </w:rPr>
        <w:t>La Gerencia de Atención a Sistemas Rurales y Fondos, brinda asistencia técnica y capacitación especializada a las organizaciones y comunidades administradoras de sistemas de agua potable y saneamiento de las zonas rurales e implementa cuatro líneas estratégicas: capacitación y asistencia técnica especializada, monitoreo y seguimiento a la gestión técnica y administrativa, apoyo a la gestión de recursos financieros y técnicos, todo lo anterior a los entes administradores de SAPS; y la contribución al marco normativo del subsector agua potable y saneamiento en áreas rurales.</w:t>
      </w:r>
    </w:p>
    <w:p w14:paraId="2FD92DA1" w14:textId="17D81B49" w:rsidR="001145BC" w:rsidRDefault="00C44B04" w:rsidP="001C2C73">
      <w:pPr>
        <w:pStyle w:val="SingleTxtG"/>
        <w:tabs>
          <w:tab w:val="clear" w:pos="1701"/>
          <w:tab w:val="clear" w:pos="2268"/>
          <w:tab w:val="clear" w:pos="2835"/>
        </w:tabs>
        <w:rPr>
          <w:bCs/>
          <w:iCs/>
          <w:lang w:val="es-SV"/>
        </w:rPr>
      </w:pPr>
      <w:r>
        <w:rPr>
          <w:bCs/>
          <w:iCs/>
          <w:lang w:val="es-SV"/>
        </w:rPr>
        <w:t>75.</w:t>
      </w:r>
      <w:r>
        <w:rPr>
          <w:bCs/>
          <w:iCs/>
          <w:lang w:val="es-SV"/>
        </w:rPr>
        <w:tab/>
      </w:r>
      <w:r w:rsidR="0069218C" w:rsidRPr="0069218C">
        <w:rPr>
          <w:bCs/>
          <w:iCs/>
          <w:lang w:val="es-SV"/>
        </w:rPr>
        <w:t>ANDA puso en marcha el Plan Nacional del Agua, ejecutando entre junio 2020 y mayo 2021</w:t>
      </w:r>
      <w:r w:rsidR="009C4946">
        <w:rPr>
          <w:bCs/>
          <w:iCs/>
          <w:lang w:val="es-SV"/>
        </w:rPr>
        <w:t xml:space="preserve"> </w:t>
      </w:r>
      <w:r w:rsidR="0069218C" w:rsidRPr="0069218C">
        <w:rPr>
          <w:bCs/>
          <w:iCs/>
          <w:lang w:val="es-SV"/>
        </w:rPr>
        <w:t xml:space="preserve">acciones para </w:t>
      </w:r>
      <w:r w:rsidR="0069218C" w:rsidRPr="001145BC">
        <w:rPr>
          <w:bCs/>
          <w:lang w:val="es-SV"/>
        </w:rPr>
        <w:t>el</w:t>
      </w:r>
      <w:r w:rsidR="0069218C" w:rsidRPr="0069218C">
        <w:rPr>
          <w:bCs/>
          <w:iCs/>
          <w:lang w:val="es-SV"/>
        </w:rPr>
        <w:t xml:space="preserve"> abastecimiento del agua, entre los cuales se han finalizado 22 proyectos, beneficiando a 253</w:t>
      </w:r>
      <w:r w:rsidR="00F56C5E">
        <w:rPr>
          <w:bCs/>
          <w:iCs/>
          <w:lang w:val="es-SV"/>
        </w:rPr>
        <w:t>.</w:t>
      </w:r>
      <w:r w:rsidR="0069218C" w:rsidRPr="0069218C">
        <w:rPr>
          <w:bCs/>
          <w:iCs/>
          <w:lang w:val="es-SV"/>
        </w:rPr>
        <w:t>729 habitantes a nivel nacional. Asimismo, se encuentran en ejecución 28 programas y proyectos, beneficiando a un total de 3</w:t>
      </w:r>
      <w:r w:rsidR="00F56C5E">
        <w:rPr>
          <w:bCs/>
          <w:iCs/>
          <w:lang w:val="es-SV"/>
        </w:rPr>
        <w:t>.</w:t>
      </w:r>
      <w:r w:rsidR="0069218C" w:rsidRPr="0069218C">
        <w:rPr>
          <w:bCs/>
          <w:iCs/>
          <w:lang w:val="es-SV"/>
        </w:rPr>
        <w:t>185</w:t>
      </w:r>
      <w:r w:rsidR="00F56C5E">
        <w:rPr>
          <w:bCs/>
          <w:iCs/>
          <w:lang w:val="es-SV"/>
        </w:rPr>
        <w:t>.</w:t>
      </w:r>
      <w:r w:rsidR="0069218C" w:rsidRPr="0069218C">
        <w:rPr>
          <w:bCs/>
          <w:iCs/>
          <w:lang w:val="es-SV"/>
        </w:rPr>
        <w:t>497 habitantes a nivel nacional.</w:t>
      </w:r>
      <w:r w:rsidR="009C4946">
        <w:rPr>
          <w:bCs/>
          <w:iCs/>
          <w:lang w:val="es-SV"/>
        </w:rPr>
        <w:t xml:space="preserve"> </w:t>
      </w:r>
    </w:p>
    <w:p w14:paraId="39B847A4" w14:textId="1A77E0AA" w:rsidR="001145BC" w:rsidRDefault="00C44B04" w:rsidP="001C2C73">
      <w:pPr>
        <w:pStyle w:val="SingleTxtG"/>
        <w:tabs>
          <w:tab w:val="clear" w:pos="1701"/>
          <w:tab w:val="clear" w:pos="2268"/>
          <w:tab w:val="clear" w:pos="2835"/>
        </w:tabs>
        <w:rPr>
          <w:bCs/>
          <w:iCs/>
          <w:lang w:val="es-SV"/>
        </w:rPr>
      </w:pPr>
      <w:r>
        <w:rPr>
          <w:bCs/>
          <w:iCs/>
          <w:lang w:val="es-SV"/>
        </w:rPr>
        <w:t>76.</w:t>
      </w:r>
      <w:r>
        <w:rPr>
          <w:bCs/>
          <w:iCs/>
          <w:lang w:val="es-SV"/>
        </w:rPr>
        <w:tab/>
      </w:r>
      <w:r w:rsidR="0069218C" w:rsidRPr="0069218C">
        <w:rPr>
          <w:bCs/>
          <w:iCs/>
          <w:lang w:val="es-SV"/>
        </w:rPr>
        <w:t xml:space="preserve">Con los </w:t>
      </w:r>
      <w:r w:rsidR="0069218C" w:rsidRPr="001145BC">
        <w:rPr>
          <w:bCs/>
          <w:lang w:val="es-SV"/>
        </w:rPr>
        <w:t>avances</w:t>
      </w:r>
      <w:r w:rsidR="0069218C" w:rsidRPr="0069218C">
        <w:rPr>
          <w:bCs/>
          <w:iCs/>
          <w:lang w:val="es-SV"/>
        </w:rPr>
        <w:t xml:space="preserve"> en un 98</w:t>
      </w:r>
      <w:r w:rsidR="001043C1">
        <w:rPr>
          <w:bCs/>
          <w:iCs/>
          <w:lang w:val="es-SV"/>
        </w:rPr>
        <w:t> %</w:t>
      </w:r>
      <w:r w:rsidR="0069218C" w:rsidRPr="0069218C">
        <w:rPr>
          <w:bCs/>
          <w:iCs/>
          <w:lang w:val="es-SV"/>
        </w:rPr>
        <w:t xml:space="preserve"> de Planta Potabilizadora Las Pavas, se han beneficiado a 1</w:t>
      </w:r>
      <w:r w:rsidR="00F56C5E">
        <w:rPr>
          <w:bCs/>
          <w:iCs/>
          <w:lang w:val="es-SV"/>
        </w:rPr>
        <w:t>.</w:t>
      </w:r>
      <w:r w:rsidR="0069218C" w:rsidRPr="0069218C">
        <w:rPr>
          <w:bCs/>
          <w:iCs/>
          <w:lang w:val="es-SV"/>
        </w:rPr>
        <w:t>600</w:t>
      </w:r>
      <w:r w:rsidR="00F56C5E">
        <w:rPr>
          <w:bCs/>
          <w:iCs/>
          <w:lang w:val="es-SV"/>
        </w:rPr>
        <w:t>.</w:t>
      </w:r>
      <w:r w:rsidR="0069218C" w:rsidRPr="0069218C">
        <w:rPr>
          <w:bCs/>
          <w:iCs/>
          <w:lang w:val="es-SV"/>
        </w:rPr>
        <w:t xml:space="preserve">000 personas aproximadamente. Se han ejecutado proyectos de mejoras en abastecimiento del servicio de agua potable en las zonas residenciales de Altavista, Santa Eduviges, Rutilio Grande, municipios de Ilopango, San Martín y Tonacatepeque. Durante </w:t>
      </w:r>
      <w:r w:rsidR="0069218C" w:rsidRPr="0069218C">
        <w:rPr>
          <w:bCs/>
          <w:iCs/>
          <w:lang w:val="es-SV"/>
        </w:rPr>
        <w:lastRenderedPageBreak/>
        <w:t>este periodo, se realizaron 15 Convenios de coordinación interinstitucional con diferentes Órganos del Estado. Se crearon 5</w:t>
      </w:r>
      <w:r w:rsidR="00F56C5E">
        <w:rPr>
          <w:bCs/>
          <w:iCs/>
          <w:lang w:val="es-SV"/>
        </w:rPr>
        <w:t>.</w:t>
      </w:r>
      <w:r w:rsidR="0069218C" w:rsidRPr="0069218C">
        <w:rPr>
          <w:bCs/>
          <w:iCs/>
          <w:lang w:val="es-SV"/>
        </w:rPr>
        <w:t>290 nuevos servicios a nivel nacional, se estiman 4,9001 km de tubería adicionados a la red de ANDA a nivel nacional. En cuanto a las ampliaciones se estima 1.093 k</w:t>
      </w:r>
      <w:r w:rsidR="00F56C5E">
        <w:rPr>
          <w:bCs/>
          <w:iCs/>
          <w:lang w:val="es-SV"/>
        </w:rPr>
        <w:t>m</w:t>
      </w:r>
      <w:r w:rsidR="0069218C" w:rsidRPr="0069218C">
        <w:rPr>
          <w:bCs/>
          <w:iCs/>
          <w:lang w:val="es-SV"/>
        </w:rPr>
        <w:t xml:space="preserve"> atendidos, para conexión de los nuevos servicios de acueducto. Asimismo, a nivel nacional se entregaron 336</w:t>
      </w:r>
      <w:r w:rsidR="00F56C5E">
        <w:rPr>
          <w:bCs/>
          <w:iCs/>
          <w:lang w:val="es-SV"/>
        </w:rPr>
        <w:t>.</w:t>
      </w:r>
      <w:r w:rsidR="0069218C" w:rsidRPr="0069218C">
        <w:rPr>
          <w:bCs/>
          <w:iCs/>
          <w:lang w:val="es-SV"/>
        </w:rPr>
        <w:t>599 m</w:t>
      </w:r>
      <w:r w:rsidR="0069218C" w:rsidRPr="001C2C73">
        <w:rPr>
          <w:bCs/>
          <w:iCs/>
          <w:vertAlign w:val="superscript"/>
          <w:lang w:val="es-SV"/>
        </w:rPr>
        <w:t>3</w:t>
      </w:r>
      <w:r w:rsidR="0069218C" w:rsidRPr="0069218C">
        <w:rPr>
          <w:bCs/>
          <w:iCs/>
          <w:lang w:val="es-SV"/>
        </w:rPr>
        <w:t xml:space="preserve"> de agua potable con camiones cisterna.</w:t>
      </w:r>
    </w:p>
    <w:p w14:paraId="6DA1235C" w14:textId="343DC8A8" w:rsidR="001145BC" w:rsidRDefault="00C44B04" w:rsidP="001C2C73">
      <w:pPr>
        <w:pStyle w:val="SingleTxtG"/>
        <w:tabs>
          <w:tab w:val="clear" w:pos="1701"/>
          <w:tab w:val="clear" w:pos="2268"/>
          <w:tab w:val="clear" w:pos="2835"/>
        </w:tabs>
        <w:rPr>
          <w:bCs/>
          <w:lang w:val="es-SV"/>
        </w:rPr>
      </w:pPr>
      <w:r>
        <w:rPr>
          <w:bCs/>
          <w:lang w:val="es-SV"/>
        </w:rPr>
        <w:t>77.</w:t>
      </w:r>
      <w:r>
        <w:rPr>
          <w:bCs/>
          <w:lang w:val="es-SV"/>
        </w:rPr>
        <w:tab/>
      </w:r>
      <w:r w:rsidR="0069218C" w:rsidRPr="0069218C">
        <w:rPr>
          <w:bCs/>
          <w:lang w:val="es-SV"/>
        </w:rPr>
        <w:t xml:space="preserve">A pesar de la crisis generada por la pandemia del Covid-19, se ejecutaron de junio 2019 a junio 2021: 61 asistencias técnicas, 10 jornadas de capacitación y 35 declaratorias de interés social, contribuyendo al fortalecimiento de conocimientos técnicos y mantenimiento de los sistemas de abastecimiento de agua potable en la zona rural del país. </w:t>
      </w:r>
    </w:p>
    <w:p w14:paraId="59D676E2" w14:textId="03F2AB95" w:rsidR="001145BC" w:rsidRPr="009C4946" w:rsidRDefault="00C44B04" w:rsidP="001C2C73">
      <w:pPr>
        <w:pStyle w:val="SingleTxtG"/>
        <w:tabs>
          <w:tab w:val="clear" w:pos="1701"/>
          <w:tab w:val="clear" w:pos="2268"/>
          <w:tab w:val="clear" w:pos="2835"/>
        </w:tabs>
        <w:rPr>
          <w:bCs/>
          <w:lang w:val="es-SV"/>
        </w:rPr>
      </w:pPr>
      <w:r w:rsidRPr="009C4946">
        <w:rPr>
          <w:bCs/>
          <w:lang w:val="es-SV"/>
        </w:rPr>
        <w:t>78.</w:t>
      </w:r>
      <w:r w:rsidRPr="009C4946">
        <w:rPr>
          <w:bCs/>
          <w:lang w:val="es-SV"/>
        </w:rPr>
        <w:tab/>
      </w:r>
      <w:r w:rsidR="0069218C" w:rsidRPr="009C4946">
        <w:rPr>
          <w:bCs/>
          <w:lang w:val="es-SV"/>
        </w:rPr>
        <w:t>Como parte del componente de Gobernanza de los Recursos Hídricos y el PLANAPS, se ejecuta la consultoría “Evaluación, formulación y elaboración del proceso de creación de la instancia administrativa que coordine y promueva la articulación institucional entre los órganos y entidades gubernamentales del sub sector agua potable y saneamiento”.</w:t>
      </w:r>
      <w:r w:rsidR="0069218C" w:rsidRPr="009C4946">
        <w:rPr>
          <w:bCs/>
          <w:lang w:val="es-MX"/>
        </w:rPr>
        <w:t xml:space="preserve"> (</w:t>
      </w:r>
      <w:r w:rsidR="0069218C" w:rsidRPr="009C4946">
        <w:rPr>
          <w:bCs/>
          <w:lang w:val="es-SV"/>
        </w:rPr>
        <w:t>Contrato ANDA No. 15/2021).</w:t>
      </w:r>
      <w:r w:rsidR="009C4946" w:rsidRPr="009C4946">
        <w:rPr>
          <w:bCs/>
          <w:lang w:val="es-SV"/>
        </w:rPr>
        <w:t xml:space="preserve"> </w:t>
      </w:r>
      <w:r w:rsidR="0069218C" w:rsidRPr="009C4946">
        <w:rPr>
          <w:bCs/>
          <w:lang w:val="es-SV"/>
        </w:rPr>
        <w:t>A la fecha el contrato est</w:t>
      </w:r>
      <w:r w:rsidR="00C472CE">
        <w:rPr>
          <w:bCs/>
          <w:lang w:val="es-SV"/>
        </w:rPr>
        <w:t>á</w:t>
      </w:r>
      <w:r w:rsidR="0069218C" w:rsidRPr="009C4946">
        <w:rPr>
          <w:bCs/>
          <w:lang w:val="es-SV"/>
        </w:rPr>
        <w:t xml:space="preserve"> en ejecución y se cuenta con tres productos: la presentación del Plan de Trabajo; la conformación de la Comisión Especial y actualización de la propuesta contenida en el PLANAPS y la Elaboración del Reglamento Interno de Funcionamiento.</w:t>
      </w:r>
    </w:p>
    <w:p w14:paraId="139B9CB0" w14:textId="39461AEA" w:rsidR="001145BC" w:rsidRDefault="00C44B04" w:rsidP="001C2C73">
      <w:pPr>
        <w:pStyle w:val="SingleTxtG"/>
        <w:tabs>
          <w:tab w:val="clear" w:pos="1701"/>
          <w:tab w:val="clear" w:pos="2268"/>
          <w:tab w:val="clear" w:pos="2835"/>
        </w:tabs>
        <w:rPr>
          <w:bCs/>
          <w:lang w:val="es-SV"/>
        </w:rPr>
      </w:pPr>
      <w:r>
        <w:rPr>
          <w:bCs/>
          <w:lang w:val="es-SV"/>
        </w:rPr>
        <w:t>79.</w:t>
      </w:r>
      <w:r>
        <w:rPr>
          <w:bCs/>
          <w:lang w:val="es-SV"/>
        </w:rPr>
        <w:tab/>
      </w:r>
      <w:r w:rsidR="0069218C" w:rsidRPr="0069218C">
        <w:rPr>
          <w:bCs/>
          <w:lang w:val="es-SV"/>
        </w:rPr>
        <w:t>La Ley de ANDA,</w:t>
      </w:r>
      <w:r w:rsidR="009C4946">
        <w:rPr>
          <w:bCs/>
          <w:lang w:val="es-SV"/>
        </w:rPr>
        <w:t xml:space="preserve"> </w:t>
      </w:r>
      <w:r w:rsidR="0069218C" w:rsidRPr="0069218C">
        <w:rPr>
          <w:bCs/>
          <w:lang w:val="es-SV"/>
        </w:rPr>
        <w:t>data desde 1961 al ser preconstitucional, se encuentra en revisión y actualización y se espera contar con un instrumento jurídico acorde a la realidad actual y las necesidades de la institución.</w:t>
      </w:r>
    </w:p>
    <w:p w14:paraId="53D6C495" w14:textId="2832A08D" w:rsidR="0069218C" w:rsidRPr="0069218C" w:rsidRDefault="00C44B04" w:rsidP="001C2C73">
      <w:pPr>
        <w:pStyle w:val="SingleTxtG"/>
        <w:tabs>
          <w:tab w:val="clear" w:pos="1701"/>
          <w:tab w:val="clear" w:pos="2268"/>
          <w:tab w:val="clear" w:pos="2835"/>
        </w:tabs>
        <w:rPr>
          <w:bCs/>
          <w:lang w:val="es-SV"/>
        </w:rPr>
      </w:pPr>
      <w:r w:rsidRPr="0069218C">
        <w:rPr>
          <w:bCs/>
          <w:lang w:val="es-SV"/>
        </w:rPr>
        <w:t>80.</w:t>
      </w:r>
      <w:r w:rsidRPr="0069218C">
        <w:rPr>
          <w:bCs/>
          <w:lang w:val="es-SV"/>
        </w:rPr>
        <w:tab/>
      </w:r>
      <w:r w:rsidR="0069218C" w:rsidRPr="0069218C">
        <w:rPr>
          <w:bCs/>
          <w:lang w:val="es-US"/>
        </w:rPr>
        <w:t>En enero 2021, el Pleno Legislativo aprobó un acuerdo de reforma para incorporar el derecho a la alimentación en la Constitución; cuyo acuerdo será ratificarlo en la siguiente legislatura, de conformidad con el proceso establecido en misma.</w:t>
      </w:r>
    </w:p>
    <w:p w14:paraId="71406E41" w14:textId="0C2FFE12" w:rsidR="001145BC" w:rsidRDefault="00C44B04" w:rsidP="001C2C73">
      <w:pPr>
        <w:pStyle w:val="SingleTxtG"/>
        <w:tabs>
          <w:tab w:val="clear" w:pos="1701"/>
          <w:tab w:val="clear" w:pos="2268"/>
          <w:tab w:val="clear" w:pos="2835"/>
        </w:tabs>
        <w:rPr>
          <w:bCs/>
          <w:lang w:val="es-SV"/>
        </w:rPr>
      </w:pPr>
      <w:r>
        <w:rPr>
          <w:bCs/>
          <w:lang w:val="es-SV"/>
        </w:rPr>
        <w:t>81.</w:t>
      </w:r>
      <w:r>
        <w:rPr>
          <w:bCs/>
          <w:lang w:val="es-SV"/>
        </w:rPr>
        <w:tab/>
      </w:r>
      <w:r w:rsidR="0069218C" w:rsidRPr="0069218C">
        <w:rPr>
          <w:bCs/>
          <w:lang w:val="es-SV"/>
        </w:rPr>
        <w:t>El gobierno ha reafirmado, su compromiso con los Objetivos de Desarrollo Sostenible (ODS), y en este caso, los objetivos uno y dos: ODS1 – “Poner fin a la pobreza en todas sus formas en todo el mundo” y ODS2 – “Poner fin al hambre, lograr la seguridad alimentaria y la mejora de la nutrición y promover la agricultura sostenible”.</w:t>
      </w:r>
    </w:p>
    <w:p w14:paraId="4FD2A38E" w14:textId="36AC546F" w:rsidR="0069218C" w:rsidRPr="0069218C" w:rsidRDefault="00C44B04" w:rsidP="001C2C73">
      <w:pPr>
        <w:pStyle w:val="SingleTxtG"/>
        <w:tabs>
          <w:tab w:val="clear" w:pos="1701"/>
          <w:tab w:val="clear" w:pos="2268"/>
          <w:tab w:val="clear" w:pos="2835"/>
        </w:tabs>
        <w:rPr>
          <w:bCs/>
          <w:lang w:val="es-US"/>
        </w:rPr>
      </w:pPr>
      <w:r w:rsidRPr="0069218C">
        <w:rPr>
          <w:bCs/>
          <w:lang w:val="es-US"/>
        </w:rPr>
        <w:t>82.</w:t>
      </w:r>
      <w:r w:rsidRPr="0069218C">
        <w:rPr>
          <w:bCs/>
          <w:lang w:val="es-US"/>
        </w:rPr>
        <w:tab/>
      </w:r>
      <w:r w:rsidR="0069218C" w:rsidRPr="001145BC">
        <w:rPr>
          <w:bCs/>
          <w:lang w:val="es-SV"/>
        </w:rPr>
        <w:t>Con</w:t>
      </w:r>
      <w:r w:rsidR="0069218C" w:rsidRPr="0069218C">
        <w:rPr>
          <w:bCs/>
          <w:lang w:val="es-US"/>
        </w:rPr>
        <w:t xml:space="preserve"> el Plan de Desarrollo Social 2020 -2024 y la Política Crecer Juntos, el Gobierno de</w:t>
      </w:r>
      <w:r w:rsidR="009C4946">
        <w:rPr>
          <w:bCs/>
          <w:lang w:val="es-US"/>
        </w:rPr>
        <w:t xml:space="preserve"> </w:t>
      </w:r>
      <w:r w:rsidR="0069218C" w:rsidRPr="0069218C">
        <w:rPr>
          <w:bCs/>
          <w:lang w:val="es-US"/>
        </w:rPr>
        <w:t>la República de El Salvador,</w:t>
      </w:r>
      <w:r w:rsidR="009C4946">
        <w:rPr>
          <w:bCs/>
          <w:lang w:val="es-US"/>
        </w:rPr>
        <w:t xml:space="preserve"> </w:t>
      </w:r>
      <w:r w:rsidR="0069218C" w:rsidRPr="0069218C">
        <w:rPr>
          <w:bCs/>
          <w:lang w:val="es-US"/>
        </w:rPr>
        <w:t>espera</w:t>
      </w:r>
      <w:r w:rsidR="009C4946">
        <w:rPr>
          <w:bCs/>
          <w:lang w:val="es-US"/>
        </w:rPr>
        <w:t xml:space="preserve"> </w:t>
      </w:r>
      <w:r w:rsidR="0069218C" w:rsidRPr="0069218C">
        <w:rPr>
          <w:bCs/>
          <w:lang w:val="es-US"/>
        </w:rPr>
        <w:t>erradicar las brechas de pobreza y la malnutrición de la población, con énfasis en la primera infancia y a lo largo del ciclo de vida. Recientemente se lanzó la Estrategia de Alimentación Escolar Saludable y Sostenible, orientada a la educación alimentaria y nutricional, la provisión de alimentos saludables a los estudiantes, la promoción de la producción de alimentos en los centros educativos y la comunidad, así como la vinculación con mercados locales. Además, se ha formulado el Plan Maestro de Rescate Agropecuario, mediante la inversión crediticia a pequeños productores e infraestructura productiva para el agro.</w:t>
      </w:r>
    </w:p>
    <w:p w14:paraId="5ED966CF" w14:textId="52217921" w:rsidR="001145BC" w:rsidRDefault="00C44B04" w:rsidP="001C2C73">
      <w:pPr>
        <w:pStyle w:val="SingleTxtG"/>
        <w:tabs>
          <w:tab w:val="clear" w:pos="1701"/>
          <w:tab w:val="clear" w:pos="2268"/>
          <w:tab w:val="clear" w:pos="2835"/>
        </w:tabs>
        <w:rPr>
          <w:bCs/>
          <w:lang w:val="es-SV"/>
        </w:rPr>
      </w:pPr>
      <w:r>
        <w:rPr>
          <w:bCs/>
          <w:lang w:val="es-SV"/>
        </w:rPr>
        <w:t>83.</w:t>
      </w:r>
      <w:r>
        <w:rPr>
          <w:bCs/>
          <w:lang w:val="es-SV"/>
        </w:rPr>
        <w:tab/>
      </w:r>
      <w:r w:rsidR="0069218C" w:rsidRPr="0069218C">
        <w:rPr>
          <w:bCs/>
          <w:lang w:val="es-SV"/>
        </w:rPr>
        <w:t>El Ministerio de Agricultura y Ganadería a través del Programa Paquetes Agrícolas, entregó 597</w:t>
      </w:r>
      <w:r w:rsidR="00F56C5E">
        <w:rPr>
          <w:bCs/>
          <w:lang w:val="es-SV"/>
        </w:rPr>
        <w:t>.</w:t>
      </w:r>
      <w:r w:rsidR="0069218C" w:rsidRPr="0069218C">
        <w:rPr>
          <w:bCs/>
          <w:lang w:val="es-SV"/>
        </w:rPr>
        <w:t>944 paquetes que incluye semillas certificadas de maíz, sorgo y frijol y una dotación de fertilizantes. Se benefició a 27</w:t>
      </w:r>
      <w:r w:rsidR="00F56C5E">
        <w:rPr>
          <w:bCs/>
          <w:lang w:val="es-SV"/>
        </w:rPr>
        <w:t>.</w:t>
      </w:r>
      <w:r w:rsidR="0069218C" w:rsidRPr="0069218C">
        <w:rPr>
          <w:bCs/>
          <w:lang w:val="es-SV"/>
        </w:rPr>
        <w:t>213 productores y 17</w:t>
      </w:r>
      <w:r w:rsidR="00F56C5E">
        <w:rPr>
          <w:bCs/>
          <w:lang w:val="es-SV"/>
        </w:rPr>
        <w:t>.</w:t>
      </w:r>
      <w:r w:rsidR="0069218C" w:rsidRPr="0069218C">
        <w:rPr>
          <w:bCs/>
          <w:lang w:val="es-SV"/>
        </w:rPr>
        <w:t>860 productoras a nivel nacional con transferencia y adopción de tecnología, mediante asistencia técnica y capacitaciones y en el marco de la Pandemia por COVID-19, se entregó a 34</w:t>
      </w:r>
      <w:r w:rsidR="00F56C5E">
        <w:rPr>
          <w:bCs/>
          <w:lang w:val="es-SV"/>
        </w:rPr>
        <w:t>.</w:t>
      </w:r>
      <w:r w:rsidR="0069218C" w:rsidRPr="0069218C">
        <w:rPr>
          <w:bCs/>
          <w:lang w:val="es-SV"/>
        </w:rPr>
        <w:t>000 productores, semilla mejorada de frijol rojo para incrementar la producción nacional.</w:t>
      </w:r>
    </w:p>
    <w:p w14:paraId="554A0670" w14:textId="08173953" w:rsidR="0069218C" w:rsidRPr="0069218C" w:rsidRDefault="00C44B04" w:rsidP="001C2C73">
      <w:pPr>
        <w:pStyle w:val="SingleTxtG"/>
        <w:tabs>
          <w:tab w:val="clear" w:pos="1701"/>
          <w:tab w:val="clear" w:pos="2268"/>
          <w:tab w:val="clear" w:pos="2835"/>
        </w:tabs>
        <w:rPr>
          <w:bCs/>
          <w:lang w:val="es-SV"/>
        </w:rPr>
      </w:pPr>
      <w:r w:rsidRPr="0069218C">
        <w:rPr>
          <w:bCs/>
          <w:lang w:val="es-SV"/>
        </w:rPr>
        <w:t>84.</w:t>
      </w:r>
      <w:r w:rsidRPr="0069218C">
        <w:rPr>
          <w:bCs/>
          <w:lang w:val="es-SV"/>
        </w:rPr>
        <w:tab/>
      </w:r>
      <w:r w:rsidR="0069218C" w:rsidRPr="0069218C">
        <w:rPr>
          <w:bCs/>
          <w:lang w:val="es-SV"/>
        </w:rPr>
        <w:t>En 2021, la Primera Dama de la República, Gabriela de Bukele, lanzó la Política Nacional de Desarrollo Infantil Temprano “Crecer Juntos”, orientada a que la niñez salvadoreña alcance su potencial de desarrollo en la primera infancia.</w:t>
      </w:r>
      <w:r w:rsidR="009C4946">
        <w:rPr>
          <w:bCs/>
          <w:lang w:val="es-SV"/>
        </w:rPr>
        <w:t xml:space="preserve"> </w:t>
      </w:r>
    </w:p>
    <w:p w14:paraId="13E5DE77" w14:textId="27D7424D" w:rsidR="0069218C" w:rsidRPr="0069218C" w:rsidRDefault="00C44B04" w:rsidP="001C2C73">
      <w:pPr>
        <w:pStyle w:val="SingleTxtG"/>
        <w:tabs>
          <w:tab w:val="clear" w:pos="1701"/>
          <w:tab w:val="clear" w:pos="2268"/>
          <w:tab w:val="clear" w:pos="2835"/>
        </w:tabs>
        <w:rPr>
          <w:bCs/>
          <w:lang w:val="es-SV"/>
        </w:rPr>
      </w:pPr>
      <w:r w:rsidRPr="0069218C">
        <w:rPr>
          <w:bCs/>
          <w:lang w:val="es-SV"/>
        </w:rPr>
        <w:t>85.</w:t>
      </w:r>
      <w:r w:rsidRPr="0069218C">
        <w:rPr>
          <w:bCs/>
          <w:lang w:val="es-SV"/>
        </w:rPr>
        <w:tab/>
      </w:r>
      <w:r w:rsidR="0069218C" w:rsidRPr="0069218C">
        <w:rPr>
          <w:bCs/>
          <w:lang w:val="es-SV"/>
        </w:rPr>
        <w:t xml:space="preserve">Mediante las estrategias y programas interinstitucionales e intersectoriales de la Política en comento, se brindará atención de calidad en salud, nutrición, educación, aprendizaje y protección; al mismo tiempo que se busca educar a las familias en pautas de crianza positiva y técnicas de estimulación temprana que mejoren el desarrollo emocional, intelectual y físico de éstos. </w:t>
      </w:r>
    </w:p>
    <w:p w14:paraId="749444A8" w14:textId="1FAC1611" w:rsidR="0069218C" w:rsidRPr="0069218C" w:rsidRDefault="00C44B04" w:rsidP="001C2C73">
      <w:pPr>
        <w:pStyle w:val="SingleTxtG"/>
        <w:tabs>
          <w:tab w:val="clear" w:pos="1701"/>
          <w:tab w:val="clear" w:pos="2268"/>
          <w:tab w:val="clear" w:pos="2835"/>
        </w:tabs>
        <w:rPr>
          <w:bCs/>
          <w:lang w:val="es-SV"/>
        </w:rPr>
      </w:pPr>
      <w:r w:rsidRPr="0069218C">
        <w:rPr>
          <w:bCs/>
          <w:lang w:val="es-SV"/>
        </w:rPr>
        <w:t>86.</w:t>
      </w:r>
      <w:r w:rsidRPr="0069218C">
        <w:rPr>
          <w:bCs/>
          <w:lang w:val="es-SV"/>
        </w:rPr>
        <w:tab/>
      </w:r>
      <w:r w:rsidR="0069218C" w:rsidRPr="0069218C">
        <w:rPr>
          <w:bCs/>
          <w:lang w:val="es-SV"/>
        </w:rPr>
        <w:t>En los hospitales de primer nivel del MINSAL, se brinda atención en el marco de la ventana de los 1</w:t>
      </w:r>
      <w:r w:rsidR="00F56C5E">
        <w:rPr>
          <w:bCs/>
          <w:lang w:val="es-SV"/>
        </w:rPr>
        <w:t>.</w:t>
      </w:r>
      <w:r w:rsidR="0069218C" w:rsidRPr="0069218C">
        <w:rPr>
          <w:bCs/>
          <w:lang w:val="es-SV"/>
        </w:rPr>
        <w:t>000 días de vida con las iniciativas: Amigas de la Niñez y las Madres. Se cuenta con los bancos y centros recolectores de leche humana, para alimentación de los neonatos en situaciones especiales.</w:t>
      </w:r>
    </w:p>
    <w:p w14:paraId="771AE188" w14:textId="6E17F187" w:rsidR="0069218C" w:rsidRPr="0069218C" w:rsidRDefault="00C44B04" w:rsidP="001C2C73">
      <w:pPr>
        <w:pStyle w:val="SingleTxtG"/>
        <w:tabs>
          <w:tab w:val="clear" w:pos="1701"/>
          <w:tab w:val="clear" w:pos="2268"/>
          <w:tab w:val="clear" w:pos="2835"/>
        </w:tabs>
        <w:rPr>
          <w:bCs/>
          <w:lang w:val="es-US"/>
        </w:rPr>
      </w:pPr>
      <w:r w:rsidRPr="0069218C">
        <w:rPr>
          <w:bCs/>
          <w:lang w:val="es-US"/>
        </w:rPr>
        <w:lastRenderedPageBreak/>
        <w:t>87.</w:t>
      </w:r>
      <w:r w:rsidRPr="0069218C">
        <w:rPr>
          <w:bCs/>
          <w:lang w:val="es-US"/>
        </w:rPr>
        <w:tab/>
      </w:r>
      <w:r w:rsidR="0069218C" w:rsidRPr="0069218C">
        <w:rPr>
          <w:bCs/>
          <w:lang w:val="es-US"/>
        </w:rPr>
        <w:t xml:space="preserve">Desde julio 2021, 65 municipios cuentan con políticas municipales de niñez y adolescencia </w:t>
      </w:r>
      <w:r w:rsidR="0069218C" w:rsidRPr="001145BC">
        <w:rPr>
          <w:bCs/>
          <w:lang w:val="es-SV"/>
        </w:rPr>
        <w:t>aprobadas</w:t>
      </w:r>
      <w:r w:rsidR="0069218C" w:rsidRPr="0069218C">
        <w:rPr>
          <w:bCs/>
          <w:lang w:val="es-US"/>
        </w:rPr>
        <w:t xml:space="preserve"> por el CONNA, el 95</w:t>
      </w:r>
      <w:r w:rsidR="00F56C5E">
        <w:rPr>
          <w:bCs/>
          <w:lang w:val="es-US"/>
        </w:rPr>
        <w:t>,</w:t>
      </w:r>
      <w:r w:rsidR="0069218C" w:rsidRPr="0069218C">
        <w:rPr>
          <w:bCs/>
          <w:lang w:val="es-US"/>
        </w:rPr>
        <w:t>3</w:t>
      </w:r>
      <w:r w:rsidR="001043C1">
        <w:rPr>
          <w:bCs/>
          <w:lang w:val="es-US"/>
        </w:rPr>
        <w:t> %</w:t>
      </w:r>
      <w:r w:rsidR="0069218C" w:rsidRPr="0069218C">
        <w:rPr>
          <w:bCs/>
          <w:lang w:val="es-US"/>
        </w:rPr>
        <w:t xml:space="preserve"> incorporan acciones y estrategias para promover el derecho a la alimentación saludable y el 90</w:t>
      </w:r>
      <w:r w:rsidR="00F56C5E">
        <w:rPr>
          <w:bCs/>
          <w:lang w:val="es-US"/>
        </w:rPr>
        <w:t>,</w:t>
      </w:r>
      <w:r w:rsidR="0069218C" w:rsidRPr="0069218C">
        <w:rPr>
          <w:bCs/>
          <w:lang w:val="es-US"/>
        </w:rPr>
        <w:t>7</w:t>
      </w:r>
      <w:r w:rsidR="001043C1">
        <w:rPr>
          <w:bCs/>
          <w:lang w:val="es-US"/>
        </w:rPr>
        <w:t> %</w:t>
      </w:r>
      <w:r w:rsidR="0069218C" w:rsidRPr="0069218C">
        <w:rPr>
          <w:bCs/>
          <w:lang w:val="es-US"/>
        </w:rPr>
        <w:t xml:space="preserve"> incorporan acciones y estrategias para fomentar la alimentación saludable en la primera infancia.</w:t>
      </w:r>
    </w:p>
    <w:p w14:paraId="5D4B0C06" w14:textId="4DAD385C" w:rsidR="0069218C" w:rsidRPr="0069218C" w:rsidRDefault="00C44B04" w:rsidP="001C2C73">
      <w:pPr>
        <w:pStyle w:val="SingleTxtG"/>
        <w:tabs>
          <w:tab w:val="clear" w:pos="1701"/>
          <w:tab w:val="clear" w:pos="2268"/>
          <w:tab w:val="clear" w:pos="2835"/>
        </w:tabs>
        <w:rPr>
          <w:bCs/>
          <w:lang w:val="es-US"/>
        </w:rPr>
      </w:pPr>
      <w:r w:rsidRPr="0069218C">
        <w:rPr>
          <w:bCs/>
          <w:lang w:val="es-US"/>
        </w:rPr>
        <w:t>88.</w:t>
      </w:r>
      <w:r w:rsidRPr="0069218C">
        <w:rPr>
          <w:bCs/>
          <w:lang w:val="es-US"/>
        </w:rPr>
        <w:tab/>
      </w:r>
      <w:r w:rsidR="0069218C" w:rsidRPr="0069218C">
        <w:rPr>
          <w:bCs/>
          <w:lang w:val="es-US"/>
        </w:rPr>
        <w:t xml:space="preserve">El MINDEL, a través de la División de Asistencia Alimentaria, apoya en la logística de </w:t>
      </w:r>
      <w:r w:rsidR="0069218C" w:rsidRPr="001145BC">
        <w:rPr>
          <w:bCs/>
          <w:lang w:val="es-SV"/>
        </w:rPr>
        <w:t>almacenamiento</w:t>
      </w:r>
      <w:r w:rsidR="0069218C" w:rsidRPr="0069218C">
        <w:rPr>
          <w:bCs/>
          <w:lang w:val="es-US"/>
        </w:rPr>
        <w:t>, registro y despacho de los recursos alimenticios y no alimenticios, destinados al Programa Alimentación y Salud Escolar del MINEDUCYT para 5</w:t>
      </w:r>
      <w:r w:rsidR="00F56C5E">
        <w:rPr>
          <w:bCs/>
          <w:lang w:val="es-US"/>
        </w:rPr>
        <w:t>.</w:t>
      </w:r>
      <w:r w:rsidR="0069218C" w:rsidRPr="0069218C">
        <w:rPr>
          <w:bCs/>
          <w:lang w:val="es-US"/>
        </w:rPr>
        <w:t>100 centros escolares y 1</w:t>
      </w:r>
      <w:r w:rsidR="00F56C5E">
        <w:rPr>
          <w:bCs/>
          <w:lang w:val="es-US"/>
        </w:rPr>
        <w:t>.</w:t>
      </w:r>
      <w:r w:rsidR="0069218C" w:rsidRPr="0069218C">
        <w:rPr>
          <w:bCs/>
          <w:lang w:val="es-US"/>
        </w:rPr>
        <w:t>300.000 estudiantes a nivel nacional.</w:t>
      </w:r>
    </w:p>
    <w:p w14:paraId="2319387E" w14:textId="095805AE" w:rsidR="001145BC" w:rsidRDefault="00C44B04" w:rsidP="001C2C73">
      <w:pPr>
        <w:pStyle w:val="SingleTxtG"/>
        <w:tabs>
          <w:tab w:val="clear" w:pos="1701"/>
          <w:tab w:val="clear" w:pos="2268"/>
          <w:tab w:val="clear" w:pos="2835"/>
        </w:tabs>
        <w:rPr>
          <w:bCs/>
          <w:lang w:val="es-US"/>
        </w:rPr>
      </w:pPr>
      <w:r>
        <w:rPr>
          <w:bCs/>
          <w:lang w:val="es-US"/>
        </w:rPr>
        <w:t>89.</w:t>
      </w:r>
      <w:r>
        <w:rPr>
          <w:bCs/>
          <w:lang w:val="es-US"/>
        </w:rPr>
        <w:tab/>
      </w:r>
      <w:r w:rsidR="0069218C" w:rsidRPr="0069218C">
        <w:rPr>
          <w:bCs/>
          <w:lang w:val="es-US"/>
        </w:rPr>
        <w:t xml:space="preserve">En este mismo rubro se le brindaron los servicios logísticos al Instituto Salvadoreño para el </w:t>
      </w:r>
      <w:r w:rsidR="0069218C" w:rsidRPr="001145BC">
        <w:rPr>
          <w:bCs/>
          <w:lang w:val="es-SV"/>
        </w:rPr>
        <w:t>Desarrollo</w:t>
      </w:r>
      <w:r w:rsidR="0069218C" w:rsidRPr="0069218C">
        <w:rPr>
          <w:bCs/>
          <w:lang w:val="es-US"/>
        </w:rPr>
        <w:t xml:space="preserve"> Integral de la Niñez y Adolescencia (ISNA), para un aproximado de 9</w:t>
      </w:r>
      <w:r w:rsidR="00F56C5E">
        <w:rPr>
          <w:bCs/>
          <w:lang w:val="es-US"/>
        </w:rPr>
        <w:t>.</w:t>
      </w:r>
      <w:r w:rsidR="0069218C" w:rsidRPr="0069218C">
        <w:rPr>
          <w:bCs/>
          <w:lang w:val="es-US"/>
        </w:rPr>
        <w:t>167 NNA de 115 Centros de Atención Inicial.</w:t>
      </w:r>
    </w:p>
    <w:p w14:paraId="19990C59" w14:textId="10DE990A" w:rsidR="0069218C" w:rsidRPr="00DE494F" w:rsidRDefault="0069218C" w:rsidP="001C2C73">
      <w:pPr>
        <w:pStyle w:val="Ttulo1"/>
        <w:spacing w:after="120"/>
        <w:rPr>
          <w:b/>
          <w:lang w:val="es-ES"/>
        </w:rPr>
      </w:pPr>
      <w:r w:rsidRPr="00DE494F">
        <w:rPr>
          <w:b/>
          <w:lang w:val="es-ES"/>
        </w:rPr>
        <w:t xml:space="preserve">Prevalencia de desnutrición crónica (T/E) en niños y niñas escolares </w:t>
      </w:r>
      <w:r w:rsidR="003B0B16">
        <w:rPr>
          <w:b/>
          <w:lang w:val="es-ES"/>
        </w:rPr>
        <w:br/>
      </w:r>
      <w:r w:rsidRPr="00DE494F">
        <w:rPr>
          <w:b/>
          <w:lang w:val="es-ES"/>
        </w:rPr>
        <w:t>de primer grado según edad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73"/>
        <w:gridCol w:w="3997"/>
      </w:tblGrid>
      <w:tr w:rsidR="001145BC" w:rsidRPr="001145BC" w14:paraId="33F9E200" w14:textId="77777777" w:rsidTr="001145BC">
        <w:trPr>
          <w:tblHeader/>
        </w:trPr>
        <w:tc>
          <w:tcPr>
            <w:tcW w:w="3373" w:type="dxa"/>
            <w:tcBorders>
              <w:top w:val="single" w:sz="4" w:space="0" w:color="auto"/>
              <w:bottom w:val="single" w:sz="12" w:space="0" w:color="auto"/>
            </w:tcBorders>
            <w:shd w:val="clear" w:color="auto" w:fill="auto"/>
            <w:vAlign w:val="bottom"/>
          </w:tcPr>
          <w:p w14:paraId="1F7B6C41"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left"/>
              <w:rPr>
                <w:bCs/>
                <w:i/>
                <w:sz w:val="16"/>
                <w:lang w:val="es-SV"/>
              </w:rPr>
            </w:pPr>
            <w:r w:rsidRPr="001145BC">
              <w:rPr>
                <w:bCs/>
                <w:i/>
                <w:sz w:val="16"/>
                <w:lang w:val="es-SV"/>
              </w:rPr>
              <w:t>Edad</w:t>
            </w:r>
          </w:p>
        </w:tc>
        <w:tc>
          <w:tcPr>
            <w:tcW w:w="3997" w:type="dxa"/>
            <w:tcBorders>
              <w:top w:val="single" w:sz="4" w:space="0" w:color="auto"/>
              <w:bottom w:val="single" w:sz="12" w:space="0" w:color="auto"/>
            </w:tcBorders>
            <w:shd w:val="clear" w:color="auto" w:fill="auto"/>
            <w:vAlign w:val="bottom"/>
          </w:tcPr>
          <w:p w14:paraId="5CF4BCBF" w14:textId="46A1CA48"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s-SV"/>
              </w:rPr>
            </w:pPr>
            <w:r w:rsidRPr="001145BC">
              <w:rPr>
                <w:bCs/>
                <w:i/>
                <w:sz w:val="16"/>
                <w:lang w:val="es-SV"/>
              </w:rPr>
              <w:t>Prevalencia (</w:t>
            </w:r>
            <w:r w:rsidR="001043C1">
              <w:rPr>
                <w:bCs/>
                <w:i/>
                <w:sz w:val="16"/>
                <w:lang w:val="es-SV"/>
              </w:rPr>
              <w:t> %</w:t>
            </w:r>
            <w:r w:rsidRPr="001145BC">
              <w:rPr>
                <w:bCs/>
                <w:i/>
                <w:sz w:val="16"/>
                <w:lang w:val="es-SV"/>
              </w:rPr>
              <w:t>)</w:t>
            </w:r>
          </w:p>
        </w:tc>
      </w:tr>
      <w:tr w:rsidR="001145BC" w:rsidRPr="001145BC" w14:paraId="3569B399" w14:textId="77777777" w:rsidTr="001145BC">
        <w:tc>
          <w:tcPr>
            <w:tcW w:w="3373" w:type="dxa"/>
            <w:tcBorders>
              <w:top w:val="single" w:sz="12" w:space="0" w:color="auto"/>
            </w:tcBorders>
            <w:shd w:val="clear" w:color="auto" w:fill="auto"/>
          </w:tcPr>
          <w:p w14:paraId="145FE216"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6 años</w:t>
            </w:r>
          </w:p>
        </w:tc>
        <w:tc>
          <w:tcPr>
            <w:tcW w:w="3997" w:type="dxa"/>
            <w:tcBorders>
              <w:top w:val="single" w:sz="12" w:space="0" w:color="auto"/>
            </w:tcBorders>
            <w:shd w:val="clear" w:color="auto" w:fill="auto"/>
            <w:vAlign w:val="bottom"/>
          </w:tcPr>
          <w:p w14:paraId="3D710F6E" w14:textId="47DA0818"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5</w:t>
            </w:r>
            <w:r w:rsidR="00296C93">
              <w:rPr>
                <w:bCs/>
                <w:sz w:val="18"/>
                <w:lang w:val="es-SV"/>
              </w:rPr>
              <w:t>,</w:t>
            </w:r>
            <w:r w:rsidRPr="001145BC">
              <w:rPr>
                <w:bCs/>
                <w:sz w:val="18"/>
                <w:lang w:val="es-SV"/>
              </w:rPr>
              <w:t>24</w:t>
            </w:r>
          </w:p>
        </w:tc>
      </w:tr>
      <w:tr w:rsidR="001145BC" w:rsidRPr="001145BC" w14:paraId="7DB8A638" w14:textId="77777777" w:rsidTr="001145BC">
        <w:tc>
          <w:tcPr>
            <w:tcW w:w="3373" w:type="dxa"/>
            <w:shd w:val="clear" w:color="auto" w:fill="auto"/>
          </w:tcPr>
          <w:p w14:paraId="331BB6BF"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7 años</w:t>
            </w:r>
          </w:p>
        </w:tc>
        <w:tc>
          <w:tcPr>
            <w:tcW w:w="3997" w:type="dxa"/>
            <w:shd w:val="clear" w:color="auto" w:fill="auto"/>
            <w:vAlign w:val="bottom"/>
          </w:tcPr>
          <w:p w14:paraId="493E7FC6" w14:textId="127555B1"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8</w:t>
            </w:r>
            <w:r w:rsidR="00296C93">
              <w:rPr>
                <w:bCs/>
                <w:sz w:val="18"/>
                <w:lang w:val="es-SV"/>
              </w:rPr>
              <w:t>,</w:t>
            </w:r>
            <w:r w:rsidRPr="001145BC">
              <w:rPr>
                <w:bCs/>
                <w:sz w:val="18"/>
                <w:lang w:val="es-SV"/>
              </w:rPr>
              <w:t>09</w:t>
            </w:r>
          </w:p>
        </w:tc>
      </w:tr>
      <w:tr w:rsidR="001145BC" w:rsidRPr="001145BC" w14:paraId="74DEC88D" w14:textId="77777777" w:rsidTr="001145BC">
        <w:tc>
          <w:tcPr>
            <w:tcW w:w="3373" w:type="dxa"/>
            <w:shd w:val="clear" w:color="auto" w:fill="auto"/>
          </w:tcPr>
          <w:p w14:paraId="2FCDA3A3"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8 años</w:t>
            </w:r>
          </w:p>
        </w:tc>
        <w:tc>
          <w:tcPr>
            <w:tcW w:w="3997" w:type="dxa"/>
            <w:shd w:val="clear" w:color="auto" w:fill="auto"/>
            <w:vAlign w:val="bottom"/>
          </w:tcPr>
          <w:p w14:paraId="7F0B7043" w14:textId="3A651A0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18</w:t>
            </w:r>
            <w:r w:rsidR="00296C93">
              <w:rPr>
                <w:bCs/>
                <w:sz w:val="18"/>
                <w:lang w:val="es-SV"/>
              </w:rPr>
              <w:t>,</w:t>
            </w:r>
            <w:r w:rsidRPr="001145BC">
              <w:rPr>
                <w:bCs/>
                <w:sz w:val="18"/>
                <w:lang w:val="es-SV"/>
              </w:rPr>
              <w:t>19</w:t>
            </w:r>
          </w:p>
        </w:tc>
      </w:tr>
      <w:tr w:rsidR="001145BC" w:rsidRPr="001145BC" w14:paraId="2A22C1E3" w14:textId="77777777" w:rsidTr="001C2C73">
        <w:tc>
          <w:tcPr>
            <w:tcW w:w="3373" w:type="dxa"/>
            <w:tcBorders>
              <w:bottom w:val="single" w:sz="4" w:space="0" w:color="auto"/>
            </w:tcBorders>
            <w:shd w:val="clear" w:color="auto" w:fill="auto"/>
          </w:tcPr>
          <w:p w14:paraId="21C0C023"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9 años</w:t>
            </w:r>
          </w:p>
        </w:tc>
        <w:tc>
          <w:tcPr>
            <w:tcW w:w="3997" w:type="dxa"/>
            <w:tcBorders>
              <w:bottom w:val="single" w:sz="4" w:space="0" w:color="auto"/>
            </w:tcBorders>
            <w:shd w:val="clear" w:color="auto" w:fill="auto"/>
            <w:vAlign w:val="bottom"/>
          </w:tcPr>
          <w:p w14:paraId="7A97BC61" w14:textId="53A45742"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27</w:t>
            </w:r>
            <w:r w:rsidR="00296C93">
              <w:rPr>
                <w:bCs/>
                <w:sz w:val="18"/>
                <w:lang w:val="es-SV"/>
              </w:rPr>
              <w:t>,</w:t>
            </w:r>
            <w:r w:rsidRPr="001145BC">
              <w:rPr>
                <w:bCs/>
                <w:sz w:val="18"/>
                <w:lang w:val="es-SV"/>
              </w:rPr>
              <w:t>73</w:t>
            </w:r>
          </w:p>
        </w:tc>
      </w:tr>
      <w:tr w:rsidR="001145BC" w:rsidRPr="001C2C73" w14:paraId="177DBDAB" w14:textId="77777777" w:rsidTr="001C2C73">
        <w:tc>
          <w:tcPr>
            <w:tcW w:w="3373" w:type="dxa"/>
            <w:tcBorders>
              <w:top w:val="single" w:sz="4" w:space="0" w:color="auto"/>
              <w:bottom w:val="single" w:sz="12" w:space="0" w:color="auto"/>
            </w:tcBorders>
            <w:shd w:val="clear" w:color="auto" w:fill="auto"/>
          </w:tcPr>
          <w:p w14:paraId="1274E3A1" w14:textId="77777777" w:rsidR="0069218C" w:rsidRPr="001C2C73" w:rsidRDefault="0069218C" w:rsidP="001C2C73">
            <w:pPr>
              <w:pStyle w:val="SingleTxtG"/>
              <w:tabs>
                <w:tab w:val="clear" w:pos="1701"/>
                <w:tab w:val="clear" w:pos="2268"/>
                <w:tab w:val="clear" w:pos="2835"/>
              </w:tabs>
              <w:spacing w:before="80" w:after="80" w:line="220" w:lineRule="exact"/>
              <w:ind w:left="284" w:right="0"/>
              <w:jc w:val="left"/>
              <w:rPr>
                <w:b/>
                <w:sz w:val="18"/>
                <w:lang w:val="es-SV"/>
              </w:rPr>
            </w:pPr>
            <w:r w:rsidRPr="001C2C73">
              <w:rPr>
                <w:b/>
                <w:sz w:val="18"/>
                <w:lang w:val="es-SV"/>
              </w:rPr>
              <w:t>Total país</w:t>
            </w:r>
          </w:p>
        </w:tc>
        <w:tc>
          <w:tcPr>
            <w:tcW w:w="3997" w:type="dxa"/>
            <w:tcBorders>
              <w:top w:val="single" w:sz="4" w:space="0" w:color="auto"/>
              <w:bottom w:val="single" w:sz="12" w:space="0" w:color="auto"/>
            </w:tcBorders>
            <w:shd w:val="clear" w:color="auto" w:fill="auto"/>
            <w:vAlign w:val="bottom"/>
          </w:tcPr>
          <w:p w14:paraId="294D59E0" w14:textId="62B45B36" w:rsidR="0069218C" w:rsidRPr="001C2C73" w:rsidRDefault="0069218C" w:rsidP="001C2C73">
            <w:pPr>
              <w:pStyle w:val="SingleTxtG"/>
              <w:tabs>
                <w:tab w:val="clear" w:pos="1701"/>
                <w:tab w:val="clear" w:pos="2268"/>
                <w:tab w:val="clear" w:pos="2835"/>
              </w:tabs>
              <w:spacing w:before="80" w:after="80" w:line="220" w:lineRule="exact"/>
              <w:ind w:left="0" w:right="0"/>
              <w:jc w:val="right"/>
              <w:rPr>
                <w:b/>
                <w:sz w:val="18"/>
                <w:lang w:val="es-SV"/>
              </w:rPr>
            </w:pPr>
            <w:r w:rsidRPr="001C2C73">
              <w:rPr>
                <w:b/>
                <w:sz w:val="18"/>
                <w:lang w:val="es-SV"/>
              </w:rPr>
              <w:t>9</w:t>
            </w:r>
            <w:r w:rsidR="00296C93">
              <w:rPr>
                <w:b/>
                <w:sz w:val="18"/>
                <w:lang w:val="es-SV"/>
              </w:rPr>
              <w:t>,</w:t>
            </w:r>
            <w:r w:rsidRPr="001C2C73">
              <w:rPr>
                <w:b/>
                <w:sz w:val="18"/>
                <w:lang w:val="es-SV"/>
              </w:rPr>
              <w:t>05</w:t>
            </w:r>
          </w:p>
        </w:tc>
      </w:tr>
    </w:tbl>
    <w:p w14:paraId="4DE2140D" w14:textId="77777777" w:rsidR="0069218C" w:rsidRPr="00DE494F" w:rsidRDefault="0069218C" w:rsidP="001C2C73">
      <w:pPr>
        <w:pStyle w:val="SingleTxtG"/>
        <w:spacing w:before="120" w:after="240"/>
        <w:ind w:firstLine="170"/>
        <w:rPr>
          <w:bCs/>
          <w:sz w:val="18"/>
          <w:lang w:val="es-SV"/>
        </w:rPr>
      </w:pPr>
      <w:r w:rsidRPr="00DE494F">
        <w:rPr>
          <w:bCs/>
          <w:sz w:val="18"/>
          <w:lang w:val="es-SV"/>
        </w:rPr>
        <w:t>IV Censo nacional de talla y I Censo nacional de peso en escolares de primer grado, mayo 2016.</w:t>
      </w:r>
    </w:p>
    <w:p w14:paraId="752802C6" w14:textId="08F5AF79" w:rsidR="001145BC" w:rsidRDefault="00C44B04" w:rsidP="001C2C73">
      <w:pPr>
        <w:pStyle w:val="SingleTxtG"/>
        <w:tabs>
          <w:tab w:val="clear" w:pos="1701"/>
          <w:tab w:val="clear" w:pos="2268"/>
          <w:tab w:val="clear" w:pos="2835"/>
        </w:tabs>
        <w:rPr>
          <w:bCs/>
          <w:lang w:val="es-SV"/>
        </w:rPr>
      </w:pPr>
      <w:r>
        <w:rPr>
          <w:bCs/>
          <w:lang w:val="es-SV"/>
        </w:rPr>
        <w:t>90.</w:t>
      </w:r>
      <w:r>
        <w:rPr>
          <w:bCs/>
          <w:lang w:val="es-SV"/>
        </w:rPr>
        <w:tab/>
      </w:r>
      <w:r w:rsidR="0069218C" w:rsidRPr="0069218C">
        <w:rPr>
          <w:bCs/>
          <w:lang w:val="es-SV"/>
        </w:rPr>
        <w:t>No se cuenta con datos desagregados por zona.</w:t>
      </w:r>
    </w:p>
    <w:p w14:paraId="1AFF4DC8" w14:textId="3C1C1776" w:rsidR="0069218C" w:rsidRPr="00DE494F" w:rsidRDefault="0069218C" w:rsidP="001C2C73">
      <w:pPr>
        <w:pStyle w:val="Ttulo1"/>
        <w:spacing w:after="120"/>
        <w:rPr>
          <w:b/>
          <w:lang w:val="es-ES"/>
        </w:rPr>
      </w:pPr>
      <w:r w:rsidRPr="00DE494F">
        <w:rPr>
          <w:b/>
          <w:lang w:val="es-ES"/>
        </w:rPr>
        <w:t xml:space="preserve">Prevalencia de sobrepeso y obesidad (IMC) en niños y niñas escolares </w:t>
      </w:r>
      <w:r w:rsidR="003B0B16">
        <w:rPr>
          <w:b/>
          <w:lang w:val="es-ES"/>
        </w:rPr>
        <w:br/>
      </w:r>
      <w:r w:rsidRPr="00DE494F">
        <w:rPr>
          <w:b/>
          <w:lang w:val="es-ES"/>
        </w:rPr>
        <w:t>de primer grado según edad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20"/>
        <w:gridCol w:w="2962"/>
        <w:gridCol w:w="2388"/>
      </w:tblGrid>
      <w:tr w:rsidR="001145BC" w:rsidRPr="001145BC" w14:paraId="0E959404" w14:textId="77777777" w:rsidTr="001145BC">
        <w:trPr>
          <w:tblHeader/>
        </w:trPr>
        <w:tc>
          <w:tcPr>
            <w:tcW w:w="2637" w:type="dxa"/>
            <w:tcBorders>
              <w:top w:val="single" w:sz="4" w:space="0" w:color="auto"/>
              <w:bottom w:val="single" w:sz="12" w:space="0" w:color="auto"/>
            </w:tcBorders>
            <w:shd w:val="clear" w:color="auto" w:fill="auto"/>
            <w:vAlign w:val="bottom"/>
          </w:tcPr>
          <w:p w14:paraId="4F57C234"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left"/>
              <w:rPr>
                <w:bCs/>
                <w:i/>
                <w:sz w:val="16"/>
                <w:lang w:val="es-SV"/>
              </w:rPr>
            </w:pPr>
            <w:r w:rsidRPr="001145BC">
              <w:rPr>
                <w:bCs/>
                <w:i/>
                <w:sz w:val="16"/>
                <w:lang w:val="es-SV"/>
              </w:rPr>
              <w:t>Edad</w:t>
            </w:r>
          </w:p>
        </w:tc>
        <w:tc>
          <w:tcPr>
            <w:tcW w:w="3871" w:type="dxa"/>
            <w:tcBorders>
              <w:top w:val="single" w:sz="4" w:space="0" w:color="auto"/>
              <w:bottom w:val="single" w:sz="12" w:space="0" w:color="auto"/>
            </w:tcBorders>
            <w:shd w:val="clear" w:color="auto" w:fill="auto"/>
            <w:vAlign w:val="bottom"/>
          </w:tcPr>
          <w:p w14:paraId="74C228D8" w14:textId="1CBCD27A"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s-SV"/>
              </w:rPr>
            </w:pPr>
            <w:r w:rsidRPr="001145BC">
              <w:rPr>
                <w:bCs/>
                <w:i/>
                <w:sz w:val="16"/>
                <w:lang w:val="es-SV"/>
              </w:rPr>
              <w:t>Prevalencia</w:t>
            </w:r>
            <w:r w:rsidR="00B27C05">
              <w:rPr>
                <w:bCs/>
                <w:i/>
                <w:sz w:val="16"/>
                <w:lang w:val="es-SV"/>
              </w:rPr>
              <w:t xml:space="preserve"> </w:t>
            </w:r>
            <w:r w:rsidRPr="001145BC">
              <w:rPr>
                <w:bCs/>
                <w:i/>
                <w:sz w:val="16"/>
                <w:lang w:val="es-SV"/>
              </w:rPr>
              <w:t>sobrepeso (</w:t>
            </w:r>
            <w:r w:rsidR="001043C1">
              <w:rPr>
                <w:bCs/>
                <w:i/>
                <w:sz w:val="16"/>
                <w:lang w:val="es-SV"/>
              </w:rPr>
              <w:t> %</w:t>
            </w:r>
            <w:r w:rsidRPr="001145BC">
              <w:rPr>
                <w:bCs/>
                <w:i/>
                <w:sz w:val="16"/>
                <w:lang w:val="es-SV"/>
              </w:rPr>
              <w:t>)</w:t>
            </w:r>
          </w:p>
        </w:tc>
        <w:tc>
          <w:tcPr>
            <w:tcW w:w="3120" w:type="dxa"/>
            <w:tcBorders>
              <w:top w:val="single" w:sz="4" w:space="0" w:color="auto"/>
              <w:bottom w:val="single" w:sz="12" w:space="0" w:color="auto"/>
            </w:tcBorders>
            <w:shd w:val="clear" w:color="auto" w:fill="auto"/>
            <w:vAlign w:val="bottom"/>
          </w:tcPr>
          <w:p w14:paraId="57A5CC25" w14:textId="12E3462C" w:rsidR="0069218C" w:rsidRPr="001145BC" w:rsidRDefault="0069218C" w:rsidP="001145BC">
            <w:pPr>
              <w:pStyle w:val="SingleTxtG"/>
              <w:tabs>
                <w:tab w:val="clear" w:pos="1701"/>
                <w:tab w:val="clear" w:pos="2268"/>
                <w:tab w:val="clear" w:pos="2835"/>
              </w:tabs>
              <w:spacing w:before="80" w:after="80" w:line="200" w:lineRule="exact"/>
              <w:ind w:left="0" w:right="0"/>
              <w:jc w:val="right"/>
              <w:rPr>
                <w:bCs/>
                <w:i/>
                <w:sz w:val="16"/>
                <w:lang w:val="es-SV"/>
              </w:rPr>
            </w:pPr>
            <w:r w:rsidRPr="001145BC">
              <w:rPr>
                <w:bCs/>
                <w:i/>
                <w:sz w:val="16"/>
                <w:lang w:val="es-SV"/>
              </w:rPr>
              <w:t>Prevalencia obesidad (</w:t>
            </w:r>
            <w:r w:rsidR="001043C1">
              <w:rPr>
                <w:bCs/>
                <w:i/>
                <w:sz w:val="16"/>
                <w:lang w:val="es-SV"/>
              </w:rPr>
              <w:t> %</w:t>
            </w:r>
            <w:r w:rsidRPr="001145BC">
              <w:rPr>
                <w:bCs/>
                <w:i/>
                <w:sz w:val="16"/>
                <w:lang w:val="es-SV"/>
              </w:rPr>
              <w:t>)</w:t>
            </w:r>
          </w:p>
        </w:tc>
      </w:tr>
      <w:tr w:rsidR="001145BC" w:rsidRPr="001145BC" w14:paraId="357924BB" w14:textId="77777777" w:rsidTr="001145BC">
        <w:tc>
          <w:tcPr>
            <w:tcW w:w="2637" w:type="dxa"/>
            <w:tcBorders>
              <w:top w:val="single" w:sz="12" w:space="0" w:color="auto"/>
            </w:tcBorders>
            <w:shd w:val="clear" w:color="auto" w:fill="auto"/>
          </w:tcPr>
          <w:p w14:paraId="1B5C1880"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6 años</w:t>
            </w:r>
          </w:p>
        </w:tc>
        <w:tc>
          <w:tcPr>
            <w:tcW w:w="3871" w:type="dxa"/>
            <w:tcBorders>
              <w:top w:val="single" w:sz="12" w:space="0" w:color="auto"/>
            </w:tcBorders>
            <w:shd w:val="clear" w:color="auto" w:fill="auto"/>
            <w:vAlign w:val="bottom"/>
          </w:tcPr>
          <w:p w14:paraId="37249F12" w14:textId="3407D423"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18</w:t>
            </w:r>
            <w:r w:rsidR="00B27C05">
              <w:rPr>
                <w:bCs/>
                <w:sz w:val="18"/>
                <w:lang w:val="es-SV"/>
              </w:rPr>
              <w:t>,</w:t>
            </w:r>
            <w:r w:rsidRPr="001145BC">
              <w:rPr>
                <w:bCs/>
                <w:sz w:val="18"/>
                <w:lang w:val="es-SV"/>
              </w:rPr>
              <w:t>7</w:t>
            </w:r>
          </w:p>
        </w:tc>
        <w:tc>
          <w:tcPr>
            <w:tcW w:w="3120" w:type="dxa"/>
            <w:tcBorders>
              <w:top w:val="single" w:sz="12" w:space="0" w:color="auto"/>
            </w:tcBorders>
            <w:shd w:val="clear" w:color="auto" w:fill="auto"/>
            <w:vAlign w:val="bottom"/>
          </w:tcPr>
          <w:p w14:paraId="12F754B3" w14:textId="2B620780"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14</w:t>
            </w:r>
            <w:r w:rsidR="00B27C05">
              <w:rPr>
                <w:bCs/>
                <w:sz w:val="18"/>
                <w:lang w:val="es-SV"/>
              </w:rPr>
              <w:t>,</w:t>
            </w:r>
            <w:r w:rsidRPr="001145BC">
              <w:rPr>
                <w:bCs/>
                <w:sz w:val="18"/>
                <w:lang w:val="es-SV"/>
              </w:rPr>
              <w:t>73</w:t>
            </w:r>
          </w:p>
        </w:tc>
      </w:tr>
      <w:tr w:rsidR="001145BC" w:rsidRPr="001145BC" w14:paraId="33E63C2A" w14:textId="77777777" w:rsidTr="001145BC">
        <w:tc>
          <w:tcPr>
            <w:tcW w:w="2637" w:type="dxa"/>
            <w:shd w:val="clear" w:color="auto" w:fill="auto"/>
          </w:tcPr>
          <w:p w14:paraId="0382DB46"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7 años</w:t>
            </w:r>
          </w:p>
        </w:tc>
        <w:tc>
          <w:tcPr>
            <w:tcW w:w="3871" w:type="dxa"/>
            <w:shd w:val="clear" w:color="auto" w:fill="auto"/>
            <w:vAlign w:val="bottom"/>
          </w:tcPr>
          <w:p w14:paraId="4E22CEE4" w14:textId="6AC68999"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17</w:t>
            </w:r>
            <w:r w:rsidR="00B27C05">
              <w:rPr>
                <w:bCs/>
                <w:sz w:val="18"/>
                <w:lang w:val="es-SV"/>
              </w:rPr>
              <w:t>,</w:t>
            </w:r>
            <w:r w:rsidRPr="001145BC">
              <w:rPr>
                <w:bCs/>
                <w:sz w:val="18"/>
                <w:lang w:val="es-SV"/>
              </w:rPr>
              <w:t>16</w:t>
            </w:r>
          </w:p>
        </w:tc>
        <w:tc>
          <w:tcPr>
            <w:tcW w:w="3120" w:type="dxa"/>
            <w:shd w:val="clear" w:color="auto" w:fill="auto"/>
            <w:vAlign w:val="bottom"/>
          </w:tcPr>
          <w:p w14:paraId="2867DF17" w14:textId="5D99931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14</w:t>
            </w:r>
            <w:r w:rsidR="00B27C05">
              <w:rPr>
                <w:bCs/>
                <w:sz w:val="18"/>
                <w:lang w:val="es-SV"/>
              </w:rPr>
              <w:t>,</w:t>
            </w:r>
            <w:r w:rsidRPr="001145BC">
              <w:rPr>
                <w:bCs/>
                <w:sz w:val="18"/>
                <w:lang w:val="es-SV"/>
              </w:rPr>
              <w:t>05</w:t>
            </w:r>
          </w:p>
        </w:tc>
      </w:tr>
      <w:tr w:rsidR="001145BC" w:rsidRPr="001145BC" w14:paraId="44E264CB" w14:textId="77777777" w:rsidTr="001145BC">
        <w:tc>
          <w:tcPr>
            <w:tcW w:w="2637" w:type="dxa"/>
            <w:shd w:val="clear" w:color="auto" w:fill="auto"/>
          </w:tcPr>
          <w:p w14:paraId="229EE3B0"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8 años</w:t>
            </w:r>
          </w:p>
        </w:tc>
        <w:tc>
          <w:tcPr>
            <w:tcW w:w="3871" w:type="dxa"/>
            <w:shd w:val="clear" w:color="auto" w:fill="auto"/>
            <w:vAlign w:val="bottom"/>
          </w:tcPr>
          <w:p w14:paraId="449194E7"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14,41</w:t>
            </w:r>
          </w:p>
        </w:tc>
        <w:tc>
          <w:tcPr>
            <w:tcW w:w="3120" w:type="dxa"/>
            <w:shd w:val="clear" w:color="auto" w:fill="auto"/>
            <w:vAlign w:val="bottom"/>
          </w:tcPr>
          <w:p w14:paraId="200A4414" w14:textId="67ACB165"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9</w:t>
            </w:r>
            <w:r w:rsidR="00B27C05">
              <w:rPr>
                <w:bCs/>
                <w:sz w:val="18"/>
                <w:lang w:val="es-SV"/>
              </w:rPr>
              <w:t>,</w:t>
            </w:r>
            <w:r w:rsidRPr="001145BC">
              <w:rPr>
                <w:bCs/>
                <w:sz w:val="18"/>
                <w:lang w:val="es-SV"/>
              </w:rPr>
              <w:t>95</w:t>
            </w:r>
          </w:p>
        </w:tc>
      </w:tr>
      <w:tr w:rsidR="001145BC" w:rsidRPr="001145BC" w14:paraId="4EEAC238" w14:textId="77777777" w:rsidTr="001C2C73">
        <w:tc>
          <w:tcPr>
            <w:tcW w:w="2637" w:type="dxa"/>
            <w:tcBorders>
              <w:bottom w:val="single" w:sz="4" w:space="0" w:color="auto"/>
            </w:tcBorders>
            <w:shd w:val="clear" w:color="auto" w:fill="auto"/>
          </w:tcPr>
          <w:p w14:paraId="3C419C0F"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9 años</w:t>
            </w:r>
          </w:p>
        </w:tc>
        <w:tc>
          <w:tcPr>
            <w:tcW w:w="3871" w:type="dxa"/>
            <w:tcBorders>
              <w:bottom w:val="single" w:sz="4" w:space="0" w:color="auto"/>
            </w:tcBorders>
            <w:shd w:val="clear" w:color="auto" w:fill="auto"/>
            <w:vAlign w:val="bottom"/>
          </w:tcPr>
          <w:p w14:paraId="3C0CBCE6" w14:textId="671E59F0"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13</w:t>
            </w:r>
            <w:r w:rsidR="00B27C05">
              <w:rPr>
                <w:bCs/>
                <w:sz w:val="18"/>
                <w:lang w:val="es-SV"/>
              </w:rPr>
              <w:t>,</w:t>
            </w:r>
            <w:r w:rsidRPr="001145BC">
              <w:rPr>
                <w:bCs/>
                <w:sz w:val="18"/>
                <w:lang w:val="es-SV"/>
              </w:rPr>
              <w:t>6</w:t>
            </w:r>
          </w:p>
        </w:tc>
        <w:tc>
          <w:tcPr>
            <w:tcW w:w="3120" w:type="dxa"/>
            <w:tcBorders>
              <w:bottom w:val="single" w:sz="4" w:space="0" w:color="auto"/>
            </w:tcBorders>
            <w:shd w:val="clear" w:color="auto" w:fill="auto"/>
            <w:vAlign w:val="bottom"/>
          </w:tcPr>
          <w:p w14:paraId="4FB7880A" w14:textId="126D3BC2" w:rsidR="0069218C" w:rsidRPr="001145BC" w:rsidRDefault="0069218C" w:rsidP="001145BC">
            <w:pPr>
              <w:pStyle w:val="SingleTxtG"/>
              <w:tabs>
                <w:tab w:val="clear" w:pos="1701"/>
                <w:tab w:val="clear" w:pos="2268"/>
                <w:tab w:val="clear" w:pos="2835"/>
              </w:tabs>
              <w:spacing w:before="40" w:after="40" w:line="220" w:lineRule="exact"/>
              <w:ind w:left="0" w:right="0"/>
              <w:jc w:val="right"/>
              <w:rPr>
                <w:bCs/>
                <w:sz w:val="18"/>
                <w:lang w:val="es-SV"/>
              </w:rPr>
            </w:pPr>
            <w:r w:rsidRPr="001145BC">
              <w:rPr>
                <w:bCs/>
                <w:sz w:val="18"/>
                <w:lang w:val="es-SV"/>
              </w:rPr>
              <w:t>8</w:t>
            </w:r>
            <w:r w:rsidR="00B27C05">
              <w:rPr>
                <w:bCs/>
                <w:sz w:val="18"/>
                <w:lang w:val="es-SV"/>
              </w:rPr>
              <w:t>,</w:t>
            </w:r>
            <w:r w:rsidRPr="001145BC">
              <w:rPr>
                <w:bCs/>
                <w:sz w:val="18"/>
                <w:lang w:val="es-SV"/>
              </w:rPr>
              <w:t>63</w:t>
            </w:r>
          </w:p>
        </w:tc>
      </w:tr>
      <w:tr w:rsidR="001145BC" w:rsidRPr="001C2C73" w14:paraId="07BC5B2D" w14:textId="77777777" w:rsidTr="001C2C73">
        <w:tc>
          <w:tcPr>
            <w:tcW w:w="2637" w:type="dxa"/>
            <w:tcBorders>
              <w:top w:val="single" w:sz="4" w:space="0" w:color="auto"/>
              <w:bottom w:val="single" w:sz="12" w:space="0" w:color="auto"/>
            </w:tcBorders>
            <w:shd w:val="clear" w:color="auto" w:fill="auto"/>
          </w:tcPr>
          <w:p w14:paraId="1F29CF57" w14:textId="77777777" w:rsidR="0069218C" w:rsidRPr="001C2C73" w:rsidRDefault="0069218C" w:rsidP="001C2C73">
            <w:pPr>
              <w:pStyle w:val="SingleTxtG"/>
              <w:tabs>
                <w:tab w:val="clear" w:pos="1701"/>
                <w:tab w:val="clear" w:pos="2268"/>
                <w:tab w:val="clear" w:pos="2835"/>
              </w:tabs>
              <w:spacing w:before="80" w:after="80" w:line="220" w:lineRule="exact"/>
              <w:ind w:left="284" w:right="0"/>
              <w:jc w:val="left"/>
              <w:rPr>
                <w:b/>
                <w:sz w:val="18"/>
                <w:lang w:val="es-SV"/>
              </w:rPr>
            </w:pPr>
            <w:r w:rsidRPr="001C2C73">
              <w:rPr>
                <w:b/>
                <w:sz w:val="18"/>
                <w:lang w:val="es-SV"/>
              </w:rPr>
              <w:t>Total país</w:t>
            </w:r>
          </w:p>
        </w:tc>
        <w:tc>
          <w:tcPr>
            <w:tcW w:w="3871" w:type="dxa"/>
            <w:tcBorders>
              <w:top w:val="single" w:sz="4" w:space="0" w:color="auto"/>
              <w:bottom w:val="single" w:sz="12" w:space="0" w:color="auto"/>
            </w:tcBorders>
            <w:shd w:val="clear" w:color="auto" w:fill="auto"/>
            <w:vAlign w:val="bottom"/>
          </w:tcPr>
          <w:p w14:paraId="2203ECC9" w14:textId="039A46B7" w:rsidR="0069218C" w:rsidRPr="001C2C73" w:rsidRDefault="0069218C" w:rsidP="001C2C73">
            <w:pPr>
              <w:pStyle w:val="SingleTxtG"/>
              <w:tabs>
                <w:tab w:val="clear" w:pos="1701"/>
                <w:tab w:val="clear" w:pos="2268"/>
                <w:tab w:val="clear" w:pos="2835"/>
              </w:tabs>
              <w:spacing w:before="80" w:after="80" w:line="220" w:lineRule="exact"/>
              <w:ind w:left="0" w:right="0"/>
              <w:jc w:val="right"/>
              <w:rPr>
                <w:b/>
                <w:sz w:val="18"/>
                <w:lang w:val="es-SV"/>
              </w:rPr>
            </w:pPr>
            <w:r w:rsidRPr="001C2C73">
              <w:rPr>
                <w:b/>
                <w:sz w:val="18"/>
                <w:lang w:val="es-SV"/>
              </w:rPr>
              <w:t>17</w:t>
            </w:r>
            <w:r w:rsidR="00B27C05">
              <w:rPr>
                <w:b/>
                <w:sz w:val="18"/>
                <w:lang w:val="es-SV"/>
              </w:rPr>
              <w:t>,</w:t>
            </w:r>
            <w:r w:rsidRPr="001C2C73">
              <w:rPr>
                <w:b/>
                <w:sz w:val="18"/>
                <w:lang w:val="es-SV"/>
              </w:rPr>
              <w:t>1</w:t>
            </w:r>
          </w:p>
        </w:tc>
        <w:tc>
          <w:tcPr>
            <w:tcW w:w="3120" w:type="dxa"/>
            <w:tcBorders>
              <w:top w:val="single" w:sz="4" w:space="0" w:color="auto"/>
              <w:bottom w:val="single" w:sz="12" w:space="0" w:color="auto"/>
            </w:tcBorders>
            <w:shd w:val="clear" w:color="auto" w:fill="auto"/>
            <w:vAlign w:val="bottom"/>
          </w:tcPr>
          <w:p w14:paraId="0B9FACFF" w14:textId="509787A9" w:rsidR="0069218C" w:rsidRPr="001C2C73" w:rsidRDefault="0069218C" w:rsidP="001C2C73">
            <w:pPr>
              <w:pStyle w:val="SingleTxtG"/>
              <w:tabs>
                <w:tab w:val="clear" w:pos="1701"/>
                <w:tab w:val="clear" w:pos="2268"/>
                <w:tab w:val="clear" w:pos="2835"/>
              </w:tabs>
              <w:spacing w:before="80" w:after="80" w:line="220" w:lineRule="exact"/>
              <w:ind w:left="0" w:right="0"/>
              <w:jc w:val="right"/>
              <w:rPr>
                <w:b/>
                <w:sz w:val="18"/>
                <w:lang w:val="es-SV"/>
              </w:rPr>
            </w:pPr>
            <w:r w:rsidRPr="001C2C73">
              <w:rPr>
                <w:b/>
                <w:sz w:val="18"/>
                <w:lang w:val="es-SV"/>
              </w:rPr>
              <w:t>13</w:t>
            </w:r>
            <w:r w:rsidR="00B27C05">
              <w:rPr>
                <w:b/>
                <w:sz w:val="18"/>
                <w:lang w:val="es-SV"/>
              </w:rPr>
              <w:t>,</w:t>
            </w:r>
            <w:r w:rsidRPr="001C2C73">
              <w:rPr>
                <w:b/>
                <w:sz w:val="18"/>
                <w:lang w:val="es-SV"/>
              </w:rPr>
              <w:t>64</w:t>
            </w:r>
          </w:p>
        </w:tc>
      </w:tr>
    </w:tbl>
    <w:p w14:paraId="60028B16" w14:textId="264F22A3" w:rsidR="0069218C" w:rsidRPr="00DE494F" w:rsidRDefault="0069218C" w:rsidP="001C2C73">
      <w:pPr>
        <w:pStyle w:val="SingleTxtG"/>
        <w:spacing w:before="120" w:after="240"/>
        <w:ind w:firstLine="170"/>
        <w:rPr>
          <w:bCs/>
          <w:sz w:val="18"/>
          <w:lang w:val="es-SV"/>
        </w:rPr>
      </w:pPr>
      <w:r w:rsidRPr="00DE494F">
        <w:rPr>
          <w:bCs/>
          <w:sz w:val="18"/>
          <w:lang w:val="es-SV"/>
        </w:rPr>
        <w:t>IV Censo nacional de talla y I Censo nacional de peso en escolares de primer grado, mayo 2016</w:t>
      </w:r>
      <w:r w:rsidR="003B0B16">
        <w:rPr>
          <w:bCs/>
          <w:sz w:val="18"/>
          <w:lang w:val="es-SV"/>
        </w:rPr>
        <w:t>.</w:t>
      </w:r>
    </w:p>
    <w:p w14:paraId="5C9EBE9B" w14:textId="6663425C" w:rsidR="0069218C" w:rsidRPr="0069218C" w:rsidRDefault="00C44B04" w:rsidP="001C2C73">
      <w:pPr>
        <w:pStyle w:val="SingleTxtG"/>
        <w:tabs>
          <w:tab w:val="clear" w:pos="1701"/>
          <w:tab w:val="clear" w:pos="2268"/>
          <w:tab w:val="clear" w:pos="2835"/>
        </w:tabs>
        <w:rPr>
          <w:bCs/>
          <w:lang w:val="es-SV"/>
        </w:rPr>
      </w:pPr>
      <w:r w:rsidRPr="0069218C">
        <w:rPr>
          <w:bCs/>
          <w:lang w:val="es-SV"/>
        </w:rPr>
        <w:t>91.</w:t>
      </w:r>
      <w:r w:rsidRPr="0069218C">
        <w:rPr>
          <w:bCs/>
          <w:lang w:val="es-SV"/>
        </w:rPr>
        <w:tab/>
      </w:r>
      <w:r w:rsidR="0069218C" w:rsidRPr="0069218C">
        <w:rPr>
          <w:bCs/>
          <w:lang w:val="es-SV"/>
        </w:rPr>
        <w:t>No se cuenta con datos desagregados por zona.</w:t>
      </w:r>
    </w:p>
    <w:p w14:paraId="51032490" w14:textId="77777777" w:rsidR="001145BC" w:rsidRPr="009C4946" w:rsidRDefault="0069218C" w:rsidP="009C4946">
      <w:pPr>
        <w:pStyle w:val="H23G"/>
        <w:ind w:firstLine="0"/>
        <w:rPr>
          <w:lang w:val="es-MX"/>
        </w:rPr>
      </w:pPr>
      <w:r w:rsidRPr="009C4946">
        <w:rPr>
          <w:lang w:val="es-MX"/>
        </w:rPr>
        <w:t>Derecho a la salud física y mental (art. 12)</w:t>
      </w:r>
    </w:p>
    <w:p w14:paraId="009E8381" w14:textId="077D20E2" w:rsidR="001145BC" w:rsidRDefault="00C44B04" w:rsidP="001C2C73">
      <w:pPr>
        <w:pStyle w:val="SingleTxtG"/>
        <w:tabs>
          <w:tab w:val="clear" w:pos="1701"/>
          <w:tab w:val="clear" w:pos="2268"/>
          <w:tab w:val="clear" w:pos="2835"/>
        </w:tabs>
        <w:rPr>
          <w:bCs/>
          <w:lang w:val="es-SV"/>
        </w:rPr>
      </w:pPr>
      <w:r>
        <w:rPr>
          <w:bCs/>
          <w:lang w:val="es-SV"/>
        </w:rPr>
        <w:t>92.</w:t>
      </w:r>
      <w:r>
        <w:rPr>
          <w:bCs/>
          <w:lang w:val="es-SV"/>
        </w:rPr>
        <w:tab/>
      </w:r>
      <w:r w:rsidR="0069218C" w:rsidRPr="0069218C">
        <w:rPr>
          <w:bCs/>
          <w:lang w:val="es-SV"/>
        </w:rPr>
        <w:t>En noviembre de 2019, entró en vigencia la Ley del Sistema Nacional Integrado de Salud (SNIS), cuyo objetivo es transitar hacia el acceso y cobertura universal a la salud en forma equitativa, oportuna y de calidad.</w:t>
      </w:r>
    </w:p>
    <w:p w14:paraId="5C27A183" w14:textId="2020056E" w:rsidR="001145BC" w:rsidRDefault="00C44B04" w:rsidP="001C2C73">
      <w:pPr>
        <w:pStyle w:val="SingleTxtG"/>
        <w:tabs>
          <w:tab w:val="clear" w:pos="1701"/>
          <w:tab w:val="clear" w:pos="2268"/>
          <w:tab w:val="clear" w:pos="2835"/>
        </w:tabs>
        <w:rPr>
          <w:bCs/>
          <w:lang w:val="es-SV"/>
        </w:rPr>
      </w:pPr>
      <w:r>
        <w:rPr>
          <w:bCs/>
          <w:lang w:val="es-SV"/>
        </w:rPr>
        <w:t>93.</w:t>
      </w:r>
      <w:r>
        <w:rPr>
          <w:bCs/>
          <w:lang w:val="es-SV"/>
        </w:rPr>
        <w:tab/>
      </w:r>
      <w:r w:rsidR="0069218C" w:rsidRPr="0069218C">
        <w:rPr>
          <w:bCs/>
          <w:lang w:val="es-SV"/>
        </w:rPr>
        <w:t>El MINSAL se encuentra transformando el Sistema Nacional de Salud Pública para salvaguardar la vida de todos los salvadoreños. En los últimos dos años, pese a la pandemia, se dio inicio a la más grande inversión en infraestructura de 31 hospitales a nivel nacional, entre ellos el nuevo Hospital El Salvador. Asimismo, la compra de medicamentos para atender la pandemia y el resto de enfermedades, la adquisición de insumos de protección al personal médico, el tamizaje comunitario, que han permitido enfrentar a la pandemia y continuar garantizando la salud pública.</w:t>
      </w:r>
    </w:p>
    <w:p w14:paraId="776BFA86" w14:textId="0451246D" w:rsidR="0069218C" w:rsidRPr="0069218C" w:rsidRDefault="00C44B04" w:rsidP="001C2C73">
      <w:pPr>
        <w:pStyle w:val="SingleTxtG"/>
        <w:tabs>
          <w:tab w:val="clear" w:pos="1701"/>
          <w:tab w:val="clear" w:pos="2268"/>
          <w:tab w:val="clear" w:pos="2835"/>
        </w:tabs>
        <w:rPr>
          <w:bCs/>
          <w:lang w:val="es-SV"/>
        </w:rPr>
      </w:pPr>
      <w:r w:rsidRPr="0069218C">
        <w:rPr>
          <w:bCs/>
          <w:lang w:val="es-SV"/>
        </w:rPr>
        <w:t>94.</w:t>
      </w:r>
      <w:r w:rsidRPr="0069218C">
        <w:rPr>
          <w:bCs/>
          <w:lang w:val="es-SV"/>
        </w:rPr>
        <w:tab/>
      </w:r>
      <w:r w:rsidR="0069218C" w:rsidRPr="0069218C">
        <w:rPr>
          <w:bCs/>
          <w:lang w:val="es-SV"/>
        </w:rPr>
        <w:t>En el marco de la Pandemia se aperturar</w:t>
      </w:r>
      <w:r w:rsidR="00C472CE">
        <w:rPr>
          <w:bCs/>
          <w:lang w:val="es-SV"/>
        </w:rPr>
        <w:t>o</w:t>
      </w:r>
      <w:r w:rsidR="0069218C" w:rsidRPr="0069218C">
        <w:rPr>
          <w:bCs/>
          <w:lang w:val="es-SV"/>
        </w:rPr>
        <w:t>n los servicios de emergencia para toda la población en el primer nivel de atención y hospitales y gradualmente en el área de consulta externa para atenciones preventivas y curativas, designando áreas para atención a COVID</w:t>
      </w:r>
      <w:r w:rsidR="00B27C05">
        <w:rPr>
          <w:bCs/>
          <w:lang w:val="es-SV"/>
        </w:rPr>
        <w:noBreakHyphen/>
      </w:r>
      <w:r w:rsidR="0069218C" w:rsidRPr="0069218C">
        <w:rPr>
          <w:bCs/>
          <w:lang w:val="es-SV"/>
        </w:rPr>
        <w:t xml:space="preserve">19 y la atención en consulta general, aplicando todas las medidas de bioseguridad. </w:t>
      </w:r>
    </w:p>
    <w:p w14:paraId="0476ED7B" w14:textId="6B9EF148" w:rsidR="0069218C" w:rsidRPr="0069218C" w:rsidRDefault="00C44B04" w:rsidP="001C2C73">
      <w:pPr>
        <w:pStyle w:val="SingleTxtG"/>
        <w:tabs>
          <w:tab w:val="clear" w:pos="1701"/>
          <w:tab w:val="clear" w:pos="2268"/>
          <w:tab w:val="clear" w:pos="2835"/>
        </w:tabs>
        <w:rPr>
          <w:bCs/>
          <w:lang w:val="es-SV"/>
        </w:rPr>
      </w:pPr>
      <w:r w:rsidRPr="0069218C">
        <w:rPr>
          <w:bCs/>
          <w:lang w:val="es-SV"/>
        </w:rPr>
        <w:lastRenderedPageBreak/>
        <w:t>95.</w:t>
      </w:r>
      <w:r w:rsidRPr="0069218C">
        <w:rPr>
          <w:bCs/>
          <w:lang w:val="es-SV"/>
        </w:rPr>
        <w:tab/>
      </w:r>
      <w:r w:rsidR="0069218C" w:rsidRPr="0069218C">
        <w:rPr>
          <w:bCs/>
          <w:lang w:val="es-SV"/>
        </w:rPr>
        <w:t>En agosto de 2020 se lanzó el servicio de Teleasistencia Médica 131 para brindar asistencia priorizando la atención a mujeres embarazadas</w:t>
      </w:r>
      <w:r w:rsidR="009C4946">
        <w:rPr>
          <w:bCs/>
          <w:lang w:val="es-SV"/>
        </w:rPr>
        <w:t xml:space="preserve"> </w:t>
      </w:r>
      <w:r w:rsidR="0069218C" w:rsidRPr="0069218C">
        <w:rPr>
          <w:bCs/>
          <w:lang w:val="es-SV"/>
        </w:rPr>
        <w:t xml:space="preserve">con controles prenatales, control de niño sano, menores de 5 años y ayuda psicológica o de salud mental, programación de citas, entre otros. </w:t>
      </w:r>
    </w:p>
    <w:p w14:paraId="61813277" w14:textId="6B9C70C4" w:rsidR="0069218C" w:rsidRPr="0069218C" w:rsidRDefault="00C44B04" w:rsidP="001C2C73">
      <w:pPr>
        <w:pStyle w:val="SingleTxtG"/>
        <w:tabs>
          <w:tab w:val="clear" w:pos="1701"/>
          <w:tab w:val="clear" w:pos="2268"/>
          <w:tab w:val="clear" w:pos="2835"/>
        </w:tabs>
        <w:rPr>
          <w:bCs/>
          <w:lang w:val="es-SV"/>
        </w:rPr>
      </w:pPr>
      <w:r w:rsidRPr="0069218C">
        <w:rPr>
          <w:bCs/>
          <w:lang w:val="es-SV"/>
        </w:rPr>
        <w:t>96.</w:t>
      </w:r>
      <w:r w:rsidRPr="0069218C">
        <w:rPr>
          <w:bCs/>
          <w:lang w:val="es-SV"/>
        </w:rPr>
        <w:tab/>
      </w:r>
      <w:r w:rsidR="0069218C" w:rsidRPr="0069218C">
        <w:rPr>
          <w:bCs/>
          <w:lang w:val="es-SV"/>
        </w:rPr>
        <w:t>Con la implementación de la Política de la Primera Infancia se prevé una reducción de la morbimortalidad infantil (2021-2024), bajo el enfoque de cuidado cariñoso y sensible, orientado al fortalecimiento del esquema de inmunización y los programas de lactancia materna, bancos de leche y centros recolectores, atención especializada a grupos de mayor vulnerabilidad (Síndrome de Down, prematurez, anomalías congénitas y la detección temprana de riesgos y rezagos), entre otros.</w:t>
      </w:r>
    </w:p>
    <w:p w14:paraId="3479F492" w14:textId="20E42642" w:rsidR="001145BC" w:rsidRDefault="00C44B04" w:rsidP="001C2C73">
      <w:pPr>
        <w:pStyle w:val="SingleTxtG"/>
        <w:tabs>
          <w:tab w:val="clear" w:pos="1701"/>
          <w:tab w:val="clear" w:pos="2268"/>
          <w:tab w:val="clear" w:pos="2835"/>
        </w:tabs>
        <w:rPr>
          <w:bCs/>
          <w:lang w:val="es-SV"/>
        </w:rPr>
      </w:pPr>
      <w:r>
        <w:rPr>
          <w:bCs/>
          <w:lang w:val="es-SV"/>
        </w:rPr>
        <w:t>97.</w:t>
      </w:r>
      <w:r>
        <w:rPr>
          <w:bCs/>
          <w:lang w:val="es-SV"/>
        </w:rPr>
        <w:tab/>
      </w:r>
      <w:r w:rsidR="0069218C" w:rsidRPr="0069218C">
        <w:rPr>
          <w:bCs/>
          <w:lang w:val="es-SV"/>
        </w:rPr>
        <w:t>El MINSAL tiene prevista la reducción de la morbilidad y mortalidad materna e infantil en 14 de los municipios más pobres del país, mediante el fortalecimiento de la capacidad resolutiva del primero y segundo nivel de atención y de las redes integrales e integradas de servicios de salud.</w:t>
      </w:r>
    </w:p>
    <w:p w14:paraId="45A849C0" w14:textId="6A861BB8" w:rsidR="001145BC" w:rsidRDefault="00C44B04" w:rsidP="001C2C73">
      <w:pPr>
        <w:pStyle w:val="SingleTxtG"/>
        <w:tabs>
          <w:tab w:val="clear" w:pos="1701"/>
          <w:tab w:val="clear" w:pos="2268"/>
          <w:tab w:val="clear" w:pos="2835"/>
        </w:tabs>
        <w:rPr>
          <w:bCs/>
          <w:lang w:val="es-SV"/>
        </w:rPr>
      </w:pPr>
      <w:r>
        <w:rPr>
          <w:bCs/>
          <w:lang w:val="es-SV"/>
        </w:rPr>
        <w:t>98.</w:t>
      </w:r>
      <w:r>
        <w:rPr>
          <w:bCs/>
          <w:lang w:val="es-SV"/>
        </w:rPr>
        <w:tab/>
      </w:r>
      <w:r w:rsidR="0069218C" w:rsidRPr="0069218C">
        <w:rPr>
          <w:bCs/>
          <w:lang w:val="es-SV"/>
        </w:rPr>
        <w:t>En este orden, se actualizó el Plan Estratégico para la reducción de la morbimortalidad materno infantil y se elabor</w:t>
      </w:r>
      <w:r w:rsidR="00C472CE">
        <w:rPr>
          <w:bCs/>
          <w:lang w:val="es-SV"/>
        </w:rPr>
        <w:t>ó</w:t>
      </w:r>
      <w:r w:rsidR="0069218C" w:rsidRPr="0069218C">
        <w:rPr>
          <w:bCs/>
          <w:lang w:val="es-SV"/>
        </w:rPr>
        <w:t xml:space="preserve"> el proyecto para fortalecer las competencias y habilidades en los componentes materno infantil, en el 100</w:t>
      </w:r>
      <w:r w:rsidR="001043C1">
        <w:rPr>
          <w:bCs/>
          <w:lang w:val="es-SV"/>
        </w:rPr>
        <w:t> %</w:t>
      </w:r>
      <w:r w:rsidR="0069218C" w:rsidRPr="0069218C">
        <w:rPr>
          <w:bCs/>
          <w:lang w:val="es-SV"/>
        </w:rPr>
        <w:t xml:space="preserve"> de promotores de salud. Uno de los logros es la implementación del Sistema Informático Perinatal (SIP) en línea, en coordinación con la Organización Panamericana de Salud (OPS) y Centro Latinoamericano de Perinatología (CLAP). También se ha fortalecido la atención de la salud materna, prioritariamente con el ISSS, en coordinación con el SNIS.</w:t>
      </w:r>
    </w:p>
    <w:p w14:paraId="642213E1" w14:textId="27AB9EDA" w:rsidR="009C4946" w:rsidRPr="004B15F2" w:rsidRDefault="0069218C" w:rsidP="001C2C73">
      <w:pPr>
        <w:pStyle w:val="Ttulo1"/>
        <w:spacing w:after="120"/>
        <w:rPr>
          <w:b/>
        </w:rPr>
      </w:pPr>
      <w:r w:rsidRPr="004B15F2">
        <w:rPr>
          <w:b/>
        </w:rPr>
        <w:t>Datos sobre Mortalidad materna</w:t>
      </w:r>
    </w:p>
    <w:p w14:paraId="0A61835F" w14:textId="5188AFF6" w:rsidR="009C4946" w:rsidRDefault="00C44B04" w:rsidP="001C2C73">
      <w:pPr>
        <w:pStyle w:val="Bullet1G"/>
        <w:numPr>
          <w:ilvl w:val="0"/>
          <w:numId w:val="0"/>
        </w:numPr>
        <w:tabs>
          <w:tab w:val="left" w:pos="1701"/>
        </w:tabs>
        <w:ind w:left="1701" w:hanging="170"/>
        <w:rPr>
          <w:lang w:val="es-SV"/>
        </w:rPr>
      </w:pPr>
      <w:r>
        <w:rPr>
          <w:lang w:val="es-SV"/>
        </w:rPr>
        <w:t>•</w:t>
      </w:r>
      <w:r>
        <w:rPr>
          <w:lang w:val="es-SV"/>
        </w:rPr>
        <w:tab/>
      </w:r>
      <w:r w:rsidR="0069218C" w:rsidRPr="0069218C">
        <w:rPr>
          <w:lang w:val="es-SV"/>
        </w:rPr>
        <w:t>2019: 24</w:t>
      </w:r>
      <w:r w:rsidR="003B0B16">
        <w:rPr>
          <w:lang w:val="es-SV"/>
        </w:rPr>
        <w:t>,</w:t>
      </w:r>
      <w:r w:rsidR="0069218C" w:rsidRPr="0069218C">
        <w:rPr>
          <w:lang w:val="es-SV"/>
        </w:rPr>
        <w:t>33 x 100</w:t>
      </w:r>
      <w:r w:rsidR="003B0B16">
        <w:rPr>
          <w:lang w:val="es-SV"/>
        </w:rPr>
        <w:t>.</w:t>
      </w:r>
      <w:r w:rsidR="0069218C" w:rsidRPr="0069218C">
        <w:rPr>
          <w:lang w:val="es-SV"/>
        </w:rPr>
        <w:t>000 nacidos vivos</w:t>
      </w:r>
      <w:r w:rsidR="00B27C05">
        <w:rPr>
          <w:lang w:val="es-SV"/>
        </w:rPr>
        <w:t>.</w:t>
      </w:r>
    </w:p>
    <w:p w14:paraId="59F984D0" w14:textId="5E90055E" w:rsidR="0069218C" w:rsidRPr="0069218C" w:rsidRDefault="00C44B04" w:rsidP="001C2C73">
      <w:pPr>
        <w:pStyle w:val="Bullet1G"/>
        <w:numPr>
          <w:ilvl w:val="0"/>
          <w:numId w:val="0"/>
        </w:numPr>
        <w:tabs>
          <w:tab w:val="left" w:pos="1701"/>
        </w:tabs>
        <w:ind w:left="1701" w:hanging="170"/>
        <w:rPr>
          <w:lang w:val="es-SV"/>
        </w:rPr>
      </w:pPr>
      <w:r w:rsidRPr="0069218C">
        <w:rPr>
          <w:lang w:val="es-SV"/>
        </w:rPr>
        <w:t>•</w:t>
      </w:r>
      <w:r w:rsidRPr="0069218C">
        <w:rPr>
          <w:lang w:val="es-SV"/>
        </w:rPr>
        <w:tab/>
      </w:r>
      <w:r w:rsidR="0069218C" w:rsidRPr="0069218C">
        <w:rPr>
          <w:lang w:val="es-SV"/>
        </w:rPr>
        <w:t>2020: 41</w:t>
      </w:r>
      <w:r w:rsidR="003B0B16">
        <w:rPr>
          <w:lang w:val="es-SV"/>
        </w:rPr>
        <w:t>,</w:t>
      </w:r>
      <w:r w:rsidR="0069218C" w:rsidRPr="0069218C">
        <w:rPr>
          <w:lang w:val="es-SV"/>
        </w:rPr>
        <w:t>76 x 100</w:t>
      </w:r>
      <w:r w:rsidR="003B0B16">
        <w:rPr>
          <w:lang w:val="es-SV"/>
        </w:rPr>
        <w:t>.</w:t>
      </w:r>
      <w:r w:rsidR="0069218C" w:rsidRPr="0069218C">
        <w:rPr>
          <w:lang w:val="es-SV"/>
        </w:rPr>
        <w:t>000 nacidos vivos.</w:t>
      </w:r>
    </w:p>
    <w:tbl>
      <w:tblPr>
        <w:tblW w:w="7370" w:type="dxa"/>
        <w:tblInd w:w="1134" w:type="dxa"/>
        <w:tblLayout w:type="fixed"/>
        <w:tblCellMar>
          <w:left w:w="0" w:type="dxa"/>
          <w:right w:w="0" w:type="dxa"/>
        </w:tblCellMar>
        <w:tblLook w:val="04A0" w:firstRow="1" w:lastRow="0" w:firstColumn="1" w:lastColumn="0" w:noHBand="0" w:noVBand="1"/>
      </w:tblPr>
      <w:tblGrid>
        <w:gridCol w:w="1829"/>
        <w:gridCol w:w="1789"/>
        <w:gridCol w:w="1899"/>
        <w:gridCol w:w="1853"/>
      </w:tblGrid>
      <w:tr w:rsidR="00DE494F" w:rsidRPr="00DE494F" w14:paraId="486470A9" w14:textId="77777777" w:rsidTr="001C2C73">
        <w:trPr>
          <w:tblHeader/>
        </w:trPr>
        <w:tc>
          <w:tcPr>
            <w:tcW w:w="1829" w:type="dxa"/>
            <w:tcBorders>
              <w:top w:val="single" w:sz="4" w:space="0" w:color="auto"/>
              <w:bottom w:val="single" w:sz="4" w:space="0" w:color="auto"/>
            </w:tcBorders>
            <w:shd w:val="clear" w:color="auto" w:fill="auto"/>
            <w:vAlign w:val="bottom"/>
          </w:tcPr>
          <w:p w14:paraId="54690D55" w14:textId="77777777" w:rsidR="00DE494F" w:rsidRPr="00DE494F" w:rsidRDefault="00DE494F" w:rsidP="00DE494F">
            <w:pPr>
              <w:pStyle w:val="SingleTxtG"/>
              <w:tabs>
                <w:tab w:val="clear" w:pos="1701"/>
                <w:tab w:val="clear" w:pos="2268"/>
                <w:tab w:val="clear" w:pos="2835"/>
              </w:tabs>
              <w:spacing w:before="80" w:after="80" w:line="200" w:lineRule="exact"/>
              <w:ind w:left="0" w:right="0"/>
              <w:jc w:val="left"/>
              <w:rPr>
                <w:bCs/>
                <w:i/>
                <w:sz w:val="16"/>
                <w:lang w:val="es-SV"/>
              </w:rPr>
            </w:pPr>
          </w:p>
        </w:tc>
        <w:tc>
          <w:tcPr>
            <w:tcW w:w="5541" w:type="dxa"/>
            <w:gridSpan w:val="3"/>
            <w:tcBorders>
              <w:top w:val="single" w:sz="4" w:space="0" w:color="auto"/>
              <w:bottom w:val="single" w:sz="4" w:space="0" w:color="auto"/>
            </w:tcBorders>
            <w:shd w:val="clear" w:color="auto" w:fill="auto"/>
            <w:vAlign w:val="bottom"/>
          </w:tcPr>
          <w:p w14:paraId="5D3153B0" w14:textId="77777777" w:rsidR="00DE494F" w:rsidRPr="00DE494F" w:rsidRDefault="00DE494F" w:rsidP="001C2C73">
            <w:pPr>
              <w:pStyle w:val="SingleTxtG"/>
              <w:tabs>
                <w:tab w:val="clear" w:pos="1701"/>
                <w:tab w:val="clear" w:pos="2268"/>
                <w:tab w:val="clear" w:pos="2835"/>
              </w:tabs>
              <w:spacing w:before="80" w:after="80" w:line="200" w:lineRule="exact"/>
              <w:ind w:left="0" w:right="0"/>
              <w:jc w:val="center"/>
              <w:rPr>
                <w:bCs/>
                <w:i/>
                <w:sz w:val="16"/>
                <w:lang w:val="es-SV"/>
              </w:rPr>
            </w:pPr>
            <w:r w:rsidRPr="00DE494F">
              <w:rPr>
                <w:bCs/>
                <w:i/>
                <w:sz w:val="16"/>
                <w:lang w:val="es-SV"/>
              </w:rPr>
              <w:t>Esperanza de vida al nacer</w:t>
            </w:r>
          </w:p>
        </w:tc>
      </w:tr>
      <w:tr w:rsidR="00DE494F" w:rsidRPr="00DE494F" w14:paraId="5C4D1979" w14:textId="77777777" w:rsidTr="001C2C73">
        <w:trPr>
          <w:tblHeader/>
        </w:trPr>
        <w:tc>
          <w:tcPr>
            <w:tcW w:w="1829" w:type="dxa"/>
            <w:tcBorders>
              <w:top w:val="single" w:sz="4" w:space="0" w:color="auto"/>
              <w:bottom w:val="single" w:sz="12" w:space="0" w:color="auto"/>
            </w:tcBorders>
            <w:shd w:val="clear" w:color="auto" w:fill="auto"/>
          </w:tcPr>
          <w:p w14:paraId="5042E88C" w14:textId="77777777" w:rsidR="00DE494F" w:rsidRPr="001C2C73" w:rsidRDefault="00DE494F" w:rsidP="001C2C73">
            <w:pPr>
              <w:pStyle w:val="SingleTxtG"/>
              <w:tabs>
                <w:tab w:val="clear" w:pos="1701"/>
                <w:tab w:val="clear" w:pos="2268"/>
                <w:tab w:val="clear" w:pos="2835"/>
              </w:tabs>
              <w:spacing w:before="80" w:after="80" w:line="200" w:lineRule="exact"/>
              <w:ind w:left="0" w:right="0"/>
              <w:jc w:val="left"/>
              <w:rPr>
                <w:bCs/>
                <w:i/>
                <w:sz w:val="16"/>
                <w:lang w:val="es-SV"/>
              </w:rPr>
            </w:pPr>
            <w:r w:rsidRPr="001C2C73">
              <w:rPr>
                <w:bCs/>
                <w:i/>
                <w:sz w:val="16"/>
                <w:lang w:val="es-SV"/>
              </w:rPr>
              <w:t>Período</w:t>
            </w:r>
          </w:p>
        </w:tc>
        <w:tc>
          <w:tcPr>
            <w:tcW w:w="1789" w:type="dxa"/>
            <w:tcBorders>
              <w:top w:val="single" w:sz="4" w:space="0" w:color="auto"/>
              <w:bottom w:val="single" w:sz="12" w:space="0" w:color="auto"/>
            </w:tcBorders>
            <w:shd w:val="clear" w:color="auto" w:fill="auto"/>
            <w:vAlign w:val="bottom"/>
          </w:tcPr>
          <w:p w14:paraId="31E024F1" w14:textId="77777777" w:rsidR="00DE494F" w:rsidRPr="001C2C73" w:rsidRDefault="00DE494F" w:rsidP="001C2C73">
            <w:pPr>
              <w:pStyle w:val="SingleTxtG"/>
              <w:tabs>
                <w:tab w:val="clear" w:pos="1701"/>
                <w:tab w:val="clear" w:pos="2268"/>
                <w:tab w:val="clear" w:pos="2835"/>
              </w:tabs>
              <w:spacing w:before="80" w:after="80" w:line="200" w:lineRule="exact"/>
              <w:ind w:left="0" w:right="0"/>
              <w:jc w:val="right"/>
              <w:rPr>
                <w:bCs/>
                <w:i/>
                <w:sz w:val="16"/>
                <w:lang w:val="es-SV"/>
              </w:rPr>
            </w:pPr>
            <w:r w:rsidRPr="001C2C73">
              <w:rPr>
                <w:bCs/>
                <w:i/>
                <w:sz w:val="16"/>
                <w:lang w:val="es-SV"/>
              </w:rPr>
              <w:t>Ambos Sexos</w:t>
            </w:r>
          </w:p>
        </w:tc>
        <w:tc>
          <w:tcPr>
            <w:tcW w:w="1899" w:type="dxa"/>
            <w:tcBorders>
              <w:top w:val="single" w:sz="4" w:space="0" w:color="auto"/>
              <w:bottom w:val="single" w:sz="12" w:space="0" w:color="auto"/>
            </w:tcBorders>
            <w:shd w:val="clear" w:color="auto" w:fill="auto"/>
            <w:vAlign w:val="bottom"/>
          </w:tcPr>
          <w:p w14:paraId="7EF60278" w14:textId="77777777" w:rsidR="00DE494F" w:rsidRPr="001C2C73" w:rsidRDefault="00DE494F" w:rsidP="001C2C73">
            <w:pPr>
              <w:pStyle w:val="SingleTxtG"/>
              <w:tabs>
                <w:tab w:val="clear" w:pos="1701"/>
                <w:tab w:val="clear" w:pos="2268"/>
                <w:tab w:val="clear" w:pos="2835"/>
              </w:tabs>
              <w:spacing w:before="80" w:after="80" w:line="200" w:lineRule="exact"/>
              <w:ind w:left="0" w:right="0"/>
              <w:jc w:val="right"/>
              <w:rPr>
                <w:bCs/>
                <w:i/>
                <w:sz w:val="16"/>
                <w:lang w:val="es-SV"/>
              </w:rPr>
            </w:pPr>
            <w:r w:rsidRPr="001C2C73">
              <w:rPr>
                <w:bCs/>
                <w:i/>
                <w:sz w:val="16"/>
                <w:lang w:val="es-SV"/>
              </w:rPr>
              <w:t>Hombres</w:t>
            </w:r>
          </w:p>
        </w:tc>
        <w:tc>
          <w:tcPr>
            <w:tcW w:w="1853" w:type="dxa"/>
            <w:tcBorders>
              <w:top w:val="single" w:sz="4" w:space="0" w:color="auto"/>
              <w:bottom w:val="single" w:sz="12" w:space="0" w:color="auto"/>
            </w:tcBorders>
            <w:shd w:val="clear" w:color="auto" w:fill="auto"/>
            <w:vAlign w:val="bottom"/>
          </w:tcPr>
          <w:p w14:paraId="3EC9BC64" w14:textId="77777777" w:rsidR="00DE494F" w:rsidRPr="001C2C73" w:rsidRDefault="00DE494F" w:rsidP="001C2C73">
            <w:pPr>
              <w:pStyle w:val="SingleTxtG"/>
              <w:tabs>
                <w:tab w:val="clear" w:pos="1701"/>
                <w:tab w:val="clear" w:pos="2268"/>
                <w:tab w:val="clear" w:pos="2835"/>
              </w:tabs>
              <w:spacing w:before="80" w:after="80" w:line="200" w:lineRule="exact"/>
              <w:ind w:left="0" w:right="0"/>
              <w:jc w:val="right"/>
              <w:rPr>
                <w:bCs/>
                <w:i/>
                <w:sz w:val="16"/>
                <w:lang w:val="es-SV"/>
              </w:rPr>
            </w:pPr>
            <w:r w:rsidRPr="001C2C73">
              <w:rPr>
                <w:bCs/>
                <w:i/>
                <w:sz w:val="16"/>
                <w:lang w:val="es-SV"/>
              </w:rPr>
              <w:t>Mujeres</w:t>
            </w:r>
          </w:p>
        </w:tc>
      </w:tr>
      <w:tr w:rsidR="001145BC" w:rsidRPr="00DE494F" w14:paraId="4BBFD9AA" w14:textId="77777777" w:rsidTr="001C2C73">
        <w:tc>
          <w:tcPr>
            <w:tcW w:w="1829" w:type="dxa"/>
            <w:tcBorders>
              <w:top w:val="single" w:sz="12" w:space="0" w:color="auto"/>
            </w:tcBorders>
            <w:shd w:val="clear" w:color="auto" w:fill="auto"/>
            <w:noWrap/>
            <w:hideMark/>
          </w:tcPr>
          <w:p w14:paraId="14D72C4C" w14:textId="77777777" w:rsidR="0069218C" w:rsidRPr="00DE494F" w:rsidRDefault="0069218C" w:rsidP="00DE494F">
            <w:pPr>
              <w:pStyle w:val="SingleTxtG"/>
              <w:tabs>
                <w:tab w:val="clear" w:pos="1701"/>
                <w:tab w:val="clear" w:pos="2268"/>
                <w:tab w:val="clear" w:pos="2835"/>
              </w:tabs>
              <w:spacing w:before="40" w:after="40" w:line="220" w:lineRule="exact"/>
              <w:ind w:left="0" w:right="0"/>
              <w:jc w:val="left"/>
              <w:rPr>
                <w:b/>
                <w:bCs/>
                <w:sz w:val="18"/>
                <w:lang w:val="es-SV"/>
              </w:rPr>
            </w:pPr>
            <w:r w:rsidRPr="00DE494F">
              <w:rPr>
                <w:b/>
                <w:bCs/>
                <w:sz w:val="18"/>
                <w:lang w:val="es-SV"/>
              </w:rPr>
              <w:t>2014-2015</w:t>
            </w:r>
          </w:p>
        </w:tc>
        <w:tc>
          <w:tcPr>
            <w:tcW w:w="1789" w:type="dxa"/>
            <w:tcBorders>
              <w:top w:val="single" w:sz="12" w:space="0" w:color="auto"/>
            </w:tcBorders>
            <w:shd w:val="clear" w:color="auto" w:fill="auto"/>
            <w:noWrap/>
            <w:vAlign w:val="bottom"/>
            <w:hideMark/>
          </w:tcPr>
          <w:p w14:paraId="1DCB2452" w14:textId="562ADECF"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72</w:t>
            </w:r>
            <w:r w:rsidR="00405EFC">
              <w:rPr>
                <w:bCs/>
                <w:sz w:val="18"/>
                <w:lang w:val="es-SV"/>
              </w:rPr>
              <w:t>,</w:t>
            </w:r>
            <w:r w:rsidRPr="00DE494F">
              <w:rPr>
                <w:bCs/>
                <w:sz w:val="18"/>
                <w:lang w:val="es-SV"/>
              </w:rPr>
              <w:t>7</w:t>
            </w:r>
          </w:p>
        </w:tc>
        <w:tc>
          <w:tcPr>
            <w:tcW w:w="1899" w:type="dxa"/>
            <w:tcBorders>
              <w:top w:val="single" w:sz="12" w:space="0" w:color="auto"/>
            </w:tcBorders>
            <w:shd w:val="clear" w:color="auto" w:fill="auto"/>
            <w:noWrap/>
            <w:vAlign w:val="bottom"/>
            <w:hideMark/>
          </w:tcPr>
          <w:p w14:paraId="153D26EC" w14:textId="45B2881C"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67</w:t>
            </w:r>
            <w:r w:rsidR="00405EFC">
              <w:rPr>
                <w:bCs/>
                <w:sz w:val="18"/>
                <w:lang w:val="es-SV"/>
              </w:rPr>
              <w:t>,</w:t>
            </w:r>
            <w:r w:rsidRPr="00DE494F">
              <w:rPr>
                <w:bCs/>
                <w:sz w:val="18"/>
                <w:lang w:val="es-SV"/>
              </w:rPr>
              <w:t>8</w:t>
            </w:r>
          </w:p>
        </w:tc>
        <w:tc>
          <w:tcPr>
            <w:tcW w:w="1853" w:type="dxa"/>
            <w:tcBorders>
              <w:top w:val="single" w:sz="12" w:space="0" w:color="auto"/>
            </w:tcBorders>
            <w:shd w:val="clear" w:color="auto" w:fill="auto"/>
            <w:noWrap/>
            <w:vAlign w:val="bottom"/>
            <w:hideMark/>
          </w:tcPr>
          <w:p w14:paraId="660AE9FF" w14:textId="6D1C7D00"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77</w:t>
            </w:r>
            <w:r w:rsidR="00405EFC">
              <w:rPr>
                <w:bCs/>
                <w:sz w:val="18"/>
                <w:lang w:val="es-SV"/>
              </w:rPr>
              <w:t>,</w:t>
            </w:r>
            <w:r w:rsidRPr="00DE494F">
              <w:rPr>
                <w:bCs/>
                <w:sz w:val="18"/>
                <w:lang w:val="es-SV"/>
              </w:rPr>
              <w:t>0</w:t>
            </w:r>
          </w:p>
        </w:tc>
      </w:tr>
      <w:tr w:rsidR="001145BC" w:rsidRPr="00DE494F" w14:paraId="32F8CAC3" w14:textId="77777777" w:rsidTr="00DE494F">
        <w:tc>
          <w:tcPr>
            <w:tcW w:w="1829" w:type="dxa"/>
            <w:shd w:val="clear" w:color="auto" w:fill="auto"/>
            <w:noWrap/>
            <w:hideMark/>
          </w:tcPr>
          <w:p w14:paraId="1A0E3C88" w14:textId="77777777" w:rsidR="0069218C" w:rsidRPr="00DE494F" w:rsidRDefault="0069218C" w:rsidP="00DE494F">
            <w:pPr>
              <w:pStyle w:val="SingleTxtG"/>
              <w:tabs>
                <w:tab w:val="clear" w:pos="1701"/>
                <w:tab w:val="clear" w:pos="2268"/>
                <w:tab w:val="clear" w:pos="2835"/>
              </w:tabs>
              <w:spacing w:before="40" w:after="40" w:line="220" w:lineRule="exact"/>
              <w:ind w:left="0" w:right="0"/>
              <w:jc w:val="left"/>
              <w:rPr>
                <w:b/>
                <w:bCs/>
                <w:sz w:val="18"/>
                <w:lang w:val="es-SV"/>
              </w:rPr>
            </w:pPr>
            <w:r w:rsidRPr="00DE494F">
              <w:rPr>
                <w:b/>
                <w:bCs/>
                <w:sz w:val="18"/>
                <w:lang w:val="es-SV"/>
              </w:rPr>
              <w:t>2015-2016</w:t>
            </w:r>
          </w:p>
        </w:tc>
        <w:tc>
          <w:tcPr>
            <w:tcW w:w="1789" w:type="dxa"/>
            <w:shd w:val="clear" w:color="auto" w:fill="auto"/>
            <w:noWrap/>
            <w:vAlign w:val="bottom"/>
            <w:hideMark/>
          </w:tcPr>
          <w:p w14:paraId="2F34E4DB" w14:textId="78F4593D"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72</w:t>
            </w:r>
            <w:r w:rsidR="00405EFC">
              <w:rPr>
                <w:bCs/>
                <w:sz w:val="18"/>
                <w:lang w:val="es-SV"/>
              </w:rPr>
              <w:t>,</w:t>
            </w:r>
            <w:r w:rsidRPr="00DE494F">
              <w:rPr>
                <w:bCs/>
                <w:sz w:val="18"/>
                <w:lang w:val="es-SV"/>
              </w:rPr>
              <w:t>9</w:t>
            </w:r>
          </w:p>
        </w:tc>
        <w:tc>
          <w:tcPr>
            <w:tcW w:w="1899" w:type="dxa"/>
            <w:shd w:val="clear" w:color="auto" w:fill="auto"/>
            <w:noWrap/>
            <w:vAlign w:val="bottom"/>
            <w:hideMark/>
          </w:tcPr>
          <w:p w14:paraId="1B3C68EC" w14:textId="51107D42"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67</w:t>
            </w:r>
            <w:r w:rsidR="00405EFC">
              <w:rPr>
                <w:bCs/>
                <w:sz w:val="18"/>
                <w:lang w:val="es-SV"/>
              </w:rPr>
              <w:t>,</w:t>
            </w:r>
            <w:r w:rsidRPr="00DE494F">
              <w:rPr>
                <w:bCs/>
                <w:sz w:val="18"/>
                <w:lang w:val="es-SV"/>
              </w:rPr>
              <w:t>9</w:t>
            </w:r>
          </w:p>
        </w:tc>
        <w:tc>
          <w:tcPr>
            <w:tcW w:w="1853" w:type="dxa"/>
            <w:shd w:val="clear" w:color="auto" w:fill="auto"/>
            <w:noWrap/>
            <w:vAlign w:val="bottom"/>
            <w:hideMark/>
          </w:tcPr>
          <w:p w14:paraId="7791E485" w14:textId="00A22FD0"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77</w:t>
            </w:r>
            <w:r w:rsidR="00405EFC">
              <w:rPr>
                <w:bCs/>
                <w:sz w:val="18"/>
                <w:lang w:val="es-SV"/>
              </w:rPr>
              <w:t>,</w:t>
            </w:r>
            <w:r w:rsidRPr="00DE494F">
              <w:rPr>
                <w:bCs/>
                <w:sz w:val="18"/>
                <w:lang w:val="es-SV"/>
              </w:rPr>
              <w:t>3</w:t>
            </w:r>
          </w:p>
        </w:tc>
      </w:tr>
      <w:tr w:rsidR="001145BC" w:rsidRPr="00DE494F" w14:paraId="5A794D36" w14:textId="77777777" w:rsidTr="00DE494F">
        <w:tc>
          <w:tcPr>
            <w:tcW w:w="1829" w:type="dxa"/>
            <w:shd w:val="clear" w:color="auto" w:fill="auto"/>
            <w:noWrap/>
            <w:hideMark/>
          </w:tcPr>
          <w:p w14:paraId="0D876BD7" w14:textId="77777777" w:rsidR="0069218C" w:rsidRPr="00DE494F" w:rsidRDefault="0069218C" w:rsidP="00DE494F">
            <w:pPr>
              <w:pStyle w:val="SingleTxtG"/>
              <w:tabs>
                <w:tab w:val="clear" w:pos="1701"/>
                <w:tab w:val="clear" w:pos="2268"/>
                <w:tab w:val="clear" w:pos="2835"/>
              </w:tabs>
              <w:spacing w:before="40" w:after="40" w:line="220" w:lineRule="exact"/>
              <w:ind w:left="0" w:right="0"/>
              <w:jc w:val="left"/>
              <w:rPr>
                <w:b/>
                <w:bCs/>
                <w:sz w:val="18"/>
                <w:lang w:val="es-SV"/>
              </w:rPr>
            </w:pPr>
            <w:r w:rsidRPr="00DE494F">
              <w:rPr>
                <w:b/>
                <w:bCs/>
                <w:sz w:val="18"/>
                <w:lang w:val="es-SV"/>
              </w:rPr>
              <w:t>2016-2017</w:t>
            </w:r>
          </w:p>
        </w:tc>
        <w:tc>
          <w:tcPr>
            <w:tcW w:w="1789" w:type="dxa"/>
            <w:shd w:val="clear" w:color="auto" w:fill="auto"/>
            <w:noWrap/>
            <w:vAlign w:val="bottom"/>
            <w:hideMark/>
          </w:tcPr>
          <w:p w14:paraId="1F40D825" w14:textId="6910E214"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73</w:t>
            </w:r>
            <w:r w:rsidR="00405EFC">
              <w:rPr>
                <w:bCs/>
                <w:sz w:val="18"/>
                <w:lang w:val="es-SV"/>
              </w:rPr>
              <w:t>,</w:t>
            </w:r>
            <w:r w:rsidRPr="00DE494F">
              <w:rPr>
                <w:bCs/>
                <w:sz w:val="18"/>
                <w:lang w:val="es-SV"/>
              </w:rPr>
              <w:t>1</w:t>
            </w:r>
          </w:p>
        </w:tc>
        <w:tc>
          <w:tcPr>
            <w:tcW w:w="1899" w:type="dxa"/>
            <w:shd w:val="clear" w:color="auto" w:fill="auto"/>
            <w:noWrap/>
            <w:vAlign w:val="bottom"/>
            <w:hideMark/>
          </w:tcPr>
          <w:p w14:paraId="15B0D065" w14:textId="47BDF6DA"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68</w:t>
            </w:r>
            <w:r w:rsidR="00405EFC">
              <w:rPr>
                <w:bCs/>
                <w:sz w:val="18"/>
                <w:lang w:val="es-SV"/>
              </w:rPr>
              <w:t>,</w:t>
            </w:r>
            <w:r w:rsidRPr="00DE494F">
              <w:rPr>
                <w:bCs/>
                <w:sz w:val="18"/>
                <w:lang w:val="es-SV"/>
              </w:rPr>
              <w:t>2</w:t>
            </w:r>
          </w:p>
        </w:tc>
        <w:tc>
          <w:tcPr>
            <w:tcW w:w="1853" w:type="dxa"/>
            <w:shd w:val="clear" w:color="auto" w:fill="auto"/>
            <w:noWrap/>
            <w:vAlign w:val="bottom"/>
            <w:hideMark/>
          </w:tcPr>
          <w:p w14:paraId="3B377B13" w14:textId="5DB3E97A"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77</w:t>
            </w:r>
            <w:r w:rsidR="00405EFC">
              <w:rPr>
                <w:bCs/>
                <w:sz w:val="18"/>
                <w:lang w:val="es-SV"/>
              </w:rPr>
              <w:t>,</w:t>
            </w:r>
            <w:r w:rsidRPr="00DE494F">
              <w:rPr>
                <w:bCs/>
                <w:sz w:val="18"/>
                <w:lang w:val="es-SV"/>
              </w:rPr>
              <w:t>5</w:t>
            </w:r>
          </w:p>
        </w:tc>
      </w:tr>
      <w:tr w:rsidR="001145BC" w:rsidRPr="00DE494F" w14:paraId="6179C76D" w14:textId="77777777" w:rsidTr="00DE494F">
        <w:tc>
          <w:tcPr>
            <w:tcW w:w="1829" w:type="dxa"/>
            <w:shd w:val="clear" w:color="auto" w:fill="auto"/>
            <w:noWrap/>
            <w:hideMark/>
          </w:tcPr>
          <w:p w14:paraId="7A93EB21" w14:textId="77777777" w:rsidR="0069218C" w:rsidRPr="00DE494F" w:rsidRDefault="0069218C" w:rsidP="00DE494F">
            <w:pPr>
              <w:pStyle w:val="SingleTxtG"/>
              <w:tabs>
                <w:tab w:val="clear" w:pos="1701"/>
                <w:tab w:val="clear" w:pos="2268"/>
                <w:tab w:val="clear" w:pos="2835"/>
              </w:tabs>
              <w:spacing w:before="40" w:after="40" w:line="220" w:lineRule="exact"/>
              <w:ind w:left="0" w:right="0"/>
              <w:jc w:val="left"/>
              <w:rPr>
                <w:b/>
                <w:bCs/>
                <w:sz w:val="18"/>
                <w:lang w:val="es-SV"/>
              </w:rPr>
            </w:pPr>
            <w:r w:rsidRPr="00DE494F">
              <w:rPr>
                <w:b/>
                <w:bCs/>
                <w:sz w:val="18"/>
                <w:lang w:val="es-SV"/>
              </w:rPr>
              <w:t>2017-2018</w:t>
            </w:r>
          </w:p>
        </w:tc>
        <w:tc>
          <w:tcPr>
            <w:tcW w:w="1789" w:type="dxa"/>
            <w:shd w:val="clear" w:color="auto" w:fill="auto"/>
            <w:noWrap/>
            <w:vAlign w:val="bottom"/>
            <w:hideMark/>
          </w:tcPr>
          <w:p w14:paraId="17B03B04" w14:textId="5A10D6D1"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73</w:t>
            </w:r>
            <w:r w:rsidR="00405EFC">
              <w:rPr>
                <w:bCs/>
                <w:sz w:val="18"/>
                <w:lang w:val="es-SV"/>
              </w:rPr>
              <w:t>,</w:t>
            </w:r>
            <w:r w:rsidRPr="00DE494F">
              <w:rPr>
                <w:bCs/>
                <w:sz w:val="18"/>
                <w:lang w:val="es-SV"/>
              </w:rPr>
              <w:t>2</w:t>
            </w:r>
          </w:p>
        </w:tc>
        <w:tc>
          <w:tcPr>
            <w:tcW w:w="1899" w:type="dxa"/>
            <w:shd w:val="clear" w:color="auto" w:fill="auto"/>
            <w:noWrap/>
            <w:vAlign w:val="bottom"/>
            <w:hideMark/>
          </w:tcPr>
          <w:p w14:paraId="5ED4BCD4" w14:textId="530E0689"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68</w:t>
            </w:r>
            <w:r w:rsidR="00405EFC">
              <w:rPr>
                <w:bCs/>
                <w:sz w:val="18"/>
                <w:lang w:val="es-SV"/>
              </w:rPr>
              <w:t>,</w:t>
            </w:r>
            <w:r w:rsidRPr="00DE494F">
              <w:rPr>
                <w:bCs/>
                <w:sz w:val="18"/>
                <w:lang w:val="es-SV"/>
              </w:rPr>
              <w:t>3</w:t>
            </w:r>
          </w:p>
        </w:tc>
        <w:tc>
          <w:tcPr>
            <w:tcW w:w="1853" w:type="dxa"/>
            <w:shd w:val="clear" w:color="auto" w:fill="auto"/>
            <w:noWrap/>
            <w:vAlign w:val="bottom"/>
            <w:hideMark/>
          </w:tcPr>
          <w:p w14:paraId="225CE995" w14:textId="5C1DA436"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77</w:t>
            </w:r>
            <w:r w:rsidR="00405EFC">
              <w:rPr>
                <w:bCs/>
                <w:sz w:val="18"/>
                <w:lang w:val="es-SV"/>
              </w:rPr>
              <w:t>,</w:t>
            </w:r>
            <w:r w:rsidRPr="00DE494F">
              <w:rPr>
                <w:bCs/>
                <w:sz w:val="18"/>
                <w:lang w:val="es-SV"/>
              </w:rPr>
              <w:t>6</w:t>
            </w:r>
          </w:p>
        </w:tc>
      </w:tr>
      <w:tr w:rsidR="001145BC" w:rsidRPr="00DE494F" w14:paraId="611E2514" w14:textId="77777777" w:rsidTr="00DE494F">
        <w:tc>
          <w:tcPr>
            <w:tcW w:w="1829" w:type="dxa"/>
            <w:shd w:val="clear" w:color="auto" w:fill="auto"/>
            <w:noWrap/>
            <w:hideMark/>
          </w:tcPr>
          <w:p w14:paraId="17E499AF" w14:textId="77777777" w:rsidR="0069218C" w:rsidRPr="00DE494F" w:rsidRDefault="0069218C" w:rsidP="00DE494F">
            <w:pPr>
              <w:pStyle w:val="SingleTxtG"/>
              <w:tabs>
                <w:tab w:val="clear" w:pos="1701"/>
                <w:tab w:val="clear" w:pos="2268"/>
                <w:tab w:val="clear" w:pos="2835"/>
              </w:tabs>
              <w:spacing w:before="40" w:after="40" w:line="220" w:lineRule="exact"/>
              <w:ind w:left="0" w:right="0"/>
              <w:jc w:val="left"/>
              <w:rPr>
                <w:b/>
                <w:bCs/>
                <w:sz w:val="18"/>
                <w:lang w:val="es-SV"/>
              </w:rPr>
            </w:pPr>
            <w:r w:rsidRPr="00DE494F">
              <w:rPr>
                <w:b/>
                <w:bCs/>
                <w:sz w:val="18"/>
                <w:lang w:val="es-SV"/>
              </w:rPr>
              <w:t>2018-2019</w:t>
            </w:r>
          </w:p>
        </w:tc>
        <w:tc>
          <w:tcPr>
            <w:tcW w:w="1789" w:type="dxa"/>
            <w:shd w:val="clear" w:color="auto" w:fill="auto"/>
            <w:noWrap/>
            <w:vAlign w:val="bottom"/>
            <w:hideMark/>
          </w:tcPr>
          <w:p w14:paraId="37E8966E" w14:textId="7831A1C7"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73</w:t>
            </w:r>
            <w:r w:rsidR="00405EFC">
              <w:rPr>
                <w:bCs/>
                <w:sz w:val="18"/>
                <w:lang w:val="es-SV"/>
              </w:rPr>
              <w:t>,</w:t>
            </w:r>
            <w:r w:rsidRPr="00DE494F">
              <w:rPr>
                <w:bCs/>
                <w:sz w:val="18"/>
                <w:lang w:val="es-SV"/>
              </w:rPr>
              <w:t>5</w:t>
            </w:r>
          </w:p>
        </w:tc>
        <w:tc>
          <w:tcPr>
            <w:tcW w:w="1899" w:type="dxa"/>
            <w:shd w:val="clear" w:color="auto" w:fill="auto"/>
            <w:noWrap/>
            <w:vAlign w:val="bottom"/>
            <w:hideMark/>
          </w:tcPr>
          <w:p w14:paraId="70DFDB37" w14:textId="23183A4B"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68</w:t>
            </w:r>
            <w:r w:rsidR="00405EFC">
              <w:rPr>
                <w:bCs/>
                <w:sz w:val="18"/>
                <w:lang w:val="es-SV"/>
              </w:rPr>
              <w:t>,</w:t>
            </w:r>
            <w:r w:rsidRPr="00DE494F">
              <w:rPr>
                <w:bCs/>
                <w:sz w:val="18"/>
                <w:lang w:val="es-SV"/>
              </w:rPr>
              <w:t>6</w:t>
            </w:r>
          </w:p>
        </w:tc>
        <w:tc>
          <w:tcPr>
            <w:tcW w:w="1853" w:type="dxa"/>
            <w:shd w:val="clear" w:color="auto" w:fill="auto"/>
            <w:noWrap/>
            <w:vAlign w:val="bottom"/>
            <w:hideMark/>
          </w:tcPr>
          <w:p w14:paraId="56E9C457" w14:textId="73811168"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77</w:t>
            </w:r>
            <w:r w:rsidR="00405EFC">
              <w:rPr>
                <w:bCs/>
                <w:sz w:val="18"/>
                <w:lang w:val="es-SV"/>
              </w:rPr>
              <w:t>,</w:t>
            </w:r>
            <w:r w:rsidRPr="00DE494F">
              <w:rPr>
                <w:bCs/>
                <w:sz w:val="18"/>
                <w:lang w:val="es-SV"/>
              </w:rPr>
              <w:t>8</w:t>
            </w:r>
          </w:p>
        </w:tc>
      </w:tr>
      <w:tr w:rsidR="001145BC" w:rsidRPr="00DE494F" w14:paraId="39A4B242" w14:textId="77777777" w:rsidTr="00DE494F">
        <w:tc>
          <w:tcPr>
            <w:tcW w:w="1829" w:type="dxa"/>
            <w:tcBorders>
              <w:bottom w:val="single" w:sz="12" w:space="0" w:color="auto"/>
            </w:tcBorders>
            <w:shd w:val="clear" w:color="auto" w:fill="auto"/>
            <w:noWrap/>
            <w:hideMark/>
          </w:tcPr>
          <w:p w14:paraId="5C816A8C" w14:textId="77777777" w:rsidR="0069218C" w:rsidRPr="00DE494F" w:rsidRDefault="0069218C" w:rsidP="00DE494F">
            <w:pPr>
              <w:pStyle w:val="SingleTxtG"/>
              <w:tabs>
                <w:tab w:val="clear" w:pos="1701"/>
                <w:tab w:val="clear" w:pos="2268"/>
                <w:tab w:val="clear" w:pos="2835"/>
              </w:tabs>
              <w:spacing w:before="40" w:after="40" w:line="220" w:lineRule="exact"/>
              <w:ind w:left="0" w:right="0"/>
              <w:jc w:val="left"/>
              <w:rPr>
                <w:b/>
                <w:bCs/>
                <w:sz w:val="18"/>
                <w:lang w:val="es-SV"/>
              </w:rPr>
            </w:pPr>
            <w:r w:rsidRPr="00DE494F">
              <w:rPr>
                <w:b/>
                <w:bCs/>
                <w:sz w:val="18"/>
                <w:lang w:val="es-SV"/>
              </w:rPr>
              <w:t>2019-2020</w:t>
            </w:r>
          </w:p>
        </w:tc>
        <w:tc>
          <w:tcPr>
            <w:tcW w:w="1789" w:type="dxa"/>
            <w:tcBorders>
              <w:bottom w:val="single" w:sz="12" w:space="0" w:color="auto"/>
            </w:tcBorders>
            <w:shd w:val="clear" w:color="auto" w:fill="auto"/>
            <w:noWrap/>
            <w:vAlign w:val="bottom"/>
            <w:hideMark/>
          </w:tcPr>
          <w:p w14:paraId="6BE1677B" w14:textId="3985AB88"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73</w:t>
            </w:r>
            <w:r w:rsidR="00405EFC">
              <w:rPr>
                <w:bCs/>
                <w:sz w:val="18"/>
                <w:lang w:val="es-SV"/>
              </w:rPr>
              <w:t>,</w:t>
            </w:r>
            <w:r w:rsidRPr="00DE494F">
              <w:rPr>
                <w:bCs/>
                <w:sz w:val="18"/>
                <w:lang w:val="es-SV"/>
              </w:rPr>
              <w:t>6</w:t>
            </w:r>
          </w:p>
        </w:tc>
        <w:tc>
          <w:tcPr>
            <w:tcW w:w="1899" w:type="dxa"/>
            <w:tcBorders>
              <w:bottom w:val="single" w:sz="12" w:space="0" w:color="auto"/>
            </w:tcBorders>
            <w:shd w:val="clear" w:color="auto" w:fill="auto"/>
            <w:noWrap/>
            <w:vAlign w:val="bottom"/>
            <w:hideMark/>
          </w:tcPr>
          <w:p w14:paraId="414BC5BB" w14:textId="581257D9"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68</w:t>
            </w:r>
            <w:r w:rsidR="00405EFC">
              <w:rPr>
                <w:bCs/>
                <w:sz w:val="18"/>
                <w:lang w:val="es-SV"/>
              </w:rPr>
              <w:t>,</w:t>
            </w:r>
            <w:r w:rsidRPr="00DE494F">
              <w:rPr>
                <w:bCs/>
                <w:sz w:val="18"/>
                <w:lang w:val="es-SV"/>
              </w:rPr>
              <w:t>7</w:t>
            </w:r>
          </w:p>
        </w:tc>
        <w:tc>
          <w:tcPr>
            <w:tcW w:w="1853" w:type="dxa"/>
            <w:tcBorders>
              <w:bottom w:val="single" w:sz="12" w:space="0" w:color="auto"/>
            </w:tcBorders>
            <w:shd w:val="clear" w:color="auto" w:fill="auto"/>
            <w:noWrap/>
            <w:vAlign w:val="bottom"/>
            <w:hideMark/>
          </w:tcPr>
          <w:p w14:paraId="12ED6E14" w14:textId="52C0F8B2" w:rsidR="0069218C" w:rsidRPr="00DE494F" w:rsidRDefault="0069218C" w:rsidP="00DE494F">
            <w:pPr>
              <w:pStyle w:val="SingleTxtG"/>
              <w:tabs>
                <w:tab w:val="clear" w:pos="1701"/>
                <w:tab w:val="clear" w:pos="2268"/>
                <w:tab w:val="clear" w:pos="2835"/>
              </w:tabs>
              <w:spacing w:before="40" w:after="40" w:line="220" w:lineRule="exact"/>
              <w:ind w:left="0" w:right="0"/>
              <w:jc w:val="right"/>
              <w:rPr>
                <w:bCs/>
                <w:sz w:val="18"/>
                <w:lang w:val="es-SV"/>
              </w:rPr>
            </w:pPr>
            <w:r w:rsidRPr="00DE494F">
              <w:rPr>
                <w:bCs/>
                <w:sz w:val="18"/>
                <w:lang w:val="es-SV"/>
              </w:rPr>
              <w:t>77</w:t>
            </w:r>
            <w:r w:rsidR="00405EFC">
              <w:rPr>
                <w:bCs/>
                <w:sz w:val="18"/>
                <w:lang w:val="es-SV"/>
              </w:rPr>
              <w:t>,</w:t>
            </w:r>
            <w:r w:rsidRPr="00DE494F">
              <w:rPr>
                <w:bCs/>
                <w:sz w:val="18"/>
                <w:lang w:val="es-SV"/>
              </w:rPr>
              <w:t>9</w:t>
            </w:r>
          </w:p>
        </w:tc>
      </w:tr>
    </w:tbl>
    <w:p w14:paraId="7E576244" w14:textId="5011AED6" w:rsidR="001145BC" w:rsidRPr="00DE494F" w:rsidRDefault="0069218C" w:rsidP="001C2C73">
      <w:pPr>
        <w:pStyle w:val="SingleTxtG"/>
        <w:spacing w:before="120" w:after="240"/>
        <w:ind w:firstLine="170"/>
        <w:rPr>
          <w:bCs/>
          <w:sz w:val="18"/>
          <w:lang w:val="es-SV"/>
        </w:rPr>
      </w:pPr>
      <w:r w:rsidRPr="00DE494F">
        <w:rPr>
          <w:bCs/>
          <w:i/>
          <w:sz w:val="18"/>
          <w:lang w:val="es-SV"/>
        </w:rPr>
        <w:t>Fuente</w:t>
      </w:r>
      <w:r w:rsidR="00405EFC">
        <w:rPr>
          <w:bCs/>
          <w:i/>
          <w:sz w:val="18"/>
          <w:lang w:val="es-SV"/>
        </w:rPr>
        <w:t>:</w:t>
      </w:r>
      <w:r w:rsidRPr="00DE494F">
        <w:rPr>
          <w:bCs/>
          <w:sz w:val="18"/>
          <w:lang w:val="es-SV"/>
        </w:rPr>
        <w:t xml:space="preserve"> DIGESTYC</w:t>
      </w:r>
      <w:r w:rsidR="00405EFC">
        <w:rPr>
          <w:bCs/>
          <w:sz w:val="18"/>
          <w:lang w:val="es-SV"/>
        </w:rPr>
        <w:t>.</w:t>
      </w:r>
    </w:p>
    <w:p w14:paraId="7961D82A" w14:textId="78E66C86" w:rsidR="001145BC" w:rsidRDefault="00C44B04" w:rsidP="001C2C73">
      <w:pPr>
        <w:pStyle w:val="SingleTxtG"/>
        <w:tabs>
          <w:tab w:val="clear" w:pos="1701"/>
          <w:tab w:val="clear" w:pos="2268"/>
          <w:tab w:val="clear" w:pos="2835"/>
        </w:tabs>
        <w:rPr>
          <w:bCs/>
          <w:lang w:val="es-SV"/>
        </w:rPr>
      </w:pPr>
      <w:r>
        <w:rPr>
          <w:bCs/>
          <w:lang w:val="es-SV"/>
        </w:rPr>
        <w:t>99.</w:t>
      </w:r>
      <w:r>
        <w:rPr>
          <w:bCs/>
          <w:lang w:val="es-SV"/>
        </w:rPr>
        <w:tab/>
      </w:r>
      <w:r w:rsidR="0069218C" w:rsidRPr="0069218C">
        <w:rPr>
          <w:bCs/>
          <w:lang w:val="es-SV"/>
        </w:rPr>
        <w:t>a), b)</w:t>
      </w:r>
      <w:r w:rsidR="001878DA">
        <w:rPr>
          <w:bCs/>
          <w:lang w:val="es-SV"/>
        </w:rPr>
        <w:t>:</w:t>
      </w:r>
      <w:r w:rsidR="0069218C" w:rsidRPr="0069218C">
        <w:rPr>
          <w:bCs/>
          <w:lang w:val="es-SV"/>
        </w:rPr>
        <w:t xml:space="preserve"> El ISSS, en el marco de la Norma de Atención Integral en Salud a la Mujer promueve a nivel nacional los derechos sexuales y reproductivos, la igualdad y equidad de género y la eliminación de la discriminación. A través de la atención preconcepcional, prenatal, del parto, puerperio, climaterio y menopausia, planificación familiar y la detección precoz de cáncer ginecológico, consejería en planificación familiar y promoción, fomento y desarrollo de la participación masculina en los procesos de SSR por ejemplo.</w:t>
      </w:r>
    </w:p>
    <w:p w14:paraId="39AEC110" w14:textId="2173F764" w:rsidR="0069218C" w:rsidRPr="0069218C" w:rsidRDefault="00C44B04" w:rsidP="001C2C73">
      <w:pPr>
        <w:pStyle w:val="SingleTxtG"/>
        <w:tabs>
          <w:tab w:val="clear" w:pos="1701"/>
          <w:tab w:val="clear" w:pos="2268"/>
          <w:tab w:val="clear" w:pos="2835"/>
        </w:tabs>
        <w:rPr>
          <w:bCs/>
          <w:lang w:val="es-SV"/>
        </w:rPr>
      </w:pPr>
      <w:r w:rsidRPr="0069218C">
        <w:rPr>
          <w:bCs/>
          <w:lang w:val="es-SV"/>
        </w:rPr>
        <w:t>100.</w:t>
      </w:r>
      <w:r w:rsidRPr="0069218C">
        <w:rPr>
          <w:bCs/>
          <w:lang w:val="es-SV"/>
        </w:rPr>
        <w:tab/>
      </w:r>
      <w:r w:rsidR="0069218C" w:rsidRPr="0069218C">
        <w:rPr>
          <w:bCs/>
          <w:lang w:val="es-SV"/>
        </w:rPr>
        <w:t>El MINSAL ha fortalecido las habilidades del personal de salud en consejería, con énfasis en la atención preconcepcional, atención materna, además de la estrategia de aseguramiento de medicamentos e insumos para la SSR.</w:t>
      </w:r>
    </w:p>
    <w:p w14:paraId="00315BC2" w14:textId="22DD5E36" w:rsidR="0069218C" w:rsidRPr="0069218C" w:rsidRDefault="00C44B04" w:rsidP="001C2C73">
      <w:pPr>
        <w:pStyle w:val="SingleTxtG"/>
        <w:rPr>
          <w:bCs/>
          <w:lang w:val="es-SV"/>
        </w:rPr>
      </w:pPr>
      <w:r w:rsidRPr="0069218C">
        <w:rPr>
          <w:bCs/>
          <w:lang w:val="es-SV"/>
        </w:rPr>
        <w:t>101.</w:t>
      </w:r>
      <w:r w:rsidRPr="0069218C">
        <w:rPr>
          <w:bCs/>
          <w:lang w:val="es-SV"/>
        </w:rPr>
        <w:tab/>
      </w:r>
      <w:r w:rsidR="0069218C" w:rsidRPr="0069218C">
        <w:rPr>
          <w:bCs/>
          <w:lang w:val="es-SV"/>
        </w:rPr>
        <w:t>c)</w:t>
      </w:r>
      <w:r w:rsidR="001878DA">
        <w:rPr>
          <w:bCs/>
          <w:lang w:val="es-SV"/>
        </w:rPr>
        <w:t>:</w:t>
      </w:r>
      <w:r w:rsidR="0069218C" w:rsidRPr="0069218C">
        <w:rPr>
          <w:bCs/>
          <w:lang w:val="es-SV"/>
        </w:rPr>
        <w:t xml:space="preserve"> La Constitución de la República de El Salvador en su Artículo 2 garantiza el derecho al honor, a la intimidad personal, familiar, a la integridad física y moral. Actualmente, en la legislación salvadoreña, la excepción a la obligación de denuncia, bajo el amparo del secreto profesional, se recoge en el artículo 265.2 del Código Procesal Penal. </w:t>
      </w:r>
    </w:p>
    <w:p w14:paraId="0099C5E5" w14:textId="50107821" w:rsidR="0069218C" w:rsidRPr="0069218C" w:rsidRDefault="00C44B04" w:rsidP="001C2C73">
      <w:pPr>
        <w:pStyle w:val="SingleTxtG"/>
        <w:tabs>
          <w:tab w:val="clear" w:pos="1701"/>
          <w:tab w:val="clear" w:pos="2268"/>
          <w:tab w:val="clear" w:pos="2835"/>
        </w:tabs>
        <w:rPr>
          <w:bCs/>
          <w:lang w:val="es-SV"/>
        </w:rPr>
      </w:pPr>
      <w:r w:rsidRPr="0069218C">
        <w:rPr>
          <w:bCs/>
          <w:lang w:val="es-SV"/>
        </w:rPr>
        <w:t>102.</w:t>
      </w:r>
      <w:r w:rsidRPr="0069218C">
        <w:rPr>
          <w:bCs/>
          <w:lang w:val="es-SV"/>
        </w:rPr>
        <w:tab/>
      </w:r>
      <w:r w:rsidR="0069218C" w:rsidRPr="0069218C">
        <w:rPr>
          <w:bCs/>
          <w:lang w:val="es-SV"/>
        </w:rPr>
        <w:t xml:space="preserve">En El Salvador, el abordaje a las mujeres que enfrentan problemas obstétricos se realiza basándose principalmente en las orientaciones dictadas por lineamientos técnicos y guías del Ministerio de Salud de El Salvador, que no contemplan la denuncia de mujeres con </w:t>
      </w:r>
      <w:r w:rsidR="0069218C" w:rsidRPr="0069218C">
        <w:rPr>
          <w:bCs/>
          <w:lang w:val="es-SV"/>
        </w:rPr>
        <w:lastRenderedPageBreak/>
        <w:t xml:space="preserve">complicaciones obstétricas, por parte del personal médico, ya que las complicaciones obstétricas no constituyen un delito en El Salvador. </w:t>
      </w:r>
    </w:p>
    <w:p w14:paraId="2649A04F" w14:textId="24B85E90" w:rsidR="0069218C" w:rsidRPr="0069218C" w:rsidRDefault="00C44B04" w:rsidP="001C2C73">
      <w:pPr>
        <w:pStyle w:val="SingleTxtG"/>
        <w:tabs>
          <w:tab w:val="clear" w:pos="1701"/>
          <w:tab w:val="clear" w:pos="2268"/>
          <w:tab w:val="clear" w:pos="2835"/>
        </w:tabs>
        <w:rPr>
          <w:bCs/>
          <w:lang w:val="es-SV"/>
        </w:rPr>
      </w:pPr>
      <w:r w:rsidRPr="0069218C">
        <w:rPr>
          <w:bCs/>
          <w:lang w:val="es-SV"/>
        </w:rPr>
        <w:t>103.</w:t>
      </w:r>
      <w:r w:rsidRPr="0069218C">
        <w:rPr>
          <w:bCs/>
          <w:lang w:val="es-SV"/>
        </w:rPr>
        <w:tab/>
      </w:r>
      <w:r w:rsidR="0069218C" w:rsidRPr="0069218C">
        <w:rPr>
          <w:bCs/>
          <w:lang w:val="es-SV"/>
        </w:rPr>
        <w:t xml:space="preserve">La legislación actual en relación con el aborto en El Salvador se aplica con la disposición prevista en el Art.1 de la Constitución de la República. </w:t>
      </w:r>
    </w:p>
    <w:p w14:paraId="7197CECD" w14:textId="0DE852AD" w:rsidR="0069218C" w:rsidRPr="00E73FAF" w:rsidRDefault="00C44B04" w:rsidP="001C2C73">
      <w:pPr>
        <w:pStyle w:val="SingleTxtG"/>
        <w:tabs>
          <w:tab w:val="clear" w:pos="1701"/>
          <w:tab w:val="clear" w:pos="2268"/>
          <w:tab w:val="clear" w:pos="2835"/>
        </w:tabs>
        <w:rPr>
          <w:bCs/>
          <w:lang w:val="es-SV"/>
        </w:rPr>
      </w:pPr>
      <w:r w:rsidRPr="00E73FAF">
        <w:rPr>
          <w:bCs/>
          <w:lang w:val="es-SV"/>
        </w:rPr>
        <w:t>104.</w:t>
      </w:r>
      <w:r w:rsidRPr="00E73FAF">
        <w:rPr>
          <w:bCs/>
          <w:lang w:val="es-SV"/>
        </w:rPr>
        <w:tab/>
      </w:r>
      <w:r w:rsidR="0069218C" w:rsidRPr="0069218C">
        <w:rPr>
          <w:bCs/>
          <w:lang w:val="es-SV"/>
        </w:rPr>
        <w:t>De igual manera, se informa al Comité que el tema no está en discusión, en el marco del proceso de propuestas de reformas a la Constitución de la República que está siendo trabajada.</w:t>
      </w:r>
    </w:p>
    <w:p w14:paraId="67E5744C" w14:textId="0DB2580B" w:rsidR="001145BC" w:rsidRDefault="00C44B04" w:rsidP="001C2C73">
      <w:pPr>
        <w:pStyle w:val="SingleTxtG"/>
        <w:tabs>
          <w:tab w:val="clear" w:pos="1701"/>
          <w:tab w:val="clear" w:pos="2268"/>
          <w:tab w:val="clear" w:pos="2835"/>
        </w:tabs>
        <w:rPr>
          <w:bCs/>
        </w:rPr>
      </w:pPr>
      <w:r>
        <w:rPr>
          <w:bCs/>
        </w:rPr>
        <w:t>105.</w:t>
      </w:r>
      <w:r>
        <w:rPr>
          <w:bCs/>
        </w:rPr>
        <w:tab/>
      </w:r>
      <w:r w:rsidR="0069218C" w:rsidRPr="00E73FAF">
        <w:rPr>
          <w:bCs/>
        </w:rPr>
        <w:t xml:space="preserve">A </w:t>
      </w:r>
      <w:r w:rsidR="0069218C" w:rsidRPr="00E73FAF">
        <w:rPr>
          <w:bCs/>
          <w:lang w:val="es-SV"/>
        </w:rPr>
        <w:t>través</w:t>
      </w:r>
      <w:r w:rsidR="0069218C" w:rsidRPr="00E73FAF">
        <w:rPr>
          <w:bCs/>
        </w:rPr>
        <w:t xml:space="preserve"> de un esfuerzo interinstitucional e intersectorial, en noviembre de 2017 se lanzó la Estrategia Nacional Intersectorial de Prevención del Embarazo en Niñas y Adolescentes (ENIPENA) 2017-2027</w:t>
      </w:r>
      <w:r w:rsidR="0069218C" w:rsidRPr="00E73FAF">
        <w:rPr>
          <w:bCs/>
          <w:vertAlign w:val="superscript"/>
          <w:lang w:val="en-US"/>
        </w:rPr>
        <w:footnoteReference w:id="9"/>
      </w:r>
      <w:r w:rsidR="0069218C" w:rsidRPr="00E73FAF">
        <w:rPr>
          <w:bCs/>
        </w:rPr>
        <w:t>, cuyo objetivo es el abordaje integral y coordinado de esta temática, la misma define tres ejes de intervención que se ejecutan en 25 municipios priorizados: a) Prevención</w:t>
      </w:r>
      <w:r w:rsidR="0069218C" w:rsidRPr="0069218C">
        <w:rPr>
          <w:bCs/>
        </w:rPr>
        <w:t>; b) Protección especial, acceso a la justicia y restitución de derechos y; c) Gestión del conocimiento; desarrollados en cinco objetivos estratégicos que buscan incidir en la garantía de la protección de los derechos de las niñas y las adolescentes.</w:t>
      </w:r>
    </w:p>
    <w:p w14:paraId="68AB821D" w14:textId="6F4D90A1" w:rsidR="001145BC" w:rsidRPr="009C4946" w:rsidRDefault="00C44B04" w:rsidP="001C2C73">
      <w:pPr>
        <w:pStyle w:val="SingleTxtG"/>
        <w:tabs>
          <w:tab w:val="clear" w:pos="1701"/>
          <w:tab w:val="clear" w:pos="2268"/>
          <w:tab w:val="clear" w:pos="2835"/>
        </w:tabs>
        <w:rPr>
          <w:bCs/>
        </w:rPr>
      </w:pPr>
      <w:r w:rsidRPr="009C4946">
        <w:rPr>
          <w:bCs/>
        </w:rPr>
        <w:t>106.</w:t>
      </w:r>
      <w:r w:rsidRPr="009C4946">
        <w:rPr>
          <w:bCs/>
        </w:rPr>
        <w:tab/>
      </w:r>
      <w:r w:rsidR="0069218C" w:rsidRPr="0069218C">
        <w:rPr>
          <w:bCs/>
        </w:rPr>
        <w:t xml:space="preserve">El ISDEMU ejecuta el proyecto “Apoyo a la Implementación de la Estrategia Nacional </w:t>
      </w:r>
      <w:r w:rsidR="0069218C" w:rsidRPr="001145BC">
        <w:rPr>
          <w:bCs/>
          <w:lang w:val="es-SV"/>
        </w:rPr>
        <w:t>Intersectorial</w:t>
      </w:r>
      <w:r w:rsidR="0069218C" w:rsidRPr="0069218C">
        <w:rPr>
          <w:bCs/>
        </w:rPr>
        <w:t xml:space="preserve"> de Prevención de Embarazo en Niñas y Adolescentes”, en los departamentos de </w:t>
      </w:r>
      <w:r w:rsidR="0069218C" w:rsidRPr="009C4946">
        <w:rPr>
          <w:bCs/>
        </w:rPr>
        <w:t>Sonsonate y La Libertad, orientado a la reducción del embarazo en niñas y en adolescentes con intervenciones intersectoriales articuladas.</w:t>
      </w:r>
    </w:p>
    <w:p w14:paraId="16AB9211" w14:textId="411C21E8" w:rsidR="001145BC" w:rsidRPr="009C4946" w:rsidRDefault="00C44B04" w:rsidP="001C2C73">
      <w:pPr>
        <w:pStyle w:val="SingleTxtG"/>
        <w:tabs>
          <w:tab w:val="clear" w:pos="1701"/>
          <w:tab w:val="clear" w:pos="2268"/>
          <w:tab w:val="clear" w:pos="2835"/>
        </w:tabs>
        <w:rPr>
          <w:bCs/>
        </w:rPr>
      </w:pPr>
      <w:r w:rsidRPr="009C4946">
        <w:rPr>
          <w:bCs/>
        </w:rPr>
        <w:t>107.</w:t>
      </w:r>
      <w:r w:rsidRPr="009C4946">
        <w:rPr>
          <w:bCs/>
        </w:rPr>
        <w:tab/>
      </w:r>
      <w:r w:rsidR="0069218C" w:rsidRPr="009C4946">
        <w:rPr>
          <w:bCs/>
        </w:rPr>
        <w:t>Con la implementación de la Estrategia Nacional Intersectorial de Prevención del Embarazo en Niñas y en Adolescentes (ENIPENA), del periodo 2019-2020, el CONNA, reporta de diciembre 2018 a diciembre 2019, avances de las instituciones y entidades vinculadas a su ejecución. Anexos 16 y 17.</w:t>
      </w:r>
    </w:p>
    <w:p w14:paraId="4F0F4F7F" w14:textId="516D3057" w:rsidR="001145BC" w:rsidRPr="009C4946" w:rsidRDefault="00C44B04" w:rsidP="001C2C73">
      <w:pPr>
        <w:pStyle w:val="SingleTxtG"/>
        <w:tabs>
          <w:tab w:val="clear" w:pos="1701"/>
          <w:tab w:val="clear" w:pos="2268"/>
          <w:tab w:val="clear" w:pos="2835"/>
        </w:tabs>
        <w:rPr>
          <w:bCs/>
        </w:rPr>
      </w:pPr>
      <w:r w:rsidRPr="009C4946">
        <w:rPr>
          <w:bCs/>
        </w:rPr>
        <w:t>108.</w:t>
      </w:r>
      <w:r w:rsidRPr="009C4946">
        <w:rPr>
          <w:bCs/>
        </w:rPr>
        <w:tab/>
      </w:r>
      <w:r w:rsidR="0069218C" w:rsidRPr="009C4946">
        <w:rPr>
          <w:bCs/>
        </w:rPr>
        <w:t xml:space="preserve">En el marco de resultados de la ENIPENA se desarrollan acciones interinstitucionales e </w:t>
      </w:r>
      <w:r w:rsidR="0069218C" w:rsidRPr="009C4946">
        <w:rPr>
          <w:bCs/>
          <w:lang w:val="es-SV"/>
        </w:rPr>
        <w:t>intersectoriales</w:t>
      </w:r>
      <w:r w:rsidR="0069218C" w:rsidRPr="009C4946">
        <w:rPr>
          <w:bCs/>
        </w:rPr>
        <w:t xml:space="preserve"> que contribuyen a la prevención del embarazo, a las uniones y a la violencia sexual en las niñas y en las adolescentes establecidas en el eje de intervención 1. Anexo</w:t>
      </w:r>
      <w:r w:rsidR="00296C93">
        <w:rPr>
          <w:bCs/>
        </w:rPr>
        <w:t>s</w:t>
      </w:r>
      <w:r w:rsidR="0069218C" w:rsidRPr="009C4946">
        <w:rPr>
          <w:bCs/>
        </w:rPr>
        <w:t xml:space="preserve"> 18 y</w:t>
      </w:r>
      <w:r w:rsidR="00405EFC">
        <w:rPr>
          <w:bCs/>
        </w:rPr>
        <w:t> </w:t>
      </w:r>
      <w:r w:rsidR="0069218C" w:rsidRPr="009C4946">
        <w:rPr>
          <w:bCs/>
        </w:rPr>
        <w:t>19.</w:t>
      </w:r>
    </w:p>
    <w:p w14:paraId="19699341" w14:textId="4A16FFC9" w:rsidR="001145BC" w:rsidRPr="009C4946" w:rsidRDefault="00C44B04" w:rsidP="001C2C73">
      <w:pPr>
        <w:pStyle w:val="SingleTxtG"/>
        <w:tabs>
          <w:tab w:val="clear" w:pos="1701"/>
          <w:tab w:val="clear" w:pos="2268"/>
          <w:tab w:val="clear" w:pos="2835"/>
        </w:tabs>
        <w:rPr>
          <w:bCs/>
        </w:rPr>
      </w:pPr>
      <w:r w:rsidRPr="009C4946">
        <w:rPr>
          <w:bCs/>
        </w:rPr>
        <w:t>109.</w:t>
      </w:r>
      <w:r w:rsidRPr="009C4946">
        <w:rPr>
          <w:bCs/>
        </w:rPr>
        <w:tab/>
      </w:r>
      <w:r w:rsidR="0069218C" w:rsidRPr="009C4946">
        <w:rPr>
          <w:bCs/>
        </w:rPr>
        <w:t>En los departamentos de Cabañas y Usulután respectivamente, el CONNA junto a los Comités Locales de Derecho, desarrollo un diplomado Nuevas Masculinidades y; con el apoyo de la AECID, inicio procesos formativos sobre masculinidades y Educación Integral de la Sexualidad y Derechos Sexuales y Reproductivos.</w:t>
      </w:r>
    </w:p>
    <w:p w14:paraId="0242EF79" w14:textId="2C3A0D25" w:rsidR="001145BC" w:rsidRPr="009C4946" w:rsidRDefault="00C44B04" w:rsidP="001C2C73">
      <w:pPr>
        <w:pStyle w:val="SingleTxtG"/>
        <w:tabs>
          <w:tab w:val="clear" w:pos="1701"/>
          <w:tab w:val="clear" w:pos="2268"/>
          <w:tab w:val="clear" w:pos="2835"/>
        </w:tabs>
        <w:rPr>
          <w:bCs/>
        </w:rPr>
      </w:pPr>
      <w:r w:rsidRPr="009C4946">
        <w:rPr>
          <w:bCs/>
        </w:rPr>
        <w:t>110.</w:t>
      </w:r>
      <w:r w:rsidRPr="009C4946">
        <w:rPr>
          <w:bCs/>
        </w:rPr>
        <w:tab/>
      </w:r>
      <w:r w:rsidR="0069218C" w:rsidRPr="009C4946">
        <w:rPr>
          <w:bCs/>
        </w:rPr>
        <w:t xml:space="preserve">El </w:t>
      </w:r>
      <w:r w:rsidR="0069218C" w:rsidRPr="009C4946">
        <w:rPr>
          <w:bCs/>
          <w:lang w:val="es-SV"/>
        </w:rPr>
        <w:t>ISDEMU</w:t>
      </w:r>
      <w:r w:rsidR="0069218C" w:rsidRPr="009C4946">
        <w:rPr>
          <w:bCs/>
        </w:rPr>
        <w:t xml:space="preserve"> ejecutó cursos formativos en Igualdad Sustantiva, Vida Libre de Violencia, Nuevas Masculinidades, salud sexual y reproductiva en diferentes municipios con el objetivo de fortalecer las capacidades del funcionariado público.</w:t>
      </w:r>
    </w:p>
    <w:p w14:paraId="5CE993AD" w14:textId="4304F484" w:rsidR="001145BC" w:rsidRPr="009C4946" w:rsidRDefault="00C44B04" w:rsidP="001C2C73">
      <w:pPr>
        <w:pStyle w:val="SingleTxtG"/>
        <w:tabs>
          <w:tab w:val="clear" w:pos="1701"/>
          <w:tab w:val="clear" w:pos="2268"/>
          <w:tab w:val="clear" w:pos="2835"/>
        </w:tabs>
        <w:rPr>
          <w:bCs/>
        </w:rPr>
      </w:pPr>
      <w:r w:rsidRPr="009C4946">
        <w:rPr>
          <w:bCs/>
        </w:rPr>
        <w:t>111.</w:t>
      </w:r>
      <w:r w:rsidRPr="009C4946">
        <w:rPr>
          <w:bCs/>
        </w:rPr>
        <w:tab/>
      </w:r>
      <w:r w:rsidR="0069218C" w:rsidRPr="009C4946">
        <w:rPr>
          <w:bCs/>
        </w:rPr>
        <w:t xml:space="preserve">Según datos del MINSAL en el 2016 (año previo a la implementación de la ENIPENA) se </w:t>
      </w:r>
      <w:r w:rsidR="0069218C" w:rsidRPr="009C4946">
        <w:rPr>
          <w:bCs/>
          <w:lang w:val="es-SV"/>
        </w:rPr>
        <w:t>reportó</w:t>
      </w:r>
      <w:r w:rsidR="0069218C" w:rsidRPr="009C4946">
        <w:rPr>
          <w:bCs/>
        </w:rPr>
        <w:t xml:space="preserve"> un total de 11</w:t>
      </w:r>
      <w:r w:rsidR="00E738FF">
        <w:rPr>
          <w:bCs/>
        </w:rPr>
        <w:t>.</w:t>
      </w:r>
      <w:r w:rsidR="0069218C" w:rsidRPr="009C4946">
        <w:rPr>
          <w:bCs/>
        </w:rPr>
        <w:t>162 inscripciones prenatales de niñas y adolescentes de 10 a 17 años, del total anterior, el 89</w:t>
      </w:r>
      <w:r w:rsidR="00E738FF">
        <w:rPr>
          <w:bCs/>
        </w:rPr>
        <w:t>,</w:t>
      </w:r>
      <w:r w:rsidR="0069218C" w:rsidRPr="009C4946">
        <w:rPr>
          <w:bCs/>
        </w:rPr>
        <w:t>55</w:t>
      </w:r>
      <w:r w:rsidR="001043C1">
        <w:rPr>
          <w:bCs/>
        </w:rPr>
        <w:t> %</w:t>
      </w:r>
      <w:r w:rsidR="0069218C" w:rsidRPr="009C4946">
        <w:rPr>
          <w:bCs/>
        </w:rPr>
        <w:t xml:space="preserve"> corresponde a adolescentes de 15 a 17 años, y el 10</w:t>
      </w:r>
      <w:r w:rsidR="00E738FF">
        <w:rPr>
          <w:bCs/>
        </w:rPr>
        <w:t>,</w:t>
      </w:r>
      <w:r w:rsidR="0069218C" w:rsidRPr="009C4946">
        <w:rPr>
          <w:bCs/>
        </w:rPr>
        <w:t>45</w:t>
      </w:r>
      <w:r w:rsidR="001043C1">
        <w:rPr>
          <w:bCs/>
        </w:rPr>
        <w:t> %</w:t>
      </w:r>
      <w:r w:rsidR="0069218C" w:rsidRPr="009C4946">
        <w:rPr>
          <w:bCs/>
        </w:rPr>
        <w:t xml:space="preserve"> corresponde a niñas y adolescentes entre 10 y 14 años. Anexo 19.</w:t>
      </w:r>
    </w:p>
    <w:p w14:paraId="07D33FD3" w14:textId="1F72F98C" w:rsidR="001145BC" w:rsidRPr="009C4946" w:rsidRDefault="00C44B04" w:rsidP="001C2C73">
      <w:pPr>
        <w:pStyle w:val="SingleTxtG"/>
        <w:tabs>
          <w:tab w:val="clear" w:pos="1701"/>
          <w:tab w:val="clear" w:pos="2268"/>
          <w:tab w:val="clear" w:pos="2835"/>
        </w:tabs>
        <w:rPr>
          <w:bCs/>
        </w:rPr>
      </w:pPr>
      <w:r w:rsidRPr="009C4946">
        <w:rPr>
          <w:bCs/>
        </w:rPr>
        <w:t>112.</w:t>
      </w:r>
      <w:r w:rsidRPr="009C4946">
        <w:rPr>
          <w:bCs/>
        </w:rPr>
        <w:tab/>
      </w:r>
      <w:r w:rsidR="0069218C" w:rsidRPr="0069218C">
        <w:rPr>
          <w:bCs/>
        </w:rPr>
        <w:t>Para el año 2020, MINSAL reportó un total de 5</w:t>
      </w:r>
      <w:r w:rsidR="00E738FF">
        <w:rPr>
          <w:bCs/>
        </w:rPr>
        <w:t>.</w:t>
      </w:r>
      <w:r w:rsidR="0069218C" w:rsidRPr="0069218C">
        <w:rPr>
          <w:bCs/>
        </w:rPr>
        <w:t xml:space="preserve">912 inscripciones prenatales de niñas y </w:t>
      </w:r>
      <w:r w:rsidR="0069218C" w:rsidRPr="001145BC">
        <w:rPr>
          <w:bCs/>
          <w:lang w:val="es-SV"/>
        </w:rPr>
        <w:t>adolescentes</w:t>
      </w:r>
      <w:r w:rsidR="0069218C" w:rsidRPr="0069218C">
        <w:rPr>
          <w:bCs/>
        </w:rPr>
        <w:t xml:space="preserve"> de 10 a 17 años; un 47</w:t>
      </w:r>
      <w:r w:rsidR="00E738FF">
        <w:rPr>
          <w:bCs/>
        </w:rPr>
        <w:t>,</w:t>
      </w:r>
      <w:r w:rsidR="0069218C" w:rsidRPr="0069218C">
        <w:rPr>
          <w:bCs/>
        </w:rPr>
        <w:t>03</w:t>
      </w:r>
      <w:r w:rsidR="001043C1">
        <w:rPr>
          <w:bCs/>
        </w:rPr>
        <w:t> %</w:t>
      </w:r>
      <w:r w:rsidR="0069218C" w:rsidRPr="0069218C">
        <w:rPr>
          <w:bCs/>
        </w:rPr>
        <w:t xml:space="preserve"> menos en comparación al año 2016. De dicho total, el 91</w:t>
      </w:r>
      <w:r w:rsidR="00E738FF">
        <w:rPr>
          <w:bCs/>
        </w:rPr>
        <w:t>,</w:t>
      </w:r>
      <w:r w:rsidR="0069218C" w:rsidRPr="0069218C">
        <w:rPr>
          <w:bCs/>
        </w:rPr>
        <w:t>49</w:t>
      </w:r>
      <w:r w:rsidR="001043C1">
        <w:rPr>
          <w:bCs/>
        </w:rPr>
        <w:t> %</w:t>
      </w:r>
      <w:r w:rsidR="0069218C" w:rsidRPr="0069218C">
        <w:rPr>
          <w:bCs/>
        </w:rPr>
        <w:t xml:space="preserve"> corresponde a adolescentes de 15 a 17 años, y el 8</w:t>
      </w:r>
      <w:r w:rsidR="00E738FF">
        <w:rPr>
          <w:bCs/>
        </w:rPr>
        <w:t>,</w:t>
      </w:r>
      <w:r w:rsidR="0069218C" w:rsidRPr="0069218C">
        <w:rPr>
          <w:bCs/>
        </w:rPr>
        <w:t>51</w:t>
      </w:r>
      <w:r w:rsidR="001043C1">
        <w:rPr>
          <w:bCs/>
        </w:rPr>
        <w:t> %</w:t>
      </w:r>
      <w:r w:rsidR="0069218C" w:rsidRPr="0069218C">
        <w:rPr>
          <w:bCs/>
        </w:rPr>
        <w:t xml:space="preserve"> corresponde a niñas </w:t>
      </w:r>
      <w:r w:rsidR="0069218C" w:rsidRPr="009C4946">
        <w:rPr>
          <w:bCs/>
        </w:rPr>
        <w:t>y adolescentes entre 10 y 14 años. Anexo 20.</w:t>
      </w:r>
    </w:p>
    <w:p w14:paraId="4E444251" w14:textId="264716A2" w:rsidR="001145BC" w:rsidRPr="009C4946" w:rsidRDefault="00C44B04" w:rsidP="001C2C73">
      <w:pPr>
        <w:pStyle w:val="SingleTxtG"/>
        <w:tabs>
          <w:tab w:val="clear" w:pos="1701"/>
          <w:tab w:val="clear" w:pos="2268"/>
          <w:tab w:val="clear" w:pos="2835"/>
        </w:tabs>
        <w:rPr>
          <w:bCs/>
        </w:rPr>
      </w:pPr>
      <w:r w:rsidRPr="009C4946">
        <w:rPr>
          <w:bCs/>
        </w:rPr>
        <w:t>113.</w:t>
      </w:r>
      <w:r w:rsidRPr="009C4946">
        <w:rPr>
          <w:bCs/>
        </w:rPr>
        <w:tab/>
      </w:r>
      <w:r w:rsidR="0069218C" w:rsidRPr="009C4946">
        <w:rPr>
          <w:bCs/>
        </w:rPr>
        <w:t xml:space="preserve">En cuanto a los casos iniciados como delitos de aborto consentido y propio, se reporta la </w:t>
      </w:r>
      <w:r w:rsidR="0069218C" w:rsidRPr="009C4946">
        <w:rPr>
          <w:bCs/>
          <w:lang w:val="es-SV"/>
        </w:rPr>
        <w:t>existencia</w:t>
      </w:r>
      <w:r w:rsidR="0069218C" w:rsidRPr="009C4946">
        <w:rPr>
          <w:bCs/>
        </w:rPr>
        <w:t xml:space="preserve"> de solamente cuatro casos que están en la etapa de investigación. Anexo 21.</w:t>
      </w:r>
    </w:p>
    <w:p w14:paraId="2BB0EDE6" w14:textId="6AF724AE" w:rsidR="001145BC" w:rsidRPr="009C4946" w:rsidRDefault="00C44B04" w:rsidP="001C2C73">
      <w:pPr>
        <w:pStyle w:val="SingleTxtG"/>
        <w:tabs>
          <w:tab w:val="clear" w:pos="1701"/>
          <w:tab w:val="clear" w:pos="2268"/>
          <w:tab w:val="clear" w:pos="2835"/>
        </w:tabs>
        <w:rPr>
          <w:bCs/>
          <w:lang w:val="es-SV"/>
        </w:rPr>
      </w:pPr>
      <w:r w:rsidRPr="009C4946">
        <w:rPr>
          <w:bCs/>
          <w:lang w:val="es-SV"/>
        </w:rPr>
        <w:t>114.</w:t>
      </w:r>
      <w:r w:rsidRPr="009C4946">
        <w:rPr>
          <w:bCs/>
          <w:lang w:val="es-SV"/>
        </w:rPr>
        <w:tab/>
      </w:r>
      <w:r w:rsidR="0069218C" w:rsidRPr="009C4946">
        <w:rPr>
          <w:bCs/>
          <w:lang w:val="es-SV"/>
        </w:rPr>
        <w:t>En relación a los servicios de salud para personas afectadas</w:t>
      </w:r>
      <w:r w:rsidR="009C4946">
        <w:rPr>
          <w:bCs/>
          <w:lang w:val="es-SV"/>
        </w:rPr>
        <w:t xml:space="preserve"> </w:t>
      </w:r>
      <w:r w:rsidR="0069218C" w:rsidRPr="009C4946">
        <w:rPr>
          <w:bCs/>
          <w:lang w:val="es-SV"/>
        </w:rPr>
        <w:t>por las drogas, se prestan en el primer nivel de la red del Sistema Nacional de Salud y en especialidades en los Centros de prevención y tratamiento de adicciones de FOSALUD y el Hospital Nacional Psiquiátrico y Hospital Policlínico Arce del ISSS.</w:t>
      </w:r>
    </w:p>
    <w:p w14:paraId="3DA36D8B" w14:textId="3A4F94FC" w:rsidR="001145BC" w:rsidRPr="009C4946" w:rsidRDefault="00C44B04" w:rsidP="001C2C73">
      <w:pPr>
        <w:pStyle w:val="SingleTxtG"/>
        <w:tabs>
          <w:tab w:val="clear" w:pos="1701"/>
          <w:tab w:val="clear" w:pos="2268"/>
          <w:tab w:val="clear" w:pos="2835"/>
        </w:tabs>
        <w:rPr>
          <w:bCs/>
          <w:lang w:val="es-SV"/>
        </w:rPr>
      </w:pPr>
      <w:r w:rsidRPr="009C4946">
        <w:rPr>
          <w:bCs/>
          <w:lang w:val="es-SV"/>
        </w:rPr>
        <w:lastRenderedPageBreak/>
        <w:t>115.</w:t>
      </w:r>
      <w:r w:rsidRPr="009C4946">
        <w:rPr>
          <w:bCs/>
          <w:lang w:val="es-SV"/>
        </w:rPr>
        <w:tab/>
      </w:r>
      <w:r w:rsidR="0069218C" w:rsidRPr="009C4946">
        <w:rPr>
          <w:bCs/>
          <w:lang w:val="es-SV"/>
        </w:rPr>
        <w:t>En 2019 se registr</w:t>
      </w:r>
      <w:r w:rsidR="00E738FF">
        <w:rPr>
          <w:bCs/>
          <w:lang w:val="es-SV"/>
        </w:rPr>
        <w:t>aron</w:t>
      </w:r>
      <w:r w:rsidR="0069218C" w:rsidRPr="009C4946">
        <w:rPr>
          <w:bCs/>
          <w:lang w:val="es-SV"/>
        </w:rPr>
        <w:t xml:space="preserve"> 6</w:t>
      </w:r>
      <w:r w:rsidR="00E738FF">
        <w:rPr>
          <w:bCs/>
          <w:lang w:val="es-SV"/>
        </w:rPr>
        <w:t>.</w:t>
      </w:r>
      <w:r w:rsidR="0069218C" w:rsidRPr="009C4946">
        <w:rPr>
          <w:bCs/>
          <w:lang w:val="es-SV"/>
        </w:rPr>
        <w:t>568 casos menos que en 2018 y se brind</w:t>
      </w:r>
      <w:r w:rsidR="00E738FF">
        <w:rPr>
          <w:bCs/>
          <w:lang w:val="es-SV"/>
        </w:rPr>
        <w:t>ó</w:t>
      </w:r>
      <w:r w:rsidR="0069218C" w:rsidRPr="009C4946">
        <w:rPr>
          <w:bCs/>
          <w:lang w:val="es-SV"/>
        </w:rPr>
        <w:t xml:space="preserve"> atención a casos de personas con trastornos mentales y del comportamiento debido en primer lugar al uso de alcohol, seguido de tabaco, uso de múltiples drogas y de marihuana. Anexo 22.</w:t>
      </w:r>
    </w:p>
    <w:p w14:paraId="41AE30EF" w14:textId="227D73F9" w:rsidR="001145BC" w:rsidRPr="009C4946" w:rsidRDefault="00C44B04" w:rsidP="001C2C73">
      <w:pPr>
        <w:pStyle w:val="SingleTxtG"/>
        <w:tabs>
          <w:tab w:val="clear" w:pos="1701"/>
          <w:tab w:val="clear" w:pos="2268"/>
          <w:tab w:val="clear" w:pos="2835"/>
        </w:tabs>
        <w:rPr>
          <w:bCs/>
          <w:lang w:val="es-SV"/>
        </w:rPr>
      </w:pPr>
      <w:r w:rsidRPr="009C4946">
        <w:rPr>
          <w:bCs/>
          <w:lang w:val="es-SV"/>
        </w:rPr>
        <w:t>116.</w:t>
      </w:r>
      <w:r w:rsidRPr="009C4946">
        <w:rPr>
          <w:bCs/>
          <w:lang w:val="es-SV"/>
        </w:rPr>
        <w:tab/>
      </w:r>
      <w:r w:rsidR="0069218C" w:rsidRPr="009C4946">
        <w:rPr>
          <w:bCs/>
          <w:lang w:val="es-SV"/>
        </w:rPr>
        <w:t>Como medidas de prevención en 2020, el MINEDUCYT, desarrollo programas en la televisión educativa, guías metodológicas, orientadas a adoptar estilos de vida saludables, libres de consumo de tabaco, alcohol y otras drogas.</w:t>
      </w:r>
    </w:p>
    <w:p w14:paraId="52980695" w14:textId="5F736771" w:rsidR="001145BC" w:rsidRPr="009C4946" w:rsidRDefault="00C44B04" w:rsidP="001C2C73">
      <w:pPr>
        <w:pStyle w:val="SingleTxtG"/>
        <w:tabs>
          <w:tab w:val="clear" w:pos="1701"/>
          <w:tab w:val="clear" w:pos="2268"/>
          <w:tab w:val="clear" w:pos="2835"/>
        </w:tabs>
        <w:rPr>
          <w:bCs/>
          <w:lang w:val="es-SV"/>
        </w:rPr>
      </w:pPr>
      <w:r w:rsidRPr="009C4946">
        <w:rPr>
          <w:bCs/>
          <w:lang w:val="es-SV"/>
        </w:rPr>
        <w:t>117.</w:t>
      </w:r>
      <w:r w:rsidRPr="009C4946">
        <w:rPr>
          <w:bCs/>
          <w:lang w:val="es-SV"/>
        </w:rPr>
        <w:tab/>
      </w:r>
      <w:r w:rsidR="0069218C" w:rsidRPr="009C4946">
        <w:rPr>
          <w:bCs/>
          <w:lang w:val="es-SV"/>
        </w:rPr>
        <w:t>En este mismo año, se ejecutaron</w:t>
      </w:r>
      <w:r w:rsidR="009C4946">
        <w:rPr>
          <w:bCs/>
          <w:lang w:val="es-SV"/>
        </w:rPr>
        <w:t xml:space="preserve"> </w:t>
      </w:r>
      <w:r w:rsidR="0069218C" w:rsidRPr="009C4946">
        <w:rPr>
          <w:bCs/>
          <w:lang w:val="es-SV"/>
        </w:rPr>
        <w:t>2</w:t>
      </w:r>
      <w:r w:rsidR="00405EFC">
        <w:rPr>
          <w:bCs/>
          <w:lang w:val="es-SV"/>
        </w:rPr>
        <w:t>.</w:t>
      </w:r>
      <w:r w:rsidR="0069218C" w:rsidRPr="009C4946">
        <w:rPr>
          <w:bCs/>
          <w:lang w:val="es-SV"/>
        </w:rPr>
        <w:t>570 inspecciones de verificación para el control del tabaco; registrándose un incremento de 462</w:t>
      </w:r>
      <w:r w:rsidR="001043C1">
        <w:rPr>
          <w:bCs/>
          <w:lang w:val="es-SV"/>
        </w:rPr>
        <w:t> %</w:t>
      </w:r>
      <w:r w:rsidR="0069218C" w:rsidRPr="009C4946">
        <w:rPr>
          <w:bCs/>
          <w:lang w:val="es-SV"/>
        </w:rPr>
        <w:t>, respecto a 2019 (457 inspecciones); además se realizaron 2</w:t>
      </w:r>
      <w:r w:rsidR="00405EFC">
        <w:rPr>
          <w:bCs/>
          <w:lang w:val="es-SV"/>
        </w:rPr>
        <w:t>.</w:t>
      </w:r>
      <w:r w:rsidR="0069218C" w:rsidRPr="009C4946">
        <w:rPr>
          <w:bCs/>
          <w:lang w:val="es-SV"/>
        </w:rPr>
        <w:t>665 inspecciones sanitarias en supermercados, centros y locales comerciales.</w:t>
      </w:r>
    </w:p>
    <w:p w14:paraId="2D416017" w14:textId="275591CE" w:rsidR="001145BC" w:rsidRPr="009C4946" w:rsidRDefault="00C44B04" w:rsidP="001C2C73">
      <w:pPr>
        <w:pStyle w:val="SingleTxtG"/>
        <w:tabs>
          <w:tab w:val="clear" w:pos="1701"/>
          <w:tab w:val="clear" w:pos="2268"/>
          <w:tab w:val="clear" w:pos="2835"/>
        </w:tabs>
        <w:rPr>
          <w:bCs/>
          <w:lang w:val="es-SV"/>
        </w:rPr>
      </w:pPr>
      <w:r w:rsidRPr="009C4946">
        <w:rPr>
          <w:bCs/>
          <w:lang w:val="es-SV"/>
        </w:rPr>
        <w:t>118.</w:t>
      </w:r>
      <w:r w:rsidRPr="009C4946">
        <w:rPr>
          <w:bCs/>
          <w:lang w:val="es-SV"/>
        </w:rPr>
        <w:tab/>
      </w:r>
      <w:r w:rsidR="0069218C" w:rsidRPr="009C4946">
        <w:rPr>
          <w:bCs/>
          <w:lang w:val="es-SV"/>
        </w:rPr>
        <w:t>Se registraron 8</w:t>
      </w:r>
      <w:r w:rsidR="00405EFC">
        <w:rPr>
          <w:bCs/>
          <w:lang w:val="es-SV"/>
        </w:rPr>
        <w:t>.</w:t>
      </w:r>
      <w:r w:rsidR="0069218C" w:rsidRPr="009C4946">
        <w:rPr>
          <w:bCs/>
          <w:lang w:val="es-SV"/>
        </w:rPr>
        <w:t>463 casos nuevos de pacientes atendidos por problemas asociados al uso de sustancias psicoactivas, en 2020 y a consecuencia del confinamiento por COVID-19 y cierre de las consultas ambulatorias en la red nacional de salud, se registró una disminución del 39</w:t>
      </w:r>
      <w:r w:rsidR="00405EFC">
        <w:rPr>
          <w:bCs/>
          <w:lang w:val="es-SV"/>
        </w:rPr>
        <w:t>,</w:t>
      </w:r>
      <w:r w:rsidR="0069218C" w:rsidRPr="009C4946">
        <w:rPr>
          <w:bCs/>
          <w:lang w:val="es-SV"/>
        </w:rPr>
        <w:t>83</w:t>
      </w:r>
      <w:r w:rsidR="001043C1">
        <w:rPr>
          <w:bCs/>
          <w:lang w:val="es-SV"/>
        </w:rPr>
        <w:t> %</w:t>
      </w:r>
      <w:r w:rsidR="0069218C" w:rsidRPr="009C4946">
        <w:rPr>
          <w:bCs/>
          <w:lang w:val="es-SV"/>
        </w:rPr>
        <w:t xml:space="preserve"> (5</w:t>
      </w:r>
      <w:r w:rsidR="00405EFC">
        <w:rPr>
          <w:bCs/>
          <w:lang w:val="es-SV"/>
        </w:rPr>
        <w:t>.</w:t>
      </w:r>
      <w:r w:rsidR="0069218C" w:rsidRPr="009C4946">
        <w:rPr>
          <w:bCs/>
          <w:lang w:val="es-SV"/>
        </w:rPr>
        <w:t>602 casos) cifra inferior a los 14</w:t>
      </w:r>
      <w:r w:rsidR="00405EFC">
        <w:rPr>
          <w:bCs/>
          <w:lang w:val="es-SV"/>
        </w:rPr>
        <w:t>.</w:t>
      </w:r>
      <w:r w:rsidR="0069218C" w:rsidRPr="009C4946">
        <w:rPr>
          <w:bCs/>
          <w:lang w:val="es-SV"/>
        </w:rPr>
        <w:t>065 casos registrados en el año 2019. Anexo</w:t>
      </w:r>
      <w:r w:rsidR="00405EFC">
        <w:rPr>
          <w:bCs/>
          <w:lang w:val="es-SV"/>
        </w:rPr>
        <w:t> </w:t>
      </w:r>
      <w:r w:rsidR="0069218C" w:rsidRPr="009C4946">
        <w:rPr>
          <w:bCs/>
          <w:lang w:val="es-SV"/>
        </w:rPr>
        <w:t>23.</w:t>
      </w:r>
    </w:p>
    <w:p w14:paraId="401023A7" w14:textId="616E5A6D" w:rsidR="001145BC" w:rsidRPr="009C4946" w:rsidRDefault="00C44B04" w:rsidP="001C2C73">
      <w:pPr>
        <w:pStyle w:val="SingleTxtG"/>
        <w:tabs>
          <w:tab w:val="clear" w:pos="1701"/>
          <w:tab w:val="clear" w:pos="2268"/>
          <w:tab w:val="clear" w:pos="2835"/>
        </w:tabs>
        <w:rPr>
          <w:bCs/>
          <w:lang w:val="es-SV"/>
        </w:rPr>
      </w:pPr>
      <w:r w:rsidRPr="009C4946">
        <w:rPr>
          <w:bCs/>
          <w:lang w:val="es-SV"/>
        </w:rPr>
        <w:t>119.</w:t>
      </w:r>
      <w:r w:rsidRPr="009C4946">
        <w:rPr>
          <w:bCs/>
          <w:lang w:val="es-SV"/>
        </w:rPr>
        <w:tab/>
      </w:r>
      <w:r w:rsidR="0069218C" w:rsidRPr="009C4946">
        <w:rPr>
          <w:bCs/>
          <w:lang w:val="es-SV"/>
        </w:rPr>
        <w:t>La principal causa de consumo de sustancias psicoactivas atendidos en 2020, fue por uso de alcohol, un 88</w:t>
      </w:r>
      <w:r w:rsidR="00405EFC">
        <w:rPr>
          <w:bCs/>
          <w:lang w:val="es-SV"/>
        </w:rPr>
        <w:t>,</w:t>
      </w:r>
      <w:r w:rsidR="0069218C" w:rsidRPr="009C4946">
        <w:rPr>
          <w:bCs/>
          <w:lang w:val="es-SV"/>
        </w:rPr>
        <w:t>8</w:t>
      </w:r>
      <w:r w:rsidR="001043C1">
        <w:rPr>
          <w:bCs/>
          <w:lang w:val="es-SV"/>
        </w:rPr>
        <w:t> %</w:t>
      </w:r>
      <w:r w:rsidR="0069218C" w:rsidRPr="009C4946">
        <w:rPr>
          <w:bCs/>
          <w:lang w:val="es-SV"/>
        </w:rPr>
        <w:t xml:space="preserve"> (7</w:t>
      </w:r>
      <w:r w:rsidR="00405EFC">
        <w:rPr>
          <w:bCs/>
          <w:lang w:val="es-SV"/>
        </w:rPr>
        <w:t>.</w:t>
      </w:r>
      <w:r w:rsidR="0069218C" w:rsidRPr="009C4946">
        <w:rPr>
          <w:bCs/>
          <w:lang w:val="es-SV"/>
        </w:rPr>
        <w:t>514 casos) de pacientes atendidos; por tabaco un 5</w:t>
      </w:r>
      <w:r w:rsidR="00405EFC">
        <w:rPr>
          <w:bCs/>
          <w:lang w:val="es-SV"/>
        </w:rPr>
        <w:t>,</w:t>
      </w:r>
      <w:r w:rsidR="0069218C" w:rsidRPr="009C4946">
        <w:rPr>
          <w:bCs/>
          <w:lang w:val="es-SV"/>
        </w:rPr>
        <w:t>4</w:t>
      </w:r>
      <w:r w:rsidR="001043C1">
        <w:rPr>
          <w:bCs/>
          <w:lang w:val="es-SV"/>
        </w:rPr>
        <w:t> %</w:t>
      </w:r>
      <w:r w:rsidR="0069218C" w:rsidRPr="009C4946">
        <w:rPr>
          <w:bCs/>
          <w:lang w:val="es-SV"/>
        </w:rPr>
        <w:t>(456); por uso de múltiples drogas y SPA un 2</w:t>
      </w:r>
      <w:r w:rsidR="00405EFC">
        <w:rPr>
          <w:bCs/>
          <w:lang w:val="es-SV"/>
        </w:rPr>
        <w:t>,</w:t>
      </w:r>
      <w:r w:rsidR="0069218C" w:rsidRPr="009C4946">
        <w:rPr>
          <w:bCs/>
          <w:lang w:val="es-SV"/>
        </w:rPr>
        <w:t>5</w:t>
      </w:r>
      <w:r w:rsidR="001043C1">
        <w:rPr>
          <w:bCs/>
          <w:lang w:val="es-SV"/>
        </w:rPr>
        <w:t> %</w:t>
      </w:r>
      <w:r w:rsidR="00405EFC">
        <w:rPr>
          <w:bCs/>
          <w:lang w:val="es-SV"/>
        </w:rPr>
        <w:t xml:space="preserve"> </w:t>
      </w:r>
      <w:r w:rsidR="0069218C" w:rsidRPr="009C4946">
        <w:rPr>
          <w:bCs/>
          <w:lang w:val="es-SV"/>
        </w:rPr>
        <w:t>(210);</w:t>
      </w:r>
      <w:r w:rsidR="009C4946">
        <w:rPr>
          <w:bCs/>
          <w:lang w:val="es-SV"/>
        </w:rPr>
        <w:t xml:space="preserve"> </w:t>
      </w:r>
      <w:r w:rsidR="0069218C" w:rsidRPr="009C4946">
        <w:rPr>
          <w:bCs/>
          <w:lang w:val="es-SV"/>
        </w:rPr>
        <w:t>por marihuana el 1</w:t>
      </w:r>
      <w:r w:rsidR="00405EFC">
        <w:rPr>
          <w:bCs/>
          <w:lang w:val="es-SV"/>
        </w:rPr>
        <w:t>,</w:t>
      </w:r>
      <w:r w:rsidR="0069218C" w:rsidRPr="009C4946">
        <w:rPr>
          <w:bCs/>
          <w:lang w:val="es-SV"/>
        </w:rPr>
        <w:t>4</w:t>
      </w:r>
      <w:r w:rsidR="001043C1">
        <w:rPr>
          <w:bCs/>
          <w:lang w:val="es-SV"/>
        </w:rPr>
        <w:t> %</w:t>
      </w:r>
      <w:r w:rsidR="0069218C" w:rsidRPr="009C4946">
        <w:rPr>
          <w:bCs/>
          <w:lang w:val="es-SV"/>
        </w:rPr>
        <w:t xml:space="preserve"> (121) y un 0</w:t>
      </w:r>
      <w:r w:rsidR="00405EFC">
        <w:rPr>
          <w:bCs/>
          <w:lang w:val="es-SV"/>
        </w:rPr>
        <w:t>,</w:t>
      </w:r>
      <w:r w:rsidR="0069218C" w:rsidRPr="009C4946">
        <w:rPr>
          <w:bCs/>
          <w:lang w:val="es-SV"/>
        </w:rPr>
        <w:t>7</w:t>
      </w:r>
      <w:r w:rsidR="001043C1">
        <w:rPr>
          <w:bCs/>
          <w:lang w:val="es-SV"/>
        </w:rPr>
        <w:t> %</w:t>
      </w:r>
      <w:r w:rsidR="0069218C" w:rsidRPr="009C4946">
        <w:rPr>
          <w:bCs/>
          <w:lang w:val="es-SV"/>
        </w:rPr>
        <w:t xml:space="preserve"> (57 casos), por sedantes. </w:t>
      </w:r>
    </w:p>
    <w:p w14:paraId="46349A94" w14:textId="6C8B2086" w:rsidR="001145BC" w:rsidRPr="009C4946" w:rsidRDefault="00C44B04" w:rsidP="001C2C73">
      <w:pPr>
        <w:pStyle w:val="SingleTxtG"/>
        <w:tabs>
          <w:tab w:val="clear" w:pos="1701"/>
          <w:tab w:val="clear" w:pos="2268"/>
          <w:tab w:val="clear" w:pos="2835"/>
        </w:tabs>
        <w:rPr>
          <w:bCs/>
          <w:lang w:val="es-SV"/>
        </w:rPr>
      </w:pPr>
      <w:r w:rsidRPr="009C4946">
        <w:rPr>
          <w:bCs/>
          <w:lang w:val="es-SV"/>
        </w:rPr>
        <w:t>120.</w:t>
      </w:r>
      <w:r w:rsidRPr="009C4946">
        <w:rPr>
          <w:bCs/>
          <w:lang w:val="es-SV"/>
        </w:rPr>
        <w:tab/>
      </w:r>
      <w:r w:rsidR="0069218C" w:rsidRPr="009C4946">
        <w:rPr>
          <w:bCs/>
          <w:lang w:val="es-SV"/>
        </w:rPr>
        <w:t>La tasa de incidencia anual de uso de sustancias psicoactivas de los pacientes atendidos en establecimientos especializados del MINSAL y FOSALUD, en mayores de 10 años, fue de 398 casos nuevos x cada 100</w:t>
      </w:r>
      <w:r w:rsidR="00405EFC">
        <w:rPr>
          <w:bCs/>
          <w:lang w:val="es-SV"/>
        </w:rPr>
        <w:t>.000</w:t>
      </w:r>
      <w:r w:rsidR="0069218C" w:rsidRPr="009C4946">
        <w:rPr>
          <w:bCs/>
          <w:lang w:val="es-SV"/>
        </w:rPr>
        <w:t xml:space="preserve"> habitantes y en el 2020, la tasa nacional fue de 138 casos nuevos x cada 100</w:t>
      </w:r>
      <w:r w:rsidR="00405EFC">
        <w:rPr>
          <w:bCs/>
          <w:lang w:val="es-SV"/>
        </w:rPr>
        <w:t>.000</w:t>
      </w:r>
      <w:r w:rsidR="0069218C" w:rsidRPr="009C4946">
        <w:rPr>
          <w:bCs/>
          <w:lang w:val="es-SV"/>
        </w:rPr>
        <w:t xml:space="preserve"> habitantes, registrándose un descenso en la demanda. </w:t>
      </w:r>
    </w:p>
    <w:p w14:paraId="6B1B0298" w14:textId="2E4D9368" w:rsidR="001145BC" w:rsidRPr="009C4946" w:rsidRDefault="00C44B04" w:rsidP="001C2C73">
      <w:pPr>
        <w:pStyle w:val="SingleTxtG"/>
        <w:tabs>
          <w:tab w:val="clear" w:pos="1701"/>
          <w:tab w:val="clear" w:pos="2268"/>
          <w:tab w:val="clear" w:pos="2835"/>
        </w:tabs>
        <w:rPr>
          <w:bCs/>
          <w:lang w:val="es-SV"/>
        </w:rPr>
      </w:pPr>
      <w:r w:rsidRPr="009C4946">
        <w:rPr>
          <w:bCs/>
          <w:lang w:val="es-SV"/>
        </w:rPr>
        <w:t>121.</w:t>
      </w:r>
      <w:r w:rsidRPr="009C4946">
        <w:rPr>
          <w:bCs/>
          <w:lang w:val="es-SV"/>
        </w:rPr>
        <w:tab/>
      </w:r>
      <w:r w:rsidR="0069218C" w:rsidRPr="009C4946">
        <w:rPr>
          <w:bCs/>
          <w:lang w:val="es-SV"/>
        </w:rPr>
        <w:t>En cuanto al género, existe una relación de 8 a 1 en el consumo de sustancias psicoactivas entre hombres y mujeres para el año 2020. Anexo 24.</w:t>
      </w:r>
    </w:p>
    <w:p w14:paraId="063F7177" w14:textId="163F294E" w:rsidR="001145BC" w:rsidRPr="009C4946" w:rsidRDefault="00C44B04" w:rsidP="001C2C73">
      <w:pPr>
        <w:pStyle w:val="SingleTxtG"/>
        <w:tabs>
          <w:tab w:val="clear" w:pos="1701"/>
          <w:tab w:val="clear" w:pos="2268"/>
          <w:tab w:val="clear" w:pos="2835"/>
        </w:tabs>
        <w:rPr>
          <w:bCs/>
          <w:lang w:val="es-SV"/>
        </w:rPr>
      </w:pPr>
      <w:r w:rsidRPr="009C4946">
        <w:rPr>
          <w:bCs/>
          <w:lang w:val="es-SV"/>
        </w:rPr>
        <w:t>122.</w:t>
      </w:r>
      <w:r w:rsidRPr="009C4946">
        <w:rPr>
          <w:bCs/>
          <w:lang w:val="es-SV"/>
        </w:rPr>
        <w:tab/>
      </w:r>
      <w:r w:rsidR="0069218C" w:rsidRPr="009C4946">
        <w:rPr>
          <w:bCs/>
          <w:lang w:val="es-SV"/>
        </w:rPr>
        <w:t>En el año 2020 se recibieron un total de 442 pacientes en Emergencia por uso de sustancias psicoactivas por atención aguda o sobredosis no mortales, de éstos el 97</w:t>
      </w:r>
      <w:r w:rsidR="001043C1">
        <w:rPr>
          <w:bCs/>
          <w:lang w:val="es-SV"/>
        </w:rPr>
        <w:t> %</w:t>
      </w:r>
      <w:r w:rsidR="0069218C" w:rsidRPr="009C4946">
        <w:rPr>
          <w:bCs/>
          <w:lang w:val="es-SV"/>
        </w:rPr>
        <w:t xml:space="preserve"> fue por intoxicación aguda o sobredosis de alcohol, el 1</w:t>
      </w:r>
      <w:r w:rsidR="001043C1">
        <w:rPr>
          <w:bCs/>
          <w:lang w:val="es-SV"/>
        </w:rPr>
        <w:t> %</w:t>
      </w:r>
      <w:r w:rsidR="0069218C" w:rsidRPr="009C4946">
        <w:rPr>
          <w:bCs/>
          <w:lang w:val="es-SV"/>
        </w:rPr>
        <w:t xml:space="preserve"> por uso de marihuana, 1</w:t>
      </w:r>
      <w:r w:rsidR="001043C1">
        <w:rPr>
          <w:bCs/>
          <w:lang w:val="es-SV"/>
        </w:rPr>
        <w:t> %</w:t>
      </w:r>
      <w:r w:rsidR="0069218C" w:rsidRPr="009C4946">
        <w:rPr>
          <w:bCs/>
          <w:lang w:val="es-SV"/>
        </w:rPr>
        <w:t xml:space="preserve"> por uso de múltiples drogas y SPA, el 0</w:t>
      </w:r>
      <w:r w:rsidR="00E738FF">
        <w:rPr>
          <w:bCs/>
          <w:lang w:val="es-SV"/>
        </w:rPr>
        <w:t>,</w:t>
      </w:r>
      <w:r w:rsidR="0069218C" w:rsidRPr="009C4946">
        <w:rPr>
          <w:bCs/>
          <w:lang w:val="es-SV"/>
        </w:rPr>
        <w:t>5</w:t>
      </w:r>
      <w:r w:rsidR="001043C1">
        <w:rPr>
          <w:bCs/>
          <w:lang w:val="es-SV"/>
        </w:rPr>
        <w:t> %</w:t>
      </w:r>
      <w:r w:rsidR="0069218C" w:rsidRPr="009C4946">
        <w:rPr>
          <w:bCs/>
          <w:lang w:val="es-SV"/>
        </w:rPr>
        <w:t xml:space="preserve"> por uso de sedantes o hipnóticos, 0</w:t>
      </w:r>
      <w:r w:rsidR="00E738FF">
        <w:rPr>
          <w:bCs/>
          <w:lang w:val="es-SV"/>
        </w:rPr>
        <w:t>,</w:t>
      </w:r>
      <w:r w:rsidR="0069218C" w:rsidRPr="009C4946">
        <w:rPr>
          <w:bCs/>
          <w:lang w:val="es-SV"/>
        </w:rPr>
        <w:t>2</w:t>
      </w:r>
      <w:r w:rsidR="001043C1">
        <w:rPr>
          <w:bCs/>
          <w:lang w:val="es-SV"/>
        </w:rPr>
        <w:t> %</w:t>
      </w:r>
      <w:r w:rsidR="0069218C" w:rsidRPr="009C4946">
        <w:rPr>
          <w:bCs/>
          <w:lang w:val="es-SV"/>
        </w:rPr>
        <w:t xml:space="preserve"> uso de alucinógenos no especificados y 0</w:t>
      </w:r>
      <w:r w:rsidR="00E738FF">
        <w:rPr>
          <w:bCs/>
          <w:lang w:val="es-SV"/>
        </w:rPr>
        <w:t>,</w:t>
      </w:r>
      <w:r w:rsidR="0069218C" w:rsidRPr="009C4946">
        <w:rPr>
          <w:bCs/>
          <w:lang w:val="es-SV"/>
        </w:rPr>
        <w:t>2</w:t>
      </w:r>
      <w:r w:rsidR="001043C1">
        <w:rPr>
          <w:bCs/>
          <w:lang w:val="es-SV"/>
        </w:rPr>
        <w:t> %</w:t>
      </w:r>
      <w:r w:rsidR="0069218C" w:rsidRPr="009C4946">
        <w:rPr>
          <w:bCs/>
          <w:lang w:val="es-SV"/>
        </w:rPr>
        <w:t xml:space="preserve"> uso de cocaína (clorhidrato).</w:t>
      </w:r>
    </w:p>
    <w:p w14:paraId="4AF0999A" w14:textId="10204CDC" w:rsidR="001145BC" w:rsidRPr="009C4946" w:rsidRDefault="00C44B04" w:rsidP="001C2C73">
      <w:pPr>
        <w:pStyle w:val="SingleTxtG"/>
        <w:tabs>
          <w:tab w:val="clear" w:pos="1701"/>
          <w:tab w:val="clear" w:pos="2268"/>
          <w:tab w:val="clear" w:pos="2835"/>
        </w:tabs>
        <w:rPr>
          <w:bCs/>
          <w:lang w:val="es-SV"/>
        </w:rPr>
      </w:pPr>
      <w:r w:rsidRPr="009C4946">
        <w:rPr>
          <w:bCs/>
          <w:lang w:val="es-SV"/>
        </w:rPr>
        <w:t>123.</w:t>
      </w:r>
      <w:r w:rsidRPr="009C4946">
        <w:rPr>
          <w:bCs/>
          <w:lang w:val="es-SV"/>
        </w:rPr>
        <w:tab/>
      </w:r>
      <w:r w:rsidR="0069218C" w:rsidRPr="009C4946">
        <w:rPr>
          <w:bCs/>
          <w:lang w:val="es-SV"/>
        </w:rPr>
        <w:t>Durante la cuarentena domiciliar y absoluta por COVID-19, se activaron servicios de seguimiento telefónico para los pacientes con adicciones, seguimiento y prevención de recaídas, facilitados por la red ambulatoria de los Centros de Prevención y Tratamiento de Adicciones (CPTA) FOSALUD; atendiendo a 1</w:t>
      </w:r>
      <w:r w:rsidR="00E738FF">
        <w:rPr>
          <w:bCs/>
          <w:lang w:val="es-SV"/>
        </w:rPr>
        <w:t>.</w:t>
      </w:r>
      <w:r w:rsidR="0069218C" w:rsidRPr="009C4946">
        <w:rPr>
          <w:bCs/>
          <w:lang w:val="es-SV"/>
        </w:rPr>
        <w:t>519 personas bajo la modalidad de telefonía móvil, 274 por telefonía fija, 19 por correo electrónico y 72 por visitas domiciliares.</w:t>
      </w:r>
    </w:p>
    <w:p w14:paraId="0B418BB4" w14:textId="42315E40" w:rsidR="001145BC" w:rsidRPr="009C4946" w:rsidRDefault="00C44B04" w:rsidP="001C2C73">
      <w:pPr>
        <w:pStyle w:val="SingleTxtG"/>
        <w:tabs>
          <w:tab w:val="clear" w:pos="1701"/>
          <w:tab w:val="clear" w:pos="2268"/>
          <w:tab w:val="clear" w:pos="2835"/>
        </w:tabs>
        <w:rPr>
          <w:bCs/>
          <w:lang w:val="es-SV"/>
        </w:rPr>
      </w:pPr>
      <w:r w:rsidRPr="009C4946">
        <w:rPr>
          <w:bCs/>
          <w:lang w:val="es-SV"/>
        </w:rPr>
        <w:t>124.</w:t>
      </w:r>
      <w:r w:rsidRPr="009C4946">
        <w:rPr>
          <w:bCs/>
          <w:lang w:val="es-SV"/>
        </w:rPr>
        <w:tab/>
      </w:r>
      <w:r w:rsidR="0069218C" w:rsidRPr="009C4946">
        <w:rPr>
          <w:bCs/>
          <w:lang w:val="es-SV"/>
        </w:rPr>
        <w:t>La red ambulatoria de tratamiento especializado CPTA atendieron un total de 3</w:t>
      </w:r>
      <w:r w:rsidR="00E738FF">
        <w:rPr>
          <w:bCs/>
          <w:lang w:val="es-SV"/>
        </w:rPr>
        <w:t>.</w:t>
      </w:r>
      <w:r w:rsidR="0069218C" w:rsidRPr="009C4946">
        <w:rPr>
          <w:bCs/>
          <w:lang w:val="es-SV"/>
        </w:rPr>
        <w:t>517 personas</w:t>
      </w:r>
      <w:r w:rsidR="009C4946">
        <w:rPr>
          <w:bCs/>
          <w:lang w:val="es-SV"/>
        </w:rPr>
        <w:t xml:space="preserve"> </w:t>
      </w:r>
      <w:r w:rsidR="0069218C" w:rsidRPr="009C4946">
        <w:rPr>
          <w:bCs/>
          <w:lang w:val="es-SV"/>
        </w:rPr>
        <w:t>y 318 pacientes en la red de internamiento de tratamiento especializado</w:t>
      </w:r>
      <w:r w:rsidR="009C4946">
        <w:rPr>
          <w:bCs/>
          <w:lang w:val="es-SV"/>
        </w:rPr>
        <w:t xml:space="preserve"> </w:t>
      </w:r>
      <w:r w:rsidR="0069218C" w:rsidRPr="009C4946">
        <w:rPr>
          <w:bCs/>
          <w:lang w:val="es-SV"/>
        </w:rPr>
        <w:t>debido al uso de sustancias psicoactivas.</w:t>
      </w:r>
    </w:p>
    <w:p w14:paraId="6C993B4D" w14:textId="1454C4EC" w:rsidR="001145BC" w:rsidRPr="009C4946" w:rsidRDefault="00C44B04" w:rsidP="001C2C73">
      <w:pPr>
        <w:pStyle w:val="SingleTxtG"/>
        <w:tabs>
          <w:tab w:val="clear" w:pos="1701"/>
          <w:tab w:val="clear" w:pos="2268"/>
          <w:tab w:val="clear" w:pos="2835"/>
        </w:tabs>
        <w:rPr>
          <w:bCs/>
          <w:lang w:val="es-SV"/>
        </w:rPr>
      </w:pPr>
      <w:r w:rsidRPr="009C4946">
        <w:rPr>
          <w:bCs/>
          <w:lang w:val="es-SV"/>
        </w:rPr>
        <w:t>125.</w:t>
      </w:r>
      <w:r w:rsidRPr="009C4946">
        <w:rPr>
          <w:bCs/>
          <w:lang w:val="es-SV"/>
        </w:rPr>
        <w:tab/>
      </w:r>
      <w:r w:rsidR="0069218C" w:rsidRPr="009C4946">
        <w:rPr>
          <w:bCs/>
          <w:lang w:val="es-SV"/>
        </w:rPr>
        <w:t>Por su parte, el Centro de Integración Nacional para la Niñez y Adolescencia (CINNA) atiende a adolescentes con problemas de adicción a drogas, alcohol, y tabaco, bajo medidas administrativas y judiciales; en conformidad a las competencias legales definidas en la LEPINA, Art. 180, literal d) y Art. 181. Anexo 25.</w:t>
      </w:r>
    </w:p>
    <w:p w14:paraId="4D84DAAE" w14:textId="5C751FE0" w:rsidR="001145BC" w:rsidRPr="009C4946" w:rsidRDefault="00C44B04" w:rsidP="001C2C73">
      <w:pPr>
        <w:pStyle w:val="SingleTxtG"/>
        <w:tabs>
          <w:tab w:val="clear" w:pos="1701"/>
          <w:tab w:val="clear" w:pos="2268"/>
          <w:tab w:val="clear" w:pos="2835"/>
        </w:tabs>
        <w:rPr>
          <w:bCs/>
          <w:lang w:val="es-SV"/>
        </w:rPr>
      </w:pPr>
      <w:r w:rsidRPr="009C4946">
        <w:rPr>
          <w:bCs/>
          <w:lang w:val="es-SV"/>
        </w:rPr>
        <w:t>126.</w:t>
      </w:r>
      <w:r w:rsidRPr="009C4946">
        <w:rPr>
          <w:bCs/>
          <w:lang w:val="es-SV"/>
        </w:rPr>
        <w:tab/>
      </w:r>
      <w:r w:rsidR="0069218C" w:rsidRPr="009C4946">
        <w:rPr>
          <w:bCs/>
          <w:lang w:val="es-SV"/>
        </w:rPr>
        <w:t xml:space="preserve">En el tema garantía de la calidad de los servicios de tratamiento, la CNA elaboró el proyecto Criterios básicos para proporcionar sello de buenas prácticas a establecimientos no especializados en atención a consumidores de drogas, realizando visitas para evaluar la calidad de los servicios en 17 establecimientos participantes. Además se participa en el proyecto “Avanzar en Sistemas Nacionales de Aseguramiento de la Calidad de los programas y servicios de tratamiento de drogas en países de América Latina” ejecutado por la ONUDC para impulsar el proceso de “Garantía de la Calidad”. </w:t>
      </w:r>
    </w:p>
    <w:p w14:paraId="7CC619A7" w14:textId="2DA98C39" w:rsidR="001145BC" w:rsidRPr="009C4946" w:rsidRDefault="00C44B04" w:rsidP="001C2C73">
      <w:pPr>
        <w:pStyle w:val="SingleTxtG"/>
        <w:tabs>
          <w:tab w:val="clear" w:pos="1701"/>
          <w:tab w:val="clear" w:pos="2268"/>
          <w:tab w:val="clear" w:pos="2835"/>
        </w:tabs>
        <w:rPr>
          <w:bCs/>
          <w:lang w:val="es-SV"/>
        </w:rPr>
      </w:pPr>
      <w:r w:rsidRPr="009C4946">
        <w:rPr>
          <w:bCs/>
          <w:lang w:val="es-SV"/>
        </w:rPr>
        <w:t>127.</w:t>
      </w:r>
      <w:r w:rsidRPr="009C4946">
        <w:rPr>
          <w:bCs/>
          <w:lang w:val="es-SV"/>
        </w:rPr>
        <w:tab/>
      </w:r>
      <w:r w:rsidR="0069218C" w:rsidRPr="009C4946">
        <w:rPr>
          <w:bCs/>
          <w:lang w:val="es-SV"/>
        </w:rPr>
        <w:t xml:space="preserve">De octubre 2020 a marzo 2021, se capacito a 36 profesionales de la salud en el Programa de Capacitación y Certificación de Recursos Humanos en Tratamiento y Prevención de Trastornos por Consumo de Drogas (PROCCTRAP), para atender a personas </w:t>
      </w:r>
      <w:r w:rsidR="0069218C" w:rsidRPr="009C4946">
        <w:rPr>
          <w:bCs/>
          <w:lang w:val="es-SV"/>
        </w:rPr>
        <w:lastRenderedPageBreak/>
        <w:t>con uso problemático de drogas o dependencia desde un enfoque de salud pública, a quienes se les certifico como Operadores Socioterapéuticos en Drogodependencias.</w:t>
      </w:r>
    </w:p>
    <w:p w14:paraId="56D310B4" w14:textId="7330AEA9" w:rsidR="001145BC" w:rsidRPr="009C4946" w:rsidRDefault="00C44B04" w:rsidP="001C2C73">
      <w:pPr>
        <w:pStyle w:val="SingleTxtG"/>
        <w:tabs>
          <w:tab w:val="clear" w:pos="1701"/>
          <w:tab w:val="clear" w:pos="2268"/>
          <w:tab w:val="clear" w:pos="2835"/>
        </w:tabs>
        <w:rPr>
          <w:bCs/>
          <w:lang w:val="es-SV"/>
        </w:rPr>
      </w:pPr>
      <w:r w:rsidRPr="009C4946">
        <w:rPr>
          <w:bCs/>
          <w:lang w:val="es-SV"/>
        </w:rPr>
        <w:t>128.</w:t>
      </w:r>
      <w:r w:rsidRPr="009C4946">
        <w:rPr>
          <w:bCs/>
          <w:lang w:val="es-SV"/>
        </w:rPr>
        <w:tab/>
      </w:r>
      <w:r w:rsidR="0069218C" w:rsidRPr="009C4946">
        <w:rPr>
          <w:bCs/>
          <w:lang w:val="es-SV"/>
        </w:rPr>
        <w:t>Por su parte el MINSAL, anualmente desarrolla procesos de formación al personal de salud multidisciplinario (psiquiatras, psicólogos, médicos, enfermeras, educadores, trabajadores sociales y promotores de salud) en detección y abordaje clínico y psicológico a la persona por consumo de sustancias psicoactivas.</w:t>
      </w:r>
    </w:p>
    <w:p w14:paraId="7A34BF1A" w14:textId="77777777" w:rsidR="0069218C" w:rsidRPr="009C4946" w:rsidRDefault="0069218C" w:rsidP="009C4946">
      <w:pPr>
        <w:pStyle w:val="H23G"/>
        <w:ind w:firstLine="0"/>
        <w:rPr>
          <w:lang w:val="es-MX"/>
        </w:rPr>
      </w:pPr>
      <w:r w:rsidRPr="009C4946">
        <w:rPr>
          <w:lang w:val="es-MX"/>
        </w:rPr>
        <w:t>Derecho a la educación (arts. 13 y 14)</w:t>
      </w:r>
    </w:p>
    <w:p w14:paraId="54942FFF" w14:textId="070F5B5D" w:rsidR="001145BC" w:rsidRPr="009C4946" w:rsidRDefault="00C44B04" w:rsidP="001C2C73">
      <w:pPr>
        <w:pStyle w:val="SingleTxtG"/>
        <w:tabs>
          <w:tab w:val="clear" w:pos="1701"/>
          <w:tab w:val="clear" w:pos="2268"/>
          <w:tab w:val="clear" w:pos="2835"/>
        </w:tabs>
        <w:rPr>
          <w:bCs/>
          <w:lang w:val="es-SV"/>
        </w:rPr>
      </w:pPr>
      <w:r w:rsidRPr="009C4946">
        <w:rPr>
          <w:bCs/>
          <w:lang w:val="es-SV"/>
        </w:rPr>
        <w:t>129.</w:t>
      </w:r>
      <w:r w:rsidRPr="009C4946">
        <w:rPr>
          <w:bCs/>
          <w:lang w:val="es-SV"/>
        </w:rPr>
        <w:tab/>
      </w:r>
      <w:r w:rsidR="0069218C" w:rsidRPr="009C4946">
        <w:rPr>
          <w:bCs/>
          <w:lang w:val="es-SV"/>
        </w:rPr>
        <w:t>El Instituto Nacional de Formación Docente, INFOD, como instancia responsable de los procesos de investigación, evaluación, certificación, formación e innovación curricular, garantiza la atención de las necesidades del sistema educativo y los requerimientos de una educación integral, inclusiva basada en los derechos humanos y de atención multimodal.</w:t>
      </w:r>
    </w:p>
    <w:p w14:paraId="540224AC" w14:textId="5E192E3A" w:rsidR="001145BC" w:rsidRPr="009C4946" w:rsidRDefault="00C44B04" w:rsidP="001C2C73">
      <w:pPr>
        <w:pStyle w:val="SingleTxtG"/>
        <w:tabs>
          <w:tab w:val="clear" w:pos="1701"/>
          <w:tab w:val="clear" w:pos="2268"/>
          <w:tab w:val="clear" w:pos="2835"/>
        </w:tabs>
        <w:rPr>
          <w:bCs/>
          <w:lang w:val="es-SV"/>
        </w:rPr>
      </w:pPr>
      <w:r w:rsidRPr="009C4946">
        <w:rPr>
          <w:bCs/>
          <w:lang w:val="es-SV"/>
        </w:rPr>
        <w:t>130.</w:t>
      </w:r>
      <w:r w:rsidRPr="009C4946">
        <w:rPr>
          <w:bCs/>
          <w:lang w:val="es-SV"/>
        </w:rPr>
        <w:tab/>
      </w:r>
      <w:r w:rsidR="0069218C" w:rsidRPr="009C4946">
        <w:rPr>
          <w:bCs/>
          <w:lang w:val="es-SV"/>
        </w:rPr>
        <w:t>El cierre de la brecha tecnológica y de conectividad en el sistema educativo público requiere un cambio de los métodos de enseñanza-aprendizaje, tanto en docentes como en estudiantes, por medio de la utilización de plataformas educativas tecnológicas y los recursos digitales disponibles. Igualmente, es necesario un cambio de los roles del docente de transmisor del conocimiento a actor de la mediación pedagógica, lo cual implica procesos de educación para el uso de la tecnología.</w:t>
      </w:r>
    </w:p>
    <w:p w14:paraId="7145CEEC" w14:textId="3689C361" w:rsidR="001145BC" w:rsidRPr="009C4946" w:rsidRDefault="00C44B04" w:rsidP="001C2C73">
      <w:pPr>
        <w:pStyle w:val="SingleTxtG"/>
        <w:tabs>
          <w:tab w:val="clear" w:pos="1701"/>
          <w:tab w:val="clear" w:pos="2268"/>
          <w:tab w:val="clear" w:pos="2835"/>
        </w:tabs>
        <w:rPr>
          <w:bCs/>
          <w:lang w:val="es-SV"/>
        </w:rPr>
      </w:pPr>
      <w:r w:rsidRPr="009C4946">
        <w:rPr>
          <w:bCs/>
          <w:lang w:val="es-SV"/>
        </w:rPr>
        <w:t>131.</w:t>
      </w:r>
      <w:r w:rsidRPr="009C4946">
        <w:rPr>
          <w:bCs/>
          <w:lang w:val="es-SV"/>
        </w:rPr>
        <w:tab/>
      </w:r>
      <w:r w:rsidR="0069218C" w:rsidRPr="009C4946">
        <w:rPr>
          <w:bCs/>
          <w:lang w:val="es-SV"/>
        </w:rPr>
        <w:t>La implementación de la revolución industrial 4.0 en el sistema educativo salvadoreño no solo implica el dominio de nuevas competencias cognoscitivas o comunicacionales, sino también el potenciar las competencias ciudadanas desde la escuela.</w:t>
      </w:r>
    </w:p>
    <w:p w14:paraId="1E2017EA" w14:textId="553A129C" w:rsidR="001145BC" w:rsidRPr="009C4946" w:rsidRDefault="00C44B04" w:rsidP="001C2C73">
      <w:pPr>
        <w:pStyle w:val="SingleTxtG"/>
        <w:tabs>
          <w:tab w:val="clear" w:pos="1701"/>
          <w:tab w:val="clear" w:pos="2268"/>
          <w:tab w:val="clear" w:pos="2835"/>
        </w:tabs>
        <w:rPr>
          <w:bCs/>
          <w:lang w:val="es-SV"/>
        </w:rPr>
      </w:pPr>
      <w:r w:rsidRPr="009C4946">
        <w:rPr>
          <w:bCs/>
          <w:lang w:val="es-SV"/>
        </w:rPr>
        <w:t>132.</w:t>
      </w:r>
      <w:r w:rsidRPr="009C4946">
        <w:rPr>
          <w:bCs/>
          <w:lang w:val="es-SV"/>
        </w:rPr>
        <w:tab/>
      </w:r>
      <w:r w:rsidR="0069218C" w:rsidRPr="009C4946">
        <w:rPr>
          <w:bCs/>
          <w:lang w:val="es-SV"/>
        </w:rPr>
        <w:t>Así se pretende</w:t>
      </w:r>
      <w:r w:rsidR="009C4946">
        <w:rPr>
          <w:bCs/>
          <w:lang w:val="es-SV"/>
        </w:rPr>
        <w:t xml:space="preserve"> </w:t>
      </w:r>
      <w:r w:rsidR="0069218C" w:rsidRPr="009C4946">
        <w:rPr>
          <w:bCs/>
          <w:lang w:val="es-SV"/>
        </w:rPr>
        <w:t>que los estudiantes y maestros puedan afrontar los nuevos escenarios abiertos por la tecnología y tengan la capacidad de aportar a soluciones integrales de problemáticas globales.</w:t>
      </w:r>
      <w:r w:rsidR="009C4946">
        <w:rPr>
          <w:bCs/>
          <w:lang w:val="es-SV"/>
        </w:rPr>
        <w:t xml:space="preserve"> </w:t>
      </w:r>
      <w:r w:rsidR="0069218C" w:rsidRPr="009C4946">
        <w:rPr>
          <w:bCs/>
          <w:lang w:val="es-SV"/>
        </w:rPr>
        <w:t>Con este paradigma determinamos que las competencias digitales en los docentes son cruciales para atender a los estudiantes con distintas estrategias multimodales; para ello, durante 2020 se capacitó a 1</w:t>
      </w:r>
      <w:r w:rsidR="00E738FF">
        <w:rPr>
          <w:bCs/>
          <w:lang w:val="es-SV"/>
        </w:rPr>
        <w:t>.</w:t>
      </w:r>
      <w:r w:rsidR="0069218C" w:rsidRPr="009C4946">
        <w:rPr>
          <w:bCs/>
          <w:lang w:val="es-SV"/>
        </w:rPr>
        <w:t>644 docentes, de los cuales 534 son hombres y 1</w:t>
      </w:r>
      <w:r w:rsidR="00E738FF">
        <w:rPr>
          <w:bCs/>
          <w:lang w:val="es-SV"/>
        </w:rPr>
        <w:t>.</w:t>
      </w:r>
      <w:r w:rsidR="0069218C" w:rsidRPr="009C4946">
        <w:rPr>
          <w:bCs/>
          <w:lang w:val="es-SV"/>
        </w:rPr>
        <w:t>110 son mujeres.</w:t>
      </w:r>
    </w:p>
    <w:p w14:paraId="5042404D" w14:textId="002AEDEA" w:rsidR="001145BC" w:rsidRPr="009C4946" w:rsidRDefault="00C44B04" w:rsidP="001C2C73">
      <w:pPr>
        <w:pStyle w:val="SingleTxtG"/>
        <w:tabs>
          <w:tab w:val="clear" w:pos="1701"/>
          <w:tab w:val="clear" w:pos="2268"/>
          <w:tab w:val="clear" w:pos="2835"/>
        </w:tabs>
        <w:rPr>
          <w:bCs/>
          <w:lang w:val="es-SV"/>
        </w:rPr>
      </w:pPr>
      <w:r w:rsidRPr="009C4946">
        <w:rPr>
          <w:bCs/>
          <w:lang w:val="es-SV"/>
        </w:rPr>
        <w:t>133.</w:t>
      </w:r>
      <w:r w:rsidRPr="009C4946">
        <w:rPr>
          <w:bCs/>
          <w:lang w:val="es-SV"/>
        </w:rPr>
        <w:tab/>
      </w:r>
      <w:r w:rsidR="0069218C" w:rsidRPr="009C4946">
        <w:rPr>
          <w:bCs/>
          <w:lang w:val="es-SV"/>
        </w:rPr>
        <w:t>Más de 30,000 docentes lograron finalizar exitosamente la capacitación y certificación en el uso de la plataforma Google Classroom, la cual ha sido avalada y certificada por Google y cuenta con los estándares de la UNESCO, la meta es digitalizar la educación pública en todos los niveles de forma gradual, que permita poner a la disposición de estudiantes y docentes la tecnología y la innovación.</w:t>
      </w:r>
    </w:p>
    <w:p w14:paraId="18A9B114" w14:textId="13AFFA42" w:rsidR="0069218C" w:rsidRPr="009C4946" w:rsidRDefault="00C44B04" w:rsidP="001C2C73">
      <w:pPr>
        <w:pStyle w:val="SingleTxtG"/>
        <w:tabs>
          <w:tab w:val="clear" w:pos="1701"/>
          <w:tab w:val="clear" w:pos="2268"/>
          <w:tab w:val="clear" w:pos="2835"/>
        </w:tabs>
        <w:rPr>
          <w:bCs/>
          <w:lang w:val="es-SV"/>
        </w:rPr>
      </w:pPr>
      <w:r w:rsidRPr="009C4946">
        <w:rPr>
          <w:bCs/>
          <w:lang w:val="es-SV"/>
        </w:rPr>
        <w:t>134.</w:t>
      </w:r>
      <w:r w:rsidRPr="009C4946">
        <w:rPr>
          <w:bCs/>
          <w:lang w:val="es-SV"/>
        </w:rPr>
        <w:tab/>
      </w:r>
      <w:r w:rsidR="0069218C" w:rsidRPr="009C4946">
        <w:rPr>
          <w:bCs/>
          <w:lang w:val="es-SV"/>
        </w:rPr>
        <w:t>Dada las condiciones por COVID 19, mediante cursos virtuales se certificaron a</w:t>
      </w:r>
      <w:r w:rsidR="009C4946">
        <w:rPr>
          <w:bCs/>
          <w:lang w:val="es-SV"/>
        </w:rPr>
        <w:t xml:space="preserve"> </w:t>
      </w:r>
      <w:r w:rsidR="0069218C" w:rsidRPr="009C4946">
        <w:rPr>
          <w:bCs/>
          <w:lang w:val="es-SV"/>
        </w:rPr>
        <w:t>docentes tutores de modalidades flexibles y un curso sobre el uso de plataformas y herramientas tecnológicas para la continuidad educativa; el 14</w:t>
      </w:r>
      <w:r w:rsidR="001043C1">
        <w:rPr>
          <w:bCs/>
          <w:lang w:val="es-SV"/>
        </w:rPr>
        <w:t> %</w:t>
      </w:r>
      <w:r w:rsidR="0069218C" w:rsidRPr="009C4946">
        <w:rPr>
          <w:bCs/>
          <w:lang w:val="es-SV"/>
        </w:rPr>
        <w:t xml:space="preserve"> de docentes laboran en el área rural y el 86</w:t>
      </w:r>
      <w:r w:rsidR="001043C1">
        <w:rPr>
          <w:bCs/>
          <w:lang w:val="es-SV"/>
        </w:rPr>
        <w:t> %</w:t>
      </w:r>
      <w:r w:rsidR="0069218C" w:rsidRPr="009C4946">
        <w:rPr>
          <w:bCs/>
          <w:lang w:val="es-SV"/>
        </w:rPr>
        <w:t xml:space="preserve"> en lo urbano. Asimismo, se capacitaron en didáctica y entornos virtuales de aprendizaje y atención socio-emocional para recibir a estudiantes de manera semipresencial. </w:t>
      </w:r>
    </w:p>
    <w:p w14:paraId="40FAFD58" w14:textId="77777777" w:rsidR="00DE494F" w:rsidRDefault="0069218C" w:rsidP="0069218C">
      <w:pPr>
        <w:pStyle w:val="SingleTxtG"/>
        <w:rPr>
          <w:b/>
          <w:lang w:val="fr-CH" w:eastAsia="en-US"/>
        </w:rPr>
      </w:pPr>
      <w:r w:rsidRPr="0069218C">
        <w:rPr>
          <w:bCs/>
          <w:noProof/>
          <w:lang w:val="en-GB" w:eastAsia="en-GB"/>
        </w:rPr>
        <w:drawing>
          <wp:inline distT="0" distB="0" distL="0" distR="0" wp14:anchorId="30DEB779" wp14:editId="6B316230">
            <wp:extent cx="4695825" cy="2232819"/>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srcRect l="24642" t="39336" r="44323" b="34429"/>
                    <a:stretch/>
                  </pic:blipFill>
                  <pic:spPr bwMode="auto">
                    <a:xfrm>
                      <a:off x="0" y="0"/>
                      <a:ext cx="4704362" cy="2236878"/>
                    </a:xfrm>
                    <a:prstGeom prst="rect">
                      <a:avLst/>
                    </a:prstGeom>
                    <a:noFill/>
                    <a:ln>
                      <a:noFill/>
                    </a:ln>
                    <a:extLst>
                      <a:ext uri="{53640926-AAD7-44D8-BBD7-CCE9431645EC}">
                        <a14:shadowObscured xmlns:a14="http://schemas.microsoft.com/office/drawing/2010/main"/>
                      </a:ext>
                    </a:extLst>
                  </pic:spPr>
                </pic:pic>
              </a:graphicData>
            </a:graphic>
          </wp:inline>
        </w:drawing>
      </w:r>
    </w:p>
    <w:p w14:paraId="77D5F1D5" w14:textId="77777777" w:rsidR="0069218C" w:rsidRPr="004B15F2" w:rsidRDefault="0069218C" w:rsidP="0069218C">
      <w:pPr>
        <w:pStyle w:val="SingleTxtG"/>
        <w:rPr>
          <w:b/>
          <w:lang w:val="fr-CH" w:eastAsia="en-US"/>
        </w:rPr>
      </w:pPr>
      <w:r w:rsidRPr="004B15F2">
        <w:rPr>
          <w:b/>
          <w:noProof/>
          <w:lang w:val="en-GB" w:eastAsia="en-GB"/>
        </w:rPr>
        <w:lastRenderedPageBreak/>
        <w:drawing>
          <wp:inline distT="0" distB="0" distL="0" distR="0" wp14:anchorId="6090C558" wp14:editId="2CEFAF31">
            <wp:extent cx="4714875" cy="4318866"/>
            <wp:effectExtent l="0" t="0" r="0" b="5715"/>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srcRect l="24701" t="27377" r="44673" b="18036"/>
                    <a:stretch/>
                  </pic:blipFill>
                  <pic:spPr bwMode="auto">
                    <a:xfrm>
                      <a:off x="0" y="0"/>
                      <a:ext cx="4728911" cy="4331723"/>
                    </a:xfrm>
                    <a:prstGeom prst="rect">
                      <a:avLst/>
                    </a:prstGeom>
                    <a:noFill/>
                    <a:ln>
                      <a:noFill/>
                    </a:ln>
                    <a:extLst>
                      <a:ext uri="{53640926-AAD7-44D8-BBD7-CCE9431645EC}">
                        <a14:shadowObscured xmlns:a14="http://schemas.microsoft.com/office/drawing/2010/main"/>
                      </a:ext>
                    </a:extLst>
                  </pic:spPr>
                </pic:pic>
              </a:graphicData>
            </a:graphic>
          </wp:inline>
        </w:drawing>
      </w:r>
    </w:p>
    <w:p w14:paraId="65AB628D" w14:textId="43C810AB" w:rsidR="001145BC" w:rsidRDefault="00C44B04" w:rsidP="001C2C73">
      <w:pPr>
        <w:pStyle w:val="SingleTxtG"/>
        <w:tabs>
          <w:tab w:val="clear" w:pos="1701"/>
          <w:tab w:val="clear" w:pos="2268"/>
          <w:tab w:val="clear" w:pos="2835"/>
        </w:tabs>
        <w:spacing w:before="240"/>
        <w:rPr>
          <w:bCs/>
          <w:lang w:val="es-SV"/>
        </w:rPr>
      </w:pPr>
      <w:r>
        <w:rPr>
          <w:bCs/>
          <w:lang w:val="es-SV"/>
        </w:rPr>
        <w:t>135.</w:t>
      </w:r>
      <w:r>
        <w:rPr>
          <w:bCs/>
          <w:lang w:val="es-SV"/>
        </w:rPr>
        <w:tab/>
      </w:r>
      <w:r w:rsidR="0069218C" w:rsidRPr="0069218C">
        <w:rPr>
          <w:bCs/>
          <w:lang w:val="es-SV"/>
        </w:rPr>
        <w:t>El total de maestros certificados en la primera y segunda cohorte fue de 33</w:t>
      </w:r>
      <w:r w:rsidR="00D75B66">
        <w:rPr>
          <w:bCs/>
          <w:lang w:val="es-SV"/>
        </w:rPr>
        <w:t>.</w:t>
      </w:r>
      <w:r w:rsidR="0069218C" w:rsidRPr="0069218C">
        <w:rPr>
          <w:bCs/>
          <w:lang w:val="es-SV"/>
        </w:rPr>
        <w:t>729. De estos, 23</w:t>
      </w:r>
      <w:r w:rsidR="00D75B66">
        <w:rPr>
          <w:bCs/>
          <w:lang w:val="es-SV"/>
        </w:rPr>
        <w:t>.</w:t>
      </w:r>
      <w:r w:rsidR="0069218C" w:rsidRPr="0069218C">
        <w:rPr>
          <w:bCs/>
          <w:lang w:val="es-SV"/>
        </w:rPr>
        <w:t>376 son mujeres graduadas (69</w:t>
      </w:r>
      <w:r w:rsidR="00D75B66">
        <w:rPr>
          <w:bCs/>
          <w:lang w:val="es-SV"/>
        </w:rPr>
        <w:t>,</w:t>
      </w:r>
      <w:r w:rsidR="0069218C" w:rsidRPr="0069218C">
        <w:rPr>
          <w:bCs/>
          <w:lang w:val="es-SV"/>
        </w:rPr>
        <w:t>31</w:t>
      </w:r>
      <w:r w:rsidR="001043C1">
        <w:rPr>
          <w:bCs/>
          <w:lang w:val="es-SV"/>
        </w:rPr>
        <w:t> %</w:t>
      </w:r>
      <w:r w:rsidR="0069218C" w:rsidRPr="0069218C">
        <w:rPr>
          <w:bCs/>
          <w:lang w:val="es-SV"/>
        </w:rPr>
        <w:t>), mientras que 10</w:t>
      </w:r>
      <w:r w:rsidR="00D75B66">
        <w:rPr>
          <w:bCs/>
          <w:lang w:val="es-SV"/>
        </w:rPr>
        <w:t>.</w:t>
      </w:r>
      <w:r w:rsidR="0069218C" w:rsidRPr="0069218C">
        <w:rPr>
          <w:bCs/>
          <w:lang w:val="es-SV"/>
        </w:rPr>
        <w:t>353 son hombres (30</w:t>
      </w:r>
      <w:r w:rsidR="00D75B66">
        <w:rPr>
          <w:bCs/>
          <w:lang w:val="es-SV"/>
        </w:rPr>
        <w:t>,</w:t>
      </w:r>
      <w:r w:rsidR="0069218C" w:rsidRPr="0069218C">
        <w:rPr>
          <w:bCs/>
          <w:lang w:val="es-SV"/>
        </w:rPr>
        <w:t>69</w:t>
      </w:r>
      <w:r w:rsidR="001043C1">
        <w:rPr>
          <w:bCs/>
          <w:lang w:val="es-SV"/>
        </w:rPr>
        <w:t> %</w:t>
      </w:r>
      <w:r w:rsidR="0069218C" w:rsidRPr="0069218C">
        <w:rPr>
          <w:bCs/>
          <w:lang w:val="es-SV"/>
        </w:rPr>
        <w:t xml:space="preserve">). </w:t>
      </w:r>
    </w:p>
    <w:p w14:paraId="7AF0A3E5" w14:textId="6D344F5A" w:rsidR="0069218C" w:rsidRPr="0069218C" w:rsidRDefault="00C44B04" w:rsidP="001C2C73">
      <w:pPr>
        <w:pStyle w:val="SingleTxtG"/>
        <w:tabs>
          <w:tab w:val="clear" w:pos="1701"/>
          <w:tab w:val="clear" w:pos="2268"/>
          <w:tab w:val="clear" w:pos="2835"/>
        </w:tabs>
        <w:rPr>
          <w:bCs/>
          <w:lang w:val="es-SV"/>
        </w:rPr>
      </w:pPr>
      <w:r w:rsidRPr="0069218C">
        <w:rPr>
          <w:bCs/>
          <w:lang w:val="es-SV"/>
        </w:rPr>
        <w:t>136.</w:t>
      </w:r>
      <w:r w:rsidRPr="0069218C">
        <w:rPr>
          <w:bCs/>
          <w:lang w:val="es-SV"/>
        </w:rPr>
        <w:tab/>
      </w:r>
      <w:r w:rsidR="0069218C" w:rsidRPr="0069218C">
        <w:rPr>
          <w:bCs/>
          <w:lang w:val="es-SV"/>
        </w:rPr>
        <w:t>En relación al salario a docentes, se concursaron 2</w:t>
      </w:r>
      <w:r w:rsidR="00D75B66">
        <w:rPr>
          <w:bCs/>
          <w:lang w:val="es-SV"/>
        </w:rPr>
        <w:t>.</w:t>
      </w:r>
      <w:r w:rsidR="0069218C" w:rsidRPr="0069218C">
        <w:rPr>
          <w:bCs/>
          <w:lang w:val="es-SV"/>
        </w:rPr>
        <w:t>744 plazas; dirigidas a docentes que no han tenido una plaza con fallo del Tribunal Calificador y aquellos en calidad de interinos y nuevo ingreso.</w:t>
      </w:r>
    </w:p>
    <w:p w14:paraId="7CCC7EE0" w14:textId="50A74611" w:rsidR="0069218C" w:rsidRPr="0069218C" w:rsidRDefault="00C44B04" w:rsidP="001C2C73">
      <w:pPr>
        <w:pStyle w:val="SingleTxtG"/>
        <w:tabs>
          <w:tab w:val="clear" w:pos="1701"/>
          <w:tab w:val="clear" w:pos="2268"/>
          <w:tab w:val="clear" w:pos="2835"/>
        </w:tabs>
        <w:rPr>
          <w:bCs/>
          <w:lang w:val="es-SV"/>
        </w:rPr>
      </w:pPr>
      <w:r w:rsidRPr="0069218C">
        <w:rPr>
          <w:bCs/>
          <w:lang w:val="es-SV"/>
        </w:rPr>
        <w:t>137.</w:t>
      </w:r>
      <w:r w:rsidRPr="0069218C">
        <w:rPr>
          <w:bCs/>
          <w:lang w:val="es-SV"/>
        </w:rPr>
        <w:tab/>
      </w:r>
      <w:r w:rsidR="0069218C" w:rsidRPr="0069218C">
        <w:rPr>
          <w:bCs/>
          <w:lang w:val="es-SV"/>
        </w:rPr>
        <w:t>Con el Proyecto Mi Nueva Escuela, se busca la revaloración del diseño de las instalaciones educativas para lograr un impacto positivo en el aprendizaje; integrando además a la comunidad en obras comunitarias, como, parques, teatros y canchas de basquetbol, que contribuyan a la recreación y esparcimiento. Asimismo, se prevé la legalización de los inmuebles de los centros educativos como propiedad del MINEDUCYT, por medio de la actualización de las normativas, reglamentos y leyes.</w:t>
      </w:r>
    </w:p>
    <w:p w14:paraId="4C2C4CCA" w14:textId="3D392BBF" w:rsidR="0069218C" w:rsidRPr="0069218C" w:rsidRDefault="00C44B04" w:rsidP="001C2C73">
      <w:pPr>
        <w:pStyle w:val="SingleTxtG"/>
        <w:tabs>
          <w:tab w:val="clear" w:pos="1701"/>
          <w:tab w:val="clear" w:pos="2268"/>
          <w:tab w:val="clear" w:pos="2835"/>
        </w:tabs>
        <w:rPr>
          <w:bCs/>
          <w:lang w:val="es-SV"/>
        </w:rPr>
      </w:pPr>
      <w:r w:rsidRPr="0069218C">
        <w:rPr>
          <w:bCs/>
          <w:lang w:val="es-SV"/>
        </w:rPr>
        <w:t>138.</w:t>
      </w:r>
      <w:r w:rsidRPr="0069218C">
        <w:rPr>
          <w:bCs/>
          <w:lang w:val="es-SV"/>
        </w:rPr>
        <w:tab/>
      </w:r>
      <w:r w:rsidR="0069218C" w:rsidRPr="0069218C">
        <w:rPr>
          <w:bCs/>
          <w:lang w:val="es-SV"/>
        </w:rPr>
        <w:t>Entre junio 2020 y mayo 2021 se brind</w:t>
      </w:r>
      <w:r w:rsidR="00D75B66">
        <w:rPr>
          <w:bCs/>
          <w:lang w:val="es-SV"/>
        </w:rPr>
        <w:t>ó</w:t>
      </w:r>
      <w:r w:rsidR="0069218C" w:rsidRPr="0069218C">
        <w:rPr>
          <w:bCs/>
          <w:lang w:val="es-SV"/>
        </w:rPr>
        <w:t xml:space="preserve"> mantenimiento y reparación a 303 centros educativos, beneficiando a 136</w:t>
      </w:r>
      <w:r w:rsidR="00D75B66">
        <w:rPr>
          <w:bCs/>
          <w:lang w:val="es-SV"/>
        </w:rPr>
        <w:t>.</w:t>
      </w:r>
      <w:r w:rsidR="0069218C" w:rsidRPr="0069218C">
        <w:rPr>
          <w:bCs/>
          <w:lang w:val="es-SV"/>
        </w:rPr>
        <w:t>135 estudiantes; alcanzando una inversión de $4</w:t>
      </w:r>
      <w:r w:rsidR="00D75B66">
        <w:rPr>
          <w:bCs/>
          <w:lang w:val="es-SV"/>
        </w:rPr>
        <w:t>,</w:t>
      </w:r>
      <w:r w:rsidR="0069218C" w:rsidRPr="0069218C">
        <w:rPr>
          <w:bCs/>
          <w:lang w:val="es-SV"/>
        </w:rPr>
        <w:t>5 millones; con la colaboración del gobierno de Japón, Fundación Callejas, Cooperación ACNUR y la Organización Internacional para las Migraciones (OIM).</w:t>
      </w:r>
    </w:p>
    <w:p w14:paraId="5A8AAD22" w14:textId="004250F1" w:rsidR="0069218C" w:rsidRPr="0069218C" w:rsidRDefault="00C44B04" w:rsidP="001C2C73">
      <w:pPr>
        <w:pStyle w:val="SingleTxtG"/>
        <w:tabs>
          <w:tab w:val="clear" w:pos="1701"/>
          <w:tab w:val="clear" w:pos="2268"/>
          <w:tab w:val="clear" w:pos="2835"/>
        </w:tabs>
        <w:rPr>
          <w:bCs/>
          <w:lang w:val="es-SV"/>
        </w:rPr>
      </w:pPr>
      <w:r w:rsidRPr="0069218C">
        <w:rPr>
          <w:bCs/>
          <w:lang w:val="es-SV"/>
        </w:rPr>
        <w:t>139.</w:t>
      </w:r>
      <w:r w:rsidRPr="0069218C">
        <w:rPr>
          <w:bCs/>
          <w:lang w:val="es-SV"/>
        </w:rPr>
        <w:tab/>
      </w:r>
      <w:r w:rsidR="0069218C" w:rsidRPr="0069218C">
        <w:rPr>
          <w:bCs/>
          <w:lang w:val="es-SV"/>
        </w:rPr>
        <w:t>Sobre mejoramiento integral de centros educativos con daños severos en su infraestructura, se ha logrado llegar a 29 centros educativos, beneficiando a 17</w:t>
      </w:r>
      <w:r w:rsidR="00D75B66">
        <w:rPr>
          <w:bCs/>
          <w:lang w:val="es-SV"/>
        </w:rPr>
        <w:t>.</w:t>
      </w:r>
      <w:r w:rsidR="0069218C" w:rsidRPr="0069218C">
        <w:rPr>
          <w:bCs/>
          <w:lang w:val="es-SV"/>
        </w:rPr>
        <w:t>944 estudiantes, con una inversión de $39</w:t>
      </w:r>
      <w:r w:rsidR="00D75B66">
        <w:rPr>
          <w:bCs/>
          <w:lang w:val="es-SV"/>
        </w:rPr>
        <w:t>,</w:t>
      </w:r>
      <w:r w:rsidR="0069218C" w:rsidRPr="0069218C">
        <w:rPr>
          <w:bCs/>
          <w:lang w:val="es-SV"/>
        </w:rPr>
        <w:t>7 millones con fondos de FOMILENIO II y se ha dotado de mobiliario adecuado para favorecer los aprendizajes a 173 centros educativos, beneficiando a 57</w:t>
      </w:r>
      <w:r w:rsidR="00D75B66">
        <w:rPr>
          <w:bCs/>
          <w:lang w:val="es-SV"/>
        </w:rPr>
        <w:t>.</w:t>
      </w:r>
      <w:r w:rsidR="0069218C" w:rsidRPr="0069218C">
        <w:rPr>
          <w:bCs/>
          <w:lang w:val="es-SV"/>
        </w:rPr>
        <w:t>263 estudiantes, con una inversión de $700</w:t>
      </w:r>
      <w:r w:rsidR="00D75B66">
        <w:rPr>
          <w:bCs/>
          <w:lang w:val="es-SV"/>
        </w:rPr>
        <w:t>.000</w:t>
      </w:r>
      <w:r w:rsidR="0069218C" w:rsidRPr="0069218C">
        <w:rPr>
          <w:bCs/>
          <w:lang w:val="es-SV"/>
        </w:rPr>
        <w:t xml:space="preserve"> con fondos propios.</w:t>
      </w:r>
    </w:p>
    <w:p w14:paraId="1520E3B2" w14:textId="6FBFFC42" w:rsidR="001145BC" w:rsidRDefault="00C44B04" w:rsidP="001C2C73">
      <w:pPr>
        <w:pStyle w:val="SingleTxtG"/>
        <w:tabs>
          <w:tab w:val="clear" w:pos="1701"/>
          <w:tab w:val="clear" w:pos="2268"/>
          <w:tab w:val="clear" w:pos="2835"/>
        </w:tabs>
        <w:rPr>
          <w:bCs/>
          <w:lang w:val="es-SV"/>
        </w:rPr>
      </w:pPr>
      <w:r>
        <w:rPr>
          <w:bCs/>
          <w:lang w:val="es-SV"/>
        </w:rPr>
        <w:t>140.</w:t>
      </w:r>
      <w:r>
        <w:rPr>
          <w:bCs/>
          <w:lang w:val="es-SV"/>
        </w:rPr>
        <w:tab/>
      </w:r>
      <w:r w:rsidR="0069218C" w:rsidRPr="0069218C">
        <w:rPr>
          <w:bCs/>
          <w:lang w:val="es-SV"/>
        </w:rPr>
        <w:t>25. El gobierno de El Salvador con el apoyo de la FAO llevo a cabo el lanzamiento oficial de la Estrategia de Alimentación Escolar Saludable y Sostenible, en el marco del Programa de Alimentación y Salud Escolar uno de los Programas del Subsistema de Protección Social enmarcado en la Ley de Desarrollo, Protección e Inclusión Social, el cual es coordinado por el Despacho de la Comisionada Presidencial para Operaciones y Gabinete y el MINEDUCYT.</w:t>
      </w:r>
    </w:p>
    <w:p w14:paraId="29CBDE2F" w14:textId="372DB686" w:rsidR="0069218C" w:rsidRPr="0069218C" w:rsidRDefault="00C44B04" w:rsidP="001C2C73">
      <w:pPr>
        <w:pStyle w:val="SingleTxtG"/>
        <w:tabs>
          <w:tab w:val="clear" w:pos="1701"/>
          <w:tab w:val="clear" w:pos="2268"/>
          <w:tab w:val="clear" w:pos="2835"/>
        </w:tabs>
        <w:rPr>
          <w:bCs/>
          <w:lang w:val="es-SV"/>
        </w:rPr>
      </w:pPr>
      <w:r w:rsidRPr="0069218C">
        <w:rPr>
          <w:bCs/>
          <w:lang w:val="es-SV"/>
        </w:rPr>
        <w:lastRenderedPageBreak/>
        <w:t>141.</w:t>
      </w:r>
      <w:r w:rsidRPr="0069218C">
        <w:rPr>
          <w:bCs/>
          <w:lang w:val="es-SV"/>
        </w:rPr>
        <w:tab/>
      </w:r>
      <w:r w:rsidR="0069218C" w:rsidRPr="0069218C">
        <w:rPr>
          <w:bCs/>
          <w:lang w:val="es-SV"/>
        </w:rPr>
        <w:t>Con el PASE y el Programa Vaso de Leche se contribuye a la mejora en los hábitos de alimentación y nutrición, se promueve el fomento de huertos escolares, familiares y comunitarios.</w:t>
      </w:r>
    </w:p>
    <w:p w14:paraId="0D178599" w14:textId="2713A1AA" w:rsidR="0069218C" w:rsidRPr="0069218C" w:rsidRDefault="00C44B04" w:rsidP="001C2C73">
      <w:pPr>
        <w:pStyle w:val="SingleTxtG"/>
        <w:tabs>
          <w:tab w:val="clear" w:pos="1701"/>
          <w:tab w:val="clear" w:pos="2268"/>
          <w:tab w:val="clear" w:pos="2835"/>
        </w:tabs>
        <w:rPr>
          <w:bCs/>
          <w:lang w:val="es-SV"/>
        </w:rPr>
      </w:pPr>
      <w:r w:rsidRPr="0069218C">
        <w:rPr>
          <w:bCs/>
          <w:lang w:val="es-SV"/>
        </w:rPr>
        <w:t>142.</w:t>
      </w:r>
      <w:r w:rsidRPr="0069218C">
        <w:rPr>
          <w:bCs/>
          <w:lang w:val="es-SV"/>
        </w:rPr>
        <w:tab/>
      </w:r>
      <w:r w:rsidR="0069218C" w:rsidRPr="0069218C">
        <w:rPr>
          <w:bCs/>
          <w:lang w:val="es-SV"/>
        </w:rPr>
        <w:t>Con el Programa Mi Nueva Escuela, se busca fortalecer la educación a través del mejoramiento de ambientes escolares en centros educativos ubicados en los departamentos con alto Índice de Pobreza Multidimensional, con especial énfasis en los niveles de Parvularia, Básica y Educación Media y, así, mejorar la calidad de la educación y reducir la tasa de deserción de esos departamentos mediante la atención a la demanda.</w:t>
      </w:r>
    </w:p>
    <w:p w14:paraId="5A6CEDDC" w14:textId="3617BF3E" w:rsidR="001145BC" w:rsidRDefault="00C44B04" w:rsidP="001C2C73">
      <w:pPr>
        <w:pStyle w:val="SingleTxtG"/>
        <w:tabs>
          <w:tab w:val="clear" w:pos="1701"/>
          <w:tab w:val="clear" w:pos="2268"/>
          <w:tab w:val="clear" w:pos="2835"/>
        </w:tabs>
        <w:rPr>
          <w:b/>
          <w:bCs/>
          <w:lang w:val="es-SV"/>
        </w:rPr>
      </w:pPr>
      <w:r>
        <w:rPr>
          <w:bCs/>
          <w:lang w:val="es-SV"/>
        </w:rPr>
        <w:t>143.</w:t>
      </w:r>
      <w:r>
        <w:rPr>
          <w:bCs/>
          <w:lang w:val="es-SV"/>
        </w:rPr>
        <w:tab/>
      </w:r>
      <w:r w:rsidR="0069218C" w:rsidRPr="0069218C">
        <w:rPr>
          <w:bCs/>
          <w:lang w:val="es-SV"/>
        </w:rPr>
        <w:t>El Salvador cuenta con una Política de Educación Inclusiva, la cual promueve oportunidades de acceso, permanencia y egreso efectivo en condiciones de igualdad, teniendo como premisa el respeto por condición de discapacidad, con dicha política 1</w:t>
      </w:r>
      <w:r w:rsidR="00E701D9">
        <w:rPr>
          <w:bCs/>
          <w:lang w:val="es-SV"/>
        </w:rPr>
        <w:t>.</w:t>
      </w:r>
      <w:r w:rsidR="0069218C" w:rsidRPr="0069218C">
        <w:rPr>
          <w:bCs/>
          <w:lang w:val="es-SV"/>
        </w:rPr>
        <w:t>211 estudiantes, a nivel nacional, se han visto beneficiados a través de los servicios de Evaluación y Orientación Psicopedagógica brindada por los 17 Centros de Orientación y Recursos; un promedio de 12</w:t>
      </w:r>
      <w:r w:rsidR="00E701D9">
        <w:rPr>
          <w:bCs/>
          <w:lang w:val="es-SV"/>
        </w:rPr>
        <w:t>.</w:t>
      </w:r>
      <w:r w:rsidR="0069218C" w:rsidRPr="0069218C">
        <w:rPr>
          <w:bCs/>
          <w:lang w:val="es-SV"/>
        </w:rPr>
        <w:t>145 estudiantes de Educación Básica han sido atendidos por los Docentes de Apoyo a la Inclusión y 1</w:t>
      </w:r>
      <w:r w:rsidR="00E701D9">
        <w:rPr>
          <w:bCs/>
          <w:lang w:val="es-SV"/>
        </w:rPr>
        <w:t>.</w:t>
      </w:r>
      <w:r w:rsidR="0069218C" w:rsidRPr="0069218C">
        <w:rPr>
          <w:bCs/>
          <w:lang w:val="es-SV"/>
        </w:rPr>
        <w:t>083, estudiantes ciegos y de baja visión reciben apoyo educativo y asistencia técnica.</w:t>
      </w:r>
      <w:r w:rsidR="0069218C" w:rsidRPr="0069218C">
        <w:rPr>
          <w:b/>
          <w:bCs/>
          <w:lang w:val="es-SV"/>
        </w:rPr>
        <w:t xml:space="preserve"> </w:t>
      </w:r>
    </w:p>
    <w:p w14:paraId="1FEE025E" w14:textId="48109077" w:rsidR="001145BC" w:rsidRPr="00E73FAF" w:rsidRDefault="0069218C" w:rsidP="001C2C73">
      <w:pPr>
        <w:pStyle w:val="Ttulo1"/>
        <w:spacing w:after="120"/>
        <w:rPr>
          <w:b/>
          <w:lang w:val="es-ES"/>
        </w:rPr>
      </w:pPr>
      <w:r w:rsidRPr="00E73FAF">
        <w:rPr>
          <w:b/>
          <w:lang w:val="es-ES"/>
        </w:rPr>
        <w:t xml:space="preserve">Porcentaje de estudiantes que inician el nivel preescolar, primer grado </w:t>
      </w:r>
      <w:r w:rsidR="00405EFC">
        <w:rPr>
          <w:b/>
          <w:lang w:val="es-ES"/>
        </w:rPr>
        <w:br/>
      </w:r>
      <w:r w:rsidRPr="00E73FAF">
        <w:rPr>
          <w:b/>
          <w:lang w:val="es-ES"/>
        </w:rPr>
        <w:t>y llegan último año de la enseñanza primaria</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70"/>
      </w:tblGrid>
      <w:tr w:rsidR="00DE494F" w:rsidRPr="00DE494F" w14:paraId="3515228A" w14:textId="77777777" w:rsidTr="00DE494F">
        <w:trPr>
          <w:tblHeader/>
        </w:trPr>
        <w:tc>
          <w:tcPr>
            <w:tcW w:w="8494" w:type="dxa"/>
            <w:shd w:val="clear" w:color="auto" w:fill="auto"/>
            <w:vAlign w:val="bottom"/>
          </w:tcPr>
          <w:p w14:paraId="08DD83C7" w14:textId="77777777" w:rsidR="00DE494F" w:rsidRPr="00DE494F" w:rsidRDefault="00DE494F" w:rsidP="00DE494F">
            <w:pPr>
              <w:pStyle w:val="SingleTxtG"/>
              <w:tabs>
                <w:tab w:val="clear" w:pos="1701"/>
                <w:tab w:val="clear" w:pos="2268"/>
                <w:tab w:val="clear" w:pos="2835"/>
              </w:tabs>
              <w:spacing w:before="80" w:after="80" w:line="200" w:lineRule="exact"/>
              <w:ind w:left="0" w:right="0"/>
              <w:jc w:val="left"/>
              <w:rPr>
                <w:bCs/>
                <w:i/>
                <w:sz w:val="16"/>
                <w:lang w:val="es-SV"/>
              </w:rPr>
            </w:pPr>
            <w:r w:rsidRPr="00DE494F">
              <w:rPr>
                <w:bCs/>
                <w:i/>
                <w:sz w:val="16"/>
                <w:lang w:val="es-SV"/>
              </w:rPr>
              <w:t>Tasa de supervivencia al 6° grado. Año 2019</w:t>
            </w:r>
          </w:p>
        </w:tc>
      </w:tr>
      <w:tr w:rsidR="00DE494F" w:rsidRPr="00DE494F" w14:paraId="14CE6E22" w14:textId="77777777" w:rsidTr="00DE494F">
        <w:tc>
          <w:tcPr>
            <w:tcW w:w="8494" w:type="dxa"/>
            <w:shd w:val="clear" w:color="auto" w:fill="auto"/>
          </w:tcPr>
          <w:p w14:paraId="06DAD949" w14:textId="448E2F8B" w:rsidR="00DE494F" w:rsidRPr="00DE494F" w:rsidRDefault="00DE494F" w:rsidP="00DE494F">
            <w:pPr>
              <w:pStyle w:val="SingleTxtG"/>
              <w:tabs>
                <w:tab w:val="clear" w:pos="1701"/>
                <w:tab w:val="clear" w:pos="2268"/>
                <w:tab w:val="clear" w:pos="2835"/>
              </w:tabs>
              <w:spacing w:before="40" w:after="40" w:line="220" w:lineRule="exact"/>
              <w:ind w:left="0" w:right="0"/>
              <w:jc w:val="left"/>
              <w:rPr>
                <w:bCs/>
                <w:sz w:val="18"/>
                <w:lang w:val="es-SV"/>
              </w:rPr>
            </w:pPr>
            <w:r w:rsidRPr="00DE494F">
              <w:rPr>
                <w:bCs/>
                <w:sz w:val="18"/>
                <w:lang w:val="es-SV"/>
              </w:rPr>
              <w:t>82</w:t>
            </w:r>
            <w:r w:rsidR="00405EFC">
              <w:rPr>
                <w:bCs/>
                <w:sz w:val="18"/>
                <w:lang w:val="es-SV"/>
              </w:rPr>
              <w:t>,</w:t>
            </w:r>
            <w:r w:rsidRPr="00DE494F">
              <w:rPr>
                <w:bCs/>
                <w:sz w:val="18"/>
                <w:lang w:val="es-SV"/>
              </w:rPr>
              <w:t>1</w:t>
            </w:r>
            <w:r w:rsidR="001043C1">
              <w:rPr>
                <w:bCs/>
                <w:sz w:val="18"/>
                <w:lang w:val="es-SV"/>
              </w:rPr>
              <w:t> %</w:t>
            </w:r>
          </w:p>
        </w:tc>
      </w:tr>
    </w:tbl>
    <w:p w14:paraId="4E63D30F" w14:textId="77777777" w:rsidR="0069218C" w:rsidRPr="00DE494F" w:rsidRDefault="00DE494F" w:rsidP="001C2C73">
      <w:pPr>
        <w:pStyle w:val="SingleTxtG"/>
        <w:spacing w:before="120" w:after="0"/>
        <w:ind w:firstLine="170"/>
        <w:rPr>
          <w:bCs/>
          <w:sz w:val="18"/>
          <w:lang w:val="es-SV"/>
        </w:rPr>
      </w:pPr>
      <w:r w:rsidRPr="00DE494F">
        <w:rPr>
          <w:bCs/>
          <w:i/>
          <w:sz w:val="18"/>
          <w:lang w:val="es-SV"/>
        </w:rPr>
        <w:t>Fuent</w:t>
      </w:r>
      <w:r w:rsidRPr="001C2C73">
        <w:rPr>
          <w:bCs/>
          <w:i/>
          <w:sz w:val="18"/>
          <w:lang w:val="es-SV"/>
        </w:rPr>
        <w:t>e</w:t>
      </w:r>
      <w:r w:rsidR="0069218C" w:rsidRPr="001C2C73">
        <w:rPr>
          <w:bCs/>
          <w:i/>
          <w:sz w:val="18"/>
          <w:lang w:val="es-SV"/>
        </w:rPr>
        <w:t>:</w:t>
      </w:r>
      <w:r w:rsidR="0069218C" w:rsidRPr="00DE494F">
        <w:rPr>
          <w:bCs/>
          <w:sz w:val="18"/>
          <w:lang w:val="es-SV"/>
        </w:rPr>
        <w:t xml:space="preserve"> MINEDUCYT.</w:t>
      </w:r>
    </w:p>
    <w:p w14:paraId="66A4D5F1" w14:textId="5D51F6F0" w:rsidR="001145BC" w:rsidRPr="00DE494F" w:rsidRDefault="0069218C" w:rsidP="001C2C73">
      <w:pPr>
        <w:pStyle w:val="SingleTxtG"/>
        <w:spacing w:after="240"/>
        <w:ind w:firstLine="170"/>
        <w:rPr>
          <w:bCs/>
          <w:sz w:val="18"/>
          <w:lang w:val="es-SV"/>
        </w:rPr>
      </w:pPr>
      <w:r w:rsidRPr="00DE494F">
        <w:rPr>
          <w:bCs/>
          <w:sz w:val="18"/>
          <w:lang w:val="es-SV"/>
        </w:rPr>
        <w:t>Matrícula, 2019-2020</w:t>
      </w:r>
      <w:r w:rsidR="00405EFC">
        <w:rPr>
          <w:bCs/>
          <w:sz w:val="18"/>
          <w:lang w:val="es-SV"/>
        </w:rPr>
        <w:t>.</w:t>
      </w:r>
    </w:p>
    <w:p w14:paraId="5CB0632E" w14:textId="73119F9C" w:rsidR="0069218C" w:rsidRPr="00386B6B" w:rsidRDefault="0069218C" w:rsidP="001C2C73">
      <w:pPr>
        <w:pStyle w:val="Ttulo1"/>
        <w:spacing w:after="120"/>
        <w:rPr>
          <w:b/>
          <w:lang w:val="es-ES"/>
        </w:rPr>
      </w:pPr>
      <w:r w:rsidRPr="00386B6B">
        <w:rPr>
          <w:b/>
          <w:lang w:val="es-ES"/>
        </w:rPr>
        <w:t>Porcentaje de escolarización y de finalización de la educación primaria</w:t>
      </w:r>
    </w:p>
    <w:tbl>
      <w:tblPr>
        <w:tblW w:w="7370" w:type="dxa"/>
        <w:tblInd w:w="1134" w:type="dxa"/>
        <w:tblLayout w:type="fixed"/>
        <w:tblCellMar>
          <w:left w:w="0" w:type="dxa"/>
          <w:right w:w="0" w:type="dxa"/>
        </w:tblCellMar>
        <w:tblLook w:val="04A0" w:firstRow="1" w:lastRow="0" w:firstColumn="1" w:lastColumn="0" w:noHBand="0" w:noVBand="1"/>
      </w:tblPr>
      <w:tblGrid>
        <w:gridCol w:w="3248"/>
        <w:gridCol w:w="4122"/>
      </w:tblGrid>
      <w:tr w:rsidR="001145BC" w:rsidRPr="001145BC" w14:paraId="3BC357A5" w14:textId="77777777" w:rsidTr="009C4946">
        <w:trPr>
          <w:tblHeader/>
        </w:trPr>
        <w:tc>
          <w:tcPr>
            <w:tcW w:w="7370" w:type="dxa"/>
            <w:gridSpan w:val="2"/>
            <w:tcBorders>
              <w:top w:val="single" w:sz="4" w:space="0" w:color="auto"/>
              <w:bottom w:val="single" w:sz="12" w:space="0" w:color="auto"/>
            </w:tcBorders>
            <w:shd w:val="clear" w:color="auto" w:fill="auto"/>
            <w:noWrap/>
            <w:vAlign w:val="bottom"/>
            <w:hideMark/>
          </w:tcPr>
          <w:p w14:paraId="75D9B360"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left"/>
              <w:rPr>
                <w:bCs/>
                <w:i/>
                <w:sz w:val="16"/>
                <w:lang w:val="es-SV"/>
              </w:rPr>
            </w:pPr>
            <w:r w:rsidRPr="001145BC">
              <w:rPr>
                <w:bCs/>
                <w:i/>
                <w:sz w:val="16"/>
                <w:lang w:val="es-SV"/>
              </w:rPr>
              <w:t>Tasa de supervivencia al 6° grado. Año 2019</w:t>
            </w:r>
          </w:p>
        </w:tc>
      </w:tr>
      <w:tr w:rsidR="001145BC" w:rsidRPr="001145BC" w14:paraId="4D4B4600" w14:textId="77777777" w:rsidTr="009C4946">
        <w:tc>
          <w:tcPr>
            <w:tcW w:w="3248" w:type="dxa"/>
            <w:tcBorders>
              <w:top w:val="single" w:sz="12" w:space="0" w:color="auto"/>
            </w:tcBorders>
            <w:shd w:val="clear" w:color="auto" w:fill="auto"/>
            <w:noWrap/>
            <w:hideMark/>
          </w:tcPr>
          <w:p w14:paraId="500632D3"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Hombre</w:t>
            </w:r>
          </w:p>
        </w:tc>
        <w:tc>
          <w:tcPr>
            <w:tcW w:w="4122" w:type="dxa"/>
            <w:tcBorders>
              <w:top w:val="single" w:sz="12" w:space="0" w:color="auto"/>
            </w:tcBorders>
            <w:shd w:val="clear" w:color="auto" w:fill="auto"/>
            <w:noWrap/>
            <w:hideMark/>
          </w:tcPr>
          <w:p w14:paraId="18D8B959" w14:textId="55659C0F"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80</w:t>
            </w:r>
            <w:r w:rsidR="00405EFC">
              <w:rPr>
                <w:bCs/>
                <w:sz w:val="18"/>
                <w:lang w:val="es-SV"/>
              </w:rPr>
              <w:t>,</w:t>
            </w:r>
            <w:r w:rsidRPr="001145BC">
              <w:rPr>
                <w:bCs/>
                <w:sz w:val="18"/>
                <w:lang w:val="es-SV"/>
              </w:rPr>
              <w:t>0</w:t>
            </w:r>
            <w:r w:rsidR="001043C1">
              <w:rPr>
                <w:bCs/>
                <w:sz w:val="18"/>
                <w:lang w:val="es-SV"/>
              </w:rPr>
              <w:t> %</w:t>
            </w:r>
          </w:p>
        </w:tc>
      </w:tr>
      <w:tr w:rsidR="001145BC" w:rsidRPr="001145BC" w14:paraId="56F2411C" w14:textId="77777777" w:rsidTr="009C4946">
        <w:tc>
          <w:tcPr>
            <w:tcW w:w="3248" w:type="dxa"/>
            <w:shd w:val="clear" w:color="auto" w:fill="auto"/>
            <w:noWrap/>
            <w:hideMark/>
          </w:tcPr>
          <w:p w14:paraId="5BC95074"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Mujer</w:t>
            </w:r>
          </w:p>
        </w:tc>
        <w:tc>
          <w:tcPr>
            <w:tcW w:w="4122" w:type="dxa"/>
            <w:shd w:val="clear" w:color="auto" w:fill="auto"/>
            <w:noWrap/>
            <w:hideMark/>
          </w:tcPr>
          <w:p w14:paraId="552065E7" w14:textId="2149248D"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84</w:t>
            </w:r>
            <w:r w:rsidR="00405EFC">
              <w:rPr>
                <w:bCs/>
                <w:sz w:val="18"/>
                <w:lang w:val="es-SV"/>
              </w:rPr>
              <w:t>,</w:t>
            </w:r>
            <w:r w:rsidRPr="001145BC">
              <w:rPr>
                <w:bCs/>
                <w:sz w:val="18"/>
                <w:lang w:val="es-SV"/>
              </w:rPr>
              <w:t>3</w:t>
            </w:r>
            <w:r w:rsidR="001043C1">
              <w:rPr>
                <w:bCs/>
                <w:sz w:val="18"/>
                <w:lang w:val="es-SV"/>
              </w:rPr>
              <w:t> %</w:t>
            </w:r>
          </w:p>
        </w:tc>
      </w:tr>
      <w:tr w:rsidR="001145BC" w:rsidRPr="001145BC" w14:paraId="1887694B" w14:textId="77777777" w:rsidTr="009C4946">
        <w:tc>
          <w:tcPr>
            <w:tcW w:w="3248" w:type="dxa"/>
            <w:shd w:val="clear" w:color="auto" w:fill="auto"/>
            <w:noWrap/>
            <w:hideMark/>
          </w:tcPr>
          <w:p w14:paraId="26B8A21F"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Rural</w:t>
            </w:r>
          </w:p>
        </w:tc>
        <w:tc>
          <w:tcPr>
            <w:tcW w:w="4122" w:type="dxa"/>
            <w:shd w:val="clear" w:color="auto" w:fill="auto"/>
            <w:noWrap/>
            <w:hideMark/>
          </w:tcPr>
          <w:p w14:paraId="143035AA" w14:textId="7A9A44CF"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75</w:t>
            </w:r>
            <w:r w:rsidR="00405EFC">
              <w:rPr>
                <w:bCs/>
                <w:sz w:val="18"/>
                <w:lang w:val="es-SV"/>
              </w:rPr>
              <w:t>,</w:t>
            </w:r>
            <w:r w:rsidRPr="001145BC">
              <w:rPr>
                <w:bCs/>
                <w:sz w:val="18"/>
                <w:lang w:val="es-SV"/>
              </w:rPr>
              <w:t>5</w:t>
            </w:r>
            <w:r w:rsidR="001043C1">
              <w:rPr>
                <w:bCs/>
                <w:sz w:val="18"/>
                <w:lang w:val="es-SV"/>
              </w:rPr>
              <w:t> %</w:t>
            </w:r>
          </w:p>
        </w:tc>
      </w:tr>
      <w:tr w:rsidR="001145BC" w:rsidRPr="001145BC" w14:paraId="70B89563" w14:textId="77777777" w:rsidTr="009C4946">
        <w:tc>
          <w:tcPr>
            <w:tcW w:w="3248" w:type="dxa"/>
            <w:tcBorders>
              <w:bottom w:val="single" w:sz="12" w:space="0" w:color="auto"/>
            </w:tcBorders>
            <w:shd w:val="clear" w:color="auto" w:fill="auto"/>
            <w:noWrap/>
            <w:hideMark/>
          </w:tcPr>
          <w:p w14:paraId="1DDF0E02"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Urbana</w:t>
            </w:r>
          </w:p>
        </w:tc>
        <w:tc>
          <w:tcPr>
            <w:tcW w:w="4122" w:type="dxa"/>
            <w:tcBorders>
              <w:bottom w:val="single" w:sz="12" w:space="0" w:color="auto"/>
            </w:tcBorders>
            <w:shd w:val="clear" w:color="auto" w:fill="auto"/>
            <w:noWrap/>
            <w:hideMark/>
          </w:tcPr>
          <w:p w14:paraId="11291934" w14:textId="62ECBB9D"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89</w:t>
            </w:r>
            <w:r w:rsidR="00405EFC">
              <w:rPr>
                <w:bCs/>
                <w:sz w:val="18"/>
                <w:lang w:val="es-SV"/>
              </w:rPr>
              <w:t>,</w:t>
            </w:r>
            <w:r w:rsidRPr="001145BC">
              <w:rPr>
                <w:bCs/>
                <w:sz w:val="18"/>
                <w:lang w:val="es-SV"/>
              </w:rPr>
              <w:t>2</w:t>
            </w:r>
            <w:r w:rsidR="001043C1">
              <w:rPr>
                <w:bCs/>
                <w:sz w:val="18"/>
                <w:lang w:val="es-SV"/>
              </w:rPr>
              <w:t> %</w:t>
            </w:r>
          </w:p>
        </w:tc>
      </w:tr>
    </w:tbl>
    <w:p w14:paraId="7447EB53" w14:textId="2C7B40A3" w:rsidR="0069218C" w:rsidRPr="00401B6E" w:rsidRDefault="00401B6E" w:rsidP="001C2C73">
      <w:pPr>
        <w:pStyle w:val="SingleTxtG"/>
        <w:spacing w:before="120" w:after="0"/>
        <w:ind w:firstLine="170"/>
        <w:rPr>
          <w:bCs/>
          <w:sz w:val="18"/>
          <w:lang w:val="es-SV"/>
        </w:rPr>
      </w:pPr>
      <w:r w:rsidRPr="00401B6E">
        <w:rPr>
          <w:bCs/>
          <w:i/>
          <w:sz w:val="18"/>
          <w:lang w:val="es-SV"/>
        </w:rPr>
        <w:t>Fuente:</w:t>
      </w:r>
      <w:r w:rsidRPr="00401B6E">
        <w:rPr>
          <w:bCs/>
          <w:sz w:val="18"/>
          <w:lang w:val="es-SV"/>
        </w:rPr>
        <w:t xml:space="preserve"> MINEDUCYT</w:t>
      </w:r>
      <w:r w:rsidR="00405EFC">
        <w:rPr>
          <w:bCs/>
          <w:sz w:val="18"/>
          <w:lang w:val="es-SV"/>
        </w:rPr>
        <w:t>.</w:t>
      </w:r>
    </w:p>
    <w:p w14:paraId="061BD2CE" w14:textId="77777777" w:rsidR="001145BC" w:rsidRPr="00401B6E" w:rsidRDefault="0069218C" w:rsidP="001C2C73">
      <w:pPr>
        <w:pStyle w:val="SingleTxtG"/>
        <w:spacing w:after="240"/>
        <w:ind w:firstLine="170"/>
        <w:rPr>
          <w:bCs/>
          <w:sz w:val="18"/>
          <w:lang w:val="es-SV"/>
        </w:rPr>
      </w:pPr>
      <w:r w:rsidRPr="00401B6E">
        <w:rPr>
          <w:bCs/>
          <w:sz w:val="18"/>
          <w:lang w:val="es-SV"/>
        </w:rPr>
        <w:t>Matrícula, 2019.</w:t>
      </w:r>
    </w:p>
    <w:p w14:paraId="7472E1DA" w14:textId="77777777" w:rsidR="0069218C" w:rsidRPr="00386B6B" w:rsidRDefault="0069218C" w:rsidP="001C2C73">
      <w:pPr>
        <w:pStyle w:val="Ttulo1"/>
        <w:spacing w:after="120"/>
        <w:rPr>
          <w:b/>
          <w:lang w:val="es-ES"/>
        </w:rPr>
      </w:pPr>
      <w:r w:rsidRPr="00386B6B">
        <w:rPr>
          <w:b/>
          <w:lang w:val="es-ES"/>
        </w:rPr>
        <w:t>Porcentaje de escolarización y de finalización de la educación secundaria</w:t>
      </w:r>
    </w:p>
    <w:tbl>
      <w:tblPr>
        <w:tblW w:w="7370" w:type="dxa"/>
        <w:tblInd w:w="1134" w:type="dxa"/>
        <w:tblLayout w:type="fixed"/>
        <w:tblCellMar>
          <w:left w:w="0" w:type="dxa"/>
          <w:right w:w="0" w:type="dxa"/>
        </w:tblCellMar>
        <w:tblLook w:val="04A0" w:firstRow="1" w:lastRow="0" w:firstColumn="1" w:lastColumn="0" w:noHBand="0" w:noVBand="1"/>
      </w:tblPr>
      <w:tblGrid>
        <w:gridCol w:w="2930"/>
        <w:gridCol w:w="4440"/>
      </w:tblGrid>
      <w:tr w:rsidR="001145BC" w:rsidRPr="001145BC" w14:paraId="60B53398" w14:textId="77777777" w:rsidTr="009C4946">
        <w:trPr>
          <w:tblHeader/>
        </w:trPr>
        <w:tc>
          <w:tcPr>
            <w:tcW w:w="7370" w:type="dxa"/>
            <w:gridSpan w:val="2"/>
            <w:tcBorders>
              <w:top w:val="single" w:sz="4" w:space="0" w:color="auto"/>
              <w:bottom w:val="single" w:sz="12" w:space="0" w:color="auto"/>
            </w:tcBorders>
            <w:shd w:val="clear" w:color="auto" w:fill="auto"/>
            <w:noWrap/>
            <w:vAlign w:val="bottom"/>
            <w:hideMark/>
          </w:tcPr>
          <w:p w14:paraId="764F7129" w14:textId="77777777" w:rsidR="0069218C" w:rsidRPr="001145BC" w:rsidRDefault="0069218C" w:rsidP="001145BC">
            <w:pPr>
              <w:pStyle w:val="SingleTxtG"/>
              <w:tabs>
                <w:tab w:val="clear" w:pos="1701"/>
                <w:tab w:val="clear" w:pos="2268"/>
                <w:tab w:val="clear" w:pos="2835"/>
              </w:tabs>
              <w:spacing w:before="80" w:after="80" w:line="200" w:lineRule="exact"/>
              <w:ind w:left="0" w:right="0"/>
              <w:jc w:val="left"/>
              <w:rPr>
                <w:bCs/>
                <w:i/>
                <w:sz w:val="16"/>
                <w:lang w:val="es-SV"/>
              </w:rPr>
            </w:pPr>
            <w:r w:rsidRPr="001145BC">
              <w:rPr>
                <w:bCs/>
                <w:i/>
                <w:sz w:val="16"/>
                <w:lang w:val="es-SV"/>
              </w:rPr>
              <w:t>Tasa de supervivencia al 1° año de bachillerato. Año 2019</w:t>
            </w:r>
          </w:p>
        </w:tc>
      </w:tr>
      <w:tr w:rsidR="001145BC" w:rsidRPr="001145BC" w14:paraId="6FB26C08" w14:textId="77777777" w:rsidTr="009C4946">
        <w:tc>
          <w:tcPr>
            <w:tcW w:w="2930" w:type="dxa"/>
            <w:tcBorders>
              <w:top w:val="single" w:sz="12" w:space="0" w:color="auto"/>
            </w:tcBorders>
            <w:shd w:val="clear" w:color="auto" w:fill="auto"/>
            <w:noWrap/>
          </w:tcPr>
          <w:p w14:paraId="2289383F"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Global</w:t>
            </w:r>
          </w:p>
        </w:tc>
        <w:tc>
          <w:tcPr>
            <w:tcW w:w="4440" w:type="dxa"/>
            <w:tcBorders>
              <w:top w:val="single" w:sz="12" w:space="0" w:color="auto"/>
            </w:tcBorders>
            <w:shd w:val="clear" w:color="auto" w:fill="auto"/>
            <w:noWrap/>
          </w:tcPr>
          <w:p w14:paraId="053F7D31" w14:textId="56DA9BCB"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59</w:t>
            </w:r>
            <w:r w:rsidR="00405EFC">
              <w:rPr>
                <w:bCs/>
                <w:sz w:val="18"/>
                <w:lang w:val="es-SV"/>
              </w:rPr>
              <w:t>,</w:t>
            </w:r>
            <w:r w:rsidRPr="001145BC">
              <w:rPr>
                <w:bCs/>
                <w:sz w:val="18"/>
                <w:lang w:val="es-SV"/>
              </w:rPr>
              <w:t>8</w:t>
            </w:r>
            <w:r w:rsidR="001043C1">
              <w:rPr>
                <w:bCs/>
                <w:sz w:val="18"/>
                <w:lang w:val="es-SV"/>
              </w:rPr>
              <w:t> %</w:t>
            </w:r>
            <w:r w:rsidRPr="001145BC">
              <w:rPr>
                <w:bCs/>
                <w:sz w:val="18"/>
                <w:lang w:val="es-SV"/>
              </w:rPr>
              <w:t xml:space="preserve"> </w:t>
            </w:r>
          </w:p>
        </w:tc>
      </w:tr>
      <w:tr w:rsidR="001145BC" w:rsidRPr="001145BC" w14:paraId="2F3B82AF" w14:textId="77777777" w:rsidTr="009C4946">
        <w:tc>
          <w:tcPr>
            <w:tcW w:w="2930" w:type="dxa"/>
            <w:shd w:val="clear" w:color="auto" w:fill="auto"/>
            <w:noWrap/>
            <w:hideMark/>
          </w:tcPr>
          <w:p w14:paraId="2AE767B1"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Hombre</w:t>
            </w:r>
          </w:p>
        </w:tc>
        <w:tc>
          <w:tcPr>
            <w:tcW w:w="4440" w:type="dxa"/>
            <w:shd w:val="clear" w:color="auto" w:fill="auto"/>
            <w:noWrap/>
            <w:hideMark/>
          </w:tcPr>
          <w:p w14:paraId="0A81C3A7" w14:textId="22376424"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55</w:t>
            </w:r>
            <w:r w:rsidR="00405EFC">
              <w:rPr>
                <w:bCs/>
                <w:sz w:val="18"/>
                <w:lang w:val="es-SV"/>
              </w:rPr>
              <w:t>,</w:t>
            </w:r>
            <w:r w:rsidRPr="001145BC">
              <w:rPr>
                <w:bCs/>
                <w:sz w:val="18"/>
                <w:lang w:val="es-SV"/>
              </w:rPr>
              <w:t>7</w:t>
            </w:r>
            <w:r w:rsidR="001043C1">
              <w:rPr>
                <w:bCs/>
                <w:sz w:val="18"/>
                <w:lang w:val="es-SV"/>
              </w:rPr>
              <w:t> %</w:t>
            </w:r>
          </w:p>
        </w:tc>
      </w:tr>
      <w:tr w:rsidR="001145BC" w:rsidRPr="001145BC" w14:paraId="2CB28231" w14:textId="77777777" w:rsidTr="009C4946">
        <w:tc>
          <w:tcPr>
            <w:tcW w:w="2930" w:type="dxa"/>
            <w:shd w:val="clear" w:color="auto" w:fill="auto"/>
            <w:noWrap/>
            <w:hideMark/>
          </w:tcPr>
          <w:p w14:paraId="19114313"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Mujer</w:t>
            </w:r>
          </w:p>
        </w:tc>
        <w:tc>
          <w:tcPr>
            <w:tcW w:w="4440" w:type="dxa"/>
            <w:shd w:val="clear" w:color="auto" w:fill="auto"/>
            <w:noWrap/>
            <w:hideMark/>
          </w:tcPr>
          <w:p w14:paraId="4646FF07" w14:textId="7E937562"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64</w:t>
            </w:r>
            <w:r w:rsidR="00405EFC">
              <w:rPr>
                <w:bCs/>
                <w:sz w:val="18"/>
                <w:lang w:val="es-SV"/>
              </w:rPr>
              <w:t>,</w:t>
            </w:r>
            <w:r w:rsidRPr="001145BC">
              <w:rPr>
                <w:bCs/>
                <w:sz w:val="18"/>
                <w:lang w:val="es-SV"/>
              </w:rPr>
              <w:t>3</w:t>
            </w:r>
            <w:r w:rsidR="001043C1">
              <w:rPr>
                <w:bCs/>
                <w:sz w:val="18"/>
                <w:lang w:val="es-SV"/>
              </w:rPr>
              <w:t> %</w:t>
            </w:r>
          </w:p>
        </w:tc>
      </w:tr>
      <w:tr w:rsidR="001145BC" w:rsidRPr="001145BC" w14:paraId="4826670C" w14:textId="77777777" w:rsidTr="009C4946">
        <w:tc>
          <w:tcPr>
            <w:tcW w:w="2930" w:type="dxa"/>
            <w:shd w:val="clear" w:color="auto" w:fill="auto"/>
            <w:noWrap/>
            <w:hideMark/>
          </w:tcPr>
          <w:p w14:paraId="573952B0"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Rural</w:t>
            </w:r>
          </w:p>
        </w:tc>
        <w:tc>
          <w:tcPr>
            <w:tcW w:w="4440" w:type="dxa"/>
            <w:shd w:val="clear" w:color="auto" w:fill="auto"/>
            <w:noWrap/>
            <w:hideMark/>
          </w:tcPr>
          <w:p w14:paraId="4D260F51" w14:textId="1AE8FA2C"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19</w:t>
            </w:r>
            <w:r w:rsidR="00405EFC">
              <w:rPr>
                <w:bCs/>
                <w:sz w:val="18"/>
                <w:lang w:val="es-SV"/>
              </w:rPr>
              <w:t>,</w:t>
            </w:r>
            <w:r w:rsidRPr="001145BC">
              <w:rPr>
                <w:bCs/>
                <w:sz w:val="18"/>
                <w:lang w:val="es-SV"/>
              </w:rPr>
              <w:t>4</w:t>
            </w:r>
            <w:r w:rsidR="001043C1">
              <w:rPr>
                <w:bCs/>
                <w:sz w:val="18"/>
                <w:lang w:val="es-SV"/>
              </w:rPr>
              <w:t> %</w:t>
            </w:r>
          </w:p>
        </w:tc>
      </w:tr>
      <w:tr w:rsidR="001145BC" w:rsidRPr="001145BC" w14:paraId="690403FC" w14:textId="77777777" w:rsidTr="009C4946">
        <w:tc>
          <w:tcPr>
            <w:tcW w:w="2930" w:type="dxa"/>
            <w:tcBorders>
              <w:bottom w:val="single" w:sz="12" w:space="0" w:color="auto"/>
            </w:tcBorders>
            <w:shd w:val="clear" w:color="auto" w:fill="auto"/>
            <w:noWrap/>
            <w:hideMark/>
          </w:tcPr>
          <w:p w14:paraId="044C2249" w14:textId="77777777"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Urbana</w:t>
            </w:r>
          </w:p>
        </w:tc>
        <w:tc>
          <w:tcPr>
            <w:tcW w:w="4440" w:type="dxa"/>
            <w:tcBorders>
              <w:bottom w:val="single" w:sz="12" w:space="0" w:color="auto"/>
            </w:tcBorders>
            <w:shd w:val="clear" w:color="auto" w:fill="auto"/>
            <w:noWrap/>
            <w:hideMark/>
          </w:tcPr>
          <w:p w14:paraId="77CC05B6" w14:textId="79EE596D" w:rsidR="0069218C" w:rsidRPr="001145BC" w:rsidRDefault="0069218C" w:rsidP="001145BC">
            <w:pPr>
              <w:pStyle w:val="SingleTxtG"/>
              <w:tabs>
                <w:tab w:val="clear" w:pos="1701"/>
                <w:tab w:val="clear" w:pos="2268"/>
                <w:tab w:val="clear" w:pos="2835"/>
              </w:tabs>
              <w:spacing w:before="40" w:after="40" w:line="220" w:lineRule="exact"/>
              <w:ind w:left="0" w:right="0"/>
              <w:jc w:val="left"/>
              <w:rPr>
                <w:bCs/>
                <w:sz w:val="18"/>
                <w:lang w:val="es-SV"/>
              </w:rPr>
            </w:pPr>
            <w:r w:rsidRPr="001145BC">
              <w:rPr>
                <w:bCs/>
                <w:sz w:val="18"/>
                <w:lang w:val="es-SV"/>
              </w:rPr>
              <w:t>105</w:t>
            </w:r>
            <w:r w:rsidR="00405EFC">
              <w:rPr>
                <w:bCs/>
                <w:sz w:val="18"/>
                <w:lang w:val="es-SV"/>
              </w:rPr>
              <w:t>,</w:t>
            </w:r>
            <w:r w:rsidRPr="001145BC">
              <w:rPr>
                <w:bCs/>
                <w:sz w:val="18"/>
                <w:lang w:val="es-SV"/>
              </w:rPr>
              <w:t>7</w:t>
            </w:r>
            <w:r w:rsidR="001043C1">
              <w:rPr>
                <w:bCs/>
                <w:sz w:val="18"/>
                <w:lang w:val="es-SV"/>
              </w:rPr>
              <w:t> %</w:t>
            </w:r>
          </w:p>
        </w:tc>
      </w:tr>
    </w:tbl>
    <w:p w14:paraId="5A19D7E7" w14:textId="77777777" w:rsidR="0069218C" w:rsidRPr="00401B6E" w:rsidRDefault="00401B6E" w:rsidP="001C2C73">
      <w:pPr>
        <w:pStyle w:val="SingleTxtG"/>
        <w:spacing w:before="120" w:after="0"/>
        <w:ind w:firstLine="170"/>
        <w:rPr>
          <w:bCs/>
          <w:sz w:val="18"/>
          <w:lang w:val="es-SV"/>
        </w:rPr>
      </w:pPr>
      <w:r w:rsidRPr="00401B6E">
        <w:rPr>
          <w:bCs/>
          <w:i/>
          <w:sz w:val="18"/>
          <w:lang w:val="es-SV"/>
        </w:rPr>
        <w:t>Fuente</w:t>
      </w:r>
      <w:r w:rsidRPr="001C2C73">
        <w:rPr>
          <w:bCs/>
          <w:i/>
          <w:sz w:val="18"/>
          <w:lang w:val="es-SV"/>
        </w:rPr>
        <w:t>:</w:t>
      </w:r>
      <w:r w:rsidRPr="00401B6E">
        <w:rPr>
          <w:bCs/>
          <w:sz w:val="18"/>
          <w:lang w:val="es-SV"/>
        </w:rPr>
        <w:t xml:space="preserve"> MINEDUCYT. </w:t>
      </w:r>
    </w:p>
    <w:p w14:paraId="2C7C8E56" w14:textId="0F6B72D4" w:rsidR="001145BC" w:rsidRPr="00401B6E" w:rsidRDefault="0069218C" w:rsidP="001C2C73">
      <w:pPr>
        <w:pStyle w:val="SingleTxtG"/>
        <w:spacing w:after="240"/>
        <w:ind w:firstLine="170"/>
        <w:rPr>
          <w:bCs/>
          <w:sz w:val="18"/>
          <w:lang w:val="es-SV"/>
        </w:rPr>
      </w:pPr>
      <w:r w:rsidRPr="00401B6E">
        <w:rPr>
          <w:bCs/>
          <w:sz w:val="18"/>
          <w:lang w:val="es-SV"/>
        </w:rPr>
        <w:t>Matrícula, 2019</w:t>
      </w:r>
      <w:r w:rsidR="00405EFC">
        <w:rPr>
          <w:bCs/>
          <w:sz w:val="18"/>
          <w:lang w:val="es-SV"/>
        </w:rPr>
        <w:t>.</w:t>
      </w:r>
    </w:p>
    <w:p w14:paraId="416D55C7" w14:textId="77777777" w:rsidR="0069218C" w:rsidRPr="00386B6B" w:rsidRDefault="0069218C" w:rsidP="004B15F2">
      <w:pPr>
        <w:pStyle w:val="Ttulo1"/>
        <w:rPr>
          <w:b/>
          <w:lang w:val="es-ES"/>
        </w:rPr>
      </w:pPr>
      <w:r w:rsidRPr="00386B6B">
        <w:rPr>
          <w:b/>
          <w:lang w:val="es-ES"/>
        </w:rPr>
        <w:lastRenderedPageBreak/>
        <w:t>Número medio de años de escolaridad completados</w:t>
      </w:r>
    </w:p>
    <w:p w14:paraId="1A8099A6" w14:textId="77777777" w:rsidR="0069218C" w:rsidRPr="0069218C" w:rsidRDefault="0069218C" w:rsidP="0069218C">
      <w:pPr>
        <w:pStyle w:val="SingleTxtG"/>
        <w:rPr>
          <w:b/>
          <w:bCs/>
          <w:lang w:val="es-SV"/>
        </w:rPr>
      </w:pPr>
      <w:r w:rsidRPr="0069218C">
        <w:rPr>
          <w:b/>
          <w:bCs/>
          <w:noProof/>
          <w:lang w:val="en-GB" w:eastAsia="en-GB"/>
        </w:rPr>
        <w:drawing>
          <wp:inline distT="0" distB="0" distL="0" distR="0" wp14:anchorId="0220A5B3" wp14:editId="39816EAA">
            <wp:extent cx="4815710" cy="2524125"/>
            <wp:effectExtent l="0" t="0" r="4445"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777"/>
                    <a:stretch/>
                  </pic:blipFill>
                  <pic:spPr bwMode="auto">
                    <a:xfrm>
                      <a:off x="0" y="0"/>
                      <a:ext cx="4831205" cy="2532246"/>
                    </a:xfrm>
                    <a:prstGeom prst="rect">
                      <a:avLst/>
                    </a:prstGeom>
                    <a:noFill/>
                    <a:ln>
                      <a:noFill/>
                    </a:ln>
                    <a:extLst>
                      <a:ext uri="{53640926-AAD7-44D8-BBD7-CCE9431645EC}">
                        <a14:shadowObscured xmlns:a14="http://schemas.microsoft.com/office/drawing/2010/main"/>
                      </a:ext>
                    </a:extLst>
                  </pic:spPr>
                </pic:pic>
              </a:graphicData>
            </a:graphic>
          </wp:inline>
        </w:drawing>
      </w:r>
    </w:p>
    <w:p w14:paraId="52932D6D" w14:textId="77777777" w:rsidR="001145BC" w:rsidRPr="00E73FAF" w:rsidRDefault="00E73FAF" w:rsidP="001C2C73">
      <w:pPr>
        <w:pStyle w:val="SingleTxtG"/>
        <w:spacing w:after="240"/>
        <w:ind w:left="1304"/>
        <w:rPr>
          <w:bCs/>
          <w:sz w:val="18"/>
          <w:lang w:val="es-SV"/>
        </w:rPr>
      </w:pPr>
      <w:r w:rsidRPr="00E73FAF">
        <w:rPr>
          <w:bCs/>
          <w:i/>
          <w:sz w:val="18"/>
          <w:lang w:val="es-SV"/>
        </w:rPr>
        <w:t>Fuente</w:t>
      </w:r>
      <w:r w:rsidR="0069218C" w:rsidRPr="001C2C73">
        <w:rPr>
          <w:bCs/>
          <w:i/>
          <w:sz w:val="18"/>
          <w:lang w:val="es-SV"/>
        </w:rPr>
        <w:t>:</w:t>
      </w:r>
      <w:r w:rsidR="0069218C" w:rsidRPr="00E73FAF">
        <w:rPr>
          <w:bCs/>
          <w:sz w:val="18"/>
          <w:lang w:val="es-SV"/>
        </w:rPr>
        <w:t xml:space="preserve"> DIGESTYC. EHPM 2019.</w:t>
      </w:r>
    </w:p>
    <w:p w14:paraId="73428A4F" w14:textId="23C17EF4" w:rsidR="001145BC" w:rsidRPr="00401B6E" w:rsidRDefault="00C44B04" w:rsidP="001C2C73">
      <w:pPr>
        <w:pStyle w:val="SingleTxtG"/>
        <w:tabs>
          <w:tab w:val="clear" w:pos="1701"/>
          <w:tab w:val="clear" w:pos="2268"/>
          <w:tab w:val="clear" w:pos="2835"/>
        </w:tabs>
        <w:rPr>
          <w:bCs/>
          <w:lang w:val="es-SV"/>
        </w:rPr>
      </w:pPr>
      <w:r w:rsidRPr="00401B6E">
        <w:rPr>
          <w:bCs/>
          <w:lang w:val="es-SV"/>
        </w:rPr>
        <w:t>144.</w:t>
      </w:r>
      <w:r w:rsidRPr="00401B6E">
        <w:rPr>
          <w:bCs/>
          <w:lang w:val="es-SV"/>
        </w:rPr>
        <w:tab/>
      </w:r>
      <w:r w:rsidR="0069218C" w:rsidRPr="0069218C">
        <w:rPr>
          <w:bCs/>
          <w:lang w:val="es-SV"/>
        </w:rPr>
        <w:t>Se ha realizado además la asignación para salud y educación, que</w:t>
      </w:r>
      <w:r w:rsidR="0069218C" w:rsidRPr="0069218C">
        <w:rPr>
          <w:b/>
          <w:bCs/>
          <w:lang w:val="es-SV"/>
        </w:rPr>
        <w:t xml:space="preserve"> </w:t>
      </w:r>
      <w:r w:rsidR="0069218C" w:rsidRPr="0069218C">
        <w:rPr>
          <w:bCs/>
          <w:lang w:val="es-SV"/>
        </w:rPr>
        <w:t xml:space="preserve">consiste en una </w:t>
      </w:r>
      <w:r w:rsidR="0069218C" w:rsidRPr="00401B6E">
        <w:rPr>
          <w:bCs/>
          <w:lang w:val="es-SV"/>
        </w:rPr>
        <w:t>transferencia monetaria mensual a familias como un incentivo para que éstas mantengan en control de salud a sus hijos e hijas en la primera infancia y que los menores matriculados en tercer ciclo y bachillerato asistan a la escuela y permanezcan en el sistema educativo. Para el periodo informado, se atendió a 33</w:t>
      </w:r>
      <w:r w:rsidR="00E701D9">
        <w:rPr>
          <w:bCs/>
          <w:lang w:val="es-SV"/>
        </w:rPr>
        <w:t>.</w:t>
      </w:r>
      <w:r w:rsidR="0069218C" w:rsidRPr="00401B6E">
        <w:rPr>
          <w:bCs/>
          <w:lang w:val="es-SV"/>
        </w:rPr>
        <w:t>489 familias en situación de pobreza y vulnerabilidad en 134 municipios. Del total de titulares atendidos, 31</w:t>
      </w:r>
      <w:r w:rsidR="00E701D9">
        <w:rPr>
          <w:bCs/>
          <w:lang w:val="es-SV"/>
        </w:rPr>
        <w:t>.</w:t>
      </w:r>
      <w:r w:rsidR="0069218C" w:rsidRPr="00401B6E">
        <w:rPr>
          <w:bCs/>
          <w:lang w:val="es-SV"/>
        </w:rPr>
        <w:t>484 son mujeres y 2</w:t>
      </w:r>
      <w:r w:rsidR="00E701D9">
        <w:rPr>
          <w:bCs/>
          <w:lang w:val="es-SV"/>
        </w:rPr>
        <w:t>.</w:t>
      </w:r>
      <w:r w:rsidR="0069218C" w:rsidRPr="00401B6E">
        <w:rPr>
          <w:bCs/>
          <w:lang w:val="es-SV"/>
        </w:rPr>
        <w:t>005 son hombres.</w:t>
      </w:r>
    </w:p>
    <w:p w14:paraId="5AC0DF20" w14:textId="3F4B012B" w:rsidR="0069218C" w:rsidRPr="00401B6E" w:rsidRDefault="00C44B04" w:rsidP="001C2C73">
      <w:pPr>
        <w:pStyle w:val="SingleTxtG"/>
        <w:tabs>
          <w:tab w:val="clear" w:pos="1701"/>
          <w:tab w:val="clear" w:pos="2268"/>
          <w:tab w:val="clear" w:pos="2835"/>
        </w:tabs>
        <w:rPr>
          <w:bCs/>
          <w:lang w:val="es-MX"/>
        </w:rPr>
      </w:pPr>
      <w:r w:rsidRPr="00401B6E">
        <w:rPr>
          <w:bCs/>
          <w:lang w:val="es-MX"/>
        </w:rPr>
        <w:t>145.</w:t>
      </w:r>
      <w:r w:rsidRPr="00401B6E">
        <w:rPr>
          <w:bCs/>
          <w:lang w:val="es-MX"/>
        </w:rPr>
        <w:tab/>
      </w:r>
      <w:r w:rsidR="0069218C" w:rsidRPr="00401B6E">
        <w:rPr>
          <w:bCs/>
          <w:lang w:val="es-MX"/>
        </w:rPr>
        <w:t>El MINEDUCYT, además fortaleció la modalidad de Educación Acelerada para I y</w:t>
      </w:r>
      <w:r w:rsidR="00E701D9">
        <w:rPr>
          <w:bCs/>
          <w:lang w:val="es-MX"/>
        </w:rPr>
        <w:t> </w:t>
      </w:r>
      <w:r w:rsidR="0069218C" w:rsidRPr="00401B6E">
        <w:rPr>
          <w:bCs/>
          <w:lang w:val="es-MX"/>
        </w:rPr>
        <w:t>II ciclo, logrando reincorporar a 10</w:t>
      </w:r>
      <w:r w:rsidR="00E701D9">
        <w:rPr>
          <w:bCs/>
          <w:lang w:val="es-MX"/>
        </w:rPr>
        <w:t>.</w:t>
      </w:r>
      <w:r w:rsidR="0069218C" w:rsidRPr="00401B6E">
        <w:rPr>
          <w:bCs/>
          <w:lang w:val="es-MX"/>
        </w:rPr>
        <w:t xml:space="preserve">511 estudiantes que por diferentes motivos habían abandonado sus </w:t>
      </w:r>
      <w:r w:rsidR="0069218C" w:rsidRPr="00401B6E">
        <w:rPr>
          <w:bCs/>
          <w:lang w:val="es-SV"/>
        </w:rPr>
        <w:t>estudios</w:t>
      </w:r>
      <w:r w:rsidR="0069218C" w:rsidRPr="00401B6E">
        <w:rPr>
          <w:bCs/>
          <w:lang w:val="es-MX"/>
        </w:rPr>
        <w:t xml:space="preserve">; asimismo, se fortalecieron habilidades comunicativas, cálculo matemático, autoestima, resiliencia, proyecto de vida y ciudadanía en los estudiantes; protegiendo de esta manera la trayectoria educativa de éstos. Anexo 26. </w:t>
      </w:r>
    </w:p>
    <w:p w14:paraId="343CB427" w14:textId="1E9E8BA5" w:rsidR="0069218C" w:rsidRPr="0069218C" w:rsidRDefault="00C44B04" w:rsidP="001C2C73">
      <w:pPr>
        <w:pStyle w:val="SingleTxtG"/>
        <w:tabs>
          <w:tab w:val="clear" w:pos="1701"/>
          <w:tab w:val="clear" w:pos="2268"/>
          <w:tab w:val="clear" w:pos="2835"/>
        </w:tabs>
        <w:rPr>
          <w:b/>
          <w:bCs/>
          <w:lang w:val="es-MX"/>
        </w:rPr>
      </w:pPr>
      <w:r w:rsidRPr="0069218C">
        <w:rPr>
          <w:bCs/>
          <w:lang w:val="es-MX"/>
        </w:rPr>
        <w:t>146.</w:t>
      </w:r>
      <w:r w:rsidRPr="0069218C">
        <w:rPr>
          <w:bCs/>
          <w:lang w:val="es-MX"/>
        </w:rPr>
        <w:tab/>
      </w:r>
      <w:r w:rsidR="0069218C" w:rsidRPr="0069218C">
        <w:rPr>
          <w:bCs/>
          <w:lang w:val="es-SV"/>
        </w:rPr>
        <w:t>Se adoptaron medidas para prevenir las causas intrínsecas de la deserción escolar fortaleciendo la lectura y escritura, a través de antologías para Educación Básica, Cuadernillo Juego Me Divierto y Leo, (Entregadas a 202</w:t>
      </w:r>
      <w:r w:rsidR="00E701D9">
        <w:rPr>
          <w:bCs/>
          <w:lang w:val="es-SV"/>
        </w:rPr>
        <w:t>.</w:t>
      </w:r>
      <w:r w:rsidR="0069218C" w:rsidRPr="0069218C">
        <w:rPr>
          <w:bCs/>
          <w:lang w:val="es-SV"/>
        </w:rPr>
        <w:t>773 niños y niñas de Primer Ciclo y 10</w:t>
      </w:r>
      <w:r w:rsidR="00E701D9">
        <w:rPr>
          <w:bCs/>
          <w:lang w:val="es-SV"/>
        </w:rPr>
        <w:t>.</w:t>
      </w:r>
      <w:r w:rsidR="0069218C" w:rsidRPr="0069218C">
        <w:rPr>
          <w:bCs/>
          <w:lang w:val="es-SV"/>
        </w:rPr>
        <w:t>823 docentes) bibliotecas escolares y de aula Primer Ciclo de Educación Básica, implementando</w:t>
      </w:r>
      <w:r w:rsidR="0069218C" w:rsidRPr="0069218C">
        <w:rPr>
          <w:bCs/>
          <w:lang w:val="es-MX"/>
        </w:rPr>
        <w:t xml:space="preserve"> la estrategia multimodal para la continuidad educativa (guías y sitios de Lenguaje, Estudios Sociales, Ciencia, Salud y Medio Ambiente; Educación Física y Educación Artística impresas y digitales, tele clases, radio clases y </w:t>
      </w:r>
      <w:r w:rsidR="0069218C" w:rsidRPr="001C2C73">
        <w:rPr>
          <w:bCs/>
          <w:i/>
          <w:lang w:val="es-MX"/>
        </w:rPr>
        <w:t>webinar</w:t>
      </w:r>
      <w:r w:rsidR="0069218C" w:rsidRPr="0069218C">
        <w:rPr>
          <w:bCs/>
          <w:lang w:val="es-MX"/>
        </w:rPr>
        <w:t>), atendiendo consultas pedagógicas de usuarios vía telefónica y redes sociales (estudiantes, docentes y familias), entre otras acciones.</w:t>
      </w:r>
    </w:p>
    <w:p w14:paraId="17D81ABB" w14:textId="1ADD1168" w:rsidR="001145BC" w:rsidRDefault="00C44B04" w:rsidP="001C2C73">
      <w:pPr>
        <w:pStyle w:val="SingleTxtG"/>
        <w:tabs>
          <w:tab w:val="clear" w:pos="1701"/>
          <w:tab w:val="clear" w:pos="2268"/>
          <w:tab w:val="clear" w:pos="2835"/>
        </w:tabs>
        <w:rPr>
          <w:bCs/>
          <w:lang w:val="es-SV"/>
        </w:rPr>
      </w:pPr>
      <w:r>
        <w:rPr>
          <w:bCs/>
          <w:lang w:val="es-SV"/>
        </w:rPr>
        <w:t>147.</w:t>
      </w:r>
      <w:r>
        <w:rPr>
          <w:bCs/>
          <w:lang w:val="es-SV"/>
        </w:rPr>
        <w:tab/>
      </w:r>
      <w:r w:rsidR="0069218C" w:rsidRPr="0069218C">
        <w:rPr>
          <w:bCs/>
          <w:lang w:val="es-SV"/>
        </w:rPr>
        <w:t xml:space="preserve">El MINEDUCYT, dio inicio a la entrega de las computadoras con acceso a internet y demás programas para los estudiantes de todos los niveles educativos en 30 sedes a nivel nacional y a partir de octubre 2021 se amplió la modalidad de entrega en los 262 puntos móviles; con el apoyo de las Municipalidades, el Despacho de la Primera Dama y Comisionada Presidencial; con ello, se espera acortar la brecha digital en la educación pública. </w:t>
      </w:r>
    </w:p>
    <w:p w14:paraId="58863440" w14:textId="4BAF304F" w:rsidR="001145BC" w:rsidRDefault="00C44B04" w:rsidP="001C2C73">
      <w:pPr>
        <w:pStyle w:val="SingleTxtG"/>
        <w:tabs>
          <w:tab w:val="clear" w:pos="1701"/>
          <w:tab w:val="clear" w:pos="2268"/>
          <w:tab w:val="clear" w:pos="2835"/>
        </w:tabs>
        <w:rPr>
          <w:bCs/>
          <w:lang w:val="es-SV"/>
        </w:rPr>
      </w:pPr>
      <w:r>
        <w:rPr>
          <w:bCs/>
          <w:lang w:val="es-SV"/>
        </w:rPr>
        <w:t>148.</w:t>
      </w:r>
      <w:r>
        <w:rPr>
          <w:bCs/>
          <w:lang w:val="es-SV"/>
        </w:rPr>
        <w:tab/>
      </w:r>
      <w:r w:rsidR="0069218C" w:rsidRPr="0069218C">
        <w:rPr>
          <w:bCs/>
          <w:lang w:val="es-SV"/>
        </w:rPr>
        <w:t>Con el apoyo de algunos organismos y socios estratégicos se entregaron las pruebas estandarizadas, de certificación de competencias y la Prueba Avanzo, ambas en formato virtual. Asimismo, para la aplicación de la Prueba de Suficiencia (PS), se estableció un sistema de preinscripción en línea, se diseñó un repositorio de materiales educativos para apoyar y facilitar el estudio del temario entregado a las personas inscritas por asignatura y grado y se realizaron aplicaciones a pequeños grupos.</w:t>
      </w:r>
    </w:p>
    <w:p w14:paraId="2F8F5D8F" w14:textId="7449202D" w:rsidR="001145BC" w:rsidRDefault="00C44B04" w:rsidP="001C2C73">
      <w:pPr>
        <w:pStyle w:val="SingleTxtG"/>
        <w:tabs>
          <w:tab w:val="clear" w:pos="1701"/>
          <w:tab w:val="clear" w:pos="2268"/>
          <w:tab w:val="clear" w:pos="2835"/>
        </w:tabs>
        <w:rPr>
          <w:bCs/>
          <w:lang w:val="es-SV"/>
        </w:rPr>
      </w:pPr>
      <w:r>
        <w:rPr>
          <w:bCs/>
          <w:lang w:val="es-SV"/>
        </w:rPr>
        <w:t>149.</w:t>
      </w:r>
      <w:r>
        <w:rPr>
          <w:bCs/>
          <w:lang w:val="es-SV"/>
        </w:rPr>
        <w:tab/>
      </w:r>
      <w:r w:rsidR="0069218C" w:rsidRPr="0069218C">
        <w:rPr>
          <w:bCs/>
          <w:lang w:val="es-SV"/>
        </w:rPr>
        <w:t>Entre junio 2020 y mayo 2021 se contin</w:t>
      </w:r>
      <w:r w:rsidR="00B27C05">
        <w:rPr>
          <w:bCs/>
          <w:lang w:val="es-SV"/>
        </w:rPr>
        <w:t>uó</w:t>
      </w:r>
      <w:r w:rsidR="0069218C" w:rsidRPr="0069218C">
        <w:rPr>
          <w:bCs/>
          <w:lang w:val="es-SV"/>
        </w:rPr>
        <w:t xml:space="preserve"> con la revitalización de la lengua Náhuat a través de la elaboración de 77 guías escolares para Educación Inicial y Parvularia (Cuna Náhuat) y 17 Guías de aprendizaje para estudiantes del Náhuat de Primer Ciclo. 761 estudiantes (403 niños y 358 niñas) fueron atendidos por medio de Cuna Náhuatl (de 3 a 6 </w:t>
      </w:r>
      <w:r w:rsidR="0069218C" w:rsidRPr="0069218C">
        <w:rPr>
          <w:bCs/>
          <w:lang w:val="es-SV"/>
        </w:rPr>
        <w:lastRenderedPageBreak/>
        <w:t>años) y clases de transición de Náhuatl, con una inversión de $117</w:t>
      </w:r>
      <w:r w:rsidR="00E701D9">
        <w:rPr>
          <w:bCs/>
          <w:lang w:val="es-SV"/>
        </w:rPr>
        <w:t>.000</w:t>
      </w:r>
      <w:r w:rsidR="0069218C" w:rsidRPr="0069218C">
        <w:rPr>
          <w:bCs/>
          <w:lang w:val="es-SV"/>
        </w:rPr>
        <w:t xml:space="preserve"> dólares de fondos GOES.</w:t>
      </w:r>
    </w:p>
    <w:p w14:paraId="2A04F66A" w14:textId="77777777" w:rsidR="001145BC" w:rsidRPr="009C4946" w:rsidRDefault="0069218C" w:rsidP="009C4946">
      <w:pPr>
        <w:pStyle w:val="H23G"/>
        <w:ind w:firstLine="0"/>
        <w:rPr>
          <w:lang w:val="es-MX"/>
        </w:rPr>
      </w:pPr>
      <w:r w:rsidRPr="009C4946">
        <w:rPr>
          <w:lang w:val="es-MX"/>
        </w:rPr>
        <w:t>Derechos culturales (art. 15)</w:t>
      </w:r>
    </w:p>
    <w:p w14:paraId="1B6E1494" w14:textId="2B009AC2" w:rsidR="0069218C" w:rsidRPr="0069218C" w:rsidRDefault="00C44B04" w:rsidP="001C2C73">
      <w:pPr>
        <w:pStyle w:val="SingleTxtG"/>
        <w:tabs>
          <w:tab w:val="clear" w:pos="1701"/>
          <w:tab w:val="clear" w:pos="2268"/>
          <w:tab w:val="clear" w:pos="2835"/>
        </w:tabs>
        <w:rPr>
          <w:bCs/>
          <w:lang w:val="es-SV"/>
        </w:rPr>
      </w:pPr>
      <w:r w:rsidRPr="0069218C">
        <w:rPr>
          <w:bCs/>
          <w:lang w:val="es-SV"/>
        </w:rPr>
        <w:t>150.</w:t>
      </w:r>
      <w:r w:rsidRPr="0069218C">
        <w:rPr>
          <w:bCs/>
          <w:lang w:val="es-SV"/>
        </w:rPr>
        <w:tab/>
      </w:r>
      <w:r w:rsidR="0069218C" w:rsidRPr="0069218C">
        <w:rPr>
          <w:bCs/>
          <w:lang w:val="es-SV"/>
        </w:rPr>
        <w:t>El MINSAL ha realizado y continúa en la generación de evidencia científica para atender la Pandemia COVID 19, que llevo a tomar una serie de medidas, como protección en personal de salud para disminución de riesgo de contagio de COVID-19, evidencia disponible sobre COVID-19 en mujeres embarazadas y lactancia materna y propuesta de algoritmo de manejo y administración de las pruebas de diagnóstico molecular RT-PCR y pruebas serológicas IgM e IgG para detección de SARS-CoV-2, entre otras. Se anexa informe que contiene a su vez, la síntesis de evidencia proporcional, evidencia científica, opiniones técnicas e investigaciones.</w:t>
      </w:r>
    </w:p>
    <w:p w14:paraId="691843F6" w14:textId="635ABC8F" w:rsidR="001145BC" w:rsidRDefault="00C44B04" w:rsidP="001C2C73">
      <w:pPr>
        <w:pStyle w:val="SingleTxtG"/>
        <w:tabs>
          <w:tab w:val="clear" w:pos="1701"/>
          <w:tab w:val="clear" w:pos="2268"/>
          <w:tab w:val="clear" w:pos="2835"/>
        </w:tabs>
        <w:rPr>
          <w:bCs/>
          <w:lang w:val="es-SV"/>
        </w:rPr>
      </w:pPr>
      <w:r>
        <w:rPr>
          <w:bCs/>
          <w:lang w:val="es-SV"/>
        </w:rPr>
        <w:t>151.</w:t>
      </w:r>
      <w:r>
        <w:rPr>
          <w:bCs/>
          <w:lang w:val="es-SV"/>
        </w:rPr>
        <w:tab/>
      </w:r>
      <w:r w:rsidR="0069218C" w:rsidRPr="0069218C">
        <w:rPr>
          <w:bCs/>
          <w:lang w:val="es-SV"/>
        </w:rPr>
        <w:t>Se cuenta con la revista científica Alerta</w:t>
      </w:r>
      <w:bookmarkStart w:id="0" w:name="_heading=h.9hghxvel23s5"/>
      <w:bookmarkStart w:id="1" w:name="_heading=h.7nvnmwq0334d"/>
      <w:bookmarkStart w:id="2" w:name="_heading=h.2et92p0"/>
      <w:bookmarkEnd w:id="0"/>
      <w:bookmarkEnd w:id="1"/>
      <w:bookmarkEnd w:id="2"/>
      <w:r w:rsidR="0069218C" w:rsidRPr="0069218C">
        <w:rPr>
          <w:bCs/>
          <w:lang w:val="es-SV"/>
        </w:rPr>
        <w:t xml:space="preserve"> del Instituto Nacional de Salud de El Salvador (INS), dirigida a la comunidad científica, academia y tomadores de decisiones, clínicas, gestores y estudiantes en las ciencias de la salud; arbitrada e indexada en bases internacionales como AmeliCA, LILACS, LATINDEX, REDIB y LAMJOL; se cuenta con el Vol. </w:t>
      </w:r>
      <w:bookmarkStart w:id="3" w:name="_heading=h.wmw9hx1c1h48"/>
      <w:bookmarkEnd w:id="3"/>
      <w:r w:rsidR="0069218C" w:rsidRPr="0069218C">
        <w:rPr>
          <w:bCs/>
          <w:lang w:val="es-SV"/>
        </w:rPr>
        <w:t xml:space="preserve">4, N° 2 Año 2021, número especial dedicado a la pandemia por COVID-19 </w:t>
      </w:r>
      <w:hyperlink r:id="rId20">
        <w:r w:rsidR="0069218C" w:rsidRPr="0069218C">
          <w:rPr>
            <w:rStyle w:val="Hipervnculo"/>
            <w:bCs/>
            <w:lang w:val="es-SV"/>
          </w:rPr>
          <w:t>https://alerta.salud.gob.sv/revista-alerta-vol-4-n-2/</w:t>
        </w:r>
      </w:hyperlink>
      <w:r w:rsidR="0069218C" w:rsidRPr="0069218C">
        <w:rPr>
          <w:bCs/>
          <w:lang w:val="es-SV"/>
        </w:rPr>
        <w:t>.</w:t>
      </w:r>
    </w:p>
    <w:p w14:paraId="62F4182B" w14:textId="34644C7E" w:rsidR="001145BC" w:rsidRPr="009C4946" w:rsidRDefault="00C44B04" w:rsidP="001C2C73">
      <w:pPr>
        <w:pStyle w:val="SingleTxtG"/>
        <w:tabs>
          <w:tab w:val="clear" w:pos="1701"/>
          <w:tab w:val="clear" w:pos="2268"/>
          <w:tab w:val="clear" w:pos="2835"/>
        </w:tabs>
        <w:rPr>
          <w:bCs/>
          <w:lang w:val="es-SV"/>
        </w:rPr>
      </w:pPr>
      <w:bookmarkStart w:id="4" w:name="_heading=h.gwngnpzca20g"/>
      <w:bookmarkEnd w:id="4"/>
      <w:r w:rsidRPr="009C4946">
        <w:rPr>
          <w:bCs/>
          <w:lang w:val="es-SV"/>
        </w:rPr>
        <w:t>152.</w:t>
      </w:r>
      <w:r w:rsidRPr="009C4946">
        <w:rPr>
          <w:bCs/>
          <w:lang w:val="es-SV"/>
        </w:rPr>
        <w:tab/>
      </w:r>
      <w:r w:rsidR="0069218C" w:rsidRPr="0069218C">
        <w:rPr>
          <w:bCs/>
          <w:lang w:val="es-SV"/>
        </w:rPr>
        <w:t xml:space="preserve">Durante el año 2020, por iniciativa del MINSAL a través del INS en colaboración con BIREME y OPS, se impulsa la reorganización la Red Nacional de Información Documental en Salud (RENIDS) para reactivar la Biblioteca Virtual en Salud (BVS), garantizando que las investigaciones y documentos científicos que el país produce sean visibles a nivel de regional y global. </w:t>
      </w:r>
      <w:hyperlink r:id="rId21" w:history="1">
        <w:r w:rsidR="0069218C" w:rsidRPr="009C4946">
          <w:rPr>
            <w:rStyle w:val="Hipervnculo"/>
            <w:bCs/>
            <w:lang w:val="es-SV"/>
          </w:rPr>
          <w:t>https://bvsalud.org/vitrinas/es/post_vitrines/nuevo_coronavirus/</w:t>
        </w:r>
      </w:hyperlink>
      <w:r w:rsidR="0069218C" w:rsidRPr="001C2C73">
        <w:rPr>
          <w:bCs/>
          <w:lang w:val="es-SV"/>
        </w:rPr>
        <w:t xml:space="preserve">. </w:t>
      </w:r>
      <w:r w:rsidR="0069218C" w:rsidRPr="009C4946">
        <w:rPr>
          <w:bCs/>
          <w:lang w:val="es-SV"/>
        </w:rPr>
        <w:t>Anexo</w:t>
      </w:r>
      <w:r w:rsidR="00B27C05">
        <w:rPr>
          <w:bCs/>
          <w:lang w:val="es-SV"/>
        </w:rPr>
        <w:t> </w:t>
      </w:r>
      <w:r w:rsidR="0069218C" w:rsidRPr="009C4946">
        <w:rPr>
          <w:bCs/>
          <w:lang w:val="es-SV"/>
        </w:rPr>
        <w:t>27.</w:t>
      </w:r>
    </w:p>
    <w:p w14:paraId="495027BA" w14:textId="3203D5DD" w:rsidR="0069218C" w:rsidRPr="0069218C" w:rsidRDefault="00C44B04" w:rsidP="001C2C73">
      <w:pPr>
        <w:pStyle w:val="SingleTxtG"/>
        <w:tabs>
          <w:tab w:val="clear" w:pos="1701"/>
          <w:tab w:val="clear" w:pos="2268"/>
          <w:tab w:val="clear" w:pos="2835"/>
        </w:tabs>
        <w:rPr>
          <w:bCs/>
          <w:lang w:val="es-SV"/>
        </w:rPr>
      </w:pPr>
      <w:r w:rsidRPr="0069218C">
        <w:rPr>
          <w:bCs/>
          <w:lang w:val="es-SV"/>
        </w:rPr>
        <w:t>153.</w:t>
      </w:r>
      <w:r w:rsidRPr="0069218C">
        <w:rPr>
          <w:bCs/>
          <w:lang w:val="es-SV"/>
        </w:rPr>
        <w:tab/>
      </w:r>
      <w:r w:rsidR="0069218C" w:rsidRPr="0069218C">
        <w:rPr>
          <w:bCs/>
          <w:lang w:val="es-SV"/>
        </w:rPr>
        <w:t xml:space="preserve">Respecto del tema en cuestión, en el párrafo 267, del Sexto Informe DESC, se informó de la “Primera Encuesta Nacional de Enfermedades Crónicas”. </w:t>
      </w:r>
    </w:p>
    <w:p w14:paraId="2310D8F3" w14:textId="1F9BAB35" w:rsidR="0069218C" w:rsidRPr="0069218C" w:rsidRDefault="00C44B04" w:rsidP="001C2C73">
      <w:pPr>
        <w:pStyle w:val="SingleTxtG"/>
        <w:tabs>
          <w:tab w:val="clear" w:pos="1701"/>
          <w:tab w:val="clear" w:pos="2268"/>
          <w:tab w:val="clear" w:pos="2835"/>
        </w:tabs>
        <w:rPr>
          <w:bCs/>
          <w:lang w:val="es-SV"/>
        </w:rPr>
      </w:pPr>
      <w:r w:rsidRPr="0069218C">
        <w:rPr>
          <w:bCs/>
          <w:lang w:val="es-SV"/>
        </w:rPr>
        <w:t>154.</w:t>
      </w:r>
      <w:r w:rsidRPr="0069218C">
        <w:rPr>
          <w:bCs/>
          <w:lang w:val="es-SV"/>
        </w:rPr>
        <w:tab/>
      </w:r>
      <w:r w:rsidR="0069218C" w:rsidRPr="0069218C">
        <w:rPr>
          <w:bCs/>
          <w:lang w:val="es-SV"/>
        </w:rPr>
        <w:t>Como análisis secundarios de la ENECA-2015, se muestran evidencias que establecen una fuerte asociación entre la presencia de la enfermedad y el antecedente de contacto con agroquímicos.</w:t>
      </w:r>
    </w:p>
    <w:p w14:paraId="585F959A" w14:textId="50747AE6" w:rsidR="0069218C" w:rsidRPr="0069218C" w:rsidRDefault="00C44B04" w:rsidP="001C2C73">
      <w:pPr>
        <w:pStyle w:val="SingleTxtG"/>
        <w:tabs>
          <w:tab w:val="clear" w:pos="1701"/>
          <w:tab w:val="clear" w:pos="2268"/>
          <w:tab w:val="clear" w:pos="2835"/>
        </w:tabs>
        <w:rPr>
          <w:bCs/>
          <w:lang w:val="es-SV"/>
        </w:rPr>
      </w:pPr>
      <w:r w:rsidRPr="0069218C">
        <w:rPr>
          <w:bCs/>
          <w:lang w:val="es-SV"/>
        </w:rPr>
        <w:t>155.</w:t>
      </w:r>
      <w:r w:rsidRPr="0069218C">
        <w:rPr>
          <w:bCs/>
          <w:lang w:val="es-SV"/>
        </w:rPr>
        <w:tab/>
      </w:r>
      <w:r w:rsidR="0069218C" w:rsidRPr="0069218C">
        <w:rPr>
          <w:bCs/>
          <w:lang w:val="es-SV"/>
        </w:rPr>
        <w:t xml:space="preserve">La ERCnT no solamente está presente en el hombre agricultor dedicado a la caña de azúcar, como era la hipótesis inicial, estos estudios demostraron que aunque son los más afectados, la enfermedad está presente en personas vinculadas a otros tipos de cultivo. </w:t>
      </w:r>
    </w:p>
    <w:p w14:paraId="65FB1F0B" w14:textId="0816096E" w:rsidR="001145BC" w:rsidRDefault="00C44B04" w:rsidP="001C2C73">
      <w:pPr>
        <w:pStyle w:val="SingleTxtG"/>
        <w:tabs>
          <w:tab w:val="clear" w:pos="1701"/>
          <w:tab w:val="clear" w:pos="2268"/>
          <w:tab w:val="clear" w:pos="2835"/>
        </w:tabs>
        <w:rPr>
          <w:bCs/>
          <w:lang w:val="es-SV"/>
        </w:rPr>
      </w:pPr>
      <w:r>
        <w:rPr>
          <w:bCs/>
          <w:lang w:val="es-SV"/>
        </w:rPr>
        <w:t>156.</w:t>
      </w:r>
      <w:r>
        <w:rPr>
          <w:bCs/>
          <w:lang w:val="es-SV"/>
        </w:rPr>
        <w:tab/>
      </w:r>
      <w:r w:rsidR="0069218C" w:rsidRPr="0069218C">
        <w:rPr>
          <w:bCs/>
          <w:lang w:val="es-SV"/>
        </w:rPr>
        <w:t>Se ha publicado la caracterización clínica de la ERCnT, en la cual se demostró que la ERCnt</w:t>
      </w:r>
      <w:r w:rsidR="009C4946">
        <w:rPr>
          <w:bCs/>
          <w:lang w:val="es-SV"/>
        </w:rPr>
        <w:t xml:space="preserve"> </w:t>
      </w:r>
      <w:r w:rsidR="0069218C" w:rsidRPr="0069218C">
        <w:rPr>
          <w:bCs/>
          <w:lang w:val="es-SV"/>
        </w:rPr>
        <w:t>es una Nefritis Tubulointersticial Crónica, por la anormalidad en los marcadores en la orina y las pruebas funcionales renales tubulares y el estudio histopatológico del riñón. Registrando la</w:t>
      </w:r>
      <w:r w:rsidR="009C4946">
        <w:rPr>
          <w:bCs/>
          <w:lang w:val="es-SV"/>
        </w:rPr>
        <w:t xml:space="preserve"> </w:t>
      </w:r>
      <w:r w:rsidR="0069218C" w:rsidRPr="0069218C">
        <w:rPr>
          <w:bCs/>
          <w:lang w:val="es-SV"/>
        </w:rPr>
        <w:t>presencia de anormalidades extrar</w:t>
      </w:r>
      <w:r w:rsidR="00E701D9">
        <w:rPr>
          <w:bCs/>
          <w:lang w:val="es-SV"/>
        </w:rPr>
        <w:t>r</w:t>
      </w:r>
      <w:r w:rsidR="0069218C" w:rsidRPr="0069218C">
        <w:rPr>
          <w:bCs/>
          <w:lang w:val="es-SV"/>
        </w:rPr>
        <w:t>enales, entre ellas, alteraciones neurológicas de los nervios periféricos,</w:t>
      </w:r>
      <w:r w:rsidR="009C4946">
        <w:rPr>
          <w:bCs/>
          <w:lang w:val="es-SV"/>
        </w:rPr>
        <w:t xml:space="preserve"> </w:t>
      </w:r>
      <w:r w:rsidR="0069218C" w:rsidRPr="0069218C">
        <w:rPr>
          <w:bCs/>
          <w:lang w:val="es-SV"/>
        </w:rPr>
        <w:t xml:space="preserve">neurosensitivas, auditivas y vasculares de las arterias tíbiales, que no son explicables por la propia enfermedad renal, aportando avances en la interpretación causal de la ERCnT. </w:t>
      </w:r>
    </w:p>
    <w:p w14:paraId="6DE2CAA0" w14:textId="05D644B2" w:rsidR="0069218C" w:rsidRPr="0069218C" w:rsidRDefault="00C44B04" w:rsidP="001C2C73">
      <w:pPr>
        <w:pStyle w:val="SingleTxtG"/>
        <w:tabs>
          <w:tab w:val="clear" w:pos="1701"/>
          <w:tab w:val="clear" w:pos="2268"/>
          <w:tab w:val="clear" w:pos="2835"/>
        </w:tabs>
        <w:rPr>
          <w:bCs/>
          <w:lang w:val="es-SV"/>
        </w:rPr>
      </w:pPr>
      <w:r w:rsidRPr="0069218C">
        <w:rPr>
          <w:bCs/>
          <w:lang w:val="es-SV"/>
        </w:rPr>
        <w:t>157.</w:t>
      </w:r>
      <w:r w:rsidRPr="0069218C">
        <w:rPr>
          <w:bCs/>
          <w:lang w:val="es-SV"/>
        </w:rPr>
        <w:tab/>
      </w:r>
      <w:r w:rsidR="0069218C" w:rsidRPr="0069218C">
        <w:rPr>
          <w:bCs/>
          <w:lang w:val="es-SV"/>
        </w:rPr>
        <w:t>Estos resultados avalan como la hipótesis más factible, la exposición ambiental a tóxicos (agroquímicos), que explicaría la afectación no solamente de los hombres agricultores, sino, además de la población no agricultora, así como, las alteraciones extra</w:t>
      </w:r>
      <w:r w:rsidR="00E701D9">
        <w:rPr>
          <w:bCs/>
          <w:lang w:val="es-SV"/>
        </w:rPr>
        <w:t>r</w:t>
      </w:r>
      <w:r w:rsidR="0069218C" w:rsidRPr="0069218C">
        <w:rPr>
          <w:bCs/>
          <w:lang w:val="es-SV"/>
        </w:rPr>
        <w:t>renales neurológicas, auditivas y vasculares que son presuntivamente tóxicas; lo que lleva a considerar la existencia de dos niveles de toxicidad crónica o prolongada.</w:t>
      </w:r>
    </w:p>
    <w:p w14:paraId="30844FF7" w14:textId="000974E6" w:rsidR="0069218C" w:rsidRPr="0069218C" w:rsidRDefault="00C44B04" w:rsidP="001C2C73">
      <w:pPr>
        <w:pStyle w:val="SingleTxtG"/>
        <w:tabs>
          <w:tab w:val="clear" w:pos="1701"/>
          <w:tab w:val="clear" w:pos="2268"/>
          <w:tab w:val="clear" w:pos="2835"/>
        </w:tabs>
        <w:rPr>
          <w:bCs/>
          <w:lang w:val="es-SV"/>
        </w:rPr>
      </w:pPr>
      <w:r w:rsidRPr="0069218C">
        <w:rPr>
          <w:bCs/>
          <w:lang w:val="es-SV"/>
        </w:rPr>
        <w:t>158.</w:t>
      </w:r>
      <w:r w:rsidRPr="0069218C">
        <w:rPr>
          <w:bCs/>
          <w:lang w:val="es-SV"/>
        </w:rPr>
        <w:tab/>
      </w:r>
      <w:r w:rsidR="0069218C" w:rsidRPr="0069218C">
        <w:rPr>
          <w:bCs/>
          <w:lang w:val="es-SV"/>
        </w:rPr>
        <w:t>En lo que va de 2021 se han elaborado Guías Clínicas para el abordaje integral de la Enfermedad Renal Crónica y los Lineamientos</w:t>
      </w:r>
      <w:r w:rsidR="009C4946">
        <w:rPr>
          <w:bCs/>
          <w:lang w:val="es-SV"/>
        </w:rPr>
        <w:t xml:space="preserve"> </w:t>
      </w:r>
      <w:r w:rsidR="0069218C" w:rsidRPr="0069218C">
        <w:rPr>
          <w:bCs/>
          <w:lang w:val="es-SV"/>
        </w:rPr>
        <w:t>de Abordaje integral de la Enfermedad Renal. Asimismo, se ha iniciado el tamizaje de la población con factores de riesgo para la identificación de estadios tempranos de la enfermedad y prescribir tratamiento farmacológico y no farmacológico para retrasar su progresión. Se trabaja con la Comisión Nacional de Enfermedades no Transmisibles integrada por instituciones gubernamentales y no gubernamentales con quienes se ejecuta el Plan de Abordaje Integral de las ENT que incluye ERC, el Plan tiene vigencia al 2023.</w:t>
      </w:r>
    </w:p>
    <w:p w14:paraId="5EFC89AD" w14:textId="0D292F55" w:rsidR="0069218C" w:rsidRPr="0069218C" w:rsidRDefault="00C44B04" w:rsidP="001C2C73">
      <w:pPr>
        <w:pStyle w:val="SingleTxtG"/>
        <w:keepNext/>
        <w:keepLines/>
        <w:tabs>
          <w:tab w:val="clear" w:pos="1701"/>
          <w:tab w:val="clear" w:pos="2268"/>
          <w:tab w:val="clear" w:pos="2835"/>
        </w:tabs>
        <w:rPr>
          <w:bCs/>
          <w:lang w:val="es-SV"/>
        </w:rPr>
      </w:pPr>
      <w:r w:rsidRPr="0069218C">
        <w:rPr>
          <w:bCs/>
          <w:lang w:val="es-SV"/>
        </w:rPr>
        <w:lastRenderedPageBreak/>
        <w:t>159.</w:t>
      </w:r>
      <w:r w:rsidRPr="0069218C">
        <w:rPr>
          <w:bCs/>
          <w:lang w:val="es-SV"/>
        </w:rPr>
        <w:tab/>
      </w:r>
      <w:r w:rsidR="0069218C" w:rsidRPr="0069218C">
        <w:rPr>
          <w:bCs/>
          <w:lang w:val="es-SV"/>
        </w:rPr>
        <w:t>Se prevé ejecutar capacitaciones al personal de salud del MINSAL para el abordaje integral de la ERC: ampliar la red de laboratorio para realizar química sanguínea en tamizaje de la ERC en población en riesgo y campañas de educación para disminuir los riesgos de desarrollar ERC.</w:t>
      </w:r>
    </w:p>
    <w:p w14:paraId="193A8E9D" w14:textId="77777777" w:rsidR="0069218C" w:rsidRPr="0069218C" w:rsidRDefault="0069218C" w:rsidP="0069218C">
      <w:pPr>
        <w:pStyle w:val="SingleTxtG"/>
        <w:suppressAutoHyphens/>
        <w:spacing w:before="240" w:after="0"/>
        <w:jc w:val="center"/>
        <w:rPr>
          <w:u w:val="single"/>
        </w:rPr>
      </w:pPr>
      <w:r>
        <w:rPr>
          <w:u w:val="single"/>
        </w:rPr>
        <w:tab/>
      </w:r>
      <w:r>
        <w:rPr>
          <w:u w:val="single"/>
        </w:rPr>
        <w:tab/>
      </w:r>
      <w:r>
        <w:rPr>
          <w:u w:val="single"/>
        </w:rPr>
        <w:tab/>
      </w:r>
    </w:p>
    <w:sectPr w:rsidR="0069218C" w:rsidRPr="0069218C" w:rsidSect="003322F1">
      <w:headerReference w:type="even" r:id="rId22"/>
      <w:headerReference w:type="default" r:id="rId23"/>
      <w:footerReference w:type="even" r:id="rId24"/>
      <w:footerReference w:type="default" r:id="rId25"/>
      <w:headerReference w:type="first" r:id="rId26"/>
      <w:footerReference w:type="first" r:id="rId2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E903C" w14:textId="77777777" w:rsidR="004035B7" w:rsidRDefault="004035B7">
      <w:r>
        <w:separator/>
      </w:r>
    </w:p>
  </w:endnote>
  <w:endnote w:type="continuationSeparator" w:id="0">
    <w:p w14:paraId="631FF2E3" w14:textId="77777777" w:rsidR="004035B7" w:rsidRDefault="00403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useo 100">
    <w:altName w:val="Times New Roman"/>
    <w:panose1 w:val="00000000000000000000"/>
    <w:charset w:val="00"/>
    <w:family w:val="modern"/>
    <w:notTrueType/>
    <w:pitch w:val="variable"/>
    <w:sig w:usb0="00000001"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52B0F" w14:textId="77777777" w:rsidR="001145BC" w:rsidRPr="001A4396" w:rsidRDefault="001145BC"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E03A9">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84756" w14:textId="77777777" w:rsidR="001145BC" w:rsidRPr="001A4396" w:rsidRDefault="001145BC"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FE03A9">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0183" w14:textId="176E55B7" w:rsidR="001145BC" w:rsidRPr="00686ECF" w:rsidRDefault="00686ECF" w:rsidP="00686ECF">
    <w:pPr>
      <w:pStyle w:val="Piedepgina"/>
      <w:tabs>
        <w:tab w:val="left" w:pos="6520"/>
        <w:tab w:val="right" w:pos="9638"/>
      </w:tabs>
      <w:spacing w:before="120" w:line="240" w:lineRule="auto"/>
      <w:rPr>
        <w:sz w:val="20"/>
      </w:rPr>
    </w:pPr>
    <w:r>
      <w:rPr>
        <w:sz w:val="20"/>
      </w:rPr>
      <w:t>GE.22-06753  (S)</w:t>
    </w:r>
    <w:bookmarkStart w:id="5" w:name="_GoBack"/>
    <w:bookmarkEnd w:id="5"/>
    <w:r>
      <w:rPr>
        <w:sz w:val="20"/>
      </w:rPr>
      <w:tab/>
    </w:r>
    <w:r w:rsidRPr="00686ECF">
      <w:rPr>
        <w:noProof/>
        <w:sz w:val="20"/>
        <w:lang w:val="fr-CH" w:eastAsia="zh-CN"/>
      </w:rPr>
      <w:drawing>
        <wp:inline distT="0" distB="0" distL="0" distR="0" wp14:anchorId="3A6EA9D9" wp14:editId="4276C3DC">
          <wp:extent cx="10872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33D0185" wp14:editId="142D1ED3">
          <wp:extent cx="562610" cy="562610"/>
          <wp:effectExtent l="0" t="0" r="8890" b="889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C4F02" w14:textId="77777777" w:rsidR="004035B7" w:rsidRPr="001075E9" w:rsidRDefault="004035B7" w:rsidP="001075E9">
      <w:pPr>
        <w:tabs>
          <w:tab w:val="right" w:pos="2155"/>
        </w:tabs>
        <w:spacing w:after="80" w:line="240" w:lineRule="auto"/>
        <w:ind w:left="680"/>
        <w:rPr>
          <w:u w:val="single"/>
        </w:rPr>
      </w:pPr>
      <w:r>
        <w:rPr>
          <w:u w:val="single"/>
        </w:rPr>
        <w:tab/>
      </w:r>
    </w:p>
  </w:footnote>
  <w:footnote w:type="continuationSeparator" w:id="0">
    <w:p w14:paraId="751EF6BE" w14:textId="77777777" w:rsidR="004035B7" w:rsidRDefault="004035B7" w:rsidP="00407B78">
      <w:pPr>
        <w:tabs>
          <w:tab w:val="right" w:pos="2155"/>
        </w:tabs>
        <w:spacing w:after="80"/>
        <w:ind w:left="680"/>
        <w:rPr>
          <w:u w:val="single"/>
        </w:rPr>
      </w:pPr>
      <w:r>
        <w:rPr>
          <w:u w:val="single"/>
        </w:rPr>
        <w:tab/>
      </w:r>
    </w:p>
  </w:footnote>
  <w:footnote w:id="1">
    <w:p w14:paraId="4AE01ADC" w14:textId="77777777" w:rsidR="00386B6B" w:rsidRPr="005C3181" w:rsidRDefault="00386B6B" w:rsidP="00386B6B">
      <w:pPr>
        <w:pStyle w:val="Textonotapie"/>
        <w:rPr>
          <w:sz w:val="20"/>
        </w:rPr>
      </w:pPr>
      <w:r>
        <w:tab/>
      </w:r>
      <w:r w:rsidRPr="005C3181">
        <w:rPr>
          <w:rStyle w:val="Refdenotaalpie"/>
          <w:sz w:val="20"/>
          <w:vertAlign w:val="baseline"/>
        </w:rPr>
        <w:t>*</w:t>
      </w:r>
      <w:r w:rsidRPr="005C3181">
        <w:rPr>
          <w:rStyle w:val="Refdenotaalpie"/>
          <w:vertAlign w:val="baseline"/>
        </w:rPr>
        <w:tab/>
      </w:r>
      <w:r w:rsidRPr="009922E1">
        <w:t>El presente documento se publica sin haber sido objeto de revisión editorial oficial.</w:t>
      </w:r>
    </w:p>
  </w:footnote>
  <w:footnote w:id="2">
    <w:p w14:paraId="12733A2C" w14:textId="28E1848C" w:rsidR="00386B6B" w:rsidRPr="007378FE" w:rsidRDefault="00386B6B" w:rsidP="00386B6B">
      <w:pPr>
        <w:pStyle w:val="Textonotapie"/>
      </w:pPr>
      <w:r>
        <w:rPr>
          <w:rStyle w:val="Refdenotaalpie"/>
        </w:rPr>
        <w:tab/>
      </w:r>
      <w:r w:rsidRPr="007378FE">
        <w:rPr>
          <w:rStyle w:val="Refdenotaalpie"/>
          <w:sz w:val="20"/>
          <w:vertAlign w:val="baseline"/>
        </w:rPr>
        <w:t>**</w:t>
      </w:r>
      <w:r>
        <w:rPr>
          <w:rStyle w:val="Refdenotaalpie"/>
          <w:sz w:val="20"/>
          <w:vertAlign w:val="baseline"/>
        </w:rPr>
        <w:tab/>
      </w:r>
      <w:r w:rsidR="00AA2206">
        <w:t>Los</w:t>
      </w:r>
      <w:r w:rsidRPr="007378FE">
        <w:t xml:space="preserve"> anexo</w:t>
      </w:r>
      <w:r w:rsidR="00AA2206">
        <w:t>s</w:t>
      </w:r>
      <w:r w:rsidRPr="007378FE">
        <w:t xml:space="preserve"> </w:t>
      </w:r>
      <w:r w:rsidR="001914AB">
        <w:t>de</w:t>
      </w:r>
      <w:r w:rsidRPr="007378FE">
        <w:t xml:space="preserve">l presente </w:t>
      </w:r>
      <w:r>
        <w:t>documento se encuentra</w:t>
      </w:r>
      <w:r w:rsidR="00AA2206">
        <w:t>n</w:t>
      </w:r>
      <w:r>
        <w:t xml:space="preserve"> disponible</w:t>
      </w:r>
      <w:r w:rsidR="00AA2206">
        <w:t>s</w:t>
      </w:r>
      <w:r w:rsidRPr="007378FE">
        <w:t xml:space="preserve"> en la página web del Comité.</w:t>
      </w:r>
    </w:p>
  </w:footnote>
  <w:footnote w:id="3">
    <w:p w14:paraId="698B7210" w14:textId="77777777" w:rsidR="001145BC" w:rsidRPr="003C7703" w:rsidRDefault="009C4946" w:rsidP="009C4946">
      <w:pPr>
        <w:pStyle w:val="Textonotapie"/>
        <w:rPr>
          <w:lang w:val="es-MX"/>
        </w:rPr>
      </w:pPr>
      <w:r>
        <w:rPr>
          <w:lang w:val="es-MX"/>
        </w:rPr>
        <w:tab/>
      </w:r>
      <w:r w:rsidR="001145BC" w:rsidRPr="003C7703">
        <w:rPr>
          <w:rStyle w:val="Refdenotaalpie"/>
          <w:rFonts w:ascii="Museo 100" w:hAnsi="Museo 100"/>
          <w:sz w:val="16"/>
          <w:szCs w:val="16"/>
        </w:rPr>
        <w:footnoteRef/>
      </w:r>
      <w:r>
        <w:rPr>
          <w:lang w:val="es-MX"/>
        </w:rPr>
        <w:tab/>
      </w:r>
      <w:r w:rsidR="001145BC" w:rsidRPr="003C7703">
        <w:rPr>
          <w:lang w:val="es-MX"/>
        </w:rPr>
        <w:t>A partir de mayo de 2021, pasa a llamarse Unidad de Formación Especializada.</w:t>
      </w:r>
    </w:p>
  </w:footnote>
  <w:footnote w:id="4">
    <w:p w14:paraId="25A3C5FA" w14:textId="07E9E620" w:rsidR="001145BC" w:rsidRPr="002479E8" w:rsidRDefault="009C4946" w:rsidP="009C4946">
      <w:pPr>
        <w:pStyle w:val="Textonotapie"/>
      </w:pPr>
      <w:r>
        <w:tab/>
      </w:r>
      <w:r w:rsidR="001145BC">
        <w:rPr>
          <w:rStyle w:val="Refdenotaalpie"/>
        </w:rPr>
        <w:footnoteRef/>
      </w:r>
      <w:r>
        <w:tab/>
      </w:r>
      <w:hyperlink r:id="rId1" w:history="1">
        <w:r w:rsidR="001145BC" w:rsidRPr="003B0B16">
          <w:rPr>
            <w:rStyle w:val="Hipervnculo"/>
          </w:rPr>
          <w:t>https://goldservice.com.sv/wp-content/uploads/2021/07/Decretos-Ejecutivos-9-y-10-Tarifas-de-Salario-Minimo.pdf</w:t>
        </w:r>
      </w:hyperlink>
      <w:r w:rsidR="001878DA">
        <w:t>.</w:t>
      </w:r>
    </w:p>
  </w:footnote>
  <w:footnote w:id="5">
    <w:p w14:paraId="16EECC75" w14:textId="2114DEBF" w:rsidR="001145BC" w:rsidRPr="00B346C0" w:rsidRDefault="009C4946" w:rsidP="009C4946">
      <w:pPr>
        <w:pStyle w:val="Textonotapie"/>
      </w:pPr>
      <w:r>
        <w:tab/>
      </w:r>
      <w:r w:rsidR="001145BC" w:rsidRPr="00B346C0">
        <w:rPr>
          <w:rStyle w:val="Refdenotaalpie"/>
        </w:rPr>
        <w:footnoteRef/>
      </w:r>
      <w:r>
        <w:tab/>
      </w:r>
      <w:hyperlink r:id="rId2" w:history="1">
        <w:r w:rsidR="001145BC" w:rsidRPr="00B346C0">
          <w:rPr>
            <w:rStyle w:val="Hipervnculo"/>
          </w:rPr>
          <w:t>https://dds.cepal.org/observatorio/socialcovid19/fichamedida.php?id=189</w:t>
        </w:r>
      </w:hyperlink>
      <w:r w:rsidR="00B27C05" w:rsidRPr="001C2C73">
        <w:t>.</w:t>
      </w:r>
    </w:p>
    <w:p w14:paraId="622666AA" w14:textId="6EA6B823" w:rsidR="001145BC" w:rsidRPr="00B346C0" w:rsidRDefault="001145BC" w:rsidP="009C4946">
      <w:pPr>
        <w:pStyle w:val="Textonotapie"/>
      </w:pPr>
      <w:r>
        <w:tab/>
      </w:r>
      <w:r w:rsidR="009C4946">
        <w:tab/>
      </w:r>
      <w:r w:rsidR="009C4946">
        <w:tab/>
      </w:r>
      <w:r w:rsidRPr="00B346C0">
        <w:t>Ley Especial Transitoria de Emergencia por la Pandemia COVID-19, Atención Integral de la Vida, la Salud y Reapertura de la Economía (art. 11), Decreto Legislativo N.° 661, 12 de junio 2020, D</w:t>
      </w:r>
      <w:r>
        <w:t>O</w:t>
      </w:r>
      <w:r w:rsidRPr="00B346C0">
        <w:t xml:space="preserve"> N.°</w:t>
      </w:r>
      <w:r w:rsidR="00F56C5E">
        <w:t> </w:t>
      </w:r>
      <w:r w:rsidRPr="00B346C0">
        <w:t>190, Tomo N.° 428, 22 de septiembre de 2020.</w:t>
      </w:r>
    </w:p>
  </w:footnote>
  <w:footnote w:id="6">
    <w:p w14:paraId="763D7081" w14:textId="0CF30949" w:rsidR="001145BC" w:rsidRDefault="009C4946" w:rsidP="009C4946">
      <w:pPr>
        <w:pStyle w:val="Textonotapie"/>
      </w:pPr>
      <w:r>
        <w:tab/>
      </w:r>
      <w:r w:rsidR="001145BC" w:rsidRPr="00B346C0">
        <w:rPr>
          <w:rStyle w:val="Refdenotaalpie"/>
        </w:rPr>
        <w:footnoteRef/>
      </w:r>
      <w:r>
        <w:tab/>
      </w:r>
      <w:r w:rsidR="001145BC" w:rsidRPr="00B346C0">
        <w:t>El proceso de vacunación contra la COVID-19 fue declarado de interés nacional por Decreto Legislativo N.° 90, de fecha 13 de julio de 2021, publicado en el Diario Oficial N.° 133, Tomo N.°</w:t>
      </w:r>
      <w:r w:rsidR="003B0B16">
        <w:t> </w:t>
      </w:r>
      <w:r w:rsidR="001145BC" w:rsidRPr="00B346C0">
        <w:t>432, de esa misma fecha, que contiene las Disposiciones Especiales y Transitorias de Suspensión de Concentraciones y Eventos Públicos o Privados.</w:t>
      </w:r>
    </w:p>
  </w:footnote>
  <w:footnote w:id="7">
    <w:p w14:paraId="2E120285" w14:textId="1E5462AF" w:rsidR="001145BC" w:rsidRDefault="009C4946" w:rsidP="009C4946">
      <w:pPr>
        <w:pStyle w:val="Textonotapie"/>
      </w:pPr>
      <w:r>
        <w:tab/>
      </w:r>
      <w:r w:rsidR="001145BC" w:rsidRPr="00B346C0">
        <w:rPr>
          <w:rStyle w:val="Refdenotaalpie"/>
        </w:rPr>
        <w:footnoteRef/>
      </w:r>
      <w:r>
        <w:tab/>
      </w:r>
      <w:hyperlink r:id="rId3" w:history="1">
        <w:r w:rsidR="001145BC" w:rsidRPr="00B346C0">
          <w:rPr>
            <w:rStyle w:val="Hipervnculo"/>
          </w:rPr>
          <w:t>https://dds.cepal.org/observatorio/socialcovid19/fichamedida.php?id=194</w:t>
        </w:r>
      </w:hyperlink>
      <w:r w:rsidR="001878DA">
        <w:rPr>
          <w:rStyle w:val="Hipervnculo"/>
        </w:rPr>
        <w:t>.</w:t>
      </w:r>
    </w:p>
  </w:footnote>
  <w:footnote w:id="8">
    <w:p w14:paraId="03F77353" w14:textId="05E3A2A3" w:rsidR="001145BC" w:rsidRDefault="009C4946" w:rsidP="009C4946">
      <w:pPr>
        <w:pStyle w:val="Textonotapie"/>
      </w:pPr>
      <w:r>
        <w:tab/>
      </w:r>
      <w:r w:rsidR="001145BC" w:rsidRPr="00B346C0">
        <w:rPr>
          <w:rStyle w:val="Refdenotaalpie"/>
        </w:rPr>
        <w:footnoteRef/>
      </w:r>
      <w:r>
        <w:tab/>
      </w:r>
      <w:r w:rsidR="001145BC" w:rsidRPr="00B346C0">
        <w:t xml:space="preserve">Decreto Legislativo N.° 123, de 17 de agosto de 2021. </w:t>
      </w:r>
      <w:hyperlink r:id="rId4" w:history="1">
        <w:r w:rsidR="001145BC" w:rsidRPr="00B346C0">
          <w:rPr>
            <w:rStyle w:val="Hipervnculo"/>
          </w:rPr>
          <w:t>https://www.asamblea.gob.sv/node/11471</w:t>
        </w:r>
      </w:hyperlink>
      <w:r w:rsidR="001145BC">
        <w:t>, publicado en el Diario Oficial n°. 159, tomo 432, del 23 de ag</w:t>
      </w:r>
      <w:r w:rsidR="00F56C5E">
        <w:t>o</w:t>
      </w:r>
      <w:r w:rsidR="001145BC">
        <w:t>sto de 2021.</w:t>
      </w:r>
    </w:p>
  </w:footnote>
  <w:footnote w:id="9">
    <w:p w14:paraId="470FE3CF" w14:textId="06D6BFC7" w:rsidR="001145BC" w:rsidRPr="001C2C73" w:rsidRDefault="009C4946" w:rsidP="009C4946">
      <w:pPr>
        <w:pStyle w:val="Textonotapie"/>
        <w:rPr>
          <w:sz w:val="20"/>
          <w:szCs w:val="22"/>
        </w:rPr>
      </w:pPr>
      <w:r>
        <w:tab/>
      </w:r>
      <w:r w:rsidR="001145BC" w:rsidRPr="008A3272">
        <w:rPr>
          <w:rStyle w:val="Refdenotaalpie"/>
          <w:rFonts w:ascii="Museo 100" w:hAnsi="Museo 100"/>
          <w:sz w:val="16"/>
          <w:szCs w:val="16"/>
        </w:rPr>
        <w:footnoteRef/>
      </w:r>
      <w:r w:rsidR="001145BC" w:rsidRPr="008A3272">
        <w:t xml:space="preserve"> </w:t>
      </w:r>
      <w:r>
        <w:tab/>
      </w:r>
      <w:r w:rsidR="001145BC" w:rsidRPr="008A3272">
        <w:t xml:space="preserve">Gabinete de Gestión social e Inclusión de El Salvador. Estrategia Nacional Intersectorial de Prevención del embarazo en niñas y adolescentes 2017-2027. </w:t>
      </w:r>
      <w:hyperlink r:id="rId5" w:history="1">
        <w:r w:rsidR="001145BC" w:rsidRPr="001C2C73">
          <w:rPr>
            <w:rStyle w:val="Hipervnculo"/>
            <w:rFonts w:ascii="Museo 100" w:hAnsi="Museo 100"/>
            <w:szCs w:val="18"/>
          </w:rPr>
          <w:t>https://www.salud.gob.sv/download/estrategia-nacional-intersectorial-de-prevencion-del-embarazo-en-ninas-y-en-adolescentes-2017-2027/</w:t>
        </w:r>
      </w:hyperlink>
      <w:r w:rsidR="001878DA" w:rsidRPr="001C2C73">
        <w:rPr>
          <w:rStyle w:val="Hipervnculo"/>
          <w:rFonts w:ascii="Museo 100" w:hAnsi="Museo 10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7BFDE" w14:textId="77777777" w:rsidR="001145BC" w:rsidRPr="001A4396" w:rsidRDefault="001145BC">
    <w:pPr>
      <w:pStyle w:val="Encabezado"/>
    </w:pPr>
    <w:r>
      <w:t>E/C.12/SLV/RQ/6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F7FDE" w14:textId="77777777" w:rsidR="001145BC" w:rsidRPr="00935A0B" w:rsidRDefault="001145BC" w:rsidP="00935A0B">
    <w:pPr>
      <w:pStyle w:val="Encabezado"/>
      <w:jc w:val="right"/>
      <w:rPr>
        <w:u w:val="double"/>
      </w:rPr>
    </w:pPr>
    <w:r>
      <w:t>E/C.12/SLV/RQ/6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EBC96" w14:textId="77777777" w:rsidR="001145BC" w:rsidRDefault="001145BC"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9304DA"/>
    <w:multiLevelType w:val="hybridMultilevel"/>
    <w:tmpl w:val="81F2AAF8"/>
    <w:lvl w:ilvl="0" w:tplc="7A5A6006">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D954887"/>
    <w:multiLevelType w:val="hybridMultilevel"/>
    <w:tmpl w:val="5A48E46A"/>
    <w:lvl w:ilvl="0" w:tplc="C48830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BA6B72E" w:tentative="1">
      <w:start w:val="1"/>
      <w:numFmt w:val="lowerLetter"/>
      <w:lvlText w:val="%2."/>
      <w:lvlJc w:val="left"/>
      <w:pPr>
        <w:tabs>
          <w:tab w:val="num" w:pos="1440"/>
        </w:tabs>
        <w:ind w:left="1440" w:hanging="360"/>
      </w:pPr>
    </w:lvl>
    <w:lvl w:ilvl="2" w:tplc="ECD2C78C" w:tentative="1">
      <w:start w:val="1"/>
      <w:numFmt w:val="lowerRoman"/>
      <w:lvlText w:val="%3."/>
      <w:lvlJc w:val="right"/>
      <w:pPr>
        <w:tabs>
          <w:tab w:val="num" w:pos="2160"/>
        </w:tabs>
        <w:ind w:left="2160" w:hanging="180"/>
      </w:pPr>
    </w:lvl>
    <w:lvl w:ilvl="3" w:tplc="D0E80202" w:tentative="1">
      <w:start w:val="1"/>
      <w:numFmt w:val="decimal"/>
      <w:lvlText w:val="%4."/>
      <w:lvlJc w:val="left"/>
      <w:pPr>
        <w:tabs>
          <w:tab w:val="num" w:pos="2880"/>
        </w:tabs>
        <w:ind w:left="2880" w:hanging="360"/>
      </w:pPr>
    </w:lvl>
    <w:lvl w:ilvl="4" w:tplc="7096B786" w:tentative="1">
      <w:start w:val="1"/>
      <w:numFmt w:val="lowerLetter"/>
      <w:lvlText w:val="%5."/>
      <w:lvlJc w:val="left"/>
      <w:pPr>
        <w:tabs>
          <w:tab w:val="num" w:pos="3600"/>
        </w:tabs>
        <w:ind w:left="3600" w:hanging="360"/>
      </w:pPr>
    </w:lvl>
    <w:lvl w:ilvl="5" w:tplc="20F2337C" w:tentative="1">
      <w:start w:val="1"/>
      <w:numFmt w:val="lowerRoman"/>
      <w:lvlText w:val="%6."/>
      <w:lvlJc w:val="right"/>
      <w:pPr>
        <w:tabs>
          <w:tab w:val="num" w:pos="4320"/>
        </w:tabs>
        <w:ind w:left="4320" w:hanging="180"/>
      </w:pPr>
    </w:lvl>
    <w:lvl w:ilvl="6" w:tplc="6748D618" w:tentative="1">
      <w:start w:val="1"/>
      <w:numFmt w:val="decimal"/>
      <w:lvlText w:val="%7."/>
      <w:lvlJc w:val="left"/>
      <w:pPr>
        <w:tabs>
          <w:tab w:val="num" w:pos="5040"/>
        </w:tabs>
        <w:ind w:left="5040" w:hanging="360"/>
      </w:pPr>
    </w:lvl>
    <w:lvl w:ilvl="7" w:tplc="DAD842FA" w:tentative="1">
      <w:start w:val="1"/>
      <w:numFmt w:val="lowerLetter"/>
      <w:lvlText w:val="%8."/>
      <w:lvlJc w:val="left"/>
      <w:pPr>
        <w:tabs>
          <w:tab w:val="num" w:pos="5760"/>
        </w:tabs>
        <w:ind w:left="5760" w:hanging="360"/>
      </w:pPr>
    </w:lvl>
    <w:lvl w:ilvl="8" w:tplc="DAA0BE54" w:tentative="1">
      <w:start w:val="1"/>
      <w:numFmt w:val="lowerRoman"/>
      <w:lvlText w:val="%9."/>
      <w:lvlJc w:val="right"/>
      <w:pPr>
        <w:tabs>
          <w:tab w:val="num" w:pos="6480"/>
        </w:tabs>
        <w:ind w:left="6480" w:hanging="180"/>
      </w:pPr>
    </w:lvl>
  </w:abstractNum>
  <w:abstractNum w:abstractNumId="12" w15:restartNumberingAfterBreak="0">
    <w:nsid w:val="18BD46BB"/>
    <w:multiLevelType w:val="hybridMultilevel"/>
    <w:tmpl w:val="B7E2C672"/>
    <w:lvl w:ilvl="0" w:tplc="B0345EB2">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94442FE"/>
    <w:multiLevelType w:val="hybridMultilevel"/>
    <w:tmpl w:val="FBF80142"/>
    <w:lvl w:ilvl="0" w:tplc="7982131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6A7743B"/>
    <w:multiLevelType w:val="hybridMultilevel"/>
    <w:tmpl w:val="165289D8"/>
    <w:lvl w:ilvl="0" w:tplc="0AA47F24">
      <w:start w:val="1"/>
      <w:numFmt w:val="bullet"/>
      <w:pStyle w:val="Bullet2G"/>
      <w:lvlText w:val="•"/>
      <w:lvlJc w:val="left"/>
      <w:pPr>
        <w:tabs>
          <w:tab w:val="num" w:pos="2268"/>
        </w:tabs>
        <w:ind w:left="2268" w:hanging="170"/>
      </w:pPr>
      <w:rPr>
        <w:rFonts w:ascii="Times New Roman" w:hAnsi="Times New Roman" w:cs="Times New Roman" w:hint="default"/>
      </w:rPr>
    </w:lvl>
    <w:lvl w:ilvl="1" w:tplc="219E1D9C" w:tentative="1">
      <w:start w:val="1"/>
      <w:numFmt w:val="bullet"/>
      <w:lvlText w:val="o"/>
      <w:lvlJc w:val="left"/>
      <w:pPr>
        <w:tabs>
          <w:tab w:val="num" w:pos="1440"/>
        </w:tabs>
        <w:ind w:left="1440" w:hanging="360"/>
      </w:pPr>
      <w:rPr>
        <w:rFonts w:ascii="Courier New" w:hAnsi="Courier New" w:hint="default"/>
      </w:rPr>
    </w:lvl>
    <w:lvl w:ilvl="2" w:tplc="5AD2BA76" w:tentative="1">
      <w:start w:val="1"/>
      <w:numFmt w:val="bullet"/>
      <w:lvlText w:val=""/>
      <w:lvlJc w:val="left"/>
      <w:pPr>
        <w:tabs>
          <w:tab w:val="num" w:pos="2160"/>
        </w:tabs>
        <w:ind w:left="2160" w:hanging="360"/>
      </w:pPr>
      <w:rPr>
        <w:rFonts w:ascii="Wingdings" w:hAnsi="Wingdings" w:hint="default"/>
      </w:rPr>
    </w:lvl>
    <w:lvl w:ilvl="3" w:tplc="D7EE8628" w:tentative="1">
      <w:start w:val="1"/>
      <w:numFmt w:val="bullet"/>
      <w:lvlText w:val=""/>
      <w:lvlJc w:val="left"/>
      <w:pPr>
        <w:tabs>
          <w:tab w:val="num" w:pos="2880"/>
        </w:tabs>
        <w:ind w:left="2880" w:hanging="360"/>
      </w:pPr>
      <w:rPr>
        <w:rFonts w:ascii="Symbol" w:hAnsi="Symbol" w:hint="default"/>
      </w:rPr>
    </w:lvl>
    <w:lvl w:ilvl="4" w:tplc="15D27060" w:tentative="1">
      <w:start w:val="1"/>
      <w:numFmt w:val="bullet"/>
      <w:lvlText w:val="o"/>
      <w:lvlJc w:val="left"/>
      <w:pPr>
        <w:tabs>
          <w:tab w:val="num" w:pos="3600"/>
        </w:tabs>
        <w:ind w:left="3600" w:hanging="360"/>
      </w:pPr>
      <w:rPr>
        <w:rFonts w:ascii="Courier New" w:hAnsi="Courier New" w:hint="default"/>
      </w:rPr>
    </w:lvl>
    <w:lvl w:ilvl="5" w:tplc="A128062C" w:tentative="1">
      <w:start w:val="1"/>
      <w:numFmt w:val="bullet"/>
      <w:lvlText w:val=""/>
      <w:lvlJc w:val="left"/>
      <w:pPr>
        <w:tabs>
          <w:tab w:val="num" w:pos="4320"/>
        </w:tabs>
        <w:ind w:left="4320" w:hanging="360"/>
      </w:pPr>
      <w:rPr>
        <w:rFonts w:ascii="Wingdings" w:hAnsi="Wingdings" w:hint="default"/>
      </w:rPr>
    </w:lvl>
    <w:lvl w:ilvl="6" w:tplc="07BE7226" w:tentative="1">
      <w:start w:val="1"/>
      <w:numFmt w:val="bullet"/>
      <w:lvlText w:val=""/>
      <w:lvlJc w:val="left"/>
      <w:pPr>
        <w:tabs>
          <w:tab w:val="num" w:pos="5040"/>
        </w:tabs>
        <w:ind w:left="5040" w:hanging="360"/>
      </w:pPr>
      <w:rPr>
        <w:rFonts w:ascii="Symbol" w:hAnsi="Symbol" w:hint="default"/>
      </w:rPr>
    </w:lvl>
    <w:lvl w:ilvl="7" w:tplc="851E3136" w:tentative="1">
      <w:start w:val="1"/>
      <w:numFmt w:val="bullet"/>
      <w:lvlText w:val="o"/>
      <w:lvlJc w:val="left"/>
      <w:pPr>
        <w:tabs>
          <w:tab w:val="num" w:pos="5760"/>
        </w:tabs>
        <w:ind w:left="5760" w:hanging="360"/>
      </w:pPr>
      <w:rPr>
        <w:rFonts w:ascii="Courier New" w:hAnsi="Courier New" w:hint="default"/>
      </w:rPr>
    </w:lvl>
    <w:lvl w:ilvl="8" w:tplc="2E70C3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494C24"/>
    <w:multiLevelType w:val="hybridMultilevel"/>
    <w:tmpl w:val="389ABF10"/>
    <w:lvl w:ilvl="0" w:tplc="B7BE732E">
      <w:start w:val="1"/>
      <w:numFmt w:val="upperLetter"/>
      <w:lvlText w:val="%1."/>
      <w:lvlJc w:val="left"/>
      <w:pPr>
        <w:ind w:left="1494" w:hanging="360"/>
      </w:pPr>
      <w:rPr>
        <w:rFonts w:hint="default"/>
        <w:b/>
        <w:color w:val="284AF4"/>
        <w:u w:val="no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56CD2FAE"/>
    <w:multiLevelType w:val="hybridMultilevel"/>
    <w:tmpl w:val="EA7C5A54"/>
    <w:lvl w:ilvl="0" w:tplc="7A5A6006">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B284834"/>
    <w:multiLevelType w:val="hybridMultilevel"/>
    <w:tmpl w:val="5CAA402E"/>
    <w:lvl w:ilvl="0" w:tplc="52F4B48C">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430EEC1E">
      <w:start w:val="1"/>
      <w:numFmt w:val="bullet"/>
      <w:pStyle w:val="Bullet1G"/>
      <w:lvlText w:val="•"/>
      <w:lvlJc w:val="left"/>
      <w:pPr>
        <w:tabs>
          <w:tab w:val="num" w:pos="1701"/>
        </w:tabs>
        <w:ind w:left="1701" w:hanging="170"/>
      </w:pPr>
      <w:rPr>
        <w:rFonts w:ascii="Times New Roman" w:hAnsi="Times New Roman" w:cs="Times New Roman" w:hint="default"/>
      </w:rPr>
    </w:lvl>
    <w:lvl w:ilvl="1" w:tplc="011A9DEA" w:tentative="1">
      <w:start w:val="1"/>
      <w:numFmt w:val="bullet"/>
      <w:lvlText w:val="o"/>
      <w:lvlJc w:val="left"/>
      <w:pPr>
        <w:tabs>
          <w:tab w:val="num" w:pos="1440"/>
        </w:tabs>
        <w:ind w:left="1440" w:hanging="360"/>
      </w:pPr>
      <w:rPr>
        <w:rFonts w:ascii="Courier New" w:hAnsi="Courier New" w:hint="default"/>
      </w:rPr>
    </w:lvl>
    <w:lvl w:ilvl="2" w:tplc="963E2C9E" w:tentative="1">
      <w:start w:val="1"/>
      <w:numFmt w:val="bullet"/>
      <w:lvlText w:val=""/>
      <w:lvlJc w:val="left"/>
      <w:pPr>
        <w:tabs>
          <w:tab w:val="num" w:pos="2160"/>
        </w:tabs>
        <w:ind w:left="2160" w:hanging="360"/>
      </w:pPr>
      <w:rPr>
        <w:rFonts w:ascii="Wingdings" w:hAnsi="Wingdings" w:hint="default"/>
      </w:rPr>
    </w:lvl>
    <w:lvl w:ilvl="3" w:tplc="2B4C669C" w:tentative="1">
      <w:start w:val="1"/>
      <w:numFmt w:val="bullet"/>
      <w:lvlText w:val=""/>
      <w:lvlJc w:val="left"/>
      <w:pPr>
        <w:tabs>
          <w:tab w:val="num" w:pos="2880"/>
        </w:tabs>
        <w:ind w:left="2880" w:hanging="360"/>
      </w:pPr>
      <w:rPr>
        <w:rFonts w:ascii="Symbol" w:hAnsi="Symbol" w:hint="default"/>
      </w:rPr>
    </w:lvl>
    <w:lvl w:ilvl="4" w:tplc="DC4AAD50" w:tentative="1">
      <w:start w:val="1"/>
      <w:numFmt w:val="bullet"/>
      <w:lvlText w:val="o"/>
      <w:lvlJc w:val="left"/>
      <w:pPr>
        <w:tabs>
          <w:tab w:val="num" w:pos="3600"/>
        </w:tabs>
        <w:ind w:left="3600" w:hanging="360"/>
      </w:pPr>
      <w:rPr>
        <w:rFonts w:ascii="Courier New" w:hAnsi="Courier New" w:hint="default"/>
      </w:rPr>
    </w:lvl>
    <w:lvl w:ilvl="5" w:tplc="84DA1E6C" w:tentative="1">
      <w:start w:val="1"/>
      <w:numFmt w:val="bullet"/>
      <w:lvlText w:val=""/>
      <w:lvlJc w:val="left"/>
      <w:pPr>
        <w:tabs>
          <w:tab w:val="num" w:pos="4320"/>
        </w:tabs>
        <w:ind w:left="4320" w:hanging="360"/>
      </w:pPr>
      <w:rPr>
        <w:rFonts w:ascii="Wingdings" w:hAnsi="Wingdings" w:hint="default"/>
      </w:rPr>
    </w:lvl>
    <w:lvl w:ilvl="6" w:tplc="881CFACE" w:tentative="1">
      <w:start w:val="1"/>
      <w:numFmt w:val="bullet"/>
      <w:lvlText w:val=""/>
      <w:lvlJc w:val="left"/>
      <w:pPr>
        <w:tabs>
          <w:tab w:val="num" w:pos="5040"/>
        </w:tabs>
        <w:ind w:left="5040" w:hanging="360"/>
      </w:pPr>
      <w:rPr>
        <w:rFonts w:ascii="Symbol" w:hAnsi="Symbol" w:hint="default"/>
      </w:rPr>
    </w:lvl>
    <w:lvl w:ilvl="7" w:tplc="77CEBC22" w:tentative="1">
      <w:start w:val="1"/>
      <w:numFmt w:val="bullet"/>
      <w:lvlText w:val="o"/>
      <w:lvlJc w:val="left"/>
      <w:pPr>
        <w:tabs>
          <w:tab w:val="num" w:pos="5760"/>
        </w:tabs>
        <w:ind w:left="5760" w:hanging="360"/>
      </w:pPr>
      <w:rPr>
        <w:rFonts w:ascii="Courier New" w:hAnsi="Courier New" w:hint="default"/>
      </w:rPr>
    </w:lvl>
    <w:lvl w:ilvl="8" w:tplc="1136AB3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20"/>
  </w:num>
  <w:num w:numId="3">
    <w:abstractNumId w:val="18"/>
  </w:num>
  <w:num w:numId="4">
    <w:abstractNumId w:val="19"/>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17"/>
  </w:num>
  <w:num w:numId="18">
    <w:abstractNumId w:val="16"/>
  </w:num>
  <w:num w:numId="19">
    <w:abstractNumId w:val="10"/>
  </w:num>
  <w:num w:numId="20">
    <w:abstractNumId w:val="15"/>
  </w:num>
  <w:num w:numId="21">
    <w:abstractNumId w:val="12"/>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B57E7"/>
    <w:rsid w:val="000B6373"/>
    <w:rsid w:val="000D3664"/>
    <w:rsid w:val="000D4C6E"/>
    <w:rsid w:val="000F09DF"/>
    <w:rsid w:val="000F61B2"/>
    <w:rsid w:val="001043C1"/>
    <w:rsid w:val="001075E9"/>
    <w:rsid w:val="001145BC"/>
    <w:rsid w:val="00180183"/>
    <w:rsid w:val="0018024D"/>
    <w:rsid w:val="00180B8D"/>
    <w:rsid w:val="0018649F"/>
    <w:rsid w:val="001878DA"/>
    <w:rsid w:val="001914AB"/>
    <w:rsid w:val="00196389"/>
    <w:rsid w:val="001A4396"/>
    <w:rsid w:val="001B3EF6"/>
    <w:rsid w:val="001C2C73"/>
    <w:rsid w:val="001C7A89"/>
    <w:rsid w:val="001F2822"/>
    <w:rsid w:val="00213E6C"/>
    <w:rsid w:val="00293A18"/>
    <w:rsid w:val="00294EA4"/>
    <w:rsid w:val="00296C93"/>
    <w:rsid w:val="002A02C6"/>
    <w:rsid w:val="002A2EFC"/>
    <w:rsid w:val="002B4405"/>
    <w:rsid w:val="002C0E18"/>
    <w:rsid w:val="002C3864"/>
    <w:rsid w:val="002D4163"/>
    <w:rsid w:val="002D4172"/>
    <w:rsid w:val="002D5AAC"/>
    <w:rsid w:val="002F405F"/>
    <w:rsid w:val="00301299"/>
    <w:rsid w:val="00306E53"/>
    <w:rsid w:val="00307FB6"/>
    <w:rsid w:val="00317339"/>
    <w:rsid w:val="00322004"/>
    <w:rsid w:val="00327C82"/>
    <w:rsid w:val="003322F1"/>
    <w:rsid w:val="003402C2"/>
    <w:rsid w:val="00376E4E"/>
    <w:rsid w:val="00381C24"/>
    <w:rsid w:val="00386B6B"/>
    <w:rsid w:val="003958D0"/>
    <w:rsid w:val="003A3CE4"/>
    <w:rsid w:val="003B00E5"/>
    <w:rsid w:val="003B0B16"/>
    <w:rsid w:val="003D3526"/>
    <w:rsid w:val="003E0332"/>
    <w:rsid w:val="003F09C0"/>
    <w:rsid w:val="003F43D1"/>
    <w:rsid w:val="003F6FF0"/>
    <w:rsid w:val="00401B6E"/>
    <w:rsid w:val="004035B7"/>
    <w:rsid w:val="00405EFC"/>
    <w:rsid w:val="00407B78"/>
    <w:rsid w:val="00424203"/>
    <w:rsid w:val="004424EA"/>
    <w:rsid w:val="004452DE"/>
    <w:rsid w:val="00454E07"/>
    <w:rsid w:val="004A7C5F"/>
    <w:rsid w:val="004B15F2"/>
    <w:rsid w:val="004B6CC2"/>
    <w:rsid w:val="004D1828"/>
    <w:rsid w:val="0050108D"/>
    <w:rsid w:val="00513081"/>
    <w:rsid w:val="005163D5"/>
    <w:rsid w:val="005172CB"/>
    <w:rsid w:val="00517901"/>
    <w:rsid w:val="00521DC1"/>
    <w:rsid w:val="00526683"/>
    <w:rsid w:val="0054386B"/>
    <w:rsid w:val="005709E0"/>
    <w:rsid w:val="00572E19"/>
    <w:rsid w:val="005961C8"/>
    <w:rsid w:val="005C3181"/>
    <w:rsid w:val="005D7914"/>
    <w:rsid w:val="005F0B42"/>
    <w:rsid w:val="00600EF8"/>
    <w:rsid w:val="00615628"/>
    <w:rsid w:val="00621949"/>
    <w:rsid w:val="006551F6"/>
    <w:rsid w:val="00680D0A"/>
    <w:rsid w:val="00681A10"/>
    <w:rsid w:val="00686ECF"/>
    <w:rsid w:val="0069218C"/>
    <w:rsid w:val="006C2031"/>
    <w:rsid w:val="006D317E"/>
    <w:rsid w:val="006D461A"/>
    <w:rsid w:val="006F35EE"/>
    <w:rsid w:val="007021FF"/>
    <w:rsid w:val="00712895"/>
    <w:rsid w:val="00754B77"/>
    <w:rsid w:val="00757357"/>
    <w:rsid w:val="00761274"/>
    <w:rsid w:val="007912B3"/>
    <w:rsid w:val="00794179"/>
    <w:rsid w:val="007C333F"/>
    <w:rsid w:val="007C4599"/>
    <w:rsid w:val="007D1916"/>
    <w:rsid w:val="007E072F"/>
    <w:rsid w:val="007E2C6D"/>
    <w:rsid w:val="007E7EE1"/>
    <w:rsid w:val="00805D1C"/>
    <w:rsid w:val="00825F8D"/>
    <w:rsid w:val="00834B71"/>
    <w:rsid w:val="00841CBA"/>
    <w:rsid w:val="0086445C"/>
    <w:rsid w:val="008928D5"/>
    <w:rsid w:val="00894693"/>
    <w:rsid w:val="008A08D7"/>
    <w:rsid w:val="008A308A"/>
    <w:rsid w:val="008B6909"/>
    <w:rsid w:val="008E67A3"/>
    <w:rsid w:val="00906890"/>
    <w:rsid w:val="00911BE4"/>
    <w:rsid w:val="009149EE"/>
    <w:rsid w:val="00935A0B"/>
    <w:rsid w:val="00951972"/>
    <w:rsid w:val="009530A2"/>
    <w:rsid w:val="00953B31"/>
    <w:rsid w:val="009608F3"/>
    <w:rsid w:val="00975974"/>
    <w:rsid w:val="009874BF"/>
    <w:rsid w:val="009922E1"/>
    <w:rsid w:val="009A4A88"/>
    <w:rsid w:val="009C4946"/>
    <w:rsid w:val="00A26749"/>
    <w:rsid w:val="00A32382"/>
    <w:rsid w:val="00A44B2D"/>
    <w:rsid w:val="00A711FB"/>
    <w:rsid w:val="00A84021"/>
    <w:rsid w:val="00A86F80"/>
    <w:rsid w:val="00A90C2B"/>
    <w:rsid w:val="00A917B3"/>
    <w:rsid w:val="00AA2206"/>
    <w:rsid w:val="00AB4B51"/>
    <w:rsid w:val="00AB7771"/>
    <w:rsid w:val="00AE5F3B"/>
    <w:rsid w:val="00B00E52"/>
    <w:rsid w:val="00B032EF"/>
    <w:rsid w:val="00B10CC7"/>
    <w:rsid w:val="00B27C05"/>
    <w:rsid w:val="00B539E7"/>
    <w:rsid w:val="00B563EB"/>
    <w:rsid w:val="00B612B1"/>
    <w:rsid w:val="00B62458"/>
    <w:rsid w:val="00B80A93"/>
    <w:rsid w:val="00B94342"/>
    <w:rsid w:val="00BC2E61"/>
    <w:rsid w:val="00BD33EE"/>
    <w:rsid w:val="00BD69BF"/>
    <w:rsid w:val="00BF2E5C"/>
    <w:rsid w:val="00C106D6"/>
    <w:rsid w:val="00C43EFF"/>
    <w:rsid w:val="00C44B04"/>
    <w:rsid w:val="00C472CE"/>
    <w:rsid w:val="00C478A7"/>
    <w:rsid w:val="00C60F0C"/>
    <w:rsid w:val="00C77B10"/>
    <w:rsid w:val="00C805C9"/>
    <w:rsid w:val="00C92939"/>
    <w:rsid w:val="00CA0176"/>
    <w:rsid w:val="00CA1679"/>
    <w:rsid w:val="00CB151C"/>
    <w:rsid w:val="00CB242B"/>
    <w:rsid w:val="00CE5A1A"/>
    <w:rsid w:val="00CF55F6"/>
    <w:rsid w:val="00D0193E"/>
    <w:rsid w:val="00D04407"/>
    <w:rsid w:val="00D236FD"/>
    <w:rsid w:val="00D33D63"/>
    <w:rsid w:val="00D46FF5"/>
    <w:rsid w:val="00D4778E"/>
    <w:rsid w:val="00D65D32"/>
    <w:rsid w:val="00D7481B"/>
    <w:rsid w:val="00D75B66"/>
    <w:rsid w:val="00D76123"/>
    <w:rsid w:val="00D82740"/>
    <w:rsid w:val="00D90138"/>
    <w:rsid w:val="00DE494F"/>
    <w:rsid w:val="00E05118"/>
    <w:rsid w:val="00E17E4E"/>
    <w:rsid w:val="00E3142F"/>
    <w:rsid w:val="00E31CF9"/>
    <w:rsid w:val="00E56EE3"/>
    <w:rsid w:val="00E701D9"/>
    <w:rsid w:val="00E738FF"/>
    <w:rsid w:val="00E73F76"/>
    <w:rsid w:val="00E73FAF"/>
    <w:rsid w:val="00E86371"/>
    <w:rsid w:val="00E939A3"/>
    <w:rsid w:val="00EA2C9F"/>
    <w:rsid w:val="00EB6F86"/>
    <w:rsid w:val="00EC058A"/>
    <w:rsid w:val="00ED0BDA"/>
    <w:rsid w:val="00ED3749"/>
    <w:rsid w:val="00EE7654"/>
    <w:rsid w:val="00EF1360"/>
    <w:rsid w:val="00EF3220"/>
    <w:rsid w:val="00F10EA4"/>
    <w:rsid w:val="00F37BF0"/>
    <w:rsid w:val="00F43810"/>
    <w:rsid w:val="00F565DF"/>
    <w:rsid w:val="00F56C5E"/>
    <w:rsid w:val="00F63772"/>
    <w:rsid w:val="00F71265"/>
    <w:rsid w:val="00F76A49"/>
    <w:rsid w:val="00F9377E"/>
    <w:rsid w:val="00F94155"/>
    <w:rsid w:val="00FC08A9"/>
    <w:rsid w:val="00FD234F"/>
    <w:rsid w:val="00FD2EF7"/>
    <w:rsid w:val="00FE03A9"/>
    <w:rsid w:val="00FE447E"/>
    <w:rsid w:val="00FE7D1B"/>
    <w:rsid w:val="00FF61C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5D164A"/>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symbol Car Zchn Zchn Char,Footnote Car Zchn Zchn Char,Times 10 Point Car Zchn Zchn Char,Exposant 3 Point Car Zchn Zchn Char,Footnote Reference Superscript Car Zchn Zchn Char,f"/>
    <w:link w:val="FootnotesymbolCarZchnZchn"/>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ar"/>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Text Char1 Char,Footnote Text Char Char Char,Footnote Text Char1 Char Char Char,Footnote Text Char Char1 Char,Footnote Text Char1 Char1,FA Fu"/>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link w:val="SangradetextonormalCar"/>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uiPriority w:val="3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Footnote Text Char Char Char Char Char Car,Footnote Text Char Char Char Char Car,Footnote Text Char1 Char Car,Footnote Text Char Char Char Car,Footnote Text Char1 Char Char Char Car,Footnote Text Char Char1 Char Car,FA Fu Car"/>
    <w:basedOn w:val="Fuentedeprrafopredeter"/>
    <w:link w:val="Textonotapie"/>
    <w:uiPriority w:val="99"/>
    <w:rsid w:val="009149EE"/>
    <w:rPr>
      <w:rFonts w:eastAsiaTheme="minorEastAsia"/>
      <w:sz w:val="18"/>
      <w:lang w:val="es-ES" w:eastAsia="es-ES"/>
    </w:rPr>
  </w:style>
  <w:style w:type="paragraph" w:customStyle="1" w:styleId="xxmsonormal">
    <w:name w:val="x_x_msonormal"/>
    <w:basedOn w:val="Normal"/>
    <w:rsid w:val="0069218C"/>
    <w:pPr>
      <w:spacing w:before="100" w:beforeAutospacing="1" w:after="100" w:afterAutospacing="1" w:line="240" w:lineRule="auto"/>
    </w:pPr>
    <w:rPr>
      <w:rFonts w:eastAsia="Times New Roman"/>
      <w:sz w:val="24"/>
      <w:szCs w:val="24"/>
      <w:lang w:val="en-US" w:eastAsia="en-US"/>
    </w:rPr>
  </w:style>
  <w:style w:type="paragraph" w:styleId="Prrafodelista">
    <w:name w:val="List Paragraph"/>
    <w:aliases w:val="List Paragraph (numbered (a)),References,Paragraphe de liste1,List Paragraph1,List Paragraph11,Body Text Bulleted,Body Text BulletedCxSpLast"/>
    <w:basedOn w:val="Normal"/>
    <w:link w:val="PrrafodelistaCar"/>
    <w:uiPriority w:val="34"/>
    <w:qFormat/>
    <w:rsid w:val="0069218C"/>
    <w:pPr>
      <w:ind w:left="720"/>
      <w:contextualSpacing/>
    </w:pPr>
    <w:rPr>
      <w:lang w:val="es-SV"/>
    </w:rPr>
  </w:style>
  <w:style w:type="character" w:customStyle="1" w:styleId="PrrafodelistaCar">
    <w:name w:val="Párrafo de lista Car"/>
    <w:aliases w:val="List Paragraph (numbered (a)) Car,References Car,Paragraphe de liste1 Car,List Paragraph1 Car,List Paragraph11 Car,Body Text Bulleted Car,Body Text BulletedCxSpLast Car"/>
    <w:link w:val="Prrafodelista"/>
    <w:uiPriority w:val="34"/>
    <w:qFormat/>
    <w:locked/>
    <w:rsid w:val="0069218C"/>
    <w:rPr>
      <w:rFonts w:eastAsiaTheme="minorEastAsia"/>
      <w:lang w:val="es-SV" w:eastAsia="es-ES"/>
    </w:rPr>
  </w:style>
  <w:style w:type="character" w:customStyle="1" w:styleId="EncabezadoCar">
    <w:name w:val="Encabezado Car"/>
    <w:aliases w:val="6_G Car"/>
    <w:basedOn w:val="Fuentedeprrafopredeter"/>
    <w:link w:val="Encabezado"/>
    <w:uiPriority w:val="99"/>
    <w:rsid w:val="0069218C"/>
    <w:rPr>
      <w:rFonts w:eastAsiaTheme="minorEastAsia"/>
      <w:b/>
      <w:sz w:val="18"/>
      <w:lang w:val="es-ES" w:eastAsia="es-ES"/>
    </w:rPr>
  </w:style>
  <w:style w:type="paragraph" w:styleId="Textocomentario">
    <w:name w:val="annotation text"/>
    <w:basedOn w:val="Normal"/>
    <w:link w:val="TextocomentarioCar"/>
    <w:uiPriority w:val="99"/>
    <w:unhideWhenUsed/>
    <w:rsid w:val="0069218C"/>
    <w:pPr>
      <w:spacing w:after="20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rsid w:val="0069218C"/>
    <w:rPr>
      <w:rFonts w:asciiTheme="minorHAnsi" w:eastAsiaTheme="minorHAnsi" w:hAnsiTheme="minorHAnsi" w:cstheme="minorBidi"/>
      <w:lang w:val="en-US"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Refdenotaalpie"/>
    <w:uiPriority w:val="99"/>
    <w:rsid w:val="0069218C"/>
    <w:pPr>
      <w:suppressAutoHyphens/>
      <w:spacing w:line="240" w:lineRule="exact"/>
      <w:jc w:val="both"/>
    </w:pPr>
    <w:rPr>
      <w:rFonts w:eastAsia="Times New Roman"/>
      <w:sz w:val="18"/>
      <w:vertAlign w:val="superscript"/>
      <w:lang w:val="fr-FR" w:eastAsia="fr-FR"/>
    </w:rPr>
  </w:style>
  <w:style w:type="character" w:customStyle="1" w:styleId="SangradetextonormalCar">
    <w:name w:val="Sangría de texto normal Car"/>
    <w:basedOn w:val="Fuentedeprrafopredeter"/>
    <w:link w:val="Sangradetextonormal"/>
    <w:rsid w:val="0069218C"/>
    <w:rPr>
      <w:rFonts w:eastAsiaTheme="minorEastAsia"/>
      <w:lang w:val="es-ES" w:eastAsia="es-ES"/>
    </w:rPr>
  </w:style>
  <w:style w:type="paragraph" w:customStyle="1" w:styleId="Default">
    <w:name w:val="Default"/>
    <w:basedOn w:val="Normal"/>
    <w:rsid w:val="0069218C"/>
    <w:pPr>
      <w:autoSpaceDE w:val="0"/>
      <w:autoSpaceDN w:val="0"/>
      <w:spacing w:line="240" w:lineRule="auto"/>
    </w:pPr>
    <w:rPr>
      <w:rFonts w:ascii="Arial" w:eastAsiaTheme="minorHAnsi" w:hAnsi="Arial" w:cs="Arial"/>
      <w:color w:val="000000"/>
      <w:sz w:val="24"/>
      <w:szCs w:val="24"/>
      <w:lang w:val="es-SV" w:eastAsia="en-US"/>
    </w:rPr>
  </w:style>
  <w:style w:type="character" w:customStyle="1" w:styleId="PiedepginaCar">
    <w:name w:val="Pie de página Car"/>
    <w:aliases w:val="3_G Car"/>
    <w:basedOn w:val="Fuentedeprrafopredeter"/>
    <w:link w:val="Piedepgina"/>
    <w:uiPriority w:val="99"/>
    <w:qFormat/>
    <w:rsid w:val="0069218C"/>
    <w:rPr>
      <w:rFonts w:eastAsiaTheme="minorEastAsia"/>
      <w:sz w:val="16"/>
      <w:lang w:val="es-ES" w:eastAsia="es-ES"/>
    </w:rPr>
  </w:style>
  <w:style w:type="character" w:customStyle="1" w:styleId="markedcontent">
    <w:name w:val="markedcontent"/>
    <w:basedOn w:val="Fuentedeprrafopredeter"/>
    <w:rsid w:val="0069218C"/>
  </w:style>
  <w:style w:type="table" w:customStyle="1" w:styleId="GridTable4-Accent11">
    <w:name w:val="Grid Table 4 - Accent 11"/>
    <w:basedOn w:val="Tablanormal"/>
    <w:uiPriority w:val="49"/>
    <w:rsid w:val="0069218C"/>
    <w:rPr>
      <w:rFonts w:asciiTheme="minorHAnsi" w:eastAsiaTheme="minorHAnsi" w:hAnsiTheme="minorHAnsi" w:cstheme="minorBidi"/>
      <w:sz w:val="22"/>
      <w:szCs w:val="22"/>
      <w:lang w:val="en-U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omment">
    <w:name w:val="comment"/>
    <w:basedOn w:val="Fuentedeprrafopredeter"/>
    <w:rsid w:val="0069218C"/>
  </w:style>
  <w:style w:type="character" w:customStyle="1" w:styleId="SingleTxtGChar">
    <w:name w:val="_ Single Txt_G Char"/>
    <w:link w:val="SingleTxtG"/>
    <w:qFormat/>
    <w:rsid w:val="0069218C"/>
    <w:rPr>
      <w:rFonts w:eastAsiaTheme="minorEastAsia"/>
      <w:lang w:val="es-ES" w:eastAsia="es-ES"/>
    </w:rPr>
  </w:style>
  <w:style w:type="character" w:customStyle="1" w:styleId="H23GCar">
    <w:name w:val="_ H_2/3_G Car"/>
    <w:link w:val="H23G"/>
    <w:rsid w:val="0069218C"/>
    <w:rPr>
      <w:rFonts w:eastAsiaTheme="minorEastAsia"/>
      <w:b/>
      <w:lang w:val="es-ES" w:eastAsia="es-ES"/>
    </w:rPr>
  </w:style>
  <w:style w:type="paragraph" w:customStyle="1" w:styleId="Body">
    <w:name w:val="Body"/>
    <w:rsid w:val="0069218C"/>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paragraph" w:styleId="Sinespaciado">
    <w:name w:val="No Spacing"/>
    <w:uiPriority w:val="1"/>
    <w:qFormat/>
    <w:rsid w:val="0069218C"/>
    <w:pPr>
      <w:pBdr>
        <w:top w:val="nil"/>
        <w:left w:val="nil"/>
        <w:bottom w:val="nil"/>
        <w:right w:val="nil"/>
        <w:between w:val="nil"/>
        <w:bar w:val="nil"/>
      </w:pBdr>
    </w:pPr>
    <w:rPr>
      <w:rFonts w:ascii="Calibri" w:eastAsia="Calibri" w:hAnsi="Calibri" w:cs="Calibri"/>
      <w:color w:val="000000"/>
      <w:sz w:val="22"/>
      <w:szCs w:val="22"/>
      <w:u w:color="000000"/>
      <w:bdr w:val="nil"/>
      <w:lang w:val="en-US" w:eastAsia="en-US"/>
    </w:rPr>
  </w:style>
  <w:style w:type="character" w:customStyle="1" w:styleId="Ttulo3Car">
    <w:name w:val="Título 3 Car"/>
    <w:basedOn w:val="Fuentedeprrafopredeter"/>
    <w:link w:val="Ttulo3"/>
    <w:uiPriority w:val="9"/>
    <w:semiHidden/>
    <w:qFormat/>
    <w:rsid w:val="0069218C"/>
    <w:rPr>
      <w:rFonts w:ascii="Arial" w:eastAsiaTheme="minorEastAsia" w:hAnsi="Arial" w:cs="Arial"/>
      <w:b/>
      <w:bCs/>
      <w:sz w:val="26"/>
      <w:szCs w:val="26"/>
      <w:lang w:val="es-ES" w:eastAsia="es-ES"/>
    </w:rPr>
  </w:style>
  <w:style w:type="character" w:customStyle="1" w:styleId="EnlacedeInternet">
    <w:name w:val="Enlace de Internet"/>
    <w:basedOn w:val="Fuentedeprrafopredeter"/>
    <w:uiPriority w:val="99"/>
    <w:unhideWhenUsed/>
    <w:rsid w:val="0069218C"/>
    <w:rPr>
      <w:color w:val="0000FF" w:themeColor="hyperlink"/>
      <w:u w:val="single"/>
    </w:rPr>
  </w:style>
  <w:style w:type="character" w:styleId="Refdecomentario">
    <w:name w:val="annotation reference"/>
    <w:basedOn w:val="Fuentedeprrafopredeter"/>
    <w:uiPriority w:val="99"/>
    <w:semiHidden/>
    <w:unhideWhenUsed/>
    <w:rsid w:val="0069218C"/>
    <w:rPr>
      <w:sz w:val="16"/>
      <w:szCs w:val="16"/>
    </w:rPr>
  </w:style>
  <w:style w:type="paragraph" w:styleId="Asuntodelcomentario">
    <w:name w:val="annotation subject"/>
    <w:basedOn w:val="Textocomentario"/>
    <w:next w:val="Textocomentario"/>
    <w:link w:val="AsuntodelcomentarioCar"/>
    <w:uiPriority w:val="99"/>
    <w:semiHidden/>
    <w:unhideWhenUsed/>
    <w:rsid w:val="0069218C"/>
    <w:pPr>
      <w:spacing w:after="0"/>
    </w:pPr>
    <w:rPr>
      <w:rFonts w:ascii="Times New Roman" w:eastAsiaTheme="minorEastAsia"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69218C"/>
    <w:rPr>
      <w:rFonts w:asciiTheme="minorHAnsi" w:eastAsiaTheme="minorEastAsia" w:hAnsiTheme="minorHAnsi" w:cstheme="minorBidi"/>
      <w:b/>
      <w:bCs/>
      <w:lang w:val="es-ES" w:eastAsia="es-ES"/>
    </w:rPr>
  </w:style>
  <w:style w:type="paragraph" w:customStyle="1" w:styleId="BodyA">
    <w:name w:val="Body A"/>
    <w:rsid w:val="0069218C"/>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n-US"/>
    </w:rPr>
  </w:style>
  <w:style w:type="paragraph" w:customStyle="1" w:styleId="BodyB">
    <w:name w:val="Body B"/>
    <w:rsid w:val="0069218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eastAsia="en-US"/>
    </w:rPr>
  </w:style>
  <w:style w:type="paragraph" w:styleId="Revisin">
    <w:name w:val="Revision"/>
    <w:hidden/>
    <w:uiPriority w:val="99"/>
    <w:semiHidden/>
    <w:rsid w:val="0069218C"/>
    <w:rPr>
      <w:rFonts w:eastAsiaTheme="minorEastAsia"/>
      <w:lang w:val="es-SV" w:eastAsia="es-ES"/>
    </w:rPr>
  </w:style>
  <w:style w:type="paragraph" w:customStyle="1" w:styleId="Appelnotedebasde">
    <w:name w:val="Appel note de bas de..."/>
    <w:basedOn w:val="Normal"/>
    <w:uiPriority w:val="99"/>
    <w:rsid w:val="00386B6B"/>
    <w:pPr>
      <w:spacing w:after="160" w:line="240" w:lineRule="exact"/>
    </w:pPr>
    <w:rPr>
      <w:rFonts w:eastAsia="Times New Roman"/>
      <w:sz w:val="18"/>
      <w:vertAlign w:val="superscript"/>
      <w:lang w:val="fr-FR" w:eastAsia="fr-FR"/>
    </w:rPr>
  </w:style>
  <w:style w:type="character" w:styleId="Mencinsinresolver">
    <w:name w:val="Unresolved Mention"/>
    <w:basedOn w:val="Fuentedeprrafopredeter"/>
    <w:uiPriority w:val="99"/>
    <w:semiHidden/>
    <w:unhideWhenUsed/>
    <w:rsid w:val="003B0B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473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bvsalud.org/vitrinas/es/post_vitrines/nuevo_coronaviru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alerta.salud.gob.sv/revista-alerta-vol-4-n-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sss.gob.sv"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s://dds.cepal.org/observatorio/socialcovid19/fichamedida.php?id=194" TargetMode="External"/><Relationship Id="rId2" Type="http://schemas.openxmlformats.org/officeDocument/2006/relationships/hyperlink" Target="https://dds.cepal.org/observatorio/socialcovid19/fichamedida.php?id=189" TargetMode="External"/><Relationship Id="rId1" Type="http://schemas.openxmlformats.org/officeDocument/2006/relationships/hyperlink" Target="https://goldservice.com.sv/wp-content/uploads/2021/07/Decretos-Ejecutivos-9-y-10-Tarifas-de-Salario-Minimo.pdf" TargetMode="External"/><Relationship Id="rId5" Type="http://schemas.openxmlformats.org/officeDocument/2006/relationships/hyperlink" Target="https://www.salud.gob.sv/download/estrategia-nacional-intersectorial-de-prevencion-del-embarazo-en-ninas-y-en-adolescentes-2017-2027/" TargetMode="External"/><Relationship Id="rId4" Type="http://schemas.openxmlformats.org/officeDocument/2006/relationships/hyperlink" Target="https://www.asamblea.gob.sv/node/1147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4432F-D576-4E40-A8AF-8800CD6AAC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680D4F-5FCE-4855-A1C8-80CCD792A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BC8C61-2F7C-4C63-8905-DE8106FF8015}">
  <ds:schemaRefs>
    <ds:schemaRef ds:uri="http://schemas.microsoft.com/sharepoint/v3/contenttype/forms"/>
  </ds:schemaRefs>
</ds:datastoreItem>
</file>

<file path=customXml/itemProps4.xml><?xml version="1.0" encoding="utf-8"?>
<ds:datastoreItem xmlns:ds="http://schemas.openxmlformats.org/officeDocument/2006/customXml" ds:itemID="{70CE471D-C3ED-49AE-95FF-E88C81731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10726</Words>
  <Characters>56967</Characters>
  <Application>Microsoft Office Word</Application>
  <DocSecurity>0</DocSecurity>
  <Lines>1183</Lines>
  <Paragraphs>503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E/C.12/SLV/RQ/6</vt:lpstr>
      <vt:lpstr>E/C.12/SLV/RQ/6</vt:lpstr>
      <vt:lpstr>CAT/C/XXX/Y</vt:lpstr>
    </vt:vector>
  </TitlesOfParts>
  <Company>DCM</Company>
  <LinksUpToDate>false</LinksUpToDate>
  <CharactersWithSpaces>67261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E/C.12/SLV/RQ/6</dc:title>
  <dc:subject/>
  <dc:creator>Gloria</dc:creator>
  <cp:keywords/>
  <cp:lastModifiedBy>Angel Moreno Torres</cp:lastModifiedBy>
  <cp:revision>2</cp:revision>
  <cp:lastPrinted>2013-10-24T10:25:00Z</cp:lastPrinted>
  <dcterms:created xsi:type="dcterms:W3CDTF">2022-05-06T14:45:00Z</dcterms:created>
  <dcterms:modified xsi:type="dcterms:W3CDTF">2022-05-06T14:45:00Z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3 de mayo de 2022</vt:lpwstr>
  </property>
  <property fmtid="{D5CDD505-2E9C-101B-9397-08002B2CF9AE}" pid="12" name="Date-Generated">
    <vt:filetime>2022-05-03T13:53:37Z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262800</vt:r8>
  </property>
  <property fmtid="{D5CDD505-2E9C-101B-9397-08002B2CF9AE}" pid="22" name="Org">
    <vt:lpwstr>OHCHR</vt:lpwstr>
  </property>
  <property fmtid="{D5CDD505-2E9C-101B-9397-08002B2CF9AE}" pid="23" name="prep">
    <vt:lpwstr>al sexto informe periódico de El Salvador</vt:lpwstr>
  </property>
  <property fmtid="{D5CDD505-2E9C-101B-9397-08002B2CF9AE}" pid="24" name="preps">
    <vt:lpwstr>sexto informe periódico de El Salvador</vt:lpwstr>
  </property>
  <property fmtid="{D5CDD505-2E9C-101B-9397-08002B2CF9AE}" pid="25" name="prepw">
    <vt:lpwstr>al sexto informe periódico </vt:lpwstr>
  </property>
  <property fmtid="{D5CDD505-2E9C-101B-9397-08002B2CF9AE}" pid="26" name="prepwc">
    <vt:lpwstr>Sexto informe periódico </vt:lpwstr>
  </property>
  <property fmtid="{D5CDD505-2E9C-101B-9397-08002B2CF9AE}" pid="27" name="prepws">
    <vt:lpwstr>sexto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C.12/SLV/RQ/6</vt:lpwstr>
  </property>
  <property fmtid="{D5CDD505-2E9C-101B-9397-08002B2CF9AE}" pid="32" name="symh">
    <vt:lpwstr>E/C.12/SLV/RQ/6</vt:lpwstr>
  </property>
  <property fmtid="{D5CDD505-2E9C-101B-9397-08002B2CF9AE}" pid="33" name="Title">
    <vt:lpwstr>E/C.12/SLV/RQ/6</vt:lpwstr>
  </property>
  <property fmtid="{D5CDD505-2E9C-101B-9397-08002B2CF9AE}" pid="34" name="tlang">
    <vt:lpwstr/>
  </property>
  <property fmtid="{D5CDD505-2E9C-101B-9397-08002B2CF9AE}" pid="35" name="virs">
    <vt:lpwstr>Español, francés e inglés únicamente</vt:lpwstr>
  </property>
</Properties>
</file>