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7CC468" w14:textId="4849D17E" w:rsidR="00CA0D4A" w:rsidRPr="00162B5D" w:rsidRDefault="00F53290" w:rsidP="00653B00">
      <w:pPr>
        <w:spacing w:after="1200"/>
        <w:jc w:val="right"/>
        <w:rPr>
          <w:b/>
        </w:rPr>
      </w:pPr>
      <w:r>
        <w:rPr>
          <w:b/>
        </w:rPr>
        <w:fldChar w:fldCharType="begin"/>
      </w:r>
      <w:r>
        <w:rPr>
          <w:b/>
        </w:rPr>
        <w:instrText xml:space="preserve"> HYPERLINK "https://undocs.org/es/a/76/56" </w:instrText>
      </w:r>
      <w:r>
        <w:rPr>
          <w:b/>
        </w:rPr>
        <w:fldChar w:fldCharType="separate"/>
      </w:r>
      <w:r w:rsidR="006B5F1E" w:rsidRPr="00F53290">
        <w:rPr>
          <w:rStyle w:val="Hyperlink"/>
          <w:b/>
        </w:rPr>
        <w:t>A/76/56</w:t>
      </w:r>
      <w:r>
        <w:rPr>
          <w:b/>
        </w:rPr>
        <w:fldChar w:fldCharType="end"/>
      </w:r>
    </w:p>
    <w:p w14:paraId="4C878E0A" w14:textId="77777777" w:rsidR="005B286F" w:rsidRPr="007B49FB" w:rsidRDefault="005B286F" w:rsidP="005B286F">
      <w:pPr>
        <w:ind w:left="1134"/>
      </w:pPr>
      <w:r w:rsidRPr="007B49FB">
        <w:rPr>
          <w:noProof/>
        </w:rPr>
        <w:drawing>
          <wp:anchor distT="0" distB="0" distL="114300" distR="114300" simplePos="0" relativeHeight="251665408" behindDoc="0" locked="0" layoutInCell="1" allowOverlap="1" wp14:anchorId="7B3FD6AC" wp14:editId="5B1B7C12">
            <wp:simplePos x="1441938" y="1817077"/>
            <wp:positionH relativeFrom="column">
              <wp:align>left</wp:align>
            </wp:positionH>
            <wp:positionV relativeFrom="paragraph">
              <wp:align>top</wp:align>
            </wp:positionV>
            <wp:extent cx="1069975" cy="1009015"/>
            <wp:effectExtent l="0" t="0" r="0" b="635"/>
            <wp:wrapSquare wrapText="bothSides"/>
            <wp:docPr id="3" name="Picture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anchor>
        </w:drawing>
      </w:r>
      <w:r w:rsidR="008E4CCE">
        <w:br w:type="textWrapping" w:clear="all"/>
      </w:r>
    </w:p>
    <w:p w14:paraId="076101AF" w14:textId="77777777" w:rsidR="005B286F" w:rsidRPr="007B49FB" w:rsidRDefault="005B286F" w:rsidP="005B286F">
      <w:pPr>
        <w:pStyle w:val="SingleTxtG"/>
        <w:spacing w:after="960"/>
        <w:ind w:left="1138" w:right="1138"/>
      </w:pPr>
      <w:r w:rsidRPr="007B49FB">
        <w:rPr>
          <w:b/>
          <w:sz w:val="36"/>
          <w:szCs w:val="36"/>
        </w:rPr>
        <w:t>Naciones Unidas</w:t>
      </w:r>
    </w:p>
    <w:p w14:paraId="2F8A4734" w14:textId="533F6B15" w:rsidR="005B286F" w:rsidRPr="007B49FB" w:rsidRDefault="005B286F" w:rsidP="005B286F">
      <w:pPr>
        <w:pStyle w:val="SLG"/>
        <w:spacing w:before="0" w:after="840"/>
        <w:ind w:left="1138" w:right="1138"/>
      </w:pPr>
      <w:r w:rsidRPr="007B49FB">
        <w:t xml:space="preserve">Informe </w:t>
      </w:r>
      <w:r w:rsidR="00D76984">
        <w:t>del Comité contra la Desaparición Forzada</w:t>
      </w:r>
    </w:p>
    <w:p w14:paraId="66DA6B4F" w14:textId="2B995339" w:rsidR="005B286F" w:rsidRPr="007B49FB" w:rsidRDefault="00D76984" w:rsidP="005B286F">
      <w:pPr>
        <w:spacing w:after="240"/>
        <w:ind w:left="1138"/>
        <w:rPr>
          <w:b/>
          <w:bCs/>
          <w:sz w:val="36"/>
          <w:szCs w:val="36"/>
        </w:rPr>
      </w:pPr>
      <w:r>
        <w:rPr>
          <w:b/>
          <w:bCs/>
          <w:sz w:val="36"/>
          <w:szCs w:val="36"/>
        </w:rPr>
        <w:t>19º</w:t>
      </w:r>
      <w:r w:rsidR="005B286F" w:rsidRPr="007B49FB">
        <w:rPr>
          <w:b/>
          <w:bCs/>
          <w:sz w:val="36"/>
          <w:szCs w:val="36"/>
        </w:rPr>
        <w:t xml:space="preserve"> período de sesiones</w:t>
      </w:r>
      <w:r w:rsidR="005B286F" w:rsidRPr="007B49FB">
        <w:rPr>
          <w:b/>
          <w:bCs/>
          <w:sz w:val="36"/>
          <w:szCs w:val="36"/>
        </w:rPr>
        <w:br/>
        <w:t>(</w:t>
      </w:r>
      <w:r>
        <w:rPr>
          <w:b/>
          <w:bCs/>
          <w:sz w:val="36"/>
          <w:szCs w:val="36"/>
        </w:rPr>
        <w:t>7 de septiembre a 25 de noviembre de 2020</w:t>
      </w:r>
      <w:r w:rsidR="005B286F">
        <w:rPr>
          <w:b/>
          <w:bCs/>
          <w:sz w:val="36"/>
          <w:szCs w:val="36"/>
        </w:rPr>
        <w:t>)</w:t>
      </w:r>
    </w:p>
    <w:p w14:paraId="6453923C" w14:textId="03FD952C" w:rsidR="005B286F" w:rsidRPr="007B49FB" w:rsidRDefault="00D76984" w:rsidP="005B286F">
      <w:pPr>
        <w:spacing w:after="1080"/>
        <w:ind w:left="1138"/>
        <w:rPr>
          <w:b/>
          <w:bCs/>
          <w:sz w:val="36"/>
          <w:szCs w:val="36"/>
        </w:rPr>
      </w:pPr>
      <w:r>
        <w:rPr>
          <w:b/>
          <w:bCs/>
          <w:sz w:val="36"/>
          <w:szCs w:val="36"/>
        </w:rPr>
        <w:t>20</w:t>
      </w:r>
      <w:r w:rsidR="005B286F" w:rsidRPr="007B49FB">
        <w:rPr>
          <w:b/>
          <w:bCs/>
          <w:sz w:val="36"/>
          <w:szCs w:val="36"/>
        </w:rPr>
        <w:t>º período de sesiones</w:t>
      </w:r>
      <w:r w:rsidR="005B286F" w:rsidRPr="007B49FB">
        <w:rPr>
          <w:b/>
          <w:bCs/>
          <w:sz w:val="36"/>
          <w:szCs w:val="36"/>
        </w:rPr>
        <w:br/>
        <w:t>(</w:t>
      </w:r>
      <w:r>
        <w:rPr>
          <w:b/>
          <w:bCs/>
          <w:sz w:val="36"/>
          <w:szCs w:val="36"/>
        </w:rPr>
        <w:t>12 de abril a 7 de mayo de 2021</w:t>
      </w:r>
      <w:r w:rsidR="005B286F" w:rsidRPr="007B49FB">
        <w:rPr>
          <w:b/>
          <w:bCs/>
          <w:sz w:val="36"/>
          <w:szCs w:val="36"/>
        </w:rPr>
        <w:t>)</w:t>
      </w:r>
    </w:p>
    <w:p w14:paraId="751DEE25" w14:textId="77777777" w:rsidR="005B286F" w:rsidRPr="007B49FB" w:rsidRDefault="005B286F" w:rsidP="005B286F">
      <w:pPr>
        <w:pStyle w:val="SMG"/>
        <w:spacing w:before="0" w:after="0"/>
      </w:pPr>
      <w:r w:rsidRPr="007B49FB">
        <w:t>Asamblea General</w:t>
      </w:r>
    </w:p>
    <w:p w14:paraId="1846064B" w14:textId="77777777" w:rsidR="005B286F" w:rsidRPr="007B49FB" w:rsidRDefault="005B286F" w:rsidP="005B286F">
      <w:pPr>
        <w:ind w:left="1134"/>
        <w:rPr>
          <w:b/>
          <w:sz w:val="28"/>
          <w:szCs w:val="28"/>
        </w:rPr>
      </w:pPr>
      <w:r w:rsidRPr="007B49FB">
        <w:rPr>
          <w:b/>
          <w:sz w:val="28"/>
          <w:szCs w:val="28"/>
        </w:rPr>
        <w:t>Documentos Oficiales</w:t>
      </w:r>
    </w:p>
    <w:p w14:paraId="516C20AB" w14:textId="476F5800" w:rsidR="005B286F" w:rsidRPr="007B49FB" w:rsidRDefault="00D76984" w:rsidP="005B286F">
      <w:pPr>
        <w:ind w:left="1134"/>
        <w:rPr>
          <w:b/>
          <w:sz w:val="28"/>
          <w:szCs w:val="28"/>
        </w:rPr>
      </w:pPr>
      <w:r>
        <w:rPr>
          <w:b/>
          <w:sz w:val="28"/>
          <w:szCs w:val="28"/>
        </w:rPr>
        <w:t xml:space="preserve">Septuagésimo sexto </w:t>
      </w:r>
      <w:r w:rsidR="005B286F" w:rsidRPr="007B49FB">
        <w:rPr>
          <w:b/>
          <w:sz w:val="28"/>
          <w:szCs w:val="28"/>
        </w:rPr>
        <w:t>período de sesiones</w:t>
      </w:r>
    </w:p>
    <w:p w14:paraId="3C2E2D84" w14:textId="6CEB9A24" w:rsidR="005B286F" w:rsidRPr="007B49FB" w:rsidRDefault="005B286F" w:rsidP="005B286F">
      <w:pPr>
        <w:pStyle w:val="SingleTxtG"/>
      </w:pPr>
      <w:r w:rsidRPr="007B49FB">
        <w:rPr>
          <w:b/>
          <w:sz w:val="28"/>
          <w:szCs w:val="28"/>
        </w:rPr>
        <w:t xml:space="preserve">Suplemento núm. </w:t>
      </w:r>
      <w:r w:rsidR="00D76984">
        <w:rPr>
          <w:b/>
          <w:sz w:val="28"/>
          <w:szCs w:val="28"/>
        </w:rPr>
        <w:t>56</w:t>
      </w:r>
    </w:p>
    <w:p w14:paraId="52950249" w14:textId="77777777" w:rsidR="00CA0D4A" w:rsidRDefault="00CA0D4A" w:rsidP="00CA0D4A">
      <w:pPr>
        <w:ind w:left="1134" w:right="1134"/>
        <w:rPr>
          <w:b/>
          <w:sz w:val="28"/>
          <w:szCs w:val="28"/>
        </w:rPr>
        <w:sectPr w:rsidR="00CA0D4A" w:rsidSect="00E276DF">
          <w:footerReference w:type="default" r:id="rId8"/>
          <w:footerReference w:type="first" r:id="rId9"/>
          <w:endnotePr>
            <w:numFmt w:val="decimal"/>
          </w:endnotePr>
          <w:pgSz w:w="11906" w:h="16838" w:code="9"/>
          <w:pgMar w:top="1417" w:right="1134" w:bottom="1134" w:left="1134" w:header="850" w:footer="567" w:gutter="0"/>
          <w:cols w:space="708"/>
          <w:titlePg/>
          <w:docGrid w:linePitch="360"/>
        </w:sectPr>
      </w:pPr>
    </w:p>
    <w:p w14:paraId="3985827C" w14:textId="2043DA9B" w:rsidR="007259C5" w:rsidRPr="00162B5D" w:rsidRDefault="0000271A" w:rsidP="007259C5">
      <w:pPr>
        <w:spacing w:after="1200"/>
        <w:jc w:val="right"/>
        <w:outlineLvl w:val="0"/>
        <w:rPr>
          <w:b/>
        </w:rPr>
      </w:pPr>
      <w:hyperlink r:id="rId10" w:history="1">
        <w:r w:rsidR="006B5F1E" w:rsidRPr="00F53290">
          <w:rPr>
            <w:rStyle w:val="Hyperlink"/>
            <w:b/>
          </w:rPr>
          <w:t>A/76/56</w:t>
        </w:r>
      </w:hyperlink>
    </w:p>
    <w:p w14:paraId="51EBB253" w14:textId="77777777" w:rsidR="005B286F" w:rsidRPr="007B49FB" w:rsidRDefault="005B286F" w:rsidP="005B286F">
      <w:pPr>
        <w:rPr>
          <w:b/>
          <w:sz w:val="24"/>
          <w:szCs w:val="24"/>
        </w:rPr>
      </w:pPr>
      <w:r w:rsidRPr="007B49FB">
        <w:rPr>
          <w:b/>
          <w:sz w:val="24"/>
          <w:szCs w:val="24"/>
        </w:rPr>
        <w:t>Asamblea General</w:t>
      </w:r>
    </w:p>
    <w:p w14:paraId="5A250DD7" w14:textId="77777777" w:rsidR="005B286F" w:rsidRPr="007B49FB" w:rsidRDefault="005B286F" w:rsidP="005B286F">
      <w:pPr>
        <w:rPr>
          <w:sz w:val="24"/>
          <w:szCs w:val="24"/>
        </w:rPr>
      </w:pPr>
      <w:r w:rsidRPr="007B49FB">
        <w:rPr>
          <w:sz w:val="24"/>
          <w:szCs w:val="24"/>
        </w:rPr>
        <w:t>Documentos Oficiales</w:t>
      </w:r>
    </w:p>
    <w:p w14:paraId="5A90DC54" w14:textId="57F11B91" w:rsidR="005B286F" w:rsidRPr="007B49FB" w:rsidRDefault="00D76984" w:rsidP="005B286F">
      <w:pPr>
        <w:rPr>
          <w:sz w:val="24"/>
          <w:szCs w:val="24"/>
        </w:rPr>
      </w:pPr>
      <w:r>
        <w:rPr>
          <w:sz w:val="24"/>
          <w:szCs w:val="24"/>
        </w:rPr>
        <w:t>Septuagésimo sexto</w:t>
      </w:r>
      <w:r w:rsidR="005B286F" w:rsidRPr="007B49FB">
        <w:rPr>
          <w:sz w:val="24"/>
          <w:szCs w:val="24"/>
        </w:rPr>
        <w:t xml:space="preserve"> período de sesiones</w:t>
      </w:r>
    </w:p>
    <w:p w14:paraId="02615996" w14:textId="2C7925CE" w:rsidR="005B286F" w:rsidRPr="007B49FB" w:rsidRDefault="005B286F" w:rsidP="005B286F">
      <w:pPr>
        <w:spacing w:after="1080"/>
        <w:rPr>
          <w:b/>
          <w:sz w:val="24"/>
          <w:szCs w:val="24"/>
        </w:rPr>
      </w:pPr>
      <w:r w:rsidRPr="007B49FB">
        <w:rPr>
          <w:sz w:val="24"/>
          <w:szCs w:val="24"/>
        </w:rPr>
        <w:t xml:space="preserve">Suplemento núm. </w:t>
      </w:r>
      <w:r w:rsidR="00D76984">
        <w:rPr>
          <w:sz w:val="24"/>
          <w:szCs w:val="24"/>
        </w:rPr>
        <w:t>56</w:t>
      </w:r>
    </w:p>
    <w:p w14:paraId="6BB68583" w14:textId="3E01454E" w:rsidR="005B286F" w:rsidRPr="00D76984" w:rsidRDefault="005B286F" w:rsidP="005B286F">
      <w:pPr>
        <w:pStyle w:val="SLG"/>
        <w:spacing w:before="0" w:after="480" w:line="420" w:lineRule="exact"/>
        <w:ind w:left="1138" w:right="1138"/>
        <w:rPr>
          <w:sz w:val="40"/>
          <w:szCs w:val="40"/>
          <w:u w:val="double"/>
        </w:rPr>
      </w:pPr>
      <w:r w:rsidRPr="007B49FB">
        <w:rPr>
          <w:sz w:val="40"/>
          <w:szCs w:val="40"/>
        </w:rPr>
        <w:t xml:space="preserve">Informe </w:t>
      </w:r>
      <w:r w:rsidR="00D76984">
        <w:rPr>
          <w:bCs/>
          <w:sz w:val="40"/>
          <w:szCs w:val="40"/>
        </w:rPr>
        <w:t>del Comité contra la</w:t>
      </w:r>
      <w:r w:rsidR="00D76984">
        <w:rPr>
          <w:bCs/>
          <w:sz w:val="40"/>
          <w:szCs w:val="40"/>
        </w:rPr>
        <w:br/>
        <w:t>Desaparición Forzada</w:t>
      </w:r>
    </w:p>
    <w:p w14:paraId="542CF15F" w14:textId="4BC45147" w:rsidR="005B286F" w:rsidRPr="007B49FB" w:rsidRDefault="00D76984" w:rsidP="005B286F">
      <w:pPr>
        <w:spacing w:after="240"/>
        <w:ind w:left="1138"/>
        <w:rPr>
          <w:b/>
          <w:bCs/>
          <w:sz w:val="28"/>
          <w:szCs w:val="28"/>
        </w:rPr>
      </w:pPr>
      <w:r>
        <w:rPr>
          <w:b/>
          <w:bCs/>
          <w:sz w:val="28"/>
          <w:szCs w:val="28"/>
        </w:rPr>
        <w:t>19º</w:t>
      </w:r>
      <w:r w:rsidR="005B286F" w:rsidRPr="007B49FB">
        <w:rPr>
          <w:b/>
          <w:bCs/>
          <w:sz w:val="28"/>
          <w:szCs w:val="28"/>
        </w:rPr>
        <w:t xml:space="preserve"> período de sesiones</w:t>
      </w:r>
      <w:r w:rsidR="005B286F" w:rsidRPr="007B49FB">
        <w:rPr>
          <w:b/>
          <w:bCs/>
          <w:sz w:val="28"/>
          <w:szCs w:val="28"/>
        </w:rPr>
        <w:br/>
        <w:t>(</w:t>
      </w:r>
      <w:r w:rsidRPr="00D76984">
        <w:rPr>
          <w:b/>
          <w:bCs/>
          <w:sz w:val="28"/>
          <w:szCs w:val="28"/>
        </w:rPr>
        <w:t>7 de septiembre a 25 de noviembre de 2020</w:t>
      </w:r>
      <w:r w:rsidR="005B286F" w:rsidRPr="007B49FB">
        <w:rPr>
          <w:b/>
          <w:bCs/>
          <w:sz w:val="28"/>
          <w:szCs w:val="28"/>
        </w:rPr>
        <w:t>)</w:t>
      </w:r>
    </w:p>
    <w:p w14:paraId="5B34A0F4" w14:textId="307C1DD2" w:rsidR="005B286F" w:rsidRPr="007B49FB" w:rsidRDefault="00D76984" w:rsidP="005B286F">
      <w:pPr>
        <w:spacing w:after="4680"/>
        <w:ind w:left="1138"/>
        <w:rPr>
          <w:b/>
          <w:sz w:val="28"/>
          <w:szCs w:val="28"/>
        </w:rPr>
      </w:pPr>
      <w:r>
        <w:rPr>
          <w:b/>
          <w:bCs/>
          <w:sz w:val="28"/>
          <w:szCs w:val="28"/>
        </w:rPr>
        <w:t>20º</w:t>
      </w:r>
      <w:r w:rsidR="005B286F" w:rsidRPr="007B49FB">
        <w:rPr>
          <w:b/>
          <w:bCs/>
          <w:sz w:val="28"/>
          <w:szCs w:val="28"/>
        </w:rPr>
        <w:t xml:space="preserve"> período de sesiones</w:t>
      </w:r>
      <w:r w:rsidR="005B286F" w:rsidRPr="007B49FB">
        <w:rPr>
          <w:b/>
          <w:bCs/>
          <w:sz w:val="28"/>
          <w:szCs w:val="28"/>
        </w:rPr>
        <w:br/>
        <w:t>(</w:t>
      </w:r>
      <w:r w:rsidRPr="00D76984">
        <w:rPr>
          <w:b/>
          <w:bCs/>
          <w:sz w:val="28"/>
          <w:szCs w:val="28"/>
        </w:rPr>
        <w:t>12 de abril a 7 de mayo de 2021</w:t>
      </w:r>
      <w:r w:rsidR="005B286F" w:rsidRPr="007B49FB">
        <w:rPr>
          <w:b/>
          <w:bCs/>
          <w:sz w:val="28"/>
          <w:szCs w:val="28"/>
        </w:rPr>
        <w:t>)</w:t>
      </w:r>
    </w:p>
    <w:p w14:paraId="0D0F8982" w14:textId="157F8B2F" w:rsidR="005F688E" w:rsidRDefault="005B286F" w:rsidP="005B286F">
      <w:pPr>
        <w:ind w:left="1134"/>
        <w:rPr>
          <w:b/>
          <w:sz w:val="28"/>
        </w:rPr>
      </w:pPr>
      <w:r w:rsidRPr="007B49FB">
        <w:rPr>
          <w:noProof/>
        </w:rPr>
        <w:drawing>
          <wp:anchor distT="0" distB="0" distL="114300" distR="114300" simplePos="0" relativeHeight="251663360" behindDoc="0" locked="1" layoutInCell="1" allowOverlap="0" wp14:anchorId="4FD8D6D6" wp14:editId="4CB6B5CB">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b/>
          <w:noProof/>
          <w:sz w:val="28"/>
        </w:rPr>
        <w:drawing>
          <wp:anchor distT="0" distB="0" distL="114300" distR="114300" simplePos="0" relativeHeight="251664384" behindDoc="0" locked="1" layoutInCell="1" allowOverlap="0" wp14:anchorId="186915B9" wp14:editId="1273200B">
            <wp:simplePos x="0" y="0"/>
            <wp:positionH relativeFrom="column">
              <wp:posOffset>698500</wp:posOffset>
            </wp:positionH>
            <wp:positionV relativeFrom="paragraph">
              <wp:posOffset>-521335</wp:posOffset>
            </wp:positionV>
            <wp:extent cx="536575" cy="498475"/>
            <wp:effectExtent l="0" t="0" r="0" b="0"/>
            <wp:wrapNone/>
            <wp:docPr id="12" name="Imagen 12"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b/>
          <w:sz w:val="28"/>
        </w:rPr>
        <w:t xml:space="preserve">Naciones Unidas </w:t>
      </w:r>
      <w:r w:rsidRPr="007B49FB">
        <w:rPr>
          <w:b/>
          <w:sz w:val="28"/>
          <w:szCs w:val="28"/>
        </w:rPr>
        <w:t>●</w:t>
      </w:r>
      <w:r w:rsidRPr="007B49FB">
        <w:rPr>
          <w:b/>
          <w:sz w:val="28"/>
        </w:rPr>
        <w:t xml:space="preserve"> Nueva York, 20</w:t>
      </w:r>
      <w:r w:rsidR="00D76984">
        <w:rPr>
          <w:b/>
          <w:sz w:val="28"/>
        </w:rPr>
        <w:t>21</w:t>
      </w:r>
    </w:p>
    <w:p w14:paraId="590B4EEF" w14:textId="21DFFDE5" w:rsidR="00FA3941" w:rsidRDefault="00FA3941">
      <w:pPr>
        <w:spacing w:line="240" w:lineRule="auto"/>
        <w:rPr>
          <w:b/>
          <w:sz w:val="28"/>
        </w:rPr>
      </w:pPr>
      <w:r>
        <w:rPr>
          <w:b/>
          <w:sz w:val="28"/>
        </w:rPr>
        <w:br w:type="page"/>
      </w:r>
    </w:p>
    <w:p w14:paraId="0FAB1E6B" w14:textId="77777777" w:rsidR="00FA3941" w:rsidRDefault="00FA3941" w:rsidP="00FA3941">
      <w:pPr>
        <w:spacing w:before="4920" w:after="120"/>
        <w:ind w:left="1134"/>
        <w:rPr>
          <w:i/>
        </w:rPr>
      </w:pPr>
    </w:p>
    <w:p w14:paraId="2F76B5DF" w14:textId="6FBF0EE3" w:rsidR="008431E7" w:rsidRPr="008431E7" w:rsidRDefault="008431E7" w:rsidP="00FA3941">
      <w:pPr>
        <w:spacing w:before="4920" w:after="120"/>
        <w:ind w:left="1134"/>
        <w:rPr>
          <w:i/>
        </w:rPr>
      </w:pPr>
      <w:r w:rsidRPr="008431E7">
        <w:rPr>
          <w:i/>
        </w:rPr>
        <w:t>Nota</w:t>
      </w:r>
    </w:p>
    <w:p w14:paraId="782BF55D" w14:textId="77777777" w:rsidR="0096750D" w:rsidRDefault="005B286F" w:rsidP="008431E7">
      <w:pPr>
        <w:pStyle w:val="SingleTxtG"/>
      </w:pPr>
      <w:r w:rsidRPr="007B49FB">
        <w:tab/>
        <w:t>Las signaturas de los documentos de las Naciones Unidas se componen de letras y cifras. La mención de una de tales signaturas indica que se hace referencia a un documento de las Naciones Unidas.</w:t>
      </w:r>
    </w:p>
    <w:p w14:paraId="0BDA173F" w14:textId="77777777" w:rsidR="008431E7" w:rsidRPr="008431E7" w:rsidRDefault="008431E7" w:rsidP="008431E7">
      <w:pPr>
        <w:pStyle w:val="SingleTxtG"/>
      </w:pPr>
    </w:p>
    <w:p w14:paraId="48BA7BFE" w14:textId="77777777" w:rsidR="0096750D" w:rsidRPr="008431E7" w:rsidRDefault="0096750D" w:rsidP="00CA0D4A">
      <w:pPr>
        <w:ind w:left="1134" w:right="1134"/>
        <w:rPr>
          <w:b/>
          <w:sz w:val="28"/>
          <w:szCs w:val="28"/>
        </w:rPr>
        <w:sectPr w:rsidR="0096750D" w:rsidRPr="008431E7" w:rsidSect="00E276DF">
          <w:footerReference w:type="even" r:id="rId12"/>
          <w:footerReference w:type="default" r:id="rId13"/>
          <w:endnotePr>
            <w:numFmt w:val="decimal"/>
          </w:endnotePr>
          <w:pgSz w:w="11906" w:h="16838" w:code="9"/>
          <w:pgMar w:top="1417" w:right="1134" w:bottom="1134" w:left="1134" w:header="850" w:footer="567" w:gutter="0"/>
          <w:pgNumType w:fmt="lowerRoman" w:start="3"/>
          <w:cols w:space="708"/>
          <w:docGrid w:linePitch="360"/>
        </w:sectPr>
      </w:pPr>
    </w:p>
    <w:p w14:paraId="35338A47" w14:textId="77777777" w:rsidR="0096750D" w:rsidRPr="00162B5D" w:rsidRDefault="0096750D" w:rsidP="0096750D">
      <w:pPr>
        <w:spacing w:after="120"/>
        <w:rPr>
          <w:sz w:val="28"/>
        </w:rPr>
      </w:pPr>
      <w:r w:rsidRPr="00162B5D">
        <w:rPr>
          <w:sz w:val="28"/>
        </w:rPr>
        <w:lastRenderedPageBreak/>
        <w:t>Índice</w:t>
      </w:r>
    </w:p>
    <w:p w14:paraId="154C98D1" w14:textId="3E970064" w:rsidR="0096750D" w:rsidRPr="00162B5D" w:rsidRDefault="0096750D" w:rsidP="0096750D">
      <w:pPr>
        <w:tabs>
          <w:tab w:val="right" w:pos="8929"/>
          <w:tab w:val="right" w:pos="9638"/>
        </w:tabs>
        <w:spacing w:after="120"/>
        <w:ind w:left="283"/>
        <w:rPr>
          <w:sz w:val="18"/>
        </w:rPr>
      </w:pPr>
      <w:r w:rsidRPr="00162B5D">
        <w:rPr>
          <w:i/>
          <w:sz w:val="18"/>
        </w:rPr>
        <w:t>Capítulo</w:t>
      </w:r>
      <w:r w:rsidRPr="00162B5D">
        <w:rPr>
          <w:i/>
          <w:sz w:val="18"/>
        </w:rPr>
        <w:tab/>
      </w:r>
      <w:r w:rsidR="00546A02">
        <w:rPr>
          <w:i/>
          <w:sz w:val="18"/>
        </w:rPr>
        <w:tab/>
      </w:r>
      <w:r w:rsidRPr="00162B5D">
        <w:rPr>
          <w:i/>
          <w:sz w:val="18"/>
        </w:rPr>
        <w:t>Página</w:t>
      </w:r>
    </w:p>
    <w:p w14:paraId="2A96FDA1" w14:textId="25853950" w:rsidR="00560BD7" w:rsidRPr="002D1C75" w:rsidRDefault="00560BD7" w:rsidP="00560BD7">
      <w:pPr>
        <w:tabs>
          <w:tab w:val="right" w:pos="850"/>
          <w:tab w:val="left" w:pos="1134"/>
          <w:tab w:val="left" w:pos="1559"/>
          <w:tab w:val="left" w:pos="1984"/>
          <w:tab w:val="left" w:leader="dot" w:pos="8787"/>
          <w:tab w:val="right" w:pos="9638"/>
        </w:tabs>
        <w:spacing w:after="120"/>
      </w:pPr>
      <w:r>
        <w:tab/>
        <w:t>I.</w:t>
      </w:r>
      <w:r>
        <w:tab/>
      </w:r>
      <w:r w:rsidRPr="002D1C75">
        <w:t>Cuestiones de organización y otras cuestiones</w:t>
      </w:r>
      <w:r>
        <w:tab/>
      </w:r>
      <w:r>
        <w:tab/>
      </w:r>
      <w:r w:rsidR="00877E00">
        <w:t>1</w:t>
      </w:r>
    </w:p>
    <w:p w14:paraId="7D8CDEC1" w14:textId="02F46AA3" w:rsidR="00560BD7" w:rsidRPr="002D1C75" w:rsidRDefault="00560BD7" w:rsidP="00560BD7">
      <w:pPr>
        <w:tabs>
          <w:tab w:val="right" w:pos="850"/>
          <w:tab w:val="left" w:pos="1134"/>
          <w:tab w:val="left" w:pos="1559"/>
          <w:tab w:val="left" w:pos="1984"/>
          <w:tab w:val="left" w:leader="dot" w:pos="8787"/>
          <w:tab w:val="right" w:pos="9638"/>
        </w:tabs>
        <w:spacing w:after="120"/>
      </w:pPr>
      <w:r>
        <w:tab/>
      </w:r>
      <w:r>
        <w:tab/>
      </w:r>
      <w:r w:rsidRPr="002D1C75">
        <w:t>A.</w:t>
      </w:r>
      <w:r w:rsidRPr="002D1C75">
        <w:tab/>
      </w:r>
      <w:proofErr w:type="gramStart"/>
      <w:r w:rsidRPr="002D1C75">
        <w:t>Estados partes</w:t>
      </w:r>
      <w:proofErr w:type="gramEnd"/>
      <w:r w:rsidRPr="002D1C75">
        <w:t xml:space="preserve"> en la Convención</w:t>
      </w:r>
      <w:r>
        <w:tab/>
      </w:r>
      <w:r>
        <w:tab/>
      </w:r>
      <w:r w:rsidR="00877E00">
        <w:t>1</w:t>
      </w:r>
    </w:p>
    <w:p w14:paraId="204A8714" w14:textId="75ABA802" w:rsidR="00560BD7" w:rsidRPr="002D1C75" w:rsidRDefault="00560BD7" w:rsidP="00560BD7">
      <w:pPr>
        <w:tabs>
          <w:tab w:val="right" w:pos="850"/>
          <w:tab w:val="left" w:pos="1134"/>
          <w:tab w:val="left" w:pos="1559"/>
          <w:tab w:val="left" w:pos="1984"/>
          <w:tab w:val="left" w:leader="dot" w:pos="8787"/>
          <w:tab w:val="right" w:pos="9638"/>
        </w:tabs>
        <w:spacing w:after="120"/>
      </w:pPr>
      <w:r w:rsidRPr="002D1C75">
        <w:tab/>
      </w:r>
      <w:r>
        <w:tab/>
      </w:r>
      <w:r w:rsidRPr="002D1C75">
        <w:t>B.</w:t>
      </w:r>
      <w:r w:rsidRPr="002D1C75">
        <w:tab/>
        <w:t>Sesiones y períodos de sesiones</w:t>
      </w:r>
      <w:r>
        <w:tab/>
      </w:r>
      <w:r>
        <w:tab/>
      </w:r>
      <w:r w:rsidR="00877E00">
        <w:t>1</w:t>
      </w:r>
    </w:p>
    <w:p w14:paraId="662CD292" w14:textId="555948CB" w:rsidR="00560BD7" w:rsidRPr="002D1C75" w:rsidRDefault="00560BD7" w:rsidP="00560BD7">
      <w:pPr>
        <w:tabs>
          <w:tab w:val="right" w:pos="850"/>
          <w:tab w:val="left" w:pos="1134"/>
          <w:tab w:val="left" w:pos="1559"/>
          <w:tab w:val="left" w:pos="1984"/>
          <w:tab w:val="left" w:leader="dot" w:pos="8787"/>
          <w:tab w:val="right" w:pos="9638"/>
        </w:tabs>
        <w:spacing w:after="120"/>
      </w:pPr>
      <w:r>
        <w:tab/>
      </w:r>
      <w:r w:rsidRPr="002D1C75">
        <w:tab/>
        <w:t>C.</w:t>
      </w:r>
      <w:r w:rsidRPr="002D1C75">
        <w:tab/>
        <w:t>Composición y asistencia</w:t>
      </w:r>
      <w:r>
        <w:tab/>
      </w:r>
      <w:r>
        <w:tab/>
      </w:r>
      <w:r w:rsidR="00877E00">
        <w:t>2</w:t>
      </w:r>
    </w:p>
    <w:p w14:paraId="60970FBE" w14:textId="5D4A6C16" w:rsidR="00560BD7" w:rsidRPr="002D1C75" w:rsidRDefault="00560BD7" w:rsidP="00560BD7">
      <w:pPr>
        <w:tabs>
          <w:tab w:val="right" w:pos="850"/>
          <w:tab w:val="left" w:pos="1134"/>
          <w:tab w:val="left" w:pos="1559"/>
          <w:tab w:val="left" w:pos="1984"/>
          <w:tab w:val="left" w:leader="dot" w:pos="8787"/>
          <w:tab w:val="right" w:pos="9638"/>
        </w:tabs>
        <w:spacing w:after="120"/>
      </w:pPr>
      <w:r>
        <w:tab/>
      </w:r>
      <w:r w:rsidRPr="002D1C75">
        <w:tab/>
        <w:t>D.</w:t>
      </w:r>
      <w:r w:rsidRPr="002D1C75">
        <w:tab/>
        <w:t>Decisiones del Comité</w:t>
      </w:r>
      <w:r>
        <w:tab/>
      </w:r>
      <w:r>
        <w:tab/>
      </w:r>
      <w:r w:rsidR="00877E00">
        <w:t>2</w:t>
      </w:r>
    </w:p>
    <w:p w14:paraId="1E43CAA9" w14:textId="0B2167C1" w:rsidR="00560BD7" w:rsidRPr="002D1C75" w:rsidRDefault="00560BD7" w:rsidP="00560BD7">
      <w:pPr>
        <w:tabs>
          <w:tab w:val="right" w:pos="850"/>
          <w:tab w:val="left" w:pos="1134"/>
          <w:tab w:val="left" w:pos="1559"/>
          <w:tab w:val="left" w:pos="1984"/>
          <w:tab w:val="left" w:leader="dot" w:pos="8787"/>
          <w:tab w:val="right" w:pos="9638"/>
        </w:tabs>
        <w:spacing w:after="120"/>
      </w:pPr>
      <w:r>
        <w:tab/>
      </w:r>
      <w:r w:rsidRPr="002D1C75">
        <w:tab/>
        <w:t>E.</w:t>
      </w:r>
      <w:r w:rsidRPr="002D1C75">
        <w:tab/>
        <w:t>Aprobación del informe anual</w:t>
      </w:r>
      <w:r>
        <w:tab/>
      </w:r>
      <w:r>
        <w:tab/>
      </w:r>
      <w:r w:rsidR="00877E00">
        <w:t>4</w:t>
      </w:r>
    </w:p>
    <w:p w14:paraId="29C278AF" w14:textId="1B960FD6" w:rsidR="00560BD7" w:rsidRPr="002D1C75" w:rsidRDefault="00560BD7" w:rsidP="00560BD7">
      <w:pPr>
        <w:tabs>
          <w:tab w:val="right" w:pos="850"/>
          <w:tab w:val="left" w:pos="1134"/>
          <w:tab w:val="left" w:pos="1559"/>
          <w:tab w:val="left" w:pos="1984"/>
          <w:tab w:val="left" w:leader="dot" w:pos="8787"/>
          <w:tab w:val="right" w:pos="9638"/>
        </w:tabs>
        <w:spacing w:after="120"/>
      </w:pPr>
      <w:r>
        <w:tab/>
      </w:r>
      <w:r w:rsidRPr="002D1C75">
        <w:t>II</w:t>
      </w:r>
      <w:r>
        <w:t>.</w:t>
      </w:r>
      <w:r w:rsidRPr="002D1C75">
        <w:tab/>
        <w:t>Métodos de trabajo</w:t>
      </w:r>
      <w:r>
        <w:tab/>
      </w:r>
      <w:r>
        <w:tab/>
      </w:r>
      <w:r w:rsidR="00877E00">
        <w:t>5</w:t>
      </w:r>
    </w:p>
    <w:p w14:paraId="249C8966" w14:textId="66EA4B79" w:rsidR="00560BD7" w:rsidRPr="002D1C75" w:rsidRDefault="00560BD7" w:rsidP="00560BD7">
      <w:pPr>
        <w:tabs>
          <w:tab w:val="right" w:pos="850"/>
          <w:tab w:val="left" w:pos="1134"/>
          <w:tab w:val="left" w:pos="1559"/>
          <w:tab w:val="left" w:pos="1984"/>
          <w:tab w:val="left" w:leader="dot" w:pos="8787"/>
          <w:tab w:val="right" w:pos="9638"/>
        </w:tabs>
        <w:spacing w:after="120"/>
      </w:pPr>
      <w:r>
        <w:tab/>
      </w:r>
      <w:r w:rsidRPr="002D1C75">
        <w:t>II</w:t>
      </w:r>
      <w:r>
        <w:t>I.</w:t>
      </w:r>
      <w:r>
        <w:tab/>
      </w:r>
      <w:r w:rsidRPr="002D1C75">
        <w:t>Relaciones con las partes interesadas</w:t>
      </w:r>
      <w:r>
        <w:tab/>
      </w:r>
      <w:r>
        <w:tab/>
      </w:r>
      <w:r w:rsidR="00877E00">
        <w:t>6</w:t>
      </w:r>
    </w:p>
    <w:p w14:paraId="244FCDE5" w14:textId="455E4CC7" w:rsidR="00560BD7" w:rsidRPr="002D1C75" w:rsidRDefault="00560BD7" w:rsidP="00560BD7">
      <w:pPr>
        <w:tabs>
          <w:tab w:val="right" w:pos="850"/>
          <w:tab w:val="left" w:pos="1134"/>
          <w:tab w:val="left" w:pos="1559"/>
          <w:tab w:val="left" w:pos="1984"/>
          <w:tab w:val="left" w:leader="dot" w:pos="8787"/>
          <w:tab w:val="right" w:pos="9638"/>
        </w:tabs>
        <w:spacing w:after="120"/>
      </w:pPr>
      <w:r>
        <w:tab/>
      </w:r>
      <w:r w:rsidRPr="002D1C75">
        <w:tab/>
        <w:t>A.</w:t>
      </w:r>
      <w:r w:rsidRPr="002D1C75">
        <w:tab/>
        <w:t>Interacción con otros mecanismos de derechos humanos</w:t>
      </w:r>
      <w:r>
        <w:tab/>
      </w:r>
      <w:r>
        <w:tab/>
      </w:r>
      <w:r w:rsidR="00877E00">
        <w:t>6</w:t>
      </w:r>
    </w:p>
    <w:p w14:paraId="249A9ABE" w14:textId="4DB456BE" w:rsidR="00560BD7" w:rsidRPr="002D1C75" w:rsidRDefault="00560BD7" w:rsidP="00560BD7">
      <w:pPr>
        <w:tabs>
          <w:tab w:val="right" w:pos="850"/>
          <w:tab w:val="left" w:pos="1134"/>
          <w:tab w:val="left" w:pos="1559"/>
          <w:tab w:val="left" w:pos="1984"/>
          <w:tab w:val="left" w:leader="dot" w:pos="8787"/>
          <w:tab w:val="right" w:pos="9638"/>
        </w:tabs>
        <w:spacing w:after="120"/>
      </w:pPr>
      <w:r w:rsidRPr="002D1C75">
        <w:tab/>
      </w:r>
      <w:r>
        <w:tab/>
      </w:r>
      <w:r w:rsidRPr="002D1C75">
        <w:t>B.</w:t>
      </w:r>
      <w:r w:rsidRPr="002D1C75">
        <w:tab/>
        <w:t>Interacción con los Estados miembros</w:t>
      </w:r>
      <w:r>
        <w:tab/>
      </w:r>
      <w:r>
        <w:tab/>
      </w:r>
      <w:r w:rsidR="00877E00">
        <w:t>6</w:t>
      </w:r>
    </w:p>
    <w:p w14:paraId="5A2F289D" w14:textId="1A7098CF" w:rsidR="00560BD7" w:rsidRPr="002D1C75" w:rsidRDefault="00560BD7" w:rsidP="00560BD7">
      <w:pPr>
        <w:tabs>
          <w:tab w:val="right" w:pos="850"/>
          <w:tab w:val="left" w:pos="1134"/>
          <w:tab w:val="left" w:pos="1559"/>
          <w:tab w:val="left" w:pos="1984"/>
          <w:tab w:val="left" w:leader="dot" w:pos="8787"/>
          <w:tab w:val="right" w:pos="9638"/>
        </w:tabs>
        <w:spacing w:after="120"/>
      </w:pPr>
      <w:r w:rsidRPr="002D1C75">
        <w:tab/>
      </w:r>
      <w:r>
        <w:tab/>
      </w:r>
      <w:r w:rsidRPr="002D1C75">
        <w:t>C.</w:t>
      </w:r>
      <w:r w:rsidRPr="002D1C75">
        <w:tab/>
        <w:t>Interacción con organismos de las Naciones Unidas</w:t>
      </w:r>
      <w:r>
        <w:tab/>
      </w:r>
      <w:r>
        <w:tab/>
      </w:r>
      <w:r w:rsidR="00877E00">
        <w:t>6</w:t>
      </w:r>
    </w:p>
    <w:p w14:paraId="5E35F4B6" w14:textId="6CA2F23F" w:rsidR="00560BD7" w:rsidRPr="002D1C75" w:rsidRDefault="00560BD7" w:rsidP="00560BD7">
      <w:pPr>
        <w:tabs>
          <w:tab w:val="right" w:pos="850"/>
          <w:tab w:val="left" w:pos="1134"/>
          <w:tab w:val="left" w:pos="1559"/>
          <w:tab w:val="left" w:pos="1984"/>
          <w:tab w:val="left" w:leader="dot" w:pos="8787"/>
          <w:tab w:val="right" w:pos="9638"/>
        </w:tabs>
        <w:spacing w:after="120"/>
      </w:pPr>
      <w:r w:rsidRPr="002D1C75">
        <w:tab/>
      </w:r>
      <w:r>
        <w:tab/>
      </w:r>
      <w:r w:rsidRPr="002D1C75">
        <w:t>D.</w:t>
      </w:r>
      <w:r w:rsidRPr="002D1C75">
        <w:tab/>
        <w:t>Interacción con víctimas, organizaciones no gubernamentales y otros actores de la</w:t>
      </w:r>
      <w:r>
        <w:br/>
      </w:r>
      <w:r>
        <w:tab/>
      </w:r>
      <w:r>
        <w:tab/>
      </w:r>
      <w:r>
        <w:tab/>
      </w:r>
      <w:r w:rsidRPr="002D1C75">
        <w:t>sociedad civil</w:t>
      </w:r>
      <w:r>
        <w:tab/>
      </w:r>
      <w:r>
        <w:tab/>
      </w:r>
      <w:r w:rsidR="00877E00">
        <w:t>7</w:t>
      </w:r>
    </w:p>
    <w:p w14:paraId="56F9D69D" w14:textId="42344BCE" w:rsidR="00560BD7" w:rsidRPr="002D1C75" w:rsidRDefault="00560BD7" w:rsidP="00560BD7">
      <w:pPr>
        <w:tabs>
          <w:tab w:val="right" w:pos="850"/>
          <w:tab w:val="left" w:pos="1134"/>
          <w:tab w:val="left" w:pos="1559"/>
          <w:tab w:val="left" w:pos="1984"/>
          <w:tab w:val="left" w:leader="dot" w:pos="8787"/>
          <w:tab w:val="right" w:pos="9638"/>
        </w:tabs>
        <w:spacing w:after="120"/>
      </w:pPr>
      <w:r>
        <w:tab/>
      </w:r>
      <w:r>
        <w:tab/>
      </w:r>
      <w:r w:rsidRPr="002D1C75">
        <w:t>E.</w:t>
      </w:r>
      <w:r w:rsidRPr="002D1C75">
        <w:tab/>
        <w:t>Interacción con las instituciones nacionales de derechos humanos</w:t>
      </w:r>
      <w:r>
        <w:tab/>
      </w:r>
      <w:r>
        <w:tab/>
      </w:r>
      <w:r w:rsidR="00877E00">
        <w:t>7</w:t>
      </w:r>
    </w:p>
    <w:p w14:paraId="49AB1F79" w14:textId="6B4CED7B" w:rsidR="00560BD7" w:rsidRPr="002D1C75" w:rsidRDefault="00560BD7" w:rsidP="00560BD7">
      <w:pPr>
        <w:tabs>
          <w:tab w:val="right" w:pos="850"/>
          <w:tab w:val="left" w:pos="1134"/>
          <w:tab w:val="left" w:pos="1559"/>
          <w:tab w:val="left" w:pos="1984"/>
          <w:tab w:val="left" w:leader="dot" w:pos="8787"/>
          <w:tab w:val="right" w:pos="9638"/>
        </w:tabs>
        <w:spacing w:after="120"/>
      </w:pPr>
      <w:r w:rsidRPr="002D1C75">
        <w:tab/>
      </w:r>
      <w:r>
        <w:tab/>
      </w:r>
      <w:r w:rsidRPr="002D1C75">
        <w:t>F.</w:t>
      </w:r>
      <w:r w:rsidRPr="002D1C75">
        <w:tab/>
        <w:t>Interacción con otras partes interesadas</w:t>
      </w:r>
      <w:r>
        <w:tab/>
      </w:r>
      <w:r>
        <w:tab/>
      </w:r>
      <w:r w:rsidR="00877E00">
        <w:t>7</w:t>
      </w:r>
    </w:p>
    <w:p w14:paraId="44E34803" w14:textId="013F8B1D" w:rsidR="00560BD7" w:rsidRPr="002D1C75" w:rsidRDefault="00560BD7" w:rsidP="00560BD7">
      <w:pPr>
        <w:tabs>
          <w:tab w:val="right" w:pos="850"/>
          <w:tab w:val="left" w:pos="1134"/>
          <w:tab w:val="left" w:pos="1559"/>
          <w:tab w:val="left" w:pos="1984"/>
          <w:tab w:val="left" w:leader="dot" w:pos="8787"/>
          <w:tab w:val="right" w:pos="9638"/>
        </w:tabs>
        <w:spacing w:after="120"/>
      </w:pPr>
      <w:r>
        <w:tab/>
      </w:r>
      <w:r w:rsidRPr="002D1C75">
        <w:t>IV</w:t>
      </w:r>
      <w:r>
        <w:t>.</w:t>
      </w:r>
      <w:r>
        <w:tab/>
      </w:r>
      <w:r w:rsidRPr="002D1C75">
        <w:t xml:space="preserve">Examen de los informes presentados por los </w:t>
      </w:r>
      <w:proofErr w:type="gramStart"/>
      <w:r w:rsidRPr="002D1C75">
        <w:t>Estados partes</w:t>
      </w:r>
      <w:proofErr w:type="gramEnd"/>
      <w:r w:rsidRPr="002D1C75">
        <w:t xml:space="preserve"> en virtud del artículo 29, párrafo 1,</w:t>
      </w:r>
      <w:r>
        <w:br/>
      </w:r>
      <w:r>
        <w:tab/>
      </w:r>
      <w:r>
        <w:tab/>
      </w:r>
      <w:r w:rsidRPr="002D1C75">
        <w:t>de la Convención</w:t>
      </w:r>
      <w:r>
        <w:tab/>
      </w:r>
      <w:r>
        <w:tab/>
      </w:r>
      <w:r w:rsidR="00877E00">
        <w:t>8</w:t>
      </w:r>
    </w:p>
    <w:p w14:paraId="5E4E79DF" w14:textId="7DC87BB9" w:rsidR="00560BD7" w:rsidRPr="002D1C75" w:rsidRDefault="00560BD7" w:rsidP="00560BD7">
      <w:pPr>
        <w:tabs>
          <w:tab w:val="right" w:pos="850"/>
          <w:tab w:val="left" w:pos="1134"/>
          <w:tab w:val="left" w:pos="1559"/>
          <w:tab w:val="left" w:pos="1984"/>
          <w:tab w:val="left" w:leader="dot" w:pos="8787"/>
          <w:tab w:val="right" w:pos="9638"/>
        </w:tabs>
        <w:spacing w:after="120"/>
      </w:pPr>
      <w:r>
        <w:tab/>
      </w:r>
      <w:r w:rsidRPr="002D1C75">
        <w:t>V</w:t>
      </w:r>
      <w:r>
        <w:t>.</w:t>
      </w:r>
      <w:r>
        <w:tab/>
      </w:r>
      <w:r w:rsidRPr="002D1C75">
        <w:t>Aprobación del informe sobre el seguimiento de las observaciones finales</w:t>
      </w:r>
      <w:r>
        <w:tab/>
      </w:r>
      <w:r>
        <w:tab/>
      </w:r>
      <w:r w:rsidR="00877E00">
        <w:t>9</w:t>
      </w:r>
    </w:p>
    <w:p w14:paraId="03A6579A" w14:textId="0D0B9314" w:rsidR="00560BD7" w:rsidRPr="002D1C75" w:rsidRDefault="00560BD7" w:rsidP="00560BD7">
      <w:pPr>
        <w:tabs>
          <w:tab w:val="right" w:pos="850"/>
          <w:tab w:val="left" w:pos="1134"/>
          <w:tab w:val="left" w:pos="1559"/>
          <w:tab w:val="left" w:pos="1984"/>
          <w:tab w:val="left" w:leader="dot" w:pos="8787"/>
          <w:tab w:val="right" w:pos="9638"/>
        </w:tabs>
        <w:spacing w:after="120"/>
      </w:pPr>
      <w:r>
        <w:tab/>
      </w:r>
      <w:r w:rsidRPr="002D1C75">
        <w:t>V</w:t>
      </w:r>
      <w:r>
        <w:t>I.</w:t>
      </w:r>
      <w:r>
        <w:tab/>
        <w:t>E</w:t>
      </w:r>
      <w:r w:rsidRPr="002D1C75">
        <w:t xml:space="preserve">xamen de la información complementaria presentada por los </w:t>
      </w:r>
      <w:proofErr w:type="gramStart"/>
      <w:r w:rsidRPr="002D1C75">
        <w:t>Estados partes</w:t>
      </w:r>
      <w:proofErr w:type="gramEnd"/>
      <w:r w:rsidRPr="002D1C75">
        <w:t xml:space="preserve"> en virtud del</w:t>
      </w:r>
      <w:r>
        <w:br/>
      </w:r>
      <w:r>
        <w:tab/>
      </w:r>
      <w:r>
        <w:tab/>
      </w:r>
      <w:r w:rsidRPr="002D1C75">
        <w:t>artículo 29, párrafo 4,</w:t>
      </w:r>
      <w:r>
        <w:t xml:space="preserve"> </w:t>
      </w:r>
      <w:r w:rsidRPr="002D1C75">
        <w:t>de la Convención</w:t>
      </w:r>
      <w:r>
        <w:tab/>
      </w:r>
      <w:r>
        <w:tab/>
      </w:r>
      <w:r w:rsidR="00877E00">
        <w:t>10</w:t>
      </w:r>
    </w:p>
    <w:p w14:paraId="1F7B5E87" w14:textId="390C1509" w:rsidR="00560BD7" w:rsidRPr="002D1C75" w:rsidRDefault="00560BD7" w:rsidP="00560BD7">
      <w:pPr>
        <w:tabs>
          <w:tab w:val="right" w:pos="850"/>
          <w:tab w:val="left" w:pos="1134"/>
          <w:tab w:val="left" w:pos="1559"/>
          <w:tab w:val="left" w:pos="1984"/>
          <w:tab w:val="left" w:leader="dot" w:pos="8787"/>
          <w:tab w:val="right" w:pos="9638"/>
        </w:tabs>
        <w:spacing w:after="120"/>
      </w:pPr>
      <w:r>
        <w:tab/>
      </w:r>
      <w:r w:rsidRPr="002D1C75">
        <w:t>VII</w:t>
      </w:r>
      <w:r>
        <w:t>.</w:t>
      </w:r>
      <w:r w:rsidRPr="002D1C75">
        <w:tab/>
        <w:t>Aprobación de las listas de cuestiones</w:t>
      </w:r>
      <w:r>
        <w:tab/>
      </w:r>
      <w:r>
        <w:tab/>
      </w:r>
      <w:r w:rsidR="00877E00">
        <w:t>11</w:t>
      </w:r>
    </w:p>
    <w:p w14:paraId="5AE621A1" w14:textId="6A227ADA" w:rsidR="00560BD7" w:rsidRPr="002D1C75" w:rsidRDefault="00560BD7" w:rsidP="00560BD7">
      <w:pPr>
        <w:tabs>
          <w:tab w:val="right" w:pos="850"/>
          <w:tab w:val="left" w:pos="1134"/>
          <w:tab w:val="left" w:pos="1559"/>
          <w:tab w:val="left" w:pos="1984"/>
          <w:tab w:val="left" w:leader="dot" w:pos="8787"/>
          <w:tab w:val="right" w:pos="9638"/>
        </w:tabs>
        <w:spacing w:after="120"/>
      </w:pPr>
      <w:r>
        <w:tab/>
      </w:r>
      <w:r w:rsidRPr="002D1C75">
        <w:t>VIII</w:t>
      </w:r>
      <w:r>
        <w:t>.</w:t>
      </w:r>
      <w:r w:rsidRPr="002D1C75">
        <w:tab/>
        <w:t>Presentación de informes en virtud de la Convención</w:t>
      </w:r>
      <w:r>
        <w:tab/>
      </w:r>
      <w:r>
        <w:tab/>
      </w:r>
      <w:r w:rsidR="00877E00">
        <w:t>12</w:t>
      </w:r>
    </w:p>
    <w:p w14:paraId="49A50D5B" w14:textId="0FF43258" w:rsidR="00560BD7" w:rsidRPr="002D1C75" w:rsidRDefault="00560BD7" w:rsidP="00560BD7">
      <w:pPr>
        <w:tabs>
          <w:tab w:val="right" w:pos="850"/>
          <w:tab w:val="left" w:pos="1134"/>
          <w:tab w:val="left" w:pos="1559"/>
          <w:tab w:val="left" w:pos="1984"/>
          <w:tab w:val="left" w:leader="dot" w:pos="8787"/>
          <w:tab w:val="right" w:pos="9638"/>
        </w:tabs>
        <w:spacing w:after="120"/>
      </w:pPr>
      <w:r>
        <w:tab/>
      </w:r>
      <w:r w:rsidRPr="002D1C75">
        <w:t>IX</w:t>
      </w:r>
      <w:r>
        <w:t>.</w:t>
      </w:r>
      <w:r w:rsidRPr="002D1C75">
        <w:tab/>
        <w:t>Represalias</w:t>
      </w:r>
      <w:r>
        <w:tab/>
      </w:r>
      <w:r>
        <w:tab/>
      </w:r>
      <w:r w:rsidR="00877E00">
        <w:t>13</w:t>
      </w:r>
    </w:p>
    <w:p w14:paraId="5BFE3D2A" w14:textId="699777AD" w:rsidR="00560BD7" w:rsidRPr="002D1C75" w:rsidRDefault="00560BD7" w:rsidP="00560BD7">
      <w:pPr>
        <w:tabs>
          <w:tab w:val="right" w:pos="850"/>
          <w:tab w:val="left" w:pos="1134"/>
          <w:tab w:val="left" w:pos="1559"/>
          <w:tab w:val="left" w:pos="1984"/>
          <w:tab w:val="left" w:leader="dot" w:pos="8787"/>
          <w:tab w:val="right" w:pos="9638"/>
        </w:tabs>
        <w:spacing w:after="120"/>
      </w:pPr>
      <w:r>
        <w:tab/>
      </w:r>
      <w:r w:rsidRPr="002D1C75">
        <w:t>X</w:t>
      </w:r>
      <w:r>
        <w:t>.</w:t>
      </w:r>
      <w:r w:rsidRPr="002D1C75">
        <w:tab/>
        <w:t>Procedimiento de acción urgente en virtud del artículo 30 de la Convención</w:t>
      </w:r>
      <w:r>
        <w:tab/>
      </w:r>
      <w:r>
        <w:tab/>
      </w:r>
      <w:r w:rsidR="00877E00">
        <w:t>14</w:t>
      </w:r>
    </w:p>
    <w:p w14:paraId="437D5DAF" w14:textId="22D87759" w:rsidR="00560BD7" w:rsidRPr="002D1C75" w:rsidRDefault="00560BD7" w:rsidP="00560BD7">
      <w:pPr>
        <w:tabs>
          <w:tab w:val="right" w:pos="850"/>
          <w:tab w:val="left" w:pos="1134"/>
          <w:tab w:val="left" w:pos="1559"/>
          <w:tab w:val="left" w:pos="1984"/>
          <w:tab w:val="left" w:leader="dot" w:pos="8787"/>
          <w:tab w:val="right" w:pos="9638"/>
        </w:tabs>
        <w:spacing w:after="120"/>
      </w:pPr>
      <w:r>
        <w:tab/>
      </w:r>
      <w:r w:rsidRPr="002D1C75">
        <w:tab/>
        <w:t>A.</w:t>
      </w:r>
      <w:r w:rsidRPr="002D1C75">
        <w:tab/>
        <w:t>Peticiones de acción urgente recibidas y registradas desde el establecimiento</w:t>
      </w:r>
      <w:r>
        <w:br/>
      </w:r>
      <w:r>
        <w:tab/>
      </w:r>
      <w:r>
        <w:tab/>
      </w:r>
      <w:r w:rsidR="00877E00">
        <w:tab/>
      </w:r>
      <w:r w:rsidRPr="002D1C75">
        <w:t>del Comité</w:t>
      </w:r>
      <w:r>
        <w:tab/>
      </w:r>
      <w:r>
        <w:tab/>
      </w:r>
      <w:r w:rsidR="00877E00">
        <w:t>14</w:t>
      </w:r>
    </w:p>
    <w:p w14:paraId="3B7FCBDB" w14:textId="5449FC55" w:rsidR="00560BD7" w:rsidRPr="002D1C75" w:rsidRDefault="00560BD7" w:rsidP="00560BD7">
      <w:pPr>
        <w:tabs>
          <w:tab w:val="right" w:pos="850"/>
          <w:tab w:val="left" w:pos="1134"/>
          <w:tab w:val="left" w:pos="1559"/>
          <w:tab w:val="left" w:pos="1984"/>
          <w:tab w:val="left" w:leader="dot" w:pos="8787"/>
          <w:tab w:val="right" w:pos="9638"/>
        </w:tabs>
        <w:spacing w:after="120"/>
      </w:pPr>
      <w:r>
        <w:tab/>
      </w:r>
      <w:r w:rsidRPr="002D1C75">
        <w:tab/>
        <w:t>B.</w:t>
      </w:r>
      <w:r w:rsidRPr="002D1C75">
        <w:tab/>
        <w:t>Desarrollo de las acciones urgentes tras su registro: tendencias observadas desde el</w:t>
      </w:r>
      <w:r>
        <w:br/>
      </w:r>
      <w:r>
        <w:tab/>
      </w:r>
      <w:r>
        <w:tab/>
      </w:r>
      <w:r>
        <w:tab/>
      </w:r>
      <w:r w:rsidRPr="002D1C75">
        <w:t>18º período</w:t>
      </w:r>
      <w:r>
        <w:t xml:space="preserve"> </w:t>
      </w:r>
      <w:r w:rsidRPr="002D1C75">
        <w:t>de sesiones</w:t>
      </w:r>
      <w:r>
        <w:t xml:space="preserve"> </w:t>
      </w:r>
      <w:r w:rsidRPr="002D1C75">
        <w:t>(hasta el 1 de abril de 2021)</w:t>
      </w:r>
      <w:r>
        <w:tab/>
      </w:r>
      <w:r>
        <w:tab/>
      </w:r>
      <w:r w:rsidR="00877E00">
        <w:t>14</w:t>
      </w:r>
    </w:p>
    <w:p w14:paraId="30BC5CC3" w14:textId="124AADF7" w:rsidR="00560BD7" w:rsidRPr="002D1C75" w:rsidRDefault="00560BD7" w:rsidP="00560BD7">
      <w:pPr>
        <w:tabs>
          <w:tab w:val="right" w:pos="850"/>
          <w:tab w:val="left" w:pos="1134"/>
          <w:tab w:val="left" w:pos="1559"/>
          <w:tab w:val="left" w:pos="1984"/>
          <w:tab w:val="left" w:leader="dot" w:pos="8787"/>
          <w:tab w:val="right" w:pos="9638"/>
        </w:tabs>
        <w:spacing w:after="120"/>
      </w:pPr>
      <w:r w:rsidRPr="002D1C75">
        <w:tab/>
      </w:r>
      <w:r w:rsidRPr="002D1C75">
        <w:tab/>
        <w:t>C.</w:t>
      </w:r>
      <w:r w:rsidRPr="002D1C75">
        <w:tab/>
        <w:t>Acciones urgentes discontinuadas, cerradas, o mantenidas abiertas para la protección de</w:t>
      </w:r>
      <w:r>
        <w:br/>
      </w:r>
      <w:r>
        <w:tab/>
      </w:r>
      <w:r>
        <w:tab/>
      </w:r>
      <w:r>
        <w:tab/>
      </w:r>
      <w:r w:rsidRPr="002D1C75">
        <w:t>las personas a favor de las cuales se han otorgado medidas cautelares</w:t>
      </w:r>
      <w:r>
        <w:tab/>
      </w:r>
      <w:r>
        <w:tab/>
      </w:r>
      <w:r w:rsidR="00877E00">
        <w:t>21</w:t>
      </w:r>
    </w:p>
    <w:p w14:paraId="453F7444" w14:textId="7007C325" w:rsidR="00560BD7" w:rsidRPr="002D1C75" w:rsidRDefault="00560BD7" w:rsidP="00560BD7">
      <w:pPr>
        <w:tabs>
          <w:tab w:val="right" w:pos="850"/>
          <w:tab w:val="left" w:pos="1134"/>
          <w:tab w:val="left" w:pos="1559"/>
          <w:tab w:val="left" w:pos="1984"/>
          <w:tab w:val="left" w:leader="dot" w:pos="8787"/>
          <w:tab w:val="right" w:pos="9638"/>
        </w:tabs>
        <w:spacing w:after="120"/>
      </w:pPr>
      <w:r>
        <w:tab/>
      </w:r>
      <w:r w:rsidRPr="002D1C75">
        <w:tab/>
        <w:t>D.</w:t>
      </w:r>
      <w:r w:rsidRPr="002D1C75">
        <w:tab/>
        <w:t>Decisiones adoptadas por el Comité en sus períodos de</w:t>
      </w:r>
      <w:r>
        <w:t xml:space="preserve"> </w:t>
      </w:r>
      <w:r w:rsidRPr="002D1C75">
        <w:t>sesiones 19º y 20º</w:t>
      </w:r>
      <w:r>
        <w:tab/>
      </w:r>
      <w:r>
        <w:tab/>
      </w:r>
      <w:r w:rsidR="00877E00">
        <w:t>21</w:t>
      </w:r>
    </w:p>
    <w:p w14:paraId="2E5C1CDC" w14:textId="5EE6AD72" w:rsidR="00560BD7" w:rsidRPr="002D1C75" w:rsidRDefault="00560BD7" w:rsidP="00560BD7">
      <w:pPr>
        <w:tabs>
          <w:tab w:val="right" w:pos="850"/>
          <w:tab w:val="left" w:pos="1134"/>
          <w:tab w:val="left" w:pos="1559"/>
          <w:tab w:val="left" w:pos="1984"/>
          <w:tab w:val="left" w:leader="dot" w:pos="8787"/>
          <w:tab w:val="right" w:pos="9638"/>
        </w:tabs>
        <w:spacing w:after="120"/>
      </w:pPr>
      <w:r>
        <w:tab/>
      </w:r>
      <w:r w:rsidRPr="002D1C75">
        <w:t>XI</w:t>
      </w:r>
      <w:r>
        <w:t>.</w:t>
      </w:r>
      <w:r>
        <w:tab/>
      </w:r>
      <w:r w:rsidRPr="002D1C75">
        <w:t>Procedimiento relativo a las comunicaciones en virtud del artículo 31 de la Convención</w:t>
      </w:r>
      <w:r>
        <w:tab/>
      </w:r>
      <w:r>
        <w:tab/>
      </w:r>
      <w:r w:rsidR="00877E00">
        <w:t>22</w:t>
      </w:r>
    </w:p>
    <w:p w14:paraId="1ECBFAB1" w14:textId="4DD38E6B" w:rsidR="00560BD7" w:rsidRPr="002D1C75" w:rsidRDefault="00560BD7" w:rsidP="00560BD7">
      <w:pPr>
        <w:tabs>
          <w:tab w:val="right" w:pos="850"/>
          <w:tab w:val="left" w:pos="1134"/>
          <w:tab w:val="left" w:pos="1559"/>
          <w:tab w:val="left" w:pos="1984"/>
          <w:tab w:val="left" w:leader="dot" w:pos="8787"/>
          <w:tab w:val="right" w:pos="9638"/>
        </w:tabs>
        <w:spacing w:after="120"/>
      </w:pPr>
      <w:r>
        <w:tab/>
      </w:r>
      <w:r w:rsidRPr="002D1C75">
        <w:t>XII</w:t>
      </w:r>
      <w:r>
        <w:t>.</w:t>
      </w:r>
      <w:r w:rsidRPr="002D1C75">
        <w:tab/>
        <w:t>Visitas en virtud del artículo 33 de la Convención</w:t>
      </w:r>
      <w:r>
        <w:tab/>
      </w:r>
      <w:r>
        <w:tab/>
      </w:r>
      <w:r w:rsidR="00877E00">
        <w:t>22</w:t>
      </w:r>
    </w:p>
    <w:p w14:paraId="125D18D1" w14:textId="7B61ECF1" w:rsidR="00560BD7" w:rsidRPr="002D1C75" w:rsidRDefault="00560BD7" w:rsidP="00560BD7">
      <w:pPr>
        <w:tabs>
          <w:tab w:val="right" w:pos="850"/>
          <w:tab w:val="left" w:pos="1134"/>
          <w:tab w:val="left" w:pos="1559"/>
          <w:tab w:val="left" w:pos="1984"/>
          <w:tab w:val="left" w:leader="dot" w:pos="8787"/>
          <w:tab w:val="right" w:pos="9638"/>
        </w:tabs>
        <w:spacing w:after="120"/>
      </w:pPr>
      <w:r>
        <w:tab/>
      </w:r>
      <w:r w:rsidRPr="002D1C75">
        <w:t>XIII</w:t>
      </w:r>
      <w:r>
        <w:t>.</w:t>
      </w:r>
      <w:r w:rsidRPr="002D1C75">
        <w:tab/>
        <w:t>Principios rectores para la búsqueda de personas desaparecidas</w:t>
      </w:r>
      <w:r>
        <w:tab/>
      </w:r>
      <w:r>
        <w:tab/>
      </w:r>
      <w:r w:rsidR="00877E00">
        <w:t>24</w:t>
      </w:r>
    </w:p>
    <w:p w14:paraId="188DCC77" w14:textId="77777777" w:rsidR="00560BD7" w:rsidRPr="002D1C75" w:rsidRDefault="00560BD7" w:rsidP="00560BD7">
      <w:pPr>
        <w:pStyle w:val="H56G"/>
      </w:pPr>
      <w:r>
        <w:tab/>
      </w:r>
      <w:r w:rsidRPr="002D1C75">
        <w:t>Anexo</w:t>
      </w:r>
    </w:p>
    <w:p w14:paraId="12E9B019" w14:textId="0345ABB2" w:rsidR="00560BD7" w:rsidRPr="002D1C75" w:rsidRDefault="00560BD7" w:rsidP="00560BD7">
      <w:pPr>
        <w:tabs>
          <w:tab w:val="right" w:pos="850"/>
          <w:tab w:val="left" w:pos="1134"/>
          <w:tab w:val="left" w:pos="1559"/>
          <w:tab w:val="left" w:pos="1984"/>
          <w:tab w:val="left" w:leader="dot" w:pos="8787"/>
          <w:tab w:val="right" w:pos="9638"/>
        </w:tabs>
        <w:spacing w:after="120"/>
      </w:pPr>
      <w:r>
        <w:tab/>
      </w:r>
      <w:r>
        <w:tab/>
      </w:r>
      <w:proofErr w:type="gramStart"/>
      <w:r w:rsidRPr="002D1C75">
        <w:t>Estados partes</w:t>
      </w:r>
      <w:proofErr w:type="gramEnd"/>
      <w:r w:rsidRPr="002D1C75">
        <w:t xml:space="preserve"> en la Convención al 7 de mayo de 2021</w:t>
      </w:r>
      <w:r>
        <w:t xml:space="preserve"> </w:t>
      </w:r>
      <w:r w:rsidRPr="002D1C75">
        <w:t>y su situación relativa a la presentación</w:t>
      </w:r>
      <w:r>
        <w:br/>
      </w:r>
      <w:r>
        <w:tab/>
      </w:r>
      <w:r>
        <w:tab/>
      </w:r>
      <w:r w:rsidRPr="002D1C75">
        <w:t>de informes</w:t>
      </w:r>
      <w:r>
        <w:tab/>
      </w:r>
      <w:r>
        <w:tab/>
      </w:r>
      <w:r w:rsidR="00877E00">
        <w:t>25</w:t>
      </w:r>
    </w:p>
    <w:p w14:paraId="52ECAB90" w14:textId="77777777" w:rsidR="00DE4C10" w:rsidRDefault="00E762FE" w:rsidP="006B5F1E">
      <w:pPr>
        <w:tabs>
          <w:tab w:val="right" w:pos="850"/>
          <w:tab w:val="left" w:pos="1134"/>
          <w:tab w:val="left" w:pos="1559"/>
          <w:tab w:val="left" w:pos="1984"/>
          <w:tab w:val="left" w:leader="dot" w:pos="7654"/>
          <w:tab w:val="right" w:pos="8929"/>
          <w:tab w:val="right" w:pos="9638"/>
        </w:tabs>
        <w:spacing w:after="120"/>
        <w:sectPr w:rsidR="00DE4C10" w:rsidSect="00E276DF">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1417" w:right="1134" w:bottom="1134" w:left="1134" w:header="850" w:footer="567" w:gutter="0"/>
          <w:pgNumType w:fmt="lowerRoman" w:start="3"/>
          <w:cols w:space="708"/>
          <w:titlePg/>
          <w:docGrid w:linePitch="360"/>
        </w:sectPr>
      </w:pPr>
      <w:r>
        <w:br w:type="page"/>
      </w:r>
    </w:p>
    <w:p w14:paraId="648A379D" w14:textId="5F01742C" w:rsidR="009679FD" w:rsidRPr="005E7CB5" w:rsidRDefault="00DE4C10" w:rsidP="009679FD">
      <w:pPr>
        <w:pStyle w:val="HChG"/>
        <w:rPr>
          <w:b w:val="0"/>
          <w:lang w:val="es-ES_tradnl"/>
        </w:rPr>
      </w:pPr>
      <w:r>
        <w:lastRenderedPageBreak/>
        <w:tab/>
      </w:r>
      <w:bookmarkStart w:id="0" w:name="_Hlk76367413"/>
      <w:r w:rsidR="00D645CB">
        <w:tab/>
        <w:t xml:space="preserve">Capítulo </w:t>
      </w:r>
      <w:r>
        <w:t>I</w:t>
      </w:r>
      <w:r w:rsidR="00D645CB">
        <w:br/>
      </w:r>
      <w:r w:rsidR="009679FD">
        <w:rPr>
          <w:bCs/>
          <w:lang w:val="es-ES_tradnl"/>
        </w:rPr>
        <w:tab/>
      </w:r>
      <w:r w:rsidR="009679FD" w:rsidRPr="005E7CB5">
        <w:rPr>
          <w:bCs/>
          <w:lang w:val="es-ES_tradnl"/>
        </w:rPr>
        <w:t>Cuestiones de organización y otras cuestiones</w:t>
      </w:r>
      <w:bookmarkStart w:id="1" w:name="_Toc326162631"/>
      <w:bookmarkStart w:id="2" w:name="_Toc326220746"/>
      <w:bookmarkStart w:id="3" w:name="_Toc460489528"/>
      <w:bookmarkStart w:id="4" w:name="_Toc522200453"/>
      <w:bookmarkStart w:id="5" w:name="_Toc43905464"/>
      <w:bookmarkStart w:id="6" w:name="_Toc43906545"/>
      <w:bookmarkStart w:id="7" w:name="_Toc43996416"/>
      <w:bookmarkStart w:id="8" w:name="_Toc75349898"/>
      <w:bookmarkEnd w:id="1"/>
      <w:bookmarkEnd w:id="2"/>
      <w:bookmarkEnd w:id="3"/>
      <w:bookmarkEnd w:id="4"/>
      <w:bookmarkEnd w:id="5"/>
      <w:bookmarkEnd w:id="6"/>
      <w:bookmarkEnd w:id="7"/>
      <w:bookmarkEnd w:id="8"/>
    </w:p>
    <w:p w14:paraId="25846C96" w14:textId="7BFA1F5F" w:rsidR="009679FD" w:rsidRPr="005E7CB5" w:rsidRDefault="009679FD" w:rsidP="009679FD">
      <w:pPr>
        <w:pStyle w:val="H1G"/>
        <w:rPr>
          <w:lang w:val="es-ES_tradnl"/>
        </w:rPr>
      </w:pPr>
      <w:r>
        <w:rPr>
          <w:lang w:val="es-ES_tradnl"/>
        </w:rPr>
        <w:tab/>
      </w:r>
      <w:r w:rsidRPr="005E7CB5">
        <w:rPr>
          <w:lang w:val="es-ES_tradnl"/>
        </w:rPr>
        <w:t>A.</w:t>
      </w:r>
      <w:r w:rsidRPr="005E7CB5">
        <w:rPr>
          <w:lang w:val="es-ES_tradnl"/>
        </w:rPr>
        <w:tab/>
      </w:r>
      <w:proofErr w:type="gramStart"/>
      <w:r w:rsidRPr="005E7CB5">
        <w:rPr>
          <w:lang w:val="es-ES_tradnl"/>
        </w:rPr>
        <w:t>Estados partes</w:t>
      </w:r>
      <w:proofErr w:type="gramEnd"/>
      <w:r w:rsidRPr="005E7CB5">
        <w:rPr>
          <w:lang w:val="es-ES_tradnl"/>
        </w:rPr>
        <w:t xml:space="preserve"> en la Convención</w:t>
      </w:r>
      <w:bookmarkStart w:id="9" w:name="_Toc326162632"/>
      <w:bookmarkStart w:id="10" w:name="_Toc326220747"/>
      <w:bookmarkStart w:id="11" w:name="_Toc460489529"/>
      <w:bookmarkStart w:id="12" w:name="_Toc522200454"/>
      <w:bookmarkStart w:id="13" w:name="_Toc43905465"/>
      <w:bookmarkStart w:id="14" w:name="_Toc43906546"/>
      <w:bookmarkStart w:id="15" w:name="_Toc43996417"/>
      <w:bookmarkStart w:id="16" w:name="_Toc75349899"/>
      <w:bookmarkEnd w:id="9"/>
      <w:bookmarkEnd w:id="10"/>
      <w:bookmarkEnd w:id="11"/>
      <w:bookmarkEnd w:id="12"/>
      <w:bookmarkEnd w:id="13"/>
      <w:bookmarkEnd w:id="14"/>
      <w:bookmarkEnd w:id="15"/>
      <w:bookmarkEnd w:id="16"/>
    </w:p>
    <w:p w14:paraId="64467535" w14:textId="00502C87" w:rsidR="009679FD" w:rsidRPr="005E7CB5" w:rsidRDefault="009679FD" w:rsidP="009679FD">
      <w:pPr>
        <w:pStyle w:val="SingleTxtG"/>
        <w:rPr>
          <w:lang w:val="es-ES_tradnl"/>
        </w:rPr>
      </w:pPr>
      <w:r w:rsidRPr="005E7CB5">
        <w:rPr>
          <w:lang w:val="es-ES_tradnl"/>
        </w:rPr>
        <w:t>1.</w:t>
      </w:r>
      <w:r w:rsidRPr="005E7CB5">
        <w:rPr>
          <w:lang w:val="es-ES_tradnl"/>
        </w:rPr>
        <w:tab/>
        <w:t>Al 12 de abril de 2021, fecha de apertura del 20º per</w:t>
      </w:r>
      <w:r w:rsidR="005F473D">
        <w:rPr>
          <w:lang w:val="es-ES_tradnl"/>
        </w:rPr>
        <w:t>í</w:t>
      </w:r>
      <w:r w:rsidRPr="005E7CB5">
        <w:rPr>
          <w:lang w:val="es-ES_tradnl"/>
        </w:rPr>
        <w:t xml:space="preserve">odo de sesiones del Comité contra la Desaparición Forzada, los </w:t>
      </w:r>
      <w:proofErr w:type="gramStart"/>
      <w:r w:rsidRPr="005E7CB5">
        <w:rPr>
          <w:lang w:val="es-ES_tradnl"/>
        </w:rPr>
        <w:t>Estados partes</w:t>
      </w:r>
      <w:proofErr w:type="gramEnd"/>
      <w:r w:rsidRPr="005E7CB5">
        <w:rPr>
          <w:lang w:val="es-ES_tradnl"/>
        </w:rPr>
        <w:t xml:space="preserve"> de la Convención Internacional para la Protección de Todas las Personas contra las Desapariciones Forzadas ascendían a 63 y los signatarios a 98. De los 63 </w:t>
      </w:r>
      <w:proofErr w:type="gramStart"/>
      <w:r w:rsidRPr="005E7CB5">
        <w:rPr>
          <w:lang w:val="es-ES_tradnl"/>
        </w:rPr>
        <w:t>Estados partes</w:t>
      </w:r>
      <w:proofErr w:type="gramEnd"/>
      <w:r w:rsidRPr="005E7CB5">
        <w:rPr>
          <w:lang w:val="es-ES_tradnl"/>
        </w:rPr>
        <w:t xml:space="preserve"> en la Convención, 23 habían declarado que reconocían la competencia del Comité para recibir y examinar comunicaciones individuales e interestatales. De conformidad con lo dispuesto en su artículo 39, párrafo 1, la Convención entró en vigor el 23 de diciembre de 2010. </w:t>
      </w:r>
    </w:p>
    <w:p w14:paraId="7E0B4D5D" w14:textId="49BE0696" w:rsidR="009679FD" w:rsidRPr="005E7CB5" w:rsidRDefault="009679FD" w:rsidP="009679FD">
      <w:pPr>
        <w:pStyle w:val="SingleTxtG"/>
        <w:rPr>
          <w:lang w:val="es-ES_tradnl"/>
        </w:rPr>
      </w:pPr>
      <w:r w:rsidRPr="005E7CB5">
        <w:rPr>
          <w:lang w:val="es-ES_tradnl"/>
        </w:rPr>
        <w:t>2.</w:t>
      </w:r>
      <w:r w:rsidRPr="005E7CB5">
        <w:rPr>
          <w:lang w:val="es-ES_tradnl"/>
        </w:rPr>
        <w:tab/>
        <w:t xml:space="preserve">La lista actualizada de </w:t>
      </w:r>
      <w:proofErr w:type="gramStart"/>
      <w:r w:rsidRPr="005E7CB5">
        <w:rPr>
          <w:lang w:val="es-ES_tradnl"/>
        </w:rPr>
        <w:t>Estados partes</w:t>
      </w:r>
      <w:proofErr w:type="gramEnd"/>
      <w:r w:rsidRPr="005E7CB5">
        <w:rPr>
          <w:lang w:val="es-ES_tradnl"/>
        </w:rPr>
        <w:t xml:space="preserve"> en la Convención, así como la información sobre las declaraciones formuladas en virtud de los artículos 31 y 32 y las reservas, pueden consultarse en el sitio web de la Oficina de Asuntos Jurídicos de la Secretaría</w:t>
      </w:r>
      <w:r w:rsidRPr="005E7CB5">
        <w:rPr>
          <w:rStyle w:val="FootnoteReference"/>
          <w:lang w:val="es-ES_tradnl"/>
        </w:rPr>
        <w:footnoteReference w:id="1"/>
      </w:r>
      <w:r w:rsidR="00877E00">
        <w:rPr>
          <w:lang w:val="es-ES_tradnl"/>
        </w:rPr>
        <w:t>.</w:t>
      </w:r>
    </w:p>
    <w:p w14:paraId="12A3E432" w14:textId="36A54CAB" w:rsidR="009679FD" w:rsidRPr="005E7CB5" w:rsidRDefault="009679FD" w:rsidP="009679FD">
      <w:pPr>
        <w:pStyle w:val="H1G"/>
        <w:rPr>
          <w:lang w:val="es-ES_tradnl"/>
        </w:rPr>
      </w:pPr>
      <w:r>
        <w:rPr>
          <w:lang w:val="es-ES_tradnl"/>
        </w:rPr>
        <w:tab/>
      </w:r>
      <w:r w:rsidRPr="005E7CB5">
        <w:rPr>
          <w:lang w:val="es-ES_tradnl"/>
        </w:rPr>
        <w:t>B.</w:t>
      </w:r>
      <w:r w:rsidRPr="005E7CB5">
        <w:rPr>
          <w:lang w:val="es-ES_tradnl"/>
        </w:rPr>
        <w:tab/>
        <w:t>Sesiones y períodos de sesiones</w:t>
      </w:r>
      <w:bookmarkStart w:id="17" w:name="_Toc326162633"/>
      <w:bookmarkStart w:id="18" w:name="_Toc326220748"/>
      <w:bookmarkStart w:id="19" w:name="_Toc460489530"/>
      <w:bookmarkStart w:id="20" w:name="_Toc522200455"/>
      <w:bookmarkStart w:id="21" w:name="_Toc43905466"/>
      <w:bookmarkStart w:id="22" w:name="_Toc43906547"/>
      <w:bookmarkStart w:id="23" w:name="_Toc43996418"/>
      <w:bookmarkStart w:id="24" w:name="_Toc75349900"/>
      <w:bookmarkEnd w:id="17"/>
      <w:bookmarkEnd w:id="18"/>
      <w:bookmarkEnd w:id="19"/>
      <w:bookmarkEnd w:id="20"/>
      <w:bookmarkEnd w:id="21"/>
      <w:bookmarkEnd w:id="22"/>
      <w:bookmarkEnd w:id="23"/>
      <w:bookmarkEnd w:id="24"/>
    </w:p>
    <w:p w14:paraId="34760BEF" w14:textId="72FD8119" w:rsidR="009679FD" w:rsidRPr="005E7CB5" w:rsidRDefault="009679FD" w:rsidP="009679FD">
      <w:pPr>
        <w:pStyle w:val="SingleTxtG"/>
        <w:rPr>
          <w:lang w:val="es-ES_tradnl"/>
        </w:rPr>
      </w:pPr>
      <w:r w:rsidRPr="005E7CB5">
        <w:rPr>
          <w:lang w:val="es-ES_tradnl"/>
        </w:rPr>
        <w:t>3.</w:t>
      </w:r>
      <w:r w:rsidRPr="005E7CB5">
        <w:rPr>
          <w:lang w:val="es-ES_tradnl"/>
        </w:rPr>
        <w:tab/>
        <w:t>En consonancia con las medidas de precaución adoptadas en el contexto de la pandemia de enfermedad por coronavirus (COVID-19), el Comité celebró su 19º período de sesiones en línea, entre el 7 de septiembre y el 25 de noviembre de 2020. Celebró 21 sesiones plenarias. El Comité aprobó el programa (</w:t>
      </w:r>
      <w:hyperlink r:id="rId20" w:history="1">
        <w:r w:rsidRPr="00B24BD3">
          <w:rPr>
            <w:rStyle w:val="Hyperlink"/>
            <w:lang w:val="es-ES_tradnl"/>
          </w:rPr>
          <w:t>CED/C/19/1</w:t>
        </w:r>
      </w:hyperlink>
      <w:r w:rsidRPr="005E7CB5">
        <w:rPr>
          <w:lang w:val="es-ES_tradnl"/>
        </w:rPr>
        <w:t xml:space="preserve">) en su 316ª sesión. El Director de la División de los Mecanismos del Consejo de Derechos Humanos y de los Instrumentos de Derechos Humanos de la Oficina del Alto Comisionado de las Naciones Unidas para los Derechos Humanos (ACNUDH) inauguró el 19º período de sesiones. </w:t>
      </w:r>
      <w:bookmarkStart w:id="25" w:name="_Hlk14448626"/>
      <w:bookmarkEnd w:id="25"/>
    </w:p>
    <w:p w14:paraId="2FB4AB63" w14:textId="5A86799B" w:rsidR="009679FD" w:rsidRPr="005E7CB5" w:rsidRDefault="009679FD" w:rsidP="009679FD">
      <w:pPr>
        <w:pStyle w:val="SingleTxtG"/>
        <w:rPr>
          <w:lang w:val="es-ES_tradnl"/>
        </w:rPr>
      </w:pPr>
      <w:r w:rsidRPr="005E7CB5">
        <w:rPr>
          <w:lang w:val="es-ES_tradnl"/>
        </w:rPr>
        <w:t>4.</w:t>
      </w:r>
      <w:r w:rsidRPr="005E7CB5">
        <w:rPr>
          <w:lang w:val="es-ES_tradnl"/>
        </w:rPr>
        <w:tab/>
        <w:t>En su discurso de apertura, el Director señaló que, a pesar del contexto particularmente difícil, el Comité había mantenido su firme compromiso de apoyar a los Estados y a las víctimas en la lucha contra la desaparición forzada. Acogió con especial satisfacción la disposición del Comité a mantener por primera vez un diálogo en línea con un Estado parte para examinar la información complementaria presentada por el Iraq.</w:t>
      </w:r>
      <w:r w:rsidR="00877E00">
        <w:rPr>
          <w:lang w:val="es-ES_tradnl"/>
        </w:rPr>
        <w:t> </w:t>
      </w:r>
      <w:r w:rsidRPr="005E7CB5">
        <w:rPr>
          <w:lang w:val="es-ES_tradnl"/>
        </w:rPr>
        <w:t>El</w:t>
      </w:r>
      <w:r w:rsidR="00877E00">
        <w:rPr>
          <w:lang w:val="es-ES_tradnl"/>
        </w:rPr>
        <w:t> </w:t>
      </w:r>
      <w:r w:rsidRPr="005E7CB5">
        <w:rPr>
          <w:lang w:val="es-ES_tradnl"/>
        </w:rPr>
        <w:t xml:space="preserve">Director celebró además la adhesión del más reciente Estado parte en la Convención </w:t>
      </w:r>
      <w:r w:rsidR="00877E00">
        <w:rPr>
          <w:lang w:val="es-ES_tradnl"/>
        </w:rPr>
        <w:t>—</w:t>
      </w:r>
      <w:r w:rsidRPr="005E7CB5">
        <w:rPr>
          <w:lang w:val="es-ES_tradnl"/>
        </w:rPr>
        <w:t>Omán</w:t>
      </w:r>
      <w:r w:rsidR="00877E00">
        <w:rPr>
          <w:lang w:val="es-ES_tradnl"/>
        </w:rPr>
        <w:t>—</w:t>
      </w:r>
      <w:r w:rsidRPr="005E7CB5">
        <w:rPr>
          <w:lang w:val="es-ES_tradnl"/>
        </w:rPr>
        <w:t xml:space="preserve"> y se refirió a la importancia de promover nuevas ratificaciones. Presentó información actualizada sobre el examen realizado en 2020 por la Asamblea General en virtud de su resolución </w:t>
      </w:r>
      <w:hyperlink r:id="rId21" w:history="1">
        <w:r w:rsidRPr="00B24BD3">
          <w:rPr>
            <w:rStyle w:val="Hyperlink"/>
            <w:lang w:val="es-ES_tradnl"/>
          </w:rPr>
          <w:t>68/268</w:t>
        </w:r>
      </w:hyperlink>
      <w:r w:rsidRPr="005E7CB5">
        <w:rPr>
          <w:lang w:val="es-ES_tradnl"/>
        </w:rPr>
        <w:t xml:space="preserve"> relativa al fortalecimiento y la mejora del funcionamiento eficaz del sistema de órganos de tratados de derechos humanos. Los presidentes de los órganos de tratados de derechos humanos habían hecho una presentación exhaustiva a los </w:t>
      </w:r>
      <w:proofErr w:type="spellStart"/>
      <w:r w:rsidRPr="005E7CB5">
        <w:rPr>
          <w:lang w:val="es-ES_tradnl"/>
        </w:rPr>
        <w:t>cofacilitadores</w:t>
      </w:r>
      <w:proofErr w:type="spellEnd"/>
      <w:r w:rsidRPr="005E7CB5">
        <w:rPr>
          <w:lang w:val="es-ES_tradnl"/>
        </w:rPr>
        <w:t xml:space="preserve"> designados para supervisar el proceso de examen, incluida una presentación específica para apoyar la labor del Comité en virtud de los artículos 29, párrafo 4, y 30 de la Convención. Expresó su confianza en que este proceso produjera resultados positivos, en particular la asignación de suficientes recursos humanos y financieros.</w:t>
      </w:r>
    </w:p>
    <w:p w14:paraId="411FCD75" w14:textId="78A1B3D6" w:rsidR="009679FD" w:rsidRPr="005E7CB5" w:rsidRDefault="009679FD" w:rsidP="009679FD">
      <w:pPr>
        <w:pStyle w:val="SingleTxtG"/>
        <w:rPr>
          <w:lang w:val="es-ES_tradnl"/>
        </w:rPr>
      </w:pPr>
      <w:r w:rsidRPr="005E7CB5">
        <w:rPr>
          <w:lang w:val="es-ES_tradnl"/>
        </w:rPr>
        <w:t>5.</w:t>
      </w:r>
      <w:r w:rsidRPr="005E7CB5">
        <w:rPr>
          <w:lang w:val="es-ES_tradnl"/>
        </w:rPr>
        <w:tab/>
        <w:t>En su discurso de apertura, el Presidente del Comité destacó que era prioritario para el Comité reanudar sus actividades presenciales, en particular en el marco de los diálogos con los Estados. Entretanto, las víctimas de desapariciones forzadas, los Estados, la sociedad civil y todas las demás partes interesadas podían contar con su determinación de seguir adelante con todas las actividades del Comité en la medida de lo posible. Explicó los avances hechos por el Comité en lo tocante a sus métodos de trabajo respecto del artículo 29, párrafo</w:t>
      </w:r>
      <w:r w:rsidR="00877E00">
        <w:rPr>
          <w:lang w:val="es-ES_tradnl"/>
        </w:rPr>
        <w:t> </w:t>
      </w:r>
      <w:r w:rsidRPr="005E7CB5">
        <w:rPr>
          <w:lang w:val="es-ES_tradnl"/>
        </w:rPr>
        <w:t>4, de la Convención. Celebró la disposición del Iraq a participar en el diálogo en línea en el marco del procedimiento de información complementaria y destacó la importancia del apoyo de las presencias sobre el terreno en la preparación del diálogo.</w:t>
      </w:r>
    </w:p>
    <w:p w14:paraId="7C19C8D5" w14:textId="1B41C01E" w:rsidR="009679FD" w:rsidRPr="005E7CB5" w:rsidRDefault="009679FD" w:rsidP="004E198B">
      <w:pPr>
        <w:pStyle w:val="SingleTxtG"/>
        <w:keepNext/>
        <w:keepLines/>
        <w:rPr>
          <w:lang w:val="es-ES_tradnl"/>
        </w:rPr>
      </w:pPr>
      <w:r w:rsidRPr="005E7CB5">
        <w:rPr>
          <w:lang w:val="es-ES_tradnl"/>
        </w:rPr>
        <w:lastRenderedPageBreak/>
        <w:t>6.</w:t>
      </w:r>
      <w:r w:rsidRPr="005E7CB5">
        <w:rPr>
          <w:lang w:val="es-ES_tradnl"/>
        </w:rPr>
        <w:tab/>
        <w:t>El Comité celebró su 20º período de sesiones en línea de 12 de abril a 7 de mayo de</w:t>
      </w:r>
      <w:r w:rsidR="004E198B">
        <w:rPr>
          <w:lang w:val="es-ES_tradnl"/>
        </w:rPr>
        <w:t> </w:t>
      </w:r>
      <w:r w:rsidRPr="005E7CB5">
        <w:rPr>
          <w:lang w:val="es-ES_tradnl"/>
        </w:rPr>
        <w:t>2021. Celebró 24 sesiones plenarias. Aprobó el programa (</w:t>
      </w:r>
      <w:hyperlink r:id="rId22" w:history="1">
        <w:r w:rsidRPr="00B24BD3">
          <w:rPr>
            <w:rStyle w:val="Hyperlink"/>
            <w:lang w:val="es-ES_tradnl"/>
          </w:rPr>
          <w:t>CED/C/20/1</w:t>
        </w:r>
      </w:hyperlink>
      <w:r w:rsidRPr="005E7CB5">
        <w:rPr>
          <w:lang w:val="es-ES_tradnl"/>
        </w:rPr>
        <w:t xml:space="preserve">) en su 337ª sesión. El Jefe de la Subdivisión de Tratados de Derechos Humanos inauguró el 20º período de sesiones. Destacó que, durante el último año de trabajo en línea, el Comité había llevado a cabo una labor encomiable, a menudo con un costo personal para sus miembros, apoyando a los Estados, las víctimas, los actores de la sociedad civil y las instituciones nacionales de derechos humanos en sus esfuerzos por erradicar y prevenir las desapariciones forzadas. El Comité había proseguido su labor en el marco del procedimiento de acción urgente y registrado 44 nuevas solicitudes desde el 19º período de sesiones, lo que elevaba a 1.013 el número total de solicitudes desde 2012. Ponderó la decisión del Comité de celebrar a distancia sus diálogos con los </w:t>
      </w:r>
      <w:proofErr w:type="gramStart"/>
      <w:r w:rsidRPr="005E7CB5">
        <w:rPr>
          <w:lang w:val="es-ES_tradnl"/>
        </w:rPr>
        <w:t>Estados partes</w:t>
      </w:r>
      <w:proofErr w:type="gramEnd"/>
      <w:r w:rsidRPr="005E7CB5">
        <w:rPr>
          <w:lang w:val="es-ES_tradnl"/>
        </w:rPr>
        <w:t xml:space="preserve">, ya que las reuniones presenciales seguían siendo imposibles debido a la pandemia. Describió los esfuerzos del Comité por promover la ratificación universal de la Convención, incluida una campaña en las redes sociales en diciembre de 2020. Observó con pesar que la Asamblea General no había aprobado los recursos de personal solicitados para apoyar el aumento de la carga de trabajo de los órganos de tratados y reafirmó que el ACNUDH seguiría haciendo todo lo que estuviera en su mano para que el Comité recibiera suficiente apoyo. </w:t>
      </w:r>
    </w:p>
    <w:p w14:paraId="043A9097" w14:textId="51BF7BD0" w:rsidR="009679FD" w:rsidRPr="005E7CB5" w:rsidRDefault="009679FD" w:rsidP="009679FD">
      <w:pPr>
        <w:pStyle w:val="SingleTxtG"/>
        <w:rPr>
          <w:lang w:val="es-ES_tradnl"/>
        </w:rPr>
      </w:pPr>
      <w:r w:rsidRPr="005E7CB5">
        <w:rPr>
          <w:lang w:val="es-ES_tradnl"/>
        </w:rPr>
        <w:t>7.</w:t>
      </w:r>
      <w:r w:rsidRPr="005E7CB5">
        <w:rPr>
          <w:lang w:val="es-ES_tradnl"/>
        </w:rPr>
        <w:tab/>
        <w:t>En su declaración de apertura, el Presidente del Comité señaló que el presente período de sesiones era el tercero que se celebraba en línea y reiteró el compromiso inquebrantable del Comité. Lamentó que ningún nuevo Estado hubiera ratificado la Convención desde el 19º</w:t>
      </w:r>
      <w:r w:rsidR="00877E00">
        <w:rPr>
          <w:lang w:val="es-ES_tradnl"/>
        </w:rPr>
        <w:t> </w:t>
      </w:r>
      <w:r w:rsidRPr="005E7CB5">
        <w:rPr>
          <w:lang w:val="es-ES_tradnl"/>
        </w:rPr>
        <w:t xml:space="preserve">período de sesiones y destacó que el Comité y su secretaría seguían a disposición de los Estados que deseasen recibir información u orientación técnica con miras a ratificar la Convención y reconocer la competencia del Comité para recibir y examinar comunicaciones individuales e interestatales. Era vital para todos actuar de inmediato a este respecto. Celebró las medidas adoptadas por el Gobierno </w:t>
      </w:r>
      <w:proofErr w:type="spellStart"/>
      <w:r w:rsidRPr="005E7CB5">
        <w:rPr>
          <w:lang w:val="es-ES_tradnl"/>
        </w:rPr>
        <w:t>del</w:t>
      </w:r>
      <w:proofErr w:type="spellEnd"/>
      <w:r w:rsidRPr="005E7CB5">
        <w:rPr>
          <w:lang w:val="es-ES_tradnl"/>
        </w:rPr>
        <w:t xml:space="preserve"> Sudán el 23 de febrero de 2021 para aprobar la ratificación de la Convención, y puntualizó que el Comité esperaba con interés que formalizara esa importante decisión ante el Secretario General. Reiteró su llamamiento a todos los Estados que aún no lo hubieran hecho a que demostraran formalmente su voluntad de erradicar las desapariciones forzadas ratificando la Convención.</w:t>
      </w:r>
    </w:p>
    <w:p w14:paraId="55C9920C" w14:textId="77777777" w:rsidR="009679FD" w:rsidRPr="005E7CB5" w:rsidRDefault="009679FD" w:rsidP="004E198B">
      <w:pPr>
        <w:pStyle w:val="H1G"/>
        <w:rPr>
          <w:lang w:val="es-ES_tradnl"/>
        </w:rPr>
      </w:pPr>
      <w:r w:rsidRPr="005E7CB5">
        <w:rPr>
          <w:lang w:val="es-ES_tradnl"/>
        </w:rPr>
        <w:tab/>
        <w:t>C.</w:t>
      </w:r>
      <w:r w:rsidRPr="005E7CB5">
        <w:rPr>
          <w:lang w:val="es-ES_tradnl"/>
        </w:rPr>
        <w:tab/>
        <w:t>Composición y asistencia</w:t>
      </w:r>
      <w:bookmarkStart w:id="26" w:name="_Toc326162634"/>
      <w:bookmarkStart w:id="27" w:name="_Toc326220749"/>
      <w:bookmarkStart w:id="28" w:name="_Toc460489531"/>
      <w:bookmarkStart w:id="29" w:name="_Toc522200456"/>
      <w:bookmarkStart w:id="30" w:name="_Toc43905467"/>
      <w:bookmarkStart w:id="31" w:name="_Toc43906548"/>
      <w:bookmarkStart w:id="32" w:name="_Toc43996419"/>
      <w:bookmarkStart w:id="33" w:name="_Toc75349901"/>
      <w:bookmarkEnd w:id="26"/>
      <w:bookmarkEnd w:id="27"/>
      <w:bookmarkEnd w:id="28"/>
      <w:bookmarkEnd w:id="29"/>
      <w:bookmarkEnd w:id="30"/>
      <w:bookmarkEnd w:id="31"/>
      <w:bookmarkEnd w:id="32"/>
      <w:bookmarkEnd w:id="33"/>
    </w:p>
    <w:p w14:paraId="30F4C21C" w14:textId="3D499DC6" w:rsidR="009679FD" w:rsidRPr="005E7CB5" w:rsidRDefault="009679FD" w:rsidP="009679FD">
      <w:pPr>
        <w:pStyle w:val="SingleTxtG"/>
        <w:rPr>
          <w:lang w:val="es-ES_tradnl"/>
        </w:rPr>
      </w:pPr>
      <w:r w:rsidRPr="005E7CB5">
        <w:rPr>
          <w:lang w:val="es-ES_tradnl"/>
        </w:rPr>
        <w:t>8.</w:t>
      </w:r>
      <w:r w:rsidRPr="005E7CB5">
        <w:rPr>
          <w:lang w:val="es-ES_tradnl"/>
        </w:rPr>
        <w:tab/>
        <w:t>Hubo que excusar por razones de salud a un miembro del Comité durante el 19º</w:t>
      </w:r>
      <w:r w:rsidR="00877E00">
        <w:rPr>
          <w:lang w:val="es-ES_tradnl"/>
        </w:rPr>
        <w:t> </w:t>
      </w:r>
      <w:r w:rsidRPr="005E7CB5">
        <w:rPr>
          <w:lang w:val="es-ES_tradnl"/>
        </w:rPr>
        <w:t xml:space="preserve">período de sesiones. Todos los miembros asistieron al 20º período de sesiones. La lista de los miembros actuales, con indicación de la duración de sus mandatos, puede consultarse en la dirección: </w:t>
      </w:r>
      <w:hyperlink r:id="rId23" w:history="1">
        <w:r w:rsidRPr="00B24BD3">
          <w:rPr>
            <w:rStyle w:val="Hyperlink"/>
            <w:lang w:val="es-ES_tradnl"/>
          </w:rPr>
          <w:t>www.ohchr.org/EN/HRBodies/CED/Pages/Membership.aspx</w:t>
        </w:r>
      </w:hyperlink>
      <w:r w:rsidRPr="005E7CB5">
        <w:rPr>
          <w:lang w:val="es-ES_tradnl"/>
        </w:rPr>
        <w:t>.</w:t>
      </w:r>
    </w:p>
    <w:p w14:paraId="38C7674B" w14:textId="7D06FDB3" w:rsidR="009679FD" w:rsidRPr="005E7CB5" w:rsidRDefault="009679FD" w:rsidP="009679FD">
      <w:pPr>
        <w:pStyle w:val="SingleTxtG"/>
        <w:rPr>
          <w:lang w:val="es-ES_tradnl"/>
        </w:rPr>
      </w:pPr>
      <w:r w:rsidRPr="005E7CB5">
        <w:rPr>
          <w:lang w:val="es-ES_tradnl"/>
        </w:rPr>
        <w:t>9.</w:t>
      </w:r>
      <w:r w:rsidRPr="005E7CB5">
        <w:rPr>
          <w:lang w:val="es-ES_tradnl"/>
        </w:rPr>
        <w:tab/>
        <w:t xml:space="preserve">El 16 de octubre de 2020, </w:t>
      </w:r>
      <w:proofErr w:type="spellStart"/>
      <w:r w:rsidRPr="005E7CB5">
        <w:rPr>
          <w:lang w:val="es-ES_tradnl"/>
        </w:rPr>
        <w:t>Cheikh</w:t>
      </w:r>
      <w:proofErr w:type="spellEnd"/>
      <w:r w:rsidRPr="005E7CB5">
        <w:rPr>
          <w:lang w:val="es-ES_tradnl"/>
        </w:rPr>
        <w:t xml:space="preserve"> Ahmed </w:t>
      </w:r>
      <w:proofErr w:type="spellStart"/>
      <w:r w:rsidRPr="005E7CB5">
        <w:rPr>
          <w:lang w:val="es-ES_tradnl"/>
        </w:rPr>
        <w:t>Tidiane</w:t>
      </w:r>
      <w:proofErr w:type="spellEnd"/>
      <w:r w:rsidRPr="005E7CB5">
        <w:rPr>
          <w:lang w:val="es-ES_tradnl"/>
        </w:rPr>
        <w:t xml:space="preserve"> </w:t>
      </w:r>
      <w:proofErr w:type="spellStart"/>
      <w:r w:rsidRPr="005E7CB5">
        <w:rPr>
          <w:lang w:val="es-ES_tradnl"/>
        </w:rPr>
        <w:t>Coulibaly</w:t>
      </w:r>
      <w:proofErr w:type="spellEnd"/>
      <w:r w:rsidRPr="005E7CB5">
        <w:rPr>
          <w:lang w:val="es-ES_tradnl"/>
        </w:rPr>
        <w:t xml:space="preserve"> dimitió tras ser nombrado Primer Presidente del Tribunal Supremo del Senegal. De conformidad con el artículo 26, párrafo 5, de la Convención, Matar Diop fue nombrado miembro del Comité para cumplir el mandato del Sr. </w:t>
      </w:r>
      <w:proofErr w:type="spellStart"/>
      <w:r w:rsidRPr="005E7CB5">
        <w:rPr>
          <w:lang w:val="es-ES_tradnl"/>
        </w:rPr>
        <w:t>Tidiane</w:t>
      </w:r>
      <w:proofErr w:type="spellEnd"/>
      <w:r w:rsidRPr="005E7CB5">
        <w:rPr>
          <w:lang w:val="es-ES_tradnl"/>
        </w:rPr>
        <w:t xml:space="preserve"> </w:t>
      </w:r>
      <w:proofErr w:type="spellStart"/>
      <w:r w:rsidRPr="005E7CB5">
        <w:rPr>
          <w:lang w:val="es-ES_tradnl"/>
        </w:rPr>
        <w:t>Coulibaly</w:t>
      </w:r>
      <w:proofErr w:type="spellEnd"/>
      <w:r w:rsidRPr="005E7CB5">
        <w:rPr>
          <w:lang w:val="es-ES_tradnl"/>
        </w:rPr>
        <w:t>, de 11 de diciembre de 2020 al 20 de junio de 2023. El Sr.</w:t>
      </w:r>
      <w:r w:rsidR="00877E00">
        <w:rPr>
          <w:lang w:val="es-ES_tradnl"/>
        </w:rPr>
        <w:t> </w:t>
      </w:r>
      <w:r w:rsidRPr="005E7CB5">
        <w:rPr>
          <w:lang w:val="es-ES_tradnl"/>
        </w:rPr>
        <w:t xml:space="preserve">Diop realizó su declaración solemne por escrito para participar en las reuniones entre períodos de sesiones del Comité, y renovó públicamente su declaración solemne en la apertura del 20º período de sesiones También asistió a un curso de iniciación en línea para nuevos miembros, celebrado los días 2, 3 y 11 de febrero de 2021. </w:t>
      </w:r>
    </w:p>
    <w:p w14:paraId="54D267C9" w14:textId="77777777" w:rsidR="009679FD" w:rsidRPr="005E7CB5" w:rsidRDefault="009679FD" w:rsidP="004E198B">
      <w:pPr>
        <w:pStyle w:val="H1G"/>
        <w:rPr>
          <w:lang w:val="es-ES_tradnl"/>
        </w:rPr>
      </w:pPr>
      <w:r w:rsidRPr="005E7CB5">
        <w:rPr>
          <w:lang w:val="es-ES_tradnl"/>
        </w:rPr>
        <w:tab/>
        <w:t>D.</w:t>
      </w:r>
      <w:r w:rsidRPr="005E7CB5">
        <w:rPr>
          <w:lang w:val="es-ES_tradnl"/>
        </w:rPr>
        <w:tab/>
        <w:t>Decisiones del Comité</w:t>
      </w:r>
      <w:bookmarkStart w:id="34" w:name="_Toc326162639"/>
      <w:bookmarkStart w:id="35" w:name="_Toc326220754"/>
      <w:bookmarkStart w:id="36" w:name="_Toc460489532"/>
      <w:bookmarkStart w:id="37" w:name="_Toc522200457"/>
      <w:bookmarkStart w:id="38" w:name="_Toc43905468"/>
      <w:bookmarkStart w:id="39" w:name="_Toc43906549"/>
      <w:bookmarkStart w:id="40" w:name="_Toc43996420"/>
      <w:bookmarkStart w:id="41" w:name="_Toc75349902"/>
      <w:bookmarkStart w:id="42" w:name="_Toc326162635"/>
      <w:bookmarkStart w:id="43" w:name="_Toc326220750"/>
      <w:bookmarkEnd w:id="34"/>
      <w:bookmarkEnd w:id="35"/>
      <w:bookmarkEnd w:id="36"/>
      <w:bookmarkEnd w:id="37"/>
      <w:bookmarkEnd w:id="38"/>
      <w:bookmarkEnd w:id="39"/>
      <w:bookmarkEnd w:id="40"/>
      <w:bookmarkEnd w:id="41"/>
    </w:p>
    <w:p w14:paraId="26E4650F" w14:textId="77777777" w:rsidR="009679FD" w:rsidRPr="005E7CB5" w:rsidRDefault="009679FD" w:rsidP="009679FD">
      <w:pPr>
        <w:pStyle w:val="SingleTxtG"/>
        <w:rPr>
          <w:lang w:val="es-ES_tradnl"/>
        </w:rPr>
      </w:pPr>
      <w:r w:rsidRPr="005E7CB5">
        <w:rPr>
          <w:lang w:val="es-ES_tradnl"/>
        </w:rPr>
        <w:t>10.</w:t>
      </w:r>
      <w:r w:rsidRPr="005E7CB5">
        <w:rPr>
          <w:lang w:val="es-ES_tradnl"/>
        </w:rPr>
        <w:tab/>
        <w:t>En su 19º período de sesiones, el Comité decidió adoptar los siguientes documentos:</w:t>
      </w:r>
    </w:p>
    <w:p w14:paraId="2305BE87" w14:textId="4C452ED1" w:rsidR="009679FD" w:rsidRPr="005E7CB5" w:rsidRDefault="004E198B" w:rsidP="009679FD">
      <w:pPr>
        <w:pStyle w:val="SingleTxtG"/>
        <w:rPr>
          <w:lang w:val="es-ES_tradnl"/>
        </w:rPr>
      </w:pPr>
      <w:r>
        <w:rPr>
          <w:lang w:val="es-ES_tradnl"/>
        </w:rPr>
        <w:tab/>
      </w:r>
      <w:r w:rsidR="009679FD" w:rsidRPr="005E7CB5">
        <w:rPr>
          <w:lang w:val="es-ES_tradnl"/>
        </w:rPr>
        <w:t>a)</w:t>
      </w:r>
      <w:r w:rsidR="009679FD" w:rsidRPr="005E7CB5">
        <w:rPr>
          <w:lang w:val="es-ES_tradnl"/>
        </w:rPr>
        <w:tab/>
        <w:t>Listas de cuestiones relativas a los informes presentados por Chequia, Grecia y el Níger en virtud del artículo 29, párrafo 1, de la Convención, y una lista de cuestiones en ausencia del informe de Malí;</w:t>
      </w:r>
    </w:p>
    <w:p w14:paraId="2E6AFEDC" w14:textId="2F1D95F0" w:rsidR="009679FD" w:rsidRPr="005E7CB5" w:rsidRDefault="004E198B" w:rsidP="009679FD">
      <w:pPr>
        <w:pStyle w:val="SingleTxtG"/>
        <w:rPr>
          <w:lang w:val="es-ES_tradnl"/>
        </w:rPr>
      </w:pPr>
      <w:r>
        <w:rPr>
          <w:lang w:val="es-ES_tradnl"/>
        </w:rPr>
        <w:tab/>
      </w:r>
      <w:r w:rsidR="009679FD" w:rsidRPr="005E7CB5">
        <w:rPr>
          <w:lang w:val="es-ES_tradnl"/>
        </w:rPr>
        <w:t>b)</w:t>
      </w:r>
      <w:r w:rsidR="009679FD" w:rsidRPr="005E7CB5">
        <w:rPr>
          <w:lang w:val="es-ES_tradnl"/>
        </w:rPr>
        <w:tab/>
        <w:t>Observaciones finales sobre la información complementaria presentada por el Iraq con arreglo al artículo 29, párrafo 4, de la Convención (</w:t>
      </w:r>
      <w:hyperlink r:id="rId24" w:history="1">
        <w:r w:rsidR="009679FD" w:rsidRPr="00B24BD3">
          <w:rPr>
            <w:rStyle w:val="Hyperlink"/>
            <w:lang w:val="es-ES_tradnl"/>
          </w:rPr>
          <w:t>CED/C/IRQ/OAI/1</w:t>
        </w:r>
      </w:hyperlink>
      <w:r w:rsidR="009679FD" w:rsidRPr="005E7CB5">
        <w:rPr>
          <w:lang w:val="es-ES_tradnl"/>
        </w:rPr>
        <w:t>);</w:t>
      </w:r>
    </w:p>
    <w:p w14:paraId="59C01224" w14:textId="1D0DF4E0" w:rsidR="009679FD" w:rsidRPr="005E7CB5" w:rsidRDefault="004E198B" w:rsidP="009679FD">
      <w:pPr>
        <w:pStyle w:val="SingleTxtG"/>
        <w:rPr>
          <w:lang w:val="es-ES_tradnl"/>
        </w:rPr>
      </w:pPr>
      <w:r>
        <w:rPr>
          <w:lang w:val="es-ES_tradnl"/>
        </w:rPr>
        <w:tab/>
      </w:r>
      <w:r w:rsidR="009679FD" w:rsidRPr="005E7CB5">
        <w:rPr>
          <w:lang w:val="es-ES_tradnl"/>
        </w:rPr>
        <w:t>c)</w:t>
      </w:r>
      <w:r w:rsidR="009679FD" w:rsidRPr="005E7CB5">
        <w:rPr>
          <w:lang w:val="es-ES_tradnl"/>
        </w:rPr>
        <w:tab/>
        <w:t>Un informe sobre las peticiones de acción urgente (</w:t>
      </w:r>
      <w:hyperlink r:id="rId25" w:history="1">
        <w:r w:rsidR="009679FD" w:rsidRPr="00B24BD3">
          <w:rPr>
            <w:rStyle w:val="Hyperlink"/>
            <w:lang w:val="es-ES_tradnl"/>
          </w:rPr>
          <w:t>CED/C/19/2</w:t>
        </w:r>
      </w:hyperlink>
      <w:r w:rsidR="009679FD" w:rsidRPr="005E7CB5">
        <w:rPr>
          <w:lang w:val="es-ES_tradnl"/>
        </w:rPr>
        <w:t>);</w:t>
      </w:r>
    </w:p>
    <w:p w14:paraId="3884CF36" w14:textId="3B78034D" w:rsidR="009679FD" w:rsidRPr="005E7CB5" w:rsidRDefault="004E198B" w:rsidP="009679FD">
      <w:pPr>
        <w:pStyle w:val="SingleTxtG"/>
        <w:rPr>
          <w:lang w:val="es-ES_tradnl"/>
        </w:rPr>
      </w:pPr>
      <w:r>
        <w:rPr>
          <w:lang w:val="es-ES_tradnl"/>
        </w:rPr>
        <w:lastRenderedPageBreak/>
        <w:tab/>
      </w:r>
      <w:r w:rsidR="009679FD" w:rsidRPr="005E7CB5">
        <w:rPr>
          <w:lang w:val="es-ES_tradnl"/>
        </w:rPr>
        <w:t>d)</w:t>
      </w:r>
      <w:r w:rsidR="009679FD" w:rsidRPr="005E7CB5">
        <w:rPr>
          <w:lang w:val="es-ES_tradnl"/>
        </w:rPr>
        <w:tab/>
        <w:t xml:space="preserve">Un informe sobre el seguimiento de las observaciones finales, en el que se evalúa la información de seguimiento presentada por ocho </w:t>
      </w:r>
      <w:proofErr w:type="gramStart"/>
      <w:r w:rsidR="009679FD" w:rsidRPr="005E7CB5">
        <w:rPr>
          <w:lang w:val="es-ES_tradnl"/>
        </w:rPr>
        <w:t>Estados partes</w:t>
      </w:r>
      <w:proofErr w:type="gramEnd"/>
      <w:r w:rsidR="009679FD" w:rsidRPr="005E7CB5">
        <w:rPr>
          <w:lang w:val="es-ES_tradnl"/>
        </w:rPr>
        <w:t xml:space="preserve"> (</w:t>
      </w:r>
      <w:hyperlink r:id="rId26" w:history="1">
        <w:r w:rsidR="009679FD" w:rsidRPr="00B24BD3">
          <w:rPr>
            <w:rStyle w:val="Hyperlink"/>
            <w:lang w:val="es-ES_tradnl"/>
          </w:rPr>
          <w:t>CED/C/19/4</w:t>
        </w:r>
      </w:hyperlink>
      <w:r w:rsidR="009679FD" w:rsidRPr="005E7CB5">
        <w:rPr>
          <w:lang w:val="es-ES_tradnl"/>
        </w:rPr>
        <w:t>);</w:t>
      </w:r>
    </w:p>
    <w:p w14:paraId="5A0E262E" w14:textId="06237738" w:rsidR="009679FD" w:rsidRPr="005E7CB5" w:rsidRDefault="004E198B" w:rsidP="009679FD">
      <w:pPr>
        <w:pStyle w:val="SingleTxtG"/>
        <w:rPr>
          <w:lang w:val="es-ES_tradnl"/>
        </w:rPr>
      </w:pPr>
      <w:r>
        <w:rPr>
          <w:lang w:val="es-ES_tradnl"/>
        </w:rPr>
        <w:tab/>
      </w:r>
      <w:r w:rsidR="009679FD" w:rsidRPr="005E7CB5">
        <w:rPr>
          <w:lang w:val="es-ES_tradnl"/>
        </w:rPr>
        <w:t>e)</w:t>
      </w:r>
      <w:r w:rsidR="009679FD" w:rsidRPr="005E7CB5">
        <w:rPr>
          <w:lang w:val="es-ES_tradnl"/>
        </w:rPr>
        <w:tab/>
        <w:t xml:space="preserve">Dictamen relativo a la comunicación </w:t>
      </w:r>
      <w:r w:rsidR="009679FD" w:rsidRPr="005E7CB5">
        <w:rPr>
          <w:i/>
          <w:iCs/>
          <w:lang w:val="es-ES_tradnl"/>
        </w:rPr>
        <w:t>E.</w:t>
      </w:r>
      <w:r w:rsidR="00B24BD3">
        <w:rPr>
          <w:i/>
          <w:iCs/>
          <w:lang w:val="es-ES_tradnl"/>
        </w:rPr>
        <w:t xml:space="preserve"> </w:t>
      </w:r>
      <w:r w:rsidR="009679FD" w:rsidRPr="005E7CB5">
        <w:rPr>
          <w:i/>
          <w:iCs/>
          <w:lang w:val="es-ES_tradnl"/>
        </w:rPr>
        <w:t>L.</w:t>
      </w:r>
      <w:r w:rsidR="00B24BD3">
        <w:rPr>
          <w:i/>
          <w:iCs/>
          <w:lang w:val="es-ES_tradnl"/>
        </w:rPr>
        <w:t xml:space="preserve"> </w:t>
      </w:r>
      <w:r w:rsidR="009679FD" w:rsidRPr="005E7CB5">
        <w:rPr>
          <w:i/>
          <w:iCs/>
          <w:lang w:val="es-ES_tradnl"/>
        </w:rPr>
        <w:t xml:space="preserve">A. c. Francia </w:t>
      </w:r>
      <w:r w:rsidR="009679FD" w:rsidRPr="005E7CB5">
        <w:rPr>
          <w:lang w:val="es-ES_tradnl"/>
        </w:rPr>
        <w:t>(</w:t>
      </w:r>
      <w:hyperlink r:id="rId27" w:history="1">
        <w:r w:rsidR="009679FD" w:rsidRPr="00B24BD3">
          <w:rPr>
            <w:rStyle w:val="Hyperlink"/>
            <w:lang w:val="es-ES_tradnl"/>
          </w:rPr>
          <w:t>CED/C/19/D/3/2019</w:t>
        </w:r>
      </w:hyperlink>
      <w:r w:rsidR="009679FD" w:rsidRPr="005E7CB5">
        <w:rPr>
          <w:lang w:val="es-ES_tradnl"/>
        </w:rPr>
        <w:t>);</w:t>
      </w:r>
    </w:p>
    <w:p w14:paraId="6BDB8B33" w14:textId="5D57AF6F" w:rsidR="009679FD" w:rsidRPr="005E7CB5" w:rsidRDefault="004E198B" w:rsidP="009679FD">
      <w:pPr>
        <w:pStyle w:val="SingleTxtG"/>
        <w:rPr>
          <w:lang w:val="es-ES_tradnl"/>
        </w:rPr>
      </w:pPr>
      <w:r>
        <w:rPr>
          <w:lang w:val="es-ES_tradnl"/>
        </w:rPr>
        <w:tab/>
      </w:r>
      <w:r w:rsidR="009679FD" w:rsidRPr="005E7CB5">
        <w:rPr>
          <w:lang w:val="es-ES_tradnl"/>
        </w:rPr>
        <w:t>f)</w:t>
      </w:r>
      <w:r w:rsidR="009679FD" w:rsidRPr="005E7CB5">
        <w:rPr>
          <w:lang w:val="es-ES_tradnl"/>
        </w:rPr>
        <w:tab/>
        <w:t>Un informe de seguimiento sobre comunicaciones individuales (</w:t>
      </w:r>
      <w:hyperlink r:id="rId28" w:history="1">
        <w:r w:rsidR="009679FD" w:rsidRPr="00B24BD3">
          <w:rPr>
            <w:rStyle w:val="Hyperlink"/>
            <w:lang w:val="es-ES_tradnl"/>
          </w:rPr>
          <w:t>CED/C/19/3</w:t>
        </w:r>
      </w:hyperlink>
      <w:r w:rsidR="009679FD" w:rsidRPr="005E7CB5">
        <w:rPr>
          <w:lang w:val="es-ES_tradnl"/>
        </w:rPr>
        <w:t xml:space="preserve">), en el que decidió mantener el procedimiento de seguimiento relativo a </w:t>
      </w:r>
      <w:proofErr w:type="spellStart"/>
      <w:r w:rsidR="009679FD" w:rsidRPr="005E7CB5">
        <w:rPr>
          <w:i/>
          <w:iCs/>
          <w:lang w:val="es-ES_tradnl"/>
        </w:rPr>
        <w:t>Yrusta</w:t>
      </w:r>
      <w:proofErr w:type="spellEnd"/>
      <w:r w:rsidR="009679FD" w:rsidRPr="005E7CB5">
        <w:rPr>
          <w:i/>
          <w:iCs/>
          <w:lang w:val="es-ES_tradnl"/>
        </w:rPr>
        <w:t xml:space="preserve"> y Del Valle </w:t>
      </w:r>
      <w:proofErr w:type="spellStart"/>
      <w:r w:rsidR="009679FD" w:rsidRPr="005E7CB5">
        <w:rPr>
          <w:i/>
          <w:iCs/>
          <w:lang w:val="es-ES_tradnl"/>
        </w:rPr>
        <w:t>Yrusta</w:t>
      </w:r>
      <w:proofErr w:type="spellEnd"/>
      <w:r w:rsidR="009679FD" w:rsidRPr="005E7CB5">
        <w:rPr>
          <w:i/>
          <w:iCs/>
          <w:lang w:val="es-ES_tradnl"/>
        </w:rPr>
        <w:t xml:space="preserve"> c. la Argentina</w:t>
      </w:r>
      <w:r w:rsidR="009679FD" w:rsidRPr="005E7CB5">
        <w:rPr>
          <w:lang w:val="es-ES_tradnl"/>
        </w:rPr>
        <w:t xml:space="preserve"> (</w:t>
      </w:r>
      <w:hyperlink r:id="rId29" w:history="1">
        <w:r w:rsidR="009679FD" w:rsidRPr="00B24BD3">
          <w:rPr>
            <w:rStyle w:val="Hyperlink"/>
            <w:lang w:val="es-ES_tradnl"/>
          </w:rPr>
          <w:t>CED/C/10/D/1/2013</w:t>
        </w:r>
      </w:hyperlink>
      <w:r w:rsidR="009679FD" w:rsidRPr="005E7CB5">
        <w:rPr>
          <w:lang w:val="es-ES_tradnl"/>
        </w:rPr>
        <w:t>);</w:t>
      </w:r>
    </w:p>
    <w:p w14:paraId="60781139" w14:textId="79D9E185" w:rsidR="009679FD" w:rsidRPr="005E7CB5" w:rsidRDefault="004E198B" w:rsidP="009679FD">
      <w:pPr>
        <w:pStyle w:val="SingleTxtG"/>
        <w:rPr>
          <w:lang w:val="es-ES_tradnl"/>
        </w:rPr>
      </w:pPr>
      <w:r>
        <w:rPr>
          <w:lang w:val="es-ES_tradnl"/>
        </w:rPr>
        <w:tab/>
      </w:r>
      <w:r w:rsidR="009679FD" w:rsidRPr="005E7CB5">
        <w:rPr>
          <w:lang w:val="es-ES_tradnl"/>
        </w:rPr>
        <w:t>g)</w:t>
      </w:r>
      <w:r w:rsidR="009679FD" w:rsidRPr="005E7CB5">
        <w:rPr>
          <w:lang w:val="es-ES_tradnl"/>
        </w:rPr>
        <w:tab/>
        <w:t>Directrices clave sobre las desapariciones forzadas en el contexto de la pandemia de COVID-19, junto con el Grupo de Trabajo sobre las Desapariciones Forzadas o Involuntarias</w:t>
      </w:r>
      <w:r w:rsidR="00877E00">
        <w:rPr>
          <w:lang w:val="es-ES_tradnl"/>
        </w:rPr>
        <w:t>.</w:t>
      </w:r>
    </w:p>
    <w:p w14:paraId="79398E8C" w14:textId="77777777" w:rsidR="009679FD" w:rsidRPr="005E7CB5" w:rsidRDefault="009679FD" w:rsidP="009679FD">
      <w:pPr>
        <w:pStyle w:val="SingleTxtG"/>
        <w:rPr>
          <w:lang w:val="es-ES_tradnl"/>
        </w:rPr>
      </w:pPr>
      <w:r w:rsidRPr="005E7CB5">
        <w:rPr>
          <w:lang w:val="es-ES_tradnl"/>
        </w:rPr>
        <w:t>11.</w:t>
      </w:r>
      <w:r w:rsidRPr="005E7CB5">
        <w:rPr>
          <w:lang w:val="es-ES_tradnl"/>
        </w:rPr>
        <w:tab/>
        <w:t xml:space="preserve">También en su 19º período de sesiones, el Comité decidió: </w:t>
      </w:r>
    </w:p>
    <w:p w14:paraId="301E7EB5" w14:textId="59CD1D03" w:rsidR="009679FD" w:rsidRPr="005E7CB5" w:rsidRDefault="004E198B" w:rsidP="009679FD">
      <w:pPr>
        <w:pStyle w:val="SingleTxtG"/>
        <w:rPr>
          <w:lang w:val="es-ES_tradnl"/>
        </w:rPr>
      </w:pPr>
      <w:r>
        <w:rPr>
          <w:lang w:val="es-ES_tradnl"/>
        </w:rPr>
        <w:tab/>
      </w:r>
      <w:r w:rsidR="009679FD" w:rsidRPr="005E7CB5">
        <w:rPr>
          <w:lang w:val="es-ES_tradnl"/>
        </w:rPr>
        <w:t>a)</w:t>
      </w:r>
      <w:r w:rsidR="009679FD" w:rsidRPr="005E7CB5">
        <w:rPr>
          <w:lang w:val="es-ES_tradnl"/>
        </w:rPr>
        <w:tab/>
        <w:t>Solicitar a la Relatora sobre las represalias que elabore un proyecto de directrices sobre la gestión de las alegaciones relativas a represalias presentadas al Comité con vistas a su adopción en el 20º período de sesiones;</w:t>
      </w:r>
    </w:p>
    <w:p w14:paraId="1CEFA452" w14:textId="2CDEEA63" w:rsidR="009679FD" w:rsidRPr="005E7CB5" w:rsidRDefault="004E198B" w:rsidP="009679FD">
      <w:pPr>
        <w:pStyle w:val="SingleTxtG"/>
        <w:rPr>
          <w:lang w:val="es-ES_tradnl"/>
        </w:rPr>
      </w:pPr>
      <w:r>
        <w:rPr>
          <w:lang w:val="es-ES_tradnl"/>
        </w:rPr>
        <w:tab/>
      </w:r>
      <w:r w:rsidR="009679FD" w:rsidRPr="005E7CB5">
        <w:rPr>
          <w:lang w:val="es-ES_tradnl"/>
        </w:rPr>
        <w:t>b)</w:t>
      </w:r>
      <w:r w:rsidR="009679FD" w:rsidRPr="005E7CB5">
        <w:rPr>
          <w:lang w:val="es-ES_tradnl"/>
        </w:rPr>
        <w:tab/>
        <w:t>Celebrar diálogos en línea en su 20º período de sesiones para examinar los informes presentados por Mongolia y Suiza en virtud del artículo 29, párrafo 1, de la Convención, y la información complementaria presentada por Colombia en virtud del artículo 29, párrafo 4, de la Convención, exámenes que habían sido programados para los períodos de sesiones 18º y 19º pero tuvieron que ser aplazados debido a circunstancias relacionadas con la pandemia de COVID-19;</w:t>
      </w:r>
    </w:p>
    <w:p w14:paraId="307FAAF7" w14:textId="7ED299D3" w:rsidR="009679FD" w:rsidRPr="005E7CB5" w:rsidRDefault="004E198B" w:rsidP="009679FD">
      <w:pPr>
        <w:pStyle w:val="SingleTxtG"/>
        <w:rPr>
          <w:lang w:val="es-ES_tradnl"/>
        </w:rPr>
      </w:pPr>
      <w:r>
        <w:rPr>
          <w:lang w:val="es-ES_tradnl"/>
        </w:rPr>
        <w:tab/>
      </w:r>
      <w:r w:rsidR="009679FD" w:rsidRPr="005E7CB5">
        <w:rPr>
          <w:lang w:val="es-ES_tradnl"/>
        </w:rPr>
        <w:t>c)</w:t>
      </w:r>
      <w:r w:rsidR="009679FD" w:rsidRPr="005E7CB5">
        <w:rPr>
          <w:lang w:val="es-ES_tradnl"/>
        </w:rPr>
        <w:tab/>
        <w:t>Aprobar una lista de cuestiones en ausencia del informe de Zambia durante su 20º período de sesiones;</w:t>
      </w:r>
    </w:p>
    <w:p w14:paraId="2CCEA305" w14:textId="706426E4" w:rsidR="009679FD" w:rsidRPr="005E7CB5" w:rsidRDefault="004E198B" w:rsidP="009679FD">
      <w:pPr>
        <w:pStyle w:val="SingleTxtG"/>
        <w:rPr>
          <w:lang w:val="es-ES_tradnl"/>
        </w:rPr>
      </w:pPr>
      <w:r>
        <w:rPr>
          <w:lang w:val="es-ES_tradnl"/>
        </w:rPr>
        <w:tab/>
      </w:r>
      <w:r w:rsidR="009679FD" w:rsidRPr="005E7CB5">
        <w:rPr>
          <w:lang w:val="es-ES_tradnl"/>
        </w:rPr>
        <w:t>d)</w:t>
      </w:r>
      <w:r w:rsidR="009679FD" w:rsidRPr="005E7CB5">
        <w:rPr>
          <w:lang w:val="es-ES_tradnl"/>
        </w:rPr>
        <w:tab/>
        <w:t xml:space="preserve">Celebrar una reunión conjunta en su 20º período de sesiones con el Comité de Protección de los Derechos de Todos los Trabajadores Migratorios y de Sus Familiares y el Grupo de Trabajo sobre las Desapariciones Forzadas o Involuntarias sobre la cuestión de la desaparición forzada en el contexto de la migración; </w:t>
      </w:r>
    </w:p>
    <w:p w14:paraId="0E50AFC4" w14:textId="4D34E0C1" w:rsidR="009679FD" w:rsidRPr="005E7CB5" w:rsidRDefault="004E198B" w:rsidP="009679FD">
      <w:pPr>
        <w:pStyle w:val="SingleTxtG"/>
        <w:rPr>
          <w:lang w:val="es-ES_tradnl"/>
        </w:rPr>
      </w:pPr>
      <w:r>
        <w:rPr>
          <w:lang w:val="es-ES_tradnl"/>
        </w:rPr>
        <w:tab/>
      </w:r>
      <w:r w:rsidR="009679FD" w:rsidRPr="005E7CB5">
        <w:rPr>
          <w:lang w:val="es-ES_tradnl"/>
        </w:rPr>
        <w:t>e)</w:t>
      </w:r>
      <w:r w:rsidR="009679FD" w:rsidRPr="005E7CB5">
        <w:rPr>
          <w:lang w:val="es-ES_tradnl"/>
        </w:rPr>
        <w:tab/>
        <w:t>Examinar, en su 21</w:t>
      </w:r>
      <w:r w:rsidR="009679FD" w:rsidRPr="005E7CB5">
        <w:rPr>
          <w:vertAlign w:val="superscript"/>
          <w:lang w:val="es-ES_tradnl"/>
        </w:rPr>
        <w:t>er</w:t>
      </w:r>
      <w:r w:rsidR="009679FD" w:rsidRPr="005E7CB5">
        <w:rPr>
          <w:lang w:val="es-ES_tradnl"/>
        </w:rPr>
        <w:t xml:space="preserve"> período de sesiones, la información complementaria presentada por Francia y España en virtud del artículo 29, párrafo 4, de la Convención mediante la modalidad de estudio documental, combinada con un breve diálogo con cada Estado parte, y enviar una lista de preguntas a los </w:t>
      </w:r>
      <w:proofErr w:type="gramStart"/>
      <w:r w:rsidR="009679FD" w:rsidRPr="005E7CB5">
        <w:rPr>
          <w:lang w:val="es-ES_tradnl"/>
        </w:rPr>
        <w:t>Estados partes</w:t>
      </w:r>
      <w:proofErr w:type="gramEnd"/>
      <w:r w:rsidR="009679FD" w:rsidRPr="005E7CB5">
        <w:rPr>
          <w:lang w:val="es-ES_tradnl"/>
        </w:rPr>
        <w:t xml:space="preserve"> interesados para recabar información actualizada y aclaraciones; </w:t>
      </w:r>
    </w:p>
    <w:p w14:paraId="4873A77A" w14:textId="009F238F" w:rsidR="009679FD" w:rsidRPr="005E7CB5" w:rsidRDefault="004E198B" w:rsidP="009679FD">
      <w:pPr>
        <w:pStyle w:val="SingleTxtG"/>
        <w:rPr>
          <w:lang w:val="es-ES_tradnl"/>
        </w:rPr>
      </w:pPr>
      <w:r>
        <w:rPr>
          <w:lang w:val="es-ES_tradnl"/>
        </w:rPr>
        <w:tab/>
      </w:r>
      <w:r w:rsidR="009679FD" w:rsidRPr="005E7CB5">
        <w:rPr>
          <w:lang w:val="es-ES_tradnl"/>
        </w:rPr>
        <w:t>f)</w:t>
      </w:r>
      <w:r w:rsidR="009679FD" w:rsidRPr="005E7CB5">
        <w:rPr>
          <w:lang w:val="es-ES_tradnl"/>
        </w:rPr>
        <w:tab/>
        <w:t xml:space="preserve">Seguir desarrollando sus métodos de trabajo, en particular en relación con la información complementaria presentada por los </w:t>
      </w:r>
      <w:proofErr w:type="gramStart"/>
      <w:r w:rsidR="009679FD" w:rsidRPr="005E7CB5">
        <w:rPr>
          <w:lang w:val="es-ES_tradnl"/>
        </w:rPr>
        <w:t>Estados partes</w:t>
      </w:r>
      <w:proofErr w:type="gramEnd"/>
      <w:r w:rsidR="009679FD" w:rsidRPr="005E7CB5">
        <w:rPr>
          <w:lang w:val="es-ES_tradnl"/>
        </w:rPr>
        <w:t xml:space="preserve"> en virtud del artículo 29, párrafo 4, de la Convención.</w:t>
      </w:r>
    </w:p>
    <w:p w14:paraId="17ECD2C8" w14:textId="77777777" w:rsidR="009679FD" w:rsidRPr="005E7CB5" w:rsidRDefault="009679FD" w:rsidP="009679FD">
      <w:pPr>
        <w:pStyle w:val="SingleTxtG"/>
        <w:rPr>
          <w:lang w:val="es-ES_tradnl"/>
        </w:rPr>
      </w:pPr>
      <w:r w:rsidRPr="005E7CB5">
        <w:rPr>
          <w:lang w:val="es-ES_tradnl"/>
        </w:rPr>
        <w:t>12.</w:t>
      </w:r>
      <w:r w:rsidRPr="005E7CB5">
        <w:rPr>
          <w:lang w:val="es-ES_tradnl"/>
        </w:rPr>
        <w:tab/>
        <w:t>En su 20º período de sesiones, el Comité decidió adoptar los siguientes documentos:</w:t>
      </w:r>
      <w:bookmarkStart w:id="44" w:name="_Hlk75290778"/>
      <w:bookmarkEnd w:id="44"/>
    </w:p>
    <w:p w14:paraId="735F05DD" w14:textId="7423D773" w:rsidR="009679FD" w:rsidRPr="005E7CB5" w:rsidRDefault="004E198B" w:rsidP="009679FD">
      <w:pPr>
        <w:pStyle w:val="SingleTxtG"/>
        <w:rPr>
          <w:lang w:val="es-ES_tradnl"/>
        </w:rPr>
      </w:pPr>
      <w:r>
        <w:rPr>
          <w:lang w:val="es-ES_tradnl"/>
        </w:rPr>
        <w:tab/>
      </w:r>
      <w:r w:rsidR="009679FD" w:rsidRPr="005E7CB5">
        <w:rPr>
          <w:lang w:val="es-ES_tradnl"/>
        </w:rPr>
        <w:t>a)</w:t>
      </w:r>
      <w:r w:rsidR="009679FD" w:rsidRPr="005E7CB5">
        <w:rPr>
          <w:lang w:val="es-ES_tradnl"/>
        </w:rPr>
        <w:tab/>
        <w:t>Una lista de cuestiones en ausencia del informe de Zambia;</w:t>
      </w:r>
    </w:p>
    <w:p w14:paraId="1F70ECDE" w14:textId="1E0D40F4" w:rsidR="009679FD" w:rsidRPr="005E7CB5" w:rsidRDefault="004E198B" w:rsidP="009679FD">
      <w:pPr>
        <w:pStyle w:val="SingleTxtG"/>
        <w:rPr>
          <w:lang w:val="es-ES_tradnl"/>
        </w:rPr>
      </w:pPr>
      <w:r>
        <w:rPr>
          <w:lang w:val="es-ES_tradnl"/>
        </w:rPr>
        <w:tab/>
      </w:r>
      <w:r w:rsidR="009679FD" w:rsidRPr="005E7CB5">
        <w:rPr>
          <w:lang w:val="es-ES_tradnl"/>
        </w:rPr>
        <w:t>b)</w:t>
      </w:r>
      <w:r w:rsidR="009679FD" w:rsidRPr="005E7CB5">
        <w:rPr>
          <w:lang w:val="es-ES_tradnl"/>
        </w:rPr>
        <w:tab/>
        <w:t>Observaciones finales sobre los informes presentados por Mongolia y Suiza en virtud del artículo 29, párrafo 1, de la Convención, y observaciones finales sobre la información complementaria presentada por Colombia en virtud del artículo 29, párrafo 4, de la Convención;</w:t>
      </w:r>
    </w:p>
    <w:p w14:paraId="4A3BC49C" w14:textId="07F217EF" w:rsidR="009679FD" w:rsidRPr="005E7CB5" w:rsidRDefault="004E198B" w:rsidP="009679FD">
      <w:pPr>
        <w:pStyle w:val="SingleTxtG"/>
        <w:rPr>
          <w:lang w:val="es-ES_tradnl"/>
        </w:rPr>
      </w:pPr>
      <w:r>
        <w:rPr>
          <w:lang w:val="es-ES_tradnl"/>
        </w:rPr>
        <w:tab/>
      </w:r>
      <w:r w:rsidR="009679FD" w:rsidRPr="005E7CB5">
        <w:rPr>
          <w:lang w:val="es-ES_tradnl"/>
        </w:rPr>
        <w:t>c)</w:t>
      </w:r>
      <w:r w:rsidR="009679FD" w:rsidRPr="005E7CB5">
        <w:rPr>
          <w:lang w:val="es-ES_tradnl"/>
        </w:rPr>
        <w:tab/>
        <w:t>Un informe sobre las peticiones de acción urgente (</w:t>
      </w:r>
      <w:hyperlink r:id="rId30" w:history="1">
        <w:r w:rsidR="009679FD" w:rsidRPr="00B24BD3">
          <w:rPr>
            <w:rStyle w:val="Hyperlink"/>
            <w:lang w:val="es-ES_tradnl"/>
          </w:rPr>
          <w:t>CED/C/20/2</w:t>
        </w:r>
      </w:hyperlink>
      <w:r w:rsidR="009679FD" w:rsidRPr="005E7CB5">
        <w:rPr>
          <w:lang w:val="es-ES_tradnl"/>
        </w:rPr>
        <w:t>);</w:t>
      </w:r>
    </w:p>
    <w:p w14:paraId="71F264D8" w14:textId="70AA170C" w:rsidR="009679FD" w:rsidRPr="005E7CB5" w:rsidRDefault="004E198B" w:rsidP="009679FD">
      <w:pPr>
        <w:pStyle w:val="SingleTxtG"/>
        <w:rPr>
          <w:lang w:val="es-ES_tradnl"/>
        </w:rPr>
      </w:pPr>
      <w:r>
        <w:rPr>
          <w:lang w:val="es-ES_tradnl"/>
        </w:rPr>
        <w:tab/>
      </w:r>
      <w:r w:rsidR="009679FD" w:rsidRPr="005E7CB5">
        <w:rPr>
          <w:lang w:val="es-ES_tradnl"/>
        </w:rPr>
        <w:t>d)</w:t>
      </w:r>
      <w:r w:rsidR="009679FD" w:rsidRPr="005E7CB5">
        <w:rPr>
          <w:lang w:val="es-ES_tradnl"/>
        </w:rPr>
        <w:tab/>
        <w:t>Su informe anual a la Asamblea General con vistas a su presentación en el septuagésimo sexto período de sesiones de la Asamblea;</w:t>
      </w:r>
    </w:p>
    <w:p w14:paraId="7B1399F1" w14:textId="6D8CE0CC" w:rsidR="009679FD" w:rsidRPr="005E7CB5" w:rsidRDefault="004E198B" w:rsidP="009679FD">
      <w:pPr>
        <w:pStyle w:val="SingleTxtG"/>
        <w:rPr>
          <w:lang w:val="es-ES_tradnl"/>
        </w:rPr>
      </w:pPr>
      <w:r>
        <w:rPr>
          <w:lang w:val="es-ES_tradnl"/>
        </w:rPr>
        <w:tab/>
      </w:r>
      <w:r w:rsidR="009679FD" w:rsidRPr="005E7CB5">
        <w:rPr>
          <w:lang w:val="es-ES_tradnl"/>
        </w:rPr>
        <w:t>e)</w:t>
      </w:r>
      <w:r w:rsidR="009679FD" w:rsidRPr="005E7CB5">
        <w:rPr>
          <w:lang w:val="es-ES_tradnl"/>
        </w:rPr>
        <w:tab/>
        <w:t>Directrices para prevenir y combatir la intimidación y las represalias contra las personas y los grupos que cooperan con el Comité (</w:t>
      </w:r>
      <w:hyperlink r:id="rId31" w:history="1">
        <w:r w:rsidR="009679FD" w:rsidRPr="00B24BD3">
          <w:rPr>
            <w:rStyle w:val="Hyperlink"/>
            <w:lang w:val="es-ES_tradnl"/>
          </w:rPr>
          <w:t>CED/C/8</w:t>
        </w:r>
      </w:hyperlink>
      <w:r w:rsidR="009679FD" w:rsidRPr="005E7CB5">
        <w:rPr>
          <w:lang w:val="es-ES_tradnl"/>
        </w:rPr>
        <w:t>);</w:t>
      </w:r>
    </w:p>
    <w:p w14:paraId="3A05ACE9" w14:textId="4E9A4760" w:rsidR="009679FD" w:rsidRPr="005E7CB5" w:rsidRDefault="004E198B" w:rsidP="009679FD">
      <w:pPr>
        <w:pStyle w:val="SingleTxtG"/>
        <w:rPr>
          <w:lang w:val="es-ES_tradnl"/>
        </w:rPr>
      </w:pPr>
      <w:r>
        <w:rPr>
          <w:lang w:val="es-ES_tradnl"/>
        </w:rPr>
        <w:tab/>
      </w:r>
      <w:r w:rsidR="009679FD" w:rsidRPr="005E7CB5">
        <w:rPr>
          <w:lang w:val="es-ES_tradnl"/>
        </w:rPr>
        <w:t>f)</w:t>
      </w:r>
      <w:r w:rsidR="009679FD" w:rsidRPr="005E7CB5">
        <w:rPr>
          <w:lang w:val="es-ES_tradnl"/>
        </w:rPr>
        <w:tab/>
        <w:t>Un nuevo formato para la presentación de peticiones de acción urgente al Comité.</w:t>
      </w:r>
    </w:p>
    <w:p w14:paraId="06C731F4" w14:textId="77777777" w:rsidR="009679FD" w:rsidRPr="005E7CB5" w:rsidRDefault="009679FD" w:rsidP="009679FD">
      <w:pPr>
        <w:pStyle w:val="SingleTxtG"/>
        <w:rPr>
          <w:lang w:val="es-ES_tradnl"/>
        </w:rPr>
      </w:pPr>
      <w:r w:rsidRPr="005E7CB5">
        <w:rPr>
          <w:lang w:val="es-ES_tradnl"/>
        </w:rPr>
        <w:t>13.</w:t>
      </w:r>
      <w:r w:rsidRPr="005E7CB5">
        <w:rPr>
          <w:lang w:val="es-ES_tradnl"/>
        </w:rPr>
        <w:tab/>
        <w:t>El Comité decidió asimismo en su 20º período de sesiones:</w:t>
      </w:r>
    </w:p>
    <w:p w14:paraId="22D3FFCF" w14:textId="7ABF32D2" w:rsidR="009679FD" w:rsidRPr="005E7CB5" w:rsidRDefault="004E198B" w:rsidP="009679FD">
      <w:pPr>
        <w:pStyle w:val="SingleTxtG"/>
        <w:rPr>
          <w:lang w:val="es-ES_tradnl"/>
        </w:rPr>
      </w:pPr>
      <w:r>
        <w:rPr>
          <w:lang w:val="es-ES_tradnl"/>
        </w:rPr>
        <w:tab/>
      </w:r>
      <w:r w:rsidR="009679FD" w:rsidRPr="005E7CB5">
        <w:rPr>
          <w:lang w:val="es-ES_tradnl"/>
        </w:rPr>
        <w:t>a)</w:t>
      </w:r>
      <w:r w:rsidR="009679FD" w:rsidRPr="005E7CB5">
        <w:rPr>
          <w:lang w:val="es-ES_tradnl"/>
        </w:rPr>
        <w:tab/>
        <w:t>Examinar, en su 2</w:t>
      </w:r>
      <w:r w:rsidR="00935CAD">
        <w:rPr>
          <w:lang w:val="es-ES_tradnl"/>
        </w:rPr>
        <w:t>1</w:t>
      </w:r>
      <w:r w:rsidR="00935CAD" w:rsidRPr="00935CAD">
        <w:rPr>
          <w:vertAlign w:val="superscript"/>
          <w:lang w:val="es-ES_tradnl"/>
        </w:rPr>
        <w:t>er</w:t>
      </w:r>
      <w:r w:rsidR="009679FD" w:rsidRPr="005E7CB5">
        <w:rPr>
          <w:lang w:val="es-ES_tradnl"/>
        </w:rPr>
        <w:t xml:space="preserve"> período de sesiones, los informes presentados por el Brasil y Panamá en virtud del artículo 29, párrafo 1, de la Convención;</w:t>
      </w:r>
    </w:p>
    <w:p w14:paraId="3A097B72" w14:textId="1FB77586" w:rsidR="009679FD" w:rsidRPr="005E7CB5" w:rsidRDefault="004E198B" w:rsidP="009679FD">
      <w:pPr>
        <w:pStyle w:val="SingleTxtG"/>
        <w:rPr>
          <w:lang w:val="es-ES_tradnl"/>
        </w:rPr>
      </w:pPr>
      <w:r>
        <w:rPr>
          <w:lang w:val="es-ES_tradnl"/>
        </w:rPr>
        <w:lastRenderedPageBreak/>
        <w:tab/>
      </w:r>
      <w:r w:rsidR="009679FD" w:rsidRPr="005E7CB5">
        <w:rPr>
          <w:lang w:val="es-ES_tradnl"/>
        </w:rPr>
        <w:t>b)</w:t>
      </w:r>
      <w:r w:rsidR="009679FD" w:rsidRPr="005E7CB5">
        <w:rPr>
          <w:lang w:val="es-ES_tradnl"/>
        </w:rPr>
        <w:tab/>
        <w:t>Examinar, en su 2</w:t>
      </w:r>
      <w:r w:rsidR="002C7BE1">
        <w:rPr>
          <w:lang w:val="es-ES_tradnl"/>
        </w:rPr>
        <w:t>1</w:t>
      </w:r>
      <w:r w:rsidR="002C7BE1" w:rsidRPr="002C7BE1">
        <w:rPr>
          <w:vertAlign w:val="superscript"/>
          <w:lang w:val="es-ES_tradnl"/>
        </w:rPr>
        <w:t>er</w:t>
      </w:r>
      <w:r w:rsidR="009679FD" w:rsidRPr="005E7CB5">
        <w:rPr>
          <w:lang w:val="es-ES_tradnl"/>
        </w:rPr>
        <w:t xml:space="preserve"> período de sesiones, los informes presentados por </w:t>
      </w:r>
      <w:r w:rsidR="002C7BE1">
        <w:rPr>
          <w:lang w:val="es-ES_tradnl"/>
        </w:rPr>
        <w:t xml:space="preserve">Francia </w:t>
      </w:r>
      <w:r w:rsidR="009679FD" w:rsidRPr="005E7CB5">
        <w:rPr>
          <w:lang w:val="es-ES_tradnl"/>
        </w:rPr>
        <w:t xml:space="preserve">y </w:t>
      </w:r>
      <w:r w:rsidR="002C7BE1">
        <w:rPr>
          <w:lang w:val="es-ES_tradnl"/>
        </w:rPr>
        <w:t xml:space="preserve">España </w:t>
      </w:r>
      <w:r w:rsidR="009679FD" w:rsidRPr="005E7CB5">
        <w:rPr>
          <w:lang w:val="es-ES_tradnl"/>
        </w:rPr>
        <w:t xml:space="preserve">en virtud del artículo 29, párrafo </w:t>
      </w:r>
      <w:r w:rsidR="002C7BE1">
        <w:rPr>
          <w:lang w:val="es-ES_tradnl"/>
        </w:rPr>
        <w:t>4</w:t>
      </w:r>
      <w:r w:rsidR="009679FD" w:rsidRPr="005E7CB5">
        <w:rPr>
          <w:lang w:val="es-ES_tradnl"/>
        </w:rPr>
        <w:t>, de la Convención;</w:t>
      </w:r>
    </w:p>
    <w:p w14:paraId="18D196B0" w14:textId="017D847D" w:rsidR="009679FD" w:rsidRPr="005E7CB5" w:rsidRDefault="004E198B" w:rsidP="009679FD">
      <w:pPr>
        <w:pStyle w:val="SingleTxtG"/>
        <w:rPr>
          <w:lang w:val="es-ES_tradnl"/>
        </w:rPr>
      </w:pPr>
      <w:r>
        <w:rPr>
          <w:lang w:val="es-ES_tradnl"/>
        </w:rPr>
        <w:tab/>
      </w:r>
      <w:r w:rsidR="009679FD" w:rsidRPr="005E7CB5">
        <w:rPr>
          <w:lang w:val="es-ES_tradnl"/>
        </w:rPr>
        <w:t>c)</w:t>
      </w:r>
      <w:r w:rsidR="009679FD" w:rsidRPr="005E7CB5">
        <w:rPr>
          <w:lang w:val="es-ES_tradnl"/>
        </w:rPr>
        <w:tab/>
        <w:t>Aprobar, en su 21</w:t>
      </w:r>
      <w:r w:rsidR="009679FD" w:rsidRPr="005E7CB5">
        <w:rPr>
          <w:vertAlign w:val="superscript"/>
          <w:lang w:val="es-ES_tradnl"/>
        </w:rPr>
        <w:t>er</w:t>
      </w:r>
      <w:r w:rsidR="009679FD" w:rsidRPr="005E7CB5">
        <w:rPr>
          <w:lang w:val="es-ES_tradnl"/>
        </w:rPr>
        <w:t xml:space="preserve"> período de sesiones, listas de cuestiones relativas a los informes presentados por Costa Rica, Malí y Mauritania;</w:t>
      </w:r>
    </w:p>
    <w:p w14:paraId="3B8EA259" w14:textId="475067FB" w:rsidR="009679FD" w:rsidRPr="005E7CB5" w:rsidRDefault="004E198B" w:rsidP="009679FD">
      <w:pPr>
        <w:pStyle w:val="SingleTxtG"/>
        <w:rPr>
          <w:lang w:val="es-ES_tradnl"/>
        </w:rPr>
      </w:pPr>
      <w:r>
        <w:rPr>
          <w:lang w:val="es-ES_tradnl"/>
        </w:rPr>
        <w:tab/>
      </w:r>
      <w:r w:rsidR="009679FD" w:rsidRPr="005E7CB5">
        <w:rPr>
          <w:lang w:val="es-ES_tradnl"/>
        </w:rPr>
        <w:t>d)</w:t>
      </w:r>
      <w:r w:rsidR="009679FD" w:rsidRPr="005E7CB5">
        <w:rPr>
          <w:lang w:val="es-ES_tradnl"/>
        </w:rPr>
        <w:tab/>
        <w:t>Aprobar, en su 21</w:t>
      </w:r>
      <w:r w:rsidR="009679FD" w:rsidRPr="005E7CB5">
        <w:rPr>
          <w:vertAlign w:val="superscript"/>
          <w:lang w:val="es-ES_tradnl"/>
        </w:rPr>
        <w:t>er</w:t>
      </w:r>
      <w:r w:rsidR="009679FD" w:rsidRPr="005E7CB5">
        <w:rPr>
          <w:lang w:val="es-ES_tradnl"/>
        </w:rPr>
        <w:t xml:space="preserve"> período de sesiones, un informe sobre el seguimiento de las observaciones finales;</w:t>
      </w:r>
    </w:p>
    <w:p w14:paraId="69F703F3" w14:textId="72B1E757" w:rsidR="009679FD" w:rsidRPr="005E7CB5" w:rsidRDefault="004E198B" w:rsidP="009679FD">
      <w:pPr>
        <w:pStyle w:val="SingleTxtG"/>
        <w:rPr>
          <w:lang w:val="es-ES_tradnl"/>
        </w:rPr>
      </w:pPr>
      <w:r>
        <w:rPr>
          <w:lang w:val="es-ES_tradnl"/>
        </w:rPr>
        <w:tab/>
      </w:r>
      <w:r w:rsidR="009679FD" w:rsidRPr="005E7CB5">
        <w:rPr>
          <w:lang w:val="es-ES_tradnl"/>
        </w:rPr>
        <w:t>e)</w:t>
      </w:r>
      <w:r w:rsidR="009679FD" w:rsidRPr="005E7CB5">
        <w:rPr>
          <w:lang w:val="es-ES_tradnl"/>
        </w:rPr>
        <w:tab/>
        <w:t>Aprobar, en su 21</w:t>
      </w:r>
      <w:r w:rsidR="009679FD" w:rsidRPr="005E7CB5">
        <w:rPr>
          <w:vertAlign w:val="superscript"/>
          <w:lang w:val="es-ES_tradnl"/>
        </w:rPr>
        <w:t>er</w:t>
      </w:r>
      <w:r w:rsidR="009679FD" w:rsidRPr="005E7CB5">
        <w:rPr>
          <w:lang w:val="es-ES_tradnl"/>
        </w:rPr>
        <w:t xml:space="preserve"> período de sesiones, un informe sobre las peticiones de acción urgente;</w:t>
      </w:r>
    </w:p>
    <w:p w14:paraId="445F7664" w14:textId="2E04F423" w:rsidR="009679FD" w:rsidRPr="005E7CB5" w:rsidRDefault="004E198B" w:rsidP="009679FD">
      <w:pPr>
        <w:pStyle w:val="SingleTxtG"/>
        <w:rPr>
          <w:lang w:val="es-ES_tradnl"/>
        </w:rPr>
      </w:pPr>
      <w:r>
        <w:rPr>
          <w:lang w:val="es-ES_tradnl"/>
        </w:rPr>
        <w:tab/>
      </w:r>
      <w:r w:rsidR="009679FD" w:rsidRPr="005E7CB5">
        <w:rPr>
          <w:lang w:val="es-ES_tradnl"/>
        </w:rPr>
        <w:t>f)</w:t>
      </w:r>
      <w:r w:rsidR="009679FD" w:rsidRPr="005E7CB5">
        <w:rPr>
          <w:lang w:val="es-ES_tradnl"/>
        </w:rPr>
        <w:tab/>
        <w:t>Aprobar, en su 21</w:t>
      </w:r>
      <w:r w:rsidR="009679FD" w:rsidRPr="005E7CB5">
        <w:rPr>
          <w:vertAlign w:val="superscript"/>
          <w:lang w:val="es-ES_tradnl"/>
        </w:rPr>
        <w:t xml:space="preserve">er </w:t>
      </w:r>
      <w:r w:rsidR="009679FD" w:rsidRPr="005E7CB5">
        <w:rPr>
          <w:lang w:val="es-ES_tradnl"/>
        </w:rPr>
        <w:t>período de sesiones, un informe de seguimiento sobre comunicaciones individuales;</w:t>
      </w:r>
    </w:p>
    <w:p w14:paraId="1D4DB080" w14:textId="1118D118" w:rsidR="009679FD" w:rsidRPr="005E7CB5" w:rsidRDefault="0002652F" w:rsidP="009679FD">
      <w:pPr>
        <w:pStyle w:val="SingleTxtG"/>
        <w:rPr>
          <w:lang w:val="es-ES_tradnl"/>
        </w:rPr>
      </w:pPr>
      <w:r>
        <w:rPr>
          <w:lang w:val="es-ES_tradnl"/>
        </w:rPr>
        <w:tab/>
      </w:r>
      <w:r w:rsidR="009679FD" w:rsidRPr="005E7CB5">
        <w:rPr>
          <w:lang w:val="es-ES_tradnl"/>
        </w:rPr>
        <w:t>g)</w:t>
      </w:r>
      <w:r w:rsidR="009679FD" w:rsidRPr="005E7CB5">
        <w:rPr>
          <w:lang w:val="es-ES_tradnl"/>
        </w:rPr>
        <w:tab/>
        <w:t>Seguir debatiendo, en su 21</w:t>
      </w:r>
      <w:r w:rsidR="009679FD" w:rsidRPr="005E7CB5">
        <w:rPr>
          <w:vertAlign w:val="superscript"/>
          <w:lang w:val="es-ES_tradnl"/>
        </w:rPr>
        <w:t>er</w:t>
      </w:r>
      <w:r w:rsidR="009679FD" w:rsidRPr="005E7CB5">
        <w:rPr>
          <w:lang w:val="es-ES_tradnl"/>
        </w:rPr>
        <w:t xml:space="preserve"> período de sesiones, sobre sus métodos de trabajo en relación con el examen de la información complementaria presentada por los </w:t>
      </w:r>
      <w:proofErr w:type="gramStart"/>
      <w:r w:rsidR="009679FD" w:rsidRPr="005E7CB5">
        <w:rPr>
          <w:lang w:val="es-ES_tradnl"/>
        </w:rPr>
        <w:t>Estados partes</w:t>
      </w:r>
      <w:proofErr w:type="gramEnd"/>
      <w:r w:rsidR="009679FD" w:rsidRPr="005E7CB5">
        <w:rPr>
          <w:lang w:val="es-ES_tradnl"/>
        </w:rPr>
        <w:t xml:space="preserve"> de conformidad con el artículo 29, párrafo 4, de la Convención, y organizar a tal fin un retiro de un día para los miembros del Comité;</w:t>
      </w:r>
    </w:p>
    <w:p w14:paraId="4878CDA1" w14:textId="001A4EC7" w:rsidR="009679FD" w:rsidRPr="005E7CB5" w:rsidRDefault="0002652F" w:rsidP="009679FD">
      <w:pPr>
        <w:pStyle w:val="SingleTxtG"/>
        <w:rPr>
          <w:lang w:val="es-ES_tradnl"/>
        </w:rPr>
      </w:pPr>
      <w:r>
        <w:rPr>
          <w:lang w:val="es-ES_tradnl"/>
        </w:rPr>
        <w:tab/>
      </w:r>
      <w:r w:rsidR="009679FD" w:rsidRPr="005E7CB5">
        <w:rPr>
          <w:lang w:val="es-ES_tradnl"/>
        </w:rPr>
        <w:t>h)</w:t>
      </w:r>
      <w:r w:rsidR="009679FD" w:rsidRPr="005E7CB5">
        <w:rPr>
          <w:lang w:val="es-ES_tradnl"/>
        </w:rPr>
        <w:tab/>
        <w:t>Emprender, en su 21</w:t>
      </w:r>
      <w:r w:rsidR="009679FD" w:rsidRPr="005E7CB5">
        <w:rPr>
          <w:vertAlign w:val="superscript"/>
          <w:lang w:val="es-ES_tradnl"/>
        </w:rPr>
        <w:t>er</w:t>
      </w:r>
      <w:r w:rsidR="009679FD" w:rsidRPr="005E7CB5">
        <w:rPr>
          <w:lang w:val="es-ES_tradnl"/>
        </w:rPr>
        <w:t xml:space="preserve"> período de sesiones, una revisión de su reglamento, de sus directrices internas sobre el examen de los </w:t>
      </w:r>
      <w:proofErr w:type="gramStart"/>
      <w:r w:rsidR="009679FD" w:rsidRPr="005E7CB5">
        <w:rPr>
          <w:lang w:val="es-ES_tradnl"/>
        </w:rPr>
        <w:t>Estados partes</w:t>
      </w:r>
      <w:proofErr w:type="gramEnd"/>
      <w:r w:rsidR="009679FD" w:rsidRPr="005E7CB5">
        <w:rPr>
          <w:lang w:val="es-ES_tradnl"/>
        </w:rPr>
        <w:t xml:space="preserve"> en ausencia de informe y de sus métodos de trabajo;</w:t>
      </w:r>
    </w:p>
    <w:p w14:paraId="5D757CFE" w14:textId="0C4CDF98" w:rsidR="009679FD" w:rsidRPr="005E7CB5" w:rsidRDefault="0002652F" w:rsidP="009679FD">
      <w:pPr>
        <w:pStyle w:val="SingleTxtG"/>
        <w:rPr>
          <w:lang w:val="es-ES_tradnl"/>
        </w:rPr>
      </w:pPr>
      <w:r>
        <w:rPr>
          <w:lang w:val="es-ES_tradnl"/>
        </w:rPr>
        <w:tab/>
      </w:r>
      <w:r w:rsidR="009679FD" w:rsidRPr="005E7CB5">
        <w:rPr>
          <w:lang w:val="es-ES_tradnl"/>
        </w:rPr>
        <w:t>i)</w:t>
      </w:r>
      <w:r w:rsidR="009679FD" w:rsidRPr="005E7CB5">
        <w:rPr>
          <w:lang w:val="es-ES_tradnl"/>
        </w:rPr>
        <w:tab/>
        <w:t>Proseguir, en su 21</w:t>
      </w:r>
      <w:r w:rsidR="009679FD" w:rsidRPr="005E7CB5">
        <w:rPr>
          <w:vertAlign w:val="superscript"/>
          <w:lang w:val="es-ES_tradnl"/>
        </w:rPr>
        <w:t>er</w:t>
      </w:r>
      <w:r w:rsidR="009679FD" w:rsidRPr="005E7CB5">
        <w:rPr>
          <w:lang w:val="es-ES_tradnl"/>
        </w:rPr>
        <w:t xml:space="preserve"> período de sesiones, su labor sobre la desaparición forzada en el contexto de la migración y en relación con los agentes no estatales;</w:t>
      </w:r>
    </w:p>
    <w:p w14:paraId="7F48FE80" w14:textId="7C2A7FA4" w:rsidR="009679FD" w:rsidRPr="005E7CB5" w:rsidRDefault="0002652F" w:rsidP="009679FD">
      <w:pPr>
        <w:pStyle w:val="SingleTxtG"/>
        <w:rPr>
          <w:lang w:val="es-ES_tradnl"/>
        </w:rPr>
      </w:pPr>
      <w:r>
        <w:rPr>
          <w:lang w:val="es-ES_tradnl"/>
        </w:rPr>
        <w:tab/>
      </w:r>
      <w:r w:rsidR="009679FD" w:rsidRPr="005E7CB5">
        <w:rPr>
          <w:lang w:val="es-ES_tradnl"/>
        </w:rPr>
        <w:t>j)</w:t>
      </w:r>
      <w:r w:rsidR="009679FD" w:rsidRPr="005E7CB5">
        <w:rPr>
          <w:lang w:val="es-ES_tradnl"/>
        </w:rPr>
        <w:tab/>
        <w:t>Proseguir, en su 21</w:t>
      </w:r>
      <w:r w:rsidR="009679FD" w:rsidRPr="005E7CB5">
        <w:rPr>
          <w:vertAlign w:val="superscript"/>
          <w:lang w:val="es-ES_tradnl"/>
        </w:rPr>
        <w:t>er</w:t>
      </w:r>
      <w:r w:rsidR="009679FD" w:rsidRPr="005E7CB5">
        <w:rPr>
          <w:lang w:val="es-ES_tradnl"/>
        </w:rPr>
        <w:t xml:space="preserve"> período de sesiones, su labor de promoción de la ratificación universal de la Convención, incluido el seguimiento de las medidas recomendadas durante un seminario web impartido el 3 de marzo de 2021.</w:t>
      </w:r>
    </w:p>
    <w:p w14:paraId="2E5879B9" w14:textId="77777777" w:rsidR="009679FD" w:rsidRPr="005E7CB5" w:rsidRDefault="009679FD" w:rsidP="0002652F">
      <w:pPr>
        <w:pStyle w:val="H1G"/>
        <w:rPr>
          <w:lang w:val="es-ES_tradnl"/>
        </w:rPr>
      </w:pPr>
      <w:bookmarkStart w:id="45" w:name="_Toc326162644"/>
      <w:bookmarkStart w:id="46" w:name="_Toc326220759"/>
      <w:bookmarkEnd w:id="42"/>
      <w:bookmarkEnd w:id="43"/>
      <w:r w:rsidRPr="005E7CB5">
        <w:rPr>
          <w:lang w:val="es-ES_tradnl"/>
        </w:rPr>
        <w:tab/>
        <w:t>E.</w:t>
      </w:r>
      <w:r w:rsidRPr="005E7CB5">
        <w:rPr>
          <w:lang w:val="es-ES_tradnl"/>
        </w:rPr>
        <w:tab/>
        <w:t>Aprobación del informe anual</w:t>
      </w:r>
      <w:bookmarkStart w:id="47" w:name="_Toc460489533"/>
      <w:bookmarkStart w:id="48" w:name="_Toc522200458"/>
      <w:bookmarkStart w:id="49" w:name="_Toc43905469"/>
      <w:bookmarkStart w:id="50" w:name="_Toc43906550"/>
      <w:bookmarkStart w:id="51" w:name="_Toc43996421"/>
      <w:bookmarkStart w:id="52" w:name="_Toc75349903"/>
      <w:bookmarkEnd w:id="45"/>
      <w:bookmarkEnd w:id="46"/>
      <w:bookmarkEnd w:id="47"/>
      <w:bookmarkEnd w:id="48"/>
      <w:bookmarkEnd w:id="49"/>
      <w:bookmarkEnd w:id="50"/>
      <w:bookmarkEnd w:id="51"/>
      <w:bookmarkEnd w:id="52"/>
    </w:p>
    <w:p w14:paraId="1342868D" w14:textId="77777777" w:rsidR="009679FD" w:rsidRPr="005E7CB5" w:rsidRDefault="009679FD" w:rsidP="009679FD">
      <w:pPr>
        <w:pStyle w:val="SingleTxtG"/>
        <w:rPr>
          <w:lang w:val="es-ES_tradnl"/>
        </w:rPr>
      </w:pPr>
      <w:r w:rsidRPr="005E7CB5">
        <w:rPr>
          <w:lang w:val="es-ES_tradnl"/>
        </w:rPr>
        <w:t>14.</w:t>
      </w:r>
      <w:r w:rsidRPr="005E7CB5">
        <w:rPr>
          <w:lang w:val="es-ES_tradnl"/>
        </w:rPr>
        <w:tab/>
        <w:t xml:space="preserve">Al final de su 20º período de sesiones, el Comité aprobó su décimo informe a la Asamblea General, sobre sus períodos de sesiones 19º y 20º, en cumplimiento de lo dispuesto en el artículo 36, párrafo 1, de la Convención. Antes de su aprobación, el relator del Comité distribuyó el proyecto de informe a los miembros del Comité, quienes dispusieron de una semana para presentar observaciones y sugerencias por escrito. Todas las aportaciones realizadas se incluyeron en el proyecto de informe. </w:t>
      </w:r>
    </w:p>
    <w:p w14:paraId="32F5F47C" w14:textId="77777777" w:rsidR="009679FD" w:rsidRPr="005E7CB5" w:rsidRDefault="009679FD" w:rsidP="009679FD">
      <w:pPr>
        <w:pStyle w:val="SingleTxtG"/>
        <w:rPr>
          <w:b/>
          <w:lang w:val="es-ES_tradnl"/>
        </w:rPr>
      </w:pPr>
      <w:r w:rsidRPr="005E7CB5">
        <w:rPr>
          <w:lang w:val="es-ES_tradnl"/>
        </w:rPr>
        <w:br w:type="page"/>
      </w:r>
    </w:p>
    <w:p w14:paraId="415440FC" w14:textId="65C522C3" w:rsidR="009679FD" w:rsidRPr="005E7CB5" w:rsidRDefault="00A17383" w:rsidP="00A17383">
      <w:pPr>
        <w:pStyle w:val="HChG"/>
        <w:rPr>
          <w:lang w:val="es-ES_tradnl"/>
        </w:rPr>
      </w:pPr>
      <w:r>
        <w:rPr>
          <w:lang w:val="es-ES_tradnl"/>
        </w:rPr>
        <w:lastRenderedPageBreak/>
        <w:tab/>
      </w:r>
      <w:r>
        <w:rPr>
          <w:lang w:val="es-ES_tradnl"/>
        </w:rPr>
        <w:tab/>
      </w:r>
      <w:r w:rsidR="009679FD" w:rsidRPr="005E7CB5">
        <w:rPr>
          <w:lang w:val="es-ES_tradnl"/>
        </w:rPr>
        <w:t>Capítulo II</w:t>
      </w:r>
      <w:r>
        <w:rPr>
          <w:lang w:val="es-ES_tradnl"/>
        </w:rPr>
        <w:br/>
      </w:r>
      <w:r w:rsidR="009679FD">
        <w:rPr>
          <w:lang w:val="es-ES_tradnl"/>
        </w:rPr>
        <w:tab/>
      </w:r>
      <w:r w:rsidR="009679FD" w:rsidRPr="005E7CB5">
        <w:rPr>
          <w:lang w:val="es-ES_tradnl"/>
        </w:rPr>
        <w:t>Métodos de trabajo</w:t>
      </w:r>
      <w:bookmarkStart w:id="53" w:name="_Toc326162645"/>
      <w:bookmarkStart w:id="54" w:name="_Toc326220760"/>
      <w:bookmarkStart w:id="55" w:name="_Toc460489535"/>
      <w:bookmarkStart w:id="56" w:name="_Toc522200459"/>
      <w:bookmarkStart w:id="57" w:name="_Toc43905470"/>
      <w:bookmarkStart w:id="58" w:name="_Toc43906551"/>
      <w:bookmarkStart w:id="59" w:name="_Toc43996422"/>
      <w:bookmarkStart w:id="60" w:name="_Toc75349904"/>
      <w:bookmarkEnd w:id="53"/>
      <w:bookmarkEnd w:id="54"/>
      <w:bookmarkEnd w:id="55"/>
      <w:bookmarkEnd w:id="56"/>
      <w:bookmarkEnd w:id="57"/>
      <w:bookmarkEnd w:id="58"/>
      <w:bookmarkEnd w:id="59"/>
      <w:bookmarkEnd w:id="60"/>
    </w:p>
    <w:p w14:paraId="584DE7E0" w14:textId="77777777" w:rsidR="009679FD" w:rsidRPr="005E7CB5" w:rsidRDefault="009679FD" w:rsidP="009679FD">
      <w:pPr>
        <w:pStyle w:val="SingleTxtG"/>
        <w:rPr>
          <w:lang w:val="es-ES_tradnl"/>
        </w:rPr>
      </w:pPr>
      <w:r w:rsidRPr="005E7CB5">
        <w:rPr>
          <w:lang w:val="es-ES_tradnl"/>
        </w:rPr>
        <w:t>15.</w:t>
      </w:r>
      <w:r w:rsidRPr="005E7CB5">
        <w:rPr>
          <w:lang w:val="es-ES_tradnl"/>
        </w:rPr>
        <w:tab/>
        <w:t>Durante su 19º período de sesiones, el Comité utilizó el español, el francés y el inglés como lenguas de trabajo, y el árabe durante su diálogo con el Iraq y en sus reuniones con representantes de la sociedad civil y la institución nacional de derechos humanos del Iraq. En su 20º período de sesiones, los idiomas de trabajo utilizados por el Comité fueron el español, el francés y el inglés.</w:t>
      </w:r>
    </w:p>
    <w:p w14:paraId="3FC55E88" w14:textId="77777777" w:rsidR="009679FD" w:rsidRPr="005E7CB5" w:rsidRDefault="009679FD" w:rsidP="009679FD">
      <w:pPr>
        <w:pStyle w:val="SingleTxtG"/>
        <w:rPr>
          <w:lang w:val="es-ES_tradnl"/>
        </w:rPr>
      </w:pPr>
      <w:r w:rsidRPr="005E7CB5">
        <w:rPr>
          <w:lang w:val="es-ES_tradnl"/>
        </w:rPr>
        <w:t>16.</w:t>
      </w:r>
      <w:r w:rsidRPr="005E7CB5">
        <w:rPr>
          <w:lang w:val="es-ES_tradnl"/>
        </w:rPr>
        <w:tab/>
        <w:t>En su 19º período de sesiones, el Comité decidió adoptar los siguientes documentos:</w:t>
      </w:r>
    </w:p>
    <w:p w14:paraId="11C85F4D" w14:textId="514BA18E" w:rsidR="009679FD" w:rsidRPr="005E7CB5" w:rsidRDefault="00A17383" w:rsidP="009679FD">
      <w:pPr>
        <w:pStyle w:val="SingleTxtG"/>
        <w:rPr>
          <w:lang w:val="es-ES_tradnl"/>
        </w:rPr>
      </w:pPr>
      <w:r>
        <w:rPr>
          <w:lang w:val="es-ES_tradnl"/>
        </w:rPr>
        <w:tab/>
      </w:r>
      <w:r w:rsidR="009679FD" w:rsidRPr="005E7CB5">
        <w:rPr>
          <w:lang w:val="es-ES_tradnl"/>
        </w:rPr>
        <w:t>a)</w:t>
      </w:r>
      <w:r w:rsidR="009679FD" w:rsidRPr="005E7CB5">
        <w:rPr>
          <w:lang w:val="es-ES_tradnl"/>
        </w:rPr>
        <w:tab/>
        <w:t xml:space="preserve">Los requisitos de los períodos de sesiones en línea en cuanto a metodología, recursos técnicos y posible programa; </w:t>
      </w:r>
    </w:p>
    <w:p w14:paraId="4EFCC2EC" w14:textId="5D81AB50" w:rsidR="009679FD" w:rsidRPr="005E7CB5" w:rsidRDefault="00A17383" w:rsidP="009679FD">
      <w:pPr>
        <w:pStyle w:val="SingleTxtG"/>
        <w:rPr>
          <w:lang w:val="es-ES_tradnl"/>
        </w:rPr>
      </w:pPr>
      <w:r>
        <w:rPr>
          <w:lang w:val="es-ES_tradnl"/>
        </w:rPr>
        <w:tab/>
      </w:r>
      <w:r w:rsidR="009679FD" w:rsidRPr="005E7CB5">
        <w:rPr>
          <w:lang w:val="es-ES_tradnl"/>
        </w:rPr>
        <w:t>b)</w:t>
      </w:r>
      <w:r w:rsidR="009679FD" w:rsidRPr="005E7CB5">
        <w:rPr>
          <w:lang w:val="es-ES_tradnl"/>
        </w:rPr>
        <w:tab/>
        <w:t>Métodos de trabajo en relación con el artículo 29, párrafo 4, de la Convención;</w:t>
      </w:r>
    </w:p>
    <w:p w14:paraId="51CEA92E" w14:textId="5295F706" w:rsidR="009679FD" w:rsidRPr="005E7CB5" w:rsidRDefault="00A17383" w:rsidP="009679FD">
      <w:pPr>
        <w:pStyle w:val="SingleTxtG"/>
        <w:rPr>
          <w:lang w:val="es-ES_tradnl"/>
        </w:rPr>
      </w:pPr>
      <w:r>
        <w:rPr>
          <w:lang w:val="es-ES_tradnl"/>
        </w:rPr>
        <w:tab/>
      </w:r>
      <w:r w:rsidR="009679FD" w:rsidRPr="005E7CB5">
        <w:rPr>
          <w:lang w:val="es-ES_tradnl"/>
        </w:rPr>
        <w:t>c)</w:t>
      </w:r>
      <w:r w:rsidR="009679FD" w:rsidRPr="005E7CB5">
        <w:rPr>
          <w:lang w:val="es-ES_tradnl"/>
        </w:rPr>
        <w:tab/>
        <w:t>Estrategia para aumentar las ratificaciones de la Convención;</w:t>
      </w:r>
    </w:p>
    <w:p w14:paraId="003D3490" w14:textId="5E328EA6" w:rsidR="009679FD" w:rsidRPr="005E7CB5" w:rsidRDefault="00A17383" w:rsidP="009679FD">
      <w:pPr>
        <w:pStyle w:val="SingleTxtG"/>
        <w:rPr>
          <w:lang w:val="es-ES_tradnl"/>
        </w:rPr>
      </w:pPr>
      <w:r>
        <w:rPr>
          <w:lang w:val="es-ES_tradnl"/>
        </w:rPr>
        <w:tab/>
      </w:r>
      <w:r w:rsidR="009679FD" w:rsidRPr="005E7CB5">
        <w:rPr>
          <w:lang w:val="es-ES_tradnl"/>
        </w:rPr>
        <w:t>d)</w:t>
      </w:r>
      <w:r w:rsidR="009679FD" w:rsidRPr="005E7CB5">
        <w:rPr>
          <w:lang w:val="es-ES_tradnl"/>
        </w:rPr>
        <w:tab/>
        <w:t>Recursos asignados al Comité;</w:t>
      </w:r>
    </w:p>
    <w:p w14:paraId="47162C8A" w14:textId="54975E9B" w:rsidR="009679FD" w:rsidRPr="005E7CB5" w:rsidRDefault="00A17383" w:rsidP="009679FD">
      <w:pPr>
        <w:pStyle w:val="SingleTxtG"/>
        <w:rPr>
          <w:lang w:val="es-ES_tradnl"/>
        </w:rPr>
      </w:pPr>
      <w:r>
        <w:rPr>
          <w:lang w:val="es-ES_tradnl"/>
        </w:rPr>
        <w:tab/>
      </w:r>
      <w:r w:rsidR="009679FD" w:rsidRPr="005E7CB5">
        <w:rPr>
          <w:lang w:val="es-ES_tradnl"/>
        </w:rPr>
        <w:t>e)</w:t>
      </w:r>
      <w:r w:rsidR="009679FD" w:rsidRPr="005E7CB5">
        <w:rPr>
          <w:lang w:val="es-ES_tradnl"/>
        </w:rPr>
        <w:tab/>
        <w:t>Estrategias en relación con la desaparición forzada en el contexto de la migración;</w:t>
      </w:r>
    </w:p>
    <w:p w14:paraId="38B774C3" w14:textId="4E153427" w:rsidR="009679FD" w:rsidRPr="005E7CB5" w:rsidRDefault="00A17383" w:rsidP="009679FD">
      <w:pPr>
        <w:pStyle w:val="SingleTxtG"/>
        <w:rPr>
          <w:lang w:val="es-ES_tradnl"/>
        </w:rPr>
      </w:pPr>
      <w:r>
        <w:rPr>
          <w:lang w:val="es-ES_tradnl"/>
        </w:rPr>
        <w:tab/>
      </w:r>
      <w:r w:rsidR="009679FD" w:rsidRPr="005E7CB5">
        <w:rPr>
          <w:lang w:val="es-ES_tradnl"/>
        </w:rPr>
        <w:t>f)</w:t>
      </w:r>
      <w:r w:rsidR="009679FD" w:rsidRPr="005E7CB5">
        <w:rPr>
          <w:lang w:val="es-ES_tradnl"/>
        </w:rPr>
        <w:tab/>
        <w:t>La necesidad de mejorar la interacción del Comité con los mecanismos regionales de derechos humanos, los procedimientos especiales del Consejo de Derechos Humanos y el Comité Internacional de la Cruz Roja (CICR), y el camino a seguir a este respecto;</w:t>
      </w:r>
    </w:p>
    <w:p w14:paraId="710741C4" w14:textId="1E7E9FD3" w:rsidR="009679FD" w:rsidRPr="005E7CB5" w:rsidRDefault="00A17383" w:rsidP="009679FD">
      <w:pPr>
        <w:pStyle w:val="SingleTxtG"/>
        <w:rPr>
          <w:lang w:val="es-ES_tradnl"/>
        </w:rPr>
      </w:pPr>
      <w:r>
        <w:rPr>
          <w:lang w:val="es-ES_tradnl"/>
        </w:rPr>
        <w:tab/>
      </w:r>
      <w:r w:rsidR="009679FD" w:rsidRPr="005E7CB5">
        <w:rPr>
          <w:lang w:val="es-ES_tradnl"/>
        </w:rPr>
        <w:t>g)</w:t>
      </w:r>
      <w:r w:rsidR="009679FD" w:rsidRPr="005E7CB5">
        <w:rPr>
          <w:lang w:val="es-ES_tradnl"/>
        </w:rPr>
        <w:tab/>
        <w:t>Otros asuntos.</w:t>
      </w:r>
    </w:p>
    <w:p w14:paraId="3E72EFBE" w14:textId="77777777" w:rsidR="009679FD" w:rsidRPr="005E7CB5" w:rsidRDefault="009679FD" w:rsidP="009679FD">
      <w:pPr>
        <w:pStyle w:val="SingleTxtG"/>
        <w:rPr>
          <w:lang w:val="es-ES_tradnl"/>
        </w:rPr>
      </w:pPr>
      <w:r w:rsidRPr="005E7CB5">
        <w:rPr>
          <w:lang w:val="es-ES_tradnl"/>
        </w:rPr>
        <w:t>17.</w:t>
      </w:r>
      <w:r w:rsidRPr="005E7CB5">
        <w:rPr>
          <w:lang w:val="es-ES_tradnl"/>
        </w:rPr>
        <w:tab/>
        <w:t xml:space="preserve">En su 20º período de sesiones, el Comité examinó las siguientes cuestiones: </w:t>
      </w:r>
    </w:p>
    <w:p w14:paraId="5A642975" w14:textId="7AC62B74" w:rsidR="009679FD" w:rsidRPr="005E7CB5" w:rsidRDefault="00A17383" w:rsidP="009679FD">
      <w:pPr>
        <w:pStyle w:val="SingleTxtG"/>
        <w:rPr>
          <w:lang w:val="es-ES_tradnl"/>
        </w:rPr>
      </w:pPr>
      <w:r>
        <w:rPr>
          <w:lang w:val="es-ES_tradnl"/>
        </w:rPr>
        <w:tab/>
      </w:r>
      <w:r w:rsidR="009679FD" w:rsidRPr="005E7CB5">
        <w:rPr>
          <w:lang w:val="es-ES_tradnl"/>
        </w:rPr>
        <w:t>a)</w:t>
      </w:r>
      <w:r w:rsidR="009679FD" w:rsidRPr="005E7CB5">
        <w:rPr>
          <w:lang w:val="es-ES_tradnl"/>
        </w:rPr>
        <w:tab/>
        <w:t>Actividades de los miembros del Comité desde el 19º período de sesiones;</w:t>
      </w:r>
    </w:p>
    <w:p w14:paraId="4F975AC0" w14:textId="1F7DFE20" w:rsidR="009679FD" w:rsidRPr="005E7CB5" w:rsidRDefault="00A17383" w:rsidP="009679FD">
      <w:pPr>
        <w:pStyle w:val="SingleTxtG"/>
        <w:rPr>
          <w:lang w:val="es-ES_tradnl"/>
        </w:rPr>
      </w:pPr>
      <w:r>
        <w:rPr>
          <w:lang w:val="es-ES_tradnl"/>
        </w:rPr>
        <w:tab/>
      </w:r>
      <w:r w:rsidR="009679FD" w:rsidRPr="005E7CB5">
        <w:rPr>
          <w:lang w:val="es-ES_tradnl"/>
        </w:rPr>
        <w:t>b)</w:t>
      </w:r>
      <w:r w:rsidR="009679FD" w:rsidRPr="005E7CB5">
        <w:rPr>
          <w:lang w:val="es-ES_tradnl"/>
        </w:rPr>
        <w:tab/>
        <w:t>Desaparición forzada en el contexto de la migración;</w:t>
      </w:r>
    </w:p>
    <w:p w14:paraId="7C814B24" w14:textId="3F8AC434" w:rsidR="009679FD" w:rsidRPr="005E7CB5" w:rsidRDefault="00A17383" w:rsidP="009679FD">
      <w:pPr>
        <w:pStyle w:val="SingleTxtG"/>
        <w:rPr>
          <w:lang w:val="es-ES_tradnl"/>
        </w:rPr>
      </w:pPr>
      <w:r>
        <w:rPr>
          <w:lang w:val="es-ES_tradnl"/>
        </w:rPr>
        <w:tab/>
      </w:r>
      <w:r w:rsidR="009679FD" w:rsidRPr="005E7CB5">
        <w:rPr>
          <w:lang w:val="es-ES_tradnl"/>
        </w:rPr>
        <w:t>c)</w:t>
      </w:r>
      <w:r w:rsidR="009679FD" w:rsidRPr="005E7CB5">
        <w:rPr>
          <w:lang w:val="es-ES_tradnl"/>
        </w:rPr>
        <w:tab/>
        <w:t>Agentes no estatales;</w:t>
      </w:r>
    </w:p>
    <w:p w14:paraId="072CAAA7" w14:textId="4995C9AB" w:rsidR="009679FD" w:rsidRPr="005E7CB5" w:rsidRDefault="00A17383" w:rsidP="009679FD">
      <w:pPr>
        <w:pStyle w:val="SingleTxtG"/>
        <w:rPr>
          <w:lang w:val="es-ES_tradnl"/>
        </w:rPr>
      </w:pPr>
      <w:r>
        <w:rPr>
          <w:lang w:val="es-ES_tradnl"/>
        </w:rPr>
        <w:tab/>
      </w:r>
      <w:r w:rsidR="009679FD" w:rsidRPr="005E7CB5">
        <w:rPr>
          <w:lang w:val="es-ES_tradnl"/>
        </w:rPr>
        <w:t>d)</w:t>
      </w:r>
      <w:r w:rsidR="009679FD" w:rsidRPr="005E7CB5">
        <w:rPr>
          <w:lang w:val="es-ES_tradnl"/>
        </w:rPr>
        <w:tab/>
        <w:t>Información actualizada y próximos pasos con respecto a las publicaciones y los documentos del Comité, incluida una publicación para el décimo aniversario de la entrada en vigor de la Convención y un manual del ACNUDH sobre el Comité;</w:t>
      </w:r>
    </w:p>
    <w:p w14:paraId="579B84D6" w14:textId="1266899A" w:rsidR="009679FD" w:rsidRPr="005E7CB5" w:rsidRDefault="00A17383" w:rsidP="009679FD">
      <w:pPr>
        <w:pStyle w:val="SingleTxtG"/>
        <w:rPr>
          <w:lang w:val="es-ES_tradnl"/>
        </w:rPr>
      </w:pPr>
      <w:r>
        <w:rPr>
          <w:lang w:val="es-ES_tradnl"/>
        </w:rPr>
        <w:tab/>
      </w:r>
      <w:r w:rsidR="009679FD" w:rsidRPr="005E7CB5">
        <w:rPr>
          <w:lang w:val="es-ES_tradnl"/>
        </w:rPr>
        <w:t>e)</w:t>
      </w:r>
      <w:r w:rsidR="009679FD" w:rsidRPr="005E7CB5">
        <w:rPr>
          <w:lang w:val="es-ES_tradnl"/>
        </w:rPr>
        <w:tab/>
        <w:t>Coordinación del examen llevado a cabo por el Comité del proyecto de principios rectores del CICR para la gestión digna de las defunciones en las emergencias humanitarias y del proyecto de directrices sobre los mecanismos de coordinación e intercambio de información en el marco de la búsqueda de migrantes desaparecidos;</w:t>
      </w:r>
    </w:p>
    <w:p w14:paraId="0443DA1E" w14:textId="02B9A2AE" w:rsidR="009679FD" w:rsidRPr="005E7CB5" w:rsidRDefault="00A17383" w:rsidP="009679FD">
      <w:pPr>
        <w:pStyle w:val="SingleTxtG"/>
        <w:rPr>
          <w:lang w:val="es-ES_tradnl"/>
        </w:rPr>
      </w:pPr>
      <w:r>
        <w:rPr>
          <w:lang w:val="es-ES_tradnl"/>
        </w:rPr>
        <w:tab/>
      </w:r>
      <w:r w:rsidR="009679FD" w:rsidRPr="005E7CB5">
        <w:rPr>
          <w:lang w:val="es-ES_tradnl"/>
        </w:rPr>
        <w:t>f)</w:t>
      </w:r>
      <w:r w:rsidR="009679FD" w:rsidRPr="005E7CB5">
        <w:rPr>
          <w:lang w:val="es-ES_tradnl"/>
        </w:rPr>
        <w:tab/>
        <w:t>Informe anual a la Asamblea General;</w:t>
      </w:r>
    </w:p>
    <w:p w14:paraId="3A13523E" w14:textId="26A29680" w:rsidR="009679FD" w:rsidRPr="005E7CB5" w:rsidRDefault="00A17383" w:rsidP="009679FD">
      <w:pPr>
        <w:pStyle w:val="SingleTxtG"/>
        <w:rPr>
          <w:lang w:val="es-ES_tradnl"/>
        </w:rPr>
      </w:pPr>
      <w:r>
        <w:rPr>
          <w:lang w:val="es-ES_tradnl"/>
        </w:rPr>
        <w:tab/>
      </w:r>
      <w:r w:rsidR="009679FD" w:rsidRPr="005E7CB5">
        <w:rPr>
          <w:lang w:val="es-ES_tradnl"/>
        </w:rPr>
        <w:t>g)</w:t>
      </w:r>
      <w:r w:rsidR="009679FD" w:rsidRPr="005E7CB5">
        <w:rPr>
          <w:lang w:val="es-ES_tradnl"/>
        </w:rPr>
        <w:tab/>
        <w:t>Estrategia para aumentar las ratificaciones de la Convención;</w:t>
      </w:r>
    </w:p>
    <w:p w14:paraId="1246E7D9" w14:textId="46746333" w:rsidR="009679FD" w:rsidRPr="005E7CB5" w:rsidRDefault="00A17383" w:rsidP="009679FD">
      <w:pPr>
        <w:pStyle w:val="SingleTxtG"/>
        <w:rPr>
          <w:lang w:val="es-ES_tradnl"/>
        </w:rPr>
      </w:pPr>
      <w:r>
        <w:rPr>
          <w:lang w:val="es-ES_tradnl"/>
        </w:rPr>
        <w:tab/>
      </w:r>
      <w:r w:rsidR="009679FD" w:rsidRPr="005E7CB5">
        <w:rPr>
          <w:lang w:val="es-ES_tradnl"/>
        </w:rPr>
        <w:t>h)</w:t>
      </w:r>
      <w:r w:rsidR="009679FD" w:rsidRPr="005E7CB5">
        <w:rPr>
          <w:lang w:val="es-ES_tradnl"/>
        </w:rPr>
        <w:tab/>
        <w:t>Designación de grupos de trabajo para perfeccionar el procedimiento relativo a los Estados que no presentan informes y para revisar el reglamento del Comité;</w:t>
      </w:r>
    </w:p>
    <w:p w14:paraId="453922B5" w14:textId="7A0E7CEE" w:rsidR="009679FD" w:rsidRPr="005E7CB5" w:rsidRDefault="00A17383" w:rsidP="009679FD">
      <w:pPr>
        <w:pStyle w:val="SingleTxtG"/>
        <w:rPr>
          <w:lang w:val="es-ES_tradnl"/>
        </w:rPr>
      </w:pPr>
      <w:r>
        <w:rPr>
          <w:lang w:val="es-ES_tradnl"/>
        </w:rPr>
        <w:tab/>
      </w:r>
      <w:r w:rsidR="009679FD" w:rsidRPr="005E7CB5">
        <w:rPr>
          <w:lang w:val="es-ES_tradnl"/>
        </w:rPr>
        <w:t>i)</w:t>
      </w:r>
      <w:r w:rsidR="009679FD" w:rsidRPr="005E7CB5">
        <w:rPr>
          <w:lang w:val="es-ES_tradnl"/>
        </w:rPr>
        <w:tab/>
        <w:t>Coordinación de actividades conjuntas con el Grupo de Trabajo sobre las Desapariciones Forzadas o Involuntarias;</w:t>
      </w:r>
    </w:p>
    <w:p w14:paraId="3BF56068" w14:textId="18DBBBC3" w:rsidR="009679FD" w:rsidRPr="005E7CB5" w:rsidRDefault="00A17383" w:rsidP="009679FD">
      <w:pPr>
        <w:pStyle w:val="SingleTxtG"/>
        <w:rPr>
          <w:lang w:val="es-ES_tradnl"/>
        </w:rPr>
      </w:pPr>
      <w:r>
        <w:rPr>
          <w:lang w:val="es-ES_tradnl"/>
        </w:rPr>
        <w:tab/>
      </w:r>
      <w:r w:rsidR="009679FD" w:rsidRPr="005E7CB5">
        <w:rPr>
          <w:lang w:val="es-ES_tradnl"/>
        </w:rPr>
        <w:t>j)</w:t>
      </w:r>
      <w:r w:rsidR="009679FD" w:rsidRPr="005E7CB5">
        <w:rPr>
          <w:lang w:val="es-ES_tradnl"/>
        </w:rPr>
        <w:tab/>
        <w:t>Nombramiento de relatores temáticos encargados de todas las cuestiones seleccionadas para su inclusión en el programa provisional del 21</w:t>
      </w:r>
      <w:r w:rsidR="009679FD" w:rsidRPr="005E7CB5">
        <w:rPr>
          <w:vertAlign w:val="superscript"/>
          <w:lang w:val="es-ES_tradnl"/>
        </w:rPr>
        <w:t>er</w:t>
      </w:r>
      <w:r w:rsidR="009679FD" w:rsidRPr="005E7CB5">
        <w:rPr>
          <w:lang w:val="es-ES_tradnl"/>
        </w:rPr>
        <w:t xml:space="preserve"> período de sesiones;</w:t>
      </w:r>
    </w:p>
    <w:p w14:paraId="4F8049C6" w14:textId="40BEE0B6" w:rsidR="009679FD" w:rsidRPr="005E7CB5" w:rsidRDefault="00A17383" w:rsidP="009679FD">
      <w:pPr>
        <w:pStyle w:val="SingleTxtG"/>
        <w:rPr>
          <w:lang w:val="es-ES_tradnl"/>
        </w:rPr>
      </w:pPr>
      <w:r>
        <w:rPr>
          <w:lang w:val="es-ES_tradnl"/>
        </w:rPr>
        <w:tab/>
      </w:r>
      <w:r w:rsidR="009679FD" w:rsidRPr="005E7CB5">
        <w:rPr>
          <w:lang w:val="es-ES_tradnl"/>
        </w:rPr>
        <w:t>k)</w:t>
      </w:r>
      <w:r w:rsidR="009679FD" w:rsidRPr="005E7CB5">
        <w:rPr>
          <w:lang w:val="es-ES_tradnl"/>
        </w:rPr>
        <w:tab/>
        <w:t>Visitas a México y el Iraq en virtud del artículo 33 de la Convención;</w:t>
      </w:r>
    </w:p>
    <w:p w14:paraId="079B2286" w14:textId="75BF7AC9" w:rsidR="009679FD" w:rsidRPr="005E7CB5" w:rsidRDefault="00A17383" w:rsidP="009679FD">
      <w:pPr>
        <w:pStyle w:val="SingleTxtG"/>
        <w:rPr>
          <w:lang w:val="es-ES_tradnl"/>
        </w:rPr>
      </w:pPr>
      <w:r>
        <w:rPr>
          <w:lang w:val="es-ES_tradnl"/>
        </w:rPr>
        <w:tab/>
      </w:r>
      <w:r w:rsidR="009679FD" w:rsidRPr="005E7CB5">
        <w:rPr>
          <w:lang w:val="es-ES_tradnl"/>
        </w:rPr>
        <w:t>l)</w:t>
      </w:r>
      <w:r w:rsidR="009679FD" w:rsidRPr="005E7CB5">
        <w:rPr>
          <w:lang w:val="es-ES_tradnl"/>
        </w:rPr>
        <w:tab/>
        <w:t>Otros asuntos.</w:t>
      </w:r>
    </w:p>
    <w:p w14:paraId="6588303D" w14:textId="77777777" w:rsidR="009679FD" w:rsidRPr="005E7CB5" w:rsidRDefault="009679FD" w:rsidP="009679FD">
      <w:pPr>
        <w:pStyle w:val="SingleTxtG"/>
        <w:rPr>
          <w:lang w:val="es-ES_tradnl"/>
        </w:rPr>
      </w:pPr>
      <w:r w:rsidRPr="005E7CB5">
        <w:rPr>
          <w:lang w:val="es-ES_tradnl"/>
        </w:rPr>
        <w:br w:type="page"/>
      </w:r>
    </w:p>
    <w:p w14:paraId="4E7CA9B9" w14:textId="06ED1D97" w:rsidR="009679FD" w:rsidRPr="005E7CB5" w:rsidRDefault="00A17383" w:rsidP="00A17383">
      <w:pPr>
        <w:pStyle w:val="HChG"/>
        <w:rPr>
          <w:lang w:val="es-ES_tradnl"/>
        </w:rPr>
      </w:pPr>
      <w:r>
        <w:rPr>
          <w:lang w:val="es-ES_tradnl"/>
        </w:rPr>
        <w:lastRenderedPageBreak/>
        <w:tab/>
      </w:r>
      <w:r w:rsidR="009679FD">
        <w:rPr>
          <w:lang w:val="es-ES_tradnl"/>
        </w:rPr>
        <w:tab/>
      </w:r>
      <w:r w:rsidR="009679FD" w:rsidRPr="005E7CB5">
        <w:rPr>
          <w:lang w:val="es-ES_tradnl"/>
        </w:rPr>
        <w:t>Capítulo II</w:t>
      </w:r>
      <w:r w:rsidR="00546A02">
        <w:rPr>
          <w:lang w:val="es-ES_tradnl"/>
        </w:rPr>
        <w:t>I</w:t>
      </w:r>
      <w:r>
        <w:rPr>
          <w:lang w:val="es-ES_tradnl"/>
        </w:rPr>
        <w:br/>
      </w:r>
      <w:r w:rsidR="009679FD">
        <w:rPr>
          <w:lang w:val="es-ES_tradnl"/>
        </w:rPr>
        <w:tab/>
      </w:r>
      <w:r w:rsidR="009679FD" w:rsidRPr="005E7CB5">
        <w:rPr>
          <w:lang w:val="es-ES_tradnl"/>
        </w:rPr>
        <w:t>Relaciones con las partes interesadas</w:t>
      </w:r>
      <w:bookmarkStart w:id="61" w:name="_Toc460489537"/>
      <w:bookmarkStart w:id="62" w:name="_Toc522200460"/>
      <w:bookmarkStart w:id="63" w:name="_Toc43905471"/>
      <w:bookmarkStart w:id="64" w:name="_Toc43906552"/>
      <w:bookmarkStart w:id="65" w:name="_Toc43996423"/>
      <w:bookmarkStart w:id="66" w:name="_Toc75349905"/>
      <w:bookmarkEnd w:id="61"/>
      <w:bookmarkEnd w:id="62"/>
      <w:bookmarkEnd w:id="63"/>
      <w:bookmarkEnd w:id="64"/>
      <w:bookmarkEnd w:id="65"/>
      <w:bookmarkEnd w:id="66"/>
    </w:p>
    <w:p w14:paraId="1F880C81" w14:textId="77777777" w:rsidR="009679FD" w:rsidRPr="005E7CB5" w:rsidRDefault="009679FD" w:rsidP="00A17383">
      <w:pPr>
        <w:pStyle w:val="H1G"/>
        <w:rPr>
          <w:lang w:val="es-ES_tradnl"/>
        </w:rPr>
      </w:pPr>
      <w:bookmarkStart w:id="67" w:name="_Toc326162650"/>
      <w:bookmarkStart w:id="68" w:name="_Toc326220765"/>
      <w:r w:rsidRPr="005E7CB5">
        <w:rPr>
          <w:lang w:val="es-ES_tradnl"/>
        </w:rPr>
        <w:tab/>
        <w:t>A.</w:t>
      </w:r>
      <w:r w:rsidRPr="005E7CB5">
        <w:rPr>
          <w:lang w:val="es-ES_tradnl"/>
        </w:rPr>
        <w:tab/>
        <w:t>Interacción con otros mecanismos de derechos humanos</w:t>
      </w:r>
      <w:bookmarkStart w:id="69" w:name="_Toc75349906"/>
      <w:bookmarkStart w:id="70" w:name="_Toc460489538"/>
      <w:bookmarkStart w:id="71" w:name="_Toc522200461"/>
      <w:bookmarkStart w:id="72" w:name="_Toc43905472"/>
      <w:bookmarkStart w:id="73" w:name="_Toc43906553"/>
      <w:bookmarkStart w:id="74" w:name="_Toc43996424"/>
      <w:bookmarkEnd w:id="69"/>
    </w:p>
    <w:p w14:paraId="415472BA" w14:textId="77777777" w:rsidR="009679FD" w:rsidRPr="005E7CB5" w:rsidRDefault="009679FD" w:rsidP="009679FD">
      <w:pPr>
        <w:pStyle w:val="SingleTxtG"/>
        <w:rPr>
          <w:lang w:val="es-ES_tradnl"/>
        </w:rPr>
      </w:pPr>
      <w:r w:rsidRPr="005E7CB5">
        <w:rPr>
          <w:lang w:val="es-ES_tradnl"/>
        </w:rPr>
        <w:t>18.</w:t>
      </w:r>
      <w:r w:rsidRPr="005E7CB5">
        <w:rPr>
          <w:lang w:val="es-ES_tradnl"/>
        </w:rPr>
        <w:tab/>
        <w:t>El Comité siguió cooperando con el Grupo de Trabajo sobre las Desapariciones Forzadas o Involuntarias, con el que se reunió en dos ocasiones para coordinar mejor su labor. En su 19º período de sesiones, se organizaron dos seminarios web conjuntos para conmemorar el 10º aniversario de la entrada en vigor de la Convención y el 40º aniversario de la creación del Grupo de Trabajo. El 3 de marzo de 2021, celebraron un seminario web conjunto con la Coalición Internacional contra las Desapariciones Forzadas para intercambiar experiencias relacionadas con la promoción de la ratificación de la Convención y discutir el camino a seguir a este respecto. El Comité y el Grupo de Trabajo adoptaron directrices conjuntas sobre la desaparición forzada en el contexto de la COVID-19</w:t>
      </w:r>
      <w:r w:rsidRPr="005E7CB5">
        <w:rPr>
          <w:rStyle w:val="FootnoteReference"/>
          <w:lang w:val="es-ES_tradnl"/>
        </w:rPr>
        <w:footnoteReference w:id="2"/>
      </w:r>
      <w:r w:rsidRPr="005E7CB5">
        <w:rPr>
          <w:lang w:val="es-ES_tradnl"/>
        </w:rPr>
        <w:t xml:space="preserve">. El Comité también celebró reuniones con la Comisión Africana de Derechos Humanos y de los Pueblos y con la Relatora Especial sobre la trata de personas, especialmente mujeres y niños, con el fin de estrechar lazos de cooperación. </w:t>
      </w:r>
    </w:p>
    <w:p w14:paraId="5FC21672" w14:textId="77777777" w:rsidR="009679FD" w:rsidRPr="005E7CB5" w:rsidRDefault="009679FD" w:rsidP="00A17383">
      <w:pPr>
        <w:pStyle w:val="H1G"/>
        <w:rPr>
          <w:lang w:val="es-ES_tradnl"/>
        </w:rPr>
      </w:pPr>
      <w:r w:rsidRPr="005E7CB5">
        <w:rPr>
          <w:lang w:val="es-ES_tradnl"/>
        </w:rPr>
        <w:tab/>
        <w:t>B.</w:t>
      </w:r>
      <w:r w:rsidRPr="005E7CB5">
        <w:rPr>
          <w:lang w:val="es-ES_tradnl"/>
        </w:rPr>
        <w:tab/>
        <w:t>Interacción con los Estados miembros</w:t>
      </w:r>
      <w:bookmarkStart w:id="76" w:name="_Toc75349907"/>
      <w:bookmarkEnd w:id="67"/>
      <w:bookmarkEnd w:id="68"/>
      <w:bookmarkEnd w:id="70"/>
      <w:bookmarkEnd w:id="71"/>
      <w:bookmarkEnd w:id="72"/>
      <w:bookmarkEnd w:id="73"/>
      <w:bookmarkEnd w:id="74"/>
      <w:bookmarkEnd w:id="76"/>
    </w:p>
    <w:p w14:paraId="33E3FB31" w14:textId="77777777" w:rsidR="009679FD" w:rsidRPr="005E7CB5" w:rsidRDefault="009679FD" w:rsidP="009679FD">
      <w:pPr>
        <w:pStyle w:val="SingleTxtG"/>
        <w:rPr>
          <w:lang w:val="es-ES_tradnl"/>
        </w:rPr>
      </w:pPr>
      <w:r w:rsidRPr="005E7CB5">
        <w:rPr>
          <w:lang w:val="es-ES_tradnl"/>
        </w:rPr>
        <w:t>19.</w:t>
      </w:r>
      <w:r w:rsidRPr="005E7CB5">
        <w:rPr>
          <w:lang w:val="es-ES_tradnl"/>
        </w:rPr>
        <w:tab/>
        <w:t>Debido a las medidas de precaución adoptadas en el contexto de la pandemia de COVID-19, y dadas las estrictas restricciones impuestas a los órganos de tratados en relación con los tiempos de reunión con servicio de interpretación simultánea, el Comité no ha podido celebrar reuniones públicas con los Estados miembros durante el período examinado. El Comité ha programado una reunión pública en su 21</w:t>
      </w:r>
      <w:r w:rsidRPr="005E7CB5">
        <w:rPr>
          <w:vertAlign w:val="superscript"/>
          <w:lang w:val="es-ES_tradnl"/>
        </w:rPr>
        <w:t>er</w:t>
      </w:r>
      <w:r w:rsidRPr="005E7CB5">
        <w:rPr>
          <w:lang w:val="es-ES_tradnl"/>
        </w:rPr>
        <w:t xml:space="preserve"> período de sesiones, que se confirmará en función de la evolución de la pandemia y de la disponibilidad de tiempo.</w:t>
      </w:r>
    </w:p>
    <w:p w14:paraId="4C28503B" w14:textId="77777777" w:rsidR="009679FD" w:rsidRPr="005E7CB5" w:rsidRDefault="009679FD" w:rsidP="009679FD">
      <w:pPr>
        <w:pStyle w:val="SingleTxtG"/>
        <w:rPr>
          <w:lang w:val="es-ES_tradnl"/>
        </w:rPr>
      </w:pPr>
      <w:r w:rsidRPr="005E7CB5">
        <w:rPr>
          <w:lang w:val="es-ES_tradnl"/>
        </w:rPr>
        <w:t>20.</w:t>
      </w:r>
      <w:r w:rsidRPr="005E7CB5">
        <w:rPr>
          <w:lang w:val="es-ES_tradnl"/>
        </w:rPr>
        <w:tab/>
        <w:t xml:space="preserve">No obstante, el Comité interactuó directamente con algunos Estados miembros con motivo de los seminarios web organizados junto con el Grupo de Trabajo sobre las Desapariciones Forzadas o Involuntarias e impartidos durante su 19º período de sesiones. En el transcurso de los seminarios web, la Argentina, Francia, el Japón y Marruecos hicieron declaraciones. El mismo tipo de interacción tuvo lugar en el seminario web conjunto impartido el 3 de marzo de 2021, en el que participaron como ponentes representantes públicos de alto nivel de la Argentina, Francia, México, Noruega y el Sudán. Al seminario web también asistieron en línea representantes de 26 Estados miembros. Todos los representantes que tomaron la palabra subrayaron que la desaparición forzada seguía siendo una plaga mundial que podría constituir un crimen de lesa humanidad, y que todos los Estados tenían la responsabilidad de erradicarla y prevenirla, entre otras cosas ratificando la Convención. También insistieron en el papel clave de la acción llevada a cabo a tal fin por la sociedad civil, las instituciones nacionales de derechos humanos y los mecanismos de derechos humanos. La Argentina y Francia reiteraron su voluntad de apoyar la ratificación de la Convención, en particular organizando una tercera campaña en pro de la ratificación. Noruega describió su experiencia del proceso de firma y ratificación de la Convención, y señaló problemas sustantivos y dificultades políticas en ese contexto. México describió el proceso de ratificación de la Convención y la presentación de una declaración, el 2 de octubre de 2020, en la que reconoció la competencia del Comité para recibir y examinar comunicaciones individuales. El Sudán informó que su Gobierno había aprobado la ratificación de la Convención el 23 de febrero de 2021. </w:t>
      </w:r>
      <w:bookmarkStart w:id="77" w:name="_Hlk75277136"/>
      <w:bookmarkEnd w:id="77"/>
    </w:p>
    <w:p w14:paraId="419AC193" w14:textId="77777777" w:rsidR="009679FD" w:rsidRPr="005E7CB5" w:rsidRDefault="009679FD" w:rsidP="00A17383">
      <w:pPr>
        <w:pStyle w:val="H1G"/>
        <w:rPr>
          <w:lang w:val="es-ES_tradnl"/>
        </w:rPr>
      </w:pPr>
      <w:bookmarkStart w:id="78" w:name="_Toc460489541"/>
      <w:bookmarkStart w:id="79" w:name="_Toc522200463"/>
      <w:bookmarkStart w:id="80" w:name="_Toc326162654"/>
      <w:bookmarkStart w:id="81" w:name="_Toc326220769"/>
      <w:r w:rsidRPr="005E7CB5">
        <w:rPr>
          <w:lang w:val="es-ES_tradnl"/>
        </w:rPr>
        <w:tab/>
        <w:t>C.</w:t>
      </w:r>
      <w:r w:rsidRPr="005E7CB5">
        <w:rPr>
          <w:lang w:val="es-ES_tradnl"/>
        </w:rPr>
        <w:tab/>
        <w:t>Interacción con organismos de las Naciones Unidas</w:t>
      </w:r>
      <w:bookmarkStart w:id="82" w:name="_Toc43905473"/>
      <w:bookmarkStart w:id="83" w:name="_Toc43906554"/>
      <w:bookmarkStart w:id="84" w:name="_Toc43996425"/>
      <w:bookmarkStart w:id="85" w:name="_Toc75349908"/>
      <w:bookmarkEnd w:id="78"/>
      <w:bookmarkEnd w:id="79"/>
      <w:bookmarkEnd w:id="82"/>
      <w:bookmarkEnd w:id="83"/>
      <w:bookmarkEnd w:id="84"/>
      <w:bookmarkEnd w:id="85"/>
    </w:p>
    <w:p w14:paraId="6900EB95" w14:textId="77777777" w:rsidR="009679FD" w:rsidRPr="005E7CB5" w:rsidRDefault="009679FD" w:rsidP="009679FD">
      <w:pPr>
        <w:pStyle w:val="SingleTxtG"/>
        <w:rPr>
          <w:lang w:val="es-ES_tradnl"/>
        </w:rPr>
      </w:pPr>
      <w:r w:rsidRPr="005E7CB5">
        <w:rPr>
          <w:lang w:val="es-ES_tradnl"/>
        </w:rPr>
        <w:t>21.</w:t>
      </w:r>
      <w:r w:rsidRPr="005E7CB5">
        <w:rPr>
          <w:lang w:val="es-ES_tradnl"/>
        </w:rPr>
        <w:tab/>
        <w:t xml:space="preserve">Durante sus períodos de sesiones 19º y 20º, el Comité mantuvo reuniones privadas con el Jefe de la Subdivisión de Tratados de Derechos Humanos del ACNUDH para tratar los avances relacionados con el examen de los órganos de tratados de 2020, las reuniones </w:t>
      </w:r>
      <w:r w:rsidRPr="005E7CB5">
        <w:rPr>
          <w:lang w:val="es-ES_tradnl"/>
        </w:rPr>
        <w:lastRenderedPageBreak/>
        <w:t xml:space="preserve">pasadas y futuras entre los presidentes de los órganos de tratados, y el impacto de la pandemia de COVID-19 en la labor de estos órganos. </w:t>
      </w:r>
    </w:p>
    <w:p w14:paraId="635AA265" w14:textId="77777777" w:rsidR="009679FD" w:rsidRPr="005E7CB5" w:rsidRDefault="009679FD" w:rsidP="009679FD">
      <w:pPr>
        <w:pStyle w:val="SingleTxtG"/>
        <w:rPr>
          <w:lang w:val="es-ES_tradnl"/>
        </w:rPr>
      </w:pPr>
      <w:r w:rsidRPr="005E7CB5">
        <w:rPr>
          <w:lang w:val="es-ES_tradnl"/>
        </w:rPr>
        <w:t>22.</w:t>
      </w:r>
      <w:r w:rsidRPr="005E7CB5">
        <w:rPr>
          <w:lang w:val="es-ES_tradnl"/>
        </w:rPr>
        <w:tab/>
        <w:t xml:space="preserve">Durante su 19º período de sesiones, el Comité cooperó e interactuó estrechamente con la Misión de Asistencia de las Naciones Unidas para el Iraq y el Equipo de Investigaciones de las Naciones Unidas para Promover la Rendición de Cuentas por los Crímenes del Estado Islámico en el Iraq y el Levante/Dáesh en el marco del examen de la información complementaria presentada por el Iraq realizado en virtud del artículo 29, párrafo 4, de la Convención. Durante el 20º período de sesiones, el Comité interactuó directamente con la oficina del ACNUDH en Colombia para preparar el examen de la información complementaria presentada por Colombia en virtud del artículo 29, párrafo 4, de la Convención. </w:t>
      </w:r>
    </w:p>
    <w:p w14:paraId="2714F2C8" w14:textId="33E1F1DF" w:rsidR="009679FD" w:rsidRPr="005E7CB5" w:rsidRDefault="009679FD" w:rsidP="00A17383">
      <w:pPr>
        <w:pStyle w:val="H1G"/>
        <w:rPr>
          <w:lang w:val="es-ES_tradnl"/>
        </w:rPr>
      </w:pPr>
      <w:r w:rsidRPr="005E7CB5">
        <w:rPr>
          <w:lang w:val="es-ES_tradnl"/>
        </w:rPr>
        <w:tab/>
        <w:t>D.</w:t>
      </w:r>
      <w:r w:rsidRPr="005E7CB5">
        <w:rPr>
          <w:lang w:val="es-ES_tradnl"/>
        </w:rPr>
        <w:tab/>
        <w:t>Interacción con víctimas, organizaciones no gubernamentales y otros</w:t>
      </w:r>
      <w:r w:rsidR="00A17383">
        <w:rPr>
          <w:lang w:val="es-ES_tradnl"/>
        </w:rPr>
        <w:t> </w:t>
      </w:r>
      <w:r w:rsidRPr="005E7CB5">
        <w:rPr>
          <w:lang w:val="es-ES_tradnl"/>
        </w:rPr>
        <w:t>actores de la sociedad civil</w:t>
      </w:r>
      <w:bookmarkStart w:id="86" w:name="_Toc460489542"/>
      <w:bookmarkStart w:id="87" w:name="_Toc522200464"/>
      <w:bookmarkStart w:id="88" w:name="_Toc43905474"/>
      <w:bookmarkStart w:id="89" w:name="_Toc43906555"/>
      <w:bookmarkStart w:id="90" w:name="_Toc43996426"/>
      <w:bookmarkStart w:id="91" w:name="_Toc75349909"/>
      <w:bookmarkEnd w:id="86"/>
      <w:bookmarkEnd w:id="87"/>
      <w:bookmarkEnd w:id="88"/>
      <w:bookmarkEnd w:id="89"/>
      <w:bookmarkEnd w:id="90"/>
      <w:bookmarkEnd w:id="91"/>
    </w:p>
    <w:p w14:paraId="69B2A052" w14:textId="55799D00" w:rsidR="009679FD" w:rsidRPr="005E7CB5" w:rsidRDefault="009679FD" w:rsidP="009679FD">
      <w:pPr>
        <w:pStyle w:val="SingleTxtG"/>
        <w:rPr>
          <w:lang w:val="es-ES_tradnl"/>
        </w:rPr>
      </w:pPr>
      <w:r w:rsidRPr="005E7CB5">
        <w:rPr>
          <w:lang w:val="es-ES_tradnl"/>
        </w:rPr>
        <w:t>23.</w:t>
      </w:r>
      <w:r w:rsidRPr="005E7CB5">
        <w:rPr>
          <w:lang w:val="es-ES_tradnl"/>
        </w:rPr>
        <w:tab/>
        <w:t>Durante el per</w:t>
      </w:r>
      <w:r w:rsidR="00877E00">
        <w:rPr>
          <w:lang w:val="es-ES_tradnl"/>
        </w:rPr>
        <w:t>í</w:t>
      </w:r>
      <w:r w:rsidRPr="005E7CB5">
        <w:rPr>
          <w:lang w:val="es-ES_tradnl"/>
        </w:rPr>
        <w:t xml:space="preserve">odo examinado, el Comité siguió ampliando su base de datos de actores de la sociedad civil, a quienes envía periódicamente información sobre eventos futuros y decisiones adoptadas. En sus períodos de sesiones 19ª y 20ª, el Comité invitó a las víctimas de desapariciones forzadas de Gambia y México a dar testimonio de su experiencia en el marco del tema del programa </w:t>
      </w:r>
      <w:r w:rsidR="00877E00">
        <w:rPr>
          <w:lang w:val="es-ES_tradnl"/>
        </w:rPr>
        <w:t>“</w:t>
      </w:r>
      <w:r w:rsidRPr="005E7CB5">
        <w:rPr>
          <w:lang w:val="es-ES_tradnl"/>
        </w:rPr>
        <w:t>Homenaje a las víctimas de desaparición forzada</w:t>
      </w:r>
      <w:r w:rsidR="00877E00">
        <w:rPr>
          <w:lang w:val="es-ES_tradnl"/>
        </w:rPr>
        <w:t>”</w:t>
      </w:r>
      <w:r w:rsidRPr="005E7CB5">
        <w:rPr>
          <w:lang w:val="es-ES_tradnl"/>
        </w:rPr>
        <w:t xml:space="preserve">. </w:t>
      </w:r>
    </w:p>
    <w:p w14:paraId="04BD5670" w14:textId="77777777" w:rsidR="009679FD" w:rsidRPr="005E7CB5" w:rsidRDefault="009679FD" w:rsidP="009679FD">
      <w:pPr>
        <w:pStyle w:val="SingleTxtG"/>
        <w:rPr>
          <w:lang w:val="es-ES_tradnl"/>
        </w:rPr>
      </w:pPr>
      <w:r w:rsidRPr="005E7CB5">
        <w:rPr>
          <w:lang w:val="es-ES_tradnl"/>
        </w:rPr>
        <w:t>24.</w:t>
      </w:r>
      <w:r w:rsidRPr="005E7CB5">
        <w:rPr>
          <w:lang w:val="es-ES_tradnl"/>
        </w:rPr>
        <w:tab/>
        <w:t>En ambos períodos de sesiones, el Comité recibió contribuciones escritas de un amplio espectro de actores de la sociedad civil. El Comité mantuvo reuniones privadas en línea con representantes de más de 13 organizaciones del Iraq, 53 actores de la sociedad civil de Colombia y una organización no gubernamental de Suiza.</w:t>
      </w:r>
    </w:p>
    <w:p w14:paraId="6EA9C8B2" w14:textId="77777777" w:rsidR="009679FD" w:rsidRPr="005E7CB5" w:rsidRDefault="009679FD" w:rsidP="009679FD">
      <w:pPr>
        <w:pStyle w:val="SingleTxtG"/>
        <w:rPr>
          <w:lang w:val="es-ES_tradnl"/>
        </w:rPr>
      </w:pPr>
      <w:r w:rsidRPr="005E7CB5">
        <w:rPr>
          <w:lang w:val="es-ES_tradnl"/>
        </w:rPr>
        <w:t>25.</w:t>
      </w:r>
      <w:r w:rsidRPr="005E7CB5">
        <w:rPr>
          <w:lang w:val="es-ES_tradnl"/>
        </w:rPr>
        <w:tab/>
        <w:t xml:space="preserve">El 3 de marzo de 2021, en el seminario web organizado conjuntamente por el Comité, la Coalición Internacional contra las Desapariciones Forzadas y el Grupo de Trabajo sobre las Desapariciones Forzadas o Involuntarias hicieron declaraciones 7 actores de la sociedad civil y participaron más de 250 representantes de la sociedad civil de todas las regiones. </w:t>
      </w:r>
    </w:p>
    <w:p w14:paraId="028555D8" w14:textId="77777777" w:rsidR="009679FD" w:rsidRPr="005E7CB5" w:rsidRDefault="009679FD" w:rsidP="00A17383">
      <w:pPr>
        <w:pStyle w:val="H1G"/>
        <w:rPr>
          <w:lang w:val="es-ES_tradnl"/>
        </w:rPr>
      </w:pPr>
      <w:r w:rsidRPr="005E7CB5">
        <w:rPr>
          <w:lang w:val="es-ES_tradnl"/>
        </w:rPr>
        <w:tab/>
        <w:t>E.</w:t>
      </w:r>
      <w:r w:rsidRPr="005E7CB5">
        <w:rPr>
          <w:lang w:val="es-ES_tradnl"/>
        </w:rPr>
        <w:tab/>
        <w:t>Interacción con las instituciones nacionales de derechos humanos</w:t>
      </w:r>
      <w:bookmarkStart w:id="92" w:name="_Toc75349910"/>
      <w:bookmarkStart w:id="93" w:name="_Toc43905475"/>
      <w:bookmarkStart w:id="94" w:name="_Toc43906556"/>
      <w:bookmarkStart w:id="95" w:name="_Toc43996427"/>
      <w:bookmarkEnd w:id="92"/>
    </w:p>
    <w:p w14:paraId="503AF8A3" w14:textId="2564EB41" w:rsidR="009679FD" w:rsidRPr="005E7CB5" w:rsidRDefault="009679FD" w:rsidP="009679FD">
      <w:pPr>
        <w:pStyle w:val="SingleTxtG"/>
        <w:rPr>
          <w:lang w:val="es-ES_tradnl"/>
        </w:rPr>
      </w:pPr>
      <w:r w:rsidRPr="005E7CB5">
        <w:rPr>
          <w:lang w:val="es-ES_tradnl"/>
        </w:rPr>
        <w:t>26.</w:t>
      </w:r>
      <w:r w:rsidRPr="005E7CB5">
        <w:rPr>
          <w:lang w:val="es-ES_tradnl"/>
        </w:rPr>
        <w:tab/>
        <w:t>Antes de los per</w:t>
      </w:r>
      <w:r w:rsidR="00877E00">
        <w:rPr>
          <w:lang w:val="es-ES_tradnl"/>
        </w:rPr>
        <w:t>í</w:t>
      </w:r>
      <w:r w:rsidRPr="005E7CB5">
        <w:rPr>
          <w:lang w:val="es-ES_tradnl"/>
        </w:rPr>
        <w:t xml:space="preserve">odos de sesiones 19º y 20º, el Comité informó a las instituciones nacionales de derechos humanos de los </w:t>
      </w:r>
      <w:proofErr w:type="gramStart"/>
      <w:r w:rsidRPr="005E7CB5">
        <w:rPr>
          <w:lang w:val="es-ES_tradnl"/>
        </w:rPr>
        <w:t>Estados partes</w:t>
      </w:r>
      <w:proofErr w:type="gramEnd"/>
      <w:r w:rsidRPr="005E7CB5">
        <w:rPr>
          <w:lang w:val="es-ES_tradnl"/>
        </w:rPr>
        <w:t xml:space="preserve"> interesados que examinaría los informes de los Estados partes o adoptaría listas de cuestiones en relación con sus informes o en ausencia de </w:t>
      </w:r>
      <w:r w:rsidR="00826417">
        <w:rPr>
          <w:lang w:val="es-ES_tradnl"/>
        </w:rPr>
        <w:t>e</w:t>
      </w:r>
      <w:r w:rsidRPr="005E7CB5">
        <w:rPr>
          <w:lang w:val="es-ES_tradnl"/>
        </w:rPr>
        <w:t xml:space="preserve">stos. Durante el 19º período de sesiones, la institución nacional de derechos humanos del Iraq presentó información por escrito y pronunció una declaración oral ante el Comité. Se recibieron contribuciones escritas de las instituciones nacionales de Chequia y Grecia. Durante el 20º período de sesiones, la institución nacional de derechos humanos de Colombia participó en el diálogo como miembro de la delegación del Estado parte. </w:t>
      </w:r>
    </w:p>
    <w:p w14:paraId="016175C3" w14:textId="2BA1D94F" w:rsidR="009679FD" w:rsidRPr="005E7CB5" w:rsidRDefault="009679FD" w:rsidP="009679FD">
      <w:pPr>
        <w:pStyle w:val="SingleTxtG"/>
        <w:rPr>
          <w:lang w:val="es-ES_tradnl"/>
        </w:rPr>
      </w:pPr>
      <w:r w:rsidRPr="005E7CB5">
        <w:rPr>
          <w:lang w:val="es-ES_tradnl"/>
        </w:rPr>
        <w:t>27.</w:t>
      </w:r>
      <w:r w:rsidRPr="005E7CB5">
        <w:rPr>
          <w:lang w:val="es-ES_tradnl"/>
        </w:rPr>
        <w:tab/>
        <w:t xml:space="preserve">En el seminario web conjunto de 3 de marzo de 2021 participaron diez instituciones nacionales de derechos humanos, incluido uno de los Ombudsman de Derechos Humanos de Bosnia y Herzegovina en calidad de ponente. </w:t>
      </w:r>
    </w:p>
    <w:p w14:paraId="12EF7D94" w14:textId="77777777" w:rsidR="009679FD" w:rsidRPr="005E7CB5" w:rsidRDefault="009679FD" w:rsidP="00A17383">
      <w:pPr>
        <w:pStyle w:val="H1G"/>
        <w:rPr>
          <w:lang w:val="es-ES_tradnl"/>
        </w:rPr>
      </w:pPr>
      <w:r w:rsidRPr="005E7CB5">
        <w:rPr>
          <w:lang w:val="es-ES_tradnl"/>
        </w:rPr>
        <w:tab/>
        <w:t>F.</w:t>
      </w:r>
      <w:r w:rsidRPr="005E7CB5">
        <w:rPr>
          <w:lang w:val="es-ES_tradnl"/>
        </w:rPr>
        <w:tab/>
        <w:t>Interacción con otras partes interesadas</w:t>
      </w:r>
      <w:bookmarkStart w:id="96" w:name="_Toc75349911"/>
      <w:bookmarkEnd w:id="93"/>
      <w:bookmarkEnd w:id="94"/>
      <w:bookmarkEnd w:id="95"/>
      <w:bookmarkEnd w:id="96"/>
    </w:p>
    <w:p w14:paraId="08B1520A" w14:textId="77777777" w:rsidR="009679FD" w:rsidRPr="005E7CB5" w:rsidRDefault="009679FD" w:rsidP="009679FD">
      <w:pPr>
        <w:pStyle w:val="SingleTxtG"/>
        <w:rPr>
          <w:lang w:val="es-ES_tradnl"/>
        </w:rPr>
      </w:pPr>
      <w:r w:rsidRPr="005E7CB5">
        <w:rPr>
          <w:lang w:val="es-ES_tradnl"/>
        </w:rPr>
        <w:t>28.</w:t>
      </w:r>
      <w:r w:rsidRPr="005E7CB5">
        <w:rPr>
          <w:lang w:val="es-ES_tradnl"/>
        </w:rPr>
        <w:tab/>
        <w:t xml:space="preserve">El 21 de septiembre de 2020, el Comité celebró una reunión en línea con representantes del proyecto de personas desaparecidas del CICR para intercambiar información sobre las actividades previstas y discutir las modalidades de su interacción. </w:t>
      </w:r>
    </w:p>
    <w:p w14:paraId="15A4FC40" w14:textId="77777777" w:rsidR="009679FD" w:rsidRPr="005E7CB5" w:rsidRDefault="009679FD" w:rsidP="009679FD">
      <w:pPr>
        <w:pStyle w:val="SingleTxtG"/>
        <w:rPr>
          <w:lang w:val="es-ES_tradnl"/>
        </w:rPr>
      </w:pPr>
      <w:r w:rsidRPr="005E7CB5">
        <w:rPr>
          <w:lang w:val="es-ES_tradnl"/>
        </w:rPr>
        <w:br w:type="page"/>
      </w:r>
    </w:p>
    <w:p w14:paraId="12F7321E" w14:textId="4B916239" w:rsidR="009679FD" w:rsidRPr="005E7CB5" w:rsidRDefault="00A17383" w:rsidP="00A17383">
      <w:pPr>
        <w:pStyle w:val="HChG"/>
        <w:rPr>
          <w:lang w:val="es-ES_tradnl"/>
        </w:rPr>
      </w:pPr>
      <w:r>
        <w:rPr>
          <w:lang w:val="es-ES_tradnl"/>
        </w:rPr>
        <w:lastRenderedPageBreak/>
        <w:tab/>
      </w:r>
      <w:r w:rsidR="009679FD">
        <w:rPr>
          <w:lang w:val="es-ES_tradnl"/>
        </w:rPr>
        <w:tab/>
      </w:r>
      <w:r w:rsidR="009679FD" w:rsidRPr="005E7CB5">
        <w:rPr>
          <w:lang w:val="es-ES_tradnl"/>
        </w:rPr>
        <w:t>Capítulo IV</w:t>
      </w:r>
      <w:r>
        <w:rPr>
          <w:lang w:val="es-ES_tradnl"/>
        </w:rPr>
        <w:br/>
      </w:r>
      <w:r w:rsidR="009679FD">
        <w:rPr>
          <w:lang w:val="es-ES_tradnl"/>
        </w:rPr>
        <w:tab/>
      </w:r>
      <w:r w:rsidR="009679FD" w:rsidRPr="005E7CB5">
        <w:rPr>
          <w:lang w:val="es-ES_tradnl"/>
        </w:rPr>
        <w:t xml:space="preserve">Examen de los informes presentados por los </w:t>
      </w:r>
      <w:proofErr w:type="gramStart"/>
      <w:r w:rsidR="009679FD" w:rsidRPr="005E7CB5">
        <w:rPr>
          <w:lang w:val="es-ES_tradnl"/>
        </w:rPr>
        <w:t>Estados partes</w:t>
      </w:r>
      <w:proofErr w:type="gramEnd"/>
      <w:r w:rsidR="009679FD" w:rsidRPr="005E7CB5">
        <w:rPr>
          <w:lang w:val="es-ES_tradnl"/>
        </w:rPr>
        <w:t xml:space="preserve"> en virtud del artículo 29, párrafo 1, de la Convención</w:t>
      </w:r>
      <w:bookmarkStart w:id="97" w:name="_Toc460489543"/>
      <w:bookmarkStart w:id="98" w:name="_Toc522200465"/>
      <w:bookmarkStart w:id="99" w:name="_Toc43905476"/>
      <w:bookmarkStart w:id="100" w:name="_Toc43906557"/>
      <w:bookmarkStart w:id="101" w:name="_Toc43996428"/>
      <w:bookmarkStart w:id="102" w:name="_Toc75349912"/>
      <w:bookmarkStart w:id="103" w:name="_Hlk14698671"/>
      <w:bookmarkEnd w:id="97"/>
      <w:bookmarkEnd w:id="98"/>
      <w:bookmarkEnd w:id="99"/>
      <w:bookmarkEnd w:id="100"/>
      <w:bookmarkEnd w:id="101"/>
      <w:bookmarkEnd w:id="102"/>
      <w:bookmarkEnd w:id="103"/>
    </w:p>
    <w:bookmarkEnd w:id="80"/>
    <w:bookmarkEnd w:id="81"/>
    <w:p w14:paraId="304A72DB" w14:textId="133EFF4C" w:rsidR="009679FD" w:rsidRPr="005E7CB5" w:rsidRDefault="009679FD" w:rsidP="009679FD">
      <w:pPr>
        <w:pStyle w:val="SingleTxtG"/>
        <w:rPr>
          <w:lang w:val="es-ES_tradnl"/>
        </w:rPr>
      </w:pPr>
      <w:r w:rsidRPr="005E7CB5">
        <w:rPr>
          <w:lang w:val="es-ES_tradnl"/>
        </w:rPr>
        <w:t>29.</w:t>
      </w:r>
      <w:r w:rsidRPr="005E7CB5">
        <w:rPr>
          <w:lang w:val="es-ES_tradnl"/>
        </w:rPr>
        <w:tab/>
        <w:t>Debido a las medidas de precaución adoptadas en el contexto de la pandemia de COVID-19, y dadas las restricciones impuestas al Comité en relación con el acceso a la plataforma en línea de servicios de interpretación, los diálogos interactivos programados para el 19º período de sesiones en el marco del examen de los informes de Mongolia (</w:t>
      </w:r>
      <w:hyperlink r:id="rId32" w:history="1">
        <w:r w:rsidRPr="00B24BD3">
          <w:rPr>
            <w:rStyle w:val="Hyperlink"/>
            <w:lang w:val="es-ES_tradnl"/>
          </w:rPr>
          <w:t>CED/C/MNG/1</w:t>
        </w:r>
      </w:hyperlink>
      <w:r w:rsidRPr="005E7CB5">
        <w:rPr>
          <w:lang w:val="es-ES_tradnl"/>
        </w:rPr>
        <w:t>) y Suiza (</w:t>
      </w:r>
      <w:hyperlink r:id="rId33" w:history="1">
        <w:r w:rsidRPr="00B24BD3">
          <w:rPr>
            <w:rStyle w:val="Hyperlink"/>
            <w:lang w:val="es-ES_tradnl"/>
          </w:rPr>
          <w:t>CED/C/CHE/1</w:t>
        </w:r>
      </w:hyperlink>
      <w:r w:rsidRPr="005E7CB5">
        <w:rPr>
          <w:lang w:val="es-ES_tradnl"/>
        </w:rPr>
        <w:t xml:space="preserve">) fueron aplazados al 20º período de sesiones. </w:t>
      </w:r>
    </w:p>
    <w:p w14:paraId="3324F9C0" w14:textId="676C3EB8" w:rsidR="009679FD" w:rsidRPr="005E7CB5" w:rsidRDefault="009679FD" w:rsidP="009679FD">
      <w:pPr>
        <w:pStyle w:val="SingleTxtG"/>
        <w:rPr>
          <w:lang w:val="es-ES_tradnl"/>
        </w:rPr>
      </w:pPr>
      <w:r w:rsidRPr="005E7CB5">
        <w:rPr>
          <w:lang w:val="es-ES_tradnl"/>
        </w:rPr>
        <w:t>30.</w:t>
      </w:r>
      <w:r w:rsidRPr="005E7CB5">
        <w:rPr>
          <w:lang w:val="es-ES_tradnl"/>
        </w:rPr>
        <w:tab/>
        <w:t>En su 20º período de sesiones, el Comité examinó los informes de Mongolia y Suiza y aprobó las observaciones finales sobre esos informes (</w:t>
      </w:r>
      <w:hyperlink r:id="rId34" w:history="1">
        <w:r w:rsidRPr="00B24BD3">
          <w:rPr>
            <w:rStyle w:val="Hyperlink"/>
            <w:lang w:val="es-ES_tradnl"/>
          </w:rPr>
          <w:t>CED/C/MNG/CO/1</w:t>
        </w:r>
      </w:hyperlink>
      <w:r w:rsidRPr="005E7CB5">
        <w:rPr>
          <w:lang w:val="es-ES_tradnl"/>
        </w:rPr>
        <w:t xml:space="preserve"> y </w:t>
      </w:r>
      <w:hyperlink r:id="rId35" w:history="1">
        <w:r w:rsidRPr="00B24BD3">
          <w:rPr>
            <w:rStyle w:val="Hyperlink"/>
            <w:lang w:val="es-ES_tradnl"/>
          </w:rPr>
          <w:t>CED/C/CHE/CO/1</w:t>
        </w:r>
      </w:hyperlink>
      <w:r w:rsidRPr="005E7CB5">
        <w:rPr>
          <w:lang w:val="es-ES_tradnl"/>
        </w:rPr>
        <w:t xml:space="preserve">). Los diálogos, de seis horas de duración, se celebraron en línea en tres franjas de dos horas, con la </w:t>
      </w:r>
      <w:proofErr w:type="gramStart"/>
      <w:r w:rsidRPr="005E7CB5">
        <w:rPr>
          <w:lang w:val="es-ES_tradnl"/>
        </w:rPr>
        <w:t>participación activa</w:t>
      </w:r>
      <w:proofErr w:type="gramEnd"/>
      <w:r w:rsidRPr="005E7CB5">
        <w:rPr>
          <w:lang w:val="es-ES_tradnl"/>
        </w:rPr>
        <w:t xml:space="preserve"> de los delegados por videoconferencia.</w:t>
      </w:r>
    </w:p>
    <w:p w14:paraId="2C8E0B73" w14:textId="77777777" w:rsidR="009679FD" w:rsidRPr="005E7CB5" w:rsidRDefault="009679FD" w:rsidP="009679FD">
      <w:pPr>
        <w:pStyle w:val="SingleTxtG"/>
        <w:rPr>
          <w:lang w:val="es-ES_tradnl"/>
        </w:rPr>
      </w:pPr>
      <w:r w:rsidRPr="005E7CB5">
        <w:rPr>
          <w:lang w:val="es-ES_tradnl"/>
        </w:rPr>
        <w:br w:type="page"/>
      </w:r>
    </w:p>
    <w:p w14:paraId="78B0BBC5" w14:textId="45645759" w:rsidR="009679FD" w:rsidRPr="005E7CB5" w:rsidRDefault="00A17383" w:rsidP="00A17383">
      <w:pPr>
        <w:pStyle w:val="HChG"/>
        <w:rPr>
          <w:lang w:val="es-ES_tradnl"/>
        </w:rPr>
      </w:pPr>
      <w:r>
        <w:rPr>
          <w:lang w:val="es-ES_tradnl"/>
        </w:rPr>
        <w:lastRenderedPageBreak/>
        <w:tab/>
      </w:r>
      <w:r w:rsidR="009679FD">
        <w:rPr>
          <w:lang w:val="es-ES_tradnl"/>
        </w:rPr>
        <w:tab/>
      </w:r>
      <w:r w:rsidR="009679FD" w:rsidRPr="005E7CB5">
        <w:rPr>
          <w:lang w:val="es-ES_tradnl"/>
        </w:rPr>
        <w:t>Capítulo V</w:t>
      </w:r>
      <w:r>
        <w:rPr>
          <w:lang w:val="es-ES_tradnl"/>
        </w:rPr>
        <w:br/>
      </w:r>
      <w:r w:rsidR="009679FD">
        <w:rPr>
          <w:lang w:val="es-ES_tradnl"/>
        </w:rPr>
        <w:tab/>
      </w:r>
      <w:r w:rsidR="009679FD" w:rsidRPr="005E7CB5">
        <w:rPr>
          <w:lang w:val="es-ES_tradnl"/>
        </w:rPr>
        <w:t>Aprobación del informe sobre el seguimiento de las observaciones finales</w:t>
      </w:r>
      <w:bookmarkStart w:id="104" w:name="_Toc460489544"/>
      <w:bookmarkStart w:id="105" w:name="_Toc522200466"/>
      <w:bookmarkStart w:id="106" w:name="_Toc43905477"/>
      <w:bookmarkStart w:id="107" w:name="_Toc43906558"/>
      <w:bookmarkStart w:id="108" w:name="_Toc43996429"/>
      <w:bookmarkStart w:id="109" w:name="_Toc75349913"/>
      <w:bookmarkEnd w:id="104"/>
      <w:bookmarkEnd w:id="105"/>
      <w:bookmarkEnd w:id="106"/>
      <w:bookmarkEnd w:id="107"/>
      <w:bookmarkEnd w:id="108"/>
      <w:bookmarkEnd w:id="109"/>
    </w:p>
    <w:p w14:paraId="2F2061D0" w14:textId="3C037419" w:rsidR="009679FD" w:rsidRPr="005E7CB5" w:rsidRDefault="009679FD" w:rsidP="009679FD">
      <w:pPr>
        <w:pStyle w:val="SingleTxtG"/>
        <w:rPr>
          <w:lang w:val="es-ES_tradnl"/>
        </w:rPr>
      </w:pPr>
      <w:r w:rsidRPr="005E7CB5">
        <w:rPr>
          <w:lang w:val="es-ES_tradnl"/>
        </w:rPr>
        <w:t>31.</w:t>
      </w:r>
      <w:r w:rsidRPr="005E7CB5">
        <w:rPr>
          <w:lang w:val="es-ES_tradnl"/>
        </w:rPr>
        <w:tab/>
        <w:t>En su 19º período de sesiones, el Comité aprobó su informe sobre el seguimiento de las observaciones finales, que refleja la información recibida por el Comité entre sus períodos de sesiones 15º y 19º en relación con el estado de aplicación de sus observaciones finales sobre Albania (</w:t>
      </w:r>
      <w:hyperlink r:id="rId36" w:history="1">
        <w:r w:rsidRPr="00B24BD3">
          <w:rPr>
            <w:rStyle w:val="Hyperlink"/>
            <w:lang w:val="es-ES_tradnl"/>
          </w:rPr>
          <w:t>CED/C/ALB/FCO/1</w:t>
        </w:r>
      </w:hyperlink>
      <w:r w:rsidRPr="005E7CB5">
        <w:rPr>
          <w:lang w:val="es-ES_tradnl"/>
        </w:rPr>
        <w:t>), Austria (</w:t>
      </w:r>
      <w:hyperlink r:id="rId37" w:history="1">
        <w:r w:rsidRPr="00B24BD3">
          <w:rPr>
            <w:rStyle w:val="Hyperlink"/>
            <w:lang w:val="es-ES_tradnl"/>
          </w:rPr>
          <w:t>CED/C/AUT/FCO/1</w:t>
        </w:r>
      </w:hyperlink>
      <w:r w:rsidRPr="005E7CB5">
        <w:rPr>
          <w:lang w:val="es-ES_tradnl"/>
        </w:rPr>
        <w:t>), Chile (</w:t>
      </w:r>
      <w:hyperlink r:id="rId38" w:history="1">
        <w:r w:rsidRPr="00B24BD3">
          <w:rPr>
            <w:rStyle w:val="Hyperlink"/>
            <w:lang w:val="es-ES_tradnl"/>
          </w:rPr>
          <w:t>CED/C/CHL/FCO/1</w:t>
        </w:r>
      </w:hyperlink>
      <w:r w:rsidRPr="005E7CB5">
        <w:rPr>
          <w:lang w:val="es-ES_tradnl"/>
        </w:rPr>
        <w:t xml:space="preserve">), </w:t>
      </w:r>
      <w:r w:rsidR="00826417">
        <w:rPr>
          <w:lang w:val="es-ES_tradnl"/>
        </w:rPr>
        <w:t xml:space="preserve">el </w:t>
      </w:r>
      <w:r w:rsidRPr="005E7CB5">
        <w:rPr>
          <w:lang w:val="es-ES_tradnl"/>
        </w:rPr>
        <w:t>Gabón (</w:t>
      </w:r>
      <w:hyperlink r:id="rId39" w:history="1">
        <w:r w:rsidRPr="00B24BD3">
          <w:rPr>
            <w:rStyle w:val="Hyperlink"/>
            <w:lang w:val="es-ES_tradnl"/>
          </w:rPr>
          <w:t>CED/C/GAB/CO/1/Add.1</w:t>
        </w:r>
      </w:hyperlink>
      <w:r w:rsidRPr="005E7CB5">
        <w:rPr>
          <w:lang w:val="es-ES_tradnl"/>
        </w:rPr>
        <w:t>), Honduras (</w:t>
      </w:r>
      <w:hyperlink r:id="rId40" w:history="1">
        <w:r w:rsidRPr="00B24BD3">
          <w:rPr>
            <w:rStyle w:val="Hyperlink"/>
            <w:lang w:val="es-ES_tradnl"/>
          </w:rPr>
          <w:t>CED/C/HND/CO/1/Add.1</w:t>
        </w:r>
      </w:hyperlink>
      <w:r w:rsidRPr="005E7CB5">
        <w:rPr>
          <w:lang w:val="es-ES_tradnl"/>
        </w:rPr>
        <w:t>), Italia (</w:t>
      </w:r>
      <w:hyperlink r:id="rId41" w:history="1">
        <w:r w:rsidRPr="00B24BD3">
          <w:rPr>
            <w:rStyle w:val="Hyperlink"/>
            <w:lang w:val="es-ES_tradnl"/>
          </w:rPr>
          <w:t>CED/C/ITA/FCO/1</w:t>
        </w:r>
      </w:hyperlink>
      <w:r w:rsidRPr="005E7CB5">
        <w:rPr>
          <w:lang w:val="es-ES_tradnl"/>
        </w:rPr>
        <w:t xml:space="preserve">), </w:t>
      </w:r>
      <w:r w:rsidR="00826417">
        <w:rPr>
          <w:lang w:val="es-ES_tradnl"/>
        </w:rPr>
        <w:t xml:space="preserve">el </w:t>
      </w:r>
      <w:r w:rsidRPr="005E7CB5">
        <w:rPr>
          <w:lang w:val="es-ES_tradnl"/>
        </w:rPr>
        <w:t>Japón (</w:t>
      </w:r>
      <w:hyperlink r:id="rId42" w:history="1">
        <w:r w:rsidRPr="00B24BD3">
          <w:rPr>
            <w:rStyle w:val="Hyperlink"/>
            <w:lang w:val="es-ES_tradnl"/>
          </w:rPr>
          <w:t>CED/C/JPN/FCO/1</w:t>
        </w:r>
      </w:hyperlink>
      <w:r w:rsidRPr="005E7CB5">
        <w:rPr>
          <w:lang w:val="es-ES_tradnl"/>
        </w:rPr>
        <w:t>), Lituania (</w:t>
      </w:r>
      <w:hyperlink r:id="rId43" w:history="1">
        <w:r w:rsidRPr="00B24BD3">
          <w:rPr>
            <w:rStyle w:val="Hyperlink"/>
            <w:lang w:val="es-ES_tradnl"/>
          </w:rPr>
          <w:t>CED/C/LTU/CO/1/Add.1</w:t>
        </w:r>
      </w:hyperlink>
      <w:r w:rsidRPr="005E7CB5">
        <w:rPr>
          <w:lang w:val="es-ES_tradnl"/>
        </w:rPr>
        <w:t>) y Portugal (</w:t>
      </w:r>
      <w:hyperlink r:id="rId44" w:history="1">
        <w:r w:rsidRPr="00B24BD3">
          <w:rPr>
            <w:rStyle w:val="Hyperlink"/>
            <w:lang w:val="es-ES_tradnl"/>
          </w:rPr>
          <w:t>CED/C/PRT/FCO/1</w:t>
        </w:r>
      </w:hyperlink>
      <w:r w:rsidRPr="005E7CB5">
        <w:rPr>
          <w:lang w:val="es-ES_tradnl"/>
        </w:rPr>
        <w:t xml:space="preserve">), así como las evaluaciones y decisiones aprobadas en su 19º período de sesiones. Los </w:t>
      </w:r>
      <w:r w:rsidR="00826417" w:rsidRPr="005E7CB5">
        <w:rPr>
          <w:lang w:val="es-ES_tradnl"/>
        </w:rPr>
        <w:t xml:space="preserve">Relatores </w:t>
      </w:r>
      <w:r w:rsidRPr="005E7CB5">
        <w:rPr>
          <w:lang w:val="es-ES_tradnl"/>
        </w:rPr>
        <w:t xml:space="preserve">para el seguimiento de las observaciones finales trasladaron por carta las recomendaciones del Comité a cada uno de los </w:t>
      </w:r>
      <w:proofErr w:type="gramStart"/>
      <w:r w:rsidRPr="005E7CB5">
        <w:rPr>
          <w:lang w:val="es-ES_tradnl"/>
        </w:rPr>
        <w:t>Estados partes</w:t>
      </w:r>
      <w:proofErr w:type="gramEnd"/>
      <w:r w:rsidRPr="005E7CB5">
        <w:rPr>
          <w:lang w:val="es-ES_tradnl"/>
        </w:rPr>
        <w:t xml:space="preserve"> interesados. No se había recibido ninguna información relativa al seguimiento de las observaciones finales del Comité en el Perú (</w:t>
      </w:r>
      <w:hyperlink r:id="rId45" w:history="1">
        <w:r w:rsidRPr="00B24BD3">
          <w:rPr>
            <w:rStyle w:val="Hyperlink"/>
            <w:lang w:val="es-ES_tradnl"/>
          </w:rPr>
          <w:t>CED/C/PER/CO/1</w:t>
        </w:r>
      </w:hyperlink>
      <w:r w:rsidRPr="005E7CB5">
        <w:rPr>
          <w:lang w:val="es-ES_tradnl"/>
        </w:rPr>
        <w:t>). El Comité envió recordatorios al Estado parte.</w:t>
      </w:r>
    </w:p>
    <w:p w14:paraId="08553C1C" w14:textId="77777777" w:rsidR="009679FD" w:rsidRPr="005E7CB5" w:rsidRDefault="009679FD" w:rsidP="009679FD">
      <w:pPr>
        <w:pStyle w:val="SingleTxtG"/>
        <w:rPr>
          <w:lang w:val="es-ES_tradnl"/>
        </w:rPr>
      </w:pPr>
      <w:r w:rsidRPr="005E7CB5">
        <w:rPr>
          <w:lang w:val="es-ES_tradnl"/>
        </w:rPr>
        <w:br w:type="page"/>
      </w:r>
    </w:p>
    <w:p w14:paraId="3189FBEE" w14:textId="55AB86AE" w:rsidR="009679FD" w:rsidRPr="005E7CB5" w:rsidRDefault="00A17383" w:rsidP="00A17383">
      <w:pPr>
        <w:pStyle w:val="HChG"/>
        <w:rPr>
          <w:lang w:val="es-ES_tradnl"/>
        </w:rPr>
      </w:pPr>
      <w:r>
        <w:rPr>
          <w:lang w:val="es-ES_tradnl"/>
        </w:rPr>
        <w:lastRenderedPageBreak/>
        <w:tab/>
      </w:r>
      <w:r>
        <w:rPr>
          <w:lang w:val="es-ES_tradnl"/>
        </w:rPr>
        <w:tab/>
      </w:r>
      <w:r w:rsidR="009679FD" w:rsidRPr="005E7CB5">
        <w:rPr>
          <w:lang w:val="es-ES_tradnl"/>
        </w:rPr>
        <w:t>Capítulo V</w:t>
      </w:r>
      <w:r w:rsidR="00546A02">
        <w:rPr>
          <w:lang w:val="es-ES_tradnl"/>
        </w:rPr>
        <w:t>I</w:t>
      </w:r>
      <w:r>
        <w:rPr>
          <w:lang w:val="es-ES_tradnl"/>
        </w:rPr>
        <w:br/>
      </w:r>
      <w:r w:rsidR="009679FD" w:rsidRPr="005E7CB5">
        <w:rPr>
          <w:lang w:val="es-ES_tradnl"/>
        </w:rPr>
        <w:t>Examen de la información complementaria presentada por</w:t>
      </w:r>
      <w:r>
        <w:rPr>
          <w:lang w:val="es-ES_tradnl"/>
        </w:rPr>
        <w:t> </w:t>
      </w:r>
      <w:r w:rsidR="009679FD" w:rsidRPr="005E7CB5">
        <w:rPr>
          <w:lang w:val="es-ES_tradnl"/>
        </w:rPr>
        <w:t xml:space="preserve">los </w:t>
      </w:r>
      <w:proofErr w:type="gramStart"/>
      <w:r w:rsidR="009679FD" w:rsidRPr="005E7CB5">
        <w:rPr>
          <w:lang w:val="es-ES_tradnl"/>
        </w:rPr>
        <w:t>Estados partes</w:t>
      </w:r>
      <w:proofErr w:type="gramEnd"/>
      <w:r w:rsidR="009679FD" w:rsidRPr="005E7CB5">
        <w:rPr>
          <w:lang w:val="es-ES_tradnl"/>
        </w:rPr>
        <w:t xml:space="preserve"> en virtud del artículo 29, párrafo 4,</w:t>
      </w:r>
      <w:r>
        <w:rPr>
          <w:lang w:val="es-ES_tradnl"/>
        </w:rPr>
        <w:br/>
      </w:r>
      <w:r w:rsidR="009679FD" w:rsidRPr="005E7CB5">
        <w:rPr>
          <w:lang w:val="es-ES_tradnl"/>
        </w:rPr>
        <w:t>de la Convención</w:t>
      </w:r>
      <w:bookmarkStart w:id="110" w:name="_Toc75349914"/>
      <w:bookmarkStart w:id="111" w:name="_Toc43905481"/>
      <w:bookmarkStart w:id="112" w:name="_Toc43906562"/>
      <w:bookmarkStart w:id="113" w:name="_Toc43996433"/>
      <w:bookmarkEnd w:id="110"/>
      <w:bookmarkEnd w:id="111"/>
      <w:bookmarkEnd w:id="112"/>
      <w:bookmarkEnd w:id="113"/>
    </w:p>
    <w:p w14:paraId="1592AE95" w14:textId="016EB464" w:rsidR="009679FD" w:rsidRPr="005E7CB5" w:rsidRDefault="009679FD" w:rsidP="009679FD">
      <w:pPr>
        <w:pStyle w:val="SingleTxtG"/>
        <w:rPr>
          <w:lang w:val="es-ES_tradnl"/>
        </w:rPr>
      </w:pPr>
      <w:r w:rsidRPr="005E7CB5">
        <w:rPr>
          <w:lang w:val="es-ES_tradnl"/>
        </w:rPr>
        <w:t>32.</w:t>
      </w:r>
      <w:r w:rsidRPr="005E7CB5">
        <w:rPr>
          <w:lang w:val="es-ES_tradnl"/>
        </w:rPr>
        <w:tab/>
        <w:t>Durante el período abarcado por el presente informe, el Comité recibió información complementaria de Bélgica (</w:t>
      </w:r>
      <w:hyperlink r:id="rId46" w:history="1">
        <w:r w:rsidRPr="00B24BD3">
          <w:rPr>
            <w:rStyle w:val="Hyperlink"/>
            <w:lang w:val="es-ES_tradnl"/>
          </w:rPr>
          <w:t>CED/C/BEL/AI/1</w:t>
        </w:r>
      </w:hyperlink>
      <w:r w:rsidRPr="005E7CB5">
        <w:rPr>
          <w:lang w:val="es-ES_tradnl"/>
        </w:rPr>
        <w:t>), Alemania (</w:t>
      </w:r>
      <w:hyperlink r:id="rId47" w:history="1">
        <w:r w:rsidRPr="00B24BD3">
          <w:rPr>
            <w:rStyle w:val="Hyperlink"/>
            <w:lang w:val="es-ES_tradnl"/>
          </w:rPr>
          <w:t>CED/C/DEU/AI/1</w:t>
        </w:r>
      </w:hyperlink>
      <w:r w:rsidRPr="005E7CB5">
        <w:rPr>
          <w:lang w:val="es-ES_tradnl"/>
        </w:rPr>
        <w:t>) y los Países Bajos (</w:t>
      </w:r>
      <w:hyperlink r:id="rId48" w:history="1">
        <w:r w:rsidRPr="00B24BD3">
          <w:rPr>
            <w:rStyle w:val="Hyperlink"/>
            <w:lang w:val="es-ES_tradnl"/>
          </w:rPr>
          <w:t>CED/C/NLD/AI/1</w:t>
        </w:r>
      </w:hyperlink>
      <w:r w:rsidRPr="005E7CB5">
        <w:rPr>
          <w:lang w:val="es-ES_tradnl"/>
        </w:rPr>
        <w:t>).</w:t>
      </w:r>
    </w:p>
    <w:p w14:paraId="37404ACB" w14:textId="0F0B038C" w:rsidR="009679FD" w:rsidRPr="005E7CB5" w:rsidRDefault="009679FD" w:rsidP="009679FD">
      <w:pPr>
        <w:pStyle w:val="SingleTxtG"/>
        <w:rPr>
          <w:lang w:val="es-ES_tradnl"/>
        </w:rPr>
      </w:pPr>
      <w:r w:rsidRPr="005E7CB5">
        <w:rPr>
          <w:lang w:val="es-ES_tradnl"/>
        </w:rPr>
        <w:t>33.</w:t>
      </w:r>
      <w:r w:rsidRPr="005E7CB5">
        <w:rPr>
          <w:lang w:val="es-ES_tradnl"/>
        </w:rPr>
        <w:tab/>
        <w:t>En su 19º período de sesiones, el Comité mantuvo un diálogo interactivo en línea para examinar la información complementaria presentada por el Iraq (</w:t>
      </w:r>
      <w:hyperlink r:id="rId49" w:history="1">
        <w:r w:rsidRPr="00B24BD3">
          <w:rPr>
            <w:rStyle w:val="Hyperlink"/>
            <w:lang w:val="es-ES_tradnl"/>
          </w:rPr>
          <w:t>CED/C/IRQ/AI/1</w:t>
        </w:r>
      </w:hyperlink>
      <w:r w:rsidRPr="005E7CB5">
        <w:rPr>
          <w:lang w:val="es-ES_tradnl"/>
        </w:rPr>
        <w:t xml:space="preserve">). Se trata del primer diálogo en línea celebrado nunca por un órgano de tratados. </w:t>
      </w:r>
    </w:p>
    <w:p w14:paraId="38821E38" w14:textId="3493D393" w:rsidR="009679FD" w:rsidRPr="005E7CB5" w:rsidRDefault="009679FD" w:rsidP="009679FD">
      <w:pPr>
        <w:pStyle w:val="SingleTxtG"/>
        <w:rPr>
          <w:lang w:val="es-ES_tradnl"/>
        </w:rPr>
      </w:pPr>
      <w:r w:rsidRPr="005E7CB5">
        <w:rPr>
          <w:lang w:val="es-ES_tradnl"/>
        </w:rPr>
        <w:t>34.</w:t>
      </w:r>
      <w:r w:rsidRPr="005E7CB5">
        <w:rPr>
          <w:lang w:val="es-ES_tradnl"/>
        </w:rPr>
        <w:tab/>
        <w:t>En su 20º período de sesiones, el Comité mantuvo un diálogo interactivo en línea para examinar la información complementaria presentada por Colombia (</w:t>
      </w:r>
      <w:hyperlink r:id="rId50" w:history="1">
        <w:r w:rsidRPr="00B24BD3">
          <w:rPr>
            <w:rStyle w:val="Hyperlink"/>
            <w:lang w:val="es-ES_tradnl"/>
          </w:rPr>
          <w:t>CED/C/COL/AI/1</w:t>
        </w:r>
      </w:hyperlink>
      <w:r w:rsidRPr="005E7CB5">
        <w:rPr>
          <w:lang w:val="es-ES_tradnl"/>
        </w:rPr>
        <w:t>).</w:t>
      </w:r>
    </w:p>
    <w:p w14:paraId="72CE2754" w14:textId="77777777" w:rsidR="009679FD" w:rsidRPr="005E7CB5" w:rsidRDefault="009679FD" w:rsidP="009679FD">
      <w:pPr>
        <w:pStyle w:val="SingleTxtG"/>
        <w:rPr>
          <w:lang w:val="es-ES_tradnl"/>
        </w:rPr>
      </w:pPr>
      <w:r w:rsidRPr="005E7CB5">
        <w:rPr>
          <w:lang w:val="es-ES_tradnl"/>
        </w:rPr>
        <w:br w:type="page"/>
      </w:r>
    </w:p>
    <w:p w14:paraId="2C040830" w14:textId="5451B571" w:rsidR="009679FD" w:rsidRPr="005E7CB5" w:rsidRDefault="00A17383" w:rsidP="00A17383">
      <w:pPr>
        <w:pStyle w:val="HChG"/>
        <w:rPr>
          <w:lang w:val="es-ES_tradnl"/>
        </w:rPr>
      </w:pPr>
      <w:bookmarkStart w:id="114" w:name="_Toc460489545"/>
      <w:bookmarkStart w:id="115" w:name="_Toc522200467"/>
      <w:bookmarkStart w:id="116" w:name="_Toc43905478"/>
      <w:bookmarkStart w:id="117" w:name="_Toc43906559"/>
      <w:bookmarkStart w:id="118" w:name="_Toc43996430"/>
      <w:r>
        <w:rPr>
          <w:lang w:val="es-ES_tradnl"/>
        </w:rPr>
        <w:lastRenderedPageBreak/>
        <w:tab/>
      </w:r>
      <w:r w:rsidR="009679FD">
        <w:rPr>
          <w:lang w:val="es-ES_tradnl"/>
        </w:rPr>
        <w:tab/>
      </w:r>
      <w:r w:rsidR="009679FD" w:rsidRPr="005E7CB5">
        <w:rPr>
          <w:lang w:val="es-ES_tradnl"/>
        </w:rPr>
        <w:t>Capítulo VII</w:t>
      </w:r>
      <w:r>
        <w:rPr>
          <w:lang w:val="es-ES_tradnl"/>
        </w:rPr>
        <w:br/>
      </w:r>
      <w:r w:rsidR="009679FD">
        <w:rPr>
          <w:lang w:val="es-ES_tradnl"/>
        </w:rPr>
        <w:tab/>
      </w:r>
      <w:r w:rsidR="009679FD" w:rsidRPr="005E7CB5">
        <w:rPr>
          <w:lang w:val="es-ES_tradnl"/>
        </w:rPr>
        <w:t>Aprobación de las listas de cuestiones</w:t>
      </w:r>
      <w:bookmarkStart w:id="119" w:name="_Toc75349915"/>
      <w:bookmarkEnd w:id="114"/>
      <w:bookmarkEnd w:id="115"/>
      <w:bookmarkEnd w:id="116"/>
      <w:bookmarkEnd w:id="117"/>
      <w:bookmarkEnd w:id="118"/>
      <w:bookmarkEnd w:id="119"/>
    </w:p>
    <w:p w14:paraId="31BAD109" w14:textId="2F0D4DFA" w:rsidR="009679FD" w:rsidRPr="005E7CB5" w:rsidRDefault="009679FD" w:rsidP="009679FD">
      <w:pPr>
        <w:pStyle w:val="SingleTxtG"/>
        <w:rPr>
          <w:lang w:val="es-ES_tradnl"/>
        </w:rPr>
      </w:pPr>
      <w:r w:rsidRPr="005E7CB5">
        <w:rPr>
          <w:lang w:val="es-ES_tradnl"/>
        </w:rPr>
        <w:t>35.</w:t>
      </w:r>
      <w:r w:rsidRPr="005E7CB5">
        <w:rPr>
          <w:lang w:val="es-ES_tradnl"/>
        </w:rPr>
        <w:tab/>
        <w:t>En su 19º período de sesiones, el Comité aprobó las listas de cuestiones relativas a Chequia (</w:t>
      </w:r>
      <w:hyperlink r:id="rId51" w:history="1">
        <w:r w:rsidRPr="00B24BD3">
          <w:rPr>
            <w:rStyle w:val="Hyperlink"/>
            <w:lang w:val="es-ES_tradnl"/>
          </w:rPr>
          <w:t>CED/C/CZE/Q/1</w:t>
        </w:r>
      </w:hyperlink>
      <w:r w:rsidRPr="005E7CB5">
        <w:rPr>
          <w:lang w:val="es-ES_tradnl"/>
        </w:rPr>
        <w:t>), Grecia (</w:t>
      </w:r>
      <w:hyperlink r:id="rId52" w:history="1">
        <w:r w:rsidRPr="00B24BD3">
          <w:rPr>
            <w:rStyle w:val="Hyperlink"/>
            <w:lang w:val="es-ES_tradnl"/>
          </w:rPr>
          <w:t>CED/C/GRC/Q/1</w:t>
        </w:r>
      </w:hyperlink>
      <w:r w:rsidRPr="005E7CB5">
        <w:rPr>
          <w:lang w:val="es-ES_tradnl"/>
        </w:rPr>
        <w:t xml:space="preserve">) y </w:t>
      </w:r>
      <w:r w:rsidR="00826417">
        <w:rPr>
          <w:lang w:val="es-ES_tradnl"/>
        </w:rPr>
        <w:t xml:space="preserve">el </w:t>
      </w:r>
      <w:r w:rsidRPr="005E7CB5">
        <w:rPr>
          <w:lang w:val="es-ES_tradnl"/>
        </w:rPr>
        <w:t>Níger (</w:t>
      </w:r>
      <w:hyperlink r:id="rId53" w:history="1">
        <w:r w:rsidRPr="00B24BD3">
          <w:rPr>
            <w:rStyle w:val="Hyperlink"/>
            <w:lang w:val="es-ES_tradnl"/>
          </w:rPr>
          <w:t>CED/C/NER/Q/1</w:t>
        </w:r>
      </w:hyperlink>
      <w:r w:rsidRPr="005E7CB5">
        <w:rPr>
          <w:lang w:val="es-ES_tradnl"/>
        </w:rPr>
        <w:t>), así como la lista de cuestiones en ausencia del informe de Malí (</w:t>
      </w:r>
      <w:hyperlink r:id="rId54" w:history="1">
        <w:r w:rsidRPr="00B24BD3">
          <w:rPr>
            <w:rStyle w:val="Hyperlink"/>
            <w:lang w:val="es-ES_tradnl"/>
          </w:rPr>
          <w:t>CED/C/MLI/QAR/1</w:t>
        </w:r>
      </w:hyperlink>
      <w:r w:rsidRPr="005E7CB5">
        <w:rPr>
          <w:lang w:val="es-ES_tradnl"/>
        </w:rPr>
        <w:t>). Tras recibir la lista de cuestiones en ausencia de su informe, Malí presentó su informe inicial (</w:t>
      </w:r>
      <w:hyperlink r:id="rId55" w:history="1">
        <w:r w:rsidRPr="00B24BD3">
          <w:rPr>
            <w:rStyle w:val="Hyperlink"/>
            <w:lang w:val="es-ES_tradnl"/>
          </w:rPr>
          <w:t>CED/C/MLI/1</w:t>
        </w:r>
      </w:hyperlink>
      <w:r w:rsidRPr="005E7CB5">
        <w:rPr>
          <w:lang w:val="es-ES_tradnl"/>
        </w:rPr>
        <w:t>), que debía haberse presentado en 2012. De acuerdo con los métodos de trabajo del Comité (párr. 28), se había iniciado así el proceso normal de examen del informe del Estado. El Comité aprobará una lista de cuestiones en su 21</w:t>
      </w:r>
      <w:r w:rsidRPr="005E7CB5">
        <w:rPr>
          <w:vertAlign w:val="superscript"/>
          <w:lang w:val="es-ES_tradnl"/>
        </w:rPr>
        <w:t>er</w:t>
      </w:r>
      <w:r w:rsidRPr="005E7CB5">
        <w:rPr>
          <w:lang w:val="es-ES_tradnl"/>
        </w:rPr>
        <w:t xml:space="preserve"> período de sesiones en relación con el informe presentado por Malí. </w:t>
      </w:r>
    </w:p>
    <w:p w14:paraId="66F21791" w14:textId="66201E13" w:rsidR="009679FD" w:rsidRPr="005E7CB5" w:rsidRDefault="009679FD" w:rsidP="009679FD">
      <w:pPr>
        <w:pStyle w:val="SingleTxtG"/>
        <w:rPr>
          <w:lang w:val="es-ES_tradnl"/>
        </w:rPr>
      </w:pPr>
      <w:r w:rsidRPr="005E7CB5">
        <w:rPr>
          <w:lang w:val="es-ES_tradnl"/>
        </w:rPr>
        <w:t>36.</w:t>
      </w:r>
      <w:r w:rsidRPr="005E7CB5">
        <w:rPr>
          <w:lang w:val="es-ES_tradnl"/>
        </w:rPr>
        <w:tab/>
        <w:t>En su 20º período de sesiones, el Comité aprobó la lista de cuestiones en ausencia de informe de Zambia (</w:t>
      </w:r>
      <w:hyperlink r:id="rId56" w:history="1">
        <w:r w:rsidRPr="00B24BD3">
          <w:rPr>
            <w:rStyle w:val="Hyperlink"/>
            <w:lang w:val="es-ES_tradnl"/>
          </w:rPr>
          <w:t>CED/C/ZMB/QAR/1</w:t>
        </w:r>
      </w:hyperlink>
      <w:r w:rsidRPr="005E7CB5">
        <w:rPr>
          <w:lang w:val="es-ES_tradnl"/>
        </w:rPr>
        <w:t>).</w:t>
      </w:r>
    </w:p>
    <w:p w14:paraId="707EF296" w14:textId="77777777" w:rsidR="009679FD" w:rsidRPr="005E7CB5" w:rsidRDefault="009679FD" w:rsidP="009679FD">
      <w:pPr>
        <w:pStyle w:val="SingleTxtG"/>
        <w:rPr>
          <w:lang w:val="es-ES_tradnl"/>
        </w:rPr>
      </w:pPr>
      <w:r w:rsidRPr="005E7CB5">
        <w:rPr>
          <w:lang w:val="es-ES_tradnl"/>
        </w:rPr>
        <w:br w:type="page"/>
      </w:r>
    </w:p>
    <w:p w14:paraId="5116051B" w14:textId="1218BD21" w:rsidR="009679FD" w:rsidRPr="005E7CB5" w:rsidRDefault="009679FD" w:rsidP="00A17383">
      <w:pPr>
        <w:pStyle w:val="HChG"/>
        <w:rPr>
          <w:lang w:val="es-ES_tradnl"/>
        </w:rPr>
      </w:pPr>
      <w:r>
        <w:rPr>
          <w:lang w:val="es-ES_tradnl"/>
        </w:rPr>
        <w:lastRenderedPageBreak/>
        <w:tab/>
      </w:r>
      <w:r w:rsidR="00A17383">
        <w:rPr>
          <w:lang w:val="es-ES_tradnl"/>
        </w:rPr>
        <w:tab/>
      </w:r>
      <w:r w:rsidRPr="005E7CB5">
        <w:rPr>
          <w:lang w:val="es-ES_tradnl"/>
        </w:rPr>
        <w:t>Capítulo VIII</w:t>
      </w:r>
      <w:r w:rsidR="00A17383">
        <w:rPr>
          <w:lang w:val="es-ES_tradnl"/>
        </w:rPr>
        <w:br/>
      </w:r>
      <w:r>
        <w:rPr>
          <w:lang w:val="es-ES_tradnl"/>
        </w:rPr>
        <w:tab/>
      </w:r>
      <w:r w:rsidRPr="005E7CB5">
        <w:rPr>
          <w:lang w:val="es-ES_tradnl"/>
        </w:rPr>
        <w:t xml:space="preserve">Presentación de informes en virtud de la Convención </w:t>
      </w:r>
      <w:bookmarkStart w:id="120" w:name="_Toc460489546"/>
      <w:bookmarkStart w:id="121" w:name="_Toc522200468"/>
      <w:bookmarkStart w:id="122" w:name="_Toc43905479"/>
      <w:bookmarkStart w:id="123" w:name="_Toc43906560"/>
      <w:bookmarkStart w:id="124" w:name="_Toc43996431"/>
      <w:bookmarkStart w:id="125" w:name="_Toc75349916"/>
      <w:bookmarkEnd w:id="120"/>
      <w:bookmarkEnd w:id="121"/>
      <w:bookmarkEnd w:id="122"/>
      <w:bookmarkEnd w:id="123"/>
      <w:bookmarkEnd w:id="124"/>
      <w:bookmarkEnd w:id="125"/>
    </w:p>
    <w:p w14:paraId="54CEC15D" w14:textId="2AA6096C" w:rsidR="009679FD" w:rsidRPr="005E7CB5" w:rsidRDefault="009679FD" w:rsidP="009679FD">
      <w:pPr>
        <w:pStyle w:val="SingleTxtG"/>
        <w:rPr>
          <w:lang w:val="es-ES_tradnl"/>
        </w:rPr>
      </w:pPr>
      <w:r w:rsidRPr="005E7CB5">
        <w:rPr>
          <w:lang w:val="es-ES_tradnl"/>
        </w:rPr>
        <w:t>37.</w:t>
      </w:r>
      <w:r w:rsidRPr="005E7CB5">
        <w:rPr>
          <w:lang w:val="es-ES_tradnl"/>
        </w:rPr>
        <w:tab/>
        <w:t xml:space="preserve">En el anexo del presente informe figura una lista completa de los </w:t>
      </w:r>
      <w:proofErr w:type="gramStart"/>
      <w:r w:rsidRPr="005E7CB5">
        <w:rPr>
          <w:lang w:val="es-ES_tradnl"/>
        </w:rPr>
        <w:t>Estados partes</w:t>
      </w:r>
      <w:proofErr w:type="gramEnd"/>
      <w:r w:rsidRPr="005E7CB5">
        <w:rPr>
          <w:lang w:val="es-ES_tradnl"/>
        </w:rPr>
        <w:t xml:space="preserve"> y la situación de sus informes. Durante el per</w:t>
      </w:r>
      <w:r w:rsidR="00826417">
        <w:rPr>
          <w:lang w:val="es-ES_tradnl"/>
        </w:rPr>
        <w:t>í</w:t>
      </w:r>
      <w:r w:rsidRPr="005E7CB5">
        <w:rPr>
          <w:lang w:val="es-ES_tradnl"/>
        </w:rPr>
        <w:t>odo examinado, presentaron informes en virtud del artículo 29, párrafo 1, de la Convención Costa Rica (</w:t>
      </w:r>
      <w:hyperlink r:id="rId57" w:history="1">
        <w:r w:rsidRPr="00B24BD3">
          <w:rPr>
            <w:rStyle w:val="Hyperlink"/>
            <w:lang w:val="es-ES_tradnl"/>
          </w:rPr>
          <w:t>CED/C/CRI/1</w:t>
        </w:r>
      </w:hyperlink>
      <w:r w:rsidRPr="005E7CB5">
        <w:rPr>
          <w:lang w:val="es-ES_tradnl"/>
        </w:rPr>
        <w:t>), Gambia (</w:t>
      </w:r>
      <w:hyperlink r:id="rId58" w:history="1">
        <w:r w:rsidRPr="00B24BD3">
          <w:rPr>
            <w:rStyle w:val="Hyperlink"/>
            <w:lang w:val="es-ES_tradnl"/>
          </w:rPr>
          <w:t>CED/C/GMB/1</w:t>
        </w:r>
      </w:hyperlink>
      <w:r w:rsidRPr="005E7CB5">
        <w:rPr>
          <w:lang w:val="es-ES_tradnl"/>
        </w:rPr>
        <w:t>), Malí (</w:t>
      </w:r>
      <w:hyperlink r:id="rId59" w:history="1">
        <w:r w:rsidRPr="00B24BD3">
          <w:rPr>
            <w:rStyle w:val="Hyperlink"/>
            <w:lang w:val="es-ES_tradnl"/>
          </w:rPr>
          <w:t>CED/C/MLI/1</w:t>
        </w:r>
      </w:hyperlink>
      <w:r w:rsidRPr="005E7CB5">
        <w:rPr>
          <w:lang w:val="es-ES_tradnl"/>
        </w:rPr>
        <w:t>), Mauritania (</w:t>
      </w:r>
      <w:hyperlink r:id="rId60" w:history="1">
        <w:r w:rsidRPr="00B24BD3">
          <w:rPr>
            <w:rStyle w:val="Hyperlink"/>
            <w:lang w:val="es-ES_tradnl"/>
          </w:rPr>
          <w:t>CED/C/MRT/1</w:t>
        </w:r>
      </w:hyperlink>
      <w:r w:rsidRPr="005E7CB5">
        <w:rPr>
          <w:lang w:val="es-ES_tradnl"/>
        </w:rPr>
        <w:t>) y Nigeria (</w:t>
      </w:r>
      <w:hyperlink r:id="rId61" w:history="1">
        <w:r w:rsidRPr="00B24BD3">
          <w:rPr>
            <w:rStyle w:val="Hyperlink"/>
            <w:lang w:val="es-ES_tradnl"/>
          </w:rPr>
          <w:t>CED/C/NGA/1</w:t>
        </w:r>
      </w:hyperlink>
      <w:r w:rsidRPr="005E7CB5">
        <w:rPr>
          <w:lang w:val="es-ES_tradnl"/>
        </w:rPr>
        <w:t xml:space="preserve">). </w:t>
      </w:r>
    </w:p>
    <w:p w14:paraId="1ADCDD7C" w14:textId="77777777" w:rsidR="009679FD" w:rsidRPr="005E7CB5" w:rsidRDefault="009679FD" w:rsidP="009679FD">
      <w:pPr>
        <w:pStyle w:val="SingleTxtG"/>
        <w:rPr>
          <w:lang w:val="es-ES_tradnl"/>
        </w:rPr>
      </w:pPr>
      <w:r w:rsidRPr="005E7CB5">
        <w:rPr>
          <w:lang w:val="es-ES_tradnl"/>
        </w:rPr>
        <w:t>38.</w:t>
      </w:r>
      <w:r w:rsidRPr="005E7CB5">
        <w:rPr>
          <w:lang w:val="es-ES_tradnl"/>
        </w:rPr>
        <w:tab/>
        <w:t xml:space="preserve">En su 20º período de sesiones, el Comité observó que los informes en virtud del artículo 29, párrafo 1, de la Convención de Belice, Benín, Camboya, </w:t>
      </w:r>
      <w:proofErr w:type="spellStart"/>
      <w:r w:rsidRPr="005E7CB5">
        <w:rPr>
          <w:lang w:val="es-ES_tradnl"/>
        </w:rPr>
        <w:t>Lesotho</w:t>
      </w:r>
      <w:proofErr w:type="spellEnd"/>
      <w:r w:rsidRPr="005E7CB5">
        <w:rPr>
          <w:lang w:val="es-ES_tradnl"/>
        </w:rPr>
        <w:t xml:space="preserve">, Malawi, Malta, Marruecos, la República Centroafricana, Samoa, Seychelles, Sri Lanka, Togo, Ucrania y Zambia todavía no habían sido presentados. También señaló que la información complementaria solicitada por el Comité a Armenia, el Gabón, el Paraguay y Serbia en virtud del artículo 29, párrafo 4, de la Convención estaba atrasada. </w:t>
      </w:r>
    </w:p>
    <w:p w14:paraId="2629A994" w14:textId="77777777" w:rsidR="009679FD" w:rsidRPr="005E7CB5" w:rsidRDefault="009679FD" w:rsidP="009679FD">
      <w:pPr>
        <w:pStyle w:val="SingleTxtG"/>
        <w:rPr>
          <w:lang w:val="es-ES_tradnl"/>
        </w:rPr>
      </w:pPr>
      <w:r w:rsidRPr="005E7CB5">
        <w:rPr>
          <w:lang w:val="es-ES_tradnl"/>
        </w:rPr>
        <w:t>39.</w:t>
      </w:r>
      <w:r w:rsidRPr="005E7CB5">
        <w:rPr>
          <w:lang w:val="es-ES_tradnl"/>
        </w:rPr>
        <w:tab/>
        <w:t xml:space="preserve">En febrero de 2021 se envió un segundo recordatorio a </w:t>
      </w:r>
      <w:proofErr w:type="spellStart"/>
      <w:r w:rsidRPr="005E7CB5">
        <w:rPr>
          <w:lang w:val="es-ES_tradnl"/>
        </w:rPr>
        <w:t>Benin</w:t>
      </w:r>
      <w:proofErr w:type="spellEnd"/>
      <w:r w:rsidRPr="005E7CB5">
        <w:rPr>
          <w:lang w:val="es-ES_tradnl"/>
        </w:rPr>
        <w:t xml:space="preserve">, Malawi y Seychelles; un tercer recordatorio a la República Centroafricana y a Sri Lanka; un cuarto recordatorio a Belice, Malta y Ucrania; un quinto recordatorio a </w:t>
      </w:r>
      <w:proofErr w:type="spellStart"/>
      <w:r w:rsidRPr="005E7CB5">
        <w:rPr>
          <w:lang w:val="es-ES_tradnl"/>
        </w:rPr>
        <w:t>Lesotho</w:t>
      </w:r>
      <w:proofErr w:type="spellEnd"/>
      <w:r w:rsidRPr="005E7CB5">
        <w:rPr>
          <w:lang w:val="es-ES_tradnl"/>
        </w:rPr>
        <w:t xml:space="preserve"> y el Togo; un sexto recordatorio a Camboya y Marruecos; y un séptimo recordatorio a Samoa. Al final del 20º período de sesiones, la Presidencia pidió que se enviaran nuevos recordatorios a todos los </w:t>
      </w:r>
      <w:proofErr w:type="gramStart"/>
      <w:r w:rsidRPr="005E7CB5">
        <w:rPr>
          <w:lang w:val="es-ES_tradnl"/>
        </w:rPr>
        <w:t>Estados partes</w:t>
      </w:r>
      <w:proofErr w:type="gramEnd"/>
      <w:r w:rsidRPr="005E7CB5">
        <w:rPr>
          <w:lang w:val="es-ES_tradnl"/>
        </w:rPr>
        <w:t xml:space="preserve"> pertinentes. </w:t>
      </w:r>
    </w:p>
    <w:p w14:paraId="275B49D7" w14:textId="77777777" w:rsidR="009679FD" w:rsidRPr="005E7CB5" w:rsidRDefault="009679FD" w:rsidP="009679FD">
      <w:pPr>
        <w:pStyle w:val="SingleTxtG"/>
        <w:rPr>
          <w:lang w:val="es-ES_tradnl"/>
        </w:rPr>
      </w:pPr>
      <w:r w:rsidRPr="005E7CB5">
        <w:rPr>
          <w:lang w:val="es-ES_tradnl"/>
        </w:rPr>
        <w:br w:type="page"/>
      </w:r>
    </w:p>
    <w:p w14:paraId="6AD0544E" w14:textId="01F0FA99" w:rsidR="009679FD" w:rsidRPr="005E7CB5" w:rsidRDefault="00A17383" w:rsidP="00A17383">
      <w:pPr>
        <w:pStyle w:val="HChG"/>
        <w:rPr>
          <w:lang w:val="es-ES_tradnl"/>
        </w:rPr>
      </w:pPr>
      <w:r>
        <w:rPr>
          <w:lang w:val="es-ES_tradnl"/>
        </w:rPr>
        <w:lastRenderedPageBreak/>
        <w:tab/>
      </w:r>
      <w:r w:rsidR="009679FD">
        <w:rPr>
          <w:lang w:val="es-ES_tradnl"/>
        </w:rPr>
        <w:tab/>
      </w:r>
      <w:r w:rsidR="009679FD" w:rsidRPr="005E7CB5">
        <w:rPr>
          <w:lang w:val="es-ES_tradnl"/>
        </w:rPr>
        <w:t>Capítulo IX</w:t>
      </w:r>
      <w:r>
        <w:rPr>
          <w:lang w:val="es-ES_tradnl"/>
        </w:rPr>
        <w:br/>
      </w:r>
      <w:r w:rsidR="009679FD">
        <w:rPr>
          <w:lang w:val="es-ES_tradnl"/>
        </w:rPr>
        <w:tab/>
      </w:r>
      <w:r w:rsidR="009679FD" w:rsidRPr="005E7CB5">
        <w:rPr>
          <w:lang w:val="es-ES_tradnl"/>
        </w:rPr>
        <w:t>Represalias</w:t>
      </w:r>
      <w:bookmarkStart w:id="126" w:name="_Toc460489547"/>
      <w:bookmarkStart w:id="127" w:name="_Toc522200469"/>
      <w:bookmarkStart w:id="128" w:name="_Toc43905480"/>
      <w:bookmarkStart w:id="129" w:name="_Toc43906561"/>
      <w:bookmarkStart w:id="130" w:name="_Toc43996432"/>
      <w:bookmarkStart w:id="131" w:name="_Toc75349917"/>
      <w:bookmarkEnd w:id="126"/>
      <w:bookmarkEnd w:id="127"/>
      <w:bookmarkEnd w:id="128"/>
      <w:bookmarkEnd w:id="129"/>
      <w:bookmarkEnd w:id="130"/>
      <w:bookmarkEnd w:id="131"/>
    </w:p>
    <w:p w14:paraId="553F149E" w14:textId="08CC44EB" w:rsidR="009679FD" w:rsidRPr="005E7CB5" w:rsidRDefault="009679FD" w:rsidP="009679FD">
      <w:pPr>
        <w:pStyle w:val="SingleTxtG"/>
        <w:rPr>
          <w:lang w:val="es-ES_tradnl"/>
        </w:rPr>
      </w:pPr>
      <w:r w:rsidRPr="005E7CB5">
        <w:rPr>
          <w:lang w:val="es-ES_tradnl"/>
        </w:rPr>
        <w:t>40.</w:t>
      </w:r>
      <w:r w:rsidRPr="005E7CB5">
        <w:rPr>
          <w:lang w:val="es-ES_tradnl"/>
        </w:rPr>
        <w:tab/>
        <w:t>Durante el per</w:t>
      </w:r>
      <w:r w:rsidR="00826417">
        <w:rPr>
          <w:lang w:val="es-ES_tradnl"/>
        </w:rPr>
        <w:t>í</w:t>
      </w:r>
      <w:r w:rsidRPr="005E7CB5">
        <w:rPr>
          <w:lang w:val="es-ES_tradnl"/>
        </w:rPr>
        <w:t>odo que abarca el informe, el Comité recibió dos alegaciones de acoso, vigilancia y criminalización por actores estatales presentadas por miembros del personal de una organización y un familiar de una víctima en México, tras la presentación al Comité de peticiones de acción urgente. En estos casos, el Comité pidió al Estado parte que adoptara medidas de protección y ha realizado un seguimiento de la evolución de la situación de las presuntas víctimas.</w:t>
      </w:r>
    </w:p>
    <w:p w14:paraId="7006DAF8" w14:textId="2FA9DACA" w:rsidR="009679FD" w:rsidRPr="005E7CB5" w:rsidRDefault="009679FD" w:rsidP="009679FD">
      <w:pPr>
        <w:pStyle w:val="SingleTxtG"/>
        <w:rPr>
          <w:lang w:val="es-ES_tradnl"/>
        </w:rPr>
      </w:pPr>
      <w:r w:rsidRPr="005E7CB5">
        <w:rPr>
          <w:lang w:val="es-ES_tradnl"/>
        </w:rPr>
        <w:t>41.</w:t>
      </w:r>
      <w:r w:rsidRPr="005E7CB5">
        <w:rPr>
          <w:lang w:val="es-ES_tradnl"/>
        </w:rPr>
        <w:tab/>
        <w:t>En su 19º período de sesiones, el Comité pidió a su Relatora sobre las represalias que preparara un proyecto de directrices sobre la gestión de las alegaciones de represalias recibidas, para aclarar el alcance del procedimiento, los pasos que se deben dar y la división de responsabilidades entre los distintos actores involucrados en el tratamiento de dichas alegaciones. En su 20º período de sesiones, el Comité adoptó sus Directrices para prevenir y combatir la intimidación y las represalias contra las personas y los grupos que cooperan con el Comité (</w:t>
      </w:r>
      <w:hyperlink r:id="rId62" w:history="1">
        <w:r w:rsidRPr="00B24BD3">
          <w:rPr>
            <w:rStyle w:val="Hyperlink"/>
            <w:lang w:val="es-ES_tradnl"/>
          </w:rPr>
          <w:t>CED/C/8</w:t>
        </w:r>
      </w:hyperlink>
      <w:r w:rsidRPr="005E7CB5">
        <w:rPr>
          <w:lang w:val="es-ES_tradnl"/>
        </w:rPr>
        <w:t>).</w:t>
      </w:r>
    </w:p>
    <w:p w14:paraId="187C05CF" w14:textId="77777777" w:rsidR="009679FD" w:rsidRPr="005E7CB5" w:rsidRDefault="009679FD" w:rsidP="009679FD">
      <w:pPr>
        <w:pStyle w:val="SingleTxtG"/>
        <w:rPr>
          <w:b/>
          <w:lang w:val="es-ES_tradnl"/>
        </w:rPr>
      </w:pPr>
      <w:r w:rsidRPr="005E7CB5">
        <w:rPr>
          <w:lang w:val="es-ES_tradnl"/>
        </w:rPr>
        <w:br w:type="page"/>
      </w:r>
    </w:p>
    <w:p w14:paraId="7FB671FC" w14:textId="6E1BD15C" w:rsidR="009679FD" w:rsidRPr="005E7CB5" w:rsidRDefault="00A17383" w:rsidP="00A17383">
      <w:pPr>
        <w:pStyle w:val="HChG"/>
        <w:rPr>
          <w:lang w:val="es-ES_tradnl"/>
        </w:rPr>
      </w:pPr>
      <w:r>
        <w:rPr>
          <w:lang w:val="es-ES_tradnl"/>
        </w:rPr>
        <w:lastRenderedPageBreak/>
        <w:tab/>
      </w:r>
      <w:r w:rsidR="009679FD">
        <w:rPr>
          <w:lang w:val="es-ES_tradnl"/>
        </w:rPr>
        <w:tab/>
      </w:r>
      <w:r w:rsidR="009679FD" w:rsidRPr="005E7CB5">
        <w:rPr>
          <w:lang w:val="es-ES_tradnl"/>
        </w:rPr>
        <w:t>Capítulo X</w:t>
      </w:r>
      <w:r>
        <w:rPr>
          <w:lang w:val="es-ES_tradnl"/>
        </w:rPr>
        <w:br/>
      </w:r>
      <w:r w:rsidR="009679FD">
        <w:rPr>
          <w:lang w:val="es-ES_tradnl"/>
        </w:rPr>
        <w:tab/>
      </w:r>
      <w:r w:rsidR="009679FD" w:rsidRPr="005E7CB5">
        <w:rPr>
          <w:lang w:val="es-ES_tradnl"/>
        </w:rPr>
        <w:t>Procedimiento de acción urgente en virtud del artículo 30 de</w:t>
      </w:r>
      <w:r>
        <w:rPr>
          <w:lang w:val="es-ES_tradnl"/>
        </w:rPr>
        <w:t> </w:t>
      </w:r>
      <w:r w:rsidR="009679FD" w:rsidRPr="005E7CB5">
        <w:rPr>
          <w:lang w:val="es-ES_tradnl"/>
        </w:rPr>
        <w:t>la Convención</w:t>
      </w:r>
      <w:bookmarkStart w:id="132" w:name="_Toc460489548"/>
      <w:bookmarkStart w:id="133" w:name="_Toc522200470"/>
      <w:bookmarkStart w:id="134" w:name="_Toc43905482"/>
      <w:bookmarkStart w:id="135" w:name="_Toc43906563"/>
      <w:bookmarkStart w:id="136" w:name="_Toc43996434"/>
      <w:bookmarkStart w:id="137" w:name="_Toc75349918"/>
      <w:bookmarkStart w:id="138" w:name="_Toc460489549"/>
      <w:bookmarkEnd w:id="132"/>
      <w:bookmarkEnd w:id="133"/>
      <w:bookmarkEnd w:id="134"/>
      <w:bookmarkEnd w:id="135"/>
      <w:bookmarkEnd w:id="136"/>
      <w:bookmarkEnd w:id="137"/>
    </w:p>
    <w:p w14:paraId="153FCAD5" w14:textId="77777777" w:rsidR="009679FD" w:rsidRPr="005E7CB5" w:rsidRDefault="009679FD" w:rsidP="00A17383">
      <w:pPr>
        <w:pStyle w:val="H1G"/>
        <w:rPr>
          <w:lang w:val="es-ES_tradnl"/>
        </w:rPr>
      </w:pPr>
      <w:r w:rsidRPr="005E7CB5">
        <w:rPr>
          <w:lang w:val="es-ES_tradnl"/>
        </w:rPr>
        <w:tab/>
        <w:t>A.</w:t>
      </w:r>
      <w:r w:rsidRPr="005E7CB5">
        <w:rPr>
          <w:lang w:val="es-ES_tradnl"/>
        </w:rPr>
        <w:tab/>
        <w:t>Peticiones de acción urgente recibidas y registradas desde el establecimiento del Comité</w:t>
      </w:r>
      <w:bookmarkStart w:id="139" w:name="_Toc75349919"/>
      <w:bookmarkStart w:id="140" w:name="_Toc522200471"/>
      <w:bookmarkStart w:id="141" w:name="_Toc43905483"/>
      <w:bookmarkStart w:id="142" w:name="_Toc43906564"/>
      <w:bookmarkStart w:id="143" w:name="_Toc43996435"/>
      <w:bookmarkEnd w:id="139"/>
      <w:bookmarkEnd w:id="140"/>
      <w:bookmarkEnd w:id="141"/>
      <w:bookmarkEnd w:id="142"/>
      <w:bookmarkEnd w:id="143"/>
    </w:p>
    <w:p w14:paraId="4B5511A3" w14:textId="77777777" w:rsidR="009679FD" w:rsidRPr="005E7CB5" w:rsidRDefault="009679FD" w:rsidP="009679FD">
      <w:pPr>
        <w:pStyle w:val="SingleTxtG"/>
        <w:rPr>
          <w:lang w:val="es-ES_tradnl"/>
        </w:rPr>
      </w:pPr>
      <w:r w:rsidRPr="005E7CB5">
        <w:rPr>
          <w:lang w:val="es-ES_tradnl"/>
        </w:rPr>
        <w:t>42.</w:t>
      </w:r>
      <w:r w:rsidRPr="005E7CB5">
        <w:rPr>
          <w:lang w:val="es-ES_tradnl"/>
        </w:rPr>
        <w:tab/>
        <w:t xml:space="preserve">Al 12 de abril de 2021, fecha de apertura del 20º período de sesiones, el Comité había registrado un total de 1.013 peticiones de acción urgente desde 2012. </w:t>
      </w:r>
    </w:p>
    <w:p w14:paraId="19928644" w14:textId="77777777" w:rsidR="009679FD" w:rsidRPr="005E7CB5" w:rsidRDefault="009679FD" w:rsidP="009679FD">
      <w:pPr>
        <w:pStyle w:val="SingleTxtG"/>
        <w:rPr>
          <w:lang w:val="es-ES_tradnl"/>
        </w:rPr>
      </w:pPr>
      <w:r w:rsidRPr="005E7CB5">
        <w:rPr>
          <w:lang w:val="es-ES_tradnl"/>
        </w:rPr>
        <w:t>43.</w:t>
      </w:r>
      <w:r w:rsidRPr="005E7CB5">
        <w:rPr>
          <w:lang w:val="es-ES_tradnl"/>
        </w:rPr>
        <w:tab/>
        <w:t>El cuadro que figura a continuación refleja las peticiones de acción urgente registradas por el Comité entre 2012 y el 1 de abril de 2021, desglosadas por año y por Estado parte.</w:t>
      </w:r>
    </w:p>
    <w:p w14:paraId="25358F55" w14:textId="7B250CE0" w:rsidR="009679FD" w:rsidRPr="005E7CB5" w:rsidRDefault="009679FD" w:rsidP="00F622AF">
      <w:pPr>
        <w:pStyle w:val="H23G"/>
        <w:ind w:left="0" w:firstLine="0"/>
        <w:rPr>
          <w:lang w:val="es-ES_tradnl"/>
        </w:rPr>
      </w:pPr>
      <w:r w:rsidRPr="005E7CB5">
        <w:rPr>
          <w:lang w:val="es-ES_tradnl"/>
        </w:rPr>
        <w:tab/>
        <w:t>Peticiones de acción urgente registradas hasta el 1 de abril de 2021, desglosadas por año y Estado</w:t>
      </w:r>
      <w:r w:rsidR="00F622AF">
        <w:rPr>
          <w:lang w:val="es-ES_tradnl"/>
        </w:rPr>
        <w:t> </w:t>
      </w:r>
      <w:r w:rsidRPr="005E7CB5">
        <w:rPr>
          <w:lang w:val="es-ES_tradnl"/>
        </w:rPr>
        <w:t>parte</w:t>
      </w:r>
    </w:p>
    <w:tbl>
      <w:tblPr>
        <w:tblW w:w="9855" w:type="dxa"/>
        <w:tblBorders>
          <w:top w:val="single" w:sz="4" w:space="0" w:color="auto"/>
        </w:tblBorders>
        <w:tblLayout w:type="fixed"/>
        <w:tblCellMar>
          <w:left w:w="0" w:type="dxa"/>
          <w:right w:w="0" w:type="dxa"/>
        </w:tblCellMar>
        <w:tblLook w:val="04A0" w:firstRow="1" w:lastRow="0" w:firstColumn="1" w:lastColumn="0" w:noHBand="0" w:noVBand="1"/>
      </w:tblPr>
      <w:tblGrid>
        <w:gridCol w:w="742"/>
        <w:gridCol w:w="375"/>
        <w:gridCol w:w="375"/>
        <w:gridCol w:w="493"/>
        <w:gridCol w:w="257"/>
        <w:gridCol w:w="375"/>
        <w:gridCol w:w="375"/>
        <w:gridCol w:w="375"/>
        <w:gridCol w:w="375"/>
        <w:gridCol w:w="375"/>
        <w:gridCol w:w="419"/>
        <w:gridCol w:w="364"/>
        <w:gridCol w:w="342"/>
        <w:gridCol w:w="375"/>
        <w:gridCol w:w="360"/>
        <w:gridCol w:w="434"/>
        <w:gridCol w:w="331"/>
        <w:gridCol w:w="375"/>
        <w:gridCol w:w="375"/>
        <w:gridCol w:w="375"/>
        <w:gridCol w:w="375"/>
        <w:gridCol w:w="375"/>
        <w:gridCol w:w="375"/>
        <w:gridCol w:w="376"/>
        <w:gridCol w:w="487"/>
      </w:tblGrid>
      <w:tr w:rsidR="00F622AF" w:rsidRPr="00F622AF" w14:paraId="4F608078" w14:textId="77777777" w:rsidTr="00546A02">
        <w:trPr>
          <w:cantSplit/>
          <w:trHeight w:val="1274"/>
          <w:tblHeader/>
        </w:trPr>
        <w:tc>
          <w:tcPr>
            <w:tcW w:w="742" w:type="dxa"/>
            <w:tcBorders>
              <w:top w:val="single" w:sz="4" w:space="0" w:color="auto"/>
              <w:bottom w:val="single" w:sz="12" w:space="0" w:color="auto"/>
            </w:tcBorders>
            <w:shd w:val="clear" w:color="auto" w:fill="auto"/>
            <w:vAlign w:val="bottom"/>
            <w:hideMark/>
          </w:tcPr>
          <w:p w14:paraId="12C8854D" w14:textId="77777777" w:rsidR="009679FD" w:rsidRPr="00F622AF" w:rsidRDefault="009679FD" w:rsidP="00F622AF">
            <w:pPr>
              <w:pStyle w:val="SingleTxtG"/>
              <w:tabs>
                <w:tab w:val="clear" w:pos="1701"/>
                <w:tab w:val="clear" w:pos="2268"/>
                <w:tab w:val="clear" w:pos="2835"/>
              </w:tabs>
              <w:spacing w:before="80" w:after="80" w:line="200" w:lineRule="exact"/>
              <w:ind w:left="0" w:right="0"/>
              <w:jc w:val="left"/>
              <w:rPr>
                <w:i/>
                <w:sz w:val="16"/>
                <w:lang w:val="es-ES_tradnl"/>
              </w:rPr>
            </w:pPr>
            <w:r w:rsidRPr="00F622AF">
              <w:rPr>
                <w:i/>
                <w:iCs/>
                <w:sz w:val="16"/>
                <w:lang w:val="es-ES_tradnl"/>
              </w:rPr>
              <w:t>Año</w:t>
            </w:r>
          </w:p>
        </w:tc>
        <w:tc>
          <w:tcPr>
            <w:tcW w:w="375" w:type="dxa"/>
            <w:tcBorders>
              <w:top w:val="single" w:sz="4" w:space="0" w:color="auto"/>
              <w:bottom w:val="single" w:sz="12" w:space="0" w:color="auto"/>
            </w:tcBorders>
            <w:shd w:val="clear" w:color="auto" w:fill="auto"/>
            <w:textDirection w:val="btLr"/>
            <w:vAlign w:val="bottom"/>
            <w:hideMark/>
          </w:tcPr>
          <w:p w14:paraId="31AE9126" w14:textId="77777777" w:rsidR="009679FD" w:rsidRPr="00F622AF" w:rsidRDefault="009679FD" w:rsidP="004A5B25">
            <w:pPr>
              <w:pStyle w:val="SingleTxtG"/>
              <w:tabs>
                <w:tab w:val="clear" w:pos="1701"/>
                <w:tab w:val="clear" w:pos="2268"/>
                <w:tab w:val="clear" w:pos="2835"/>
              </w:tabs>
              <w:spacing w:before="40" w:after="40" w:line="200" w:lineRule="exact"/>
              <w:ind w:left="113" w:right="0"/>
              <w:jc w:val="left"/>
              <w:rPr>
                <w:i/>
                <w:sz w:val="16"/>
                <w:lang w:val="es-ES_tradnl"/>
              </w:rPr>
            </w:pPr>
            <w:r w:rsidRPr="00F622AF">
              <w:rPr>
                <w:i/>
                <w:iCs/>
                <w:sz w:val="16"/>
                <w:lang w:val="es-ES_tradnl"/>
              </w:rPr>
              <w:t>Argentina</w:t>
            </w:r>
          </w:p>
        </w:tc>
        <w:tc>
          <w:tcPr>
            <w:tcW w:w="375" w:type="dxa"/>
            <w:tcBorders>
              <w:top w:val="single" w:sz="4" w:space="0" w:color="auto"/>
              <w:bottom w:val="single" w:sz="12" w:space="0" w:color="auto"/>
            </w:tcBorders>
            <w:shd w:val="clear" w:color="auto" w:fill="auto"/>
            <w:textDirection w:val="btLr"/>
            <w:vAlign w:val="bottom"/>
            <w:hideMark/>
          </w:tcPr>
          <w:p w14:paraId="11031ECC" w14:textId="77777777" w:rsidR="009679FD" w:rsidRPr="00F622AF" w:rsidRDefault="009679FD" w:rsidP="004A5B25">
            <w:pPr>
              <w:pStyle w:val="SingleTxtG"/>
              <w:tabs>
                <w:tab w:val="clear" w:pos="1701"/>
                <w:tab w:val="clear" w:pos="2268"/>
                <w:tab w:val="clear" w:pos="2835"/>
              </w:tabs>
              <w:spacing w:before="40" w:after="40" w:line="200" w:lineRule="exact"/>
              <w:ind w:left="113" w:right="0"/>
              <w:jc w:val="left"/>
              <w:rPr>
                <w:i/>
                <w:sz w:val="16"/>
                <w:lang w:val="es-ES_tradnl"/>
              </w:rPr>
            </w:pPr>
            <w:r w:rsidRPr="00F622AF">
              <w:rPr>
                <w:i/>
                <w:iCs/>
                <w:sz w:val="16"/>
                <w:lang w:val="es-ES_tradnl"/>
              </w:rPr>
              <w:t>Armenia</w:t>
            </w:r>
          </w:p>
        </w:tc>
        <w:tc>
          <w:tcPr>
            <w:tcW w:w="493" w:type="dxa"/>
            <w:tcBorders>
              <w:top w:val="single" w:sz="4" w:space="0" w:color="auto"/>
              <w:bottom w:val="single" w:sz="12" w:space="0" w:color="auto"/>
            </w:tcBorders>
            <w:shd w:val="clear" w:color="auto" w:fill="auto"/>
            <w:textDirection w:val="btLr"/>
            <w:vAlign w:val="bottom"/>
            <w:hideMark/>
          </w:tcPr>
          <w:p w14:paraId="3FC1303B" w14:textId="0FD6FFD0" w:rsidR="009679FD" w:rsidRPr="00F622AF" w:rsidRDefault="009679FD" w:rsidP="004A5B25">
            <w:pPr>
              <w:pStyle w:val="SingleTxtG"/>
              <w:tabs>
                <w:tab w:val="clear" w:pos="1701"/>
                <w:tab w:val="clear" w:pos="2268"/>
                <w:tab w:val="clear" w:pos="2835"/>
              </w:tabs>
              <w:spacing w:before="40" w:after="40" w:line="200" w:lineRule="exact"/>
              <w:ind w:left="113" w:right="0"/>
              <w:jc w:val="left"/>
              <w:rPr>
                <w:i/>
                <w:iCs/>
                <w:sz w:val="16"/>
                <w:lang w:val="es-ES_tradnl"/>
              </w:rPr>
            </w:pPr>
            <w:r w:rsidRPr="00F622AF">
              <w:rPr>
                <w:i/>
                <w:iCs/>
                <w:sz w:val="16"/>
                <w:lang w:val="es-ES_tradnl"/>
              </w:rPr>
              <w:t>Bolivia (Estado Plurinac</w:t>
            </w:r>
            <w:r w:rsidR="00546A02">
              <w:rPr>
                <w:i/>
                <w:iCs/>
                <w:sz w:val="16"/>
                <w:lang w:val="es-ES_tradnl"/>
              </w:rPr>
              <w:t xml:space="preserve">ional </w:t>
            </w:r>
            <w:r w:rsidRPr="00F622AF">
              <w:rPr>
                <w:i/>
                <w:iCs/>
                <w:sz w:val="16"/>
                <w:lang w:val="es-ES_tradnl"/>
              </w:rPr>
              <w:t>de)</w:t>
            </w:r>
          </w:p>
        </w:tc>
        <w:tc>
          <w:tcPr>
            <w:tcW w:w="257" w:type="dxa"/>
            <w:tcBorders>
              <w:top w:val="single" w:sz="4" w:space="0" w:color="auto"/>
              <w:bottom w:val="single" w:sz="12" w:space="0" w:color="auto"/>
            </w:tcBorders>
            <w:shd w:val="clear" w:color="auto" w:fill="auto"/>
            <w:textDirection w:val="btLr"/>
            <w:vAlign w:val="bottom"/>
            <w:hideMark/>
          </w:tcPr>
          <w:p w14:paraId="71642325" w14:textId="77777777" w:rsidR="009679FD" w:rsidRPr="00F622AF" w:rsidRDefault="009679FD" w:rsidP="004A5B25">
            <w:pPr>
              <w:pStyle w:val="SingleTxtG"/>
              <w:tabs>
                <w:tab w:val="clear" w:pos="1701"/>
                <w:tab w:val="clear" w:pos="2268"/>
                <w:tab w:val="clear" w:pos="2835"/>
              </w:tabs>
              <w:spacing w:before="40" w:after="40" w:line="200" w:lineRule="exact"/>
              <w:ind w:left="113" w:right="0"/>
              <w:jc w:val="left"/>
              <w:rPr>
                <w:i/>
                <w:sz w:val="16"/>
                <w:lang w:val="es-ES_tradnl"/>
              </w:rPr>
            </w:pPr>
            <w:r w:rsidRPr="00F622AF">
              <w:rPr>
                <w:i/>
                <w:iCs/>
                <w:sz w:val="16"/>
                <w:lang w:val="es-ES_tradnl"/>
              </w:rPr>
              <w:t>Brasil</w:t>
            </w:r>
          </w:p>
        </w:tc>
        <w:tc>
          <w:tcPr>
            <w:tcW w:w="375" w:type="dxa"/>
            <w:tcBorders>
              <w:top w:val="single" w:sz="4" w:space="0" w:color="auto"/>
              <w:bottom w:val="single" w:sz="12" w:space="0" w:color="auto"/>
            </w:tcBorders>
            <w:shd w:val="clear" w:color="auto" w:fill="auto"/>
            <w:textDirection w:val="btLr"/>
            <w:vAlign w:val="bottom"/>
            <w:hideMark/>
          </w:tcPr>
          <w:p w14:paraId="29A528DF" w14:textId="77777777" w:rsidR="009679FD" w:rsidRPr="00F622AF" w:rsidRDefault="009679FD" w:rsidP="004A5B25">
            <w:pPr>
              <w:pStyle w:val="SingleTxtG"/>
              <w:tabs>
                <w:tab w:val="clear" w:pos="1701"/>
                <w:tab w:val="clear" w:pos="2268"/>
                <w:tab w:val="clear" w:pos="2835"/>
              </w:tabs>
              <w:spacing w:before="40" w:after="40" w:line="200" w:lineRule="exact"/>
              <w:ind w:left="113" w:right="0"/>
              <w:jc w:val="left"/>
              <w:rPr>
                <w:i/>
                <w:iCs/>
                <w:sz w:val="16"/>
                <w:lang w:val="es-ES_tradnl"/>
              </w:rPr>
            </w:pPr>
            <w:r w:rsidRPr="00F622AF">
              <w:rPr>
                <w:i/>
                <w:iCs/>
                <w:sz w:val="16"/>
                <w:lang w:val="es-ES_tradnl"/>
              </w:rPr>
              <w:t>Burkina Faso</w:t>
            </w:r>
          </w:p>
        </w:tc>
        <w:tc>
          <w:tcPr>
            <w:tcW w:w="375" w:type="dxa"/>
            <w:tcBorders>
              <w:top w:val="single" w:sz="4" w:space="0" w:color="auto"/>
              <w:bottom w:val="single" w:sz="12" w:space="0" w:color="auto"/>
            </w:tcBorders>
            <w:shd w:val="clear" w:color="auto" w:fill="auto"/>
            <w:textDirection w:val="btLr"/>
            <w:vAlign w:val="bottom"/>
            <w:hideMark/>
          </w:tcPr>
          <w:p w14:paraId="401DB22D" w14:textId="77777777" w:rsidR="009679FD" w:rsidRPr="00F622AF" w:rsidRDefault="009679FD" w:rsidP="004A5B25">
            <w:pPr>
              <w:pStyle w:val="SingleTxtG"/>
              <w:tabs>
                <w:tab w:val="clear" w:pos="1701"/>
                <w:tab w:val="clear" w:pos="2268"/>
                <w:tab w:val="clear" w:pos="2835"/>
              </w:tabs>
              <w:spacing w:before="40" w:after="40" w:line="200" w:lineRule="exact"/>
              <w:ind w:left="113" w:right="0"/>
              <w:jc w:val="left"/>
              <w:rPr>
                <w:i/>
                <w:sz w:val="16"/>
                <w:lang w:val="es-ES_tradnl"/>
              </w:rPr>
            </w:pPr>
            <w:r w:rsidRPr="00F622AF">
              <w:rPr>
                <w:i/>
                <w:iCs/>
                <w:sz w:val="16"/>
                <w:lang w:val="es-ES_tradnl"/>
              </w:rPr>
              <w:t>Camboya</w:t>
            </w:r>
          </w:p>
        </w:tc>
        <w:tc>
          <w:tcPr>
            <w:tcW w:w="375" w:type="dxa"/>
            <w:tcBorders>
              <w:top w:val="single" w:sz="4" w:space="0" w:color="auto"/>
              <w:bottom w:val="single" w:sz="12" w:space="0" w:color="auto"/>
            </w:tcBorders>
            <w:shd w:val="clear" w:color="auto" w:fill="auto"/>
            <w:textDirection w:val="btLr"/>
            <w:vAlign w:val="bottom"/>
            <w:hideMark/>
          </w:tcPr>
          <w:p w14:paraId="4E4946E8" w14:textId="77777777" w:rsidR="009679FD" w:rsidRPr="00F622AF" w:rsidRDefault="009679FD" w:rsidP="004A5B25">
            <w:pPr>
              <w:pStyle w:val="SingleTxtG"/>
              <w:tabs>
                <w:tab w:val="clear" w:pos="1701"/>
                <w:tab w:val="clear" w:pos="2268"/>
                <w:tab w:val="clear" w:pos="2835"/>
              </w:tabs>
              <w:spacing w:before="40" w:after="40" w:line="200" w:lineRule="exact"/>
              <w:ind w:left="113" w:right="0"/>
              <w:jc w:val="left"/>
              <w:rPr>
                <w:i/>
                <w:sz w:val="16"/>
                <w:lang w:val="es-ES_tradnl"/>
              </w:rPr>
            </w:pPr>
            <w:r w:rsidRPr="00F622AF">
              <w:rPr>
                <w:i/>
                <w:iCs/>
                <w:sz w:val="16"/>
                <w:lang w:val="es-ES_tradnl"/>
              </w:rPr>
              <w:t>Colombia</w:t>
            </w:r>
          </w:p>
        </w:tc>
        <w:tc>
          <w:tcPr>
            <w:tcW w:w="375" w:type="dxa"/>
            <w:tcBorders>
              <w:top w:val="single" w:sz="4" w:space="0" w:color="auto"/>
              <w:bottom w:val="single" w:sz="12" w:space="0" w:color="auto"/>
            </w:tcBorders>
            <w:shd w:val="clear" w:color="auto" w:fill="auto"/>
            <w:textDirection w:val="btLr"/>
            <w:vAlign w:val="bottom"/>
            <w:hideMark/>
          </w:tcPr>
          <w:p w14:paraId="6C3214F6" w14:textId="77777777" w:rsidR="009679FD" w:rsidRPr="00F622AF" w:rsidRDefault="009679FD" w:rsidP="004A5B25">
            <w:pPr>
              <w:pStyle w:val="SingleTxtG"/>
              <w:tabs>
                <w:tab w:val="clear" w:pos="1701"/>
                <w:tab w:val="clear" w:pos="2268"/>
                <w:tab w:val="clear" w:pos="2835"/>
              </w:tabs>
              <w:spacing w:before="40" w:after="40" w:line="200" w:lineRule="exact"/>
              <w:ind w:left="113" w:right="0"/>
              <w:jc w:val="left"/>
              <w:rPr>
                <w:i/>
                <w:sz w:val="16"/>
                <w:lang w:val="es-ES_tradnl"/>
              </w:rPr>
            </w:pPr>
            <w:r w:rsidRPr="00F622AF">
              <w:rPr>
                <w:i/>
                <w:iCs/>
                <w:sz w:val="16"/>
                <w:lang w:val="es-ES_tradnl"/>
              </w:rPr>
              <w:t>Cuba</w:t>
            </w:r>
          </w:p>
        </w:tc>
        <w:tc>
          <w:tcPr>
            <w:tcW w:w="375" w:type="dxa"/>
            <w:tcBorders>
              <w:top w:val="single" w:sz="4" w:space="0" w:color="auto"/>
              <w:bottom w:val="single" w:sz="12" w:space="0" w:color="auto"/>
            </w:tcBorders>
            <w:shd w:val="clear" w:color="auto" w:fill="auto"/>
            <w:textDirection w:val="btLr"/>
            <w:vAlign w:val="bottom"/>
            <w:hideMark/>
          </w:tcPr>
          <w:p w14:paraId="585B03AC" w14:textId="77777777" w:rsidR="009679FD" w:rsidRPr="00F622AF" w:rsidRDefault="009679FD" w:rsidP="004A5B25">
            <w:pPr>
              <w:pStyle w:val="SingleTxtG"/>
              <w:tabs>
                <w:tab w:val="clear" w:pos="1701"/>
                <w:tab w:val="clear" w:pos="2268"/>
                <w:tab w:val="clear" w:pos="2835"/>
              </w:tabs>
              <w:spacing w:before="40" w:after="40" w:line="200" w:lineRule="exact"/>
              <w:ind w:left="113" w:right="0"/>
              <w:jc w:val="left"/>
              <w:rPr>
                <w:i/>
                <w:sz w:val="16"/>
                <w:lang w:val="es-ES_tradnl"/>
              </w:rPr>
            </w:pPr>
            <w:r w:rsidRPr="00F622AF">
              <w:rPr>
                <w:i/>
                <w:iCs/>
                <w:sz w:val="16"/>
                <w:lang w:val="es-ES_tradnl"/>
              </w:rPr>
              <w:t>Honduras</w:t>
            </w:r>
          </w:p>
        </w:tc>
        <w:tc>
          <w:tcPr>
            <w:tcW w:w="419" w:type="dxa"/>
            <w:tcBorders>
              <w:top w:val="single" w:sz="4" w:space="0" w:color="auto"/>
              <w:bottom w:val="single" w:sz="12" w:space="0" w:color="auto"/>
            </w:tcBorders>
            <w:shd w:val="clear" w:color="auto" w:fill="auto"/>
            <w:textDirection w:val="btLr"/>
            <w:vAlign w:val="bottom"/>
            <w:hideMark/>
          </w:tcPr>
          <w:p w14:paraId="36A8C350" w14:textId="77777777" w:rsidR="009679FD" w:rsidRPr="00F622AF" w:rsidRDefault="009679FD" w:rsidP="004A5B25">
            <w:pPr>
              <w:pStyle w:val="SingleTxtG"/>
              <w:tabs>
                <w:tab w:val="clear" w:pos="1701"/>
                <w:tab w:val="clear" w:pos="2268"/>
                <w:tab w:val="clear" w:pos="2835"/>
              </w:tabs>
              <w:spacing w:before="40" w:after="40" w:line="200" w:lineRule="exact"/>
              <w:ind w:left="113" w:right="0"/>
              <w:jc w:val="left"/>
              <w:rPr>
                <w:i/>
                <w:sz w:val="16"/>
                <w:lang w:val="es-ES_tradnl"/>
              </w:rPr>
            </w:pPr>
            <w:r w:rsidRPr="00F622AF">
              <w:rPr>
                <w:i/>
                <w:iCs/>
                <w:sz w:val="16"/>
                <w:lang w:val="es-ES_tradnl"/>
              </w:rPr>
              <w:t>Iraq</w:t>
            </w:r>
          </w:p>
        </w:tc>
        <w:tc>
          <w:tcPr>
            <w:tcW w:w="364" w:type="dxa"/>
            <w:tcBorders>
              <w:top w:val="single" w:sz="4" w:space="0" w:color="auto"/>
              <w:bottom w:val="single" w:sz="12" w:space="0" w:color="auto"/>
            </w:tcBorders>
            <w:shd w:val="clear" w:color="auto" w:fill="auto"/>
            <w:textDirection w:val="btLr"/>
            <w:vAlign w:val="bottom"/>
            <w:hideMark/>
          </w:tcPr>
          <w:p w14:paraId="0359A823" w14:textId="77777777" w:rsidR="009679FD" w:rsidRPr="00F622AF" w:rsidRDefault="009679FD" w:rsidP="004A5B25">
            <w:pPr>
              <w:pStyle w:val="SingleTxtG"/>
              <w:tabs>
                <w:tab w:val="clear" w:pos="1701"/>
                <w:tab w:val="clear" w:pos="2268"/>
                <w:tab w:val="clear" w:pos="2835"/>
              </w:tabs>
              <w:spacing w:before="40" w:after="40" w:line="200" w:lineRule="exact"/>
              <w:ind w:left="113" w:right="0"/>
              <w:jc w:val="left"/>
              <w:rPr>
                <w:i/>
                <w:sz w:val="16"/>
                <w:lang w:val="es-ES_tradnl"/>
              </w:rPr>
            </w:pPr>
            <w:r w:rsidRPr="00F622AF">
              <w:rPr>
                <w:i/>
                <w:iCs/>
                <w:sz w:val="16"/>
                <w:lang w:val="es-ES_tradnl"/>
              </w:rPr>
              <w:t>Kazajstán</w:t>
            </w:r>
          </w:p>
        </w:tc>
        <w:tc>
          <w:tcPr>
            <w:tcW w:w="342" w:type="dxa"/>
            <w:tcBorders>
              <w:top w:val="single" w:sz="4" w:space="0" w:color="auto"/>
              <w:bottom w:val="single" w:sz="12" w:space="0" w:color="auto"/>
            </w:tcBorders>
            <w:shd w:val="clear" w:color="auto" w:fill="auto"/>
            <w:textDirection w:val="btLr"/>
            <w:vAlign w:val="bottom"/>
            <w:hideMark/>
          </w:tcPr>
          <w:p w14:paraId="2193F28D" w14:textId="77777777" w:rsidR="009679FD" w:rsidRPr="00F622AF" w:rsidRDefault="009679FD" w:rsidP="004A5B25">
            <w:pPr>
              <w:pStyle w:val="SingleTxtG"/>
              <w:tabs>
                <w:tab w:val="clear" w:pos="1701"/>
                <w:tab w:val="clear" w:pos="2268"/>
                <w:tab w:val="clear" w:pos="2835"/>
              </w:tabs>
              <w:spacing w:before="40" w:after="40" w:line="200" w:lineRule="exact"/>
              <w:ind w:left="113" w:right="0"/>
              <w:jc w:val="left"/>
              <w:rPr>
                <w:i/>
                <w:sz w:val="16"/>
                <w:lang w:val="es-ES_tradnl"/>
              </w:rPr>
            </w:pPr>
            <w:r w:rsidRPr="00F622AF">
              <w:rPr>
                <w:i/>
                <w:iCs/>
                <w:sz w:val="16"/>
                <w:lang w:val="es-ES_tradnl"/>
              </w:rPr>
              <w:t>Lituania</w:t>
            </w:r>
          </w:p>
        </w:tc>
        <w:tc>
          <w:tcPr>
            <w:tcW w:w="375" w:type="dxa"/>
            <w:tcBorders>
              <w:top w:val="single" w:sz="4" w:space="0" w:color="auto"/>
              <w:bottom w:val="single" w:sz="12" w:space="0" w:color="auto"/>
            </w:tcBorders>
            <w:shd w:val="clear" w:color="auto" w:fill="auto"/>
            <w:textDirection w:val="btLr"/>
            <w:vAlign w:val="bottom"/>
            <w:hideMark/>
          </w:tcPr>
          <w:p w14:paraId="43CCC8AA" w14:textId="77777777" w:rsidR="009679FD" w:rsidRPr="00F622AF" w:rsidRDefault="009679FD" w:rsidP="004A5B25">
            <w:pPr>
              <w:pStyle w:val="SingleTxtG"/>
              <w:tabs>
                <w:tab w:val="clear" w:pos="1701"/>
                <w:tab w:val="clear" w:pos="2268"/>
                <w:tab w:val="clear" w:pos="2835"/>
              </w:tabs>
              <w:spacing w:before="40" w:after="40" w:line="200" w:lineRule="exact"/>
              <w:ind w:left="113" w:right="0"/>
              <w:jc w:val="left"/>
              <w:rPr>
                <w:i/>
                <w:iCs/>
                <w:sz w:val="16"/>
                <w:lang w:val="es-ES_tradnl"/>
              </w:rPr>
            </w:pPr>
            <w:r w:rsidRPr="00F622AF">
              <w:rPr>
                <w:i/>
                <w:iCs/>
                <w:sz w:val="16"/>
                <w:lang w:val="es-ES_tradnl"/>
              </w:rPr>
              <w:t>Malí</w:t>
            </w:r>
          </w:p>
        </w:tc>
        <w:tc>
          <w:tcPr>
            <w:tcW w:w="360" w:type="dxa"/>
            <w:tcBorders>
              <w:top w:val="single" w:sz="4" w:space="0" w:color="auto"/>
              <w:bottom w:val="single" w:sz="12" w:space="0" w:color="auto"/>
            </w:tcBorders>
            <w:shd w:val="clear" w:color="auto" w:fill="auto"/>
            <w:textDirection w:val="btLr"/>
            <w:vAlign w:val="bottom"/>
            <w:hideMark/>
          </w:tcPr>
          <w:p w14:paraId="223AF980" w14:textId="77777777" w:rsidR="009679FD" w:rsidRPr="00F622AF" w:rsidRDefault="009679FD" w:rsidP="004A5B25">
            <w:pPr>
              <w:pStyle w:val="SingleTxtG"/>
              <w:tabs>
                <w:tab w:val="clear" w:pos="1701"/>
                <w:tab w:val="clear" w:pos="2268"/>
                <w:tab w:val="clear" w:pos="2835"/>
              </w:tabs>
              <w:spacing w:before="40" w:after="40" w:line="200" w:lineRule="exact"/>
              <w:ind w:left="113" w:right="0"/>
              <w:jc w:val="left"/>
              <w:rPr>
                <w:i/>
                <w:sz w:val="16"/>
                <w:lang w:val="es-ES_tradnl"/>
              </w:rPr>
            </w:pPr>
            <w:r w:rsidRPr="00F622AF">
              <w:rPr>
                <w:i/>
                <w:iCs/>
                <w:sz w:val="16"/>
                <w:lang w:val="es-ES_tradnl"/>
              </w:rPr>
              <w:t>Mauritania</w:t>
            </w:r>
          </w:p>
        </w:tc>
        <w:tc>
          <w:tcPr>
            <w:tcW w:w="434" w:type="dxa"/>
            <w:tcBorders>
              <w:top w:val="single" w:sz="4" w:space="0" w:color="auto"/>
              <w:bottom w:val="single" w:sz="12" w:space="0" w:color="auto"/>
            </w:tcBorders>
            <w:shd w:val="clear" w:color="auto" w:fill="auto"/>
            <w:textDirection w:val="btLr"/>
            <w:vAlign w:val="bottom"/>
            <w:hideMark/>
          </w:tcPr>
          <w:p w14:paraId="4B8271E0" w14:textId="77777777" w:rsidR="009679FD" w:rsidRPr="00F622AF" w:rsidRDefault="009679FD" w:rsidP="004A5B25">
            <w:pPr>
              <w:pStyle w:val="SingleTxtG"/>
              <w:tabs>
                <w:tab w:val="clear" w:pos="1701"/>
                <w:tab w:val="clear" w:pos="2268"/>
                <w:tab w:val="clear" w:pos="2835"/>
              </w:tabs>
              <w:spacing w:before="40" w:after="40" w:line="200" w:lineRule="exact"/>
              <w:ind w:left="113" w:right="0"/>
              <w:jc w:val="left"/>
              <w:rPr>
                <w:i/>
                <w:sz w:val="16"/>
                <w:lang w:val="es-ES_tradnl"/>
              </w:rPr>
            </w:pPr>
            <w:r w:rsidRPr="00F622AF">
              <w:rPr>
                <w:i/>
                <w:iCs/>
                <w:sz w:val="16"/>
                <w:lang w:val="es-ES_tradnl"/>
              </w:rPr>
              <w:t>México</w:t>
            </w:r>
          </w:p>
        </w:tc>
        <w:tc>
          <w:tcPr>
            <w:tcW w:w="331" w:type="dxa"/>
            <w:tcBorders>
              <w:top w:val="single" w:sz="4" w:space="0" w:color="auto"/>
              <w:bottom w:val="single" w:sz="12" w:space="0" w:color="auto"/>
            </w:tcBorders>
            <w:shd w:val="clear" w:color="auto" w:fill="auto"/>
            <w:textDirection w:val="btLr"/>
            <w:vAlign w:val="bottom"/>
            <w:hideMark/>
          </w:tcPr>
          <w:p w14:paraId="66577810" w14:textId="77777777" w:rsidR="009679FD" w:rsidRPr="00F622AF" w:rsidRDefault="009679FD" w:rsidP="004A5B25">
            <w:pPr>
              <w:pStyle w:val="SingleTxtG"/>
              <w:tabs>
                <w:tab w:val="clear" w:pos="1701"/>
                <w:tab w:val="clear" w:pos="2268"/>
                <w:tab w:val="clear" w:pos="2835"/>
              </w:tabs>
              <w:spacing w:before="40" w:after="40" w:line="200" w:lineRule="exact"/>
              <w:ind w:left="113" w:right="0"/>
              <w:jc w:val="left"/>
              <w:rPr>
                <w:i/>
                <w:sz w:val="16"/>
                <w:lang w:val="es-ES_tradnl"/>
              </w:rPr>
            </w:pPr>
            <w:r w:rsidRPr="00F622AF">
              <w:rPr>
                <w:i/>
                <w:iCs/>
                <w:sz w:val="16"/>
                <w:lang w:val="es-ES_tradnl"/>
              </w:rPr>
              <w:t>Marruecos</w:t>
            </w:r>
          </w:p>
        </w:tc>
        <w:tc>
          <w:tcPr>
            <w:tcW w:w="375" w:type="dxa"/>
            <w:tcBorders>
              <w:top w:val="single" w:sz="4" w:space="0" w:color="auto"/>
              <w:bottom w:val="single" w:sz="12" w:space="0" w:color="auto"/>
            </w:tcBorders>
            <w:shd w:val="clear" w:color="auto" w:fill="auto"/>
            <w:textDirection w:val="btLr"/>
            <w:vAlign w:val="bottom"/>
            <w:hideMark/>
          </w:tcPr>
          <w:p w14:paraId="44A5E7E9" w14:textId="77777777" w:rsidR="009679FD" w:rsidRPr="00F622AF" w:rsidRDefault="009679FD" w:rsidP="004A5B25">
            <w:pPr>
              <w:pStyle w:val="SingleTxtG"/>
              <w:tabs>
                <w:tab w:val="clear" w:pos="1701"/>
                <w:tab w:val="clear" w:pos="2268"/>
                <w:tab w:val="clear" w:pos="2835"/>
              </w:tabs>
              <w:spacing w:before="40" w:after="40" w:line="200" w:lineRule="exact"/>
              <w:ind w:left="113" w:right="0"/>
              <w:jc w:val="left"/>
              <w:rPr>
                <w:i/>
                <w:iCs/>
                <w:sz w:val="16"/>
                <w:lang w:val="es-ES_tradnl"/>
              </w:rPr>
            </w:pPr>
            <w:r w:rsidRPr="00F622AF">
              <w:rPr>
                <w:i/>
                <w:iCs/>
                <w:sz w:val="16"/>
                <w:lang w:val="es-ES_tradnl"/>
              </w:rPr>
              <w:t>Níger</w:t>
            </w:r>
          </w:p>
        </w:tc>
        <w:tc>
          <w:tcPr>
            <w:tcW w:w="375" w:type="dxa"/>
            <w:tcBorders>
              <w:top w:val="single" w:sz="4" w:space="0" w:color="auto"/>
              <w:bottom w:val="single" w:sz="12" w:space="0" w:color="auto"/>
            </w:tcBorders>
            <w:shd w:val="clear" w:color="auto" w:fill="auto"/>
            <w:textDirection w:val="btLr"/>
            <w:vAlign w:val="bottom"/>
            <w:hideMark/>
          </w:tcPr>
          <w:p w14:paraId="2BBEB747" w14:textId="77777777" w:rsidR="009679FD" w:rsidRPr="00F622AF" w:rsidRDefault="009679FD" w:rsidP="004A5B25">
            <w:pPr>
              <w:pStyle w:val="SingleTxtG"/>
              <w:tabs>
                <w:tab w:val="clear" w:pos="1701"/>
                <w:tab w:val="clear" w:pos="2268"/>
                <w:tab w:val="clear" w:pos="2835"/>
              </w:tabs>
              <w:spacing w:before="40" w:after="40" w:line="200" w:lineRule="exact"/>
              <w:ind w:left="113" w:right="0"/>
              <w:jc w:val="left"/>
              <w:rPr>
                <w:i/>
                <w:iCs/>
                <w:sz w:val="16"/>
                <w:lang w:val="es-ES_tradnl"/>
              </w:rPr>
            </w:pPr>
            <w:r w:rsidRPr="00F622AF">
              <w:rPr>
                <w:i/>
                <w:iCs/>
                <w:sz w:val="16"/>
                <w:lang w:val="es-ES_tradnl"/>
              </w:rPr>
              <w:t>Paraguay</w:t>
            </w:r>
          </w:p>
        </w:tc>
        <w:tc>
          <w:tcPr>
            <w:tcW w:w="375" w:type="dxa"/>
            <w:tcBorders>
              <w:top w:val="single" w:sz="4" w:space="0" w:color="auto"/>
              <w:bottom w:val="single" w:sz="12" w:space="0" w:color="auto"/>
            </w:tcBorders>
            <w:shd w:val="clear" w:color="auto" w:fill="auto"/>
            <w:textDirection w:val="btLr"/>
            <w:vAlign w:val="bottom"/>
            <w:hideMark/>
          </w:tcPr>
          <w:p w14:paraId="4E89EC45" w14:textId="77777777" w:rsidR="009679FD" w:rsidRPr="00F622AF" w:rsidRDefault="009679FD" w:rsidP="004A5B25">
            <w:pPr>
              <w:pStyle w:val="SingleTxtG"/>
              <w:tabs>
                <w:tab w:val="clear" w:pos="1701"/>
                <w:tab w:val="clear" w:pos="2268"/>
                <w:tab w:val="clear" w:pos="2835"/>
              </w:tabs>
              <w:spacing w:before="40" w:after="40" w:line="200" w:lineRule="exact"/>
              <w:ind w:left="113" w:right="0"/>
              <w:jc w:val="left"/>
              <w:rPr>
                <w:i/>
                <w:iCs/>
                <w:sz w:val="16"/>
                <w:lang w:val="es-ES_tradnl"/>
              </w:rPr>
            </w:pPr>
            <w:r w:rsidRPr="00F622AF">
              <w:rPr>
                <w:i/>
                <w:iCs/>
                <w:sz w:val="16"/>
                <w:lang w:val="es-ES_tradnl"/>
              </w:rPr>
              <w:t>Perú</w:t>
            </w:r>
          </w:p>
        </w:tc>
        <w:tc>
          <w:tcPr>
            <w:tcW w:w="375" w:type="dxa"/>
            <w:tcBorders>
              <w:top w:val="single" w:sz="4" w:space="0" w:color="auto"/>
              <w:bottom w:val="single" w:sz="12" w:space="0" w:color="auto"/>
            </w:tcBorders>
            <w:shd w:val="clear" w:color="auto" w:fill="auto"/>
            <w:textDirection w:val="btLr"/>
            <w:vAlign w:val="bottom"/>
            <w:hideMark/>
          </w:tcPr>
          <w:p w14:paraId="1C39E5DD" w14:textId="77777777" w:rsidR="009679FD" w:rsidRPr="00F622AF" w:rsidRDefault="009679FD" w:rsidP="004A5B25">
            <w:pPr>
              <w:pStyle w:val="SingleTxtG"/>
              <w:tabs>
                <w:tab w:val="clear" w:pos="1701"/>
                <w:tab w:val="clear" w:pos="2268"/>
                <w:tab w:val="clear" w:pos="2835"/>
              </w:tabs>
              <w:spacing w:before="40" w:after="40" w:line="200" w:lineRule="exact"/>
              <w:ind w:left="113" w:right="0"/>
              <w:jc w:val="left"/>
              <w:rPr>
                <w:i/>
                <w:sz w:val="16"/>
                <w:lang w:val="es-ES_tradnl"/>
              </w:rPr>
            </w:pPr>
            <w:r w:rsidRPr="00F622AF">
              <w:rPr>
                <w:i/>
                <w:iCs/>
                <w:sz w:val="16"/>
                <w:lang w:val="es-ES_tradnl"/>
              </w:rPr>
              <w:t>Sri Lanka</w:t>
            </w:r>
          </w:p>
        </w:tc>
        <w:tc>
          <w:tcPr>
            <w:tcW w:w="375" w:type="dxa"/>
            <w:tcBorders>
              <w:top w:val="single" w:sz="4" w:space="0" w:color="auto"/>
              <w:bottom w:val="single" w:sz="12" w:space="0" w:color="auto"/>
            </w:tcBorders>
            <w:shd w:val="clear" w:color="auto" w:fill="auto"/>
            <w:textDirection w:val="btLr"/>
            <w:vAlign w:val="bottom"/>
            <w:hideMark/>
          </w:tcPr>
          <w:p w14:paraId="74341E1B" w14:textId="77777777" w:rsidR="009679FD" w:rsidRPr="00F622AF" w:rsidRDefault="009679FD" w:rsidP="004A5B25">
            <w:pPr>
              <w:pStyle w:val="SingleTxtG"/>
              <w:tabs>
                <w:tab w:val="clear" w:pos="1701"/>
                <w:tab w:val="clear" w:pos="2268"/>
                <w:tab w:val="clear" w:pos="2835"/>
              </w:tabs>
              <w:spacing w:before="40" w:after="40" w:line="200" w:lineRule="exact"/>
              <w:ind w:left="113" w:right="0"/>
              <w:jc w:val="left"/>
              <w:rPr>
                <w:i/>
                <w:iCs/>
                <w:sz w:val="16"/>
                <w:lang w:val="es-ES_tradnl"/>
              </w:rPr>
            </w:pPr>
            <w:r w:rsidRPr="00F622AF">
              <w:rPr>
                <w:i/>
                <w:iCs/>
                <w:sz w:val="16"/>
                <w:lang w:val="es-ES_tradnl"/>
              </w:rPr>
              <w:t>Eslovaquia</w:t>
            </w:r>
          </w:p>
        </w:tc>
        <w:tc>
          <w:tcPr>
            <w:tcW w:w="375" w:type="dxa"/>
            <w:tcBorders>
              <w:top w:val="single" w:sz="4" w:space="0" w:color="auto"/>
              <w:bottom w:val="single" w:sz="12" w:space="0" w:color="auto"/>
            </w:tcBorders>
            <w:shd w:val="clear" w:color="auto" w:fill="auto"/>
            <w:textDirection w:val="btLr"/>
            <w:vAlign w:val="bottom"/>
            <w:hideMark/>
          </w:tcPr>
          <w:p w14:paraId="0E73F550" w14:textId="77777777" w:rsidR="009679FD" w:rsidRPr="00F622AF" w:rsidRDefault="009679FD" w:rsidP="004A5B25">
            <w:pPr>
              <w:pStyle w:val="SingleTxtG"/>
              <w:tabs>
                <w:tab w:val="clear" w:pos="1701"/>
                <w:tab w:val="clear" w:pos="2268"/>
                <w:tab w:val="clear" w:pos="2835"/>
              </w:tabs>
              <w:spacing w:before="40" w:after="40" w:line="200" w:lineRule="exact"/>
              <w:ind w:left="113" w:right="0"/>
              <w:jc w:val="left"/>
              <w:rPr>
                <w:i/>
                <w:sz w:val="16"/>
                <w:lang w:val="es-ES_tradnl"/>
              </w:rPr>
            </w:pPr>
            <w:r w:rsidRPr="00F622AF">
              <w:rPr>
                <w:i/>
                <w:iCs/>
                <w:sz w:val="16"/>
                <w:lang w:val="es-ES_tradnl"/>
              </w:rPr>
              <w:t>Togo</w:t>
            </w:r>
          </w:p>
        </w:tc>
        <w:tc>
          <w:tcPr>
            <w:tcW w:w="376" w:type="dxa"/>
            <w:tcBorders>
              <w:top w:val="single" w:sz="4" w:space="0" w:color="auto"/>
              <w:bottom w:val="single" w:sz="12" w:space="0" w:color="auto"/>
            </w:tcBorders>
            <w:shd w:val="clear" w:color="auto" w:fill="auto"/>
            <w:textDirection w:val="btLr"/>
            <w:vAlign w:val="bottom"/>
            <w:hideMark/>
          </w:tcPr>
          <w:p w14:paraId="1196A926" w14:textId="77777777" w:rsidR="009679FD" w:rsidRPr="00F622AF" w:rsidRDefault="009679FD" w:rsidP="004A5B25">
            <w:pPr>
              <w:pStyle w:val="SingleTxtG"/>
              <w:tabs>
                <w:tab w:val="clear" w:pos="1701"/>
                <w:tab w:val="clear" w:pos="2268"/>
                <w:tab w:val="clear" w:pos="2835"/>
              </w:tabs>
              <w:spacing w:before="40" w:after="40" w:line="200" w:lineRule="exact"/>
              <w:ind w:left="113" w:right="0"/>
              <w:jc w:val="left"/>
              <w:rPr>
                <w:i/>
                <w:sz w:val="16"/>
                <w:lang w:val="es-ES_tradnl"/>
              </w:rPr>
            </w:pPr>
            <w:r w:rsidRPr="00F622AF">
              <w:rPr>
                <w:i/>
                <w:iCs/>
                <w:sz w:val="16"/>
                <w:lang w:val="es-ES_tradnl"/>
              </w:rPr>
              <w:t>Túnez</w:t>
            </w:r>
          </w:p>
        </w:tc>
        <w:tc>
          <w:tcPr>
            <w:tcW w:w="487"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5BE3DB4A" w14:textId="77777777" w:rsidR="009679FD" w:rsidRPr="00F622AF" w:rsidRDefault="009679FD" w:rsidP="00F622AF">
            <w:pPr>
              <w:pStyle w:val="SingleTxtG"/>
              <w:tabs>
                <w:tab w:val="clear" w:pos="1701"/>
                <w:tab w:val="clear" w:pos="2268"/>
                <w:tab w:val="clear" w:pos="2835"/>
              </w:tabs>
              <w:spacing w:before="80" w:after="80" w:line="200" w:lineRule="exact"/>
              <w:ind w:left="113" w:right="0"/>
              <w:jc w:val="right"/>
              <w:rPr>
                <w:i/>
                <w:sz w:val="16"/>
                <w:lang w:val="es-ES_tradnl"/>
              </w:rPr>
            </w:pPr>
            <w:r w:rsidRPr="00F622AF">
              <w:rPr>
                <w:i/>
                <w:iCs/>
                <w:sz w:val="16"/>
                <w:lang w:val="es-ES_tradnl"/>
              </w:rPr>
              <w:t>Total</w:t>
            </w:r>
          </w:p>
        </w:tc>
      </w:tr>
      <w:tr w:rsidR="00B24BD3" w:rsidRPr="00F622AF" w14:paraId="0C77F606" w14:textId="77777777" w:rsidTr="00546A02">
        <w:trPr>
          <w:trHeight w:val="240"/>
        </w:trPr>
        <w:tc>
          <w:tcPr>
            <w:tcW w:w="742" w:type="dxa"/>
            <w:tcBorders>
              <w:top w:val="single" w:sz="12" w:space="0" w:color="auto"/>
            </w:tcBorders>
            <w:shd w:val="clear" w:color="auto" w:fill="auto"/>
            <w:hideMark/>
          </w:tcPr>
          <w:p w14:paraId="442D6C96" w14:textId="77777777" w:rsidR="009679FD" w:rsidRPr="00F622AF" w:rsidRDefault="009679FD" w:rsidP="00F622AF">
            <w:pPr>
              <w:pStyle w:val="SingleTxtG"/>
              <w:tabs>
                <w:tab w:val="clear" w:pos="1701"/>
                <w:tab w:val="clear" w:pos="2268"/>
                <w:tab w:val="clear" w:pos="2835"/>
              </w:tabs>
              <w:spacing w:before="40" w:after="40" w:line="220" w:lineRule="exact"/>
              <w:ind w:left="0" w:right="0"/>
              <w:jc w:val="left"/>
              <w:rPr>
                <w:sz w:val="18"/>
                <w:lang w:val="es-ES_tradnl"/>
              </w:rPr>
            </w:pPr>
            <w:r w:rsidRPr="00F622AF">
              <w:rPr>
                <w:sz w:val="18"/>
                <w:lang w:val="es-ES_tradnl"/>
              </w:rPr>
              <w:t>2012</w:t>
            </w:r>
          </w:p>
        </w:tc>
        <w:tc>
          <w:tcPr>
            <w:tcW w:w="375" w:type="dxa"/>
            <w:tcBorders>
              <w:top w:val="single" w:sz="12" w:space="0" w:color="auto"/>
            </w:tcBorders>
            <w:shd w:val="clear" w:color="auto" w:fill="auto"/>
            <w:tcMar>
              <w:top w:w="0" w:type="dxa"/>
              <w:left w:w="0" w:type="dxa"/>
              <w:bottom w:w="0" w:type="dxa"/>
              <w:right w:w="28" w:type="dxa"/>
            </w:tcMar>
            <w:vAlign w:val="bottom"/>
            <w:hideMark/>
          </w:tcPr>
          <w:p w14:paraId="1DAB8D09"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top w:val="single" w:sz="12" w:space="0" w:color="auto"/>
            </w:tcBorders>
            <w:shd w:val="clear" w:color="auto" w:fill="auto"/>
            <w:tcMar>
              <w:top w:w="0" w:type="dxa"/>
              <w:left w:w="0" w:type="dxa"/>
              <w:bottom w:w="0" w:type="dxa"/>
              <w:right w:w="28" w:type="dxa"/>
            </w:tcMar>
            <w:vAlign w:val="bottom"/>
            <w:hideMark/>
          </w:tcPr>
          <w:p w14:paraId="594E643D"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93" w:type="dxa"/>
            <w:tcBorders>
              <w:top w:val="single" w:sz="12" w:space="0" w:color="auto"/>
            </w:tcBorders>
            <w:shd w:val="clear" w:color="auto" w:fill="auto"/>
            <w:vAlign w:val="bottom"/>
            <w:hideMark/>
          </w:tcPr>
          <w:p w14:paraId="2F686D6D"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257" w:type="dxa"/>
            <w:tcBorders>
              <w:top w:val="single" w:sz="12" w:space="0" w:color="auto"/>
            </w:tcBorders>
            <w:shd w:val="clear" w:color="auto" w:fill="auto"/>
            <w:tcMar>
              <w:top w:w="0" w:type="dxa"/>
              <w:left w:w="0" w:type="dxa"/>
              <w:bottom w:w="0" w:type="dxa"/>
              <w:right w:w="28" w:type="dxa"/>
            </w:tcMar>
            <w:vAlign w:val="bottom"/>
            <w:hideMark/>
          </w:tcPr>
          <w:p w14:paraId="543AAC56"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top w:val="single" w:sz="12" w:space="0" w:color="auto"/>
            </w:tcBorders>
            <w:shd w:val="clear" w:color="auto" w:fill="auto"/>
            <w:vAlign w:val="bottom"/>
            <w:hideMark/>
          </w:tcPr>
          <w:p w14:paraId="69F252DB"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top w:val="single" w:sz="12" w:space="0" w:color="auto"/>
            </w:tcBorders>
            <w:shd w:val="clear" w:color="auto" w:fill="auto"/>
            <w:tcMar>
              <w:top w:w="0" w:type="dxa"/>
              <w:left w:w="0" w:type="dxa"/>
              <w:bottom w:w="0" w:type="dxa"/>
              <w:right w:w="28" w:type="dxa"/>
            </w:tcMar>
            <w:vAlign w:val="bottom"/>
            <w:hideMark/>
          </w:tcPr>
          <w:p w14:paraId="10617FD1"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top w:val="single" w:sz="12" w:space="0" w:color="auto"/>
            </w:tcBorders>
            <w:shd w:val="clear" w:color="auto" w:fill="auto"/>
            <w:tcMar>
              <w:top w:w="0" w:type="dxa"/>
              <w:left w:w="0" w:type="dxa"/>
              <w:bottom w:w="0" w:type="dxa"/>
              <w:right w:w="28" w:type="dxa"/>
            </w:tcMar>
            <w:vAlign w:val="bottom"/>
            <w:hideMark/>
          </w:tcPr>
          <w:p w14:paraId="077129C1"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top w:val="single" w:sz="12" w:space="0" w:color="auto"/>
            </w:tcBorders>
            <w:shd w:val="clear" w:color="auto" w:fill="auto"/>
            <w:tcMar>
              <w:top w:w="0" w:type="dxa"/>
              <w:left w:w="0" w:type="dxa"/>
              <w:bottom w:w="0" w:type="dxa"/>
              <w:right w:w="28" w:type="dxa"/>
            </w:tcMar>
            <w:vAlign w:val="bottom"/>
            <w:hideMark/>
          </w:tcPr>
          <w:p w14:paraId="1B5B86C4"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top w:val="single" w:sz="12" w:space="0" w:color="auto"/>
            </w:tcBorders>
            <w:shd w:val="clear" w:color="auto" w:fill="auto"/>
            <w:tcMar>
              <w:top w:w="0" w:type="dxa"/>
              <w:left w:w="0" w:type="dxa"/>
              <w:bottom w:w="0" w:type="dxa"/>
              <w:right w:w="28" w:type="dxa"/>
            </w:tcMar>
            <w:vAlign w:val="bottom"/>
            <w:hideMark/>
          </w:tcPr>
          <w:p w14:paraId="214DC2C7"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19" w:type="dxa"/>
            <w:tcBorders>
              <w:top w:val="single" w:sz="12" w:space="0" w:color="auto"/>
            </w:tcBorders>
            <w:shd w:val="clear" w:color="auto" w:fill="auto"/>
            <w:tcMar>
              <w:top w:w="0" w:type="dxa"/>
              <w:left w:w="0" w:type="dxa"/>
              <w:bottom w:w="0" w:type="dxa"/>
              <w:right w:w="28" w:type="dxa"/>
            </w:tcMar>
            <w:vAlign w:val="bottom"/>
            <w:hideMark/>
          </w:tcPr>
          <w:p w14:paraId="3F362143"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64" w:type="dxa"/>
            <w:tcBorders>
              <w:top w:val="single" w:sz="12" w:space="0" w:color="auto"/>
            </w:tcBorders>
            <w:shd w:val="clear" w:color="auto" w:fill="auto"/>
            <w:tcMar>
              <w:top w:w="0" w:type="dxa"/>
              <w:left w:w="0" w:type="dxa"/>
              <w:bottom w:w="0" w:type="dxa"/>
              <w:right w:w="28" w:type="dxa"/>
            </w:tcMar>
            <w:vAlign w:val="bottom"/>
            <w:hideMark/>
          </w:tcPr>
          <w:p w14:paraId="1AA6E06F"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42" w:type="dxa"/>
            <w:tcBorders>
              <w:top w:val="single" w:sz="12" w:space="0" w:color="auto"/>
            </w:tcBorders>
            <w:shd w:val="clear" w:color="auto" w:fill="auto"/>
            <w:tcMar>
              <w:top w:w="0" w:type="dxa"/>
              <w:left w:w="0" w:type="dxa"/>
              <w:bottom w:w="0" w:type="dxa"/>
              <w:right w:w="28" w:type="dxa"/>
            </w:tcMar>
            <w:vAlign w:val="bottom"/>
            <w:hideMark/>
          </w:tcPr>
          <w:p w14:paraId="0EFCB4AE"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top w:val="single" w:sz="12" w:space="0" w:color="auto"/>
            </w:tcBorders>
            <w:shd w:val="clear" w:color="auto" w:fill="auto"/>
            <w:vAlign w:val="bottom"/>
            <w:hideMark/>
          </w:tcPr>
          <w:p w14:paraId="0FAC2D16"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60" w:type="dxa"/>
            <w:tcBorders>
              <w:top w:val="single" w:sz="12" w:space="0" w:color="auto"/>
            </w:tcBorders>
            <w:shd w:val="clear" w:color="auto" w:fill="auto"/>
            <w:tcMar>
              <w:top w:w="0" w:type="dxa"/>
              <w:left w:w="0" w:type="dxa"/>
              <w:bottom w:w="0" w:type="dxa"/>
              <w:right w:w="28" w:type="dxa"/>
            </w:tcMar>
            <w:vAlign w:val="bottom"/>
            <w:hideMark/>
          </w:tcPr>
          <w:p w14:paraId="5B4A6F78"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34" w:type="dxa"/>
            <w:tcBorders>
              <w:top w:val="single" w:sz="12" w:space="0" w:color="auto"/>
            </w:tcBorders>
            <w:shd w:val="clear" w:color="auto" w:fill="auto"/>
            <w:tcMar>
              <w:top w:w="0" w:type="dxa"/>
              <w:left w:w="0" w:type="dxa"/>
              <w:bottom w:w="0" w:type="dxa"/>
              <w:right w:w="28" w:type="dxa"/>
            </w:tcMar>
            <w:vAlign w:val="bottom"/>
            <w:hideMark/>
          </w:tcPr>
          <w:p w14:paraId="51A33D90"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5</w:t>
            </w:r>
          </w:p>
        </w:tc>
        <w:tc>
          <w:tcPr>
            <w:tcW w:w="331" w:type="dxa"/>
            <w:tcBorders>
              <w:top w:val="single" w:sz="12" w:space="0" w:color="auto"/>
            </w:tcBorders>
            <w:shd w:val="clear" w:color="auto" w:fill="auto"/>
            <w:tcMar>
              <w:top w:w="0" w:type="dxa"/>
              <w:left w:w="0" w:type="dxa"/>
              <w:bottom w:w="0" w:type="dxa"/>
              <w:right w:w="28" w:type="dxa"/>
            </w:tcMar>
            <w:vAlign w:val="bottom"/>
            <w:hideMark/>
          </w:tcPr>
          <w:p w14:paraId="7E7D9786"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top w:val="single" w:sz="12" w:space="0" w:color="auto"/>
            </w:tcBorders>
            <w:shd w:val="clear" w:color="auto" w:fill="auto"/>
            <w:vAlign w:val="bottom"/>
            <w:hideMark/>
          </w:tcPr>
          <w:p w14:paraId="332AE432"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top w:val="single" w:sz="12" w:space="0" w:color="auto"/>
            </w:tcBorders>
            <w:shd w:val="clear" w:color="auto" w:fill="auto"/>
            <w:vAlign w:val="bottom"/>
            <w:hideMark/>
          </w:tcPr>
          <w:p w14:paraId="0F811707"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top w:val="single" w:sz="12" w:space="0" w:color="auto"/>
            </w:tcBorders>
            <w:shd w:val="clear" w:color="auto" w:fill="auto"/>
            <w:vAlign w:val="bottom"/>
            <w:hideMark/>
          </w:tcPr>
          <w:p w14:paraId="665D183F"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top w:val="single" w:sz="12" w:space="0" w:color="auto"/>
            </w:tcBorders>
            <w:shd w:val="clear" w:color="auto" w:fill="auto"/>
            <w:tcMar>
              <w:top w:w="0" w:type="dxa"/>
              <w:left w:w="0" w:type="dxa"/>
              <w:bottom w:w="0" w:type="dxa"/>
              <w:right w:w="28" w:type="dxa"/>
            </w:tcMar>
            <w:vAlign w:val="bottom"/>
            <w:hideMark/>
          </w:tcPr>
          <w:p w14:paraId="1C780547"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top w:val="single" w:sz="12" w:space="0" w:color="auto"/>
            </w:tcBorders>
            <w:shd w:val="clear" w:color="auto" w:fill="auto"/>
            <w:vAlign w:val="bottom"/>
            <w:hideMark/>
          </w:tcPr>
          <w:p w14:paraId="436F26D8"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top w:val="single" w:sz="12" w:space="0" w:color="auto"/>
            </w:tcBorders>
            <w:shd w:val="clear" w:color="auto" w:fill="auto"/>
            <w:tcMar>
              <w:top w:w="0" w:type="dxa"/>
              <w:left w:w="0" w:type="dxa"/>
              <w:bottom w:w="0" w:type="dxa"/>
              <w:right w:w="28" w:type="dxa"/>
            </w:tcMar>
            <w:vAlign w:val="bottom"/>
            <w:hideMark/>
          </w:tcPr>
          <w:p w14:paraId="1A321333"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6" w:type="dxa"/>
            <w:tcBorders>
              <w:top w:val="single" w:sz="12" w:space="0" w:color="auto"/>
            </w:tcBorders>
            <w:shd w:val="clear" w:color="auto" w:fill="auto"/>
            <w:tcMar>
              <w:top w:w="0" w:type="dxa"/>
              <w:left w:w="0" w:type="dxa"/>
              <w:bottom w:w="0" w:type="dxa"/>
              <w:right w:w="28" w:type="dxa"/>
            </w:tcMar>
            <w:vAlign w:val="bottom"/>
            <w:hideMark/>
          </w:tcPr>
          <w:p w14:paraId="0E174021"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87" w:type="dxa"/>
            <w:tcBorders>
              <w:top w:val="single" w:sz="12" w:space="0" w:color="auto"/>
            </w:tcBorders>
            <w:shd w:val="clear" w:color="auto" w:fill="auto"/>
            <w:tcMar>
              <w:top w:w="0" w:type="dxa"/>
              <w:left w:w="0" w:type="dxa"/>
              <w:bottom w:w="0" w:type="dxa"/>
              <w:right w:w="28" w:type="dxa"/>
            </w:tcMar>
            <w:vAlign w:val="bottom"/>
            <w:hideMark/>
          </w:tcPr>
          <w:p w14:paraId="2D03F919"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5</w:t>
            </w:r>
          </w:p>
        </w:tc>
      </w:tr>
      <w:tr w:rsidR="00B24BD3" w:rsidRPr="00F622AF" w14:paraId="36F644C9" w14:textId="77777777" w:rsidTr="00546A02">
        <w:trPr>
          <w:trHeight w:val="240"/>
        </w:trPr>
        <w:tc>
          <w:tcPr>
            <w:tcW w:w="742" w:type="dxa"/>
            <w:shd w:val="clear" w:color="auto" w:fill="auto"/>
            <w:hideMark/>
          </w:tcPr>
          <w:p w14:paraId="7125F1A9" w14:textId="77777777" w:rsidR="009679FD" w:rsidRPr="00F622AF" w:rsidRDefault="009679FD" w:rsidP="00F622AF">
            <w:pPr>
              <w:pStyle w:val="SingleTxtG"/>
              <w:tabs>
                <w:tab w:val="clear" w:pos="1701"/>
                <w:tab w:val="clear" w:pos="2268"/>
                <w:tab w:val="clear" w:pos="2835"/>
              </w:tabs>
              <w:spacing w:before="40" w:after="40" w:line="220" w:lineRule="exact"/>
              <w:ind w:left="0" w:right="0"/>
              <w:jc w:val="left"/>
              <w:rPr>
                <w:sz w:val="18"/>
                <w:lang w:val="es-ES_tradnl"/>
              </w:rPr>
            </w:pPr>
            <w:r w:rsidRPr="00F622AF">
              <w:rPr>
                <w:sz w:val="18"/>
                <w:lang w:val="es-ES_tradnl"/>
              </w:rPr>
              <w:t>2013</w:t>
            </w:r>
          </w:p>
        </w:tc>
        <w:tc>
          <w:tcPr>
            <w:tcW w:w="375" w:type="dxa"/>
            <w:shd w:val="clear" w:color="auto" w:fill="auto"/>
            <w:tcMar>
              <w:top w:w="0" w:type="dxa"/>
              <w:left w:w="0" w:type="dxa"/>
              <w:bottom w:w="0" w:type="dxa"/>
              <w:right w:w="28" w:type="dxa"/>
            </w:tcMar>
            <w:vAlign w:val="bottom"/>
            <w:hideMark/>
          </w:tcPr>
          <w:p w14:paraId="57B4C40C"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4CD1F0AD"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93" w:type="dxa"/>
            <w:shd w:val="clear" w:color="auto" w:fill="auto"/>
            <w:vAlign w:val="bottom"/>
            <w:hideMark/>
          </w:tcPr>
          <w:p w14:paraId="2D0B0167"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257" w:type="dxa"/>
            <w:shd w:val="clear" w:color="auto" w:fill="auto"/>
            <w:tcMar>
              <w:top w:w="0" w:type="dxa"/>
              <w:left w:w="0" w:type="dxa"/>
              <w:bottom w:w="0" w:type="dxa"/>
              <w:right w:w="28" w:type="dxa"/>
            </w:tcMar>
            <w:vAlign w:val="bottom"/>
            <w:hideMark/>
          </w:tcPr>
          <w:p w14:paraId="1A419D1E"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6235536D"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32CE5A09"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3160D227"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w:t>
            </w:r>
          </w:p>
        </w:tc>
        <w:tc>
          <w:tcPr>
            <w:tcW w:w="375" w:type="dxa"/>
            <w:shd w:val="clear" w:color="auto" w:fill="auto"/>
            <w:tcMar>
              <w:top w:w="0" w:type="dxa"/>
              <w:left w:w="0" w:type="dxa"/>
              <w:bottom w:w="0" w:type="dxa"/>
              <w:right w:w="28" w:type="dxa"/>
            </w:tcMar>
            <w:vAlign w:val="bottom"/>
            <w:hideMark/>
          </w:tcPr>
          <w:p w14:paraId="6A6AF590"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245B7586"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19" w:type="dxa"/>
            <w:shd w:val="clear" w:color="auto" w:fill="auto"/>
            <w:tcMar>
              <w:top w:w="0" w:type="dxa"/>
              <w:left w:w="0" w:type="dxa"/>
              <w:bottom w:w="0" w:type="dxa"/>
              <w:right w:w="28" w:type="dxa"/>
            </w:tcMar>
            <w:vAlign w:val="bottom"/>
            <w:hideMark/>
          </w:tcPr>
          <w:p w14:paraId="63B851D8"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64" w:type="dxa"/>
            <w:shd w:val="clear" w:color="auto" w:fill="auto"/>
            <w:tcMar>
              <w:top w:w="0" w:type="dxa"/>
              <w:left w:w="0" w:type="dxa"/>
              <w:bottom w:w="0" w:type="dxa"/>
              <w:right w:w="28" w:type="dxa"/>
            </w:tcMar>
            <w:vAlign w:val="bottom"/>
            <w:hideMark/>
          </w:tcPr>
          <w:p w14:paraId="3128C634"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42" w:type="dxa"/>
            <w:shd w:val="clear" w:color="auto" w:fill="auto"/>
            <w:tcMar>
              <w:top w:w="0" w:type="dxa"/>
              <w:left w:w="0" w:type="dxa"/>
              <w:bottom w:w="0" w:type="dxa"/>
              <w:right w:w="28" w:type="dxa"/>
            </w:tcMar>
            <w:vAlign w:val="bottom"/>
            <w:hideMark/>
          </w:tcPr>
          <w:p w14:paraId="0448809A"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6C7A40E6"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60" w:type="dxa"/>
            <w:shd w:val="clear" w:color="auto" w:fill="auto"/>
            <w:tcMar>
              <w:top w:w="0" w:type="dxa"/>
              <w:left w:w="0" w:type="dxa"/>
              <w:bottom w:w="0" w:type="dxa"/>
              <w:right w:w="28" w:type="dxa"/>
            </w:tcMar>
            <w:vAlign w:val="bottom"/>
            <w:hideMark/>
          </w:tcPr>
          <w:p w14:paraId="2918B729"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34" w:type="dxa"/>
            <w:shd w:val="clear" w:color="auto" w:fill="auto"/>
            <w:tcMar>
              <w:top w:w="0" w:type="dxa"/>
              <w:left w:w="0" w:type="dxa"/>
              <w:bottom w:w="0" w:type="dxa"/>
              <w:right w:w="28" w:type="dxa"/>
            </w:tcMar>
            <w:vAlign w:val="bottom"/>
            <w:hideMark/>
          </w:tcPr>
          <w:p w14:paraId="34376042"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4</w:t>
            </w:r>
          </w:p>
        </w:tc>
        <w:tc>
          <w:tcPr>
            <w:tcW w:w="331" w:type="dxa"/>
            <w:shd w:val="clear" w:color="auto" w:fill="auto"/>
            <w:tcMar>
              <w:top w:w="0" w:type="dxa"/>
              <w:left w:w="0" w:type="dxa"/>
              <w:bottom w:w="0" w:type="dxa"/>
              <w:right w:w="28" w:type="dxa"/>
            </w:tcMar>
            <w:vAlign w:val="bottom"/>
            <w:hideMark/>
          </w:tcPr>
          <w:p w14:paraId="4B749EF0"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54024AA8"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76F6F754"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7B7B4BB8"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4414DBF0"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6F465708"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7885CDBB"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6" w:type="dxa"/>
            <w:shd w:val="clear" w:color="auto" w:fill="auto"/>
            <w:tcMar>
              <w:top w:w="0" w:type="dxa"/>
              <w:left w:w="0" w:type="dxa"/>
              <w:bottom w:w="0" w:type="dxa"/>
              <w:right w:w="28" w:type="dxa"/>
            </w:tcMar>
            <w:vAlign w:val="bottom"/>
            <w:hideMark/>
          </w:tcPr>
          <w:p w14:paraId="40327AA4"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87" w:type="dxa"/>
            <w:shd w:val="clear" w:color="auto" w:fill="auto"/>
            <w:tcMar>
              <w:top w:w="0" w:type="dxa"/>
              <w:left w:w="0" w:type="dxa"/>
              <w:bottom w:w="0" w:type="dxa"/>
              <w:right w:w="28" w:type="dxa"/>
            </w:tcMar>
            <w:vAlign w:val="bottom"/>
            <w:hideMark/>
          </w:tcPr>
          <w:p w14:paraId="6B97BB38"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5</w:t>
            </w:r>
          </w:p>
        </w:tc>
      </w:tr>
      <w:tr w:rsidR="00B24BD3" w:rsidRPr="00F622AF" w14:paraId="0ADC15AF" w14:textId="77777777" w:rsidTr="00546A02">
        <w:trPr>
          <w:trHeight w:val="240"/>
        </w:trPr>
        <w:tc>
          <w:tcPr>
            <w:tcW w:w="742" w:type="dxa"/>
            <w:shd w:val="clear" w:color="auto" w:fill="auto"/>
            <w:hideMark/>
          </w:tcPr>
          <w:p w14:paraId="20B9AD29" w14:textId="77777777" w:rsidR="009679FD" w:rsidRPr="00F622AF" w:rsidRDefault="009679FD" w:rsidP="00F622AF">
            <w:pPr>
              <w:pStyle w:val="SingleTxtG"/>
              <w:tabs>
                <w:tab w:val="clear" w:pos="1701"/>
                <w:tab w:val="clear" w:pos="2268"/>
                <w:tab w:val="clear" w:pos="2835"/>
              </w:tabs>
              <w:spacing w:before="40" w:after="40" w:line="220" w:lineRule="exact"/>
              <w:ind w:left="0" w:right="0"/>
              <w:jc w:val="left"/>
              <w:rPr>
                <w:sz w:val="18"/>
                <w:lang w:val="es-ES_tradnl"/>
              </w:rPr>
            </w:pPr>
            <w:r w:rsidRPr="00F622AF">
              <w:rPr>
                <w:sz w:val="18"/>
                <w:lang w:val="es-ES_tradnl"/>
              </w:rPr>
              <w:t>2014</w:t>
            </w:r>
          </w:p>
        </w:tc>
        <w:tc>
          <w:tcPr>
            <w:tcW w:w="375" w:type="dxa"/>
            <w:shd w:val="clear" w:color="auto" w:fill="auto"/>
            <w:tcMar>
              <w:top w:w="0" w:type="dxa"/>
              <w:left w:w="0" w:type="dxa"/>
              <w:bottom w:w="0" w:type="dxa"/>
              <w:right w:w="28" w:type="dxa"/>
            </w:tcMar>
            <w:vAlign w:val="bottom"/>
            <w:hideMark/>
          </w:tcPr>
          <w:p w14:paraId="0E34C514"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1979592C"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93" w:type="dxa"/>
            <w:shd w:val="clear" w:color="auto" w:fill="auto"/>
            <w:vAlign w:val="bottom"/>
            <w:hideMark/>
          </w:tcPr>
          <w:p w14:paraId="5F5EBCB5"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257" w:type="dxa"/>
            <w:shd w:val="clear" w:color="auto" w:fill="auto"/>
            <w:tcMar>
              <w:top w:w="0" w:type="dxa"/>
              <w:left w:w="0" w:type="dxa"/>
              <w:bottom w:w="0" w:type="dxa"/>
              <w:right w:w="28" w:type="dxa"/>
            </w:tcMar>
            <w:vAlign w:val="bottom"/>
            <w:hideMark/>
          </w:tcPr>
          <w:p w14:paraId="507A4FC8"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w:t>
            </w:r>
          </w:p>
        </w:tc>
        <w:tc>
          <w:tcPr>
            <w:tcW w:w="375" w:type="dxa"/>
            <w:shd w:val="clear" w:color="auto" w:fill="auto"/>
            <w:vAlign w:val="bottom"/>
            <w:hideMark/>
          </w:tcPr>
          <w:p w14:paraId="7F53984C"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4506AA59"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w:t>
            </w:r>
          </w:p>
        </w:tc>
        <w:tc>
          <w:tcPr>
            <w:tcW w:w="375" w:type="dxa"/>
            <w:shd w:val="clear" w:color="auto" w:fill="auto"/>
            <w:tcMar>
              <w:top w:w="0" w:type="dxa"/>
              <w:left w:w="0" w:type="dxa"/>
              <w:bottom w:w="0" w:type="dxa"/>
              <w:right w:w="28" w:type="dxa"/>
            </w:tcMar>
            <w:vAlign w:val="bottom"/>
            <w:hideMark/>
          </w:tcPr>
          <w:p w14:paraId="2BC1F339"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w:t>
            </w:r>
          </w:p>
        </w:tc>
        <w:tc>
          <w:tcPr>
            <w:tcW w:w="375" w:type="dxa"/>
            <w:shd w:val="clear" w:color="auto" w:fill="auto"/>
            <w:tcMar>
              <w:top w:w="0" w:type="dxa"/>
              <w:left w:w="0" w:type="dxa"/>
              <w:bottom w:w="0" w:type="dxa"/>
              <w:right w:w="28" w:type="dxa"/>
            </w:tcMar>
            <w:vAlign w:val="bottom"/>
            <w:hideMark/>
          </w:tcPr>
          <w:p w14:paraId="4A9C91D8"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7393F7E3"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19" w:type="dxa"/>
            <w:shd w:val="clear" w:color="auto" w:fill="auto"/>
            <w:tcMar>
              <w:top w:w="0" w:type="dxa"/>
              <w:left w:w="0" w:type="dxa"/>
              <w:bottom w:w="0" w:type="dxa"/>
              <w:right w:w="28" w:type="dxa"/>
            </w:tcMar>
            <w:vAlign w:val="bottom"/>
            <w:hideMark/>
          </w:tcPr>
          <w:p w14:paraId="0E99B94D"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5</w:t>
            </w:r>
          </w:p>
        </w:tc>
        <w:tc>
          <w:tcPr>
            <w:tcW w:w="364" w:type="dxa"/>
            <w:shd w:val="clear" w:color="auto" w:fill="auto"/>
            <w:tcMar>
              <w:top w:w="0" w:type="dxa"/>
              <w:left w:w="0" w:type="dxa"/>
              <w:bottom w:w="0" w:type="dxa"/>
              <w:right w:w="28" w:type="dxa"/>
            </w:tcMar>
            <w:vAlign w:val="bottom"/>
            <w:hideMark/>
          </w:tcPr>
          <w:p w14:paraId="3A667FF0"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42" w:type="dxa"/>
            <w:shd w:val="clear" w:color="auto" w:fill="auto"/>
            <w:tcMar>
              <w:top w:w="0" w:type="dxa"/>
              <w:left w:w="0" w:type="dxa"/>
              <w:bottom w:w="0" w:type="dxa"/>
              <w:right w:w="28" w:type="dxa"/>
            </w:tcMar>
            <w:vAlign w:val="bottom"/>
            <w:hideMark/>
          </w:tcPr>
          <w:p w14:paraId="0946E02D"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7F12C47C"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60" w:type="dxa"/>
            <w:shd w:val="clear" w:color="auto" w:fill="auto"/>
            <w:tcMar>
              <w:top w:w="0" w:type="dxa"/>
              <w:left w:w="0" w:type="dxa"/>
              <w:bottom w:w="0" w:type="dxa"/>
              <w:right w:w="28" w:type="dxa"/>
            </w:tcMar>
            <w:vAlign w:val="bottom"/>
            <w:hideMark/>
          </w:tcPr>
          <w:p w14:paraId="0E08B459"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34" w:type="dxa"/>
            <w:shd w:val="clear" w:color="auto" w:fill="auto"/>
            <w:tcMar>
              <w:top w:w="0" w:type="dxa"/>
              <w:left w:w="0" w:type="dxa"/>
              <w:bottom w:w="0" w:type="dxa"/>
              <w:right w:w="28" w:type="dxa"/>
            </w:tcMar>
            <w:vAlign w:val="bottom"/>
            <w:hideMark/>
          </w:tcPr>
          <w:p w14:paraId="7EFB7200"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43</w:t>
            </w:r>
          </w:p>
        </w:tc>
        <w:tc>
          <w:tcPr>
            <w:tcW w:w="331" w:type="dxa"/>
            <w:shd w:val="clear" w:color="auto" w:fill="auto"/>
            <w:tcMar>
              <w:top w:w="0" w:type="dxa"/>
              <w:left w:w="0" w:type="dxa"/>
              <w:bottom w:w="0" w:type="dxa"/>
              <w:right w:w="28" w:type="dxa"/>
            </w:tcMar>
            <w:vAlign w:val="bottom"/>
            <w:hideMark/>
          </w:tcPr>
          <w:p w14:paraId="0F5168A2"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4127C16E"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2D3463BE"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4DE32E23"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1F6DE4CF"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55EFA8D9"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662D69E4"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6" w:type="dxa"/>
            <w:shd w:val="clear" w:color="auto" w:fill="auto"/>
            <w:tcMar>
              <w:top w:w="0" w:type="dxa"/>
              <w:left w:w="0" w:type="dxa"/>
              <w:bottom w:w="0" w:type="dxa"/>
              <w:right w:w="28" w:type="dxa"/>
            </w:tcMar>
            <w:vAlign w:val="bottom"/>
            <w:hideMark/>
          </w:tcPr>
          <w:p w14:paraId="77444098"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87" w:type="dxa"/>
            <w:shd w:val="clear" w:color="auto" w:fill="auto"/>
            <w:tcMar>
              <w:top w:w="0" w:type="dxa"/>
              <w:left w:w="0" w:type="dxa"/>
              <w:bottom w:w="0" w:type="dxa"/>
              <w:right w:w="28" w:type="dxa"/>
            </w:tcMar>
            <w:vAlign w:val="bottom"/>
            <w:hideMark/>
          </w:tcPr>
          <w:p w14:paraId="106EEF39"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51</w:t>
            </w:r>
          </w:p>
        </w:tc>
      </w:tr>
      <w:tr w:rsidR="00B24BD3" w:rsidRPr="00F622AF" w14:paraId="2952FA00" w14:textId="77777777" w:rsidTr="00546A02">
        <w:trPr>
          <w:trHeight w:val="240"/>
        </w:trPr>
        <w:tc>
          <w:tcPr>
            <w:tcW w:w="742" w:type="dxa"/>
            <w:shd w:val="clear" w:color="auto" w:fill="auto"/>
            <w:hideMark/>
          </w:tcPr>
          <w:p w14:paraId="383881FD" w14:textId="77777777" w:rsidR="009679FD" w:rsidRPr="00F622AF" w:rsidRDefault="009679FD" w:rsidP="00F622AF">
            <w:pPr>
              <w:pStyle w:val="SingleTxtG"/>
              <w:tabs>
                <w:tab w:val="clear" w:pos="1701"/>
                <w:tab w:val="clear" w:pos="2268"/>
                <w:tab w:val="clear" w:pos="2835"/>
              </w:tabs>
              <w:spacing w:before="40" w:after="40" w:line="220" w:lineRule="exact"/>
              <w:ind w:left="0" w:right="0"/>
              <w:jc w:val="left"/>
              <w:rPr>
                <w:sz w:val="18"/>
                <w:lang w:val="es-ES_tradnl"/>
              </w:rPr>
            </w:pPr>
            <w:r w:rsidRPr="00F622AF">
              <w:rPr>
                <w:sz w:val="18"/>
                <w:lang w:val="es-ES_tradnl"/>
              </w:rPr>
              <w:t>2015</w:t>
            </w:r>
          </w:p>
        </w:tc>
        <w:tc>
          <w:tcPr>
            <w:tcW w:w="375" w:type="dxa"/>
            <w:shd w:val="clear" w:color="auto" w:fill="auto"/>
            <w:tcMar>
              <w:top w:w="0" w:type="dxa"/>
              <w:left w:w="0" w:type="dxa"/>
              <w:bottom w:w="0" w:type="dxa"/>
              <w:right w:w="28" w:type="dxa"/>
            </w:tcMar>
            <w:vAlign w:val="bottom"/>
            <w:hideMark/>
          </w:tcPr>
          <w:p w14:paraId="6ADF8F37"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1D8615B0"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93" w:type="dxa"/>
            <w:shd w:val="clear" w:color="auto" w:fill="auto"/>
            <w:vAlign w:val="bottom"/>
            <w:hideMark/>
          </w:tcPr>
          <w:p w14:paraId="3BFAB936"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257" w:type="dxa"/>
            <w:shd w:val="clear" w:color="auto" w:fill="auto"/>
            <w:tcMar>
              <w:top w:w="0" w:type="dxa"/>
              <w:left w:w="0" w:type="dxa"/>
              <w:bottom w:w="0" w:type="dxa"/>
              <w:right w:w="28" w:type="dxa"/>
            </w:tcMar>
            <w:vAlign w:val="bottom"/>
            <w:hideMark/>
          </w:tcPr>
          <w:p w14:paraId="1CA00FE8"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438EEF1A"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5D779EA5"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510E16DA"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3</w:t>
            </w:r>
          </w:p>
        </w:tc>
        <w:tc>
          <w:tcPr>
            <w:tcW w:w="375" w:type="dxa"/>
            <w:shd w:val="clear" w:color="auto" w:fill="auto"/>
            <w:tcMar>
              <w:top w:w="0" w:type="dxa"/>
              <w:left w:w="0" w:type="dxa"/>
              <w:bottom w:w="0" w:type="dxa"/>
              <w:right w:w="28" w:type="dxa"/>
            </w:tcMar>
            <w:vAlign w:val="bottom"/>
            <w:hideMark/>
          </w:tcPr>
          <w:p w14:paraId="248F8D27"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3226D07C"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19" w:type="dxa"/>
            <w:shd w:val="clear" w:color="auto" w:fill="auto"/>
            <w:tcMar>
              <w:top w:w="0" w:type="dxa"/>
              <w:left w:w="0" w:type="dxa"/>
              <w:bottom w:w="0" w:type="dxa"/>
              <w:right w:w="28" w:type="dxa"/>
            </w:tcMar>
            <w:vAlign w:val="bottom"/>
            <w:hideMark/>
          </w:tcPr>
          <w:p w14:paraId="1618EB2F"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42</w:t>
            </w:r>
          </w:p>
        </w:tc>
        <w:tc>
          <w:tcPr>
            <w:tcW w:w="364" w:type="dxa"/>
            <w:shd w:val="clear" w:color="auto" w:fill="auto"/>
            <w:tcMar>
              <w:top w:w="0" w:type="dxa"/>
              <w:left w:w="0" w:type="dxa"/>
              <w:bottom w:w="0" w:type="dxa"/>
              <w:right w:w="28" w:type="dxa"/>
            </w:tcMar>
            <w:vAlign w:val="bottom"/>
            <w:hideMark/>
          </w:tcPr>
          <w:p w14:paraId="55031E26"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42" w:type="dxa"/>
            <w:shd w:val="clear" w:color="auto" w:fill="auto"/>
            <w:tcMar>
              <w:top w:w="0" w:type="dxa"/>
              <w:left w:w="0" w:type="dxa"/>
              <w:bottom w:w="0" w:type="dxa"/>
              <w:right w:w="28" w:type="dxa"/>
            </w:tcMar>
            <w:vAlign w:val="bottom"/>
            <w:hideMark/>
          </w:tcPr>
          <w:p w14:paraId="73A87ADB"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217E28B5"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60" w:type="dxa"/>
            <w:shd w:val="clear" w:color="auto" w:fill="auto"/>
            <w:tcMar>
              <w:top w:w="0" w:type="dxa"/>
              <w:left w:w="0" w:type="dxa"/>
              <w:bottom w:w="0" w:type="dxa"/>
              <w:right w:w="28" w:type="dxa"/>
            </w:tcMar>
            <w:vAlign w:val="bottom"/>
            <w:hideMark/>
          </w:tcPr>
          <w:p w14:paraId="7FEC790C"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34" w:type="dxa"/>
            <w:shd w:val="clear" w:color="auto" w:fill="auto"/>
            <w:tcMar>
              <w:top w:w="0" w:type="dxa"/>
              <w:left w:w="0" w:type="dxa"/>
              <w:bottom w:w="0" w:type="dxa"/>
              <w:right w:w="28" w:type="dxa"/>
            </w:tcMar>
            <w:vAlign w:val="bottom"/>
            <w:hideMark/>
          </w:tcPr>
          <w:p w14:paraId="2DECC4A3"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166</w:t>
            </w:r>
          </w:p>
        </w:tc>
        <w:tc>
          <w:tcPr>
            <w:tcW w:w="331" w:type="dxa"/>
            <w:shd w:val="clear" w:color="auto" w:fill="auto"/>
            <w:tcMar>
              <w:top w:w="0" w:type="dxa"/>
              <w:left w:w="0" w:type="dxa"/>
              <w:bottom w:w="0" w:type="dxa"/>
              <w:right w:w="28" w:type="dxa"/>
            </w:tcMar>
            <w:vAlign w:val="bottom"/>
            <w:hideMark/>
          </w:tcPr>
          <w:p w14:paraId="6F405DAE"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1356CC75"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03EE5BE1"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6A478321"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547E7243"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11F2560D"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18DBDECE"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6" w:type="dxa"/>
            <w:shd w:val="clear" w:color="auto" w:fill="auto"/>
            <w:tcMar>
              <w:top w:w="0" w:type="dxa"/>
              <w:left w:w="0" w:type="dxa"/>
              <w:bottom w:w="0" w:type="dxa"/>
              <w:right w:w="28" w:type="dxa"/>
            </w:tcMar>
            <w:vAlign w:val="bottom"/>
            <w:hideMark/>
          </w:tcPr>
          <w:p w14:paraId="45FF5383"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87" w:type="dxa"/>
            <w:shd w:val="clear" w:color="auto" w:fill="auto"/>
            <w:tcMar>
              <w:top w:w="0" w:type="dxa"/>
              <w:left w:w="0" w:type="dxa"/>
              <w:bottom w:w="0" w:type="dxa"/>
              <w:right w:w="28" w:type="dxa"/>
            </w:tcMar>
            <w:vAlign w:val="bottom"/>
            <w:hideMark/>
          </w:tcPr>
          <w:p w14:paraId="6F3397C9"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211</w:t>
            </w:r>
          </w:p>
        </w:tc>
      </w:tr>
      <w:tr w:rsidR="00B24BD3" w:rsidRPr="00F622AF" w14:paraId="3D9CCC34" w14:textId="77777777" w:rsidTr="00546A02">
        <w:trPr>
          <w:trHeight w:val="240"/>
        </w:trPr>
        <w:tc>
          <w:tcPr>
            <w:tcW w:w="742" w:type="dxa"/>
            <w:shd w:val="clear" w:color="auto" w:fill="auto"/>
            <w:hideMark/>
          </w:tcPr>
          <w:p w14:paraId="6F4D8EC4" w14:textId="77777777" w:rsidR="009679FD" w:rsidRPr="00F622AF" w:rsidRDefault="009679FD" w:rsidP="00F622AF">
            <w:pPr>
              <w:pStyle w:val="SingleTxtG"/>
              <w:tabs>
                <w:tab w:val="clear" w:pos="1701"/>
                <w:tab w:val="clear" w:pos="2268"/>
                <w:tab w:val="clear" w:pos="2835"/>
              </w:tabs>
              <w:spacing w:before="40" w:after="40" w:line="220" w:lineRule="exact"/>
              <w:ind w:left="0" w:right="0"/>
              <w:jc w:val="left"/>
              <w:rPr>
                <w:sz w:val="18"/>
                <w:lang w:val="es-ES_tradnl"/>
              </w:rPr>
            </w:pPr>
            <w:r w:rsidRPr="00F622AF">
              <w:rPr>
                <w:sz w:val="18"/>
                <w:lang w:val="es-ES_tradnl"/>
              </w:rPr>
              <w:t>2016</w:t>
            </w:r>
          </w:p>
        </w:tc>
        <w:tc>
          <w:tcPr>
            <w:tcW w:w="375" w:type="dxa"/>
            <w:shd w:val="clear" w:color="auto" w:fill="auto"/>
            <w:tcMar>
              <w:top w:w="0" w:type="dxa"/>
              <w:left w:w="0" w:type="dxa"/>
              <w:bottom w:w="0" w:type="dxa"/>
              <w:right w:w="28" w:type="dxa"/>
            </w:tcMar>
            <w:vAlign w:val="bottom"/>
            <w:hideMark/>
          </w:tcPr>
          <w:p w14:paraId="0D6ADAF6"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575EB641"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93" w:type="dxa"/>
            <w:shd w:val="clear" w:color="auto" w:fill="auto"/>
            <w:vAlign w:val="bottom"/>
            <w:hideMark/>
          </w:tcPr>
          <w:p w14:paraId="6782BFDE"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257" w:type="dxa"/>
            <w:shd w:val="clear" w:color="auto" w:fill="auto"/>
            <w:tcMar>
              <w:top w:w="0" w:type="dxa"/>
              <w:left w:w="0" w:type="dxa"/>
              <w:bottom w:w="0" w:type="dxa"/>
              <w:right w:w="28" w:type="dxa"/>
            </w:tcMar>
            <w:vAlign w:val="bottom"/>
            <w:hideMark/>
          </w:tcPr>
          <w:p w14:paraId="1E0782D7"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213327C2"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4288F30D"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1AE10EB2"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4</w:t>
            </w:r>
          </w:p>
        </w:tc>
        <w:tc>
          <w:tcPr>
            <w:tcW w:w="375" w:type="dxa"/>
            <w:shd w:val="clear" w:color="auto" w:fill="auto"/>
            <w:tcMar>
              <w:top w:w="0" w:type="dxa"/>
              <w:left w:w="0" w:type="dxa"/>
              <w:bottom w:w="0" w:type="dxa"/>
              <w:right w:w="28" w:type="dxa"/>
            </w:tcMar>
            <w:vAlign w:val="bottom"/>
            <w:hideMark/>
          </w:tcPr>
          <w:p w14:paraId="46FD7564"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048D560C"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19" w:type="dxa"/>
            <w:shd w:val="clear" w:color="auto" w:fill="auto"/>
            <w:tcMar>
              <w:top w:w="0" w:type="dxa"/>
              <w:left w:w="0" w:type="dxa"/>
              <w:bottom w:w="0" w:type="dxa"/>
              <w:right w:w="28" w:type="dxa"/>
            </w:tcMar>
            <w:vAlign w:val="bottom"/>
            <w:hideMark/>
          </w:tcPr>
          <w:p w14:paraId="3D2AC03C"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22</w:t>
            </w:r>
          </w:p>
        </w:tc>
        <w:tc>
          <w:tcPr>
            <w:tcW w:w="364" w:type="dxa"/>
            <w:shd w:val="clear" w:color="auto" w:fill="auto"/>
            <w:tcMar>
              <w:top w:w="0" w:type="dxa"/>
              <w:left w:w="0" w:type="dxa"/>
              <w:bottom w:w="0" w:type="dxa"/>
              <w:right w:w="28" w:type="dxa"/>
            </w:tcMar>
            <w:vAlign w:val="bottom"/>
            <w:hideMark/>
          </w:tcPr>
          <w:p w14:paraId="2C1D8847"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42" w:type="dxa"/>
            <w:shd w:val="clear" w:color="auto" w:fill="auto"/>
            <w:tcMar>
              <w:top w:w="0" w:type="dxa"/>
              <w:left w:w="0" w:type="dxa"/>
              <w:bottom w:w="0" w:type="dxa"/>
              <w:right w:w="28" w:type="dxa"/>
            </w:tcMar>
            <w:vAlign w:val="bottom"/>
            <w:hideMark/>
          </w:tcPr>
          <w:p w14:paraId="0401D467"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553E2744"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60" w:type="dxa"/>
            <w:shd w:val="clear" w:color="auto" w:fill="auto"/>
            <w:tcMar>
              <w:top w:w="0" w:type="dxa"/>
              <w:left w:w="0" w:type="dxa"/>
              <w:bottom w:w="0" w:type="dxa"/>
              <w:right w:w="28" w:type="dxa"/>
            </w:tcMar>
            <w:vAlign w:val="bottom"/>
            <w:hideMark/>
          </w:tcPr>
          <w:p w14:paraId="4C755037"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34" w:type="dxa"/>
            <w:shd w:val="clear" w:color="auto" w:fill="auto"/>
            <w:tcMar>
              <w:top w:w="0" w:type="dxa"/>
              <w:left w:w="0" w:type="dxa"/>
              <w:bottom w:w="0" w:type="dxa"/>
              <w:right w:w="28" w:type="dxa"/>
            </w:tcMar>
            <w:vAlign w:val="bottom"/>
            <w:hideMark/>
          </w:tcPr>
          <w:p w14:paraId="4B933921"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58</w:t>
            </w:r>
          </w:p>
        </w:tc>
        <w:tc>
          <w:tcPr>
            <w:tcW w:w="331" w:type="dxa"/>
            <w:shd w:val="clear" w:color="auto" w:fill="auto"/>
            <w:tcMar>
              <w:top w:w="0" w:type="dxa"/>
              <w:left w:w="0" w:type="dxa"/>
              <w:bottom w:w="0" w:type="dxa"/>
              <w:right w:w="28" w:type="dxa"/>
            </w:tcMar>
            <w:vAlign w:val="bottom"/>
            <w:hideMark/>
          </w:tcPr>
          <w:p w14:paraId="6A037716"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w:t>
            </w:r>
          </w:p>
        </w:tc>
        <w:tc>
          <w:tcPr>
            <w:tcW w:w="375" w:type="dxa"/>
            <w:shd w:val="clear" w:color="auto" w:fill="auto"/>
            <w:vAlign w:val="bottom"/>
            <w:hideMark/>
          </w:tcPr>
          <w:p w14:paraId="21FC6781"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6B1B718A"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16DFA562"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1CD869F5"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3565AF2D"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18FE1CA7"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6" w:type="dxa"/>
            <w:shd w:val="clear" w:color="auto" w:fill="auto"/>
            <w:tcMar>
              <w:top w:w="0" w:type="dxa"/>
              <w:left w:w="0" w:type="dxa"/>
              <w:bottom w:w="0" w:type="dxa"/>
              <w:right w:w="28" w:type="dxa"/>
            </w:tcMar>
            <w:vAlign w:val="bottom"/>
            <w:hideMark/>
          </w:tcPr>
          <w:p w14:paraId="679DFB32"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87" w:type="dxa"/>
            <w:shd w:val="clear" w:color="auto" w:fill="auto"/>
            <w:tcMar>
              <w:top w:w="0" w:type="dxa"/>
              <w:left w:w="0" w:type="dxa"/>
              <w:bottom w:w="0" w:type="dxa"/>
              <w:right w:w="28" w:type="dxa"/>
            </w:tcMar>
            <w:vAlign w:val="bottom"/>
            <w:hideMark/>
          </w:tcPr>
          <w:p w14:paraId="32BAA6C6"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85</w:t>
            </w:r>
          </w:p>
        </w:tc>
      </w:tr>
      <w:tr w:rsidR="00B24BD3" w:rsidRPr="00F622AF" w14:paraId="171FD6A6" w14:textId="77777777" w:rsidTr="00546A02">
        <w:trPr>
          <w:trHeight w:val="240"/>
        </w:trPr>
        <w:tc>
          <w:tcPr>
            <w:tcW w:w="742" w:type="dxa"/>
            <w:shd w:val="clear" w:color="auto" w:fill="auto"/>
            <w:hideMark/>
          </w:tcPr>
          <w:p w14:paraId="4352AB4D" w14:textId="77777777" w:rsidR="009679FD" w:rsidRPr="00F622AF" w:rsidRDefault="009679FD" w:rsidP="00F622AF">
            <w:pPr>
              <w:pStyle w:val="SingleTxtG"/>
              <w:tabs>
                <w:tab w:val="clear" w:pos="1701"/>
                <w:tab w:val="clear" w:pos="2268"/>
                <w:tab w:val="clear" w:pos="2835"/>
              </w:tabs>
              <w:spacing w:before="40" w:after="40" w:line="220" w:lineRule="exact"/>
              <w:ind w:left="0" w:right="0"/>
              <w:jc w:val="left"/>
              <w:rPr>
                <w:sz w:val="18"/>
                <w:lang w:val="es-ES_tradnl"/>
              </w:rPr>
            </w:pPr>
            <w:r w:rsidRPr="00F622AF">
              <w:rPr>
                <w:sz w:val="18"/>
                <w:lang w:val="es-ES_tradnl"/>
              </w:rPr>
              <w:t>2017</w:t>
            </w:r>
          </w:p>
        </w:tc>
        <w:tc>
          <w:tcPr>
            <w:tcW w:w="375" w:type="dxa"/>
            <w:shd w:val="clear" w:color="auto" w:fill="auto"/>
            <w:tcMar>
              <w:top w:w="0" w:type="dxa"/>
              <w:left w:w="0" w:type="dxa"/>
              <w:bottom w:w="0" w:type="dxa"/>
              <w:right w:w="28" w:type="dxa"/>
            </w:tcMar>
            <w:vAlign w:val="bottom"/>
            <w:hideMark/>
          </w:tcPr>
          <w:p w14:paraId="55827C97"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2</w:t>
            </w:r>
          </w:p>
        </w:tc>
        <w:tc>
          <w:tcPr>
            <w:tcW w:w="375" w:type="dxa"/>
            <w:shd w:val="clear" w:color="auto" w:fill="auto"/>
            <w:tcMar>
              <w:top w:w="0" w:type="dxa"/>
              <w:left w:w="0" w:type="dxa"/>
              <w:bottom w:w="0" w:type="dxa"/>
              <w:right w:w="28" w:type="dxa"/>
            </w:tcMar>
            <w:vAlign w:val="bottom"/>
            <w:hideMark/>
          </w:tcPr>
          <w:p w14:paraId="09F2A1F9"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w:t>
            </w:r>
          </w:p>
        </w:tc>
        <w:tc>
          <w:tcPr>
            <w:tcW w:w="493" w:type="dxa"/>
            <w:shd w:val="clear" w:color="auto" w:fill="auto"/>
            <w:vAlign w:val="bottom"/>
            <w:hideMark/>
          </w:tcPr>
          <w:p w14:paraId="3C3C7D43"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257" w:type="dxa"/>
            <w:shd w:val="clear" w:color="auto" w:fill="auto"/>
            <w:tcMar>
              <w:top w:w="0" w:type="dxa"/>
              <w:left w:w="0" w:type="dxa"/>
              <w:bottom w:w="0" w:type="dxa"/>
              <w:right w:w="28" w:type="dxa"/>
            </w:tcMar>
            <w:vAlign w:val="bottom"/>
            <w:hideMark/>
          </w:tcPr>
          <w:p w14:paraId="779E48D4"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0E5CF6E3"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1F781E56"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5E3081BD"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3</w:t>
            </w:r>
          </w:p>
        </w:tc>
        <w:tc>
          <w:tcPr>
            <w:tcW w:w="375" w:type="dxa"/>
            <w:shd w:val="clear" w:color="auto" w:fill="auto"/>
            <w:tcMar>
              <w:top w:w="0" w:type="dxa"/>
              <w:left w:w="0" w:type="dxa"/>
              <w:bottom w:w="0" w:type="dxa"/>
              <w:right w:w="28" w:type="dxa"/>
            </w:tcMar>
            <w:vAlign w:val="bottom"/>
            <w:hideMark/>
          </w:tcPr>
          <w:p w14:paraId="05EE07DB"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17B00805"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19" w:type="dxa"/>
            <w:shd w:val="clear" w:color="auto" w:fill="auto"/>
            <w:tcMar>
              <w:top w:w="0" w:type="dxa"/>
              <w:left w:w="0" w:type="dxa"/>
              <w:bottom w:w="0" w:type="dxa"/>
              <w:right w:w="28" w:type="dxa"/>
            </w:tcMar>
            <w:vAlign w:val="bottom"/>
            <w:hideMark/>
          </w:tcPr>
          <w:p w14:paraId="573068C7"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43</w:t>
            </w:r>
          </w:p>
        </w:tc>
        <w:tc>
          <w:tcPr>
            <w:tcW w:w="364" w:type="dxa"/>
            <w:shd w:val="clear" w:color="auto" w:fill="auto"/>
            <w:tcMar>
              <w:top w:w="0" w:type="dxa"/>
              <w:left w:w="0" w:type="dxa"/>
              <w:bottom w:w="0" w:type="dxa"/>
              <w:right w:w="28" w:type="dxa"/>
            </w:tcMar>
            <w:vAlign w:val="bottom"/>
            <w:hideMark/>
          </w:tcPr>
          <w:p w14:paraId="773086A3"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2</w:t>
            </w:r>
          </w:p>
        </w:tc>
        <w:tc>
          <w:tcPr>
            <w:tcW w:w="342" w:type="dxa"/>
            <w:shd w:val="clear" w:color="auto" w:fill="auto"/>
            <w:tcMar>
              <w:top w:w="0" w:type="dxa"/>
              <w:left w:w="0" w:type="dxa"/>
              <w:bottom w:w="0" w:type="dxa"/>
              <w:right w:w="28" w:type="dxa"/>
            </w:tcMar>
            <w:vAlign w:val="bottom"/>
            <w:hideMark/>
          </w:tcPr>
          <w:p w14:paraId="1BAA0E15"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65EB00A3"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60" w:type="dxa"/>
            <w:shd w:val="clear" w:color="auto" w:fill="auto"/>
            <w:tcMar>
              <w:top w:w="0" w:type="dxa"/>
              <w:left w:w="0" w:type="dxa"/>
              <w:bottom w:w="0" w:type="dxa"/>
              <w:right w:w="28" w:type="dxa"/>
            </w:tcMar>
            <w:vAlign w:val="bottom"/>
            <w:hideMark/>
          </w:tcPr>
          <w:p w14:paraId="03845239"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w:t>
            </w:r>
          </w:p>
        </w:tc>
        <w:tc>
          <w:tcPr>
            <w:tcW w:w="434" w:type="dxa"/>
            <w:shd w:val="clear" w:color="auto" w:fill="auto"/>
            <w:tcMar>
              <w:top w:w="0" w:type="dxa"/>
              <w:left w:w="0" w:type="dxa"/>
              <w:bottom w:w="0" w:type="dxa"/>
              <w:right w:w="28" w:type="dxa"/>
            </w:tcMar>
            <w:vAlign w:val="bottom"/>
            <w:hideMark/>
          </w:tcPr>
          <w:p w14:paraId="0653027E"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31</w:t>
            </w:r>
          </w:p>
        </w:tc>
        <w:tc>
          <w:tcPr>
            <w:tcW w:w="331" w:type="dxa"/>
            <w:shd w:val="clear" w:color="auto" w:fill="auto"/>
            <w:tcMar>
              <w:top w:w="0" w:type="dxa"/>
              <w:left w:w="0" w:type="dxa"/>
              <w:bottom w:w="0" w:type="dxa"/>
              <w:right w:w="28" w:type="dxa"/>
            </w:tcMar>
            <w:vAlign w:val="bottom"/>
            <w:hideMark/>
          </w:tcPr>
          <w:p w14:paraId="39934E93"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2</w:t>
            </w:r>
          </w:p>
        </w:tc>
        <w:tc>
          <w:tcPr>
            <w:tcW w:w="375" w:type="dxa"/>
            <w:shd w:val="clear" w:color="auto" w:fill="auto"/>
            <w:vAlign w:val="bottom"/>
            <w:hideMark/>
          </w:tcPr>
          <w:p w14:paraId="633A3D15"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4C464D1C"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4008F607"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32D32FA1"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w:t>
            </w:r>
          </w:p>
        </w:tc>
        <w:tc>
          <w:tcPr>
            <w:tcW w:w="375" w:type="dxa"/>
            <w:shd w:val="clear" w:color="auto" w:fill="auto"/>
            <w:vAlign w:val="bottom"/>
            <w:hideMark/>
          </w:tcPr>
          <w:p w14:paraId="6AD6F918"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541F041B"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6" w:type="dxa"/>
            <w:shd w:val="clear" w:color="auto" w:fill="auto"/>
            <w:tcMar>
              <w:top w:w="0" w:type="dxa"/>
              <w:left w:w="0" w:type="dxa"/>
              <w:bottom w:w="0" w:type="dxa"/>
              <w:right w:w="28" w:type="dxa"/>
            </w:tcMar>
            <w:vAlign w:val="bottom"/>
            <w:hideMark/>
          </w:tcPr>
          <w:p w14:paraId="44ED5959"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87" w:type="dxa"/>
            <w:shd w:val="clear" w:color="auto" w:fill="auto"/>
            <w:tcMar>
              <w:top w:w="0" w:type="dxa"/>
              <w:left w:w="0" w:type="dxa"/>
              <w:bottom w:w="0" w:type="dxa"/>
              <w:right w:w="28" w:type="dxa"/>
            </w:tcMar>
            <w:vAlign w:val="bottom"/>
            <w:hideMark/>
          </w:tcPr>
          <w:p w14:paraId="6089877E"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86</w:t>
            </w:r>
          </w:p>
        </w:tc>
      </w:tr>
      <w:tr w:rsidR="00B24BD3" w:rsidRPr="00F622AF" w14:paraId="49265E25" w14:textId="77777777" w:rsidTr="00546A02">
        <w:trPr>
          <w:trHeight w:val="240"/>
        </w:trPr>
        <w:tc>
          <w:tcPr>
            <w:tcW w:w="742" w:type="dxa"/>
            <w:shd w:val="clear" w:color="auto" w:fill="auto"/>
            <w:hideMark/>
          </w:tcPr>
          <w:p w14:paraId="3B7A6B08" w14:textId="77777777" w:rsidR="009679FD" w:rsidRPr="00F622AF" w:rsidRDefault="009679FD" w:rsidP="00F622AF">
            <w:pPr>
              <w:pStyle w:val="SingleTxtG"/>
              <w:tabs>
                <w:tab w:val="clear" w:pos="1701"/>
                <w:tab w:val="clear" w:pos="2268"/>
                <w:tab w:val="clear" w:pos="2835"/>
              </w:tabs>
              <w:spacing w:before="40" w:after="40" w:line="220" w:lineRule="exact"/>
              <w:ind w:left="0" w:right="0"/>
              <w:jc w:val="left"/>
              <w:rPr>
                <w:sz w:val="18"/>
                <w:lang w:val="es-ES_tradnl"/>
              </w:rPr>
            </w:pPr>
            <w:r w:rsidRPr="00F622AF">
              <w:rPr>
                <w:sz w:val="18"/>
                <w:lang w:val="es-ES_tradnl"/>
              </w:rPr>
              <w:t>2018</w:t>
            </w:r>
          </w:p>
        </w:tc>
        <w:tc>
          <w:tcPr>
            <w:tcW w:w="375" w:type="dxa"/>
            <w:shd w:val="clear" w:color="auto" w:fill="auto"/>
            <w:tcMar>
              <w:top w:w="0" w:type="dxa"/>
              <w:left w:w="0" w:type="dxa"/>
              <w:bottom w:w="0" w:type="dxa"/>
              <w:right w:w="28" w:type="dxa"/>
            </w:tcMar>
            <w:vAlign w:val="bottom"/>
            <w:hideMark/>
          </w:tcPr>
          <w:p w14:paraId="6268EBBE"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6E28D00E"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93" w:type="dxa"/>
            <w:shd w:val="clear" w:color="auto" w:fill="auto"/>
            <w:vAlign w:val="bottom"/>
            <w:hideMark/>
          </w:tcPr>
          <w:p w14:paraId="2EC2A8D7"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257" w:type="dxa"/>
            <w:shd w:val="clear" w:color="auto" w:fill="auto"/>
            <w:tcMar>
              <w:top w:w="0" w:type="dxa"/>
              <w:left w:w="0" w:type="dxa"/>
              <w:bottom w:w="0" w:type="dxa"/>
              <w:right w:w="28" w:type="dxa"/>
            </w:tcMar>
            <w:vAlign w:val="bottom"/>
            <w:hideMark/>
          </w:tcPr>
          <w:p w14:paraId="7CD40E67"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6E397E80"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2EB6E2B9"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39248E2D"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9</w:t>
            </w:r>
          </w:p>
        </w:tc>
        <w:tc>
          <w:tcPr>
            <w:tcW w:w="375" w:type="dxa"/>
            <w:shd w:val="clear" w:color="auto" w:fill="auto"/>
            <w:tcMar>
              <w:top w:w="0" w:type="dxa"/>
              <w:left w:w="0" w:type="dxa"/>
              <w:bottom w:w="0" w:type="dxa"/>
              <w:right w:w="28" w:type="dxa"/>
            </w:tcMar>
            <w:vAlign w:val="bottom"/>
            <w:hideMark/>
          </w:tcPr>
          <w:p w14:paraId="4A6F2C50"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w:t>
            </w:r>
          </w:p>
        </w:tc>
        <w:tc>
          <w:tcPr>
            <w:tcW w:w="375" w:type="dxa"/>
            <w:shd w:val="clear" w:color="auto" w:fill="auto"/>
            <w:tcMar>
              <w:top w:w="0" w:type="dxa"/>
              <w:left w:w="0" w:type="dxa"/>
              <w:bottom w:w="0" w:type="dxa"/>
              <w:right w:w="28" w:type="dxa"/>
            </w:tcMar>
            <w:vAlign w:val="bottom"/>
            <w:hideMark/>
          </w:tcPr>
          <w:p w14:paraId="2603DC58"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14</w:t>
            </w:r>
          </w:p>
        </w:tc>
        <w:tc>
          <w:tcPr>
            <w:tcW w:w="419" w:type="dxa"/>
            <w:shd w:val="clear" w:color="auto" w:fill="auto"/>
            <w:tcMar>
              <w:top w:w="0" w:type="dxa"/>
              <w:left w:w="0" w:type="dxa"/>
              <w:bottom w:w="0" w:type="dxa"/>
              <w:right w:w="28" w:type="dxa"/>
            </w:tcMar>
            <w:vAlign w:val="bottom"/>
            <w:hideMark/>
          </w:tcPr>
          <w:p w14:paraId="7D28E94B"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50</w:t>
            </w:r>
          </w:p>
        </w:tc>
        <w:tc>
          <w:tcPr>
            <w:tcW w:w="364" w:type="dxa"/>
            <w:shd w:val="clear" w:color="auto" w:fill="auto"/>
            <w:tcMar>
              <w:top w:w="0" w:type="dxa"/>
              <w:left w:w="0" w:type="dxa"/>
              <w:bottom w:w="0" w:type="dxa"/>
              <w:right w:w="28" w:type="dxa"/>
            </w:tcMar>
            <w:vAlign w:val="bottom"/>
            <w:hideMark/>
          </w:tcPr>
          <w:p w14:paraId="258ACD78"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42" w:type="dxa"/>
            <w:shd w:val="clear" w:color="auto" w:fill="auto"/>
            <w:tcMar>
              <w:top w:w="0" w:type="dxa"/>
              <w:left w:w="0" w:type="dxa"/>
              <w:bottom w:w="0" w:type="dxa"/>
              <w:right w:w="28" w:type="dxa"/>
            </w:tcMar>
            <w:vAlign w:val="bottom"/>
            <w:hideMark/>
          </w:tcPr>
          <w:p w14:paraId="58F94BBC"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6EDB4EA6"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60" w:type="dxa"/>
            <w:shd w:val="clear" w:color="auto" w:fill="auto"/>
            <w:tcMar>
              <w:top w:w="0" w:type="dxa"/>
              <w:left w:w="0" w:type="dxa"/>
              <w:bottom w:w="0" w:type="dxa"/>
              <w:right w:w="28" w:type="dxa"/>
            </w:tcMar>
            <w:vAlign w:val="bottom"/>
            <w:hideMark/>
          </w:tcPr>
          <w:p w14:paraId="6E6530F6"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34" w:type="dxa"/>
            <w:shd w:val="clear" w:color="auto" w:fill="auto"/>
            <w:tcMar>
              <w:top w:w="0" w:type="dxa"/>
              <w:left w:w="0" w:type="dxa"/>
              <w:bottom w:w="0" w:type="dxa"/>
              <w:right w:w="28" w:type="dxa"/>
            </w:tcMar>
            <w:vAlign w:val="bottom"/>
            <w:hideMark/>
          </w:tcPr>
          <w:p w14:paraId="3B14348B"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42</w:t>
            </w:r>
          </w:p>
        </w:tc>
        <w:tc>
          <w:tcPr>
            <w:tcW w:w="331" w:type="dxa"/>
            <w:shd w:val="clear" w:color="auto" w:fill="auto"/>
            <w:tcMar>
              <w:top w:w="0" w:type="dxa"/>
              <w:left w:w="0" w:type="dxa"/>
              <w:bottom w:w="0" w:type="dxa"/>
              <w:right w:w="28" w:type="dxa"/>
            </w:tcMar>
            <w:vAlign w:val="bottom"/>
            <w:hideMark/>
          </w:tcPr>
          <w:p w14:paraId="113096FC"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101CF6E6"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4238959E"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0FD0B3DB"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549089C9"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4802CAD2"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2E2BBC39"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2</w:t>
            </w:r>
          </w:p>
        </w:tc>
        <w:tc>
          <w:tcPr>
            <w:tcW w:w="376" w:type="dxa"/>
            <w:shd w:val="clear" w:color="auto" w:fill="auto"/>
            <w:tcMar>
              <w:top w:w="0" w:type="dxa"/>
              <w:left w:w="0" w:type="dxa"/>
              <w:bottom w:w="0" w:type="dxa"/>
              <w:right w:w="28" w:type="dxa"/>
            </w:tcMar>
            <w:vAlign w:val="bottom"/>
            <w:hideMark/>
          </w:tcPr>
          <w:p w14:paraId="5EE099B1"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87" w:type="dxa"/>
            <w:shd w:val="clear" w:color="auto" w:fill="auto"/>
            <w:tcMar>
              <w:top w:w="0" w:type="dxa"/>
              <w:left w:w="0" w:type="dxa"/>
              <w:bottom w:w="0" w:type="dxa"/>
              <w:right w:w="28" w:type="dxa"/>
            </w:tcMar>
            <w:vAlign w:val="bottom"/>
            <w:hideMark/>
          </w:tcPr>
          <w:p w14:paraId="697503F9"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118</w:t>
            </w:r>
          </w:p>
        </w:tc>
      </w:tr>
      <w:tr w:rsidR="00B24BD3" w:rsidRPr="00F622AF" w14:paraId="465DB267" w14:textId="77777777" w:rsidTr="00546A02">
        <w:trPr>
          <w:trHeight w:val="240"/>
        </w:trPr>
        <w:tc>
          <w:tcPr>
            <w:tcW w:w="742" w:type="dxa"/>
            <w:shd w:val="clear" w:color="auto" w:fill="auto"/>
            <w:hideMark/>
          </w:tcPr>
          <w:p w14:paraId="5FF6807D" w14:textId="77777777" w:rsidR="009679FD" w:rsidRPr="00F622AF" w:rsidRDefault="009679FD" w:rsidP="00F622AF">
            <w:pPr>
              <w:pStyle w:val="SingleTxtG"/>
              <w:tabs>
                <w:tab w:val="clear" w:pos="1701"/>
                <w:tab w:val="clear" w:pos="2268"/>
                <w:tab w:val="clear" w:pos="2835"/>
              </w:tabs>
              <w:spacing w:before="40" w:after="40" w:line="220" w:lineRule="exact"/>
              <w:ind w:left="0" w:right="0"/>
              <w:jc w:val="left"/>
              <w:rPr>
                <w:sz w:val="18"/>
                <w:lang w:val="es-ES_tradnl"/>
              </w:rPr>
            </w:pPr>
            <w:r w:rsidRPr="00F622AF">
              <w:rPr>
                <w:sz w:val="18"/>
                <w:lang w:val="es-ES_tradnl"/>
              </w:rPr>
              <w:t>2019</w:t>
            </w:r>
          </w:p>
        </w:tc>
        <w:tc>
          <w:tcPr>
            <w:tcW w:w="375" w:type="dxa"/>
            <w:shd w:val="clear" w:color="auto" w:fill="auto"/>
            <w:tcMar>
              <w:top w:w="0" w:type="dxa"/>
              <w:left w:w="0" w:type="dxa"/>
              <w:bottom w:w="0" w:type="dxa"/>
              <w:right w:w="28" w:type="dxa"/>
            </w:tcMar>
            <w:vAlign w:val="bottom"/>
            <w:hideMark/>
          </w:tcPr>
          <w:p w14:paraId="0EAC2D74"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7E588025"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93" w:type="dxa"/>
            <w:shd w:val="clear" w:color="auto" w:fill="auto"/>
            <w:vAlign w:val="bottom"/>
            <w:hideMark/>
          </w:tcPr>
          <w:p w14:paraId="243916CF"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w:t>
            </w:r>
          </w:p>
        </w:tc>
        <w:tc>
          <w:tcPr>
            <w:tcW w:w="257" w:type="dxa"/>
            <w:shd w:val="clear" w:color="auto" w:fill="auto"/>
            <w:tcMar>
              <w:top w:w="0" w:type="dxa"/>
              <w:left w:w="0" w:type="dxa"/>
              <w:bottom w:w="0" w:type="dxa"/>
              <w:right w:w="28" w:type="dxa"/>
            </w:tcMar>
            <w:vAlign w:val="bottom"/>
            <w:hideMark/>
          </w:tcPr>
          <w:p w14:paraId="3D2CD758"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7C4E2421"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5CCD0C09"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2</w:t>
            </w:r>
          </w:p>
        </w:tc>
        <w:tc>
          <w:tcPr>
            <w:tcW w:w="375" w:type="dxa"/>
            <w:shd w:val="clear" w:color="auto" w:fill="auto"/>
            <w:tcMar>
              <w:top w:w="0" w:type="dxa"/>
              <w:left w:w="0" w:type="dxa"/>
              <w:bottom w:w="0" w:type="dxa"/>
              <w:right w:w="28" w:type="dxa"/>
            </w:tcMar>
            <w:vAlign w:val="bottom"/>
            <w:hideMark/>
          </w:tcPr>
          <w:p w14:paraId="41538D76"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3</w:t>
            </w:r>
          </w:p>
        </w:tc>
        <w:tc>
          <w:tcPr>
            <w:tcW w:w="375" w:type="dxa"/>
            <w:shd w:val="clear" w:color="auto" w:fill="auto"/>
            <w:tcMar>
              <w:top w:w="0" w:type="dxa"/>
              <w:left w:w="0" w:type="dxa"/>
              <w:bottom w:w="0" w:type="dxa"/>
              <w:right w:w="28" w:type="dxa"/>
            </w:tcMar>
            <w:vAlign w:val="bottom"/>
            <w:hideMark/>
          </w:tcPr>
          <w:p w14:paraId="3D66B9B0"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3</w:t>
            </w:r>
          </w:p>
        </w:tc>
        <w:tc>
          <w:tcPr>
            <w:tcW w:w="375" w:type="dxa"/>
            <w:shd w:val="clear" w:color="auto" w:fill="auto"/>
            <w:tcMar>
              <w:top w:w="0" w:type="dxa"/>
              <w:left w:w="0" w:type="dxa"/>
              <w:bottom w:w="0" w:type="dxa"/>
              <w:right w:w="28" w:type="dxa"/>
            </w:tcMar>
            <w:vAlign w:val="bottom"/>
            <w:hideMark/>
          </w:tcPr>
          <w:p w14:paraId="28EE7C44"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19" w:type="dxa"/>
            <w:shd w:val="clear" w:color="auto" w:fill="auto"/>
            <w:tcMar>
              <w:top w:w="0" w:type="dxa"/>
              <w:left w:w="0" w:type="dxa"/>
              <w:bottom w:w="0" w:type="dxa"/>
              <w:right w:w="28" w:type="dxa"/>
            </w:tcMar>
            <w:vAlign w:val="bottom"/>
            <w:hideMark/>
          </w:tcPr>
          <w:p w14:paraId="602202AF"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226</w:t>
            </w:r>
          </w:p>
        </w:tc>
        <w:tc>
          <w:tcPr>
            <w:tcW w:w="364" w:type="dxa"/>
            <w:shd w:val="clear" w:color="auto" w:fill="auto"/>
            <w:tcMar>
              <w:top w:w="0" w:type="dxa"/>
              <w:left w:w="0" w:type="dxa"/>
              <w:bottom w:w="0" w:type="dxa"/>
              <w:right w:w="28" w:type="dxa"/>
            </w:tcMar>
            <w:vAlign w:val="bottom"/>
            <w:hideMark/>
          </w:tcPr>
          <w:p w14:paraId="13CDE671"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42" w:type="dxa"/>
            <w:shd w:val="clear" w:color="auto" w:fill="auto"/>
            <w:tcMar>
              <w:top w:w="0" w:type="dxa"/>
              <w:left w:w="0" w:type="dxa"/>
              <w:bottom w:w="0" w:type="dxa"/>
              <w:right w:w="28" w:type="dxa"/>
            </w:tcMar>
            <w:vAlign w:val="bottom"/>
            <w:hideMark/>
          </w:tcPr>
          <w:p w14:paraId="5D0E41FC"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2</w:t>
            </w:r>
          </w:p>
        </w:tc>
        <w:tc>
          <w:tcPr>
            <w:tcW w:w="375" w:type="dxa"/>
            <w:shd w:val="clear" w:color="auto" w:fill="auto"/>
            <w:vAlign w:val="bottom"/>
            <w:hideMark/>
          </w:tcPr>
          <w:p w14:paraId="07063E96"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60" w:type="dxa"/>
            <w:shd w:val="clear" w:color="auto" w:fill="auto"/>
            <w:tcMar>
              <w:top w:w="0" w:type="dxa"/>
              <w:left w:w="0" w:type="dxa"/>
              <w:bottom w:w="0" w:type="dxa"/>
              <w:right w:w="28" w:type="dxa"/>
            </w:tcMar>
            <w:vAlign w:val="bottom"/>
            <w:hideMark/>
          </w:tcPr>
          <w:p w14:paraId="159BB266"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34" w:type="dxa"/>
            <w:shd w:val="clear" w:color="auto" w:fill="auto"/>
            <w:tcMar>
              <w:top w:w="0" w:type="dxa"/>
              <w:left w:w="0" w:type="dxa"/>
              <w:bottom w:w="0" w:type="dxa"/>
              <w:right w:w="28" w:type="dxa"/>
            </w:tcMar>
            <w:vAlign w:val="bottom"/>
            <w:hideMark/>
          </w:tcPr>
          <w:p w14:paraId="1117A57C"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10</w:t>
            </w:r>
          </w:p>
        </w:tc>
        <w:tc>
          <w:tcPr>
            <w:tcW w:w="331" w:type="dxa"/>
            <w:shd w:val="clear" w:color="auto" w:fill="auto"/>
            <w:tcMar>
              <w:top w:w="0" w:type="dxa"/>
              <w:left w:w="0" w:type="dxa"/>
              <w:bottom w:w="0" w:type="dxa"/>
              <w:right w:w="28" w:type="dxa"/>
            </w:tcMar>
            <w:vAlign w:val="bottom"/>
            <w:hideMark/>
          </w:tcPr>
          <w:p w14:paraId="533442E3"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16F6EB30"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19A9596C"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10D83491"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51655838"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37F6495D"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7E6959A3"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6" w:type="dxa"/>
            <w:shd w:val="clear" w:color="auto" w:fill="auto"/>
            <w:tcMar>
              <w:top w:w="0" w:type="dxa"/>
              <w:left w:w="0" w:type="dxa"/>
              <w:bottom w:w="0" w:type="dxa"/>
              <w:right w:w="28" w:type="dxa"/>
            </w:tcMar>
            <w:vAlign w:val="bottom"/>
            <w:hideMark/>
          </w:tcPr>
          <w:p w14:paraId="2AA0AECA"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w:t>
            </w:r>
          </w:p>
        </w:tc>
        <w:tc>
          <w:tcPr>
            <w:tcW w:w="487" w:type="dxa"/>
            <w:shd w:val="clear" w:color="auto" w:fill="auto"/>
            <w:tcMar>
              <w:top w:w="0" w:type="dxa"/>
              <w:left w:w="0" w:type="dxa"/>
              <w:bottom w:w="0" w:type="dxa"/>
              <w:right w:w="28" w:type="dxa"/>
            </w:tcMar>
            <w:vAlign w:val="bottom"/>
            <w:hideMark/>
          </w:tcPr>
          <w:p w14:paraId="715E3680"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248</w:t>
            </w:r>
          </w:p>
        </w:tc>
      </w:tr>
      <w:tr w:rsidR="00B24BD3" w:rsidRPr="00F622AF" w14:paraId="7999FC6F" w14:textId="77777777" w:rsidTr="00546A02">
        <w:trPr>
          <w:trHeight w:val="240"/>
        </w:trPr>
        <w:tc>
          <w:tcPr>
            <w:tcW w:w="742" w:type="dxa"/>
            <w:shd w:val="clear" w:color="auto" w:fill="auto"/>
            <w:hideMark/>
          </w:tcPr>
          <w:p w14:paraId="1391F475" w14:textId="77777777" w:rsidR="009679FD" w:rsidRPr="00F622AF" w:rsidRDefault="009679FD" w:rsidP="00F622AF">
            <w:pPr>
              <w:pStyle w:val="SingleTxtG"/>
              <w:tabs>
                <w:tab w:val="clear" w:pos="1701"/>
                <w:tab w:val="clear" w:pos="2268"/>
                <w:tab w:val="clear" w:pos="2835"/>
              </w:tabs>
              <w:spacing w:before="40" w:after="40" w:line="220" w:lineRule="exact"/>
              <w:ind w:left="0" w:right="0"/>
              <w:jc w:val="left"/>
              <w:rPr>
                <w:sz w:val="18"/>
                <w:lang w:val="es-ES_tradnl"/>
              </w:rPr>
            </w:pPr>
            <w:r w:rsidRPr="00F622AF">
              <w:rPr>
                <w:sz w:val="18"/>
                <w:lang w:val="es-ES_tradnl"/>
              </w:rPr>
              <w:t>2020</w:t>
            </w:r>
          </w:p>
        </w:tc>
        <w:tc>
          <w:tcPr>
            <w:tcW w:w="375" w:type="dxa"/>
            <w:shd w:val="clear" w:color="auto" w:fill="auto"/>
            <w:tcMar>
              <w:top w:w="0" w:type="dxa"/>
              <w:left w:w="0" w:type="dxa"/>
              <w:bottom w:w="0" w:type="dxa"/>
              <w:right w:w="28" w:type="dxa"/>
            </w:tcMar>
            <w:vAlign w:val="bottom"/>
            <w:hideMark/>
          </w:tcPr>
          <w:p w14:paraId="615BFA94"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w:t>
            </w:r>
          </w:p>
        </w:tc>
        <w:tc>
          <w:tcPr>
            <w:tcW w:w="375" w:type="dxa"/>
            <w:shd w:val="clear" w:color="auto" w:fill="auto"/>
            <w:tcMar>
              <w:top w:w="0" w:type="dxa"/>
              <w:left w:w="0" w:type="dxa"/>
              <w:bottom w:w="0" w:type="dxa"/>
              <w:right w:w="28" w:type="dxa"/>
            </w:tcMar>
            <w:vAlign w:val="bottom"/>
            <w:hideMark/>
          </w:tcPr>
          <w:p w14:paraId="20A8E3F2"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93" w:type="dxa"/>
            <w:shd w:val="clear" w:color="auto" w:fill="auto"/>
            <w:vAlign w:val="bottom"/>
            <w:hideMark/>
          </w:tcPr>
          <w:p w14:paraId="0A3D8F23"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257" w:type="dxa"/>
            <w:shd w:val="clear" w:color="auto" w:fill="auto"/>
            <w:tcMar>
              <w:top w:w="0" w:type="dxa"/>
              <w:left w:w="0" w:type="dxa"/>
              <w:bottom w:w="0" w:type="dxa"/>
              <w:right w:w="28" w:type="dxa"/>
            </w:tcMar>
            <w:vAlign w:val="bottom"/>
            <w:hideMark/>
          </w:tcPr>
          <w:p w14:paraId="76A8EB7B"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495ECF9C"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w:t>
            </w:r>
          </w:p>
        </w:tc>
        <w:tc>
          <w:tcPr>
            <w:tcW w:w="375" w:type="dxa"/>
            <w:shd w:val="clear" w:color="auto" w:fill="auto"/>
            <w:tcMar>
              <w:top w:w="0" w:type="dxa"/>
              <w:left w:w="0" w:type="dxa"/>
              <w:bottom w:w="0" w:type="dxa"/>
              <w:right w:w="28" w:type="dxa"/>
            </w:tcMar>
            <w:vAlign w:val="bottom"/>
            <w:hideMark/>
          </w:tcPr>
          <w:p w14:paraId="554F6C50"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w:t>
            </w:r>
          </w:p>
        </w:tc>
        <w:tc>
          <w:tcPr>
            <w:tcW w:w="375" w:type="dxa"/>
            <w:shd w:val="clear" w:color="auto" w:fill="auto"/>
            <w:tcMar>
              <w:top w:w="0" w:type="dxa"/>
              <w:left w:w="0" w:type="dxa"/>
              <w:bottom w:w="0" w:type="dxa"/>
              <w:right w:w="28" w:type="dxa"/>
            </w:tcMar>
            <w:vAlign w:val="bottom"/>
            <w:hideMark/>
          </w:tcPr>
          <w:p w14:paraId="62FB0E54"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2</w:t>
            </w:r>
          </w:p>
        </w:tc>
        <w:tc>
          <w:tcPr>
            <w:tcW w:w="375" w:type="dxa"/>
            <w:shd w:val="clear" w:color="auto" w:fill="auto"/>
            <w:tcMar>
              <w:top w:w="0" w:type="dxa"/>
              <w:left w:w="0" w:type="dxa"/>
              <w:bottom w:w="0" w:type="dxa"/>
              <w:right w:w="28" w:type="dxa"/>
            </w:tcMar>
            <w:vAlign w:val="bottom"/>
            <w:hideMark/>
          </w:tcPr>
          <w:p w14:paraId="5461A17A"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tcMar>
              <w:top w:w="0" w:type="dxa"/>
              <w:left w:w="0" w:type="dxa"/>
              <w:bottom w:w="0" w:type="dxa"/>
              <w:right w:w="28" w:type="dxa"/>
            </w:tcMar>
            <w:vAlign w:val="bottom"/>
            <w:hideMark/>
          </w:tcPr>
          <w:p w14:paraId="407CB3EA"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9</w:t>
            </w:r>
          </w:p>
        </w:tc>
        <w:tc>
          <w:tcPr>
            <w:tcW w:w="419" w:type="dxa"/>
            <w:shd w:val="clear" w:color="auto" w:fill="auto"/>
            <w:tcMar>
              <w:top w:w="0" w:type="dxa"/>
              <w:left w:w="0" w:type="dxa"/>
              <w:bottom w:w="0" w:type="dxa"/>
              <w:right w:w="28" w:type="dxa"/>
            </w:tcMar>
            <w:vAlign w:val="bottom"/>
            <w:hideMark/>
          </w:tcPr>
          <w:p w14:paraId="0B0EF5BF"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103</w:t>
            </w:r>
          </w:p>
        </w:tc>
        <w:tc>
          <w:tcPr>
            <w:tcW w:w="364" w:type="dxa"/>
            <w:shd w:val="clear" w:color="auto" w:fill="auto"/>
            <w:tcMar>
              <w:top w:w="0" w:type="dxa"/>
              <w:left w:w="0" w:type="dxa"/>
              <w:bottom w:w="0" w:type="dxa"/>
              <w:right w:w="28" w:type="dxa"/>
            </w:tcMar>
            <w:vAlign w:val="bottom"/>
            <w:hideMark/>
          </w:tcPr>
          <w:p w14:paraId="57F65CC7"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42" w:type="dxa"/>
            <w:shd w:val="clear" w:color="auto" w:fill="auto"/>
            <w:tcMar>
              <w:top w:w="0" w:type="dxa"/>
              <w:left w:w="0" w:type="dxa"/>
              <w:bottom w:w="0" w:type="dxa"/>
              <w:right w:w="28" w:type="dxa"/>
            </w:tcMar>
            <w:vAlign w:val="bottom"/>
            <w:hideMark/>
          </w:tcPr>
          <w:p w14:paraId="21522792"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67C4C761"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w:t>
            </w:r>
          </w:p>
        </w:tc>
        <w:tc>
          <w:tcPr>
            <w:tcW w:w="360" w:type="dxa"/>
            <w:shd w:val="clear" w:color="auto" w:fill="auto"/>
            <w:tcMar>
              <w:top w:w="0" w:type="dxa"/>
              <w:left w:w="0" w:type="dxa"/>
              <w:bottom w:w="0" w:type="dxa"/>
              <w:right w:w="28" w:type="dxa"/>
            </w:tcMar>
            <w:vAlign w:val="bottom"/>
            <w:hideMark/>
          </w:tcPr>
          <w:p w14:paraId="0321CF0D"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34" w:type="dxa"/>
            <w:shd w:val="clear" w:color="auto" w:fill="auto"/>
            <w:tcMar>
              <w:top w:w="0" w:type="dxa"/>
              <w:left w:w="0" w:type="dxa"/>
              <w:bottom w:w="0" w:type="dxa"/>
              <w:right w:w="28" w:type="dxa"/>
            </w:tcMar>
            <w:vAlign w:val="bottom"/>
            <w:hideMark/>
          </w:tcPr>
          <w:p w14:paraId="4310CE09"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57</w:t>
            </w:r>
          </w:p>
        </w:tc>
        <w:tc>
          <w:tcPr>
            <w:tcW w:w="331" w:type="dxa"/>
            <w:shd w:val="clear" w:color="auto" w:fill="auto"/>
            <w:tcMar>
              <w:top w:w="0" w:type="dxa"/>
              <w:left w:w="0" w:type="dxa"/>
              <w:bottom w:w="0" w:type="dxa"/>
              <w:right w:w="28" w:type="dxa"/>
            </w:tcMar>
            <w:vAlign w:val="bottom"/>
            <w:hideMark/>
          </w:tcPr>
          <w:p w14:paraId="76BCFE78"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4B7B3236"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w:t>
            </w:r>
          </w:p>
        </w:tc>
        <w:tc>
          <w:tcPr>
            <w:tcW w:w="375" w:type="dxa"/>
            <w:shd w:val="clear" w:color="auto" w:fill="auto"/>
            <w:vAlign w:val="bottom"/>
            <w:hideMark/>
          </w:tcPr>
          <w:p w14:paraId="50421BC1"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132FA8A9"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14</w:t>
            </w:r>
          </w:p>
        </w:tc>
        <w:tc>
          <w:tcPr>
            <w:tcW w:w="375" w:type="dxa"/>
            <w:shd w:val="clear" w:color="auto" w:fill="auto"/>
            <w:tcMar>
              <w:top w:w="0" w:type="dxa"/>
              <w:left w:w="0" w:type="dxa"/>
              <w:bottom w:w="0" w:type="dxa"/>
              <w:right w:w="28" w:type="dxa"/>
            </w:tcMar>
            <w:vAlign w:val="bottom"/>
            <w:hideMark/>
          </w:tcPr>
          <w:p w14:paraId="2666244D"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shd w:val="clear" w:color="auto" w:fill="auto"/>
            <w:vAlign w:val="bottom"/>
            <w:hideMark/>
          </w:tcPr>
          <w:p w14:paraId="378B6DB2"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w:t>
            </w:r>
          </w:p>
        </w:tc>
        <w:tc>
          <w:tcPr>
            <w:tcW w:w="375" w:type="dxa"/>
            <w:shd w:val="clear" w:color="auto" w:fill="auto"/>
            <w:tcMar>
              <w:top w:w="0" w:type="dxa"/>
              <w:left w:w="0" w:type="dxa"/>
              <w:bottom w:w="0" w:type="dxa"/>
              <w:right w:w="28" w:type="dxa"/>
            </w:tcMar>
            <w:vAlign w:val="bottom"/>
            <w:hideMark/>
          </w:tcPr>
          <w:p w14:paraId="7AFC29B1"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w:t>
            </w:r>
          </w:p>
        </w:tc>
        <w:tc>
          <w:tcPr>
            <w:tcW w:w="376" w:type="dxa"/>
            <w:shd w:val="clear" w:color="auto" w:fill="auto"/>
            <w:tcMar>
              <w:top w:w="0" w:type="dxa"/>
              <w:left w:w="0" w:type="dxa"/>
              <w:bottom w:w="0" w:type="dxa"/>
              <w:right w:w="28" w:type="dxa"/>
            </w:tcMar>
            <w:vAlign w:val="bottom"/>
            <w:hideMark/>
          </w:tcPr>
          <w:p w14:paraId="36D857F3"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87" w:type="dxa"/>
            <w:shd w:val="clear" w:color="auto" w:fill="auto"/>
            <w:tcMar>
              <w:top w:w="0" w:type="dxa"/>
              <w:left w:w="0" w:type="dxa"/>
              <w:bottom w:w="0" w:type="dxa"/>
              <w:right w:w="28" w:type="dxa"/>
            </w:tcMar>
            <w:vAlign w:val="bottom"/>
            <w:hideMark/>
          </w:tcPr>
          <w:p w14:paraId="24B2C771"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192</w:t>
            </w:r>
          </w:p>
        </w:tc>
      </w:tr>
      <w:tr w:rsidR="00B24BD3" w:rsidRPr="00F622AF" w14:paraId="633B8968" w14:textId="77777777" w:rsidTr="00546A02">
        <w:trPr>
          <w:trHeight w:val="240"/>
        </w:trPr>
        <w:tc>
          <w:tcPr>
            <w:tcW w:w="742" w:type="dxa"/>
            <w:tcBorders>
              <w:bottom w:val="single" w:sz="4" w:space="0" w:color="auto"/>
            </w:tcBorders>
            <w:shd w:val="clear" w:color="auto" w:fill="auto"/>
            <w:hideMark/>
          </w:tcPr>
          <w:p w14:paraId="23762BFB" w14:textId="77777777" w:rsidR="009679FD" w:rsidRPr="00F622AF" w:rsidRDefault="009679FD" w:rsidP="00F622AF">
            <w:pPr>
              <w:pStyle w:val="SingleTxtG"/>
              <w:tabs>
                <w:tab w:val="clear" w:pos="1701"/>
                <w:tab w:val="clear" w:pos="2268"/>
                <w:tab w:val="clear" w:pos="2835"/>
              </w:tabs>
              <w:spacing w:before="40" w:after="40" w:line="220" w:lineRule="exact"/>
              <w:ind w:left="0" w:right="0"/>
              <w:jc w:val="left"/>
              <w:rPr>
                <w:sz w:val="18"/>
                <w:lang w:val="es-ES_tradnl"/>
              </w:rPr>
            </w:pPr>
            <w:r w:rsidRPr="00F622AF">
              <w:rPr>
                <w:sz w:val="18"/>
                <w:lang w:val="es-ES_tradnl"/>
              </w:rPr>
              <w:t>2021</w:t>
            </w:r>
            <w:r w:rsidRPr="004A5B25">
              <w:rPr>
                <w:i/>
                <w:iCs/>
                <w:sz w:val="18"/>
                <w:vertAlign w:val="superscript"/>
                <w:lang w:val="es-ES_tradnl"/>
              </w:rPr>
              <w:t>a</w:t>
            </w:r>
          </w:p>
        </w:tc>
        <w:tc>
          <w:tcPr>
            <w:tcW w:w="375" w:type="dxa"/>
            <w:tcBorders>
              <w:bottom w:val="single" w:sz="4" w:space="0" w:color="auto"/>
            </w:tcBorders>
            <w:shd w:val="clear" w:color="auto" w:fill="auto"/>
            <w:tcMar>
              <w:top w:w="0" w:type="dxa"/>
              <w:left w:w="0" w:type="dxa"/>
              <w:bottom w:w="0" w:type="dxa"/>
              <w:right w:w="28" w:type="dxa"/>
            </w:tcMar>
            <w:vAlign w:val="bottom"/>
            <w:hideMark/>
          </w:tcPr>
          <w:p w14:paraId="07820731"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bottom w:val="single" w:sz="4" w:space="0" w:color="auto"/>
            </w:tcBorders>
            <w:shd w:val="clear" w:color="auto" w:fill="auto"/>
            <w:tcMar>
              <w:top w:w="0" w:type="dxa"/>
              <w:left w:w="0" w:type="dxa"/>
              <w:bottom w:w="0" w:type="dxa"/>
              <w:right w:w="28" w:type="dxa"/>
            </w:tcMar>
            <w:vAlign w:val="bottom"/>
            <w:hideMark/>
          </w:tcPr>
          <w:p w14:paraId="225A8F76"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93" w:type="dxa"/>
            <w:tcBorders>
              <w:bottom w:val="single" w:sz="4" w:space="0" w:color="auto"/>
            </w:tcBorders>
            <w:shd w:val="clear" w:color="auto" w:fill="auto"/>
            <w:vAlign w:val="bottom"/>
            <w:hideMark/>
          </w:tcPr>
          <w:p w14:paraId="073E5F3D"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257" w:type="dxa"/>
            <w:tcBorders>
              <w:bottom w:val="single" w:sz="4" w:space="0" w:color="auto"/>
            </w:tcBorders>
            <w:shd w:val="clear" w:color="auto" w:fill="auto"/>
            <w:tcMar>
              <w:top w:w="0" w:type="dxa"/>
              <w:left w:w="0" w:type="dxa"/>
              <w:bottom w:w="0" w:type="dxa"/>
              <w:right w:w="28" w:type="dxa"/>
            </w:tcMar>
            <w:vAlign w:val="bottom"/>
            <w:hideMark/>
          </w:tcPr>
          <w:p w14:paraId="7ED85191"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bottom w:val="single" w:sz="4" w:space="0" w:color="auto"/>
            </w:tcBorders>
            <w:shd w:val="clear" w:color="auto" w:fill="auto"/>
            <w:vAlign w:val="bottom"/>
            <w:hideMark/>
          </w:tcPr>
          <w:p w14:paraId="4BBE2089"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bottom w:val="single" w:sz="4" w:space="0" w:color="auto"/>
            </w:tcBorders>
            <w:shd w:val="clear" w:color="auto" w:fill="auto"/>
            <w:tcMar>
              <w:top w:w="0" w:type="dxa"/>
              <w:left w:w="0" w:type="dxa"/>
              <w:bottom w:w="0" w:type="dxa"/>
              <w:right w:w="28" w:type="dxa"/>
            </w:tcMar>
            <w:vAlign w:val="bottom"/>
            <w:hideMark/>
          </w:tcPr>
          <w:p w14:paraId="57F30128"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bottom w:val="single" w:sz="4" w:space="0" w:color="auto"/>
            </w:tcBorders>
            <w:shd w:val="clear" w:color="auto" w:fill="auto"/>
            <w:tcMar>
              <w:top w:w="0" w:type="dxa"/>
              <w:left w:w="0" w:type="dxa"/>
              <w:bottom w:w="0" w:type="dxa"/>
              <w:right w:w="28" w:type="dxa"/>
            </w:tcMar>
            <w:vAlign w:val="bottom"/>
            <w:hideMark/>
          </w:tcPr>
          <w:p w14:paraId="2080501F"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bottom w:val="single" w:sz="4" w:space="0" w:color="auto"/>
            </w:tcBorders>
            <w:shd w:val="clear" w:color="auto" w:fill="auto"/>
            <w:tcMar>
              <w:top w:w="0" w:type="dxa"/>
              <w:left w:w="0" w:type="dxa"/>
              <w:bottom w:w="0" w:type="dxa"/>
              <w:right w:w="28" w:type="dxa"/>
            </w:tcMar>
            <w:vAlign w:val="bottom"/>
            <w:hideMark/>
          </w:tcPr>
          <w:p w14:paraId="758E8103"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bottom w:val="single" w:sz="4" w:space="0" w:color="auto"/>
            </w:tcBorders>
            <w:shd w:val="clear" w:color="auto" w:fill="auto"/>
            <w:tcMar>
              <w:top w:w="0" w:type="dxa"/>
              <w:left w:w="0" w:type="dxa"/>
              <w:bottom w:w="0" w:type="dxa"/>
              <w:right w:w="28" w:type="dxa"/>
            </w:tcMar>
            <w:vAlign w:val="bottom"/>
            <w:hideMark/>
          </w:tcPr>
          <w:p w14:paraId="76F8426D"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w:t>
            </w:r>
          </w:p>
        </w:tc>
        <w:tc>
          <w:tcPr>
            <w:tcW w:w="419" w:type="dxa"/>
            <w:tcBorders>
              <w:bottom w:val="single" w:sz="4" w:space="0" w:color="auto"/>
            </w:tcBorders>
            <w:shd w:val="clear" w:color="auto" w:fill="auto"/>
            <w:tcMar>
              <w:top w:w="0" w:type="dxa"/>
              <w:left w:w="0" w:type="dxa"/>
              <w:bottom w:w="0" w:type="dxa"/>
              <w:right w:w="28" w:type="dxa"/>
            </w:tcMar>
            <w:vAlign w:val="bottom"/>
            <w:hideMark/>
          </w:tcPr>
          <w:p w14:paraId="2D1956FF"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w:t>
            </w:r>
          </w:p>
        </w:tc>
        <w:tc>
          <w:tcPr>
            <w:tcW w:w="364" w:type="dxa"/>
            <w:tcBorders>
              <w:bottom w:val="single" w:sz="4" w:space="0" w:color="auto"/>
            </w:tcBorders>
            <w:shd w:val="clear" w:color="auto" w:fill="auto"/>
            <w:tcMar>
              <w:top w:w="0" w:type="dxa"/>
              <w:left w:w="0" w:type="dxa"/>
              <w:bottom w:w="0" w:type="dxa"/>
              <w:right w:w="28" w:type="dxa"/>
            </w:tcMar>
            <w:vAlign w:val="bottom"/>
            <w:hideMark/>
          </w:tcPr>
          <w:p w14:paraId="402B30CE"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42" w:type="dxa"/>
            <w:tcBorders>
              <w:bottom w:val="single" w:sz="4" w:space="0" w:color="auto"/>
            </w:tcBorders>
            <w:shd w:val="clear" w:color="auto" w:fill="auto"/>
            <w:tcMar>
              <w:top w:w="0" w:type="dxa"/>
              <w:left w:w="0" w:type="dxa"/>
              <w:bottom w:w="0" w:type="dxa"/>
              <w:right w:w="28" w:type="dxa"/>
            </w:tcMar>
            <w:vAlign w:val="bottom"/>
            <w:hideMark/>
          </w:tcPr>
          <w:p w14:paraId="53FC2334"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bottom w:val="single" w:sz="4" w:space="0" w:color="auto"/>
            </w:tcBorders>
            <w:shd w:val="clear" w:color="auto" w:fill="auto"/>
            <w:vAlign w:val="bottom"/>
            <w:hideMark/>
          </w:tcPr>
          <w:p w14:paraId="0ADF6FF7"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60" w:type="dxa"/>
            <w:tcBorders>
              <w:bottom w:val="single" w:sz="4" w:space="0" w:color="auto"/>
            </w:tcBorders>
            <w:shd w:val="clear" w:color="auto" w:fill="auto"/>
            <w:tcMar>
              <w:top w:w="0" w:type="dxa"/>
              <w:left w:w="0" w:type="dxa"/>
              <w:bottom w:w="0" w:type="dxa"/>
              <w:right w:w="28" w:type="dxa"/>
            </w:tcMar>
            <w:vAlign w:val="bottom"/>
            <w:hideMark/>
          </w:tcPr>
          <w:p w14:paraId="38D703B0"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34" w:type="dxa"/>
            <w:tcBorders>
              <w:bottom w:val="single" w:sz="4" w:space="0" w:color="auto"/>
            </w:tcBorders>
            <w:shd w:val="clear" w:color="auto" w:fill="auto"/>
            <w:tcMar>
              <w:top w:w="0" w:type="dxa"/>
              <w:left w:w="0" w:type="dxa"/>
              <w:bottom w:w="0" w:type="dxa"/>
              <w:right w:w="28" w:type="dxa"/>
            </w:tcMar>
            <w:vAlign w:val="bottom"/>
            <w:hideMark/>
          </w:tcPr>
          <w:p w14:paraId="2BB5502E"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8</w:t>
            </w:r>
          </w:p>
        </w:tc>
        <w:tc>
          <w:tcPr>
            <w:tcW w:w="331" w:type="dxa"/>
            <w:tcBorders>
              <w:bottom w:val="single" w:sz="4" w:space="0" w:color="auto"/>
            </w:tcBorders>
            <w:shd w:val="clear" w:color="auto" w:fill="auto"/>
            <w:tcMar>
              <w:top w:w="0" w:type="dxa"/>
              <w:left w:w="0" w:type="dxa"/>
              <w:bottom w:w="0" w:type="dxa"/>
              <w:right w:w="28" w:type="dxa"/>
            </w:tcMar>
            <w:vAlign w:val="bottom"/>
            <w:hideMark/>
          </w:tcPr>
          <w:p w14:paraId="65D1B4FF"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w:t>
            </w:r>
          </w:p>
        </w:tc>
        <w:tc>
          <w:tcPr>
            <w:tcW w:w="375" w:type="dxa"/>
            <w:tcBorders>
              <w:bottom w:val="single" w:sz="4" w:space="0" w:color="auto"/>
            </w:tcBorders>
            <w:shd w:val="clear" w:color="auto" w:fill="auto"/>
            <w:vAlign w:val="bottom"/>
            <w:hideMark/>
          </w:tcPr>
          <w:p w14:paraId="391994FF"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bottom w:val="single" w:sz="4" w:space="0" w:color="auto"/>
            </w:tcBorders>
            <w:shd w:val="clear" w:color="auto" w:fill="auto"/>
            <w:vAlign w:val="bottom"/>
            <w:hideMark/>
          </w:tcPr>
          <w:p w14:paraId="2575C5DE"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w:t>
            </w:r>
          </w:p>
        </w:tc>
        <w:tc>
          <w:tcPr>
            <w:tcW w:w="375" w:type="dxa"/>
            <w:tcBorders>
              <w:bottom w:val="single" w:sz="4" w:space="0" w:color="auto"/>
            </w:tcBorders>
            <w:shd w:val="clear" w:color="auto" w:fill="auto"/>
            <w:vAlign w:val="bottom"/>
            <w:hideMark/>
          </w:tcPr>
          <w:p w14:paraId="32349736"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bottom w:val="single" w:sz="4" w:space="0" w:color="auto"/>
            </w:tcBorders>
            <w:shd w:val="clear" w:color="auto" w:fill="auto"/>
            <w:tcMar>
              <w:top w:w="0" w:type="dxa"/>
              <w:left w:w="0" w:type="dxa"/>
              <w:bottom w:w="0" w:type="dxa"/>
              <w:right w:w="28" w:type="dxa"/>
            </w:tcMar>
            <w:vAlign w:val="bottom"/>
            <w:hideMark/>
          </w:tcPr>
          <w:p w14:paraId="2699C9FC"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bottom w:val="single" w:sz="4" w:space="0" w:color="auto"/>
            </w:tcBorders>
            <w:shd w:val="clear" w:color="auto" w:fill="auto"/>
            <w:vAlign w:val="bottom"/>
            <w:hideMark/>
          </w:tcPr>
          <w:p w14:paraId="74E69A71"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5" w:type="dxa"/>
            <w:tcBorders>
              <w:bottom w:val="single" w:sz="4" w:space="0" w:color="auto"/>
            </w:tcBorders>
            <w:shd w:val="clear" w:color="auto" w:fill="auto"/>
            <w:tcMar>
              <w:top w:w="0" w:type="dxa"/>
              <w:left w:w="0" w:type="dxa"/>
              <w:bottom w:w="0" w:type="dxa"/>
              <w:right w:w="28" w:type="dxa"/>
            </w:tcMar>
            <w:vAlign w:val="bottom"/>
            <w:hideMark/>
          </w:tcPr>
          <w:p w14:paraId="4DBFCF58"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376" w:type="dxa"/>
            <w:tcBorders>
              <w:bottom w:val="single" w:sz="4" w:space="0" w:color="auto"/>
            </w:tcBorders>
            <w:shd w:val="clear" w:color="auto" w:fill="auto"/>
            <w:tcMar>
              <w:top w:w="0" w:type="dxa"/>
              <w:left w:w="0" w:type="dxa"/>
              <w:bottom w:w="0" w:type="dxa"/>
              <w:right w:w="28" w:type="dxa"/>
            </w:tcMar>
            <w:vAlign w:val="bottom"/>
            <w:hideMark/>
          </w:tcPr>
          <w:p w14:paraId="52824B31"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w:t>
            </w:r>
          </w:p>
        </w:tc>
        <w:tc>
          <w:tcPr>
            <w:tcW w:w="487" w:type="dxa"/>
            <w:tcBorders>
              <w:bottom w:val="single" w:sz="4" w:space="0" w:color="auto"/>
            </w:tcBorders>
            <w:shd w:val="clear" w:color="auto" w:fill="auto"/>
            <w:tcMar>
              <w:top w:w="0" w:type="dxa"/>
              <w:left w:w="0" w:type="dxa"/>
              <w:bottom w:w="0" w:type="dxa"/>
              <w:right w:w="28" w:type="dxa"/>
            </w:tcMar>
            <w:vAlign w:val="bottom"/>
            <w:hideMark/>
          </w:tcPr>
          <w:p w14:paraId="6B8B8A0A" w14:textId="77777777" w:rsidR="009679FD" w:rsidRPr="00F622AF" w:rsidRDefault="009679FD" w:rsidP="00F622AF">
            <w:pPr>
              <w:pStyle w:val="SingleTxtG"/>
              <w:tabs>
                <w:tab w:val="clear" w:pos="1701"/>
                <w:tab w:val="clear" w:pos="2268"/>
                <w:tab w:val="clear" w:pos="2835"/>
              </w:tabs>
              <w:spacing w:before="40" w:after="40" w:line="220" w:lineRule="exact"/>
              <w:ind w:left="113" w:right="0"/>
              <w:jc w:val="right"/>
              <w:rPr>
                <w:sz w:val="18"/>
                <w:lang w:val="es-ES_tradnl"/>
              </w:rPr>
            </w:pPr>
            <w:r w:rsidRPr="00F622AF">
              <w:rPr>
                <w:sz w:val="18"/>
                <w:lang w:val="es-ES_tradnl"/>
              </w:rPr>
              <w:t>12</w:t>
            </w:r>
          </w:p>
        </w:tc>
      </w:tr>
      <w:tr w:rsidR="00B24BD3" w:rsidRPr="00B24BD3" w14:paraId="660C8B17" w14:textId="77777777" w:rsidTr="00546A02">
        <w:trPr>
          <w:trHeight w:val="240"/>
        </w:trPr>
        <w:tc>
          <w:tcPr>
            <w:tcW w:w="742" w:type="dxa"/>
            <w:tcBorders>
              <w:top w:val="single" w:sz="4" w:space="0" w:color="auto"/>
              <w:bottom w:val="single" w:sz="12" w:space="0" w:color="auto"/>
            </w:tcBorders>
            <w:shd w:val="clear" w:color="auto" w:fill="auto"/>
            <w:hideMark/>
          </w:tcPr>
          <w:p w14:paraId="7E134AA5" w14:textId="77777777" w:rsidR="009679FD" w:rsidRPr="00B24BD3" w:rsidRDefault="009679FD" w:rsidP="00B24BD3">
            <w:pPr>
              <w:pStyle w:val="SingleTxtG"/>
              <w:tabs>
                <w:tab w:val="clear" w:pos="1701"/>
                <w:tab w:val="clear" w:pos="2268"/>
                <w:tab w:val="clear" w:pos="2835"/>
              </w:tabs>
              <w:spacing w:before="80" w:after="80" w:line="220" w:lineRule="exact"/>
              <w:ind w:left="283" w:right="0"/>
              <w:jc w:val="left"/>
              <w:rPr>
                <w:b/>
                <w:bCs/>
                <w:sz w:val="18"/>
                <w:lang w:val="es-ES_tradnl"/>
              </w:rPr>
            </w:pPr>
            <w:r w:rsidRPr="00B24BD3">
              <w:rPr>
                <w:b/>
                <w:bCs/>
                <w:sz w:val="18"/>
                <w:lang w:val="es-ES_tradnl"/>
              </w:rPr>
              <w:t>Total</w:t>
            </w:r>
          </w:p>
        </w:tc>
        <w:tc>
          <w:tcPr>
            <w:tcW w:w="37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4523A369"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3</w:t>
            </w:r>
          </w:p>
        </w:tc>
        <w:tc>
          <w:tcPr>
            <w:tcW w:w="37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0340DC93"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1</w:t>
            </w:r>
          </w:p>
        </w:tc>
        <w:tc>
          <w:tcPr>
            <w:tcW w:w="493" w:type="dxa"/>
            <w:tcBorders>
              <w:top w:val="single" w:sz="4" w:space="0" w:color="auto"/>
              <w:bottom w:val="single" w:sz="12" w:space="0" w:color="auto"/>
            </w:tcBorders>
            <w:shd w:val="clear" w:color="auto" w:fill="auto"/>
            <w:vAlign w:val="bottom"/>
            <w:hideMark/>
          </w:tcPr>
          <w:p w14:paraId="6A5A9651"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1</w:t>
            </w:r>
          </w:p>
        </w:tc>
        <w:tc>
          <w:tcPr>
            <w:tcW w:w="257"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304593FF"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1</w:t>
            </w:r>
          </w:p>
        </w:tc>
        <w:tc>
          <w:tcPr>
            <w:tcW w:w="375" w:type="dxa"/>
            <w:tcBorders>
              <w:top w:val="single" w:sz="4" w:space="0" w:color="auto"/>
              <w:bottom w:val="single" w:sz="12" w:space="0" w:color="auto"/>
            </w:tcBorders>
            <w:shd w:val="clear" w:color="auto" w:fill="auto"/>
            <w:vAlign w:val="bottom"/>
            <w:hideMark/>
          </w:tcPr>
          <w:p w14:paraId="784B5DB3"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1</w:t>
            </w:r>
          </w:p>
        </w:tc>
        <w:tc>
          <w:tcPr>
            <w:tcW w:w="37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7E56817A"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4</w:t>
            </w:r>
          </w:p>
        </w:tc>
        <w:tc>
          <w:tcPr>
            <w:tcW w:w="37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57B2236C"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26</w:t>
            </w:r>
          </w:p>
        </w:tc>
        <w:tc>
          <w:tcPr>
            <w:tcW w:w="37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6805DB0C"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4</w:t>
            </w:r>
          </w:p>
        </w:tc>
        <w:tc>
          <w:tcPr>
            <w:tcW w:w="37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43B13C04"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24</w:t>
            </w:r>
          </w:p>
        </w:tc>
        <w:tc>
          <w:tcPr>
            <w:tcW w:w="419"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01584B6F"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492</w:t>
            </w:r>
          </w:p>
        </w:tc>
        <w:tc>
          <w:tcPr>
            <w:tcW w:w="364"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33529CF8"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2</w:t>
            </w:r>
          </w:p>
        </w:tc>
        <w:tc>
          <w:tcPr>
            <w:tcW w:w="342"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035CA00E"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2</w:t>
            </w:r>
          </w:p>
        </w:tc>
        <w:tc>
          <w:tcPr>
            <w:tcW w:w="375" w:type="dxa"/>
            <w:tcBorders>
              <w:top w:val="single" w:sz="4" w:space="0" w:color="auto"/>
              <w:bottom w:val="single" w:sz="12" w:space="0" w:color="auto"/>
            </w:tcBorders>
            <w:shd w:val="clear" w:color="auto" w:fill="auto"/>
            <w:vAlign w:val="bottom"/>
            <w:hideMark/>
          </w:tcPr>
          <w:p w14:paraId="1374DC6B"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1</w:t>
            </w:r>
          </w:p>
        </w:tc>
        <w:tc>
          <w:tcPr>
            <w:tcW w:w="360"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0538ADDC"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1</w:t>
            </w:r>
          </w:p>
        </w:tc>
        <w:tc>
          <w:tcPr>
            <w:tcW w:w="434"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6A72767F"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424</w:t>
            </w:r>
          </w:p>
        </w:tc>
        <w:tc>
          <w:tcPr>
            <w:tcW w:w="33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4438D6B7"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4</w:t>
            </w:r>
          </w:p>
        </w:tc>
        <w:tc>
          <w:tcPr>
            <w:tcW w:w="375" w:type="dxa"/>
            <w:tcBorders>
              <w:top w:val="single" w:sz="4" w:space="0" w:color="auto"/>
              <w:bottom w:val="single" w:sz="12" w:space="0" w:color="auto"/>
            </w:tcBorders>
            <w:shd w:val="clear" w:color="auto" w:fill="auto"/>
            <w:vAlign w:val="bottom"/>
            <w:hideMark/>
          </w:tcPr>
          <w:p w14:paraId="53921447"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1</w:t>
            </w:r>
          </w:p>
        </w:tc>
        <w:tc>
          <w:tcPr>
            <w:tcW w:w="375" w:type="dxa"/>
            <w:tcBorders>
              <w:top w:val="single" w:sz="4" w:space="0" w:color="auto"/>
              <w:bottom w:val="single" w:sz="12" w:space="0" w:color="auto"/>
            </w:tcBorders>
            <w:shd w:val="clear" w:color="auto" w:fill="auto"/>
            <w:vAlign w:val="bottom"/>
            <w:hideMark/>
          </w:tcPr>
          <w:p w14:paraId="2620D3EB"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1</w:t>
            </w:r>
          </w:p>
        </w:tc>
        <w:tc>
          <w:tcPr>
            <w:tcW w:w="375" w:type="dxa"/>
            <w:tcBorders>
              <w:top w:val="single" w:sz="4" w:space="0" w:color="auto"/>
              <w:bottom w:val="single" w:sz="12" w:space="0" w:color="auto"/>
            </w:tcBorders>
            <w:shd w:val="clear" w:color="auto" w:fill="auto"/>
            <w:vAlign w:val="bottom"/>
            <w:hideMark/>
          </w:tcPr>
          <w:p w14:paraId="546E95F8"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14</w:t>
            </w:r>
          </w:p>
        </w:tc>
        <w:tc>
          <w:tcPr>
            <w:tcW w:w="37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317C1C64"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1</w:t>
            </w:r>
          </w:p>
        </w:tc>
        <w:tc>
          <w:tcPr>
            <w:tcW w:w="375" w:type="dxa"/>
            <w:tcBorders>
              <w:top w:val="single" w:sz="4" w:space="0" w:color="auto"/>
              <w:bottom w:val="single" w:sz="12" w:space="0" w:color="auto"/>
            </w:tcBorders>
            <w:shd w:val="clear" w:color="auto" w:fill="auto"/>
            <w:vAlign w:val="bottom"/>
            <w:hideMark/>
          </w:tcPr>
          <w:p w14:paraId="015A053E"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1</w:t>
            </w:r>
          </w:p>
        </w:tc>
        <w:tc>
          <w:tcPr>
            <w:tcW w:w="37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7587D7FD"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3</w:t>
            </w:r>
          </w:p>
        </w:tc>
        <w:tc>
          <w:tcPr>
            <w:tcW w:w="37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7775F527"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1</w:t>
            </w:r>
          </w:p>
        </w:tc>
        <w:tc>
          <w:tcPr>
            <w:tcW w:w="487"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034AC24C" w14:textId="77777777" w:rsidR="009679FD" w:rsidRPr="00B24BD3" w:rsidRDefault="009679FD" w:rsidP="00B24BD3">
            <w:pPr>
              <w:pStyle w:val="SingleTxtG"/>
              <w:tabs>
                <w:tab w:val="clear" w:pos="1701"/>
                <w:tab w:val="clear" w:pos="2268"/>
                <w:tab w:val="clear" w:pos="2835"/>
              </w:tabs>
              <w:spacing w:before="80" w:after="80" w:line="220" w:lineRule="exact"/>
              <w:ind w:left="0" w:right="0"/>
              <w:jc w:val="right"/>
              <w:rPr>
                <w:b/>
                <w:bCs/>
                <w:sz w:val="18"/>
                <w:lang w:val="es-ES_tradnl"/>
              </w:rPr>
            </w:pPr>
            <w:r w:rsidRPr="00B24BD3">
              <w:rPr>
                <w:b/>
                <w:bCs/>
                <w:sz w:val="18"/>
                <w:lang w:val="es-ES_tradnl"/>
              </w:rPr>
              <w:t>1 013</w:t>
            </w:r>
          </w:p>
        </w:tc>
      </w:tr>
    </w:tbl>
    <w:p w14:paraId="0A40D504" w14:textId="74F0FC6D" w:rsidR="009679FD" w:rsidRPr="00F622AF" w:rsidRDefault="009679FD" w:rsidP="00546A02">
      <w:pPr>
        <w:pStyle w:val="SingleTxtG"/>
        <w:spacing w:before="120" w:after="240"/>
        <w:ind w:left="0" w:firstLine="170"/>
        <w:rPr>
          <w:sz w:val="18"/>
          <w:szCs w:val="18"/>
          <w:lang w:val="es-ES_tradnl"/>
        </w:rPr>
      </w:pPr>
      <w:proofErr w:type="gramStart"/>
      <w:r w:rsidRPr="00F622AF">
        <w:rPr>
          <w:i/>
          <w:iCs/>
          <w:sz w:val="18"/>
          <w:szCs w:val="18"/>
          <w:vertAlign w:val="superscript"/>
          <w:lang w:val="es-ES_tradnl"/>
        </w:rPr>
        <w:t>a</w:t>
      </w:r>
      <w:r w:rsidRPr="00F622AF">
        <w:rPr>
          <w:sz w:val="18"/>
          <w:szCs w:val="18"/>
          <w:lang w:val="es-ES_tradnl"/>
        </w:rPr>
        <w:t xml:space="preserve"> </w:t>
      </w:r>
      <w:r w:rsidR="00F622AF">
        <w:rPr>
          <w:sz w:val="18"/>
          <w:szCs w:val="18"/>
          <w:lang w:val="es-ES_tradnl"/>
        </w:rPr>
        <w:t xml:space="preserve"> </w:t>
      </w:r>
      <w:r w:rsidRPr="00F622AF">
        <w:rPr>
          <w:sz w:val="18"/>
          <w:szCs w:val="18"/>
          <w:lang w:val="es-ES_tradnl"/>
        </w:rPr>
        <w:t>Hasta</w:t>
      </w:r>
      <w:proofErr w:type="gramEnd"/>
      <w:r w:rsidRPr="00F622AF">
        <w:rPr>
          <w:sz w:val="18"/>
          <w:szCs w:val="18"/>
          <w:lang w:val="es-ES_tradnl"/>
        </w:rPr>
        <w:t xml:space="preserve"> el 1 de abril de 2021.</w:t>
      </w:r>
    </w:p>
    <w:p w14:paraId="7438B4E5" w14:textId="0087DCC5" w:rsidR="009679FD" w:rsidRPr="005E7CB5" w:rsidRDefault="009679FD" w:rsidP="00F622AF">
      <w:pPr>
        <w:pStyle w:val="H1G"/>
        <w:rPr>
          <w:lang w:val="es-ES_tradnl"/>
        </w:rPr>
      </w:pPr>
      <w:r w:rsidRPr="005E7CB5">
        <w:rPr>
          <w:lang w:val="es-ES_tradnl"/>
        </w:rPr>
        <w:tab/>
        <w:t>B.</w:t>
      </w:r>
      <w:r w:rsidRPr="005E7CB5">
        <w:rPr>
          <w:lang w:val="es-ES_tradnl"/>
        </w:rPr>
        <w:tab/>
        <w:t>Desarrollo de las acciones urgentes tras su registro: tendencias observadas desde el 18º período de sesiones</w:t>
      </w:r>
      <w:r w:rsidR="00F622AF">
        <w:rPr>
          <w:lang w:val="es-ES_tradnl"/>
        </w:rPr>
        <w:br/>
      </w:r>
      <w:r w:rsidRPr="005E7CB5">
        <w:rPr>
          <w:lang w:val="es-ES_tradnl"/>
        </w:rPr>
        <w:t>(hasta el 1 de abril de 2021)</w:t>
      </w:r>
      <w:bookmarkStart w:id="144" w:name="_Toc522200473"/>
      <w:bookmarkStart w:id="145" w:name="_Toc43905484"/>
      <w:bookmarkStart w:id="146" w:name="_Toc43906565"/>
      <w:bookmarkStart w:id="147" w:name="_Toc43996436"/>
      <w:bookmarkStart w:id="148" w:name="_Toc75349920"/>
      <w:bookmarkEnd w:id="144"/>
      <w:bookmarkEnd w:id="145"/>
      <w:bookmarkEnd w:id="146"/>
      <w:bookmarkEnd w:id="147"/>
      <w:bookmarkEnd w:id="148"/>
    </w:p>
    <w:p w14:paraId="3E80A91B" w14:textId="77777777" w:rsidR="009679FD" w:rsidRPr="005E7CB5" w:rsidRDefault="009679FD" w:rsidP="009679FD">
      <w:pPr>
        <w:pStyle w:val="SingleTxtG"/>
        <w:rPr>
          <w:lang w:val="es-ES_tradnl"/>
        </w:rPr>
      </w:pPr>
      <w:r w:rsidRPr="005E7CB5">
        <w:rPr>
          <w:lang w:val="es-ES_tradnl"/>
        </w:rPr>
        <w:t>44.</w:t>
      </w:r>
      <w:r w:rsidRPr="005E7CB5">
        <w:rPr>
          <w:lang w:val="es-ES_tradnl"/>
        </w:rPr>
        <w:tab/>
        <w:t xml:space="preserve">El Comité mantiene contacto permanente con los </w:t>
      </w:r>
      <w:proofErr w:type="gramStart"/>
      <w:r w:rsidRPr="005E7CB5">
        <w:rPr>
          <w:lang w:val="es-ES_tradnl"/>
        </w:rPr>
        <w:t>Estados partes</w:t>
      </w:r>
      <w:proofErr w:type="gramEnd"/>
      <w:r w:rsidRPr="005E7CB5">
        <w:rPr>
          <w:lang w:val="es-ES_tradnl"/>
        </w:rPr>
        <w:t xml:space="preserve"> a través de sus respectivas misiones permanentes, y con los autores de las peticiones de acción urgente por medio de notas, cartas, reuniones y llamadas telefónicas. El Comité también se apoya en gran medida en la cooperación de las presencias sobre el terreno del ACNUDH en particular y de las Naciones Unidas en general, que en muchas ocasiones transmiten información entre los autores de las peticiones de acción urgente (principalmente los familiares de las personas desaparecidas) y el Comité.</w:t>
      </w:r>
    </w:p>
    <w:p w14:paraId="68E44AA5" w14:textId="5978AFEE" w:rsidR="009679FD" w:rsidRPr="005E7CB5" w:rsidRDefault="009679FD" w:rsidP="009679FD">
      <w:pPr>
        <w:pStyle w:val="SingleTxtG"/>
        <w:rPr>
          <w:lang w:val="es-ES_tradnl"/>
        </w:rPr>
      </w:pPr>
      <w:r w:rsidRPr="005E7CB5">
        <w:rPr>
          <w:lang w:val="es-ES_tradnl"/>
        </w:rPr>
        <w:t>45.</w:t>
      </w:r>
      <w:r w:rsidRPr="005E7CB5">
        <w:rPr>
          <w:lang w:val="es-ES_tradnl"/>
        </w:rPr>
        <w:tab/>
        <w:t>La información proporcionada en el contexto del procedimiento de acción urgente confirma una serie de tendencias identificadas en los informes aprobados por el Comité en sus períodos de sesiones 11º a 19º (</w:t>
      </w:r>
      <w:hyperlink r:id="rId63" w:history="1">
        <w:r w:rsidRPr="00B24BD3">
          <w:rPr>
            <w:rStyle w:val="Hyperlink"/>
            <w:lang w:val="es-ES_tradnl"/>
          </w:rPr>
          <w:t>CED/C/11/3</w:t>
        </w:r>
      </w:hyperlink>
      <w:r w:rsidRPr="005E7CB5">
        <w:rPr>
          <w:lang w:val="es-ES_tradnl"/>
        </w:rPr>
        <w:t xml:space="preserve">, </w:t>
      </w:r>
      <w:hyperlink r:id="rId64" w:history="1">
        <w:r w:rsidRPr="00B24BD3">
          <w:rPr>
            <w:rStyle w:val="Hyperlink"/>
            <w:lang w:val="es-ES_tradnl"/>
          </w:rPr>
          <w:t>CED/C/12/2</w:t>
        </w:r>
      </w:hyperlink>
      <w:r w:rsidRPr="005E7CB5">
        <w:rPr>
          <w:lang w:val="es-ES_tradnl"/>
        </w:rPr>
        <w:t xml:space="preserve">, </w:t>
      </w:r>
      <w:hyperlink r:id="rId65" w:history="1">
        <w:r w:rsidRPr="00B24BD3">
          <w:rPr>
            <w:rStyle w:val="Hyperlink"/>
            <w:lang w:val="es-ES_tradnl"/>
          </w:rPr>
          <w:t>CED/C/13/3</w:t>
        </w:r>
      </w:hyperlink>
      <w:r w:rsidRPr="005E7CB5">
        <w:rPr>
          <w:lang w:val="es-ES_tradnl"/>
        </w:rPr>
        <w:t xml:space="preserve">, </w:t>
      </w:r>
      <w:hyperlink r:id="rId66" w:history="1">
        <w:r w:rsidRPr="00B24BD3">
          <w:rPr>
            <w:rStyle w:val="Hyperlink"/>
            <w:lang w:val="es-ES_tradnl"/>
          </w:rPr>
          <w:t>CED/C/14/2</w:t>
        </w:r>
      </w:hyperlink>
      <w:r w:rsidRPr="005E7CB5">
        <w:rPr>
          <w:lang w:val="es-ES_tradnl"/>
        </w:rPr>
        <w:t xml:space="preserve">, </w:t>
      </w:r>
      <w:hyperlink r:id="rId67" w:history="1">
        <w:r w:rsidRPr="00B24BD3">
          <w:rPr>
            <w:rStyle w:val="Hyperlink"/>
            <w:lang w:val="es-ES_tradnl"/>
          </w:rPr>
          <w:t>CED/C/15/3</w:t>
        </w:r>
      </w:hyperlink>
      <w:r w:rsidRPr="005E7CB5">
        <w:rPr>
          <w:lang w:val="es-ES_tradnl"/>
        </w:rPr>
        <w:t xml:space="preserve">, </w:t>
      </w:r>
      <w:hyperlink r:id="rId68" w:history="1">
        <w:r w:rsidRPr="00B24BD3">
          <w:rPr>
            <w:rStyle w:val="Hyperlink"/>
            <w:lang w:val="es-ES_tradnl"/>
          </w:rPr>
          <w:t>CED/C/16/3</w:t>
        </w:r>
      </w:hyperlink>
      <w:r w:rsidRPr="005E7CB5">
        <w:rPr>
          <w:lang w:val="es-ES_tradnl"/>
        </w:rPr>
        <w:t xml:space="preserve">, </w:t>
      </w:r>
      <w:hyperlink r:id="rId69" w:history="1">
        <w:r w:rsidRPr="00B24BD3">
          <w:rPr>
            <w:rStyle w:val="Hyperlink"/>
            <w:lang w:val="es-ES_tradnl"/>
          </w:rPr>
          <w:t>CED/C/17/2</w:t>
        </w:r>
      </w:hyperlink>
      <w:r w:rsidRPr="005E7CB5">
        <w:rPr>
          <w:lang w:val="es-ES_tradnl"/>
        </w:rPr>
        <w:t xml:space="preserve"> y </w:t>
      </w:r>
      <w:hyperlink r:id="rId70" w:history="1">
        <w:r w:rsidRPr="00B24BD3">
          <w:rPr>
            <w:rStyle w:val="Hyperlink"/>
            <w:lang w:val="es-ES_tradnl"/>
          </w:rPr>
          <w:t>CED/C/19/2</w:t>
        </w:r>
      </w:hyperlink>
      <w:r w:rsidRPr="005E7CB5">
        <w:rPr>
          <w:lang w:val="es-ES_tradnl"/>
        </w:rPr>
        <w:t xml:space="preserve">). Desde el 18º período de sesiones, la mayoría de los casos sobre los que el Comité ha registrado peticiones de acción urgente están relacionados con hechos ocurridos en el Iraq y México. Para el período que abarca el presente informe, el Comité desearía destacar las siguientes tendencias en relación con los </w:t>
      </w:r>
      <w:proofErr w:type="gramStart"/>
      <w:r w:rsidRPr="005E7CB5">
        <w:rPr>
          <w:lang w:val="es-ES_tradnl"/>
        </w:rPr>
        <w:t>Estados partes</w:t>
      </w:r>
      <w:proofErr w:type="gramEnd"/>
      <w:r w:rsidRPr="005E7CB5">
        <w:rPr>
          <w:lang w:val="es-ES_tradnl"/>
        </w:rPr>
        <w:t xml:space="preserve"> en cuestión.</w:t>
      </w:r>
    </w:p>
    <w:p w14:paraId="191093FB" w14:textId="77777777" w:rsidR="009679FD" w:rsidRPr="005E7CB5" w:rsidRDefault="009679FD" w:rsidP="00F622AF">
      <w:pPr>
        <w:pStyle w:val="H23G"/>
        <w:rPr>
          <w:lang w:val="es-ES_tradnl"/>
        </w:rPr>
      </w:pPr>
      <w:r w:rsidRPr="005E7CB5">
        <w:rPr>
          <w:lang w:val="es-ES_tradnl"/>
        </w:rPr>
        <w:lastRenderedPageBreak/>
        <w:tab/>
        <w:t>1.</w:t>
      </w:r>
      <w:r w:rsidRPr="005E7CB5">
        <w:rPr>
          <w:lang w:val="es-ES_tradnl"/>
        </w:rPr>
        <w:tab/>
        <w:t>Tendencias generales</w:t>
      </w:r>
      <w:bookmarkStart w:id="149" w:name="_Toc43905485"/>
      <w:bookmarkStart w:id="150" w:name="_Toc43906566"/>
      <w:bookmarkStart w:id="151" w:name="_Toc43996437"/>
    </w:p>
    <w:p w14:paraId="2C09B736" w14:textId="0E18BFE3" w:rsidR="009679FD" w:rsidRPr="005E7CB5" w:rsidRDefault="009679FD" w:rsidP="009679FD">
      <w:pPr>
        <w:pStyle w:val="SingleTxtG"/>
        <w:rPr>
          <w:lang w:val="es-ES_tradnl"/>
        </w:rPr>
      </w:pPr>
      <w:r w:rsidRPr="005E7CB5">
        <w:rPr>
          <w:lang w:val="es-ES_tradnl"/>
        </w:rPr>
        <w:t>46.</w:t>
      </w:r>
      <w:r w:rsidRPr="005E7CB5">
        <w:rPr>
          <w:lang w:val="es-ES_tradnl"/>
        </w:rPr>
        <w:tab/>
        <w:t>Durante el per</w:t>
      </w:r>
      <w:r w:rsidR="00826417">
        <w:rPr>
          <w:lang w:val="es-ES_tradnl"/>
        </w:rPr>
        <w:t>í</w:t>
      </w:r>
      <w:r w:rsidRPr="005E7CB5">
        <w:rPr>
          <w:lang w:val="es-ES_tradnl"/>
        </w:rPr>
        <w:t>odo abarcado por el informe, el Comité identificó las siguientes cuestiones generales, basándose en la información recibida en el contexto del procedimiento de acción urgente</w:t>
      </w:r>
      <w:r w:rsidR="00826417">
        <w:rPr>
          <w:lang w:val="es-ES_tradnl"/>
        </w:rPr>
        <w:t>.</w:t>
      </w:r>
    </w:p>
    <w:p w14:paraId="0BC660D9" w14:textId="527D9ECE" w:rsidR="009679FD" w:rsidRPr="005E7CB5" w:rsidRDefault="009679FD" w:rsidP="00F622AF">
      <w:pPr>
        <w:pStyle w:val="H23G"/>
        <w:rPr>
          <w:lang w:val="es-ES_tradnl"/>
        </w:rPr>
      </w:pPr>
      <w:r w:rsidRPr="005E7CB5">
        <w:rPr>
          <w:lang w:val="es-ES_tradnl"/>
        </w:rPr>
        <w:tab/>
        <w:t>a)</w:t>
      </w:r>
      <w:r w:rsidRPr="005E7CB5">
        <w:rPr>
          <w:lang w:val="es-ES_tradnl"/>
        </w:rPr>
        <w:tab/>
        <w:t xml:space="preserve">Falta de respuesta de los </w:t>
      </w:r>
      <w:proofErr w:type="gramStart"/>
      <w:r w:rsidRPr="005E7CB5">
        <w:rPr>
          <w:lang w:val="es-ES_tradnl"/>
        </w:rPr>
        <w:t>Estados partes</w:t>
      </w:r>
      <w:proofErr w:type="gramEnd"/>
      <w:r w:rsidRPr="005E7CB5">
        <w:rPr>
          <w:lang w:val="es-ES_tradnl"/>
        </w:rPr>
        <w:t xml:space="preserve"> interesados o de los autores de las peticiones</w:t>
      </w:r>
      <w:r w:rsidR="00F622AF">
        <w:rPr>
          <w:lang w:val="es-ES_tradnl"/>
        </w:rPr>
        <w:t> </w:t>
      </w:r>
      <w:r w:rsidRPr="005E7CB5">
        <w:rPr>
          <w:lang w:val="es-ES_tradnl"/>
        </w:rPr>
        <w:t>de acción urgente</w:t>
      </w:r>
    </w:p>
    <w:p w14:paraId="547E0A38" w14:textId="77777777" w:rsidR="009679FD" w:rsidRPr="005E7CB5" w:rsidRDefault="009679FD" w:rsidP="009679FD">
      <w:pPr>
        <w:pStyle w:val="SingleTxtG"/>
        <w:rPr>
          <w:lang w:val="es-ES_tradnl"/>
        </w:rPr>
      </w:pPr>
      <w:r w:rsidRPr="005E7CB5">
        <w:rPr>
          <w:lang w:val="es-ES_tradnl"/>
        </w:rPr>
        <w:t>47.</w:t>
      </w:r>
      <w:r w:rsidRPr="005E7CB5">
        <w:rPr>
          <w:lang w:val="es-ES_tradnl"/>
        </w:rPr>
        <w:tab/>
        <w:t xml:space="preserve">En la mayoría de las peticiones de acción urgente registradas hasta la fecha, el Comité envió recordatorios al Estado parte interesado o al autor de la petición para que respondieran a las recomendaciones y solicitudes del Comité. La práctica actual consiste en enviar hasta cuatro recordatorios a los autores y los </w:t>
      </w:r>
      <w:proofErr w:type="gramStart"/>
      <w:r w:rsidRPr="005E7CB5">
        <w:rPr>
          <w:lang w:val="es-ES_tradnl"/>
        </w:rPr>
        <w:t>Estados partes</w:t>
      </w:r>
      <w:proofErr w:type="gramEnd"/>
      <w:r w:rsidRPr="005E7CB5">
        <w:rPr>
          <w:lang w:val="es-ES_tradnl"/>
        </w:rPr>
        <w:t xml:space="preserve"> cuando no responden a la solicitud de información del Comité. Los </w:t>
      </w:r>
      <w:proofErr w:type="gramStart"/>
      <w:r w:rsidRPr="005E7CB5">
        <w:rPr>
          <w:lang w:val="es-ES_tradnl"/>
        </w:rPr>
        <w:t>Estados partes</w:t>
      </w:r>
      <w:proofErr w:type="gramEnd"/>
      <w:r w:rsidRPr="005E7CB5">
        <w:rPr>
          <w:lang w:val="es-ES_tradnl"/>
        </w:rPr>
        <w:t xml:space="preserve"> suelen responder después de recibir uno, dos o tres recordatorios, como en los casos de Camboya, Colombia, México y Túnez. Si al cabo de tres recordatorios el Estado parte no responde, como ocurrió con la mitad de las peticiones de acción urgente cursadas al Iraq, se le remite un último recordatorio indicándole el incumplimiento de las obligaciones que le incumben en virtud del artículo 30 de la Convención y mencionando la posibilidad de señalar su situación a la atención de la Asamblea General. </w:t>
      </w:r>
      <w:bookmarkStart w:id="152" w:name="_Hlk45551668"/>
      <w:bookmarkEnd w:id="152"/>
    </w:p>
    <w:p w14:paraId="025AF8B0" w14:textId="77777777" w:rsidR="009679FD" w:rsidRPr="005E7CB5" w:rsidRDefault="009679FD" w:rsidP="00F622AF">
      <w:pPr>
        <w:pStyle w:val="H23G"/>
        <w:rPr>
          <w:lang w:val="es-ES_tradnl"/>
        </w:rPr>
      </w:pPr>
      <w:r w:rsidRPr="005E7CB5">
        <w:rPr>
          <w:lang w:val="es-ES_tradnl"/>
        </w:rPr>
        <w:tab/>
        <w:t>b)</w:t>
      </w:r>
      <w:r w:rsidRPr="005E7CB5">
        <w:rPr>
          <w:lang w:val="es-ES_tradnl"/>
        </w:rPr>
        <w:tab/>
        <w:t>Falta de una estrategia de búsqueda e investigación adecuada a cada caso</w:t>
      </w:r>
    </w:p>
    <w:p w14:paraId="77033274" w14:textId="446DA293" w:rsidR="009679FD" w:rsidRPr="005E7CB5" w:rsidRDefault="009679FD" w:rsidP="009679FD">
      <w:pPr>
        <w:pStyle w:val="SingleTxtG"/>
        <w:rPr>
          <w:lang w:val="es-ES_tradnl"/>
        </w:rPr>
      </w:pPr>
      <w:r w:rsidRPr="005E7CB5">
        <w:rPr>
          <w:lang w:val="es-ES_tradnl"/>
        </w:rPr>
        <w:t>48.</w:t>
      </w:r>
      <w:r w:rsidRPr="005E7CB5">
        <w:rPr>
          <w:lang w:val="es-ES_tradnl"/>
        </w:rPr>
        <w:tab/>
        <w:t xml:space="preserve">En más del 95 % de las peticiones de acción urgente registradas, el Comité expresó su preocupación por el hecho de que las autoridades del Estado parte no hubieran definido ni aplicado una estrategia de búsqueda de las personas desaparecidas y de investigación de su desaparición. A pesar de los esfuerzos observados en algunos casos, da la impresión de que las búsquedas e investigaciones suelen llevarse a cabo de modo improvisado y supeditado no a una estrategia integral, sino principalmente a la disponibilidad de información y medios. Por consiguiente, en sus notas de seguimiento el Comité recordó a los </w:t>
      </w:r>
      <w:proofErr w:type="gramStart"/>
      <w:r w:rsidRPr="005E7CB5">
        <w:rPr>
          <w:lang w:val="es-ES_tradnl"/>
        </w:rPr>
        <w:t>Estados partes</w:t>
      </w:r>
      <w:proofErr w:type="gramEnd"/>
      <w:r w:rsidRPr="005E7CB5">
        <w:rPr>
          <w:lang w:val="es-ES_tradnl"/>
        </w:rPr>
        <w:t xml:space="preserve"> interesados las obligaciones que les incumben en virtud de los artículos 12 y 24 de la Convención. Les pidió que elaboraran y aplicaran una estrategia que abarcara todas las etapas del proceso de búsqueda e investigación, de conformidad con los principios del deber de diligencia —según los cuales la investigación </w:t>
      </w:r>
      <w:r w:rsidRPr="00826417">
        <w:rPr>
          <w:i/>
          <w:iCs/>
          <w:lang w:val="es-ES_tradnl"/>
        </w:rPr>
        <w:t xml:space="preserve">ex </w:t>
      </w:r>
      <w:proofErr w:type="spellStart"/>
      <w:r w:rsidRPr="00826417">
        <w:rPr>
          <w:i/>
          <w:iCs/>
          <w:lang w:val="es-ES_tradnl"/>
        </w:rPr>
        <w:t>officio</w:t>
      </w:r>
      <w:proofErr w:type="spellEnd"/>
      <w:r w:rsidRPr="005E7CB5">
        <w:rPr>
          <w:lang w:val="es-ES_tradnl"/>
        </w:rPr>
        <w:t xml:space="preserve"> debe ser realizada de manera inmediata y exhaustiva por profesionales competentes e independientes— y con el principio</w:t>
      </w:r>
      <w:r w:rsidR="00826417">
        <w:rPr>
          <w:lang w:val="es-ES_tradnl"/>
        </w:rPr>
        <w:t> </w:t>
      </w:r>
      <w:r w:rsidRPr="005E7CB5">
        <w:rPr>
          <w:lang w:val="es-ES_tradnl"/>
        </w:rPr>
        <w:t>8 de los principios rectores para la búsqueda de personas desaparecidas (</w:t>
      </w:r>
      <w:hyperlink r:id="rId71" w:history="1">
        <w:r w:rsidRPr="00B24BD3">
          <w:rPr>
            <w:rStyle w:val="Hyperlink"/>
            <w:lang w:val="es-ES_tradnl"/>
          </w:rPr>
          <w:t>CED/C/7</w:t>
        </w:r>
      </w:hyperlink>
      <w:r w:rsidRPr="005E7CB5">
        <w:rPr>
          <w:lang w:val="es-ES_tradnl"/>
        </w:rPr>
        <w:t xml:space="preserve">, anexo). Precisó que la estrategia adoptada debía determinar las actividades y comprobaciones que debían realizarse de manera integrada y prever los medios y procedimientos necesarios para localizar a las personas desaparecidas e investigar su desaparición. El Comité también pidió a los </w:t>
      </w:r>
      <w:proofErr w:type="gramStart"/>
      <w:r w:rsidRPr="005E7CB5">
        <w:rPr>
          <w:lang w:val="es-ES_tradnl"/>
        </w:rPr>
        <w:t>Estados partes</w:t>
      </w:r>
      <w:proofErr w:type="gramEnd"/>
      <w:r w:rsidRPr="005E7CB5">
        <w:rPr>
          <w:lang w:val="es-ES_tradnl"/>
        </w:rPr>
        <w:t xml:space="preserve"> interesados que evaluaran periódicamente la estrategia que establecieran. Esas recomendaciones se enviaron a la Argentina, el Brasil, Colombia, Honduras, el Iraq, Kazajstán, Lituania y México. </w:t>
      </w:r>
    </w:p>
    <w:p w14:paraId="50B38706" w14:textId="77777777" w:rsidR="009679FD" w:rsidRPr="005E7CB5" w:rsidRDefault="009679FD" w:rsidP="00F622AF">
      <w:pPr>
        <w:pStyle w:val="H23G"/>
        <w:rPr>
          <w:lang w:val="es-ES_tradnl"/>
        </w:rPr>
      </w:pPr>
      <w:r w:rsidRPr="005E7CB5">
        <w:rPr>
          <w:lang w:val="es-ES_tradnl"/>
        </w:rPr>
        <w:tab/>
        <w:t>c)</w:t>
      </w:r>
      <w:r w:rsidRPr="005E7CB5">
        <w:rPr>
          <w:lang w:val="es-ES_tradnl"/>
        </w:rPr>
        <w:tab/>
        <w:t>Falta de coordinación entre los procesos de búsqueda y de investigación</w:t>
      </w:r>
    </w:p>
    <w:p w14:paraId="124FDDE7" w14:textId="77777777" w:rsidR="009679FD" w:rsidRPr="005E7CB5" w:rsidRDefault="009679FD" w:rsidP="009679FD">
      <w:pPr>
        <w:pStyle w:val="SingleTxtG"/>
        <w:rPr>
          <w:lang w:val="es-ES_tradnl"/>
        </w:rPr>
      </w:pPr>
      <w:r w:rsidRPr="005E7CB5">
        <w:rPr>
          <w:lang w:val="es-ES_tradnl"/>
        </w:rPr>
        <w:t>49.</w:t>
      </w:r>
      <w:r w:rsidRPr="005E7CB5">
        <w:rPr>
          <w:lang w:val="es-ES_tradnl"/>
        </w:rPr>
        <w:tab/>
        <w:t xml:space="preserve">Se ha observado una tendencia a la falta de coordinación entre los procesos de búsqueda y de investigación en la mayoría de las peticiones de acción urgente registradas. Dicha falta de coordinación suele deberse a que las autoridades competentes del Estado no comparten la información y las pruebas que han obtenido en el cumplimiento de sus respectivos mandatos, o no lo hacen de manera sistemática. El Comité ha observado varias consecuencias de esta tendencia: en algunas ocasiones, las autoridades encargadas de la búsqueda y las encargadas de la investigación realizan actividades por duplicado, mientras que en otras no tienen acceso a información que podría serles muy útil en sus respectivas funciones. En cualquier caso, la fragmentación y la falta de coordinación provocan siempre retrasos considerables en los procedimientos. </w:t>
      </w:r>
    </w:p>
    <w:p w14:paraId="1D00AFE7" w14:textId="00B37418" w:rsidR="009679FD" w:rsidRPr="005E7CB5" w:rsidRDefault="009679FD" w:rsidP="009679FD">
      <w:pPr>
        <w:pStyle w:val="SingleTxtG"/>
        <w:rPr>
          <w:lang w:val="es-ES_tradnl"/>
        </w:rPr>
      </w:pPr>
      <w:r w:rsidRPr="005E7CB5">
        <w:rPr>
          <w:lang w:val="es-ES_tradnl"/>
        </w:rPr>
        <w:t>50.</w:t>
      </w:r>
      <w:r w:rsidRPr="005E7CB5">
        <w:rPr>
          <w:lang w:val="es-ES_tradnl"/>
        </w:rPr>
        <w:tab/>
        <w:t xml:space="preserve">Se ha observado otra forma de descoordinación en el caso de Colombia, donde la Comisión de Búsqueda de Personas Desaparecidas se ha encargado de coordinar las respuestas del Estado parte a las peticiones de acción urgente registradas. En varias de esas respuestas, la Comisión se refirió a su mandato, con arreglo al cual está encargada de implementar el Plan Nacional de Búsqueda y de orientar a las víctimas de desaparición. No obstante, también indicó que no podía responder a las preocupaciones y recomendaciones del </w:t>
      </w:r>
      <w:r w:rsidRPr="005E7CB5">
        <w:rPr>
          <w:lang w:val="es-ES_tradnl"/>
        </w:rPr>
        <w:lastRenderedPageBreak/>
        <w:t xml:space="preserve">Comité en la medida en que </w:t>
      </w:r>
      <w:r w:rsidR="00877E00">
        <w:rPr>
          <w:lang w:val="es-ES_tradnl"/>
        </w:rPr>
        <w:t>“</w:t>
      </w:r>
      <w:r w:rsidRPr="005E7CB5">
        <w:rPr>
          <w:lang w:val="es-ES_tradnl"/>
        </w:rPr>
        <w:t>no entraban dentro de su ámbito de competencia</w:t>
      </w:r>
      <w:r w:rsidR="00877E00">
        <w:rPr>
          <w:lang w:val="es-ES_tradnl"/>
        </w:rPr>
        <w:t>”</w:t>
      </w:r>
      <w:r w:rsidRPr="005E7CB5">
        <w:rPr>
          <w:lang w:val="es-ES_tradnl"/>
        </w:rPr>
        <w:t xml:space="preserve">. El Comité tomó nota de la información facilitada, pero también señaló con pesar que la Comisión, pese a su condición de órgano coordinador de la implementación del Plan Nacional de Búsqueda, no había tenido en cuenta la información pertinente para responder a las preocupaciones y recomendaciones del Comité relativas a cuestiones de interés para las autoridades competentes del Estado parte. En este caso y en el de otros </w:t>
      </w:r>
      <w:proofErr w:type="gramStart"/>
      <w:r w:rsidRPr="005E7CB5">
        <w:rPr>
          <w:lang w:val="es-ES_tradnl"/>
        </w:rPr>
        <w:t>Estados partes</w:t>
      </w:r>
      <w:proofErr w:type="gramEnd"/>
      <w:r w:rsidRPr="005E7CB5">
        <w:rPr>
          <w:lang w:val="es-ES_tradnl"/>
        </w:rPr>
        <w:t xml:space="preserve">, como el Brasil y México, el Comité pidió al Estado parte que se asegurara de que todas las autoridades que participaban en el proceso tuvieran acceso a la información de interés sobre las búsquedas e investigaciones. </w:t>
      </w:r>
    </w:p>
    <w:p w14:paraId="3E68E13F" w14:textId="5EB900D3" w:rsidR="009679FD" w:rsidRPr="005E7CB5" w:rsidRDefault="009679FD" w:rsidP="00F622AF">
      <w:pPr>
        <w:pStyle w:val="H23G"/>
        <w:rPr>
          <w:lang w:val="es-ES_tradnl"/>
        </w:rPr>
      </w:pPr>
      <w:r w:rsidRPr="005E7CB5">
        <w:rPr>
          <w:lang w:val="es-ES_tradnl"/>
        </w:rPr>
        <w:tab/>
        <w:t>d)</w:t>
      </w:r>
      <w:r w:rsidRPr="005E7CB5">
        <w:rPr>
          <w:lang w:val="es-ES_tradnl"/>
        </w:rPr>
        <w:tab/>
        <w:t>Dificultades observadas en los casos de desapariciones ocurridas en el contexto</w:t>
      </w:r>
      <w:r w:rsidR="00F622AF">
        <w:rPr>
          <w:lang w:val="es-ES_tradnl"/>
        </w:rPr>
        <w:br/>
      </w:r>
      <w:r w:rsidRPr="005E7CB5">
        <w:rPr>
          <w:lang w:val="es-ES_tradnl"/>
        </w:rPr>
        <w:t>de la migración</w:t>
      </w:r>
    </w:p>
    <w:p w14:paraId="58960DCB" w14:textId="77777777" w:rsidR="009679FD" w:rsidRPr="005E7CB5" w:rsidRDefault="009679FD" w:rsidP="009679FD">
      <w:pPr>
        <w:pStyle w:val="SingleTxtG"/>
        <w:rPr>
          <w:lang w:val="es-ES_tradnl"/>
        </w:rPr>
      </w:pPr>
      <w:r w:rsidRPr="005E7CB5">
        <w:rPr>
          <w:lang w:val="es-ES_tradnl"/>
        </w:rPr>
        <w:t>51.</w:t>
      </w:r>
      <w:r w:rsidRPr="005E7CB5">
        <w:rPr>
          <w:lang w:val="es-ES_tradnl"/>
        </w:rPr>
        <w:tab/>
        <w:t xml:space="preserve">Actualmente, 13 de las acciones urgentes que siguen abiertas se refieren a desapariciones ocurridas en el contexto de la migración entre Honduras y los Estados Unidos de América. El Comité recomendó al Estado parte interesado que adoptara una estrategia de búsqueda e investigación adecuada a la luz de las circunstancias específicas de cada caso, de conformidad con el principio 9, párrafo 2, de los principios rectores para la búsqueda de personas desaparecidas. Según dicho principio, los Estados expulsores y receptores de migrantes y refugiados deben adoptar mecanismos de búsqueda específicos, adaptados a las dificultades de las situaciones migratorias, y ofrecer garantías y condiciones seguras a las personas que puedan dar testimonios sobre desapariciones forzadas vinculadas con la migración. El Comité también recordó la obligación de los </w:t>
      </w:r>
      <w:proofErr w:type="gramStart"/>
      <w:r w:rsidRPr="005E7CB5">
        <w:rPr>
          <w:lang w:val="es-ES_tradnl"/>
        </w:rPr>
        <w:t>Estados partes</w:t>
      </w:r>
      <w:proofErr w:type="gramEnd"/>
      <w:r w:rsidRPr="005E7CB5">
        <w:rPr>
          <w:lang w:val="es-ES_tradnl"/>
        </w:rPr>
        <w:t xml:space="preserve"> de prestarse todo el auxilio y la cooperación posibles, de conformidad con el artículo 15 de la Convención, concertando acuerdos de cooperación y estableciendo autoridades competentes que permitan coordinar de manera eficaz las labores de búsqueda de personas desaparecidas en cada una de las etapas de la migración. Las autoridades encargadas de la búsqueda en los países de origen, de tránsito y de destino deben cooperar para garantizar el intercambio rápido y seguro de información y de documentación que pueda llevar a localizar a las personas desaparecidas en el país de tránsito o de destino. Los </w:t>
      </w:r>
      <w:proofErr w:type="gramStart"/>
      <w:r w:rsidRPr="005E7CB5">
        <w:rPr>
          <w:lang w:val="es-ES_tradnl"/>
        </w:rPr>
        <w:t>Estados partes</w:t>
      </w:r>
      <w:proofErr w:type="gramEnd"/>
      <w:r w:rsidRPr="005E7CB5">
        <w:rPr>
          <w:lang w:val="es-ES_tradnl"/>
        </w:rPr>
        <w:t xml:space="preserve"> deben velar por que el registro de migrantes en los controles fronterizos incluya el examen individual de toda solicitud de ingreso, de manera que se pueda emprender una búsqueda eficaz, en caso de desaparición de una persona. Además, el Comité formuló recomendaciones para garantizar que los familiares y representantes de los migrantes desaparecidos cuenten con el apoyo necesario para acceder a la información relativa a su caso y puedan participar en los procesos de búsqueda. </w:t>
      </w:r>
    </w:p>
    <w:p w14:paraId="0F9C11C5" w14:textId="0A4C74F2" w:rsidR="009679FD" w:rsidRPr="005E7CB5" w:rsidRDefault="009679FD" w:rsidP="00F622AF">
      <w:pPr>
        <w:pStyle w:val="H23G"/>
        <w:rPr>
          <w:lang w:val="es-ES_tradnl"/>
        </w:rPr>
      </w:pPr>
      <w:r w:rsidRPr="005E7CB5">
        <w:rPr>
          <w:lang w:val="es-ES_tradnl"/>
        </w:rPr>
        <w:tab/>
        <w:t>e)</w:t>
      </w:r>
      <w:r w:rsidRPr="005E7CB5">
        <w:rPr>
          <w:lang w:val="es-ES_tradnl"/>
        </w:rPr>
        <w:tab/>
        <w:t>La detención arbitraria o en régimen de incomunicación como contexto</w:t>
      </w:r>
      <w:r w:rsidR="00F622AF">
        <w:rPr>
          <w:lang w:val="es-ES_tradnl"/>
        </w:rPr>
        <w:br/>
      </w:r>
      <w:r w:rsidRPr="005E7CB5">
        <w:rPr>
          <w:lang w:val="es-ES_tradnl"/>
        </w:rPr>
        <w:t>habitual de las desapariciones forzadas</w:t>
      </w:r>
    </w:p>
    <w:p w14:paraId="7162710E" w14:textId="3443D8F4" w:rsidR="009679FD" w:rsidRPr="005E7CB5" w:rsidRDefault="009679FD" w:rsidP="009679FD">
      <w:pPr>
        <w:pStyle w:val="SingleTxtG"/>
        <w:rPr>
          <w:lang w:val="es-ES_tradnl"/>
        </w:rPr>
      </w:pPr>
      <w:r w:rsidRPr="005E7CB5">
        <w:rPr>
          <w:lang w:val="es-ES_tradnl"/>
        </w:rPr>
        <w:t>52.</w:t>
      </w:r>
      <w:r w:rsidRPr="005E7CB5">
        <w:rPr>
          <w:lang w:val="es-ES_tradnl"/>
        </w:rPr>
        <w:tab/>
        <w:t>En 12 de las peticiones de acción urgente registradas durante el período que abarca el informe, la persona desaparecida fue localizada después de que saliera en libertad de un lugar de reclusión no reconocido oficialmente (</w:t>
      </w:r>
      <w:r w:rsidR="00826417">
        <w:rPr>
          <w:lang w:val="es-ES_tradnl"/>
        </w:rPr>
        <w:t>8</w:t>
      </w:r>
      <w:r w:rsidRPr="005E7CB5">
        <w:rPr>
          <w:lang w:val="es-ES_tradnl"/>
        </w:rPr>
        <w:t xml:space="preserve"> casos en el Iraq y </w:t>
      </w:r>
      <w:r w:rsidR="00826417">
        <w:rPr>
          <w:lang w:val="es-ES_tradnl"/>
        </w:rPr>
        <w:t>1</w:t>
      </w:r>
      <w:r w:rsidRPr="005E7CB5">
        <w:rPr>
          <w:lang w:val="es-ES_tradnl"/>
        </w:rPr>
        <w:t xml:space="preserve"> en México), o después de que </w:t>
      </w:r>
      <w:proofErr w:type="gramStart"/>
      <w:r w:rsidRPr="005E7CB5">
        <w:rPr>
          <w:lang w:val="es-ES_tradnl"/>
        </w:rPr>
        <w:t>las autoridades del Estado parte</w:t>
      </w:r>
      <w:proofErr w:type="gramEnd"/>
      <w:r w:rsidRPr="005E7CB5">
        <w:rPr>
          <w:lang w:val="es-ES_tradnl"/>
        </w:rPr>
        <w:t xml:space="preserve"> revelaran que la persona se encontraba en un lugar de reclusión (</w:t>
      </w:r>
      <w:r w:rsidR="00826417">
        <w:rPr>
          <w:lang w:val="es-ES_tradnl"/>
        </w:rPr>
        <w:t>3</w:t>
      </w:r>
      <w:r w:rsidRPr="005E7CB5">
        <w:rPr>
          <w:lang w:val="es-ES_tradnl"/>
        </w:rPr>
        <w:t xml:space="preserve"> casos en Cuba). El Comité, de conformidad con el artículo 30, párrafo 4, de la Convención, cerró dichas acciones urgentes y pidió al Estado parte que adoptara todas las medidas necesarias para investigar la desaparición desde la fecha de la detención hasta la de la puesta en libertad. En los casos en que la persona seguía recluida, el Comité discontinuó la acción urgente y pidió al Estado parte que permitiera a la persona en cuyo nombre se había presentado la petición recibir visitas periódicas y tener contacto con el mundo exterior, de conformidad con el artículo 17, párrafo 2, de la Convención. En ese contexto, el Comité informó a los autores de la petición de acción urgente de la posibilidad de denunciar el caso al Grupo de Trabajo sobre la Detención Arbitraria.</w:t>
      </w:r>
    </w:p>
    <w:p w14:paraId="689812A8" w14:textId="77777777" w:rsidR="009679FD" w:rsidRPr="005E7CB5" w:rsidRDefault="009679FD" w:rsidP="009679FD">
      <w:pPr>
        <w:pStyle w:val="SingleTxtG"/>
        <w:rPr>
          <w:lang w:val="es-ES_tradnl"/>
        </w:rPr>
      </w:pPr>
      <w:r w:rsidRPr="005E7CB5">
        <w:rPr>
          <w:lang w:val="es-ES_tradnl"/>
        </w:rPr>
        <w:t>53.</w:t>
      </w:r>
      <w:r w:rsidRPr="005E7CB5">
        <w:rPr>
          <w:lang w:val="es-ES_tradnl"/>
        </w:rPr>
        <w:tab/>
        <w:t xml:space="preserve">El Comité siguió el mismo razonamiento y procedimiento en cuatro peticiones de acción urgente registradas en relación con la desaparición de nacionales turcos que habían sido extraditados a Turquía desde Camboya, el Iraq y Kazajstán a petición del Gobierno turco. En esos casos, los autores alegaron que el Gobierno de Turquía había logrado la devolución por la fuerza de personas acusadas de ser opositores políticos, que a continuación habían sido sometidas a desaparición forzada y recluidas en régimen de incomunicación durante días o semanas. Tras identificar el Estado parte interesado el lugar de detención y una vez que los autores de la petición de acción urgente hubieron confirmado esa </w:t>
      </w:r>
      <w:r w:rsidRPr="005E7CB5">
        <w:rPr>
          <w:lang w:val="es-ES_tradnl"/>
        </w:rPr>
        <w:lastRenderedPageBreak/>
        <w:t>información, el Comité cerró las acciones urgentes pertinentes. En ese contexto, informó a los autores de la petición de la posibilidad de denunciar el caso al Grupo de Trabajo sobre la Detención Arbitraria. En el caso relativo a Camboya, el Comité envió al Estado parte una nota verbal en la que le pidió que adoptara todas las medidas necesarias para buscar, localizar y proteger a la persona desaparecida, que era nacional de Turquía y México. Pidió al Estado parte que cooperara y concertara con México todo el auxilio mutuo posible, en cumplimiento del artículo 15 de la Convención. Con el fin de facilitar esa cooperación, la nota verbal también se envió, a título informativo, a las autoridades de México. Los Relatores para las peticiones de acción urgente observaron con satisfacción que México había respondido a la nota verbal manifestando su intención de cooperar con la búsqueda.</w:t>
      </w:r>
    </w:p>
    <w:p w14:paraId="2D109884" w14:textId="74C81D2B" w:rsidR="009679FD" w:rsidRPr="005E7CB5" w:rsidRDefault="009679FD" w:rsidP="00F622AF">
      <w:pPr>
        <w:pStyle w:val="H23G"/>
        <w:rPr>
          <w:lang w:val="es-ES_tradnl"/>
        </w:rPr>
      </w:pPr>
      <w:r w:rsidRPr="005E7CB5">
        <w:rPr>
          <w:lang w:val="es-ES_tradnl"/>
        </w:rPr>
        <w:tab/>
        <w:t>f)</w:t>
      </w:r>
      <w:r w:rsidRPr="005E7CB5">
        <w:rPr>
          <w:lang w:val="es-ES_tradnl"/>
        </w:rPr>
        <w:tab/>
        <w:t>Archivo de hecho o de derecho de las investigaciones, o cese de las búsquedas</w:t>
      </w:r>
      <w:r w:rsidR="00F622AF">
        <w:rPr>
          <w:lang w:val="es-ES_tradnl"/>
        </w:rPr>
        <w:br/>
      </w:r>
      <w:r w:rsidRPr="005E7CB5">
        <w:rPr>
          <w:lang w:val="es-ES_tradnl"/>
        </w:rPr>
        <w:t>por falta de resultados</w:t>
      </w:r>
    </w:p>
    <w:p w14:paraId="70B7BF7D" w14:textId="1B2E79C5" w:rsidR="009679FD" w:rsidRPr="005E7CB5" w:rsidRDefault="009679FD" w:rsidP="009679FD">
      <w:pPr>
        <w:pStyle w:val="SingleTxtG"/>
        <w:rPr>
          <w:lang w:val="es-ES_tradnl"/>
        </w:rPr>
      </w:pPr>
      <w:r w:rsidRPr="005E7CB5">
        <w:rPr>
          <w:lang w:val="es-ES_tradnl"/>
        </w:rPr>
        <w:t>54.</w:t>
      </w:r>
      <w:r w:rsidRPr="005E7CB5">
        <w:rPr>
          <w:lang w:val="es-ES_tradnl"/>
        </w:rPr>
        <w:tab/>
        <w:t xml:space="preserve">El Comité expresa su preocupación por las diversas decisiones adoptadas por las autoridades competentes de abandonar las búsquedas o investigaciones. Los casos suelen archivarse de hecho al cabo de varios años de la desaparición de la persona, cuando las autoridades encargadas de la búsqueda e investigación ya no adoptan ninguna medida al respecto. En esas circunstancias, los familiares de la persona desaparecida pasan a ser los únicos que logran algún avance. Si no adoptan ninguna medida, por desconocimiento de la manera de proceder o por temor a represalias, en ocasiones las autoridades los acusan de no haber hecho </w:t>
      </w:r>
      <w:r w:rsidR="00877E00">
        <w:rPr>
          <w:lang w:val="es-ES_tradnl"/>
        </w:rPr>
        <w:t>“</w:t>
      </w:r>
      <w:r w:rsidRPr="005E7CB5">
        <w:rPr>
          <w:lang w:val="es-ES_tradnl"/>
        </w:rPr>
        <w:t>lo necesario</w:t>
      </w:r>
      <w:r w:rsidR="00877E00">
        <w:rPr>
          <w:lang w:val="es-ES_tradnl"/>
        </w:rPr>
        <w:t>”</w:t>
      </w:r>
      <w:r w:rsidRPr="005E7CB5">
        <w:rPr>
          <w:lang w:val="es-ES_tradnl"/>
        </w:rPr>
        <w:t xml:space="preserve">. En esos casos, </w:t>
      </w:r>
      <w:proofErr w:type="gramStart"/>
      <w:r w:rsidRPr="005E7CB5">
        <w:rPr>
          <w:lang w:val="es-ES_tradnl"/>
        </w:rPr>
        <w:t>las respuestas del Estado parte</w:t>
      </w:r>
      <w:proofErr w:type="gramEnd"/>
      <w:r w:rsidRPr="005E7CB5">
        <w:rPr>
          <w:lang w:val="es-ES_tradnl"/>
        </w:rPr>
        <w:t xml:space="preserve"> suelen repetir la misma información, sin responder a las preocupaciones expresadas por el Comité ni a sus recomendaciones. </w:t>
      </w:r>
    </w:p>
    <w:p w14:paraId="543A1FCF" w14:textId="162FE107" w:rsidR="009679FD" w:rsidRPr="005E7CB5" w:rsidRDefault="009679FD" w:rsidP="009679FD">
      <w:pPr>
        <w:pStyle w:val="SingleTxtG"/>
        <w:rPr>
          <w:lang w:val="es-ES_tradnl"/>
        </w:rPr>
      </w:pPr>
      <w:r w:rsidRPr="005E7CB5">
        <w:rPr>
          <w:lang w:val="es-ES_tradnl"/>
        </w:rPr>
        <w:t>55.</w:t>
      </w:r>
      <w:r w:rsidRPr="005E7CB5">
        <w:rPr>
          <w:lang w:val="es-ES_tradnl"/>
        </w:rPr>
        <w:tab/>
        <w:t xml:space="preserve">Los casos se archivan de derecho cuando las autoridades competentes adoptan la decisión oficial de archivarlos: por ejemplo, en una acción urgente registrada con respecto a Colombia, el fiscal decidió archivar el caso </w:t>
      </w:r>
      <w:r w:rsidR="00877E00">
        <w:rPr>
          <w:lang w:val="es-ES_tradnl"/>
        </w:rPr>
        <w:t>“</w:t>
      </w:r>
      <w:r w:rsidRPr="005E7CB5">
        <w:rPr>
          <w:lang w:val="es-ES_tradnl"/>
        </w:rPr>
        <w:t>por falta de causa o de circunstancias de hecho que indiquen la comisión de un delito o su posible existencia como tal</w:t>
      </w:r>
      <w:r w:rsidR="00877E00">
        <w:rPr>
          <w:lang w:val="es-ES_tradnl"/>
        </w:rPr>
        <w:t>”</w:t>
      </w:r>
      <w:r w:rsidRPr="005E7CB5">
        <w:rPr>
          <w:lang w:val="es-ES_tradnl"/>
        </w:rPr>
        <w:t>. Tras ser informado de la decisión del fiscal, el Comité recordó que, de conformidad con el artículo 24, párrafo</w:t>
      </w:r>
      <w:r w:rsidR="00826417">
        <w:rPr>
          <w:lang w:val="es-ES_tradnl"/>
        </w:rPr>
        <w:t> </w:t>
      </w:r>
      <w:r w:rsidRPr="005E7CB5">
        <w:rPr>
          <w:lang w:val="es-ES_tradnl"/>
        </w:rPr>
        <w:t xml:space="preserve">6, de la Convención, el Estado parte tenía la obligación de continuar con la investigación hasta establecer la suerte de la persona desaparecida. El Comité recordó también el principio 7 de los principios rectores para la búsqueda de personas desaparecidas, en virtud del cual la búsqueda de una persona desaparecida debía continuar hasta que se determinase con certeza su suerte y/o su paradero. El Comité solicitó por tanto al Estado parte que reabriera inmediatamente el expediente, se asegurara de que todas las actividades de búsqueda se llevaban a cabo de conformidad con las recomendaciones formuladas por el Comité e informara al Comité sobre las medidas adoptadas a tal fin. </w:t>
      </w:r>
    </w:p>
    <w:p w14:paraId="54E33CB6" w14:textId="77777777" w:rsidR="009679FD" w:rsidRPr="005E7CB5" w:rsidRDefault="009679FD" w:rsidP="00F622AF">
      <w:pPr>
        <w:pStyle w:val="H23G"/>
        <w:rPr>
          <w:lang w:val="es-ES_tradnl"/>
        </w:rPr>
      </w:pPr>
      <w:r w:rsidRPr="005E7CB5">
        <w:rPr>
          <w:lang w:val="es-ES_tradnl"/>
        </w:rPr>
        <w:tab/>
        <w:t>g)</w:t>
      </w:r>
      <w:r w:rsidRPr="005E7CB5">
        <w:rPr>
          <w:lang w:val="es-ES_tradnl"/>
        </w:rPr>
        <w:tab/>
        <w:t>Uso de pruebas forenses y función del ADN</w:t>
      </w:r>
    </w:p>
    <w:p w14:paraId="2C9CFD44" w14:textId="77777777" w:rsidR="009679FD" w:rsidRPr="005E7CB5" w:rsidRDefault="009679FD" w:rsidP="009679FD">
      <w:pPr>
        <w:pStyle w:val="SingleTxtG"/>
        <w:rPr>
          <w:lang w:val="es-ES_tradnl"/>
        </w:rPr>
      </w:pPr>
      <w:r w:rsidRPr="005E7CB5">
        <w:rPr>
          <w:lang w:val="es-ES_tradnl"/>
        </w:rPr>
        <w:t>56.</w:t>
      </w:r>
      <w:r w:rsidRPr="005E7CB5">
        <w:rPr>
          <w:lang w:val="es-ES_tradnl"/>
        </w:rPr>
        <w:tab/>
        <w:t xml:space="preserve">La cuestión de la utilización de la criminalística en las estrategias de búsqueda e investigación se observó aproximadamente en el 65 % de las peticiones de acción urgente registradas por el Comité. En la mayoría de los casos, el papel de esta ciencia estaba en la esencia del proceso. Las víctimas tienden a considerarla la principal fuente de información fiable. Esta visión, según el contexto de la acción urgente de que se trate, puede plantear problemas. En ese sentido, la fiabilidad de las autoridades encargadas de las pruebas forenses es clave: si disponen de los recursos y la capacitación necesarios y cumplen su deber de diligencia realizando su labor con la pericia técnica necesaria y de la manera más completa posible, esas pruebas pueden considerarse fiables. De ser así, se establece una relación de confianza entre las autoridades y las víctimas, que reciben información sobre las diferentes medidas adoptadas y sobre las posibilidades y limitaciones de las pruebas forenses. También se las informa de las medidas que pueden adoptar si desean obtener una segunda opinión. Pero si, por el contrario, las autoridades encargadas de las pruebas forenses no cuentan con los recursos y la capacitación necesarios ni cumplen su deber de diligencia al desempeñar su labor, y si tampoco existen mecanismos de rendición de cuentas, suele ponerse en duda la fiabilidad de las pruebas forenses y estas pueden ser objeto de manipulación en el proceso de búsqueda e investigación. Pueden encontrarse claros ejemplos de ello en las peticiones de acción urgente relativas a casos de la Argentina, Camboya y México, cuyos autores alegaron que los resultados de las pruebas forenses habían sido manipulados. En esos casos, la legitimidad de todo el proceso se pone en duda y las víctimas tropiezan con obstáculos para </w:t>
      </w:r>
      <w:r w:rsidRPr="005E7CB5">
        <w:rPr>
          <w:lang w:val="es-ES_tradnl"/>
        </w:rPr>
        <w:lastRenderedPageBreak/>
        <w:t xml:space="preserve">obtener una segunda opinión, ya sea porque les cuesta encontrar a especialistas que sean admitidos por las autoridades nacionales competentes o porque no pueden sufragar el costo de esa intervención. </w:t>
      </w:r>
    </w:p>
    <w:p w14:paraId="1DACE9CE" w14:textId="77777777" w:rsidR="009679FD" w:rsidRPr="005E7CB5" w:rsidRDefault="009679FD" w:rsidP="009679FD">
      <w:pPr>
        <w:pStyle w:val="SingleTxtG"/>
        <w:rPr>
          <w:lang w:val="es-ES_tradnl"/>
        </w:rPr>
      </w:pPr>
      <w:r w:rsidRPr="005E7CB5">
        <w:rPr>
          <w:lang w:val="es-ES_tradnl"/>
        </w:rPr>
        <w:t>57.</w:t>
      </w:r>
      <w:r w:rsidRPr="005E7CB5">
        <w:rPr>
          <w:lang w:val="es-ES_tradnl"/>
        </w:rPr>
        <w:tab/>
        <w:t>En tales circunstancias, las autoridades suelen aducir la dificultad de acceder a las pruebas forenses como pretexto para no adoptar más medidas. Justifican su incapacidad para emprender nuevas acciones refiriéndose al costo de la obtención de las pruebas, a la falta de laboratorios apropiados o de recursos humanos capacitados a nivel nacional, y a la consiguiente necesidad de mandar las pruebas al extranjero.</w:t>
      </w:r>
    </w:p>
    <w:p w14:paraId="0D923DFC" w14:textId="77777777" w:rsidR="009679FD" w:rsidRPr="005E7CB5" w:rsidRDefault="009679FD" w:rsidP="009679FD">
      <w:pPr>
        <w:pStyle w:val="SingleTxtG"/>
        <w:rPr>
          <w:lang w:val="es-ES_tradnl"/>
        </w:rPr>
      </w:pPr>
      <w:r w:rsidRPr="005E7CB5">
        <w:rPr>
          <w:lang w:val="es-ES_tradnl"/>
        </w:rPr>
        <w:t>58.</w:t>
      </w:r>
      <w:r w:rsidRPr="005E7CB5">
        <w:rPr>
          <w:lang w:val="es-ES_tradnl"/>
        </w:rPr>
        <w:tab/>
        <w:t xml:space="preserve">En esos casos, el Comité ha recordado en sus recomendaciones que: a) la obtención de pruebas científicas forma parte de la estrategia de búsqueda de las personas desaparecidas y de la investigación de su desaparición; b) esas pruebas no se limitan a las pruebas de ADN y deben ser tratadas con la debida diligencia por autoridades competentes que cuenten con los recursos humanos y materiales necesarios; c) deben establecerse mecanismos fiables de rendición de cuentas; y d) cuando quepan dudas acerca de la fiabilidad de la prueba de ADN realizada, se llevará a cabo una nueva prueba de ADN con la asistencia de una organización no gubernamental internacional independiente especializada en análisis de ADN para garantizar que los restos localizados sean sometidos a una exploración y un análisis adecuados, de conformidad con las normas internacionales relativas al análisis de muestras de ADN. El Comité también concedió medidas cautelares para proteger las pruebas hasta que se dispusiera de los recursos necesarios para su análisis. </w:t>
      </w:r>
    </w:p>
    <w:p w14:paraId="3E609E3A" w14:textId="657EC2EA" w:rsidR="009679FD" w:rsidRPr="005E7CB5" w:rsidRDefault="009679FD" w:rsidP="00F622AF">
      <w:pPr>
        <w:pStyle w:val="H23G"/>
        <w:rPr>
          <w:lang w:val="es-ES_tradnl"/>
        </w:rPr>
      </w:pPr>
      <w:r w:rsidRPr="005E7CB5">
        <w:rPr>
          <w:lang w:val="es-ES_tradnl"/>
        </w:rPr>
        <w:tab/>
        <w:t>h)</w:t>
      </w:r>
      <w:r w:rsidRPr="005E7CB5">
        <w:rPr>
          <w:lang w:val="es-ES_tradnl"/>
        </w:rPr>
        <w:tab/>
        <w:t>Principales dificultades respecto de la aplicación de las medidas cautelares</w:t>
      </w:r>
      <w:r w:rsidR="00F622AF">
        <w:rPr>
          <w:lang w:val="es-ES_tradnl"/>
        </w:rPr>
        <w:br/>
      </w:r>
      <w:r w:rsidRPr="005E7CB5">
        <w:rPr>
          <w:lang w:val="es-ES_tradnl"/>
        </w:rPr>
        <w:t>solicitadas por el Comité</w:t>
      </w:r>
    </w:p>
    <w:p w14:paraId="1BA2DAF5" w14:textId="77777777" w:rsidR="009679FD" w:rsidRPr="005E7CB5" w:rsidRDefault="009679FD" w:rsidP="009679FD">
      <w:pPr>
        <w:pStyle w:val="SingleTxtG"/>
        <w:rPr>
          <w:lang w:val="es-ES_tradnl"/>
        </w:rPr>
      </w:pPr>
      <w:r w:rsidRPr="005E7CB5">
        <w:rPr>
          <w:lang w:val="es-ES_tradnl"/>
        </w:rPr>
        <w:t>59.</w:t>
      </w:r>
      <w:r w:rsidRPr="005E7CB5">
        <w:rPr>
          <w:lang w:val="es-ES_tradnl"/>
        </w:rPr>
        <w:tab/>
        <w:t xml:space="preserve">Durante el período que abarca el informe, el Comité supo de familiares de personas desaparecidas que habían sido objeto de amenazas e intimidaciones por intentar promover la investigación de la desaparición forzada de sus allegados. Dichas amenazas presentaban las mismas características que en otros períodos examinados con anterioridad y adoptaban diversas formas, como amenazas de muerte, rondas de vigilancia en las inmediaciones de las viviendas de las personas afectadas y decisiones procesales que iban en detrimento de la protección que se había concedido a dichas personas. En esos casos, el Comité pidió nuevamente al Estado parte en cuestión que adoptara las medidas cautelares necesarias para proteger la vida y la seguridad de las personas afectadas y les permitiera buscar a las personas desaparecidas sin ser objeto de actos de violencia y hostigamiento. El Comité también subrayó la importancia de revisar periódicamente los planes de protección, en consulta con las personas a las que iban dirigidos, a fin de garantizar la idoneidad de las medidas adoptadas y la plena confianza de esas personas. Lamentablemente, en varias de las peticiones de acción urgente los autores indicaron que, cuando los beneficiarios de las medidas cautelares habían comunicado la decisión del Comité a las autoridades competentes, estas les habían respondido que esas medidas no tenían carácter vinculante o que no harían nada por aplicarlas. En esos casos, el Comité recordó al Estado parte interesado que las medidas cautelares prescritas por el Comité eran jurídicamente vinculantes e imponían al Estado parte una obligación jurídica internacional que este debía cumplir. El Comité también recordó su propia condición de órgano de expertos establecido en virtud de la Convención para supervisar el cumplimiento por los </w:t>
      </w:r>
      <w:proofErr w:type="gramStart"/>
      <w:r w:rsidRPr="005E7CB5">
        <w:rPr>
          <w:lang w:val="es-ES_tradnl"/>
        </w:rPr>
        <w:t>Estados partes</w:t>
      </w:r>
      <w:proofErr w:type="gramEnd"/>
      <w:r w:rsidRPr="005E7CB5">
        <w:rPr>
          <w:lang w:val="es-ES_tradnl"/>
        </w:rPr>
        <w:t xml:space="preserve"> de sus obligaciones y reiteró al Estado parte que el hecho de no adoptar las medidas cautelares era incompatible con su obligación de respetar de buena fe el procedimiento de acción urgente del Comité. Hasta la fecha, el Comité ha enviado este tipo de comunicaciones a Colombia y México.</w:t>
      </w:r>
    </w:p>
    <w:p w14:paraId="51B6B235" w14:textId="77777777" w:rsidR="009679FD" w:rsidRPr="005E7CB5" w:rsidRDefault="009679FD" w:rsidP="00F622AF">
      <w:pPr>
        <w:pStyle w:val="H23G"/>
        <w:rPr>
          <w:lang w:val="es-ES_tradnl"/>
        </w:rPr>
      </w:pPr>
      <w:r w:rsidRPr="005E7CB5">
        <w:rPr>
          <w:lang w:val="es-ES_tradnl"/>
        </w:rPr>
        <w:tab/>
        <w:t>2.</w:t>
      </w:r>
      <w:r w:rsidRPr="005E7CB5">
        <w:rPr>
          <w:lang w:val="es-ES_tradnl"/>
        </w:rPr>
        <w:tab/>
        <w:t>Tendencias en relación con el Iraq y México</w:t>
      </w:r>
      <w:bookmarkEnd w:id="149"/>
      <w:bookmarkEnd w:id="150"/>
      <w:bookmarkEnd w:id="151"/>
    </w:p>
    <w:p w14:paraId="68DF86D9" w14:textId="77777777" w:rsidR="009679FD" w:rsidRPr="005E7CB5" w:rsidRDefault="009679FD" w:rsidP="00F622AF">
      <w:pPr>
        <w:pStyle w:val="H23G"/>
        <w:rPr>
          <w:lang w:val="es-ES_tradnl"/>
        </w:rPr>
      </w:pPr>
      <w:r w:rsidRPr="005E7CB5">
        <w:rPr>
          <w:lang w:val="es-ES_tradnl"/>
        </w:rPr>
        <w:tab/>
        <w:t>a)</w:t>
      </w:r>
      <w:r w:rsidRPr="005E7CB5">
        <w:rPr>
          <w:lang w:val="es-ES_tradnl"/>
        </w:rPr>
        <w:tab/>
      </w:r>
      <w:r w:rsidRPr="005E7CB5">
        <w:rPr>
          <w:bCs/>
          <w:lang w:val="es-ES_tradnl"/>
        </w:rPr>
        <w:t>Iraq</w:t>
      </w:r>
      <w:bookmarkStart w:id="153" w:name="_Toc43905486"/>
      <w:bookmarkStart w:id="154" w:name="_Toc43906567"/>
      <w:bookmarkStart w:id="155" w:name="_Toc43996438"/>
      <w:bookmarkEnd w:id="153"/>
      <w:bookmarkEnd w:id="154"/>
      <w:bookmarkEnd w:id="155"/>
    </w:p>
    <w:p w14:paraId="62452CBD" w14:textId="5197CFD9" w:rsidR="009679FD" w:rsidRPr="005E7CB5" w:rsidRDefault="009679FD" w:rsidP="009679FD">
      <w:pPr>
        <w:pStyle w:val="SingleTxtG"/>
        <w:rPr>
          <w:lang w:val="es-ES_tradnl"/>
        </w:rPr>
      </w:pPr>
      <w:r w:rsidRPr="005E7CB5">
        <w:rPr>
          <w:lang w:val="es-ES_tradnl"/>
        </w:rPr>
        <w:t>60.</w:t>
      </w:r>
      <w:r w:rsidRPr="005E7CB5">
        <w:rPr>
          <w:lang w:val="es-ES_tradnl"/>
        </w:rPr>
        <w:tab/>
        <w:t>Al Comité le sigue preocupando enormemente que el Estado parte, a pesar de varios recordatorios, no haya respondido a la mayoría de las peticiones de acción urgente registradas en relación con casos de desaparición denunciados en su territorio. Durante el per</w:t>
      </w:r>
      <w:r w:rsidR="00826417">
        <w:rPr>
          <w:lang w:val="es-ES_tradnl"/>
        </w:rPr>
        <w:t>í</w:t>
      </w:r>
      <w:r w:rsidRPr="005E7CB5">
        <w:rPr>
          <w:lang w:val="es-ES_tradnl"/>
        </w:rPr>
        <w:t xml:space="preserve">odo examinado, el Comité envió cuatro recordatorios al Estado parte, relativos a 272 peticiones de acción urgente registradas, a pesar de lo cual no ha recibido ninguna respuesta hasta la fecha. El Comité ya señaló que el Iraq incumplía las obligaciones que le incumben en virtud </w:t>
      </w:r>
      <w:r w:rsidRPr="005E7CB5">
        <w:rPr>
          <w:lang w:val="es-ES_tradnl"/>
        </w:rPr>
        <w:lastRenderedPageBreak/>
        <w:t>del artículo 30 de la Convención en sus tres informes anteriores a la Asamblea General (</w:t>
      </w:r>
      <w:hyperlink r:id="rId72" w:history="1">
        <w:r w:rsidRPr="00B24BD3">
          <w:rPr>
            <w:rStyle w:val="Hyperlink"/>
            <w:lang w:val="es-ES_tradnl"/>
          </w:rPr>
          <w:t>A/73/56</w:t>
        </w:r>
      </w:hyperlink>
      <w:r w:rsidRPr="005E7CB5">
        <w:rPr>
          <w:lang w:val="es-ES_tradnl"/>
        </w:rPr>
        <w:t xml:space="preserve">, </w:t>
      </w:r>
      <w:hyperlink r:id="rId73" w:history="1">
        <w:r w:rsidRPr="00B24BD3">
          <w:rPr>
            <w:rStyle w:val="Hyperlink"/>
            <w:lang w:val="es-ES_tradnl"/>
          </w:rPr>
          <w:t>A/74/56</w:t>
        </w:r>
      </w:hyperlink>
      <w:r w:rsidRPr="005E7CB5">
        <w:rPr>
          <w:lang w:val="es-ES_tradnl"/>
        </w:rPr>
        <w:t xml:space="preserve"> y </w:t>
      </w:r>
      <w:hyperlink r:id="rId74" w:history="1">
        <w:r w:rsidRPr="00B24BD3">
          <w:rPr>
            <w:rStyle w:val="Hyperlink"/>
            <w:lang w:val="es-ES_tradnl"/>
          </w:rPr>
          <w:t>A/75/56</w:t>
        </w:r>
      </w:hyperlink>
      <w:r w:rsidRPr="005E7CB5">
        <w:rPr>
          <w:lang w:val="es-ES_tradnl"/>
        </w:rPr>
        <w:t xml:space="preserve">). En los casos en que el Estado parte envió respuestas al Comité, </w:t>
      </w:r>
      <w:r w:rsidR="00826417">
        <w:rPr>
          <w:lang w:val="es-ES_tradnl"/>
        </w:rPr>
        <w:t>e</w:t>
      </w:r>
      <w:r w:rsidRPr="005E7CB5">
        <w:rPr>
          <w:lang w:val="es-ES_tradnl"/>
        </w:rPr>
        <w:t>sta siguió la tendencia observada por el Comité en informes anteriores del Estado parte, a saber, que no aportaba información sobre las medidas adoptadas para buscar a las personas desaparecidas o investigar su presunta desaparición forzada. Por otro lado, el Estado parte no aclaró los procedimientos que estaban a disposición de las víctimas.</w:t>
      </w:r>
    </w:p>
    <w:p w14:paraId="12D23CCF" w14:textId="77777777" w:rsidR="009679FD" w:rsidRPr="005E7CB5" w:rsidRDefault="009679FD" w:rsidP="009679FD">
      <w:pPr>
        <w:pStyle w:val="SingleTxtG"/>
        <w:rPr>
          <w:lang w:val="es-ES_tradnl"/>
        </w:rPr>
      </w:pPr>
      <w:r w:rsidRPr="005E7CB5">
        <w:rPr>
          <w:lang w:val="es-ES_tradnl"/>
        </w:rPr>
        <w:t>61.</w:t>
      </w:r>
      <w:r w:rsidRPr="005E7CB5">
        <w:rPr>
          <w:lang w:val="es-ES_tradnl"/>
        </w:rPr>
        <w:tab/>
        <w:t>Como ya hizo en ocasiones anteriores, el Estado parte se limitó en varias de sus respuestas a afirmar que las presuntas víctimas estaban afiliadas a grupos terroristas, sin proporcionar más información sobre las acusaciones concretas imputadas, las actuaciones iniciadas o las órdenes de detención emitidas contra ellas. En estos casos, el Comité recordó al Estado parte que la obligación de buscar a la persona desaparecida e investigar su desaparición debía cumplirse con independencia del perfil o la afiliación política de la persona.</w:t>
      </w:r>
    </w:p>
    <w:p w14:paraId="26738520" w14:textId="7B0B9D20" w:rsidR="009679FD" w:rsidRPr="005E7CB5" w:rsidRDefault="009679FD" w:rsidP="009679FD">
      <w:pPr>
        <w:pStyle w:val="SingleTxtG"/>
        <w:rPr>
          <w:lang w:val="es-ES_tradnl"/>
        </w:rPr>
      </w:pPr>
      <w:r w:rsidRPr="005E7CB5">
        <w:rPr>
          <w:lang w:val="es-ES_tradnl"/>
        </w:rPr>
        <w:t>62.</w:t>
      </w:r>
      <w:r w:rsidRPr="005E7CB5">
        <w:rPr>
          <w:lang w:val="es-ES_tradnl"/>
        </w:rPr>
        <w:tab/>
        <w:t xml:space="preserve">En su informe sobre las peticiones de acción urgente aprobado en su 19º período de sesiones, el Comité señaló 28 peticiones de acción urgente en relación con la desaparición de personas que habían participado en las protestas iniciadas en octubre de 2019 en Bagdad o habían prestado algún tipo de apoyo a los participantes. Los autores de estas peticiones indicaban también que, según los testigos o en vista del contexto de las desapariciones, era probable que esas personas hubieran desaparecido por la acción de </w:t>
      </w:r>
      <w:r w:rsidR="00877E00">
        <w:rPr>
          <w:lang w:val="es-ES_tradnl"/>
        </w:rPr>
        <w:t>“</w:t>
      </w:r>
      <w:r w:rsidRPr="005E7CB5">
        <w:rPr>
          <w:lang w:val="es-ES_tradnl"/>
        </w:rPr>
        <w:t>milicias que actuaban con la autorización, el apoyo, la aquiescencia o la aprobación del Estado parte</w:t>
      </w:r>
      <w:r w:rsidR="00877E00">
        <w:rPr>
          <w:lang w:val="es-ES_tradnl"/>
        </w:rPr>
        <w:t>”</w:t>
      </w:r>
      <w:r w:rsidRPr="005E7CB5">
        <w:rPr>
          <w:lang w:val="es-ES_tradnl"/>
        </w:rPr>
        <w:t xml:space="preserve"> o de </w:t>
      </w:r>
      <w:r w:rsidR="00877E00">
        <w:rPr>
          <w:lang w:val="es-ES_tradnl"/>
        </w:rPr>
        <w:t>“</w:t>
      </w:r>
      <w:r w:rsidRPr="005E7CB5">
        <w:rPr>
          <w:lang w:val="es-ES_tradnl"/>
        </w:rPr>
        <w:t>miembros de fuerzas progubernamentales, incluidas las milicias patrocinadas por el Estado o los servicios de inteligencia estatales</w:t>
      </w:r>
      <w:r w:rsidR="00877E00">
        <w:rPr>
          <w:lang w:val="es-ES_tradnl"/>
        </w:rPr>
        <w:t>”</w:t>
      </w:r>
      <w:r w:rsidRPr="005E7CB5">
        <w:rPr>
          <w:lang w:val="es-ES_tradnl"/>
        </w:rPr>
        <w:t>. El Comité celebra, como aspecto positivo, que se hayan cerrado 12 de estas peticiones de acción urgente tras la localización y puesta en libertad de las personas afectadas. Sin embargo, al 1 de abril de 2021, el Estado parte aún no había respondido a 13 de esas solicitudes.</w:t>
      </w:r>
    </w:p>
    <w:p w14:paraId="38C6F1BF" w14:textId="77777777" w:rsidR="009679FD" w:rsidRPr="005E7CB5" w:rsidRDefault="009679FD" w:rsidP="00F622AF">
      <w:pPr>
        <w:pStyle w:val="H23G"/>
        <w:rPr>
          <w:lang w:val="es-ES_tradnl"/>
        </w:rPr>
      </w:pPr>
      <w:r w:rsidRPr="005E7CB5">
        <w:rPr>
          <w:lang w:val="es-ES_tradnl"/>
        </w:rPr>
        <w:tab/>
        <w:t>b)</w:t>
      </w:r>
      <w:r w:rsidRPr="005E7CB5">
        <w:rPr>
          <w:lang w:val="es-ES_tradnl"/>
        </w:rPr>
        <w:tab/>
        <w:t>México</w:t>
      </w:r>
    </w:p>
    <w:p w14:paraId="4334ED0D" w14:textId="77777777" w:rsidR="009679FD" w:rsidRPr="005E7CB5" w:rsidRDefault="009679FD" w:rsidP="009679FD">
      <w:pPr>
        <w:pStyle w:val="SingleTxtG"/>
        <w:rPr>
          <w:lang w:val="es-ES_tradnl"/>
        </w:rPr>
      </w:pPr>
      <w:r w:rsidRPr="005E7CB5">
        <w:rPr>
          <w:lang w:val="es-ES_tradnl"/>
        </w:rPr>
        <w:t>63.</w:t>
      </w:r>
      <w:r w:rsidRPr="005E7CB5">
        <w:rPr>
          <w:lang w:val="es-ES_tradnl"/>
        </w:rPr>
        <w:tab/>
        <w:t xml:space="preserve">El Comité celebra que haya aumentado el número de respuestas proporcionadas por el Estado parte en relación con las peticiones de acción urgente registradas, aunque todavía se enviaron recordatorios respecto de aproximadamente la mitad de los casos. </w:t>
      </w:r>
    </w:p>
    <w:p w14:paraId="6076DC32" w14:textId="77777777" w:rsidR="009679FD" w:rsidRPr="005E7CB5" w:rsidRDefault="009679FD" w:rsidP="009679FD">
      <w:pPr>
        <w:pStyle w:val="SingleTxtG"/>
        <w:rPr>
          <w:lang w:val="es-ES_tradnl"/>
        </w:rPr>
      </w:pPr>
      <w:r w:rsidRPr="005E7CB5">
        <w:rPr>
          <w:lang w:val="es-ES_tradnl"/>
        </w:rPr>
        <w:t>64.</w:t>
      </w:r>
      <w:r w:rsidRPr="005E7CB5">
        <w:rPr>
          <w:lang w:val="es-ES_tradnl"/>
        </w:rPr>
        <w:tab/>
        <w:t>El Comité fue informado con frecuencia de la falta de coordinación entre las autoridades federales y las estatales que se encargan de la búsqueda y la investigación en México, lo que obstaculiza los avances o incluso impide que los haya. En algunos casos, se informó al Comité de que las autoridades estatales se habían negado a colaborar con las autoridades federales. En estos casos, el Comité envió notas de seguimiento solicitando que las autoridades de los distintos niveles de la administración definieran claramente y coordinaran sus respectivas funciones.</w:t>
      </w:r>
    </w:p>
    <w:p w14:paraId="4AEA4726" w14:textId="77777777" w:rsidR="009679FD" w:rsidRPr="005E7CB5" w:rsidRDefault="009679FD" w:rsidP="009679FD">
      <w:pPr>
        <w:pStyle w:val="SingleTxtG"/>
        <w:rPr>
          <w:lang w:val="es-ES_tradnl"/>
        </w:rPr>
      </w:pPr>
      <w:r w:rsidRPr="005E7CB5">
        <w:rPr>
          <w:lang w:val="es-ES_tradnl"/>
        </w:rPr>
        <w:t>65.</w:t>
      </w:r>
      <w:r w:rsidRPr="005E7CB5">
        <w:rPr>
          <w:lang w:val="es-ES_tradnl"/>
        </w:rPr>
        <w:tab/>
        <w:t xml:space="preserve">El Comité, en las recomendaciones que ha formulado a México, también ha señalado en varias ocasiones la obligación que incumbe al Estado parte en virtud de la Convención de velar por que las víctimas sean informadas periódicamente sobre las medidas adoptadas por las autoridades encargadas de la búsqueda y la investigación, y de hacerlas partícipes en el proceso. Durante el período que se examina, los avances realizados siguieron dependiendo en gran medida de las iniciativas emprendidas por los familiares de las personas desaparecidas. En varios casos, el hecho de que las víctimas pudieran interactuar con las autoridades del Estado parte encargadas de la búsqueda y la investigación fue clave para que se lograran avances. Aun así, los autores de las peticiones de acción urgente señalaron a menudo las dificultades que experimentaban para que las autoridades tuvieran en cuenta con la diligencia necesaria la información que les proporcionaban. También se lamentaron de que, con frecuencia, no se realizaban investigaciones </w:t>
      </w:r>
      <w:r w:rsidRPr="00826417">
        <w:rPr>
          <w:i/>
          <w:iCs/>
          <w:lang w:val="es-ES_tradnl"/>
        </w:rPr>
        <w:t>in situ</w:t>
      </w:r>
      <w:r w:rsidRPr="005E7CB5">
        <w:rPr>
          <w:lang w:val="es-ES_tradnl"/>
        </w:rPr>
        <w:t xml:space="preserve"> ni análisis exhaustivos de las pruebas disponibles.</w:t>
      </w:r>
    </w:p>
    <w:p w14:paraId="18B8669B" w14:textId="77777777" w:rsidR="009679FD" w:rsidRPr="005E7CB5" w:rsidRDefault="009679FD" w:rsidP="009679FD">
      <w:pPr>
        <w:pStyle w:val="SingleTxtG"/>
        <w:rPr>
          <w:lang w:val="es-ES_tradnl"/>
        </w:rPr>
      </w:pPr>
      <w:r w:rsidRPr="005E7CB5">
        <w:rPr>
          <w:lang w:val="es-ES_tradnl"/>
        </w:rPr>
        <w:t>66.</w:t>
      </w:r>
      <w:r w:rsidRPr="005E7CB5">
        <w:rPr>
          <w:lang w:val="es-ES_tradnl"/>
        </w:rPr>
        <w:tab/>
        <w:t xml:space="preserve">Al Comité le preocupan las frecuentes informaciones recibidas acerca de la implicación directa o indirecta de las autoridades estatales en los hechos relacionados con las desapariciones y del estancamiento de los procesos de búsqueda e investigación. En los casos en que los hechos habían ocurrido varios años atrás, los autores señalaron repetidamente la responsabilidad de las autoridades del Estado parte por su falta de diligencia y dijeron que dicha inacción constituía un factor adicional de responsabilidad por la presunta desaparición </w:t>
      </w:r>
      <w:r w:rsidRPr="005E7CB5">
        <w:rPr>
          <w:lang w:val="es-ES_tradnl"/>
        </w:rPr>
        <w:lastRenderedPageBreak/>
        <w:t>forzada. En esos casos, el Comité recalcó al Estado parte la importancia de establecer mecanismos para exigir responsabilidades a los funcionarios públicos encargados de las tareas de búsqueda e investigación y le pidió que investigara las afirmaciones de que esos funcionarios habían obstaculizado las actuaciones.</w:t>
      </w:r>
    </w:p>
    <w:p w14:paraId="75450E10" w14:textId="77777777" w:rsidR="009679FD" w:rsidRPr="005E7CB5" w:rsidRDefault="009679FD" w:rsidP="009679FD">
      <w:pPr>
        <w:pStyle w:val="SingleTxtG"/>
        <w:rPr>
          <w:lang w:val="es-ES_tradnl"/>
        </w:rPr>
      </w:pPr>
      <w:r w:rsidRPr="005E7CB5">
        <w:rPr>
          <w:lang w:val="es-ES_tradnl"/>
        </w:rPr>
        <w:t>67.</w:t>
      </w:r>
      <w:r w:rsidRPr="005E7CB5">
        <w:rPr>
          <w:lang w:val="es-ES_tradnl"/>
        </w:rPr>
        <w:tab/>
        <w:t>Durante el período que abarca el informe sobre las peticiones de acción urgente adoptado en su 20º período de sesiones, el Comité recibió 45 peticiones referidas a casos de presuntas desapariciones en el estado de Nayarit en las que había participado, de manera directa o indirecta, personal de la Fiscalía General de ese estado. En estas peticiones, se afirmaba que el ex Fiscal General de Nayarit, Edgar Veytia, que había sido condenado por tráfico de estupefacientes en los Estados Unidos de América, mantenía vínculos con la delincuencia organizada y había estado implicado en numerosos casos de desapariciones forzadas y otras violaciones de los derechos humanos en ese estado. En algunas de las peticiones de acción urgente se afirmaba también que funcionarios actualmente adscritos a la Fiscalía Especializada en Investigación de Personas Desaparecidas del estado de Nayarit habían estado involucrados en los casos de desaparición forzada o habían trabajado en estrecha colaboración con el Sr. Veytia. En esos casos, el Comité pidió al Estado parte que adoptara las medidas necesarias para investigar y sancionar toda actividad o intervención de las autoridades que tuviera por objeto obstaculizar la búsqueda y la investigación efectivas en el contexto de las desapariciones forzadas y, en particular, que investigara a los funcionarios de la Fiscalía que pudieran haber tenido vínculos con el Sr. Veytia a fin de determinar su posible participación en las desapariciones en cuestión. El Comité pidió además al Estado parte que se asegurase de la competencia y la independencia de la Fiscalía Especializada.</w:t>
      </w:r>
    </w:p>
    <w:p w14:paraId="75398022" w14:textId="77777777" w:rsidR="009679FD" w:rsidRPr="005E7CB5" w:rsidRDefault="009679FD" w:rsidP="009679FD">
      <w:pPr>
        <w:pStyle w:val="SingleTxtG"/>
        <w:rPr>
          <w:lang w:val="es-ES_tradnl"/>
        </w:rPr>
      </w:pPr>
      <w:r w:rsidRPr="005E7CB5">
        <w:rPr>
          <w:lang w:val="es-ES_tradnl"/>
        </w:rPr>
        <w:t>68.</w:t>
      </w:r>
      <w:r w:rsidRPr="005E7CB5">
        <w:rPr>
          <w:lang w:val="es-ES_tradnl"/>
        </w:rPr>
        <w:tab/>
        <w:t>Los autores de las peticiones de acción urgente también hicieron a menudo referencia a las dificultades experimentadas por los familiares de las personas desaparecidas para acceder a las ayudas a que tenían derecho. En tales casos, el Comité indicó al Estado parte las medidas que era necesario adoptar en función de las necesidades de los familiares afectados, en relación con cuestiones como el acceso a la alimentación, la educación, la vivienda o los servicios de atención de la salud. Asimismo, recordó la obligación que incumbía a las autoridades competentes del Estado parte de informar a los familiares de las personas desaparecidas acerca del contenido, el alcance y los plazos de las ayudas que podían recibir de esas autoridades. El Comité pidió al Estado parte que se asegurara de que, al formular y revisar los planes de apoyo, la Comisión Ejecutiva de Atención a Víctimas tuviera debidamente en cuenta la situación y las necesidades de las personas a las que iban dirigidos.</w:t>
      </w:r>
      <w:bookmarkStart w:id="156" w:name="_Toc43905488"/>
      <w:bookmarkStart w:id="157" w:name="_Toc43906569"/>
      <w:bookmarkStart w:id="158" w:name="_Toc43996440"/>
    </w:p>
    <w:p w14:paraId="39F5902A" w14:textId="77777777" w:rsidR="009679FD" w:rsidRPr="005E7CB5" w:rsidRDefault="009679FD" w:rsidP="00F622AF">
      <w:pPr>
        <w:pStyle w:val="H23G"/>
        <w:rPr>
          <w:lang w:val="es-ES_tradnl"/>
        </w:rPr>
      </w:pPr>
      <w:r w:rsidRPr="005E7CB5">
        <w:rPr>
          <w:lang w:val="es-ES_tradnl"/>
        </w:rPr>
        <w:tab/>
        <w:t>3.</w:t>
      </w:r>
      <w:r w:rsidRPr="005E7CB5">
        <w:rPr>
          <w:lang w:val="es-ES_tradnl"/>
        </w:rPr>
        <w:tab/>
        <w:t xml:space="preserve">Otros </w:t>
      </w:r>
      <w:proofErr w:type="gramStart"/>
      <w:r w:rsidRPr="005E7CB5">
        <w:rPr>
          <w:lang w:val="es-ES_tradnl"/>
        </w:rPr>
        <w:t>Estados partes</w:t>
      </w:r>
      <w:bookmarkEnd w:id="156"/>
      <w:bookmarkEnd w:id="157"/>
      <w:bookmarkEnd w:id="158"/>
      <w:proofErr w:type="gramEnd"/>
    </w:p>
    <w:p w14:paraId="1CA85FD2" w14:textId="77777777" w:rsidR="009679FD" w:rsidRPr="005E7CB5" w:rsidRDefault="009679FD" w:rsidP="009679FD">
      <w:pPr>
        <w:pStyle w:val="SingleTxtG"/>
        <w:rPr>
          <w:lang w:val="es-ES_tradnl"/>
        </w:rPr>
      </w:pPr>
      <w:r w:rsidRPr="005E7CB5">
        <w:rPr>
          <w:lang w:val="es-ES_tradnl"/>
        </w:rPr>
        <w:t>69.</w:t>
      </w:r>
      <w:r w:rsidRPr="005E7CB5">
        <w:rPr>
          <w:lang w:val="es-ES_tradnl"/>
        </w:rPr>
        <w:tab/>
        <w:t xml:space="preserve">Hubo muy pocas peticiones de acción urgente relacionadas con otros </w:t>
      </w:r>
      <w:proofErr w:type="gramStart"/>
      <w:r w:rsidRPr="005E7CB5">
        <w:rPr>
          <w:lang w:val="es-ES_tradnl"/>
        </w:rPr>
        <w:t>Estados partes</w:t>
      </w:r>
      <w:proofErr w:type="gramEnd"/>
      <w:r w:rsidRPr="005E7CB5">
        <w:rPr>
          <w:lang w:val="es-ES_tradnl"/>
        </w:rPr>
        <w:t xml:space="preserve"> como para que el Comité pudiera identificar alguna tendencia. No obstante, el Comité querría destacar ciertos elementos de algunas de las peticiones recibidas.</w:t>
      </w:r>
    </w:p>
    <w:p w14:paraId="0270B67D" w14:textId="77777777" w:rsidR="009679FD" w:rsidRPr="005E7CB5" w:rsidRDefault="009679FD" w:rsidP="00F622AF">
      <w:pPr>
        <w:pStyle w:val="H23G"/>
        <w:rPr>
          <w:lang w:val="es-ES_tradnl"/>
        </w:rPr>
      </w:pPr>
      <w:r w:rsidRPr="005E7CB5">
        <w:rPr>
          <w:lang w:val="es-ES_tradnl"/>
        </w:rPr>
        <w:tab/>
        <w:t>a)</w:t>
      </w:r>
      <w:r w:rsidRPr="005E7CB5">
        <w:rPr>
          <w:lang w:val="es-ES_tradnl"/>
        </w:rPr>
        <w:tab/>
        <w:t>Burkina Faso</w:t>
      </w:r>
      <w:bookmarkStart w:id="159" w:name="_Toc43905489"/>
      <w:bookmarkStart w:id="160" w:name="_Toc43906570"/>
      <w:bookmarkStart w:id="161" w:name="_Toc43996441"/>
      <w:bookmarkEnd w:id="159"/>
      <w:bookmarkEnd w:id="160"/>
      <w:bookmarkEnd w:id="161"/>
    </w:p>
    <w:p w14:paraId="3915798E" w14:textId="77777777" w:rsidR="009679FD" w:rsidRPr="005E7CB5" w:rsidRDefault="009679FD" w:rsidP="009679FD">
      <w:pPr>
        <w:pStyle w:val="SingleTxtG"/>
        <w:rPr>
          <w:lang w:val="es-ES_tradnl"/>
        </w:rPr>
      </w:pPr>
      <w:r w:rsidRPr="005E7CB5">
        <w:rPr>
          <w:lang w:val="es-ES_tradnl"/>
        </w:rPr>
        <w:t>70.</w:t>
      </w:r>
      <w:r w:rsidRPr="005E7CB5">
        <w:rPr>
          <w:lang w:val="es-ES_tradnl"/>
        </w:rPr>
        <w:tab/>
        <w:t>Durante el período al que se refiere el informe, el Comité registró la primera petición de acción urgente en relación con Burkina Faso. La petición se refería a la presunta desaparición forzada de un miembro del grupo étnico fulani tras haber sido detenido por miembros de la Gendarmería.</w:t>
      </w:r>
    </w:p>
    <w:p w14:paraId="07E51382" w14:textId="77777777" w:rsidR="009679FD" w:rsidRPr="005E7CB5" w:rsidRDefault="009679FD" w:rsidP="00F622AF">
      <w:pPr>
        <w:pStyle w:val="H23G"/>
        <w:rPr>
          <w:lang w:val="es-ES_tradnl"/>
        </w:rPr>
      </w:pPr>
      <w:r w:rsidRPr="005E7CB5">
        <w:rPr>
          <w:lang w:val="es-ES_tradnl"/>
        </w:rPr>
        <w:tab/>
        <w:t>b)</w:t>
      </w:r>
      <w:r w:rsidRPr="005E7CB5">
        <w:rPr>
          <w:lang w:val="es-ES_tradnl"/>
        </w:rPr>
        <w:tab/>
        <w:t>Paraguay</w:t>
      </w:r>
    </w:p>
    <w:p w14:paraId="7A2A2150" w14:textId="77777777" w:rsidR="009679FD" w:rsidRPr="005E7CB5" w:rsidRDefault="009679FD" w:rsidP="009679FD">
      <w:pPr>
        <w:pStyle w:val="SingleTxtG"/>
        <w:rPr>
          <w:lang w:val="es-ES_tradnl"/>
        </w:rPr>
      </w:pPr>
      <w:r w:rsidRPr="005E7CB5">
        <w:rPr>
          <w:lang w:val="es-ES_tradnl"/>
        </w:rPr>
        <w:t>71.</w:t>
      </w:r>
      <w:r w:rsidRPr="005E7CB5">
        <w:rPr>
          <w:lang w:val="es-ES_tradnl"/>
        </w:rPr>
        <w:tab/>
        <w:t>El Comité también registró la primera petición de acción urgente en relación con el Paraguay. La petición se refería a la presunta desaparición forzada de una niña en el contexto de una operación dirigida por un equipo de tareas conjunto de la policía y el ejército creado para luchar contra el Ejército del Pueblo Paraguayo, una organización guerrillera.</w:t>
      </w:r>
    </w:p>
    <w:p w14:paraId="3D4CF804" w14:textId="77777777" w:rsidR="009679FD" w:rsidRPr="005E7CB5" w:rsidRDefault="009679FD" w:rsidP="00F622AF">
      <w:pPr>
        <w:pStyle w:val="H23G"/>
        <w:rPr>
          <w:lang w:val="es-ES_tradnl"/>
        </w:rPr>
      </w:pPr>
      <w:r w:rsidRPr="005E7CB5">
        <w:rPr>
          <w:lang w:val="es-ES_tradnl"/>
        </w:rPr>
        <w:tab/>
        <w:t>c)</w:t>
      </w:r>
      <w:r w:rsidRPr="005E7CB5">
        <w:rPr>
          <w:lang w:val="es-ES_tradnl"/>
        </w:rPr>
        <w:tab/>
      </w:r>
      <w:r w:rsidRPr="005E7CB5">
        <w:rPr>
          <w:bCs/>
          <w:lang w:val="es-ES_tradnl"/>
        </w:rPr>
        <w:t>Perú</w:t>
      </w:r>
    </w:p>
    <w:p w14:paraId="4CD39854" w14:textId="4EF5BE7D" w:rsidR="009679FD" w:rsidRPr="005E7CB5" w:rsidRDefault="009679FD" w:rsidP="009679FD">
      <w:pPr>
        <w:pStyle w:val="SingleTxtG"/>
        <w:rPr>
          <w:lang w:val="es-ES_tradnl"/>
        </w:rPr>
      </w:pPr>
      <w:r w:rsidRPr="005E7CB5">
        <w:rPr>
          <w:lang w:val="es-ES_tradnl"/>
        </w:rPr>
        <w:t>72.</w:t>
      </w:r>
      <w:r w:rsidRPr="005E7CB5">
        <w:rPr>
          <w:lang w:val="es-ES_tradnl"/>
        </w:rPr>
        <w:tab/>
        <w:t xml:space="preserve">El Comité registró 13 peticiones de acción urgente en relación con el Perú. Las peticiones se referían a la presunta desaparición forzada de participantes en las protestas </w:t>
      </w:r>
      <w:r w:rsidRPr="005E7CB5">
        <w:rPr>
          <w:lang w:val="es-ES_tradnl"/>
        </w:rPr>
        <w:lastRenderedPageBreak/>
        <w:t>contra el ex</w:t>
      </w:r>
      <w:r w:rsidR="00826417">
        <w:rPr>
          <w:lang w:val="es-ES_tradnl"/>
        </w:rPr>
        <w:t>-</w:t>
      </w:r>
      <w:r w:rsidRPr="005E7CB5">
        <w:rPr>
          <w:lang w:val="es-ES_tradnl"/>
        </w:rPr>
        <w:t>Presidente que tuvieron lugar en Lima en noviembre de 2020. Estos casos se cerraron después de que los detenidos fueran localizados y puestos en libertad.</w:t>
      </w:r>
    </w:p>
    <w:p w14:paraId="6C87B76A" w14:textId="0A70B40A" w:rsidR="009679FD" w:rsidRPr="005E7CB5" w:rsidRDefault="009679FD" w:rsidP="00F622AF">
      <w:pPr>
        <w:pStyle w:val="H1G"/>
        <w:rPr>
          <w:lang w:val="es-ES_tradnl"/>
        </w:rPr>
      </w:pPr>
      <w:r w:rsidRPr="005E7CB5">
        <w:rPr>
          <w:lang w:val="es-ES_tradnl"/>
        </w:rPr>
        <w:tab/>
        <w:t>C.</w:t>
      </w:r>
      <w:r w:rsidRPr="005E7CB5">
        <w:rPr>
          <w:lang w:val="es-ES_tradnl"/>
        </w:rPr>
        <w:tab/>
        <w:t>Acciones urgentes discontinuadas, cerradas, o mantenidas abiertas para</w:t>
      </w:r>
      <w:r w:rsidR="00F622AF">
        <w:rPr>
          <w:lang w:val="es-ES_tradnl"/>
        </w:rPr>
        <w:t> </w:t>
      </w:r>
      <w:r w:rsidRPr="005E7CB5">
        <w:rPr>
          <w:lang w:val="es-ES_tradnl"/>
        </w:rPr>
        <w:t>la protección de las personas a favor de las cuales se han otorgado</w:t>
      </w:r>
      <w:r w:rsidR="00F622AF">
        <w:rPr>
          <w:lang w:val="es-ES_tradnl"/>
        </w:rPr>
        <w:t> </w:t>
      </w:r>
      <w:r w:rsidRPr="005E7CB5">
        <w:rPr>
          <w:lang w:val="es-ES_tradnl"/>
        </w:rPr>
        <w:t>medidas cautelares</w:t>
      </w:r>
      <w:bookmarkStart w:id="162" w:name="_Toc43905494"/>
      <w:bookmarkStart w:id="163" w:name="_Toc43906575"/>
      <w:bookmarkStart w:id="164" w:name="_Toc43996446"/>
      <w:bookmarkStart w:id="165" w:name="_Toc522200476"/>
      <w:bookmarkStart w:id="166" w:name="_Toc75349921"/>
      <w:bookmarkEnd w:id="162"/>
      <w:bookmarkEnd w:id="163"/>
      <w:bookmarkEnd w:id="164"/>
      <w:bookmarkEnd w:id="165"/>
      <w:bookmarkEnd w:id="166"/>
    </w:p>
    <w:p w14:paraId="2D9442BD" w14:textId="77777777" w:rsidR="009679FD" w:rsidRPr="005E7CB5" w:rsidRDefault="009679FD" w:rsidP="009679FD">
      <w:pPr>
        <w:pStyle w:val="SingleTxtG"/>
        <w:rPr>
          <w:lang w:val="es-ES_tradnl"/>
        </w:rPr>
      </w:pPr>
      <w:r w:rsidRPr="005E7CB5">
        <w:rPr>
          <w:lang w:val="es-ES_tradnl"/>
        </w:rPr>
        <w:t>73.</w:t>
      </w:r>
      <w:r w:rsidRPr="005E7CB5">
        <w:rPr>
          <w:lang w:val="es-ES_tradnl"/>
        </w:rPr>
        <w:tab/>
        <w:t>De conformidad con los criterios adoptados en sesión plenaria por el Comité en su octavo período de sesiones:</w:t>
      </w:r>
    </w:p>
    <w:p w14:paraId="2BD10F6C" w14:textId="20B79F34" w:rsidR="009679FD" w:rsidRPr="005E7CB5" w:rsidRDefault="00F622AF" w:rsidP="009679FD">
      <w:pPr>
        <w:pStyle w:val="SingleTxtG"/>
        <w:rPr>
          <w:lang w:val="es-ES_tradnl"/>
        </w:rPr>
      </w:pPr>
      <w:r>
        <w:rPr>
          <w:lang w:val="es-ES_tradnl"/>
        </w:rPr>
        <w:tab/>
      </w:r>
      <w:r w:rsidR="009679FD" w:rsidRPr="005E7CB5">
        <w:rPr>
          <w:lang w:val="es-ES_tradnl"/>
        </w:rPr>
        <w:t>a)</w:t>
      </w:r>
      <w:r w:rsidR="009679FD" w:rsidRPr="005E7CB5">
        <w:rPr>
          <w:lang w:val="es-ES_tradnl"/>
        </w:rPr>
        <w:tab/>
        <w:t>Se suspende una acción urgente cuando la persona desaparecida ha sido localizada, pero sigue privada de libertad; esta medida se adopta porque la persona es especialmente vulnerable a ser víctima de una nueva desaparición forzada y a ser sustraída del amparo de la ley;</w:t>
      </w:r>
    </w:p>
    <w:p w14:paraId="0E497602" w14:textId="3F6350E0" w:rsidR="009679FD" w:rsidRPr="005E7CB5" w:rsidRDefault="00F622AF" w:rsidP="009679FD">
      <w:pPr>
        <w:pStyle w:val="SingleTxtG"/>
        <w:rPr>
          <w:lang w:val="es-ES_tradnl"/>
        </w:rPr>
      </w:pPr>
      <w:r>
        <w:rPr>
          <w:lang w:val="es-ES_tradnl"/>
        </w:rPr>
        <w:tab/>
      </w:r>
      <w:r w:rsidR="009679FD" w:rsidRPr="005E7CB5">
        <w:rPr>
          <w:lang w:val="es-ES_tradnl"/>
        </w:rPr>
        <w:t>b)</w:t>
      </w:r>
      <w:r w:rsidR="009679FD" w:rsidRPr="005E7CB5">
        <w:rPr>
          <w:lang w:val="es-ES_tradnl"/>
        </w:rPr>
        <w:tab/>
        <w:t>Se cierra una acción urgente cuando la persona desaparecida ha sido localizada en libertad o localizada y puesta en libertad, o ha sido encontrada muerta, siempre que los familiares y/o los autores no impugnen estos hechos;</w:t>
      </w:r>
    </w:p>
    <w:p w14:paraId="3340E10D" w14:textId="60228A0C" w:rsidR="009679FD" w:rsidRPr="005E7CB5" w:rsidRDefault="00F622AF" w:rsidP="009679FD">
      <w:pPr>
        <w:pStyle w:val="SingleTxtG"/>
        <w:rPr>
          <w:lang w:val="es-ES_tradnl"/>
        </w:rPr>
      </w:pPr>
      <w:r>
        <w:rPr>
          <w:lang w:val="es-ES_tradnl"/>
        </w:rPr>
        <w:tab/>
      </w:r>
      <w:r w:rsidR="009679FD" w:rsidRPr="005E7CB5">
        <w:rPr>
          <w:lang w:val="es-ES_tradnl"/>
        </w:rPr>
        <w:t>c)</w:t>
      </w:r>
      <w:r w:rsidR="009679FD" w:rsidRPr="005E7CB5">
        <w:rPr>
          <w:lang w:val="es-ES_tradnl"/>
        </w:rPr>
        <w:tab/>
        <w:t>Se mantiene abierta una acción urgente cuando la persona desaparecida ha sido localizada pero las personas a favor de las cuales se han adoptado medidas cautelares en el contexto de la acción urgente siguen amenazadas; en estos casos, la intervención del Comité se limita al seguimiento de las medidas cautelares adoptadas.</w:t>
      </w:r>
    </w:p>
    <w:p w14:paraId="5B067DA6" w14:textId="77777777" w:rsidR="009679FD" w:rsidRPr="005E7CB5" w:rsidRDefault="009679FD" w:rsidP="009679FD">
      <w:pPr>
        <w:pStyle w:val="SingleTxtG"/>
        <w:rPr>
          <w:lang w:val="es-ES_tradnl"/>
        </w:rPr>
      </w:pPr>
      <w:r w:rsidRPr="005E7CB5">
        <w:rPr>
          <w:lang w:val="es-ES_tradnl"/>
        </w:rPr>
        <w:t>74.</w:t>
      </w:r>
      <w:r w:rsidRPr="005E7CB5">
        <w:rPr>
          <w:lang w:val="es-ES_tradnl"/>
        </w:rPr>
        <w:tab/>
        <w:t>Además de estos criterios, el Comité adoptó la siguiente nueva categoría de casos en su 20º período de sesiones:</w:t>
      </w:r>
    </w:p>
    <w:p w14:paraId="230F1F8D" w14:textId="2816E50C" w:rsidR="009679FD" w:rsidRPr="005E7CB5" w:rsidRDefault="00F622AF" w:rsidP="009679FD">
      <w:pPr>
        <w:pStyle w:val="SingleTxtG"/>
        <w:rPr>
          <w:lang w:val="es-ES_tradnl"/>
        </w:rPr>
      </w:pPr>
      <w:r>
        <w:rPr>
          <w:lang w:val="es-ES_tradnl"/>
        </w:rPr>
        <w:tab/>
      </w:r>
      <w:r w:rsidR="009679FD" w:rsidRPr="005E7CB5">
        <w:rPr>
          <w:lang w:val="es-ES_tradnl"/>
        </w:rPr>
        <w:t>d)</w:t>
      </w:r>
      <w:r w:rsidR="009679FD" w:rsidRPr="005E7CB5">
        <w:rPr>
          <w:lang w:val="es-ES_tradnl"/>
        </w:rPr>
        <w:tab/>
        <w:t>Una acción urgente, y el seguimiento de esta por parte del Comité, se suspende cuando el autor de la petición de acción urgente ha perdido el contacto con los familiares de la persona desaparecida y ya no puede proporcionar información de seguimiento; una acción urgente suspendida puede reabrirse si el autor informa al Comité de que ha reanudado el contacto con los familiares.</w:t>
      </w:r>
    </w:p>
    <w:p w14:paraId="163A1A53" w14:textId="77777777" w:rsidR="009679FD" w:rsidRPr="005E7CB5" w:rsidRDefault="009679FD" w:rsidP="009679FD">
      <w:pPr>
        <w:pStyle w:val="SingleTxtG"/>
        <w:rPr>
          <w:lang w:val="es-ES_tradnl"/>
        </w:rPr>
      </w:pPr>
      <w:r w:rsidRPr="005E7CB5">
        <w:rPr>
          <w:lang w:val="es-ES_tradnl"/>
        </w:rPr>
        <w:t>75.</w:t>
      </w:r>
      <w:r w:rsidRPr="005E7CB5">
        <w:rPr>
          <w:lang w:val="es-ES_tradnl"/>
        </w:rPr>
        <w:tab/>
        <w:t>Al 1 de abril de 2021, el Comité había cerrado 88 casos de acción urgente, discontinuado 15 y suspendido 96. Un total de 813 casos de acción urgente seguían abiertos.</w:t>
      </w:r>
    </w:p>
    <w:p w14:paraId="4E109B2C" w14:textId="77777777" w:rsidR="009679FD" w:rsidRPr="005E7CB5" w:rsidRDefault="009679FD" w:rsidP="009679FD">
      <w:pPr>
        <w:pStyle w:val="SingleTxtG"/>
        <w:rPr>
          <w:lang w:val="es-ES_tradnl"/>
        </w:rPr>
      </w:pPr>
      <w:r w:rsidRPr="005E7CB5">
        <w:rPr>
          <w:lang w:val="es-ES_tradnl"/>
        </w:rPr>
        <w:t>76.</w:t>
      </w:r>
      <w:r w:rsidRPr="005E7CB5">
        <w:rPr>
          <w:lang w:val="es-ES_tradnl"/>
        </w:rPr>
        <w:tab/>
        <w:t>En tres acciones urgentes (dos casos relativos a México y uno a Colombia), se ha determinado que las personas desaparecidas fueron encontradas sin vida, pero los casos de acción urgente siguen abiertos ya que las personas a favor de las cuales se habían adoptado medidas cautelares siguen amenazadas.</w:t>
      </w:r>
    </w:p>
    <w:p w14:paraId="6E1DC996" w14:textId="77777777" w:rsidR="009679FD" w:rsidRPr="005E7CB5" w:rsidRDefault="009679FD" w:rsidP="009679FD">
      <w:pPr>
        <w:pStyle w:val="SingleTxtG"/>
        <w:rPr>
          <w:lang w:val="es-ES_tradnl"/>
        </w:rPr>
      </w:pPr>
      <w:bookmarkStart w:id="167" w:name="_Toc522200477"/>
      <w:r w:rsidRPr="005E7CB5">
        <w:rPr>
          <w:lang w:val="es-ES_tradnl"/>
        </w:rPr>
        <w:t>77.</w:t>
      </w:r>
      <w:r w:rsidRPr="005E7CB5">
        <w:rPr>
          <w:lang w:val="es-ES_tradnl"/>
        </w:rPr>
        <w:tab/>
        <w:t xml:space="preserve">El Comité expresa su particular satisfacción por el hecho de que, al 1 de abril de 2021, hayan sido localizadas 106 personas desaparecidas en cuyo nombre se había registrado una petición de acción urgente. </w:t>
      </w:r>
    </w:p>
    <w:p w14:paraId="07CB8132" w14:textId="596A00B1" w:rsidR="009679FD" w:rsidRPr="005E7CB5" w:rsidRDefault="009679FD" w:rsidP="00F622AF">
      <w:pPr>
        <w:pStyle w:val="H1G"/>
        <w:rPr>
          <w:lang w:val="es-ES_tradnl"/>
        </w:rPr>
      </w:pPr>
      <w:r w:rsidRPr="005E7CB5">
        <w:rPr>
          <w:lang w:val="es-ES_tradnl"/>
        </w:rPr>
        <w:tab/>
        <w:t>D.</w:t>
      </w:r>
      <w:r w:rsidRPr="005E7CB5">
        <w:rPr>
          <w:lang w:val="es-ES_tradnl"/>
        </w:rPr>
        <w:tab/>
        <w:t>Decisiones adoptadas por el Comité en sus períodos de</w:t>
      </w:r>
      <w:r w:rsidR="00F622AF">
        <w:rPr>
          <w:lang w:val="es-ES_tradnl"/>
        </w:rPr>
        <w:br/>
      </w:r>
      <w:r w:rsidRPr="005E7CB5">
        <w:rPr>
          <w:lang w:val="es-ES_tradnl"/>
        </w:rPr>
        <w:t>sesiones 19º y 20º</w:t>
      </w:r>
      <w:bookmarkStart w:id="168" w:name="_Toc43905495"/>
      <w:bookmarkStart w:id="169" w:name="_Toc43906576"/>
      <w:bookmarkStart w:id="170" w:name="_Toc43996447"/>
      <w:bookmarkStart w:id="171" w:name="_Toc75349922"/>
      <w:bookmarkEnd w:id="167"/>
      <w:bookmarkEnd w:id="168"/>
      <w:bookmarkEnd w:id="169"/>
      <w:bookmarkEnd w:id="170"/>
      <w:bookmarkEnd w:id="171"/>
    </w:p>
    <w:p w14:paraId="25281ED4" w14:textId="77777777" w:rsidR="009679FD" w:rsidRPr="005E7CB5" w:rsidRDefault="009679FD" w:rsidP="009679FD">
      <w:pPr>
        <w:pStyle w:val="SingleTxtG"/>
        <w:rPr>
          <w:lang w:val="es-ES_tradnl"/>
        </w:rPr>
      </w:pPr>
      <w:r w:rsidRPr="005E7CB5">
        <w:rPr>
          <w:lang w:val="es-ES_tradnl"/>
        </w:rPr>
        <w:t>78.</w:t>
      </w:r>
      <w:r w:rsidRPr="005E7CB5">
        <w:rPr>
          <w:lang w:val="es-ES_tradnl"/>
        </w:rPr>
        <w:tab/>
        <w:t>El Comité reitera que, habida cuenta del aumento constante del número de peticiones de acción urgente registradas, es perentorio que, en la secretaría del ACNUDH, haya más personal que se ocupe de tramitar esas solicitudes.</w:t>
      </w:r>
    </w:p>
    <w:p w14:paraId="0F335F52" w14:textId="77777777" w:rsidR="009679FD" w:rsidRPr="005E7CB5" w:rsidRDefault="009679FD" w:rsidP="009679FD">
      <w:pPr>
        <w:pStyle w:val="SingleTxtG"/>
        <w:rPr>
          <w:lang w:val="es-ES_tradnl"/>
        </w:rPr>
      </w:pPr>
      <w:r w:rsidRPr="005E7CB5">
        <w:rPr>
          <w:lang w:val="es-ES_tradnl"/>
        </w:rPr>
        <w:t>79.</w:t>
      </w:r>
      <w:r w:rsidRPr="005E7CB5">
        <w:rPr>
          <w:lang w:val="es-ES_tradnl"/>
        </w:rPr>
        <w:tab/>
        <w:t>El Comité aumentó en un miembro la composición del grupo de trabajo sobre medidas urgentes. La división de tareas dentro del grupo siguió haciéndose por idioma de trabajo.</w:t>
      </w:r>
    </w:p>
    <w:p w14:paraId="40DC7806" w14:textId="77777777" w:rsidR="009679FD" w:rsidRPr="005E7CB5" w:rsidRDefault="009679FD" w:rsidP="009679FD">
      <w:pPr>
        <w:pStyle w:val="SingleTxtG"/>
        <w:rPr>
          <w:lang w:val="es-ES_tradnl"/>
        </w:rPr>
      </w:pPr>
      <w:r w:rsidRPr="005E7CB5">
        <w:rPr>
          <w:lang w:val="es-ES_tradnl"/>
        </w:rPr>
        <w:t>80.</w:t>
      </w:r>
      <w:r w:rsidRPr="005E7CB5">
        <w:rPr>
          <w:lang w:val="es-ES_tradnl"/>
        </w:rPr>
        <w:tab/>
        <w:t>El Comité decidió publicar sus informes sobre las peticiones de acción urgente en la página web principal del Comité, además de en la página web del período de sesiones correspondiente, con miras a aumentar su visibilidad y a publicar, cuando proceda, comunicados de prensa sobre los informes y sobre las repercusiones de las peticiones de acción urgente.</w:t>
      </w:r>
    </w:p>
    <w:p w14:paraId="64F55099" w14:textId="77777777" w:rsidR="009679FD" w:rsidRPr="005E7CB5" w:rsidRDefault="009679FD" w:rsidP="009679FD">
      <w:pPr>
        <w:pStyle w:val="SingleTxtG"/>
        <w:rPr>
          <w:lang w:val="es-ES_tradnl"/>
        </w:rPr>
      </w:pPr>
      <w:r w:rsidRPr="005E7CB5">
        <w:rPr>
          <w:lang w:val="es-ES_tradnl"/>
        </w:rPr>
        <w:br w:type="page"/>
      </w:r>
    </w:p>
    <w:bookmarkEnd w:id="138"/>
    <w:p w14:paraId="5BF2669F" w14:textId="71390BB4" w:rsidR="009679FD" w:rsidRPr="005E7CB5" w:rsidRDefault="00F622AF" w:rsidP="00F622AF">
      <w:pPr>
        <w:pStyle w:val="HChG"/>
        <w:rPr>
          <w:lang w:val="es-ES_tradnl"/>
        </w:rPr>
      </w:pPr>
      <w:r>
        <w:rPr>
          <w:lang w:val="es-ES_tradnl"/>
        </w:rPr>
        <w:lastRenderedPageBreak/>
        <w:tab/>
      </w:r>
      <w:r w:rsidR="009679FD">
        <w:rPr>
          <w:lang w:val="es-ES_tradnl"/>
        </w:rPr>
        <w:tab/>
      </w:r>
      <w:r w:rsidR="009679FD" w:rsidRPr="005E7CB5">
        <w:rPr>
          <w:lang w:val="es-ES_tradnl"/>
        </w:rPr>
        <w:t>Capítulo XI</w:t>
      </w:r>
      <w:r>
        <w:rPr>
          <w:lang w:val="es-ES_tradnl"/>
        </w:rPr>
        <w:br/>
      </w:r>
      <w:r w:rsidR="009679FD">
        <w:rPr>
          <w:lang w:val="es-ES_tradnl"/>
        </w:rPr>
        <w:tab/>
      </w:r>
      <w:r w:rsidR="009679FD" w:rsidRPr="005E7CB5">
        <w:rPr>
          <w:lang w:val="es-ES_tradnl"/>
        </w:rPr>
        <w:t>Procedimiento relativo a las comunicaciones en virtud del</w:t>
      </w:r>
      <w:r>
        <w:rPr>
          <w:lang w:val="es-ES_tradnl"/>
        </w:rPr>
        <w:t> </w:t>
      </w:r>
      <w:r w:rsidR="009679FD" w:rsidRPr="005E7CB5">
        <w:rPr>
          <w:lang w:val="es-ES_tradnl"/>
        </w:rPr>
        <w:t>artículo 31 de la Convención</w:t>
      </w:r>
      <w:bookmarkStart w:id="172" w:name="_Toc460489559"/>
      <w:bookmarkStart w:id="173" w:name="_Toc522200478"/>
      <w:bookmarkStart w:id="174" w:name="_Toc43905496"/>
      <w:bookmarkStart w:id="175" w:name="_Toc43906577"/>
      <w:bookmarkStart w:id="176" w:name="_Toc43996448"/>
      <w:bookmarkStart w:id="177" w:name="_Toc75349923"/>
      <w:bookmarkEnd w:id="172"/>
      <w:bookmarkEnd w:id="173"/>
      <w:bookmarkEnd w:id="174"/>
      <w:bookmarkEnd w:id="175"/>
      <w:bookmarkEnd w:id="176"/>
      <w:bookmarkEnd w:id="177"/>
    </w:p>
    <w:p w14:paraId="7D57D79F" w14:textId="77777777" w:rsidR="009679FD" w:rsidRPr="005E7CB5" w:rsidRDefault="009679FD" w:rsidP="009679FD">
      <w:pPr>
        <w:pStyle w:val="SingleTxtG"/>
        <w:rPr>
          <w:lang w:val="es-ES_tradnl"/>
        </w:rPr>
      </w:pPr>
      <w:r w:rsidRPr="005E7CB5">
        <w:rPr>
          <w:lang w:val="es-ES_tradnl"/>
        </w:rPr>
        <w:t>81.</w:t>
      </w:r>
      <w:r w:rsidRPr="005E7CB5">
        <w:rPr>
          <w:lang w:val="es-ES_tradnl"/>
        </w:rPr>
        <w:tab/>
        <w:t xml:space="preserve">En el período que abarca el presente informe, el Comité no ha registrado ninguna nueva denuncia individual. </w:t>
      </w:r>
    </w:p>
    <w:p w14:paraId="2DF7E440" w14:textId="1C57A4E4" w:rsidR="009679FD" w:rsidRPr="005E7CB5" w:rsidRDefault="009679FD" w:rsidP="009679FD">
      <w:pPr>
        <w:pStyle w:val="SingleTxtG"/>
        <w:rPr>
          <w:lang w:val="es-ES_tradnl"/>
        </w:rPr>
      </w:pPr>
      <w:r w:rsidRPr="005E7CB5">
        <w:rPr>
          <w:lang w:val="es-ES_tradnl"/>
        </w:rPr>
        <w:t>82.</w:t>
      </w:r>
      <w:r w:rsidRPr="005E7CB5">
        <w:rPr>
          <w:lang w:val="es-ES_tradnl"/>
        </w:rPr>
        <w:tab/>
        <w:t xml:space="preserve">En su 19º período de sesiones, el Comité examinó la comunicación </w:t>
      </w:r>
      <w:r w:rsidRPr="005E7CB5">
        <w:rPr>
          <w:i/>
          <w:iCs/>
          <w:lang w:val="es-ES_tradnl"/>
        </w:rPr>
        <w:t>E.</w:t>
      </w:r>
      <w:r w:rsidR="00546A02">
        <w:rPr>
          <w:i/>
          <w:iCs/>
          <w:lang w:val="es-ES_tradnl"/>
        </w:rPr>
        <w:t xml:space="preserve"> </w:t>
      </w:r>
      <w:r w:rsidRPr="005E7CB5">
        <w:rPr>
          <w:i/>
          <w:iCs/>
          <w:lang w:val="es-ES_tradnl"/>
        </w:rPr>
        <w:t>L.</w:t>
      </w:r>
      <w:r w:rsidR="00546A02">
        <w:rPr>
          <w:i/>
          <w:iCs/>
          <w:lang w:val="es-ES_tradnl"/>
        </w:rPr>
        <w:t xml:space="preserve"> </w:t>
      </w:r>
      <w:r w:rsidRPr="005E7CB5">
        <w:rPr>
          <w:i/>
          <w:iCs/>
          <w:lang w:val="es-ES_tradnl"/>
        </w:rPr>
        <w:t>A. c. Francia</w:t>
      </w:r>
      <w:r w:rsidRPr="005E7CB5">
        <w:rPr>
          <w:lang w:val="es-ES_tradnl"/>
        </w:rPr>
        <w:t xml:space="preserve"> (</w:t>
      </w:r>
      <w:hyperlink r:id="rId75" w:history="1">
        <w:r w:rsidRPr="00B24BD3">
          <w:rPr>
            <w:rStyle w:val="Hyperlink"/>
            <w:lang w:val="es-ES_tradnl"/>
          </w:rPr>
          <w:t>CED/C/19/D/3/2019</w:t>
        </w:r>
      </w:hyperlink>
      <w:r w:rsidRPr="005E7CB5">
        <w:rPr>
          <w:lang w:val="es-ES_tradnl"/>
        </w:rPr>
        <w:t>). El Comité concluyó que la expulsión del autor a Sri Lanka constituiría una vulneración por el Estado parte del artículo 16 de la Convención (no devolución). Llegó a la conclusión de que las autoridades del Estado parte no habían llevado a cabo una evaluación exhaustiva del riesgo de desaparición forzada que correría el autor si era devuelto a Sri Lanka y no habían tomado debidamente en consideración las circunstancias personales del autor, en particular la desaparición forzada de su hermano y el contexto general de la desaparición forzada en Sri Lanka. El Comité instó al Estado parte a examinar nuevamente la solicitud de asilo del autor y a abstenerse de expulsarlo a Sri Lanka mientras su solicitud de asilo estuviera pendiente ante los tribunales nacionales.</w:t>
      </w:r>
      <w:bookmarkStart w:id="178" w:name="_Hlk75293965"/>
      <w:bookmarkEnd w:id="178"/>
    </w:p>
    <w:p w14:paraId="19FC3DE6" w14:textId="77777777" w:rsidR="009679FD" w:rsidRPr="005E7CB5" w:rsidRDefault="009679FD" w:rsidP="009679FD">
      <w:pPr>
        <w:pStyle w:val="SingleTxtG"/>
        <w:rPr>
          <w:lang w:val="es-ES_tradnl"/>
        </w:rPr>
      </w:pPr>
      <w:r w:rsidRPr="005E7CB5">
        <w:rPr>
          <w:lang w:val="es-ES_tradnl"/>
        </w:rPr>
        <w:t>83.</w:t>
      </w:r>
      <w:r w:rsidRPr="005E7CB5">
        <w:rPr>
          <w:lang w:val="es-ES_tradnl"/>
        </w:rPr>
        <w:tab/>
        <w:t xml:space="preserve">También en su 19º período de sesiones, el Comité aprobó su informe de seguimiento sobre comunicaciones individuales, en el que decidió proseguir el procedimiento de seguimiento relativo a </w:t>
      </w:r>
      <w:proofErr w:type="spellStart"/>
      <w:r w:rsidRPr="005E7CB5">
        <w:rPr>
          <w:i/>
          <w:iCs/>
          <w:lang w:val="es-ES_tradnl"/>
        </w:rPr>
        <w:t>Yrusta</w:t>
      </w:r>
      <w:proofErr w:type="spellEnd"/>
      <w:r w:rsidRPr="005E7CB5">
        <w:rPr>
          <w:i/>
          <w:iCs/>
          <w:lang w:val="es-ES_tradnl"/>
        </w:rPr>
        <w:t xml:space="preserve"> y Del Valle </w:t>
      </w:r>
      <w:proofErr w:type="spellStart"/>
      <w:r w:rsidRPr="005E7CB5">
        <w:rPr>
          <w:i/>
          <w:iCs/>
          <w:lang w:val="es-ES_tradnl"/>
        </w:rPr>
        <w:t>Yrusta</w:t>
      </w:r>
      <w:proofErr w:type="spellEnd"/>
      <w:r w:rsidRPr="005E7CB5">
        <w:rPr>
          <w:i/>
          <w:iCs/>
          <w:lang w:val="es-ES_tradnl"/>
        </w:rPr>
        <w:t xml:space="preserve"> c. la Argentina</w:t>
      </w:r>
      <w:r w:rsidRPr="005E7CB5">
        <w:rPr>
          <w:lang w:val="es-ES_tradnl"/>
        </w:rPr>
        <w:t xml:space="preserve">. </w:t>
      </w:r>
    </w:p>
    <w:p w14:paraId="7CDF6170" w14:textId="77777777" w:rsidR="009679FD" w:rsidRPr="005E7CB5" w:rsidRDefault="009679FD" w:rsidP="009679FD">
      <w:pPr>
        <w:pStyle w:val="SingleTxtG"/>
        <w:rPr>
          <w:lang w:val="es-ES_tradnl"/>
        </w:rPr>
      </w:pPr>
      <w:r w:rsidRPr="005E7CB5">
        <w:rPr>
          <w:lang w:val="es-ES_tradnl"/>
        </w:rPr>
        <w:br w:type="page"/>
      </w:r>
    </w:p>
    <w:p w14:paraId="376B79A9" w14:textId="11CD04E7" w:rsidR="009679FD" w:rsidRPr="005E7CB5" w:rsidRDefault="00F622AF" w:rsidP="00F622AF">
      <w:pPr>
        <w:pStyle w:val="HChG"/>
        <w:rPr>
          <w:lang w:val="es-ES_tradnl"/>
        </w:rPr>
      </w:pPr>
      <w:r>
        <w:rPr>
          <w:lang w:val="es-ES_tradnl"/>
        </w:rPr>
        <w:lastRenderedPageBreak/>
        <w:tab/>
      </w:r>
      <w:r w:rsidR="009679FD">
        <w:rPr>
          <w:lang w:val="es-ES_tradnl"/>
        </w:rPr>
        <w:tab/>
      </w:r>
      <w:r w:rsidR="009679FD" w:rsidRPr="005E7CB5">
        <w:rPr>
          <w:lang w:val="es-ES_tradnl"/>
        </w:rPr>
        <w:t>Capítulo XII</w:t>
      </w:r>
      <w:r>
        <w:rPr>
          <w:lang w:val="es-ES_tradnl"/>
        </w:rPr>
        <w:br/>
      </w:r>
      <w:r w:rsidR="009679FD">
        <w:rPr>
          <w:lang w:val="es-ES_tradnl"/>
        </w:rPr>
        <w:tab/>
      </w:r>
      <w:r w:rsidR="009679FD" w:rsidRPr="005E7CB5">
        <w:rPr>
          <w:lang w:val="es-ES_tradnl"/>
        </w:rPr>
        <w:t>Visitas en virtud del artículo 33 de la Convención</w:t>
      </w:r>
      <w:bookmarkStart w:id="179" w:name="_Toc460489560"/>
      <w:bookmarkStart w:id="180" w:name="_Toc522200479"/>
      <w:bookmarkStart w:id="181" w:name="_Toc43905497"/>
      <w:bookmarkStart w:id="182" w:name="_Toc43906578"/>
      <w:bookmarkStart w:id="183" w:name="_Toc43996449"/>
      <w:bookmarkStart w:id="184" w:name="_Toc75349924"/>
      <w:bookmarkEnd w:id="179"/>
      <w:bookmarkEnd w:id="180"/>
      <w:bookmarkEnd w:id="181"/>
      <w:bookmarkEnd w:id="182"/>
      <w:bookmarkEnd w:id="183"/>
      <w:bookmarkEnd w:id="184"/>
    </w:p>
    <w:p w14:paraId="312713EC" w14:textId="77777777" w:rsidR="009679FD" w:rsidRPr="005E7CB5" w:rsidRDefault="009679FD" w:rsidP="009679FD">
      <w:pPr>
        <w:pStyle w:val="SingleTxtG"/>
        <w:rPr>
          <w:lang w:val="es-ES_tradnl"/>
        </w:rPr>
      </w:pPr>
      <w:bookmarkStart w:id="185" w:name="_Toc326162655"/>
      <w:bookmarkStart w:id="186" w:name="_Toc326220770"/>
      <w:r w:rsidRPr="005E7CB5">
        <w:rPr>
          <w:lang w:val="es-ES_tradnl"/>
        </w:rPr>
        <w:t>84.</w:t>
      </w:r>
      <w:r w:rsidRPr="005E7CB5">
        <w:rPr>
          <w:lang w:val="es-ES_tradnl"/>
        </w:rPr>
        <w:tab/>
        <w:t xml:space="preserve">Durante el período examinado, el Comité envió cuatro recordatorios a México, solicitando que formalizara la aceptación de la solicitud del Comité para visitar el país, tal y como el Estado parte había anunciado en diversos actos públicos. El Comité expuso su voluntad de mantener un diálogo fluido, transparente y permanente con el Estado parte, con vistas a cooperar y apoyar sus esfuerzos por erradicar y prevenir la desaparición forzada. Durante el 20º período de sesiones del Comité, la Misión Permanente de México ante la Oficina de las Naciones Unidas у otros Organismos Internacionales </w:t>
      </w:r>
      <w:proofErr w:type="spellStart"/>
      <w:r w:rsidRPr="005E7CB5">
        <w:rPr>
          <w:lang w:val="es-ES_tradnl"/>
        </w:rPr>
        <w:t>соn</w:t>
      </w:r>
      <w:proofErr w:type="spellEnd"/>
      <w:r w:rsidRPr="005E7CB5">
        <w:rPr>
          <w:lang w:val="es-ES_tradnl"/>
        </w:rPr>
        <w:t xml:space="preserve"> sede en Ginebra solicitó una reunión con el Comité. En la reunión, celebrada el 16 de abril de 2021, el Representante Permanente de México informó al Comité que el Estado parte aceptaba una visita en noviembre de 2021, si las condiciones sanitarias lo permitían, y que el Estado parte enviaría una nota verbal para formalizar el acuerdo. El Comité acogió con satisfacción esta información y espera recibir la nota verbal en fecha próxima. </w:t>
      </w:r>
    </w:p>
    <w:p w14:paraId="4334222C" w14:textId="77777777" w:rsidR="009679FD" w:rsidRPr="005E7CB5" w:rsidRDefault="009679FD" w:rsidP="009679FD">
      <w:pPr>
        <w:pStyle w:val="SingleTxtG"/>
        <w:rPr>
          <w:lang w:val="es-ES_tradnl"/>
        </w:rPr>
      </w:pPr>
      <w:r w:rsidRPr="005E7CB5">
        <w:rPr>
          <w:lang w:val="es-ES_tradnl"/>
        </w:rPr>
        <w:t>85.</w:t>
      </w:r>
      <w:r w:rsidRPr="005E7CB5">
        <w:rPr>
          <w:lang w:val="es-ES_tradnl"/>
        </w:rPr>
        <w:tab/>
        <w:t xml:space="preserve">Durante su 20º período de sesiones, el Comité decidió confirmar su solicitud de visita al Iraq. Se envió una nota verbal al Estado parte, en la que el Comité recordaba que debía procurarse un acuerdo por escrito para que el Comité pudiera planificar la visita. El Comité decidió además abrir la fase inicial del proceso de visita en virtud del artículo 33 a Colombia, y envió una nota verbal para informar al Estado parte. </w:t>
      </w:r>
    </w:p>
    <w:p w14:paraId="420FB8DE" w14:textId="77777777" w:rsidR="009679FD" w:rsidRPr="005E7CB5" w:rsidRDefault="009679FD" w:rsidP="009679FD">
      <w:pPr>
        <w:pStyle w:val="SingleTxtG"/>
        <w:rPr>
          <w:lang w:val="es-ES_tradnl"/>
        </w:rPr>
      </w:pPr>
      <w:r w:rsidRPr="005E7CB5">
        <w:rPr>
          <w:lang w:val="es-ES_tradnl"/>
        </w:rPr>
        <w:br w:type="page"/>
      </w:r>
    </w:p>
    <w:p w14:paraId="138CB635" w14:textId="40A05740" w:rsidR="009679FD" w:rsidRPr="005E7CB5" w:rsidRDefault="00F622AF" w:rsidP="00F622AF">
      <w:pPr>
        <w:pStyle w:val="HChG"/>
        <w:rPr>
          <w:lang w:val="es-ES_tradnl"/>
        </w:rPr>
      </w:pPr>
      <w:r>
        <w:rPr>
          <w:lang w:val="es-ES_tradnl"/>
        </w:rPr>
        <w:lastRenderedPageBreak/>
        <w:tab/>
      </w:r>
      <w:r w:rsidR="009679FD">
        <w:rPr>
          <w:lang w:val="es-ES_tradnl"/>
        </w:rPr>
        <w:tab/>
      </w:r>
      <w:r w:rsidR="009679FD" w:rsidRPr="005E7CB5">
        <w:rPr>
          <w:lang w:val="es-ES_tradnl"/>
        </w:rPr>
        <w:t>Capítulo XIII</w:t>
      </w:r>
      <w:r>
        <w:rPr>
          <w:lang w:val="es-ES_tradnl"/>
        </w:rPr>
        <w:br/>
      </w:r>
      <w:r w:rsidR="009679FD">
        <w:rPr>
          <w:lang w:val="es-ES_tradnl"/>
        </w:rPr>
        <w:tab/>
      </w:r>
      <w:r w:rsidR="009679FD" w:rsidRPr="005E7CB5">
        <w:rPr>
          <w:lang w:val="es-ES_tradnl"/>
        </w:rPr>
        <w:t>Principios rectores para la búsqueda de personas desaparecidas</w:t>
      </w:r>
      <w:bookmarkStart w:id="187" w:name="_Toc75349925"/>
      <w:bookmarkStart w:id="188" w:name="_Toc43905498"/>
      <w:bookmarkStart w:id="189" w:name="_Toc43906579"/>
      <w:bookmarkStart w:id="190" w:name="_Toc43996450"/>
      <w:bookmarkEnd w:id="187"/>
      <w:bookmarkEnd w:id="188"/>
      <w:bookmarkEnd w:id="189"/>
      <w:bookmarkEnd w:id="190"/>
    </w:p>
    <w:p w14:paraId="1836CB6D" w14:textId="77777777" w:rsidR="009679FD" w:rsidRPr="005E7CB5" w:rsidRDefault="009679FD" w:rsidP="009679FD">
      <w:pPr>
        <w:pStyle w:val="SingleTxtG"/>
        <w:rPr>
          <w:lang w:val="es-ES_tradnl"/>
        </w:rPr>
      </w:pPr>
      <w:r w:rsidRPr="005E7CB5">
        <w:rPr>
          <w:lang w:val="es-ES_tradnl"/>
        </w:rPr>
        <w:t>86.</w:t>
      </w:r>
      <w:r w:rsidRPr="005E7CB5">
        <w:rPr>
          <w:lang w:val="es-ES_tradnl"/>
        </w:rPr>
        <w:tab/>
        <w:t xml:space="preserve">A lo largo del período que abarca el informe, el Comité se ha referido con frecuencia a los principios rectores para la búsqueda de personas desaparecidas en el contexto de su procedimiento de acción urgente, y en las observaciones finales aprobadas en virtud de los artículos 29, párrafo 1, y 29, párrafo 4, de la Convención. Durante el 19º período de sesiones, el Comité y el Grupo de Trabajo sobre las Desapariciones Forzadas o Involuntarias organizaron dos seminarios web conjuntos sobre la búsqueda de personas desaparecidas y la investigación de las desapariciones forzadas con ocasión del 40º aniversario de la creación del Grupo de Trabajo y el 10º aniversario de la entrada en vigor de la Convención, en los que se presentaron los principios rectores como documento de referencia. </w:t>
      </w:r>
    </w:p>
    <w:p w14:paraId="0926C29B" w14:textId="77777777" w:rsidR="009679FD" w:rsidRPr="005E7CB5" w:rsidRDefault="009679FD" w:rsidP="009679FD">
      <w:pPr>
        <w:pStyle w:val="SingleTxtG"/>
        <w:rPr>
          <w:lang w:val="es-ES_tradnl"/>
        </w:rPr>
      </w:pPr>
      <w:r w:rsidRPr="005E7CB5">
        <w:rPr>
          <w:lang w:val="es-ES_tradnl"/>
        </w:rPr>
        <w:t>87.</w:t>
      </w:r>
      <w:r w:rsidRPr="005E7CB5">
        <w:rPr>
          <w:lang w:val="es-ES_tradnl"/>
        </w:rPr>
        <w:tab/>
        <w:t>La oficina del ACNUDH en México organizó una campaña en español, a través de las redes sociales, sobre los principios rectores, promovida en inglés y francés por el Comité en el marco de los actos de conmemoración del décimo aniversario de la entrada en vigor de la Convención. Además de al alemán y al nepalí, los principios rectores han sido traducidos al serbio.</w:t>
      </w:r>
      <w:bookmarkStart w:id="191" w:name="_Hlk75281191"/>
      <w:bookmarkEnd w:id="191"/>
    </w:p>
    <w:p w14:paraId="2F047C04" w14:textId="77777777" w:rsidR="009679FD" w:rsidRPr="005E7CB5" w:rsidRDefault="009679FD" w:rsidP="009679FD">
      <w:pPr>
        <w:pStyle w:val="SingleTxtG"/>
        <w:rPr>
          <w:lang w:val="es-ES_tradnl"/>
        </w:rPr>
      </w:pPr>
      <w:r w:rsidRPr="005E7CB5">
        <w:rPr>
          <w:lang w:val="es-ES_tradnl"/>
        </w:rPr>
        <w:br w:type="page"/>
      </w:r>
    </w:p>
    <w:p w14:paraId="5A1678C6" w14:textId="17CF9059" w:rsidR="009679FD" w:rsidRPr="005E7CB5" w:rsidRDefault="009679FD" w:rsidP="00F622AF">
      <w:pPr>
        <w:pStyle w:val="HChG"/>
        <w:rPr>
          <w:lang w:val="es-ES_tradnl"/>
        </w:rPr>
      </w:pPr>
      <w:r w:rsidRPr="005E7CB5">
        <w:rPr>
          <w:lang w:val="es-ES_tradnl"/>
        </w:rPr>
        <w:lastRenderedPageBreak/>
        <w:t>Anexo</w:t>
      </w:r>
      <w:bookmarkStart w:id="192" w:name="_Toc326162663"/>
      <w:bookmarkStart w:id="193" w:name="_Toc326220778"/>
      <w:bookmarkStart w:id="194" w:name="_Toc460489561"/>
      <w:bookmarkStart w:id="195" w:name="_Toc522200480"/>
      <w:bookmarkStart w:id="196" w:name="_Toc43905499"/>
      <w:bookmarkStart w:id="197" w:name="_Toc43906580"/>
      <w:bookmarkStart w:id="198" w:name="_Toc43996451"/>
      <w:bookmarkStart w:id="199" w:name="_Toc75349926"/>
      <w:bookmarkEnd w:id="185"/>
      <w:bookmarkEnd w:id="186"/>
      <w:bookmarkEnd w:id="192"/>
      <w:bookmarkEnd w:id="193"/>
      <w:bookmarkEnd w:id="194"/>
      <w:bookmarkEnd w:id="195"/>
      <w:bookmarkEnd w:id="196"/>
      <w:bookmarkEnd w:id="197"/>
      <w:bookmarkEnd w:id="198"/>
      <w:bookmarkEnd w:id="199"/>
    </w:p>
    <w:p w14:paraId="2B241D2C" w14:textId="32AD78D4" w:rsidR="009679FD" w:rsidRPr="005E7CB5" w:rsidRDefault="009679FD" w:rsidP="0072765A">
      <w:pPr>
        <w:pStyle w:val="HChG"/>
        <w:ind w:left="851" w:firstLine="0"/>
        <w:rPr>
          <w:lang w:val="es-ES_tradnl"/>
        </w:rPr>
      </w:pPr>
      <w:bookmarkStart w:id="200" w:name="_Toc326162664"/>
      <w:bookmarkStart w:id="201" w:name="_Toc326220779"/>
      <w:bookmarkStart w:id="202" w:name="_Toc460489562"/>
      <w:bookmarkStart w:id="203" w:name="_Toc522200481"/>
      <w:proofErr w:type="gramStart"/>
      <w:r w:rsidRPr="005E7CB5">
        <w:rPr>
          <w:lang w:val="es-ES_tradnl"/>
        </w:rPr>
        <w:t>Estados partes</w:t>
      </w:r>
      <w:proofErr w:type="gramEnd"/>
      <w:r w:rsidRPr="005E7CB5">
        <w:rPr>
          <w:lang w:val="es-ES_tradnl"/>
        </w:rPr>
        <w:t xml:space="preserve"> en la Convención al 7 de mayo de 2021</w:t>
      </w:r>
      <w:r w:rsidR="0072765A">
        <w:rPr>
          <w:lang w:val="es-ES_tradnl"/>
        </w:rPr>
        <w:br/>
      </w:r>
      <w:r w:rsidRPr="005E7CB5">
        <w:rPr>
          <w:lang w:val="es-ES_tradnl"/>
        </w:rPr>
        <w:t>y su situación relativa a la presentación de informes</w:t>
      </w:r>
      <w:bookmarkStart w:id="204" w:name="_Toc43905500"/>
      <w:bookmarkStart w:id="205" w:name="_Toc43906581"/>
      <w:bookmarkStart w:id="206" w:name="_Toc43996452"/>
      <w:bookmarkStart w:id="207" w:name="_Toc75349927"/>
      <w:bookmarkEnd w:id="200"/>
      <w:bookmarkEnd w:id="201"/>
      <w:bookmarkEnd w:id="202"/>
      <w:bookmarkEnd w:id="203"/>
      <w:bookmarkEnd w:id="204"/>
      <w:bookmarkEnd w:id="205"/>
      <w:bookmarkEnd w:id="206"/>
      <w:bookmarkEnd w:id="207"/>
    </w:p>
    <w:tbl>
      <w:tblPr>
        <w:tblW w:w="9637" w:type="dxa"/>
        <w:tblBorders>
          <w:top w:val="single" w:sz="4" w:space="0" w:color="auto"/>
        </w:tblBorders>
        <w:tblCellMar>
          <w:left w:w="0" w:type="dxa"/>
          <w:right w:w="113" w:type="dxa"/>
        </w:tblCellMar>
        <w:tblLook w:val="04A0" w:firstRow="1" w:lastRow="0" w:firstColumn="1" w:lastColumn="0" w:noHBand="0" w:noVBand="1"/>
      </w:tblPr>
      <w:tblGrid>
        <w:gridCol w:w="1418"/>
        <w:gridCol w:w="2126"/>
        <w:gridCol w:w="1985"/>
        <w:gridCol w:w="2114"/>
        <w:gridCol w:w="1994"/>
      </w:tblGrid>
      <w:tr w:rsidR="00F622AF" w:rsidRPr="00F622AF" w14:paraId="553CFF3F" w14:textId="77777777" w:rsidTr="00F622AF">
        <w:trPr>
          <w:trHeight w:val="240"/>
          <w:tblHeader/>
        </w:trPr>
        <w:tc>
          <w:tcPr>
            <w:tcW w:w="1418" w:type="dxa"/>
            <w:tcBorders>
              <w:top w:val="single" w:sz="4" w:space="0" w:color="auto"/>
              <w:bottom w:val="single" w:sz="12" w:space="0" w:color="auto"/>
            </w:tcBorders>
            <w:shd w:val="clear" w:color="auto" w:fill="auto"/>
            <w:vAlign w:val="bottom"/>
          </w:tcPr>
          <w:p w14:paraId="237FE146" w14:textId="2C6A82D2" w:rsidR="009679FD" w:rsidRPr="00F622AF" w:rsidRDefault="009679FD" w:rsidP="00F622AF">
            <w:pPr>
              <w:pStyle w:val="SingleTxtG"/>
              <w:tabs>
                <w:tab w:val="clear" w:pos="1701"/>
                <w:tab w:val="clear" w:pos="2268"/>
                <w:tab w:val="clear" w:pos="2835"/>
              </w:tabs>
              <w:spacing w:before="80" w:after="80" w:line="200" w:lineRule="exact"/>
              <w:ind w:left="0" w:right="0"/>
              <w:jc w:val="left"/>
              <w:rPr>
                <w:i/>
                <w:sz w:val="16"/>
                <w:lang w:val="es-ES_tradnl"/>
              </w:rPr>
            </w:pPr>
            <w:r w:rsidRPr="00F622AF">
              <w:rPr>
                <w:i/>
                <w:iCs/>
                <w:sz w:val="16"/>
                <w:lang w:val="es-ES_tradnl"/>
              </w:rPr>
              <w:t>Estado parte</w:t>
            </w:r>
            <w:r w:rsidR="00546A02">
              <w:rPr>
                <w:i/>
                <w:iCs/>
                <w:sz w:val="16"/>
                <w:lang w:val="es-ES_tradnl"/>
              </w:rPr>
              <w:br/>
            </w:r>
            <w:r w:rsidRPr="00F622AF">
              <w:rPr>
                <w:i/>
                <w:iCs/>
                <w:sz w:val="16"/>
                <w:lang w:val="es-ES_tradnl"/>
              </w:rPr>
              <w:t>(en orden de ratificación)</w:t>
            </w:r>
          </w:p>
        </w:tc>
        <w:tc>
          <w:tcPr>
            <w:tcW w:w="2126" w:type="dxa"/>
            <w:tcBorders>
              <w:top w:val="single" w:sz="4" w:space="0" w:color="auto"/>
              <w:bottom w:val="single" w:sz="12" w:space="0" w:color="auto"/>
            </w:tcBorders>
            <w:shd w:val="clear" w:color="auto" w:fill="auto"/>
            <w:vAlign w:val="bottom"/>
          </w:tcPr>
          <w:p w14:paraId="7BF20E6C" w14:textId="77777777" w:rsidR="009679FD" w:rsidRPr="00F622AF" w:rsidRDefault="009679FD" w:rsidP="00F622AF">
            <w:pPr>
              <w:pStyle w:val="SingleTxtG"/>
              <w:tabs>
                <w:tab w:val="clear" w:pos="1701"/>
                <w:tab w:val="clear" w:pos="2268"/>
                <w:tab w:val="clear" w:pos="2835"/>
              </w:tabs>
              <w:spacing w:before="80" w:after="80" w:line="200" w:lineRule="exact"/>
              <w:ind w:left="0" w:right="0"/>
              <w:jc w:val="left"/>
              <w:rPr>
                <w:i/>
                <w:sz w:val="16"/>
                <w:lang w:val="es-ES_tradnl"/>
              </w:rPr>
            </w:pPr>
            <w:r w:rsidRPr="00F622AF">
              <w:rPr>
                <w:i/>
                <w:iCs/>
                <w:sz w:val="16"/>
                <w:lang w:val="es-ES_tradnl"/>
              </w:rPr>
              <w:t>Ratificación/adhesión</w:t>
            </w:r>
          </w:p>
        </w:tc>
        <w:tc>
          <w:tcPr>
            <w:tcW w:w="1985" w:type="dxa"/>
            <w:tcBorders>
              <w:top w:val="single" w:sz="4" w:space="0" w:color="auto"/>
              <w:bottom w:val="single" w:sz="12" w:space="0" w:color="auto"/>
            </w:tcBorders>
            <w:shd w:val="clear" w:color="auto" w:fill="auto"/>
            <w:vAlign w:val="bottom"/>
          </w:tcPr>
          <w:p w14:paraId="102036D4" w14:textId="77777777" w:rsidR="009679FD" w:rsidRPr="00F622AF" w:rsidRDefault="009679FD" w:rsidP="00F622AF">
            <w:pPr>
              <w:pStyle w:val="SingleTxtG"/>
              <w:tabs>
                <w:tab w:val="clear" w:pos="1701"/>
                <w:tab w:val="clear" w:pos="2268"/>
                <w:tab w:val="clear" w:pos="2835"/>
              </w:tabs>
              <w:spacing w:before="80" w:after="80" w:line="200" w:lineRule="exact"/>
              <w:ind w:left="0" w:right="0"/>
              <w:jc w:val="left"/>
              <w:rPr>
                <w:i/>
                <w:sz w:val="16"/>
                <w:lang w:val="es-ES_tradnl"/>
              </w:rPr>
            </w:pPr>
            <w:r w:rsidRPr="00F622AF">
              <w:rPr>
                <w:i/>
                <w:iCs/>
                <w:sz w:val="16"/>
                <w:lang w:val="es-ES_tradnl"/>
              </w:rPr>
              <w:t>Entrada en vigor</w:t>
            </w:r>
          </w:p>
        </w:tc>
        <w:tc>
          <w:tcPr>
            <w:tcW w:w="2114" w:type="dxa"/>
            <w:tcBorders>
              <w:top w:val="single" w:sz="4" w:space="0" w:color="auto"/>
              <w:bottom w:val="single" w:sz="12" w:space="0" w:color="auto"/>
            </w:tcBorders>
            <w:shd w:val="clear" w:color="auto" w:fill="auto"/>
            <w:vAlign w:val="bottom"/>
          </w:tcPr>
          <w:p w14:paraId="3EE42494" w14:textId="7321DE32" w:rsidR="009679FD" w:rsidRPr="00F622AF" w:rsidRDefault="009679FD" w:rsidP="00F622AF">
            <w:pPr>
              <w:pStyle w:val="SingleTxtG"/>
              <w:tabs>
                <w:tab w:val="clear" w:pos="1701"/>
                <w:tab w:val="clear" w:pos="2268"/>
                <w:tab w:val="clear" w:pos="2835"/>
              </w:tabs>
              <w:spacing w:before="80" w:after="80" w:line="200" w:lineRule="exact"/>
              <w:ind w:left="0" w:right="0"/>
              <w:jc w:val="left"/>
              <w:rPr>
                <w:i/>
                <w:sz w:val="16"/>
                <w:lang w:val="es-ES_tradnl"/>
              </w:rPr>
            </w:pPr>
            <w:r w:rsidRPr="00F622AF">
              <w:rPr>
                <w:i/>
                <w:iCs/>
                <w:sz w:val="16"/>
                <w:lang w:val="es-ES_tradnl"/>
              </w:rPr>
              <w:t>Plazo para la presentación de</w:t>
            </w:r>
            <w:r w:rsidR="00546A02">
              <w:rPr>
                <w:i/>
                <w:iCs/>
                <w:sz w:val="16"/>
                <w:lang w:val="es-ES_tradnl"/>
              </w:rPr>
              <w:t> </w:t>
            </w:r>
            <w:r w:rsidRPr="00F622AF">
              <w:rPr>
                <w:i/>
                <w:iCs/>
                <w:sz w:val="16"/>
                <w:lang w:val="es-ES_tradnl"/>
              </w:rPr>
              <w:t>informes en virtud del artículo</w:t>
            </w:r>
            <w:r w:rsidR="00546A02">
              <w:rPr>
                <w:i/>
                <w:iCs/>
                <w:sz w:val="16"/>
                <w:lang w:val="es-ES_tradnl"/>
              </w:rPr>
              <w:t> </w:t>
            </w:r>
            <w:r w:rsidRPr="00F622AF">
              <w:rPr>
                <w:i/>
                <w:iCs/>
                <w:sz w:val="16"/>
                <w:lang w:val="es-ES_tradnl"/>
              </w:rPr>
              <w:t>29, párrafo 1</w:t>
            </w:r>
          </w:p>
        </w:tc>
        <w:tc>
          <w:tcPr>
            <w:tcW w:w="1994" w:type="dxa"/>
            <w:tcBorders>
              <w:top w:val="single" w:sz="4" w:space="0" w:color="auto"/>
              <w:bottom w:val="single" w:sz="12" w:space="0" w:color="auto"/>
            </w:tcBorders>
            <w:shd w:val="clear" w:color="auto" w:fill="auto"/>
            <w:vAlign w:val="bottom"/>
          </w:tcPr>
          <w:p w14:paraId="515C1922" w14:textId="77777777" w:rsidR="009679FD" w:rsidRPr="00F622AF" w:rsidRDefault="009679FD" w:rsidP="00F622AF">
            <w:pPr>
              <w:pStyle w:val="SingleTxtG"/>
              <w:tabs>
                <w:tab w:val="clear" w:pos="1701"/>
                <w:tab w:val="clear" w:pos="2268"/>
                <w:tab w:val="clear" w:pos="2835"/>
              </w:tabs>
              <w:spacing w:before="80" w:after="80" w:line="200" w:lineRule="exact"/>
              <w:ind w:left="0" w:right="0"/>
              <w:jc w:val="left"/>
              <w:rPr>
                <w:i/>
                <w:sz w:val="16"/>
                <w:lang w:val="es-ES_tradnl"/>
              </w:rPr>
            </w:pPr>
            <w:r w:rsidRPr="00F622AF">
              <w:rPr>
                <w:i/>
                <w:iCs/>
                <w:sz w:val="16"/>
                <w:lang w:val="es-ES_tradnl"/>
              </w:rPr>
              <w:t>Informe presentado</w:t>
            </w:r>
          </w:p>
        </w:tc>
      </w:tr>
      <w:tr w:rsidR="00F622AF" w:rsidRPr="00F622AF" w14:paraId="430ACF71" w14:textId="77777777" w:rsidTr="00F622AF">
        <w:trPr>
          <w:trHeight w:hRule="exact" w:val="113"/>
          <w:tblHeader/>
        </w:trPr>
        <w:tc>
          <w:tcPr>
            <w:tcW w:w="1418" w:type="dxa"/>
            <w:tcBorders>
              <w:top w:val="single" w:sz="12" w:space="0" w:color="auto"/>
            </w:tcBorders>
            <w:shd w:val="clear" w:color="auto" w:fill="auto"/>
          </w:tcPr>
          <w:p w14:paraId="2019022F" w14:textId="77777777" w:rsidR="009679FD" w:rsidRPr="00F622AF" w:rsidRDefault="009679FD" w:rsidP="00F622AF">
            <w:pPr>
              <w:pStyle w:val="SingleTxtG"/>
              <w:tabs>
                <w:tab w:val="clear" w:pos="1701"/>
                <w:tab w:val="clear" w:pos="2268"/>
                <w:tab w:val="clear" w:pos="2835"/>
              </w:tabs>
              <w:spacing w:before="40"/>
              <w:ind w:left="0" w:right="0"/>
              <w:jc w:val="left"/>
              <w:rPr>
                <w:lang w:val="es-ES_tradnl"/>
              </w:rPr>
            </w:pPr>
          </w:p>
        </w:tc>
        <w:tc>
          <w:tcPr>
            <w:tcW w:w="2126" w:type="dxa"/>
            <w:tcBorders>
              <w:top w:val="single" w:sz="12" w:space="0" w:color="auto"/>
            </w:tcBorders>
            <w:shd w:val="clear" w:color="auto" w:fill="auto"/>
          </w:tcPr>
          <w:p w14:paraId="7A7586EF" w14:textId="77777777" w:rsidR="009679FD" w:rsidRPr="00F622AF" w:rsidRDefault="009679FD" w:rsidP="00F622AF">
            <w:pPr>
              <w:pStyle w:val="SingleTxtG"/>
              <w:tabs>
                <w:tab w:val="clear" w:pos="1701"/>
                <w:tab w:val="clear" w:pos="2268"/>
                <w:tab w:val="clear" w:pos="2835"/>
              </w:tabs>
              <w:spacing w:before="40"/>
              <w:ind w:left="0" w:right="0"/>
              <w:jc w:val="left"/>
              <w:rPr>
                <w:lang w:val="es-ES_tradnl"/>
              </w:rPr>
            </w:pPr>
          </w:p>
        </w:tc>
        <w:tc>
          <w:tcPr>
            <w:tcW w:w="1985" w:type="dxa"/>
            <w:tcBorders>
              <w:top w:val="single" w:sz="12" w:space="0" w:color="auto"/>
            </w:tcBorders>
            <w:shd w:val="clear" w:color="auto" w:fill="auto"/>
          </w:tcPr>
          <w:p w14:paraId="09C67211" w14:textId="77777777" w:rsidR="009679FD" w:rsidRPr="00F622AF" w:rsidRDefault="009679FD" w:rsidP="00F622AF">
            <w:pPr>
              <w:pStyle w:val="SingleTxtG"/>
              <w:tabs>
                <w:tab w:val="clear" w:pos="1701"/>
                <w:tab w:val="clear" w:pos="2268"/>
                <w:tab w:val="clear" w:pos="2835"/>
              </w:tabs>
              <w:spacing w:before="40"/>
              <w:ind w:left="0" w:right="0"/>
              <w:jc w:val="left"/>
              <w:rPr>
                <w:lang w:val="es-ES_tradnl"/>
              </w:rPr>
            </w:pPr>
          </w:p>
        </w:tc>
        <w:tc>
          <w:tcPr>
            <w:tcW w:w="2114" w:type="dxa"/>
            <w:tcBorders>
              <w:top w:val="single" w:sz="12" w:space="0" w:color="auto"/>
            </w:tcBorders>
            <w:shd w:val="clear" w:color="auto" w:fill="auto"/>
          </w:tcPr>
          <w:p w14:paraId="1D12B7BE" w14:textId="77777777" w:rsidR="009679FD" w:rsidRPr="00F622AF" w:rsidRDefault="009679FD" w:rsidP="00F622AF">
            <w:pPr>
              <w:pStyle w:val="SingleTxtG"/>
              <w:tabs>
                <w:tab w:val="clear" w:pos="1701"/>
                <w:tab w:val="clear" w:pos="2268"/>
                <w:tab w:val="clear" w:pos="2835"/>
              </w:tabs>
              <w:spacing w:before="40"/>
              <w:ind w:left="0" w:right="0"/>
              <w:jc w:val="left"/>
              <w:rPr>
                <w:lang w:val="es-ES_tradnl"/>
              </w:rPr>
            </w:pPr>
          </w:p>
        </w:tc>
        <w:tc>
          <w:tcPr>
            <w:tcW w:w="1994" w:type="dxa"/>
            <w:tcBorders>
              <w:top w:val="single" w:sz="12" w:space="0" w:color="auto"/>
            </w:tcBorders>
            <w:shd w:val="clear" w:color="auto" w:fill="auto"/>
          </w:tcPr>
          <w:p w14:paraId="721FA506" w14:textId="77777777" w:rsidR="009679FD" w:rsidRPr="00F622AF" w:rsidRDefault="009679FD" w:rsidP="00F622AF">
            <w:pPr>
              <w:pStyle w:val="SingleTxtG"/>
              <w:tabs>
                <w:tab w:val="clear" w:pos="1701"/>
                <w:tab w:val="clear" w:pos="2268"/>
                <w:tab w:val="clear" w:pos="2835"/>
              </w:tabs>
              <w:spacing w:before="40"/>
              <w:ind w:left="0" w:right="0"/>
              <w:jc w:val="left"/>
              <w:rPr>
                <w:lang w:val="es-ES_tradnl"/>
              </w:rPr>
            </w:pPr>
          </w:p>
        </w:tc>
      </w:tr>
      <w:tr w:rsidR="00F622AF" w:rsidRPr="00F622AF" w14:paraId="44E0CD3E" w14:textId="77777777" w:rsidTr="00F622AF">
        <w:trPr>
          <w:trHeight w:val="240"/>
        </w:trPr>
        <w:tc>
          <w:tcPr>
            <w:tcW w:w="1418" w:type="dxa"/>
            <w:shd w:val="clear" w:color="auto" w:fill="auto"/>
          </w:tcPr>
          <w:p w14:paraId="10C4EA0F"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Albania</w:t>
            </w:r>
            <w:r w:rsidRPr="00546A02">
              <w:rPr>
                <w:sz w:val="18"/>
                <w:szCs w:val="18"/>
                <w:lang w:val="es-ES_tradnl"/>
              </w:rPr>
              <w:t>*</w:t>
            </w:r>
          </w:p>
        </w:tc>
        <w:tc>
          <w:tcPr>
            <w:tcW w:w="2126" w:type="dxa"/>
            <w:shd w:val="clear" w:color="auto" w:fill="auto"/>
          </w:tcPr>
          <w:p w14:paraId="6D540A47"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8 de noviembre de 2007</w:t>
            </w:r>
          </w:p>
        </w:tc>
        <w:tc>
          <w:tcPr>
            <w:tcW w:w="1985" w:type="dxa"/>
            <w:shd w:val="clear" w:color="auto" w:fill="auto"/>
          </w:tcPr>
          <w:p w14:paraId="4C1B34E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2010</w:t>
            </w:r>
          </w:p>
        </w:tc>
        <w:tc>
          <w:tcPr>
            <w:tcW w:w="2114" w:type="dxa"/>
            <w:shd w:val="clear" w:color="auto" w:fill="auto"/>
          </w:tcPr>
          <w:p w14:paraId="4AC9B6DF"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2012</w:t>
            </w:r>
          </w:p>
        </w:tc>
        <w:tc>
          <w:tcPr>
            <w:tcW w:w="1994" w:type="dxa"/>
            <w:shd w:val="clear" w:color="auto" w:fill="auto"/>
          </w:tcPr>
          <w:p w14:paraId="377955E4"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11 de noviembre de 2015</w:t>
            </w:r>
          </w:p>
        </w:tc>
      </w:tr>
      <w:tr w:rsidR="00F622AF" w:rsidRPr="00F622AF" w14:paraId="7D20C39B" w14:textId="77777777" w:rsidTr="00F622AF">
        <w:trPr>
          <w:trHeight w:val="240"/>
        </w:trPr>
        <w:tc>
          <w:tcPr>
            <w:tcW w:w="1418" w:type="dxa"/>
            <w:shd w:val="clear" w:color="auto" w:fill="auto"/>
          </w:tcPr>
          <w:p w14:paraId="7F2E8CF3"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Argentina*</w:t>
            </w:r>
          </w:p>
        </w:tc>
        <w:tc>
          <w:tcPr>
            <w:tcW w:w="2126" w:type="dxa"/>
            <w:shd w:val="clear" w:color="auto" w:fill="auto"/>
          </w:tcPr>
          <w:p w14:paraId="37E246C8"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14 de diciembre de 2007</w:t>
            </w:r>
          </w:p>
        </w:tc>
        <w:tc>
          <w:tcPr>
            <w:tcW w:w="1985" w:type="dxa"/>
            <w:shd w:val="clear" w:color="auto" w:fill="auto"/>
          </w:tcPr>
          <w:p w14:paraId="7EC22DE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2010</w:t>
            </w:r>
          </w:p>
        </w:tc>
        <w:tc>
          <w:tcPr>
            <w:tcW w:w="2114" w:type="dxa"/>
            <w:shd w:val="clear" w:color="auto" w:fill="auto"/>
          </w:tcPr>
          <w:p w14:paraId="7A6839E1"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2012</w:t>
            </w:r>
          </w:p>
        </w:tc>
        <w:tc>
          <w:tcPr>
            <w:tcW w:w="1994" w:type="dxa"/>
            <w:shd w:val="clear" w:color="auto" w:fill="auto"/>
          </w:tcPr>
          <w:p w14:paraId="0B815EDC"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21 de diciembre de 2012</w:t>
            </w:r>
          </w:p>
        </w:tc>
      </w:tr>
      <w:tr w:rsidR="00F622AF" w:rsidRPr="00F622AF" w14:paraId="39D1FD78" w14:textId="77777777" w:rsidTr="00F622AF">
        <w:trPr>
          <w:trHeight w:val="240"/>
        </w:trPr>
        <w:tc>
          <w:tcPr>
            <w:tcW w:w="1418" w:type="dxa"/>
            <w:shd w:val="clear" w:color="auto" w:fill="auto"/>
          </w:tcPr>
          <w:p w14:paraId="6CFD1F85"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México*</w:t>
            </w:r>
          </w:p>
        </w:tc>
        <w:tc>
          <w:tcPr>
            <w:tcW w:w="2126" w:type="dxa"/>
            <w:shd w:val="clear" w:color="auto" w:fill="auto"/>
          </w:tcPr>
          <w:p w14:paraId="45AF283A"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18 de marzo de 2008</w:t>
            </w:r>
          </w:p>
        </w:tc>
        <w:tc>
          <w:tcPr>
            <w:tcW w:w="1985" w:type="dxa"/>
            <w:shd w:val="clear" w:color="auto" w:fill="auto"/>
          </w:tcPr>
          <w:p w14:paraId="6BA71D1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2010</w:t>
            </w:r>
          </w:p>
        </w:tc>
        <w:tc>
          <w:tcPr>
            <w:tcW w:w="2114" w:type="dxa"/>
            <w:shd w:val="clear" w:color="auto" w:fill="auto"/>
          </w:tcPr>
          <w:p w14:paraId="051434BB"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2012</w:t>
            </w:r>
          </w:p>
        </w:tc>
        <w:tc>
          <w:tcPr>
            <w:tcW w:w="1994" w:type="dxa"/>
            <w:shd w:val="clear" w:color="auto" w:fill="auto"/>
          </w:tcPr>
          <w:p w14:paraId="7337AC18"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11 de marzo de 2014</w:t>
            </w:r>
          </w:p>
        </w:tc>
      </w:tr>
      <w:tr w:rsidR="00F622AF" w:rsidRPr="00F622AF" w14:paraId="056068D7" w14:textId="77777777" w:rsidTr="00F622AF">
        <w:trPr>
          <w:trHeight w:val="240"/>
        </w:trPr>
        <w:tc>
          <w:tcPr>
            <w:tcW w:w="1418" w:type="dxa"/>
            <w:shd w:val="clear" w:color="auto" w:fill="auto"/>
          </w:tcPr>
          <w:p w14:paraId="47F5BC09"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Honduras</w:t>
            </w:r>
          </w:p>
        </w:tc>
        <w:tc>
          <w:tcPr>
            <w:tcW w:w="2126" w:type="dxa"/>
            <w:shd w:val="clear" w:color="auto" w:fill="auto"/>
          </w:tcPr>
          <w:p w14:paraId="393B7E23"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 de abril de 2008</w:t>
            </w:r>
          </w:p>
        </w:tc>
        <w:tc>
          <w:tcPr>
            <w:tcW w:w="1985" w:type="dxa"/>
            <w:shd w:val="clear" w:color="auto" w:fill="auto"/>
          </w:tcPr>
          <w:p w14:paraId="3A62C887"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2010</w:t>
            </w:r>
          </w:p>
        </w:tc>
        <w:tc>
          <w:tcPr>
            <w:tcW w:w="2114" w:type="dxa"/>
            <w:shd w:val="clear" w:color="auto" w:fill="auto"/>
          </w:tcPr>
          <w:p w14:paraId="7AB3A547"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2012</w:t>
            </w:r>
          </w:p>
        </w:tc>
        <w:tc>
          <w:tcPr>
            <w:tcW w:w="1994" w:type="dxa"/>
            <w:shd w:val="clear" w:color="auto" w:fill="auto"/>
          </w:tcPr>
          <w:p w14:paraId="58D88483"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4 de febrero de 2016</w:t>
            </w:r>
          </w:p>
        </w:tc>
      </w:tr>
      <w:tr w:rsidR="00F622AF" w:rsidRPr="00F622AF" w14:paraId="49CB3C8C" w14:textId="77777777" w:rsidTr="00F622AF">
        <w:trPr>
          <w:trHeight w:val="240"/>
        </w:trPr>
        <w:tc>
          <w:tcPr>
            <w:tcW w:w="1418" w:type="dxa"/>
            <w:shd w:val="clear" w:color="auto" w:fill="auto"/>
          </w:tcPr>
          <w:p w14:paraId="5EA2AC03"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Francia*</w:t>
            </w:r>
          </w:p>
        </w:tc>
        <w:tc>
          <w:tcPr>
            <w:tcW w:w="2126" w:type="dxa"/>
            <w:shd w:val="clear" w:color="auto" w:fill="auto"/>
          </w:tcPr>
          <w:p w14:paraId="21ADD9DD"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septiembre de 2008</w:t>
            </w:r>
          </w:p>
        </w:tc>
        <w:tc>
          <w:tcPr>
            <w:tcW w:w="1985" w:type="dxa"/>
            <w:shd w:val="clear" w:color="auto" w:fill="auto"/>
          </w:tcPr>
          <w:p w14:paraId="258BC6E8"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2010</w:t>
            </w:r>
          </w:p>
        </w:tc>
        <w:tc>
          <w:tcPr>
            <w:tcW w:w="2114" w:type="dxa"/>
            <w:shd w:val="clear" w:color="auto" w:fill="auto"/>
          </w:tcPr>
          <w:p w14:paraId="7E5A8107"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2012</w:t>
            </w:r>
          </w:p>
        </w:tc>
        <w:tc>
          <w:tcPr>
            <w:tcW w:w="1994" w:type="dxa"/>
            <w:shd w:val="clear" w:color="auto" w:fill="auto"/>
          </w:tcPr>
          <w:p w14:paraId="7114E612"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21 de diciembre de 2012</w:t>
            </w:r>
          </w:p>
        </w:tc>
      </w:tr>
      <w:tr w:rsidR="00F622AF" w:rsidRPr="00F622AF" w14:paraId="6BD8F521" w14:textId="77777777" w:rsidTr="00F622AF">
        <w:trPr>
          <w:trHeight w:val="240"/>
        </w:trPr>
        <w:tc>
          <w:tcPr>
            <w:tcW w:w="1418" w:type="dxa"/>
            <w:shd w:val="clear" w:color="auto" w:fill="auto"/>
          </w:tcPr>
          <w:p w14:paraId="14DE9204"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Senegal</w:t>
            </w:r>
          </w:p>
        </w:tc>
        <w:tc>
          <w:tcPr>
            <w:tcW w:w="2126" w:type="dxa"/>
            <w:shd w:val="clear" w:color="auto" w:fill="auto"/>
          </w:tcPr>
          <w:p w14:paraId="39945E0C"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11 de diciembre de 2008</w:t>
            </w:r>
          </w:p>
        </w:tc>
        <w:tc>
          <w:tcPr>
            <w:tcW w:w="1985" w:type="dxa"/>
            <w:shd w:val="clear" w:color="auto" w:fill="auto"/>
          </w:tcPr>
          <w:p w14:paraId="0BE8CDDA"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2010</w:t>
            </w:r>
          </w:p>
        </w:tc>
        <w:tc>
          <w:tcPr>
            <w:tcW w:w="2114" w:type="dxa"/>
            <w:shd w:val="clear" w:color="auto" w:fill="auto"/>
          </w:tcPr>
          <w:p w14:paraId="7D2DCF5A"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2012</w:t>
            </w:r>
          </w:p>
        </w:tc>
        <w:tc>
          <w:tcPr>
            <w:tcW w:w="1994" w:type="dxa"/>
            <w:shd w:val="clear" w:color="auto" w:fill="auto"/>
          </w:tcPr>
          <w:p w14:paraId="6178A182"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28 de abril de 2015</w:t>
            </w:r>
          </w:p>
        </w:tc>
      </w:tr>
      <w:tr w:rsidR="00F622AF" w:rsidRPr="00F622AF" w14:paraId="1FFFA322" w14:textId="77777777" w:rsidTr="00F622AF">
        <w:trPr>
          <w:trHeight w:val="240"/>
        </w:trPr>
        <w:tc>
          <w:tcPr>
            <w:tcW w:w="1418" w:type="dxa"/>
            <w:shd w:val="clear" w:color="auto" w:fill="auto"/>
          </w:tcPr>
          <w:p w14:paraId="7D40EB52"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Bolivia (Estado Plurinacional de)</w:t>
            </w:r>
          </w:p>
        </w:tc>
        <w:tc>
          <w:tcPr>
            <w:tcW w:w="2126" w:type="dxa"/>
            <w:shd w:val="clear" w:color="auto" w:fill="auto"/>
          </w:tcPr>
          <w:p w14:paraId="3E909E34"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17 de diciembre de 2008</w:t>
            </w:r>
          </w:p>
        </w:tc>
        <w:tc>
          <w:tcPr>
            <w:tcW w:w="1985" w:type="dxa"/>
            <w:shd w:val="clear" w:color="auto" w:fill="auto"/>
          </w:tcPr>
          <w:p w14:paraId="4D11FCA5"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2010</w:t>
            </w:r>
          </w:p>
        </w:tc>
        <w:tc>
          <w:tcPr>
            <w:tcW w:w="2114" w:type="dxa"/>
            <w:shd w:val="clear" w:color="auto" w:fill="auto"/>
          </w:tcPr>
          <w:p w14:paraId="461611EB"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2012</w:t>
            </w:r>
          </w:p>
        </w:tc>
        <w:tc>
          <w:tcPr>
            <w:tcW w:w="1994" w:type="dxa"/>
            <w:shd w:val="clear" w:color="auto" w:fill="auto"/>
          </w:tcPr>
          <w:p w14:paraId="57BA4541"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28 de septiembre de 2018</w:t>
            </w:r>
          </w:p>
        </w:tc>
      </w:tr>
      <w:tr w:rsidR="00F622AF" w:rsidRPr="00F622AF" w14:paraId="562B70AE" w14:textId="77777777" w:rsidTr="00F622AF">
        <w:trPr>
          <w:trHeight w:val="240"/>
        </w:trPr>
        <w:tc>
          <w:tcPr>
            <w:tcW w:w="1418" w:type="dxa"/>
            <w:shd w:val="clear" w:color="auto" w:fill="auto"/>
          </w:tcPr>
          <w:p w14:paraId="2D2224FF"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Cuba</w:t>
            </w:r>
          </w:p>
        </w:tc>
        <w:tc>
          <w:tcPr>
            <w:tcW w:w="2126" w:type="dxa"/>
            <w:shd w:val="clear" w:color="auto" w:fill="auto"/>
          </w:tcPr>
          <w:p w14:paraId="11F215B8"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 de febrero de 2009</w:t>
            </w:r>
          </w:p>
        </w:tc>
        <w:tc>
          <w:tcPr>
            <w:tcW w:w="1985" w:type="dxa"/>
            <w:shd w:val="clear" w:color="auto" w:fill="auto"/>
          </w:tcPr>
          <w:p w14:paraId="0F37E77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2010</w:t>
            </w:r>
          </w:p>
        </w:tc>
        <w:tc>
          <w:tcPr>
            <w:tcW w:w="2114" w:type="dxa"/>
            <w:shd w:val="clear" w:color="auto" w:fill="auto"/>
          </w:tcPr>
          <w:p w14:paraId="6EB7C633"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2012</w:t>
            </w:r>
          </w:p>
        </w:tc>
        <w:tc>
          <w:tcPr>
            <w:tcW w:w="1994" w:type="dxa"/>
            <w:shd w:val="clear" w:color="auto" w:fill="auto"/>
          </w:tcPr>
          <w:p w14:paraId="1B3B8A0A"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24 de abril de 2015</w:t>
            </w:r>
          </w:p>
        </w:tc>
      </w:tr>
      <w:tr w:rsidR="00F622AF" w:rsidRPr="00F622AF" w14:paraId="409550D2" w14:textId="77777777" w:rsidTr="00F622AF">
        <w:trPr>
          <w:trHeight w:val="240"/>
        </w:trPr>
        <w:tc>
          <w:tcPr>
            <w:tcW w:w="1418" w:type="dxa"/>
            <w:shd w:val="clear" w:color="auto" w:fill="auto"/>
          </w:tcPr>
          <w:p w14:paraId="5B8EB540"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Kazajstán</w:t>
            </w:r>
          </w:p>
        </w:tc>
        <w:tc>
          <w:tcPr>
            <w:tcW w:w="2126" w:type="dxa"/>
            <w:shd w:val="clear" w:color="auto" w:fill="auto"/>
          </w:tcPr>
          <w:p w14:paraId="0CCC43A0"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27 de febrero de 2009</w:t>
            </w:r>
          </w:p>
        </w:tc>
        <w:tc>
          <w:tcPr>
            <w:tcW w:w="1985" w:type="dxa"/>
            <w:shd w:val="clear" w:color="auto" w:fill="auto"/>
          </w:tcPr>
          <w:p w14:paraId="134B0FC5"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2010</w:t>
            </w:r>
          </w:p>
        </w:tc>
        <w:tc>
          <w:tcPr>
            <w:tcW w:w="2114" w:type="dxa"/>
            <w:shd w:val="clear" w:color="auto" w:fill="auto"/>
          </w:tcPr>
          <w:p w14:paraId="41A8A65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2012</w:t>
            </w:r>
          </w:p>
        </w:tc>
        <w:tc>
          <w:tcPr>
            <w:tcW w:w="1994" w:type="dxa"/>
            <w:shd w:val="clear" w:color="auto" w:fill="auto"/>
          </w:tcPr>
          <w:p w14:paraId="7E027D7E"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3 de junio de 2014</w:t>
            </w:r>
          </w:p>
        </w:tc>
      </w:tr>
      <w:tr w:rsidR="00F622AF" w:rsidRPr="00F622AF" w14:paraId="3BED499D" w14:textId="77777777" w:rsidTr="00F622AF">
        <w:trPr>
          <w:trHeight w:val="240"/>
        </w:trPr>
        <w:tc>
          <w:tcPr>
            <w:tcW w:w="1418" w:type="dxa"/>
            <w:shd w:val="clear" w:color="auto" w:fill="auto"/>
          </w:tcPr>
          <w:p w14:paraId="3B4A607B"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Uruguay*</w:t>
            </w:r>
          </w:p>
        </w:tc>
        <w:tc>
          <w:tcPr>
            <w:tcW w:w="2126" w:type="dxa"/>
            <w:shd w:val="clear" w:color="auto" w:fill="auto"/>
          </w:tcPr>
          <w:p w14:paraId="2F642082"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4 de marzo de 2009</w:t>
            </w:r>
          </w:p>
        </w:tc>
        <w:tc>
          <w:tcPr>
            <w:tcW w:w="1985" w:type="dxa"/>
            <w:shd w:val="clear" w:color="auto" w:fill="auto"/>
          </w:tcPr>
          <w:p w14:paraId="2F3FDC31"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2010</w:t>
            </w:r>
          </w:p>
        </w:tc>
        <w:tc>
          <w:tcPr>
            <w:tcW w:w="2114" w:type="dxa"/>
            <w:shd w:val="clear" w:color="auto" w:fill="auto"/>
          </w:tcPr>
          <w:p w14:paraId="3FEF09C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2012</w:t>
            </w:r>
          </w:p>
        </w:tc>
        <w:tc>
          <w:tcPr>
            <w:tcW w:w="1994" w:type="dxa"/>
            <w:shd w:val="clear" w:color="auto" w:fill="auto"/>
          </w:tcPr>
          <w:p w14:paraId="50573085"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4 de septiembre de 2012</w:t>
            </w:r>
          </w:p>
        </w:tc>
      </w:tr>
      <w:tr w:rsidR="00F622AF" w:rsidRPr="00F622AF" w14:paraId="5648E824" w14:textId="77777777" w:rsidTr="00F622AF">
        <w:trPr>
          <w:trHeight w:val="240"/>
        </w:trPr>
        <w:tc>
          <w:tcPr>
            <w:tcW w:w="1418" w:type="dxa"/>
            <w:shd w:val="clear" w:color="auto" w:fill="auto"/>
          </w:tcPr>
          <w:p w14:paraId="192DEA13"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Malí*</w:t>
            </w:r>
          </w:p>
        </w:tc>
        <w:tc>
          <w:tcPr>
            <w:tcW w:w="2126" w:type="dxa"/>
            <w:shd w:val="clear" w:color="auto" w:fill="auto"/>
          </w:tcPr>
          <w:p w14:paraId="11798CCF"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 de julio de 2009</w:t>
            </w:r>
          </w:p>
        </w:tc>
        <w:tc>
          <w:tcPr>
            <w:tcW w:w="1985" w:type="dxa"/>
            <w:shd w:val="clear" w:color="auto" w:fill="auto"/>
          </w:tcPr>
          <w:p w14:paraId="7F1B939F"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2010</w:t>
            </w:r>
          </w:p>
        </w:tc>
        <w:tc>
          <w:tcPr>
            <w:tcW w:w="2114" w:type="dxa"/>
            <w:shd w:val="clear" w:color="auto" w:fill="auto"/>
          </w:tcPr>
          <w:p w14:paraId="5FFB4454"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2012</w:t>
            </w:r>
          </w:p>
        </w:tc>
        <w:tc>
          <w:tcPr>
            <w:tcW w:w="1994" w:type="dxa"/>
            <w:shd w:val="clear" w:color="auto" w:fill="auto"/>
          </w:tcPr>
          <w:p w14:paraId="4579373D"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5 de noviembre de 2020</w:t>
            </w:r>
          </w:p>
        </w:tc>
      </w:tr>
      <w:tr w:rsidR="00F622AF" w:rsidRPr="00F622AF" w14:paraId="1306767F" w14:textId="77777777" w:rsidTr="00F622AF">
        <w:trPr>
          <w:trHeight w:val="240"/>
        </w:trPr>
        <w:tc>
          <w:tcPr>
            <w:tcW w:w="1418" w:type="dxa"/>
            <w:shd w:val="clear" w:color="auto" w:fill="auto"/>
          </w:tcPr>
          <w:p w14:paraId="45FE83C5"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Japón*</w:t>
            </w:r>
          </w:p>
        </w:tc>
        <w:tc>
          <w:tcPr>
            <w:tcW w:w="2126" w:type="dxa"/>
            <w:shd w:val="clear" w:color="auto" w:fill="auto"/>
          </w:tcPr>
          <w:p w14:paraId="5011FC7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julio de 2009</w:t>
            </w:r>
          </w:p>
        </w:tc>
        <w:tc>
          <w:tcPr>
            <w:tcW w:w="1985" w:type="dxa"/>
            <w:shd w:val="clear" w:color="auto" w:fill="auto"/>
          </w:tcPr>
          <w:p w14:paraId="5D0F9AFA"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2010</w:t>
            </w:r>
          </w:p>
        </w:tc>
        <w:tc>
          <w:tcPr>
            <w:tcW w:w="2114" w:type="dxa"/>
            <w:shd w:val="clear" w:color="auto" w:fill="auto"/>
          </w:tcPr>
          <w:p w14:paraId="3AB94DAD"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2012</w:t>
            </w:r>
          </w:p>
        </w:tc>
        <w:tc>
          <w:tcPr>
            <w:tcW w:w="1994" w:type="dxa"/>
            <w:shd w:val="clear" w:color="auto" w:fill="auto"/>
          </w:tcPr>
          <w:p w14:paraId="71E5AC0E"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22 de julio de 2016</w:t>
            </w:r>
          </w:p>
        </w:tc>
      </w:tr>
      <w:tr w:rsidR="00F622AF" w:rsidRPr="00F622AF" w14:paraId="42C44749" w14:textId="77777777" w:rsidTr="00F622AF">
        <w:trPr>
          <w:trHeight w:val="240"/>
        </w:trPr>
        <w:tc>
          <w:tcPr>
            <w:tcW w:w="1418" w:type="dxa"/>
            <w:shd w:val="clear" w:color="auto" w:fill="auto"/>
          </w:tcPr>
          <w:p w14:paraId="79FC9EB4"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Nigeria</w:t>
            </w:r>
          </w:p>
        </w:tc>
        <w:tc>
          <w:tcPr>
            <w:tcW w:w="2126" w:type="dxa"/>
            <w:shd w:val="clear" w:color="auto" w:fill="auto"/>
          </w:tcPr>
          <w:p w14:paraId="6B6164E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27 de julio de 2009</w:t>
            </w:r>
          </w:p>
        </w:tc>
        <w:tc>
          <w:tcPr>
            <w:tcW w:w="1985" w:type="dxa"/>
            <w:shd w:val="clear" w:color="auto" w:fill="auto"/>
          </w:tcPr>
          <w:p w14:paraId="126932DD"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2010</w:t>
            </w:r>
          </w:p>
        </w:tc>
        <w:tc>
          <w:tcPr>
            <w:tcW w:w="2114" w:type="dxa"/>
            <w:shd w:val="clear" w:color="auto" w:fill="auto"/>
          </w:tcPr>
          <w:p w14:paraId="68D0F145"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2012</w:t>
            </w:r>
          </w:p>
        </w:tc>
        <w:tc>
          <w:tcPr>
            <w:tcW w:w="1994" w:type="dxa"/>
            <w:shd w:val="clear" w:color="auto" w:fill="auto"/>
          </w:tcPr>
          <w:p w14:paraId="32C4CB9E"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26 de marzo de 2021</w:t>
            </w:r>
          </w:p>
        </w:tc>
      </w:tr>
      <w:tr w:rsidR="00F622AF" w:rsidRPr="00F622AF" w14:paraId="022F4692" w14:textId="77777777" w:rsidTr="00F622AF">
        <w:trPr>
          <w:trHeight w:val="240"/>
        </w:trPr>
        <w:tc>
          <w:tcPr>
            <w:tcW w:w="1418" w:type="dxa"/>
            <w:shd w:val="clear" w:color="auto" w:fill="auto"/>
          </w:tcPr>
          <w:p w14:paraId="7EEFA205"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España*</w:t>
            </w:r>
          </w:p>
        </w:tc>
        <w:tc>
          <w:tcPr>
            <w:tcW w:w="2126" w:type="dxa"/>
            <w:shd w:val="clear" w:color="auto" w:fill="auto"/>
          </w:tcPr>
          <w:p w14:paraId="4A27863D"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24 de septiembre de 2009</w:t>
            </w:r>
          </w:p>
        </w:tc>
        <w:tc>
          <w:tcPr>
            <w:tcW w:w="1985" w:type="dxa"/>
            <w:shd w:val="clear" w:color="auto" w:fill="auto"/>
          </w:tcPr>
          <w:p w14:paraId="6955A5B4"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2010</w:t>
            </w:r>
          </w:p>
        </w:tc>
        <w:tc>
          <w:tcPr>
            <w:tcW w:w="2114" w:type="dxa"/>
            <w:shd w:val="clear" w:color="auto" w:fill="auto"/>
          </w:tcPr>
          <w:p w14:paraId="15C2D88A"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2012</w:t>
            </w:r>
          </w:p>
        </w:tc>
        <w:tc>
          <w:tcPr>
            <w:tcW w:w="1994" w:type="dxa"/>
            <w:shd w:val="clear" w:color="auto" w:fill="auto"/>
          </w:tcPr>
          <w:p w14:paraId="6EF9DA0E"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26 de diciembre de 2012</w:t>
            </w:r>
          </w:p>
        </w:tc>
      </w:tr>
      <w:tr w:rsidR="00F622AF" w:rsidRPr="00F622AF" w14:paraId="0F7866FE" w14:textId="77777777" w:rsidTr="00F622AF">
        <w:trPr>
          <w:trHeight w:val="240"/>
        </w:trPr>
        <w:tc>
          <w:tcPr>
            <w:tcW w:w="1418" w:type="dxa"/>
            <w:shd w:val="clear" w:color="auto" w:fill="auto"/>
          </w:tcPr>
          <w:p w14:paraId="6AB30FB3"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Alemania*</w:t>
            </w:r>
          </w:p>
        </w:tc>
        <w:tc>
          <w:tcPr>
            <w:tcW w:w="2126" w:type="dxa"/>
            <w:shd w:val="clear" w:color="auto" w:fill="auto"/>
          </w:tcPr>
          <w:p w14:paraId="726E3CDD"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24 de septiembre de 2009</w:t>
            </w:r>
          </w:p>
        </w:tc>
        <w:tc>
          <w:tcPr>
            <w:tcW w:w="1985" w:type="dxa"/>
            <w:shd w:val="clear" w:color="auto" w:fill="auto"/>
          </w:tcPr>
          <w:p w14:paraId="0A21DE47"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2010</w:t>
            </w:r>
          </w:p>
        </w:tc>
        <w:tc>
          <w:tcPr>
            <w:tcW w:w="2114" w:type="dxa"/>
            <w:shd w:val="clear" w:color="auto" w:fill="auto"/>
          </w:tcPr>
          <w:p w14:paraId="5059042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2012</w:t>
            </w:r>
          </w:p>
        </w:tc>
        <w:tc>
          <w:tcPr>
            <w:tcW w:w="1994" w:type="dxa"/>
            <w:shd w:val="clear" w:color="auto" w:fill="auto"/>
          </w:tcPr>
          <w:p w14:paraId="020185D8"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25 de marzo de 2013</w:t>
            </w:r>
          </w:p>
        </w:tc>
      </w:tr>
      <w:tr w:rsidR="00F622AF" w:rsidRPr="00F622AF" w14:paraId="27F62081" w14:textId="77777777" w:rsidTr="00F622AF">
        <w:trPr>
          <w:trHeight w:val="240"/>
        </w:trPr>
        <w:tc>
          <w:tcPr>
            <w:tcW w:w="1418" w:type="dxa"/>
            <w:shd w:val="clear" w:color="auto" w:fill="auto"/>
          </w:tcPr>
          <w:p w14:paraId="1913E89B"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Ecuador*</w:t>
            </w:r>
          </w:p>
        </w:tc>
        <w:tc>
          <w:tcPr>
            <w:tcW w:w="2126" w:type="dxa"/>
            <w:shd w:val="clear" w:color="auto" w:fill="auto"/>
          </w:tcPr>
          <w:p w14:paraId="2BCF53FB"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20 de octubre de 2009</w:t>
            </w:r>
          </w:p>
        </w:tc>
        <w:tc>
          <w:tcPr>
            <w:tcW w:w="1985" w:type="dxa"/>
            <w:shd w:val="clear" w:color="auto" w:fill="auto"/>
          </w:tcPr>
          <w:p w14:paraId="4BD59D93"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2010</w:t>
            </w:r>
          </w:p>
        </w:tc>
        <w:tc>
          <w:tcPr>
            <w:tcW w:w="2114" w:type="dxa"/>
            <w:shd w:val="clear" w:color="auto" w:fill="auto"/>
          </w:tcPr>
          <w:p w14:paraId="5D0ADEA0"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2012</w:t>
            </w:r>
          </w:p>
        </w:tc>
        <w:tc>
          <w:tcPr>
            <w:tcW w:w="1994" w:type="dxa"/>
            <w:shd w:val="clear" w:color="auto" w:fill="auto"/>
          </w:tcPr>
          <w:p w14:paraId="050B923F"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5 de junio de 2015</w:t>
            </w:r>
          </w:p>
        </w:tc>
      </w:tr>
      <w:tr w:rsidR="00F622AF" w:rsidRPr="00F622AF" w14:paraId="58DB42C0" w14:textId="77777777" w:rsidTr="00F622AF">
        <w:trPr>
          <w:trHeight w:val="240"/>
        </w:trPr>
        <w:tc>
          <w:tcPr>
            <w:tcW w:w="1418" w:type="dxa"/>
            <w:shd w:val="clear" w:color="auto" w:fill="auto"/>
          </w:tcPr>
          <w:p w14:paraId="2849AF62"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Burkina Faso</w:t>
            </w:r>
          </w:p>
        </w:tc>
        <w:tc>
          <w:tcPr>
            <w:tcW w:w="2126" w:type="dxa"/>
            <w:shd w:val="clear" w:color="auto" w:fill="auto"/>
          </w:tcPr>
          <w:p w14:paraId="2DDA171F"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3 de diciembre de 2009</w:t>
            </w:r>
          </w:p>
        </w:tc>
        <w:tc>
          <w:tcPr>
            <w:tcW w:w="1985" w:type="dxa"/>
            <w:shd w:val="clear" w:color="auto" w:fill="auto"/>
          </w:tcPr>
          <w:p w14:paraId="22B5D5E8"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2010</w:t>
            </w:r>
          </w:p>
        </w:tc>
        <w:tc>
          <w:tcPr>
            <w:tcW w:w="2114" w:type="dxa"/>
            <w:shd w:val="clear" w:color="auto" w:fill="auto"/>
          </w:tcPr>
          <w:p w14:paraId="34DBF05C"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2012</w:t>
            </w:r>
          </w:p>
        </w:tc>
        <w:tc>
          <w:tcPr>
            <w:tcW w:w="1994" w:type="dxa"/>
            <w:shd w:val="clear" w:color="auto" w:fill="auto"/>
          </w:tcPr>
          <w:p w14:paraId="74A0D368"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7 de octubre de 2014</w:t>
            </w:r>
          </w:p>
        </w:tc>
      </w:tr>
      <w:tr w:rsidR="00F622AF" w:rsidRPr="00F622AF" w14:paraId="0590E8E6" w14:textId="77777777" w:rsidTr="00F622AF">
        <w:trPr>
          <w:trHeight w:val="240"/>
        </w:trPr>
        <w:tc>
          <w:tcPr>
            <w:tcW w:w="1418" w:type="dxa"/>
            <w:shd w:val="clear" w:color="auto" w:fill="auto"/>
          </w:tcPr>
          <w:p w14:paraId="6E9CB742"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Chile*</w:t>
            </w:r>
          </w:p>
        </w:tc>
        <w:tc>
          <w:tcPr>
            <w:tcW w:w="2126" w:type="dxa"/>
            <w:shd w:val="clear" w:color="auto" w:fill="auto"/>
          </w:tcPr>
          <w:p w14:paraId="0D2F5451"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8 de diciembre de 2009</w:t>
            </w:r>
          </w:p>
        </w:tc>
        <w:tc>
          <w:tcPr>
            <w:tcW w:w="1985" w:type="dxa"/>
            <w:shd w:val="clear" w:color="auto" w:fill="auto"/>
          </w:tcPr>
          <w:p w14:paraId="6BC26C48"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2010</w:t>
            </w:r>
          </w:p>
        </w:tc>
        <w:tc>
          <w:tcPr>
            <w:tcW w:w="2114" w:type="dxa"/>
            <w:shd w:val="clear" w:color="auto" w:fill="auto"/>
          </w:tcPr>
          <w:p w14:paraId="1CC10397"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2012</w:t>
            </w:r>
          </w:p>
        </w:tc>
        <w:tc>
          <w:tcPr>
            <w:tcW w:w="1994" w:type="dxa"/>
            <w:shd w:val="clear" w:color="auto" w:fill="auto"/>
          </w:tcPr>
          <w:p w14:paraId="33B36E08"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 de diciembre de 2017</w:t>
            </w:r>
          </w:p>
        </w:tc>
      </w:tr>
      <w:tr w:rsidR="00F622AF" w:rsidRPr="00F622AF" w14:paraId="39C20881" w14:textId="77777777" w:rsidTr="00F622AF">
        <w:trPr>
          <w:trHeight w:val="240"/>
        </w:trPr>
        <w:tc>
          <w:tcPr>
            <w:tcW w:w="1418" w:type="dxa"/>
            <w:shd w:val="clear" w:color="auto" w:fill="auto"/>
          </w:tcPr>
          <w:p w14:paraId="234377AE"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Paraguay</w:t>
            </w:r>
          </w:p>
        </w:tc>
        <w:tc>
          <w:tcPr>
            <w:tcW w:w="2126" w:type="dxa"/>
            <w:shd w:val="clear" w:color="auto" w:fill="auto"/>
          </w:tcPr>
          <w:p w14:paraId="6E53038F"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3 de agosto de 2010</w:t>
            </w:r>
          </w:p>
        </w:tc>
        <w:tc>
          <w:tcPr>
            <w:tcW w:w="1985" w:type="dxa"/>
            <w:shd w:val="clear" w:color="auto" w:fill="auto"/>
          </w:tcPr>
          <w:p w14:paraId="01BC6B61"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2010</w:t>
            </w:r>
          </w:p>
        </w:tc>
        <w:tc>
          <w:tcPr>
            <w:tcW w:w="2114" w:type="dxa"/>
            <w:shd w:val="clear" w:color="auto" w:fill="auto"/>
          </w:tcPr>
          <w:p w14:paraId="34702767"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2012</w:t>
            </w:r>
          </w:p>
        </w:tc>
        <w:tc>
          <w:tcPr>
            <w:tcW w:w="1994" w:type="dxa"/>
            <w:shd w:val="clear" w:color="auto" w:fill="auto"/>
          </w:tcPr>
          <w:p w14:paraId="4DA478FB"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28 de agosto de 2013</w:t>
            </w:r>
          </w:p>
        </w:tc>
      </w:tr>
      <w:tr w:rsidR="00F622AF" w:rsidRPr="00F622AF" w14:paraId="3E0C1265" w14:textId="77777777" w:rsidTr="00F622AF">
        <w:trPr>
          <w:trHeight w:val="240"/>
        </w:trPr>
        <w:tc>
          <w:tcPr>
            <w:tcW w:w="1418" w:type="dxa"/>
            <w:shd w:val="clear" w:color="auto" w:fill="auto"/>
          </w:tcPr>
          <w:p w14:paraId="63CD161A"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Iraq</w:t>
            </w:r>
          </w:p>
        </w:tc>
        <w:tc>
          <w:tcPr>
            <w:tcW w:w="2126" w:type="dxa"/>
            <w:shd w:val="clear" w:color="auto" w:fill="auto"/>
          </w:tcPr>
          <w:p w14:paraId="4DD5CA1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noviembre de 2010</w:t>
            </w:r>
          </w:p>
        </w:tc>
        <w:tc>
          <w:tcPr>
            <w:tcW w:w="1985" w:type="dxa"/>
            <w:shd w:val="clear" w:color="auto" w:fill="auto"/>
          </w:tcPr>
          <w:p w14:paraId="1DB6F514"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2010</w:t>
            </w:r>
          </w:p>
        </w:tc>
        <w:tc>
          <w:tcPr>
            <w:tcW w:w="2114" w:type="dxa"/>
            <w:shd w:val="clear" w:color="auto" w:fill="auto"/>
          </w:tcPr>
          <w:p w14:paraId="0EE4CB7F"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diciembre de 2012</w:t>
            </w:r>
          </w:p>
        </w:tc>
        <w:tc>
          <w:tcPr>
            <w:tcW w:w="1994" w:type="dxa"/>
            <w:shd w:val="clear" w:color="auto" w:fill="auto"/>
          </w:tcPr>
          <w:p w14:paraId="7A5F88B2"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26 de junio de 2014</w:t>
            </w:r>
          </w:p>
        </w:tc>
      </w:tr>
      <w:tr w:rsidR="00F622AF" w:rsidRPr="00F622AF" w14:paraId="0503D30D" w14:textId="77777777" w:rsidTr="00F622AF">
        <w:trPr>
          <w:trHeight w:val="240"/>
        </w:trPr>
        <w:tc>
          <w:tcPr>
            <w:tcW w:w="1418" w:type="dxa"/>
            <w:shd w:val="clear" w:color="auto" w:fill="auto"/>
          </w:tcPr>
          <w:p w14:paraId="702A7EBC"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Brasil</w:t>
            </w:r>
          </w:p>
        </w:tc>
        <w:tc>
          <w:tcPr>
            <w:tcW w:w="2126" w:type="dxa"/>
            <w:shd w:val="clear" w:color="auto" w:fill="auto"/>
          </w:tcPr>
          <w:p w14:paraId="294CEE88"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29 de noviembre de 2010</w:t>
            </w:r>
          </w:p>
        </w:tc>
        <w:tc>
          <w:tcPr>
            <w:tcW w:w="1985" w:type="dxa"/>
            <w:shd w:val="clear" w:color="auto" w:fill="auto"/>
          </w:tcPr>
          <w:p w14:paraId="0767912E"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29 de diciembre de 2010</w:t>
            </w:r>
          </w:p>
        </w:tc>
        <w:tc>
          <w:tcPr>
            <w:tcW w:w="2114" w:type="dxa"/>
            <w:shd w:val="clear" w:color="auto" w:fill="auto"/>
          </w:tcPr>
          <w:p w14:paraId="2B3946E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29 de diciembre de 2012</w:t>
            </w:r>
          </w:p>
        </w:tc>
        <w:tc>
          <w:tcPr>
            <w:tcW w:w="1994" w:type="dxa"/>
            <w:shd w:val="clear" w:color="auto" w:fill="auto"/>
          </w:tcPr>
          <w:p w14:paraId="4F623122"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30 de junio de 2019</w:t>
            </w:r>
          </w:p>
        </w:tc>
      </w:tr>
      <w:tr w:rsidR="00F622AF" w:rsidRPr="00F622AF" w14:paraId="04110D5F" w14:textId="77777777" w:rsidTr="00F622AF">
        <w:trPr>
          <w:trHeight w:val="240"/>
        </w:trPr>
        <w:tc>
          <w:tcPr>
            <w:tcW w:w="1418" w:type="dxa"/>
            <w:shd w:val="clear" w:color="auto" w:fill="auto"/>
          </w:tcPr>
          <w:p w14:paraId="7EC44A33"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Gabón</w:t>
            </w:r>
          </w:p>
        </w:tc>
        <w:tc>
          <w:tcPr>
            <w:tcW w:w="2126" w:type="dxa"/>
            <w:shd w:val="clear" w:color="auto" w:fill="auto"/>
          </w:tcPr>
          <w:p w14:paraId="4B5F745F"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19 de enero de 2011</w:t>
            </w:r>
          </w:p>
        </w:tc>
        <w:tc>
          <w:tcPr>
            <w:tcW w:w="1985" w:type="dxa"/>
            <w:shd w:val="clear" w:color="auto" w:fill="auto"/>
          </w:tcPr>
          <w:p w14:paraId="28004571"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18 de febrero de 2011</w:t>
            </w:r>
          </w:p>
        </w:tc>
        <w:tc>
          <w:tcPr>
            <w:tcW w:w="2114" w:type="dxa"/>
            <w:shd w:val="clear" w:color="auto" w:fill="auto"/>
          </w:tcPr>
          <w:p w14:paraId="2D74CD3A"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18 de febrero de 2013</w:t>
            </w:r>
          </w:p>
        </w:tc>
        <w:tc>
          <w:tcPr>
            <w:tcW w:w="1994" w:type="dxa"/>
            <w:shd w:val="clear" w:color="auto" w:fill="auto"/>
          </w:tcPr>
          <w:p w14:paraId="74F2075A"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10 de junio de 2015</w:t>
            </w:r>
          </w:p>
        </w:tc>
      </w:tr>
      <w:tr w:rsidR="00F622AF" w:rsidRPr="00F622AF" w14:paraId="5199C2BE" w14:textId="77777777" w:rsidTr="00F622AF">
        <w:trPr>
          <w:trHeight w:val="240"/>
        </w:trPr>
        <w:tc>
          <w:tcPr>
            <w:tcW w:w="1418" w:type="dxa"/>
            <w:shd w:val="clear" w:color="auto" w:fill="auto"/>
          </w:tcPr>
          <w:p w14:paraId="1D3AAACA"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Armenia</w:t>
            </w:r>
          </w:p>
        </w:tc>
        <w:tc>
          <w:tcPr>
            <w:tcW w:w="2126" w:type="dxa"/>
            <w:shd w:val="clear" w:color="auto" w:fill="auto"/>
          </w:tcPr>
          <w:p w14:paraId="6EB6C07A"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24 de enero de 2011</w:t>
            </w:r>
          </w:p>
        </w:tc>
        <w:tc>
          <w:tcPr>
            <w:tcW w:w="1985" w:type="dxa"/>
            <w:shd w:val="clear" w:color="auto" w:fill="auto"/>
          </w:tcPr>
          <w:p w14:paraId="7402F1E4"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febrero de 2011</w:t>
            </w:r>
          </w:p>
        </w:tc>
        <w:tc>
          <w:tcPr>
            <w:tcW w:w="2114" w:type="dxa"/>
            <w:shd w:val="clear" w:color="auto" w:fill="auto"/>
          </w:tcPr>
          <w:p w14:paraId="3006B57C"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febrero de 2013</w:t>
            </w:r>
          </w:p>
        </w:tc>
        <w:tc>
          <w:tcPr>
            <w:tcW w:w="1994" w:type="dxa"/>
            <w:shd w:val="clear" w:color="auto" w:fill="auto"/>
          </w:tcPr>
          <w:p w14:paraId="0C6D210E"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14 de octubre de 2013</w:t>
            </w:r>
          </w:p>
        </w:tc>
      </w:tr>
      <w:tr w:rsidR="00F622AF" w:rsidRPr="00F622AF" w14:paraId="3D52D325" w14:textId="77777777" w:rsidTr="00F622AF">
        <w:trPr>
          <w:trHeight w:val="240"/>
        </w:trPr>
        <w:tc>
          <w:tcPr>
            <w:tcW w:w="1418" w:type="dxa"/>
            <w:shd w:val="clear" w:color="auto" w:fill="auto"/>
          </w:tcPr>
          <w:p w14:paraId="12D0D6C2"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Países Bajos*</w:t>
            </w:r>
          </w:p>
        </w:tc>
        <w:tc>
          <w:tcPr>
            <w:tcW w:w="2126" w:type="dxa"/>
            <w:shd w:val="clear" w:color="auto" w:fill="auto"/>
          </w:tcPr>
          <w:p w14:paraId="70CB7AE2"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marzo de 2011</w:t>
            </w:r>
          </w:p>
        </w:tc>
        <w:tc>
          <w:tcPr>
            <w:tcW w:w="1985" w:type="dxa"/>
            <w:shd w:val="clear" w:color="auto" w:fill="auto"/>
          </w:tcPr>
          <w:p w14:paraId="493628F6"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22 de abril de 2011</w:t>
            </w:r>
          </w:p>
        </w:tc>
        <w:tc>
          <w:tcPr>
            <w:tcW w:w="2114" w:type="dxa"/>
            <w:shd w:val="clear" w:color="auto" w:fill="auto"/>
          </w:tcPr>
          <w:p w14:paraId="3DCE3EC2"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22 de abril de 2013</w:t>
            </w:r>
          </w:p>
        </w:tc>
        <w:tc>
          <w:tcPr>
            <w:tcW w:w="1994" w:type="dxa"/>
            <w:shd w:val="clear" w:color="auto" w:fill="auto"/>
          </w:tcPr>
          <w:p w14:paraId="2C4A66B4"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11 de junio de 2013</w:t>
            </w:r>
          </w:p>
        </w:tc>
      </w:tr>
      <w:tr w:rsidR="00F622AF" w:rsidRPr="00F622AF" w14:paraId="2454DA1F" w14:textId="77777777" w:rsidTr="00F622AF">
        <w:trPr>
          <w:trHeight w:val="240"/>
        </w:trPr>
        <w:tc>
          <w:tcPr>
            <w:tcW w:w="1418" w:type="dxa"/>
            <w:shd w:val="clear" w:color="auto" w:fill="auto"/>
          </w:tcPr>
          <w:p w14:paraId="2D7AFE6C"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Zambia</w:t>
            </w:r>
          </w:p>
        </w:tc>
        <w:tc>
          <w:tcPr>
            <w:tcW w:w="2126" w:type="dxa"/>
            <w:shd w:val="clear" w:color="auto" w:fill="auto"/>
          </w:tcPr>
          <w:p w14:paraId="627F2FC0"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4 de abril de 2011</w:t>
            </w:r>
          </w:p>
        </w:tc>
        <w:tc>
          <w:tcPr>
            <w:tcW w:w="1985" w:type="dxa"/>
            <w:shd w:val="clear" w:color="auto" w:fill="auto"/>
          </w:tcPr>
          <w:p w14:paraId="4457D3A2"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4 de mayo de 2011</w:t>
            </w:r>
          </w:p>
        </w:tc>
        <w:tc>
          <w:tcPr>
            <w:tcW w:w="2114" w:type="dxa"/>
            <w:shd w:val="clear" w:color="auto" w:fill="auto"/>
          </w:tcPr>
          <w:p w14:paraId="785EC37E"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4 de mayo de 2013</w:t>
            </w:r>
          </w:p>
        </w:tc>
        <w:tc>
          <w:tcPr>
            <w:tcW w:w="1994" w:type="dxa"/>
            <w:shd w:val="clear" w:color="auto" w:fill="auto"/>
          </w:tcPr>
          <w:p w14:paraId="667EAA36"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p>
        </w:tc>
      </w:tr>
      <w:tr w:rsidR="00F622AF" w:rsidRPr="00F622AF" w14:paraId="1783EE60" w14:textId="77777777" w:rsidTr="00F622AF">
        <w:trPr>
          <w:trHeight w:val="240"/>
        </w:trPr>
        <w:tc>
          <w:tcPr>
            <w:tcW w:w="1418" w:type="dxa"/>
            <w:shd w:val="clear" w:color="auto" w:fill="auto"/>
          </w:tcPr>
          <w:p w14:paraId="66409E71"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Serbia*</w:t>
            </w:r>
          </w:p>
        </w:tc>
        <w:tc>
          <w:tcPr>
            <w:tcW w:w="2126" w:type="dxa"/>
            <w:shd w:val="clear" w:color="auto" w:fill="auto"/>
          </w:tcPr>
          <w:p w14:paraId="580B4451"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18 de mayo de 2011</w:t>
            </w:r>
          </w:p>
        </w:tc>
        <w:tc>
          <w:tcPr>
            <w:tcW w:w="1985" w:type="dxa"/>
            <w:shd w:val="clear" w:color="auto" w:fill="auto"/>
          </w:tcPr>
          <w:p w14:paraId="4348CD83"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17 de junio de 2011</w:t>
            </w:r>
          </w:p>
        </w:tc>
        <w:tc>
          <w:tcPr>
            <w:tcW w:w="2114" w:type="dxa"/>
            <w:shd w:val="clear" w:color="auto" w:fill="auto"/>
          </w:tcPr>
          <w:p w14:paraId="5B00FE9E"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17 de junio de 2013</w:t>
            </w:r>
          </w:p>
        </w:tc>
        <w:tc>
          <w:tcPr>
            <w:tcW w:w="1994" w:type="dxa"/>
            <w:shd w:val="clear" w:color="auto" w:fill="auto"/>
          </w:tcPr>
          <w:p w14:paraId="5034E00B"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30 de diciembre de 2013</w:t>
            </w:r>
          </w:p>
        </w:tc>
      </w:tr>
      <w:tr w:rsidR="00F622AF" w:rsidRPr="00F622AF" w14:paraId="3579621C" w14:textId="77777777" w:rsidTr="00F622AF">
        <w:trPr>
          <w:trHeight w:val="240"/>
        </w:trPr>
        <w:tc>
          <w:tcPr>
            <w:tcW w:w="1418" w:type="dxa"/>
            <w:shd w:val="clear" w:color="auto" w:fill="auto"/>
          </w:tcPr>
          <w:p w14:paraId="3B5C8D53"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Bélgica*</w:t>
            </w:r>
          </w:p>
        </w:tc>
        <w:tc>
          <w:tcPr>
            <w:tcW w:w="2126" w:type="dxa"/>
            <w:shd w:val="clear" w:color="auto" w:fill="auto"/>
          </w:tcPr>
          <w:p w14:paraId="68A688AF"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 de junio de 2011</w:t>
            </w:r>
          </w:p>
        </w:tc>
        <w:tc>
          <w:tcPr>
            <w:tcW w:w="1985" w:type="dxa"/>
            <w:shd w:val="clear" w:color="auto" w:fill="auto"/>
          </w:tcPr>
          <w:p w14:paraId="57D6921E"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 de julio de 2011</w:t>
            </w:r>
          </w:p>
        </w:tc>
        <w:tc>
          <w:tcPr>
            <w:tcW w:w="2114" w:type="dxa"/>
            <w:shd w:val="clear" w:color="auto" w:fill="auto"/>
          </w:tcPr>
          <w:p w14:paraId="5DB05BFE"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 de julio de 2013</w:t>
            </w:r>
          </w:p>
        </w:tc>
        <w:tc>
          <w:tcPr>
            <w:tcW w:w="1994" w:type="dxa"/>
            <w:shd w:val="clear" w:color="auto" w:fill="auto"/>
          </w:tcPr>
          <w:p w14:paraId="51C609F8"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8 de julio de 2013</w:t>
            </w:r>
          </w:p>
        </w:tc>
      </w:tr>
      <w:tr w:rsidR="00F622AF" w:rsidRPr="00F622AF" w14:paraId="53548B7B" w14:textId="77777777" w:rsidTr="00F622AF">
        <w:trPr>
          <w:trHeight w:val="240"/>
        </w:trPr>
        <w:tc>
          <w:tcPr>
            <w:tcW w:w="1418" w:type="dxa"/>
            <w:shd w:val="clear" w:color="auto" w:fill="auto"/>
          </w:tcPr>
          <w:p w14:paraId="0CB59F0C"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Panamá</w:t>
            </w:r>
          </w:p>
        </w:tc>
        <w:tc>
          <w:tcPr>
            <w:tcW w:w="2126" w:type="dxa"/>
            <w:shd w:val="clear" w:color="auto" w:fill="auto"/>
          </w:tcPr>
          <w:p w14:paraId="2EA33ECA"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24 de junio de 2011</w:t>
            </w:r>
          </w:p>
        </w:tc>
        <w:tc>
          <w:tcPr>
            <w:tcW w:w="1985" w:type="dxa"/>
            <w:shd w:val="clear" w:color="auto" w:fill="auto"/>
          </w:tcPr>
          <w:p w14:paraId="47ACA466"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24 de julio de 2011</w:t>
            </w:r>
          </w:p>
        </w:tc>
        <w:tc>
          <w:tcPr>
            <w:tcW w:w="2114" w:type="dxa"/>
            <w:shd w:val="clear" w:color="auto" w:fill="auto"/>
          </w:tcPr>
          <w:p w14:paraId="452BAECD"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24 de julio de 2013</w:t>
            </w:r>
          </w:p>
        </w:tc>
        <w:tc>
          <w:tcPr>
            <w:tcW w:w="1994" w:type="dxa"/>
            <w:shd w:val="clear" w:color="auto" w:fill="auto"/>
          </w:tcPr>
          <w:p w14:paraId="37DDCED5"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30 de junio de 2019</w:t>
            </w:r>
          </w:p>
        </w:tc>
      </w:tr>
      <w:tr w:rsidR="00F622AF" w:rsidRPr="00F622AF" w14:paraId="5D92607B" w14:textId="77777777" w:rsidTr="00F622AF">
        <w:trPr>
          <w:trHeight w:val="240"/>
        </w:trPr>
        <w:tc>
          <w:tcPr>
            <w:tcW w:w="1418" w:type="dxa"/>
            <w:shd w:val="clear" w:color="auto" w:fill="auto"/>
          </w:tcPr>
          <w:p w14:paraId="6D77E02C"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Túnez</w:t>
            </w:r>
          </w:p>
        </w:tc>
        <w:tc>
          <w:tcPr>
            <w:tcW w:w="2126" w:type="dxa"/>
            <w:shd w:val="clear" w:color="auto" w:fill="auto"/>
          </w:tcPr>
          <w:p w14:paraId="2ADFE6CE"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29 de junio de 2011</w:t>
            </w:r>
          </w:p>
        </w:tc>
        <w:tc>
          <w:tcPr>
            <w:tcW w:w="1985" w:type="dxa"/>
            <w:shd w:val="clear" w:color="auto" w:fill="auto"/>
          </w:tcPr>
          <w:p w14:paraId="6AA63930"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29 de julio de 2011</w:t>
            </w:r>
          </w:p>
        </w:tc>
        <w:tc>
          <w:tcPr>
            <w:tcW w:w="2114" w:type="dxa"/>
            <w:shd w:val="clear" w:color="auto" w:fill="auto"/>
          </w:tcPr>
          <w:p w14:paraId="05ECC3CD"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29 de julio de 2013</w:t>
            </w:r>
          </w:p>
        </w:tc>
        <w:tc>
          <w:tcPr>
            <w:tcW w:w="1994" w:type="dxa"/>
            <w:shd w:val="clear" w:color="auto" w:fill="auto"/>
          </w:tcPr>
          <w:p w14:paraId="67204F62"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25 de septiembre de 2014</w:t>
            </w:r>
          </w:p>
        </w:tc>
      </w:tr>
      <w:tr w:rsidR="00F622AF" w:rsidRPr="00F622AF" w14:paraId="54E8C993" w14:textId="77777777" w:rsidTr="00F622AF">
        <w:trPr>
          <w:trHeight w:val="240"/>
        </w:trPr>
        <w:tc>
          <w:tcPr>
            <w:tcW w:w="1418" w:type="dxa"/>
            <w:shd w:val="clear" w:color="auto" w:fill="auto"/>
          </w:tcPr>
          <w:p w14:paraId="538C2E84"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lastRenderedPageBreak/>
              <w:t>Montenegro*</w:t>
            </w:r>
          </w:p>
        </w:tc>
        <w:tc>
          <w:tcPr>
            <w:tcW w:w="2126" w:type="dxa"/>
            <w:shd w:val="clear" w:color="auto" w:fill="auto"/>
          </w:tcPr>
          <w:p w14:paraId="43E16401"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20 de septiembre de 2011</w:t>
            </w:r>
          </w:p>
        </w:tc>
        <w:tc>
          <w:tcPr>
            <w:tcW w:w="1985" w:type="dxa"/>
            <w:shd w:val="clear" w:color="auto" w:fill="auto"/>
          </w:tcPr>
          <w:p w14:paraId="38C66357"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20 de octubre de 2011</w:t>
            </w:r>
          </w:p>
        </w:tc>
        <w:tc>
          <w:tcPr>
            <w:tcW w:w="2114" w:type="dxa"/>
            <w:shd w:val="clear" w:color="auto" w:fill="auto"/>
          </w:tcPr>
          <w:p w14:paraId="2DDDC671"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20 de octubre de 2013</w:t>
            </w:r>
          </w:p>
        </w:tc>
        <w:tc>
          <w:tcPr>
            <w:tcW w:w="1994" w:type="dxa"/>
            <w:shd w:val="clear" w:color="auto" w:fill="auto"/>
          </w:tcPr>
          <w:p w14:paraId="30129B9E"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30 de enero de 2014</w:t>
            </w:r>
          </w:p>
        </w:tc>
      </w:tr>
      <w:tr w:rsidR="00F622AF" w:rsidRPr="00F622AF" w14:paraId="6CD8285A" w14:textId="77777777" w:rsidTr="00F622AF">
        <w:trPr>
          <w:trHeight w:val="240"/>
        </w:trPr>
        <w:tc>
          <w:tcPr>
            <w:tcW w:w="1418" w:type="dxa"/>
            <w:shd w:val="clear" w:color="auto" w:fill="auto"/>
          </w:tcPr>
          <w:p w14:paraId="0189E9B1"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Costa Rica</w:t>
            </w:r>
          </w:p>
        </w:tc>
        <w:tc>
          <w:tcPr>
            <w:tcW w:w="2126" w:type="dxa"/>
            <w:shd w:val="clear" w:color="auto" w:fill="auto"/>
          </w:tcPr>
          <w:p w14:paraId="22D6E440"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16 de febrero de 2012</w:t>
            </w:r>
          </w:p>
        </w:tc>
        <w:tc>
          <w:tcPr>
            <w:tcW w:w="1985" w:type="dxa"/>
            <w:shd w:val="clear" w:color="auto" w:fill="auto"/>
          </w:tcPr>
          <w:p w14:paraId="28FF2087"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17 de marzo de 2012</w:t>
            </w:r>
          </w:p>
        </w:tc>
        <w:tc>
          <w:tcPr>
            <w:tcW w:w="2114" w:type="dxa"/>
            <w:shd w:val="clear" w:color="auto" w:fill="auto"/>
          </w:tcPr>
          <w:p w14:paraId="5E8F9FA3"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17 de marzo de 2014</w:t>
            </w:r>
          </w:p>
        </w:tc>
        <w:tc>
          <w:tcPr>
            <w:tcW w:w="1994" w:type="dxa"/>
            <w:shd w:val="clear" w:color="auto" w:fill="auto"/>
          </w:tcPr>
          <w:p w14:paraId="46EC2870"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7 de mayo de 2020</w:t>
            </w:r>
          </w:p>
        </w:tc>
      </w:tr>
      <w:tr w:rsidR="00F622AF" w:rsidRPr="00F622AF" w14:paraId="30E6F252" w14:textId="77777777" w:rsidTr="00F622AF">
        <w:trPr>
          <w:trHeight w:val="240"/>
        </w:trPr>
        <w:tc>
          <w:tcPr>
            <w:tcW w:w="1418" w:type="dxa"/>
            <w:shd w:val="clear" w:color="auto" w:fill="auto"/>
          </w:tcPr>
          <w:p w14:paraId="3B90F277"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Bosnia y Herzegovina*</w:t>
            </w:r>
          </w:p>
        </w:tc>
        <w:tc>
          <w:tcPr>
            <w:tcW w:w="2126" w:type="dxa"/>
            <w:shd w:val="clear" w:color="auto" w:fill="auto"/>
          </w:tcPr>
          <w:p w14:paraId="42B29D1E"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30 de marzo de 2012</w:t>
            </w:r>
          </w:p>
        </w:tc>
        <w:tc>
          <w:tcPr>
            <w:tcW w:w="1985" w:type="dxa"/>
            <w:shd w:val="clear" w:color="auto" w:fill="auto"/>
          </w:tcPr>
          <w:p w14:paraId="5942523A"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29 de abril de 2012</w:t>
            </w:r>
          </w:p>
        </w:tc>
        <w:tc>
          <w:tcPr>
            <w:tcW w:w="2114" w:type="dxa"/>
            <w:shd w:val="clear" w:color="auto" w:fill="auto"/>
          </w:tcPr>
          <w:p w14:paraId="60595C1A"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29 de abril de 2014</w:t>
            </w:r>
          </w:p>
        </w:tc>
        <w:tc>
          <w:tcPr>
            <w:tcW w:w="1994" w:type="dxa"/>
            <w:shd w:val="clear" w:color="auto" w:fill="auto"/>
          </w:tcPr>
          <w:p w14:paraId="5F2F33E6"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26 de enero de 2015</w:t>
            </w:r>
          </w:p>
        </w:tc>
      </w:tr>
      <w:tr w:rsidR="00F622AF" w:rsidRPr="00F622AF" w14:paraId="44B4EF8D" w14:textId="77777777" w:rsidTr="00F622AF">
        <w:trPr>
          <w:trHeight w:val="240"/>
        </w:trPr>
        <w:tc>
          <w:tcPr>
            <w:tcW w:w="1418" w:type="dxa"/>
            <w:shd w:val="clear" w:color="auto" w:fill="auto"/>
          </w:tcPr>
          <w:p w14:paraId="26EAFF9E"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Austria*</w:t>
            </w:r>
          </w:p>
        </w:tc>
        <w:tc>
          <w:tcPr>
            <w:tcW w:w="2126" w:type="dxa"/>
            <w:shd w:val="clear" w:color="auto" w:fill="auto"/>
          </w:tcPr>
          <w:p w14:paraId="205D235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7 de junio de 2012</w:t>
            </w:r>
          </w:p>
        </w:tc>
        <w:tc>
          <w:tcPr>
            <w:tcW w:w="1985" w:type="dxa"/>
            <w:shd w:val="clear" w:color="auto" w:fill="auto"/>
          </w:tcPr>
          <w:p w14:paraId="3021C3BB"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7 de julio de 2012</w:t>
            </w:r>
          </w:p>
        </w:tc>
        <w:tc>
          <w:tcPr>
            <w:tcW w:w="2114" w:type="dxa"/>
            <w:shd w:val="clear" w:color="auto" w:fill="auto"/>
          </w:tcPr>
          <w:p w14:paraId="1A5EB1D4"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7 de julio de 2014</w:t>
            </w:r>
          </w:p>
        </w:tc>
        <w:tc>
          <w:tcPr>
            <w:tcW w:w="1994" w:type="dxa"/>
            <w:shd w:val="clear" w:color="auto" w:fill="auto"/>
          </w:tcPr>
          <w:p w14:paraId="3DD8E423"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31 de mayo de 2016</w:t>
            </w:r>
          </w:p>
        </w:tc>
      </w:tr>
      <w:tr w:rsidR="00F622AF" w:rsidRPr="00F622AF" w14:paraId="2E01D87F" w14:textId="77777777" w:rsidTr="00F622AF">
        <w:trPr>
          <w:trHeight w:val="240"/>
        </w:trPr>
        <w:tc>
          <w:tcPr>
            <w:tcW w:w="1418" w:type="dxa"/>
            <w:shd w:val="clear" w:color="auto" w:fill="auto"/>
          </w:tcPr>
          <w:p w14:paraId="6C56D015"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Colombia</w:t>
            </w:r>
          </w:p>
        </w:tc>
        <w:tc>
          <w:tcPr>
            <w:tcW w:w="2126" w:type="dxa"/>
            <w:shd w:val="clear" w:color="auto" w:fill="auto"/>
          </w:tcPr>
          <w:p w14:paraId="5979A9FE"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11 de julio de 2012</w:t>
            </w:r>
          </w:p>
        </w:tc>
        <w:tc>
          <w:tcPr>
            <w:tcW w:w="1985" w:type="dxa"/>
            <w:shd w:val="clear" w:color="auto" w:fill="auto"/>
          </w:tcPr>
          <w:p w14:paraId="2B7B5290"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10 de agosto de 2012</w:t>
            </w:r>
          </w:p>
        </w:tc>
        <w:tc>
          <w:tcPr>
            <w:tcW w:w="2114" w:type="dxa"/>
            <w:shd w:val="clear" w:color="auto" w:fill="auto"/>
          </w:tcPr>
          <w:p w14:paraId="351B1742"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10 de agosto de 2014</w:t>
            </w:r>
          </w:p>
        </w:tc>
        <w:tc>
          <w:tcPr>
            <w:tcW w:w="1994" w:type="dxa"/>
            <w:shd w:val="clear" w:color="auto" w:fill="auto"/>
          </w:tcPr>
          <w:p w14:paraId="6B581A9D"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17 de diciembre de 2014</w:t>
            </w:r>
          </w:p>
        </w:tc>
      </w:tr>
      <w:tr w:rsidR="00F622AF" w:rsidRPr="00F622AF" w14:paraId="53977184" w14:textId="77777777" w:rsidTr="00F622AF">
        <w:trPr>
          <w:trHeight w:val="240"/>
        </w:trPr>
        <w:tc>
          <w:tcPr>
            <w:tcW w:w="1418" w:type="dxa"/>
            <w:shd w:val="clear" w:color="auto" w:fill="auto"/>
          </w:tcPr>
          <w:p w14:paraId="17DB4380"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Perú*</w:t>
            </w:r>
          </w:p>
        </w:tc>
        <w:tc>
          <w:tcPr>
            <w:tcW w:w="2126" w:type="dxa"/>
            <w:shd w:val="clear" w:color="auto" w:fill="auto"/>
          </w:tcPr>
          <w:p w14:paraId="51B9444A"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26 de septiembre de 2012</w:t>
            </w:r>
          </w:p>
        </w:tc>
        <w:tc>
          <w:tcPr>
            <w:tcW w:w="1985" w:type="dxa"/>
            <w:shd w:val="clear" w:color="auto" w:fill="auto"/>
          </w:tcPr>
          <w:p w14:paraId="4B7DACF7"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26 de octubre de 2012</w:t>
            </w:r>
          </w:p>
        </w:tc>
        <w:tc>
          <w:tcPr>
            <w:tcW w:w="2114" w:type="dxa"/>
            <w:shd w:val="clear" w:color="auto" w:fill="auto"/>
          </w:tcPr>
          <w:p w14:paraId="2F6150A8"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26 de octubre de 2014</w:t>
            </w:r>
          </w:p>
        </w:tc>
        <w:tc>
          <w:tcPr>
            <w:tcW w:w="1994" w:type="dxa"/>
            <w:shd w:val="clear" w:color="auto" w:fill="auto"/>
          </w:tcPr>
          <w:p w14:paraId="435FF71A"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8 de agosto de 2016</w:t>
            </w:r>
          </w:p>
        </w:tc>
      </w:tr>
      <w:tr w:rsidR="00F622AF" w:rsidRPr="00F622AF" w14:paraId="5C6A774D" w14:textId="77777777" w:rsidTr="00F622AF">
        <w:trPr>
          <w:trHeight w:val="240"/>
        </w:trPr>
        <w:tc>
          <w:tcPr>
            <w:tcW w:w="1418" w:type="dxa"/>
            <w:shd w:val="clear" w:color="auto" w:fill="auto"/>
          </w:tcPr>
          <w:p w14:paraId="73EAC352"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Mauritania</w:t>
            </w:r>
          </w:p>
        </w:tc>
        <w:tc>
          <w:tcPr>
            <w:tcW w:w="2126" w:type="dxa"/>
            <w:shd w:val="clear" w:color="auto" w:fill="auto"/>
          </w:tcPr>
          <w:p w14:paraId="10540FFC"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3 de octubre de 2012</w:t>
            </w:r>
          </w:p>
        </w:tc>
        <w:tc>
          <w:tcPr>
            <w:tcW w:w="1985" w:type="dxa"/>
            <w:shd w:val="clear" w:color="auto" w:fill="auto"/>
          </w:tcPr>
          <w:p w14:paraId="03F5FF4E"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 de noviembre de 2012</w:t>
            </w:r>
          </w:p>
        </w:tc>
        <w:tc>
          <w:tcPr>
            <w:tcW w:w="2114" w:type="dxa"/>
            <w:shd w:val="clear" w:color="auto" w:fill="auto"/>
          </w:tcPr>
          <w:p w14:paraId="0F501520"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 de noviembre de 2014</w:t>
            </w:r>
          </w:p>
        </w:tc>
        <w:tc>
          <w:tcPr>
            <w:tcW w:w="1994" w:type="dxa"/>
            <w:shd w:val="clear" w:color="auto" w:fill="auto"/>
          </w:tcPr>
          <w:p w14:paraId="0E47328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29 de diciembre de 2020</w:t>
            </w:r>
          </w:p>
        </w:tc>
      </w:tr>
      <w:tr w:rsidR="00F622AF" w:rsidRPr="00F622AF" w14:paraId="5756A107" w14:textId="77777777" w:rsidTr="00F622AF">
        <w:trPr>
          <w:trHeight w:val="240"/>
        </w:trPr>
        <w:tc>
          <w:tcPr>
            <w:tcW w:w="1418" w:type="dxa"/>
            <w:shd w:val="clear" w:color="auto" w:fill="auto"/>
          </w:tcPr>
          <w:p w14:paraId="7B6FB463"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Samoa</w:t>
            </w:r>
          </w:p>
        </w:tc>
        <w:tc>
          <w:tcPr>
            <w:tcW w:w="2126" w:type="dxa"/>
            <w:shd w:val="clear" w:color="auto" w:fill="auto"/>
          </w:tcPr>
          <w:p w14:paraId="07683DFE"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27 de noviembre de 2012</w:t>
            </w:r>
          </w:p>
        </w:tc>
        <w:tc>
          <w:tcPr>
            <w:tcW w:w="1985" w:type="dxa"/>
            <w:shd w:val="clear" w:color="auto" w:fill="auto"/>
          </w:tcPr>
          <w:p w14:paraId="451EEED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27 de diciembre de 2012</w:t>
            </w:r>
          </w:p>
        </w:tc>
        <w:tc>
          <w:tcPr>
            <w:tcW w:w="2114" w:type="dxa"/>
            <w:shd w:val="clear" w:color="auto" w:fill="auto"/>
          </w:tcPr>
          <w:p w14:paraId="4EBDCFCD"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27 de diciembre de 2014</w:t>
            </w:r>
          </w:p>
        </w:tc>
        <w:tc>
          <w:tcPr>
            <w:tcW w:w="1994" w:type="dxa"/>
            <w:shd w:val="clear" w:color="auto" w:fill="auto"/>
          </w:tcPr>
          <w:p w14:paraId="62D9C490"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p>
        </w:tc>
      </w:tr>
      <w:tr w:rsidR="00F622AF" w:rsidRPr="00F622AF" w14:paraId="331462BE" w14:textId="77777777" w:rsidTr="00F622AF">
        <w:trPr>
          <w:trHeight w:val="240"/>
        </w:trPr>
        <w:tc>
          <w:tcPr>
            <w:tcW w:w="1418" w:type="dxa"/>
            <w:shd w:val="clear" w:color="auto" w:fill="auto"/>
          </w:tcPr>
          <w:p w14:paraId="316C65C8"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Marruecos</w:t>
            </w:r>
          </w:p>
        </w:tc>
        <w:tc>
          <w:tcPr>
            <w:tcW w:w="2126" w:type="dxa"/>
            <w:shd w:val="clear" w:color="auto" w:fill="auto"/>
          </w:tcPr>
          <w:p w14:paraId="26897423"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14 de mayo de 2013</w:t>
            </w:r>
          </w:p>
        </w:tc>
        <w:tc>
          <w:tcPr>
            <w:tcW w:w="1985" w:type="dxa"/>
            <w:shd w:val="clear" w:color="auto" w:fill="auto"/>
          </w:tcPr>
          <w:p w14:paraId="02392B53"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13 de junio de 2013</w:t>
            </w:r>
          </w:p>
        </w:tc>
        <w:tc>
          <w:tcPr>
            <w:tcW w:w="2114" w:type="dxa"/>
            <w:shd w:val="clear" w:color="auto" w:fill="auto"/>
          </w:tcPr>
          <w:p w14:paraId="663FC300"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13 de junio de 2015</w:t>
            </w:r>
          </w:p>
        </w:tc>
        <w:tc>
          <w:tcPr>
            <w:tcW w:w="1994" w:type="dxa"/>
            <w:shd w:val="clear" w:color="auto" w:fill="auto"/>
          </w:tcPr>
          <w:p w14:paraId="3728CB84"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p>
        </w:tc>
      </w:tr>
      <w:tr w:rsidR="00F622AF" w:rsidRPr="00F622AF" w14:paraId="4507F016" w14:textId="77777777" w:rsidTr="00F622AF">
        <w:trPr>
          <w:trHeight w:val="240"/>
        </w:trPr>
        <w:tc>
          <w:tcPr>
            <w:tcW w:w="1418" w:type="dxa"/>
            <w:shd w:val="clear" w:color="auto" w:fill="auto"/>
          </w:tcPr>
          <w:p w14:paraId="301CDA0F"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Camboya</w:t>
            </w:r>
          </w:p>
        </w:tc>
        <w:tc>
          <w:tcPr>
            <w:tcW w:w="2126" w:type="dxa"/>
            <w:shd w:val="clear" w:color="auto" w:fill="auto"/>
          </w:tcPr>
          <w:p w14:paraId="5DE62C6B"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27 de junio de 2013</w:t>
            </w:r>
          </w:p>
        </w:tc>
        <w:tc>
          <w:tcPr>
            <w:tcW w:w="1985" w:type="dxa"/>
            <w:shd w:val="clear" w:color="auto" w:fill="auto"/>
          </w:tcPr>
          <w:p w14:paraId="6242DCD6"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27 de julio de 2013</w:t>
            </w:r>
          </w:p>
        </w:tc>
        <w:tc>
          <w:tcPr>
            <w:tcW w:w="2114" w:type="dxa"/>
            <w:shd w:val="clear" w:color="auto" w:fill="auto"/>
          </w:tcPr>
          <w:p w14:paraId="3A1EE106"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27 de julio de 2015</w:t>
            </w:r>
          </w:p>
        </w:tc>
        <w:tc>
          <w:tcPr>
            <w:tcW w:w="1994" w:type="dxa"/>
            <w:shd w:val="clear" w:color="auto" w:fill="auto"/>
          </w:tcPr>
          <w:p w14:paraId="4DAB7081"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p>
        </w:tc>
      </w:tr>
      <w:tr w:rsidR="00F622AF" w:rsidRPr="00F622AF" w14:paraId="7CDC2BA8" w14:textId="77777777" w:rsidTr="00F622AF">
        <w:trPr>
          <w:trHeight w:val="240"/>
        </w:trPr>
        <w:tc>
          <w:tcPr>
            <w:tcW w:w="1418" w:type="dxa"/>
            <w:shd w:val="clear" w:color="auto" w:fill="auto"/>
          </w:tcPr>
          <w:p w14:paraId="5C92530F"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Lituania*</w:t>
            </w:r>
          </w:p>
        </w:tc>
        <w:tc>
          <w:tcPr>
            <w:tcW w:w="2126" w:type="dxa"/>
            <w:shd w:val="clear" w:color="auto" w:fill="auto"/>
          </w:tcPr>
          <w:p w14:paraId="748942D5"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14 de agosto de 2013</w:t>
            </w:r>
          </w:p>
        </w:tc>
        <w:tc>
          <w:tcPr>
            <w:tcW w:w="1985" w:type="dxa"/>
            <w:shd w:val="clear" w:color="auto" w:fill="auto"/>
          </w:tcPr>
          <w:p w14:paraId="50D5E428"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13 de septiembre de 2013</w:t>
            </w:r>
          </w:p>
        </w:tc>
        <w:tc>
          <w:tcPr>
            <w:tcW w:w="2114" w:type="dxa"/>
            <w:shd w:val="clear" w:color="auto" w:fill="auto"/>
          </w:tcPr>
          <w:p w14:paraId="389EB942"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13 de septiembre de 2015</w:t>
            </w:r>
          </w:p>
        </w:tc>
        <w:tc>
          <w:tcPr>
            <w:tcW w:w="1994" w:type="dxa"/>
            <w:shd w:val="clear" w:color="auto" w:fill="auto"/>
          </w:tcPr>
          <w:p w14:paraId="3C35F3F1"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6 de octubre de 2015</w:t>
            </w:r>
          </w:p>
        </w:tc>
      </w:tr>
      <w:tr w:rsidR="00F622AF" w:rsidRPr="00F622AF" w14:paraId="37B6B966" w14:textId="77777777" w:rsidTr="00F622AF">
        <w:trPr>
          <w:trHeight w:val="240"/>
        </w:trPr>
        <w:tc>
          <w:tcPr>
            <w:tcW w:w="1418" w:type="dxa"/>
            <w:shd w:val="clear" w:color="auto" w:fill="auto"/>
          </w:tcPr>
          <w:p w14:paraId="2583B455"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proofErr w:type="spellStart"/>
            <w:r w:rsidRPr="00F622AF">
              <w:rPr>
                <w:bCs/>
                <w:sz w:val="18"/>
                <w:szCs w:val="18"/>
                <w:lang w:val="es-ES_tradnl"/>
              </w:rPr>
              <w:t>Lesotho</w:t>
            </w:r>
            <w:proofErr w:type="spellEnd"/>
          </w:p>
        </w:tc>
        <w:tc>
          <w:tcPr>
            <w:tcW w:w="2126" w:type="dxa"/>
            <w:shd w:val="clear" w:color="auto" w:fill="auto"/>
          </w:tcPr>
          <w:p w14:paraId="48A9F4B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6 de diciembre de 2013</w:t>
            </w:r>
          </w:p>
        </w:tc>
        <w:tc>
          <w:tcPr>
            <w:tcW w:w="1985" w:type="dxa"/>
            <w:shd w:val="clear" w:color="auto" w:fill="auto"/>
          </w:tcPr>
          <w:p w14:paraId="3B1E40DD"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5 de enero de 2014</w:t>
            </w:r>
          </w:p>
        </w:tc>
        <w:tc>
          <w:tcPr>
            <w:tcW w:w="2114" w:type="dxa"/>
            <w:shd w:val="clear" w:color="auto" w:fill="auto"/>
          </w:tcPr>
          <w:p w14:paraId="12AB2818"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5 de enero de 2016</w:t>
            </w:r>
          </w:p>
        </w:tc>
        <w:tc>
          <w:tcPr>
            <w:tcW w:w="1994" w:type="dxa"/>
            <w:shd w:val="clear" w:color="auto" w:fill="auto"/>
          </w:tcPr>
          <w:p w14:paraId="4B2DD0F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p>
        </w:tc>
      </w:tr>
      <w:tr w:rsidR="00F622AF" w:rsidRPr="00F622AF" w14:paraId="2BD84805" w14:textId="77777777" w:rsidTr="00F622AF">
        <w:trPr>
          <w:trHeight w:val="240"/>
        </w:trPr>
        <w:tc>
          <w:tcPr>
            <w:tcW w:w="1418" w:type="dxa"/>
            <w:shd w:val="clear" w:color="auto" w:fill="auto"/>
          </w:tcPr>
          <w:p w14:paraId="77F348D4"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Portugal*</w:t>
            </w:r>
          </w:p>
        </w:tc>
        <w:tc>
          <w:tcPr>
            <w:tcW w:w="2126" w:type="dxa"/>
            <w:shd w:val="clear" w:color="auto" w:fill="auto"/>
          </w:tcPr>
          <w:p w14:paraId="4B3DF7DB"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27 de enero de 2014</w:t>
            </w:r>
          </w:p>
        </w:tc>
        <w:tc>
          <w:tcPr>
            <w:tcW w:w="1985" w:type="dxa"/>
            <w:shd w:val="clear" w:color="auto" w:fill="auto"/>
          </w:tcPr>
          <w:p w14:paraId="235A7CBA"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26 de febrero de 2014</w:t>
            </w:r>
          </w:p>
        </w:tc>
        <w:tc>
          <w:tcPr>
            <w:tcW w:w="2114" w:type="dxa"/>
            <w:shd w:val="clear" w:color="auto" w:fill="auto"/>
          </w:tcPr>
          <w:p w14:paraId="616FC230"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26 de febrero de 2016</w:t>
            </w:r>
          </w:p>
        </w:tc>
        <w:tc>
          <w:tcPr>
            <w:tcW w:w="1994" w:type="dxa"/>
            <w:shd w:val="clear" w:color="auto" w:fill="auto"/>
          </w:tcPr>
          <w:p w14:paraId="17798461"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22 de junio de 2016</w:t>
            </w:r>
          </w:p>
        </w:tc>
      </w:tr>
      <w:tr w:rsidR="00F622AF" w:rsidRPr="00F622AF" w14:paraId="44CCEA27" w14:textId="77777777" w:rsidTr="00F622AF">
        <w:trPr>
          <w:trHeight w:val="240"/>
        </w:trPr>
        <w:tc>
          <w:tcPr>
            <w:tcW w:w="1418" w:type="dxa"/>
            <w:shd w:val="clear" w:color="auto" w:fill="auto"/>
          </w:tcPr>
          <w:p w14:paraId="234FA5EF"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Togo</w:t>
            </w:r>
          </w:p>
        </w:tc>
        <w:tc>
          <w:tcPr>
            <w:tcW w:w="2126" w:type="dxa"/>
            <w:shd w:val="clear" w:color="auto" w:fill="auto"/>
          </w:tcPr>
          <w:p w14:paraId="419D8B8E"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21 de julio de 2014</w:t>
            </w:r>
          </w:p>
        </w:tc>
        <w:tc>
          <w:tcPr>
            <w:tcW w:w="1985" w:type="dxa"/>
            <w:shd w:val="clear" w:color="auto" w:fill="auto"/>
          </w:tcPr>
          <w:p w14:paraId="53FF963C"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20 de agosto de 2014</w:t>
            </w:r>
          </w:p>
        </w:tc>
        <w:tc>
          <w:tcPr>
            <w:tcW w:w="2114" w:type="dxa"/>
            <w:shd w:val="clear" w:color="auto" w:fill="auto"/>
          </w:tcPr>
          <w:p w14:paraId="0F3358DC"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20 de agosto de 2016</w:t>
            </w:r>
          </w:p>
        </w:tc>
        <w:tc>
          <w:tcPr>
            <w:tcW w:w="1994" w:type="dxa"/>
            <w:shd w:val="clear" w:color="auto" w:fill="auto"/>
          </w:tcPr>
          <w:p w14:paraId="3FE4BA53"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p>
        </w:tc>
      </w:tr>
      <w:tr w:rsidR="00F622AF" w:rsidRPr="00F622AF" w14:paraId="67DAC151" w14:textId="77777777" w:rsidTr="00F622AF">
        <w:trPr>
          <w:trHeight w:val="240"/>
        </w:trPr>
        <w:tc>
          <w:tcPr>
            <w:tcW w:w="1418" w:type="dxa"/>
            <w:shd w:val="clear" w:color="auto" w:fill="auto"/>
          </w:tcPr>
          <w:p w14:paraId="043FB882"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Eslovaquia*</w:t>
            </w:r>
          </w:p>
        </w:tc>
        <w:tc>
          <w:tcPr>
            <w:tcW w:w="2126" w:type="dxa"/>
            <w:shd w:val="clear" w:color="auto" w:fill="auto"/>
          </w:tcPr>
          <w:p w14:paraId="1B95FAA4"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15 de diciembre de 2014</w:t>
            </w:r>
          </w:p>
        </w:tc>
        <w:tc>
          <w:tcPr>
            <w:tcW w:w="1985" w:type="dxa"/>
            <w:shd w:val="clear" w:color="auto" w:fill="auto"/>
          </w:tcPr>
          <w:p w14:paraId="63BD2DE2"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14 de enero de 2015</w:t>
            </w:r>
          </w:p>
        </w:tc>
        <w:tc>
          <w:tcPr>
            <w:tcW w:w="2114" w:type="dxa"/>
            <w:shd w:val="clear" w:color="auto" w:fill="auto"/>
          </w:tcPr>
          <w:p w14:paraId="6B961BCE"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14 de enero de 2017</w:t>
            </w:r>
          </w:p>
        </w:tc>
        <w:tc>
          <w:tcPr>
            <w:tcW w:w="1994" w:type="dxa"/>
            <w:shd w:val="clear" w:color="auto" w:fill="auto"/>
          </w:tcPr>
          <w:p w14:paraId="78B58C78"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26 de abril de 2018</w:t>
            </w:r>
          </w:p>
        </w:tc>
      </w:tr>
      <w:tr w:rsidR="00F622AF" w:rsidRPr="00F622AF" w14:paraId="5898EFBC" w14:textId="77777777" w:rsidTr="00F622AF">
        <w:trPr>
          <w:trHeight w:val="240"/>
        </w:trPr>
        <w:tc>
          <w:tcPr>
            <w:tcW w:w="1418" w:type="dxa"/>
            <w:shd w:val="clear" w:color="auto" w:fill="auto"/>
          </w:tcPr>
          <w:p w14:paraId="4E3725A7"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Mongolia</w:t>
            </w:r>
          </w:p>
        </w:tc>
        <w:tc>
          <w:tcPr>
            <w:tcW w:w="2126" w:type="dxa"/>
            <w:shd w:val="clear" w:color="auto" w:fill="auto"/>
          </w:tcPr>
          <w:p w14:paraId="34AC60B8"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12 de febrero de 2015</w:t>
            </w:r>
          </w:p>
        </w:tc>
        <w:tc>
          <w:tcPr>
            <w:tcW w:w="1985" w:type="dxa"/>
            <w:shd w:val="clear" w:color="auto" w:fill="auto"/>
          </w:tcPr>
          <w:p w14:paraId="54073FA5"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14 de marzo de 2015</w:t>
            </w:r>
          </w:p>
        </w:tc>
        <w:tc>
          <w:tcPr>
            <w:tcW w:w="2114" w:type="dxa"/>
            <w:shd w:val="clear" w:color="auto" w:fill="auto"/>
          </w:tcPr>
          <w:p w14:paraId="35217DC0"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14 de marzo de 2017</w:t>
            </w:r>
          </w:p>
        </w:tc>
        <w:tc>
          <w:tcPr>
            <w:tcW w:w="1994" w:type="dxa"/>
            <w:shd w:val="clear" w:color="auto" w:fill="auto"/>
          </w:tcPr>
          <w:p w14:paraId="60E1FC4D"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27 de diciembre de 2018</w:t>
            </w:r>
          </w:p>
        </w:tc>
      </w:tr>
      <w:tr w:rsidR="00F622AF" w:rsidRPr="00F622AF" w14:paraId="719C7324" w14:textId="77777777" w:rsidTr="00F622AF">
        <w:trPr>
          <w:trHeight w:val="240"/>
        </w:trPr>
        <w:tc>
          <w:tcPr>
            <w:tcW w:w="1418" w:type="dxa"/>
            <w:shd w:val="clear" w:color="auto" w:fill="auto"/>
          </w:tcPr>
          <w:p w14:paraId="7E31F05C"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Malta</w:t>
            </w:r>
          </w:p>
        </w:tc>
        <w:tc>
          <w:tcPr>
            <w:tcW w:w="2126" w:type="dxa"/>
            <w:shd w:val="clear" w:color="auto" w:fill="auto"/>
          </w:tcPr>
          <w:p w14:paraId="5CDEFD4B"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27 de marzo de 2015</w:t>
            </w:r>
          </w:p>
        </w:tc>
        <w:tc>
          <w:tcPr>
            <w:tcW w:w="1985" w:type="dxa"/>
            <w:shd w:val="clear" w:color="auto" w:fill="auto"/>
          </w:tcPr>
          <w:p w14:paraId="71A81A75"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26 de abril de 2015</w:t>
            </w:r>
          </w:p>
        </w:tc>
        <w:tc>
          <w:tcPr>
            <w:tcW w:w="2114" w:type="dxa"/>
            <w:shd w:val="clear" w:color="auto" w:fill="auto"/>
          </w:tcPr>
          <w:p w14:paraId="590BF024"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26 de abril de 2017</w:t>
            </w:r>
          </w:p>
        </w:tc>
        <w:tc>
          <w:tcPr>
            <w:tcW w:w="1994" w:type="dxa"/>
            <w:shd w:val="clear" w:color="auto" w:fill="auto"/>
          </w:tcPr>
          <w:p w14:paraId="3A0875D0"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p>
        </w:tc>
      </w:tr>
      <w:tr w:rsidR="00F622AF" w:rsidRPr="00F622AF" w14:paraId="4F9EC7FA" w14:textId="77777777" w:rsidTr="00F622AF">
        <w:trPr>
          <w:trHeight w:val="240"/>
        </w:trPr>
        <w:tc>
          <w:tcPr>
            <w:tcW w:w="1418" w:type="dxa"/>
            <w:shd w:val="clear" w:color="auto" w:fill="auto"/>
          </w:tcPr>
          <w:p w14:paraId="19FA3054"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Grecia</w:t>
            </w:r>
          </w:p>
        </w:tc>
        <w:tc>
          <w:tcPr>
            <w:tcW w:w="2126" w:type="dxa"/>
            <w:shd w:val="clear" w:color="auto" w:fill="auto"/>
          </w:tcPr>
          <w:p w14:paraId="2E1CD0EC"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9 de julio de 2015</w:t>
            </w:r>
          </w:p>
        </w:tc>
        <w:tc>
          <w:tcPr>
            <w:tcW w:w="1985" w:type="dxa"/>
            <w:shd w:val="clear" w:color="auto" w:fill="auto"/>
          </w:tcPr>
          <w:p w14:paraId="2287AF60"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8 de agosto de 2015</w:t>
            </w:r>
          </w:p>
        </w:tc>
        <w:tc>
          <w:tcPr>
            <w:tcW w:w="2114" w:type="dxa"/>
            <w:shd w:val="clear" w:color="auto" w:fill="auto"/>
          </w:tcPr>
          <w:p w14:paraId="4A5FADD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8 de agosto de 2017</w:t>
            </w:r>
          </w:p>
        </w:tc>
        <w:tc>
          <w:tcPr>
            <w:tcW w:w="1994" w:type="dxa"/>
            <w:shd w:val="clear" w:color="auto" w:fill="auto"/>
          </w:tcPr>
          <w:p w14:paraId="539D2B9B"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 de febrero de 2019</w:t>
            </w:r>
          </w:p>
        </w:tc>
      </w:tr>
      <w:tr w:rsidR="00F622AF" w:rsidRPr="00F622AF" w14:paraId="672811E5" w14:textId="77777777" w:rsidTr="00F622AF">
        <w:trPr>
          <w:trHeight w:val="240"/>
        </w:trPr>
        <w:tc>
          <w:tcPr>
            <w:tcW w:w="1418" w:type="dxa"/>
            <w:shd w:val="clear" w:color="auto" w:fill="auto"/>
          </w:tcPr>
          <w:p w14:paraId="196AA687"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Níger</w:t>
            </w:r>
          </w:p>
        </w:tc>
        <w:tc>
          <w:tcPr>
            <w:tcW w:w="2126" w:type="dxa"/>
            <w:shd w:val="clear" w:color="auto" w:fill="auto"/>
          </w:tcPr>
          <w:p w14:paraId="2B834151"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24 de julio de 2015</w:t>
            </w:r>
          </w:p>
        </w:tc>
        <w:tc>
          <w:tcPr>
            <w:tcW w:w="1985" w:type="dxa"/>
            <w:shd w:val="clear" w:color="auto" w:fill="auto"/>
          </w:tcPr>
          <w:p w14:paraId="656D83B6"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agosto de 2015</w:t>
            </w:r>
          </w:p>
        </w:tc>
        <w:tc>
          <w:tcPr>
            <w:tcW w:w="2114" w:type="dxa"/>
            <w:shd w:val="clear" w:color="auto" w:fill="auto"/>
          </w:tcPr>
          <w:p w14:paraId="3562BB4E"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23 de agosto de 2017</w:t>
            </w:r>
          </w:p>
        </w:tc>
        <w:tc>
          <w:tcPr>
            <w:tcW w:w="1994" w:type="dxa"/>
            <w:shd w:val="clear" w:color="auto" w:fill="auto"/>
          </w:tcPr>
          <w:p w14:paraId="27B85F2D"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 de agosto de 2019</w:t>
            </w:r>
          </w:p>
        </w:tc>
      </w:tr>
      <w:tr w:rsidR="00F622AF" w:rsidRPr="00F622AF" w14:paraId="16B79CC9" w14:textId="77777777" w:rsidTr="00F622AF">
        <w:trPr>
          <w:trHeight w:val="240"/>
        </w:trPr>
        <w:tc>
          <w:tcPr>
            <w:tcW w:w="1418" w:type="dxa"/>
            <w:shd w:val="clear" w:color="auto" w:fill="auto"/>
          </w:tcPr>
          <w:p w14:paraId="07436226"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Belice</w:t>
            </w:r>
          </w:p>
        </w:tc>
        <w:tc>
          <w:tcPr>
            <w:tcW w:w="2126" w:type="dxa"/>
            <w:shd w:val="clear" w:color="auto" w:fill="auto"/>
          </w:tcPr>
          <w:p w14:paraId="3F190B1F"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14 de agosto de 2015</w:t>
            </w:r>
          </w:p>
        </w:tc>
        <w:tc>
          <w:tcPr>
            <w:tcW w:w="1985" w:type="dxa"/>
            <w:shd w:val="clear" w:color="auto" w:fill="auto"/>
          </w:tcPr>
          <w:p w14:paraId="3ECC6A65"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13 de septiembre de 2015</w:t>
            </w:r>
          </w:p>
        </w:tc>
        <w:tc>
          <w:tcPr>
            <w:tcW w:w="2114" w:type="dxa"/>
            <w:shd w:val="clear" w:color="auto" w:fill="auto"/>
          </w:tcPr>
          <w:p w14:paraId="431A7F21"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13 de septiembre de 2017</w:t>
            </w:r>
          </w:p>
        </w:tc>
        <w:tc>
          <w:tcPr>
            <w:tcW w:w="1994" w:type="dxa"/>
            <w:shd w:val="clear" w:color="auto" w:fill="auto"/>
          </w:tcPr>
          <w:p w14:paraId="6A8BF80B"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p>
        </w:tc>
      </w:tr>
      <w:tr w:rsidR="00F622AF" w:rsidRPr="00F622AF" w14:paraId="34A64657" w14:textId="77777777" w:rsidTr="00F622AF">
        <w:trPr>
          <w:trHeight w:val="240"/>
        </w:trPr>
        <w:tc>
          <w:tcPr>
            <w:tcW w:w="1418" w:type="dxa"/>
            <w:shd w:val="clear" w:color="auto" w:fill="auto"/>
          </w:tcPr>
          <w:p w14:paraId="1D0675E2"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Ucrania*</w:t>
            </w:r>
          </w:p>
        </w:tc>
        <w:tc>
          <w:tcPr>
            <w:tcW w:w="2126" w:type="dxa"/>
            <w:shd w:val="clear" w:color="auto" w:fill="auto"/>
          </w:tcPr>
          <w:p w14:paraId="1BE50EAF"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14 de agosto de 2015</w:t>
            </w:r>
          </w:p>
        </w:tc>
        <w:tc>
          <w:tcPr>
            <w:tcW w:w="1985" w:type="dxa"/>
            <w:shd w:val="clear" w:color="auto" w:fill="auto"/>
          </w:tcPr>
          <w:p w14:paraId="3D71102A"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13 de septiembre de 2015</w:t>
            </w:r>
          </w:p>
        </w:tc>
        <w:tc>
          <w:tcPr>
            <w:tcW w:w="2114" w:type="dxa"/>
            <w:shd w:val="clear" w:color="auto" w:fill="auto"/>
          </w:tcPr>
          <w:p w14:paraId="3585E4C3"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 xml:space="preserve">13 de septiembre de 2017 </w:t>
            </w:r>
          </w:p>
        </w:tc>
        <w:tc>
          <w:tcPr>
            <w:tcW w:w="1994" w:type="dxa"/>
            <w:shd w:val="clear" w:color="auto" w:fill="auto"/>
          </w:tcPr>
          <w:p w14:paraId="6CA5EDF2"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p>
        </w:tc>
      </w:tr>
      <w:tr w:rsidR="00F622AF" w:rsidRPr="00F622AF" w14:paraId="64129FA0" w14:textId="77777777" w:rsidTr="00F622AF">
        <w:trPr>
          <w:trHeight w:val="240"/>
        </w:trPr>
        <w:tc>
          <w:tcPr>
            <w:tcW w:w="1418" w:type="dxa"/>
            <w:shd w:val="clear" w:color="auto" w:fill="auto"/>
          </w:tcPr>
          <w:p w14:paraId="69E540F5"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Italia</w:t>
            </w:r>
          </w:p>
        </w:tc>
        <w:tc>
          <w:tcPr>
            <w:tcW w:w="2126" w:type="dxa"/>
            <w:shd w:val="clear" w:color="auto" w:fill="auto"/>
          </w:tcPr>
          <w:p w14:paraId="1AF9F08A"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8 de octubre de 2015</w:t>
            </w:r>
          </w:p>
        </w:tc>
        <w:tc>
          <w:tcPr>
            <w:tcW w:w="1985" w:type="dxa"/>
            <w:shd w:val="clear" w:color="auto" w:fill="auto"/>
          </w:tcPr>
          <w:p w14:paraId="018DA971"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7 de noviembre de 2015</w:t>
            </w:r>
          </w:p>
        </w:tc>
        <w:tc>
          <w:tcPr>
            <w:tcW w:w="2114" w:type="dxa"/>
            <w:shd w:val="clear" w:color="auto" w:fill="auto"/>
          </w:tcPr>
          <w:p w14:paraId="32A9F638"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7 de noviembre de 2017</w:t>
            </w:r>
          </w:p>
        </w:tc>
        <w:tc>
          <w:tcPr>
            <w:tcW w:w="1994" w:type="dxa"/>
            <w:shd w:val="clear" w:color="auto" w:fill="auto"/>
          </w:tcPr>
          <w:p w14:paraId="3D579597"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22 de diciembre de 2017</w:t>
            </w:r>
          </w:p>
        </w:tc>
      </w:tr>
      <w:tr w:rsidR="00F622AF" w:rsidRPr="00F622AF" w14:paraId="652D2348" w14:textId="77777777" w:rsidTr="00F622AF">
        <w:trPr>
          <w:trHeight w:val="240"/>
        </w:trPr>
        <w:tc>
          <w:tcPr>
            <w:tcW w:w="1418" w:type="dxa"/>
            <w:shd w:val="clear" w:color="auto" w:fill="auto"/>
          </w:tcPr>
          <w:p w14:paraId="3982B682"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Sri Lanka</w:t>
            </w:r>
          </w:p>
        </w:tc>
        <w:tc>
          <w:tcPr>
            <w:tcW w:w="2126" w:type="dxa"/>
            <w:shd w:val="clear" w:color="auto" w:fill="auto"/>
          </w:tcPr>
          <w:p w14:paraId="66A07CF4"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25 de mayo de 2016</w:t>
            </w:r>
          </w:p>
        </w:tc>
        <w:tc>
          <w:tcPr>
            <w:tcW w:w="1985" w:type="dxa"/>
            <w:shd w:val="clear" w:color="auto" w:fill="auto"/>
          </w:tcPr>
          <w:p w14:paraId="35E693C7"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24 de junio de 2016</w:t>
            </w:r>
          </w:p>
        </w:tc>
        <w:tc>
          <w:tcPr>
            <w:tcW w:w="2114" w:type="dxa"/>
            <w:shd w:val="clear" w:color="auto" w:fill="auto"/>
          </w:tcPr>
          <w:p w14:paraId="69C00BC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24 de junio de 2018</w:t>
            </w:r>
          </w:p>
        </w:tc>
        <w:tc>
          <w:tcPr>
            <w:tcW w:w="1994" w:type="dxa"/>
            <w:shd w:val="clear" w:color="auto" w:fill="auto"/>
          </w:tcPr>
          <w:p w14:paraId="07911DB3"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p>
        </w:tc>
      </w:tr>
      <w:tr w:rsidR="00F622AF" w:rsidRPr="00F622AF" w14:paraId="713D84C4" w14:textId="77777777" w:rsidTr="00F622AF">
        <w:trPr>
          <w:trHeight w:val="240"/>
        </w:trPr>
        <w:tc>
          <w:tcPr>
            <w:tcW w:w="1418" w:type="dxa"/>
            <w:shd w:val="clear" w:color="auto" w:fill="auto"/>
          </w:tcPr>
          <w:p w14:paraId="0FAF7765"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República Centroafricana</w:t>
            </w:r>
          </w:p>
        </w:tc>
        <w:tc>
          <w:tcPr>
            <w:tcW w:w="2126" w:type="dxa"/>
            <w:shd w:val="clear" w:color="auto" w:fill="auto"/>
          </w:tcPr>
          <w:p w14:paraId="5984294B"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11 de octubre de 2016</w:t>
            </w:r>
          </w:p>
        </w:tc>
        <w:tc>
          <w:tcPr>
            <w:tcW w:w="1985" w:type="dxa"/>
            <w:shd w:val="clear" w:color="auto" w:fill="auto"/>
          </w:tcPr>
          <w:p w14:paraId="3E3106A7"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10 de noviembre de 2016</w:t>
            </w:r>
          </w:p>
        </w:tc>
        <w:tc>
          <w:tcPr>
            <w:tcW w:w="2114" w:type="dxa"/>
            <w:shd w:val="clear" w:color="auto" w:fill="auto"/>
          </w:tcPr>
          <w:p w14:paraId="79D8F76D"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10 de noviembre de 2018</w:t>
            </w:r>
          </w:p>
        </w:tc>
        <w:tc>
          <w:tcPr>
            <w:tcW w:w="1994" w:type="dxa"/>
            <w:shd w:val="clear" w:color="auto" w:fill="auto"/>
          </w:tcPr>
          <w:p w14:paraId="13990ABC"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p>
        </w:tc>
      </w:tr>
      <w:tr w:rsidR="00F622AF" w:rsidRPr="00F622AF" w14:paraId="30A34980" w14:textId="77777777" w:rsidTr="00F622AF">
        <w:trPr>
          <w:trHeight w:val="240"/>
        </w:trPr>
        <w:tc>
          <w:tcPr>
            <w:tcW w:w="1418" w:type="dxa"/>
            <w:shd w:val="clear" w:color="auto" w:fill="auto"/>
          </w:tcPr>
          <w:p w14:paraId="601B556D"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Suiza*</w:t>
            </w:r>
          </w:p>
        </w:tc>
        <w:tc>
          <w:tcPr>
            <w:tcW w:w="2126" w:type="dxa"/>
            <w:shd w:val="clear" w:color="auto" w:fill="auto"/>
          </w:tcPr>
          <w:p w14:paraId="13A92B1D"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 de diciembre de 2016</w:t>
            </w:r>
          </w:p>
        </w:tc>
        <w:tc>
          <w:tcPr>
            <w:tcW w:w="1985" w:type="dxa"/>
            <w:shd w:val="clear" w:color="auto" w:fill="auto"/>
          </w:tcPr>
          <w:p w14:paraId="5BE7BC51"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 de enero de 2017</w:t>
            </w:r>
          </w:p>
        </w:tc>
        <w:tc>
          <w:tcPr>
            <w:tcW w:w="2114" w:type="dxa"/>
            <w:shd w:val="clear" w:color="auto" w:fill="auto"/>
          </w:tcPr>
          <w:p w14:paraId="643065E3"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 de enero de 2019</w:t>
            </w:r>
          </w:p>
        </w:tc>
        <w:tc>
          <w:tcPr>
            <w:tcW w:w="1994" w:type="dxa"/>
            <w:shd w:val="clear" w:color="auto" w:fill="auto"/>
          </w:tcPr>
          <w:p w14:paraId="2FC195F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21 de diciembre de 2018</w:t>
            </w:r>
          </w:p>
        </w:tc>
      </w:tr>
      <w:tr w:rsidR="00F622AF" w:rsidRPr="00F622AF" w14:paraId="7BEE1B64" w14:textId="77777777" w:rsidTr="00F622AF">
        <w:trPr>
          <w:trHeight w:val="240"/>
        </w:trPr>
        <w:tc>
          <w:tcPr>
            <w:tcW w:w="1418" w:type="dxa"/>
            <w:shd w:val="clear" w:color="auto" w:fill="auto"/>
          </w:tcPr>
          <w:p w14:paraId="03477764"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Seychelles</w:t>
            </w:r>
          </w:p>
        </w:tc>
        <w:tc>
          <w:tcPr>
            <w:tcW w:w="2126" w:type="dxa"/>
            <w:shd w:val="clear" w:color="auto" w:fill="auto"/>
          </w:tcPr>
          <w:p w14:paraId="67BBDA2B"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18 de enero de 2017</w:t>
            </w:r>
          </w:p>
        </w:tc>
        <w:tc>
          <w:tcPr>
            <w:tcW w:w="1985" w:type="dxa"/>
            <w:shd w:val="clear" w:color="auto" w:fill="auto"/>
          </w:tcPr>
          <w:p w14:paraId="2CAD8F3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17 de febrero de 2017</w:t>
            </w:r>
          </w:p>
        </w:tc>
        <w:tc>
          <w:tcPr>
            <w:tcW w:w="2114" w:type="dxa"/>
            <w:shd w:val="clear" w:color="auto" w:fill="auto"/>
          </w:tcPr>
          <w:p w14:paraId="195C41E5"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17 de febrero de 2019</w:t>
            </w:r>
          </w:p>
        </w:tc>
        <w:tc>
          <w:tcPr>
            <w:tcW w:w="1994" w:type="dxa"/>
            <w:shd w:val="clear" w:color="auto" w:fill="auto"/>
          </w:tcPr>
          <w:p w14:paraId="0358ACE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p>
        </w:tc>
      </w:tr>
      <w:tr w:rsidR="00F622AF" w:rsidRPr="00F622AF" w14:paraId="37BB6F36" w14:textId="77777777" w:rsidTr="00F622AF">
        <w:trPr>
          <w:trHeight w:val="240"/>
        </w:trPr>
        <w:tc>
          <w:tcPr>
            <w:tcW w:w="1418" w:type="dxa"/>
            <w:shd w:val="clear" w:color="auto" w:fill="auto"/>
          </w:tcPr>
          <w:p w14:paraId="789DC6BB"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Chequia*</w:t>
            </w:r>
          </w:p>
        </w:tc>
        <w:tc>
          <w:tcPr>
            <w:tcW w:w="2126" w:type="dxa"/>
            <w:shd w:val="clear" w:color="auto" w:fill="auto"/>
          </w:tcPr>
          <w:p w14:paraId="57DDFA6E"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8 de febrero de 2017</w:t>
            </w:r>
          </w:p>
        </w:tc>
        <w:tc>
          <w:tcPr>
            <w:tcW w:w="1985" w:type="dxa"/>
            <w:shd w:val="clear" w:color="auto" w:fill="auto"/>
          </w:tcPr>
          <w:p w14:paraId="79DD2998"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10 de marzo de 2017</w:t>
            </w:r>
          </w:p>
        </w:tc>
        <w:tc>
          <w:tcPr>
            <w:tcW w:w="2114" w:type="dxa"/>
            <w:shd w:val="clear" w:color="auto" w:fill="auto"/>
          </w:tcPr>
          <w:p w14:paraId="3491B20B"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10 de marzo de 2019</w:t>
            </w:r>
          </w:p>
        </w:tc>
        <w:tc>
          <w:tcPr>
            <w:tcW w:w="1994" w:type="dxa"/>
            <w:shd w:val="clear" w:color="auto" w:fill="auto"/>
          </w:tcPr>
          <w:p w14:paraId="5468135B"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22 de mayo de 2019</w:t>
            </w:r>
          </w:p>
        </w:tc>
      </w:tr>
      <w:tr w:rsidR="00F622AF" w:rsidRPr="00F622AF" w14:paraId="29787954" w14:textId="77777777" w:rsidTr="00F622AF">
        <w:trPr>
          <w:trHeight w:val="240"/>
        </w:trPr>
        <w:tc>
          <w:tcPr>
            <w:tcW w:w="1418" w:type="dxa"/>
            <w:shd w:val="clear" w:color="auto" w:fill="auto"/>
          </w:tcPr>
          <w:p w14:paraId="2CA64CB3"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sz w:val="18"/>
                <w:szCs w:val="18"/>
                <w:lang w:val="es-ES_tradnl"/>
              </w:rPr>
              <w:t>Malawi*</w:t>
            </w:r>
          </w:p>
        </w:tc>
        <w:tc>
          <w:tcPr>
            <w:tcW w:w="2126" w:type="dxa"/>
            <w:shd w:val="clear" w:color="auto" w:fill="auto"/>
          </w:tcPr>
          <w:p w14:paraId="02D93FF4"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14 de julio de 2017</w:t>
            </w:r>
          </w:p>
        </w:tc>
        <w:tc>
          <w:tcPr>
            <w:tcW w:w="1985" w:type="dxa"/>
            <w:shd w:val="clear" w:color="auto" w:fill="auto"/>
          </w:tcPr>
          <w:p w14:paraId="63772DB5"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13 de agosto de 2017</w:t>
            </w:r>
          </w:p>
        </w:tc>
        <w:tc>
          <w:tcPr>
            <w:tcW w:w="2114" w:type="dxa"/>
            <w:shd w:val="clear" w:color="auto" w:fill="auto"/>
          </w:tcPr>
          <w:p w14:paraId="6E217030"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13 de agosto de 2019</w:t>
            </w:r>
          </w:p>
        </w:tc>
        <w:tc>
          <w:tcPr>
            <w:tcW w:w="1994" w:type="dxa"/>
            <w:shd w:val="clear" w:color="auto" w:fill="auto"/>
          </w:tcPr>
          <w:p w14:paraId="13D9E6D0"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p>
        </w:tc>
      </w:tr>
      <w:tr w:rsidR="00F622AF" w:rsidRPr="00F622AF" w14:paraId="08AAE78F" w14:textId="77777777" w:rsidTr="00F622AF">
        <w:trPr>
          <w:trHeight w:val="240"/>
        </w:trPr>
        <w:tc>
          <w:tcPr>
            <w:tcW w:w="1418" w:type="dxa"/>
            <w:shd w:val="clear" w:color="auto" w:fill="auto"/>
          </w:tcPr>
          <w:p w14:paraId="0DD35519"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proofErr w:type="spellStart"/>
            <w:r w:rsidRPr="00F622AF">
              <w:rPr>
                <w:bCs/>
                <w:sz w:val="18"/>
                <w:szCs w:val="18"/>
                <w:lang w:val="es-ES_tradnl"/>
              </w:rPr>
              <w:t>Benin</w:t>
            </w:r>
            <w:proofErr w:type="spellEnd"/>
          </w:p>
        </w:tc>
        <w:tc>
          <w:tcPr>
            <w:tcW w:w="2126" w:type="dxa"/>
            <w:shd w:val="clear" w:color="auto" w:fill="auto"/>
          </w:tcPr>
          <w:p w14:paraId="7F7461CA"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 de noviembre de 2017</w:t>
            </w:r>
          </w:p>
        </w:tc>
        <w:tc>
          <w:tcPr>
            <w:tcW w:w="1985" w:type="dxa"/>
            <w:shd w:val="clear" w:color="auto" w:fill="auto"/>
          </w:tcPr>
          <w:p w14:paraId="2ED88E0D"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 de diciembre de 2017</w:t>
            </w:r>
          </w:p>
        </w:tc>
        <w:tc>
          <w:tcPr>
            <w:tcW w:w="2114" w:type="dxa"/>
            <w:shd w:val="clear" w:color="auto" w:fill="auto"/>
          </w:tcPr>
          <w:p w14:paraId="44CE5261"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 de diciembre de 2019</w:t>
            </w:r>
          </w:p>
        </w:tc>
        <w:tc>
          <w:tcPr>
            <w:tcW w:w="1994" w:type="dxa"/>
            <w:shd w:val="clear" w:color="auto" w:fill="auto"/>
          </w:tcPr>
          <w:p w14:paraId="3A3B1BEB"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p>
        </w:tc>
      </w:tr>
      <w:tr w:rsidR="00F622AF" w:rsidRPr="00F622AF" w14:paraId="7CAE5CA7" w14:textId="77777777" w:rsidTr="00F622AF">
        <w:trPr>
          <w:trHeight w:val="240"/>
        </w:trPr>
        <w:tc>
          <w:tcPr>
            <w:tcW w:w="1418" w:type="dxa"/>
            <w:shd w:val="clear" w:color="auto" w:fill="auto"/>
          </w:tcPr>
          <w:p w14:paraId="1F81FC9E"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Gambia</w:t>
            </w:r>
          </w:p>
        </w:tc>
        <w:tc>
          <w:tcPr>
            <w:tcW w:w="2126" w:type="dxa"/>
            <w:shd w:val="clear" w:color="auto" w:fill="auto"/>
          </w:tcPr>
          <w:p w14:paraId="58C4FE8E"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28 de septiembre de 2018</w:t>
            </w:r>
          </w:p>
        </w:tc>
        <w:tc>
          <w:tcPr>
            <w:tcW w:w="1985" w:type="dxa"/>
            <w:shd w:val="clear" w:color="auto" w:fill="auto"/>
          </w:tcPr>
          <w:p w14:paraId="18668087"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28 de octubre de 2018</w:t>
            </w:r>
          </w:p>
        </w:tc>
        <w:tc>
          <w:tcPr>
            <w:tcW w:w="2114" w:type="dxa"/>
            <w:shd w:val="clear" w:color="auto" w:fill="auto"/>
          </w:tcPr>
          <w:p w14:paraId="2F5D86F2"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28 de octubre de 2020</w:t>
            </w:r>
          </w:p>
        </w:tc>
        <w:tc>
          <w:tcPr>
            <w:tcW w:w="1994" w:type="dxa"/>
            <w:shd w:val="clear" w:color="auto" w:fill="auto"/>
          </w:tcPr>
          <w:p w14:paraId="320ECBD4"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15 de marzo de 2021</w:t>
            </w:r>
          </w:p>
        </w:tc>
      </w:tr>
      <w:tr w:rsidR="00F622AF" w:rsidRPr="00F622AF" w14:paraId="27D8CEE7" w14:textId="77777777" w:rsidTr="00F622AF">
        <w:trPr>
          <w:trHeight w:val="240"/>
        </w:trPr>
        <w:tc>
          <w:tcPr>
            <w:tcW w:w="1418" w:type="dxa"/>
            <w:shd w:val="clear" w:color="auto" w:fill="auto"/>
          </w:tcPr>
          <w:p w14:paraId="48256E4D"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Dominica</w:t>
            </w:r>
          </w:p>
        </w:tc>
        <w:tc>
          <w:tcPr>
            <w:tcW w:w="2126" w:type="dxa"/>
            <w:shd w:val="clear" w:color="auto" w:fill="auto"/>
          </w:tcPr>
          <w:p w14:paraId="5F054EB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13 de mayo de 2019</w:t>
            </w:r>
          </w:p>
        </w:tc>
        <w:tc>
          <w:tcPr>
            <w:tcW w:w="1985" w:type="dxa"/>
            <w:shd w:val="clear" w:color="auto" w:fill="auto"/>
          </w:tcPr>
          <w:p w14:paraId="69A9E55F"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12 de junio de 2019</w:t>
            </w:r>
          </w:p>
        </w:tc>
        <w:tc>
          <w:tcPr>
            <w:tcW w:w="2114" w:type="dxa"/>
            <w:shd w:val="clear" w:color="auto" w:fill="auto"/>
          </w:tcPr>
          <w:p w14:paraId="35D1695E"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12 de junio de 2021</w:t>
            </w:r>
          </w:p>
        </w:tc>
        <w:tc>
          <w:tcPr>
            <w:tcW w:w="1994" w:type="dxa"/>
            <w:shd w:val="clear" w:color="auto" w:fill="auto"/>
          </w:tcPr>
          <w:p w14:paraId="3DC41EA7"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p>
        </w:tc>
      </w:tr>
      <w:tr w:rsidR="00F622AF" w:rsidRPr="00F622AF" w14:paraId="43E61C3D" w14:textId="77777777" w:rsidTr="00F622AF">
        <w:trPr>
          <w:trHeight w:val="240"/>
        </w:trPr>
        <w:tc>
          <w:tcPr>
            <w:tcW w:w="1418" w:type="dxa"/>
            <w:shd w:val="clear" w:color="auto" w:fill="auto"/>
          </w:tcPr>
          <w:p w14:paraId="43862C6A"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proofErr w:type="spellStart"/>
            <w:r w:rsidRPr="00F622AF">
              <w:rPr>
                <w:bCs/>
                <w:sz w:val="18"/>
                <w:szCs w:val="18"/>
                <w:lang w:val="es-ES_tradnl"/>
              </w:rPr>
              <w:t>Fiji</w:t>
            </w:r>
            <w:proofErr w:type="spellEnd"/>
          </w:p>
        </w:tc>
        <w:tc>
          <w:tcPr>
            <w:tcW w:w="2126" w:type="dxa"/>
            <w:shd w:val="clear" w:color="auto" w:fill="auto"/>
          </w:tcPr>
          <w:p w14:paraId="0D62B6B4"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19 de agosto de 2019</w:t>
            </w:r>
          </w:p>
        </w:tc>
        <w:tc>
          <w:tcPr>
            <w:tcW w:w="1985" w:type="dxa"/>
            <w:shd w:val="clear" w:color="auto" w:fill="auto"/>
          </w:tcPr>
          <w:p w14:paraId="1F07C2DA"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18 de septiembre de 2019</w:t>
            </w:r>
          </w:p>
        </w:tc>
        <w:tc>
          <w:tcPr>
            <w:tcW w:w="2114" w:type="dxa"/>
            <w:shd w:val="clear" w:color="auto" w:fill="auto"/>
          </w:tcPr>
          <w:p w14:paraId="07CAE62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18 de septiembre de 2021</w:t>
            </w:r>
          </w:p>
        </w:tc>
        <w:tc>
          <w:tcPr>
            <w:tcW w:w="1994" w:type="dxa"/>
            <w:shd w:val="clear" w:color="auto" w:fill="auto"/>
          </w:tcPr>
          <w:p w14:paraId="0DEC78E2"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p>
        </w:tc>
      </w:tr>
      <w:tr w:rsidR="00F622AF" w:rsidRPr="00F622AF" w14:paraId="47D80C68" w14:textId="77777777" w:rsidTr="00F622AF">
        <w:trPr>
          <w:trHeight w:val="240"/>
        </w:trPr>
        <w:tc>
          <w:tcPr>
            <w:tcW w:w="1418" w:type="dxa"/>
            <w:shd w:val="clear" w:color="auto" w:fill="auto"/>
          </w:tcPr>
          <w:p w14:paraId="6DD63B74"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lastRenderedPageBreak/>
              <w:t>Noruega</w:t>
            </w:r>
          </w:p>
        </w:tc>
        <w:tc>
          <w:tcPr>
            <w:tcW w:w="2126" w:type="dxa"/>
            <w:shd w:val="clear" w:color="auto" w:fill="auto"/>
          </w:tcPr>
          <w:p w14:paraId="4EB3D58A"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22 de agosto de 2019</w:t>
            </w:r>
          </w:p>
        </w:tc>
        <w:tc>
          <w:tcPr>
            <w:tcW w:w="1985" w:type="dxa"/>
            <w:shd w:val="clear" w:color="auto" w:fill="auto"/>
          </w:tcPr>
          <w:p w14:paraId="6413E779"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21 de agosto de 2019</w:t>
            </w:r>
          </w:p>
        </w:tc>
        <w:tc>
          <w:tcPr>
            <w:tcW w:w="2114" w:type="dxa"/>
            <w:shd w:val="clear" w:color="auto" w:fill="auto"/>
          </w:tcPr>
          <w:p w14:paraId="6AA3ECB7"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21 de agosto de 2021</w:t>
            </w:r>
          </w:p>
        </w:tc>
        <w:tc>
          <w:tcPr>
            <w:tcW w:w="1994" w:type="dxa"/>
            <w:shd w:val="clear" w:color="auto" w:fill="auto"/>
          </w:tcPr>
          <w:p w14:paraId="2DBD0791"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p>
        </w:tc>
      </w:tr>
      <w:tr w:rsidR="00F622AF" w:rsidRPr="00F622AF" w14:paraId="3F71F4C0" w14:textId="77777777" w:rsidTr="00F622AF">
        <w:trPr>
          <w:trHeight w:val="240"/>
        </w:trPr>
        <w:tc>
          <w:tcPr>
            <w:tcW w:w="1418" w:type="dxa"/>
            <w:tcBorders>
              <w:bottom w:val="single" w:sz="12" w:space="0" w:color="auto"/>
            </w:tcBorders>
            <w:shd w:val="clear" w:color="auto" w:fill="auto"/>
          </w:tcPr>
          <w:p w14:paraId="4660DD9A" w14:textId="77777777" w:rsidR="009679FD" w:rsidRPr="00F622AF" w:rsidRDefault="009679FD" w:rsidP="00F622AF">
            <w:pPr>
              <w:pStyle w:val="SingleTxtG"/>
              <w:tabs>
                <w:tab w:val="clear" w:pos="1701"/>
                <w:tab w:val="clear" w:pos="2268"/>
                <w:tab w:val="clear" w:pos="2835"/>
              </w:tabs>
              <w:spacing w:before="40"/>
              <w:ind w:left="0" w:right="0"/>
              <w:jc w:val="left"/>
              <w:rPr>
                <w:bCs/>
                <w:sz w:val="18"/>
                <w:szCs w:val="18"/>
                <w:lang w:val="es-ES_tradnl"/>
              </w:rPr>
            </w:pPr>
            <w:r w:rsidRPr="00F622AF">
              <w:rPr>
                <w:bCs/>
                <w:sz w:val="18"/>
                <w:szCs w:val="18"/>
                <w:lang w:val="es-ES_tradnl"/>
              </w:rPr>
              <w:t>Omán</w:t>
            </w:r>
          </w:p>
        </w:tc>
        <w:tc>
          <w:tcPr>
            <w:tcW w:w="2126" w:type="dxa"/>
            <w:tcBorders>
              <w:bottom w:val="single" w:sz="12" w:space="0" w:color="auto"/>
            </w:tcBorders>
            <w:shd w:val="clear" w:color="auto" w:fill="auto"/>
          </w:tcPr>
          <w:p w14:paraId="0D224566"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12 de junio de 2020</w:t>
            </w:r>
          </w:p>
        </w:tc>
        <w:tc>
          <w:tcPr>
            <w:tcW w:w="1985" w:type="dxa"/>
            <w:tcBorders>
              <w:bottom w:val="single" w:sz="12" w:space="0" w:color="auto"/>
            </w:tcBorders>
            <w:shd w:val="clear" w:color="auto" w:fill="auto"/>
          </w:tcPr>
          <w:p w14:paraId="76CD1578"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12 de julio de 2020</w:t>
            </w:r>
          </w:p>
        </w:tc>
        <w:tc>
          <w:tcPr>
            <w:tcW w:w="2114" w:type="dxa"/>
            <w:tcBorders>
              <w:bottom w:val="single" w:sz="12" w:space="0" w:color="auto"/>
            </w:tcBorders>
            <w:shd w:val="clear" w:color="auto" w:fill="auto"/>
          </w:tcPr>
          <w:p w14:paraId="34BD9E5F"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r w:rsidRPr="00F622AF">
              <w:rPr>
                <w:sz w:val="18"/>
                <w:szCs w:val="18"/>
                <w:lang w:val="es-ES_tradnl"/>
              </w:rPr>
              <w:t>12 de julio de 2022</w:t>
            </w:r>
          </w:p>
        </w:tc>
        <w:tc>
          <w:tcPr>
            <w:tcW w:w="1994" w:type="dxa"/>
            <w:tcBorders>
              <w:bottom w:val="single" w:sz="12" w:space="0" w:color="auto"/>
            </w:tcBorders>
            <w:shd w:val="clear" w:color="auto" w:fill="auto"/>
          </w:tcPr>
          <w:p w14:paraId="69716D10" w14:textId="77777777" w:rsidR="009679FD" w:rsidRPr="00F622AF" w:rsidRDefault="009679FD" w:rsidP="00F622AF">
            <w:pPr>
              <w:pStyle w:val="SingleTxtG"/>
              <w:tabs>
                <w:tab w:val="clear" w:pos="1701"/>
                <w:tab w:val="clear" w:pos="2268"/>
                <w:tab w:val="clear" w:pos="2835"/>
              </w:tabs>
              <w:spacing w:before="40"/>
              <w:ind w:left="0" w:right="0"/>
              <w:jc w:val="left"/>
              <w:rPr>
                <w:sz w:val="18"/>
                <w:szCs w:val="18"/>
                <w:lang w:val="es-ES_tradnl"/>
              </w:rPr>
            </w:pPr>
          </w:p>
        </w:tc>
      </w:tr>
    </w:tbl>
    <w:p w14:paraId="49B466E0" w14:textId="695D761F" w:rsidR="00AE2E9F" w:rsidRDefault="009679FD" w:rsidP="00F622AF">
      <w:pPr>
        <w:pStyle w:val="SingleTxtG"/>
        <w:spacing w:before="120" w:after="240"/>
        <w:ind w:left="0" w:firstLine="170"/>
        <w:jc w:val="left"/>
        <w:rPr>
          <w:rStyle w:val="Hyperlink"/>
          <w:sz w:val="18"/>
          <w:szCs w:val="18"/>
          <w:lang w:val="es-ES_tradnl"/>
        </w:rPr>
      </w:pPr>
      <w:bookmarkStart w:id="208" w:name="BM7"/>
      <w:bookmarkStart w:id="209" w:name="_Toc460489568"/>
      <w:bookmarkStart w:id="210" w:name="_Toc522200483"/>
      <w:bookmarkStart w:id="211" w:name="_Toc326162697"/>
      <w:bookmarkStart w:id="212" w:name="_Toc326220812"/>
      <w:bookmarkEnd w:id="208"/>
      <w:r w:rsidRPr="00F622AF">
        <w:rPr>
          <w:i/>
          <w:sz w:val="18"/>
          <w:szCs w:val="18"/>
          <w:lang w:val="es-ES_tradnl"/>
        </w:rPr>
        <w:t>Nota</w:t>
      </w:r>
      <w:r w:rsidRPr="004A5B25">
        <w:rPr>
          <w:i/>
          <w:iCs/>
          <w:sz w:val="18"/>
          <w:szCs w:val="18"/>
          <w:lang w:val="es-ES_tradnl"/>
        </w:rPr>
        <w:t>:</w:t>
      </w:r>
      <w:r w:rsidRPr="00F622AF">
        <w:rPr>
          <w:sz w:val="18"/>
          <w:szCs w:val="18"/>
          <w:lang w:val="es-ES_tradnl"/>
        </w:rPr>
        <w:t xml:space="preserve"> Los </w:t>
      </w:r>
      <w:proofErr w:type="gramStart"/>
      <w:r w:rsidRPr="00F622AF">
        <w:rPr>
          <w:sz w:val="18"/>
          <w:szCs w:val="18"/>
          <w:lang w:val="es-ES_tradnl"/>
        </w:rPr>
        <w:t>Estados partes</w:t>
      </w:r>
      <w:proofErr w:type="gramEnd"/>
      <w:r w:rsidRPr="00F622AF">
        <w:rPr>
          <w:sz w:val="18"/>
          <w:szCs w:val="18"/>
          <w:lang w:val="es-ES_tradnl"/>
        </w:rPr>
        <w:t xml:space="preserve"> marcados con un asterisco han formulado declaraciones por las que han reconocido la competencia del Comité en virtud de los artículos 31 y/o 32 de la Convención. El texto completo de las declaraciones y reservas formuladas por los Estados partes puede consultarse en: </w:t>
      </w:r>
      <w:hyperlink r:id="rId76" w:history="1">
        <w:r w:rsidRPr="00F622AF">
          <w:rPr>
            <w:rStyle w:val="Hyperlink"/>
            <w:sz w:val="18"/>
            <w:szCs w:val="18"/>
            <w:lang w:val="es-ES_tradnl"/>
          </w:rPr>
          <w:t>https://treaties.un.org/Pages/</w:t>
        </w:r>
        <w:r w:rsidR="00F622AF">
          <w:rPr>
            <w:rStyle w:val="Hyperlink"/>
            <w:sz w:val="18"/>
            <w:szCs w:val="18"/>
            <w:lang w:val="es-ES_tradnl"/>
          </w:rPr>
          <w:br/>
        </w:r>
        <w:proofErr w:type="spellStart"/>
        <w:r w:rsidRPr="00F622AF">
          <w:rPr>
            <w:rStyle w:val="Hyperlink"/>
            <w:sz w:val="18"/>
            <w:szCs w:val="18"/>
            <w:lang w:val="es-ES_tradnl"/>
          </w:rPr>
          <w:t>ViewDetails.aspx?src</w:t>
        </w:r>
        <w:proofErr w:type="spellEnd"/>
        <w:r w:rsidRPr="00F622AF">
          <w:rPr>
            <w:rStyle w:val="Hyperlink"/>
            <w:sz w:val="18"/>
            <w:szCs w:val="18"/>
            <w:lang w:val="es-ES_tradnl"/>
          </w:rPr>
          <w:t>=</w:t>
        </w:r>
        <w:proofErr w:type="spellStart"/>
        <w:r w:rsidRPr="00F622AF">
          <w:rPr>
            <w:rStyle w:val="Hyperlink"/>
            <w:sz w:val="18"/>
            <w:szCs w:val="18"/>
            <w:lang w:val="es-ES_tradnl"/>
          </w:rPr>
          <w:t>TREATY&amp;mtdsg_no</w:t>
        </w:r>
        <w:proofErr w:type="spellEnd"/>
        <w:r w:rsidRPr="00F622AF">
          <w:rPr>
            <w:rStyle w:val="Hyperlink"/>
            <w:sz w:val="18"/>
            <w:szCs w:val="18"/>
            <w:lang w:val="es-ES_tradnl"/>
          </w:rPr>
          <w:t>=IV-16&amp;chapter=4&amp;clang=_en</w:t>
        </w:r>
      </w:hyperlink>
      <w:bookmarkEnd w:id="209"/>
      <w:bookmarkEnd w:id="210"/>
      <w:r w:rsidR="00F622AF">
        <w:rPr>
          <w:rStyle w:val="Hyperlink"/>
          <w:sz w:val="18"/>
          <w:szCs w:val="18"/>
          <w:lang w:val="es-ES_tradnl"/>
        </w:rPr>
        <w:t>.</w:t>
      </w:r>
      <w:bookmarkEnd w:id="211"/>
      <w:bookmarkEnd w:id="212"/>
    </w:p>
    <w:p w14:paraId="0E39FC71" w14:textId="1C1361EB" w:rsidR="00F622AF" w:rsidRPr="00F622AF" w:rsidRDefault="00F622AF" w:rsidP="00F622AF">
      <w:pPr>
        <w:pStyle w:val="SingleTxtG"/>
        <w:suppressAutoHyphens/>
        <w:spacing w:before="240" w:after="0"/>
        <w:jc w:val="center"/>
        <w:rPr>
          <w:u w:val="single"/>
        </w:rPr>
      </w:pPr>
      <w:r>
        <w:rPr>
          <w:u w:val="single"/>
        </w:rPr>
        <w:tab/>
      </w:r>
      <w:r>
        <w:rPr>
          <w:u w:val="single"/>
        </w:rPr>
        <w:tab/>
      </w:r>
      <w:r>
        <w:rPr>
          <w:u w:val="single"/>
        </w:rPr>
        <w:tab/>
      </w:r>
      <w:bookmarkEnd w:id="0"/>
    </w:p>
    <w:sectPr w:rsidR="00F622AF" w:rsidRPr="00F622AF" w:rsidSect="00E276DF">
      <w:footerReference w:type="default" r:id="rId77"/>
      <w:footerReference w:type="first" r:id="rId78"/>
      <w:endnotePr>
        <w:numFmt w:val="decimal"/>
      </w:endnotePr>
      <w:type w:val="oddPage"/>
      <w:pgSz w:w="11906" w:h="16838" w:code="9"/>
      <w:pgMar w:top="1417" w:right="1134" w:bottom="1134" w:left="1134" w:header="85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19B1B0" w14:textId="77777777" w:rsidR="00877E00" w:rsidRDefault="00877E00">
      <w:pPr>
        <w:pStyle w:val="Footer"/>
      </w:pPr>
    </w:p>
  </w:endnote>
  <w:endnote w:type="continuationSeparator" w:id="0">
    <w:p w14:paraId="4D29C3F1" w14:textId="77777777" w:rsidR="00877E00" w:rsidRDefault="00877E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DDA92D" w14:textId="77777777" w:rsidR="00877E00" w:rsidRPr="00EE2D8A" w:rsidRDefault="00877E00" w:rsidP="00EE2D8A">
    <w:pPr>
      <w:pStyle w:val="Footer"/>
      <w:tabs>
        <w:tab w:val="left" w:pos="9639"/>
      </w:tabs>
      <w:ind w:right="357"/>
      <w:rPr>
        <w:sz w:val="20"/>
      </w:rPr>
    </w:pPr>
    <w:r>
      <w:rPr>
        <w:sz w:val="20"/>
      </w:rPr>
      <w:t>GE.13</w:t>
    </w:r>
    <w:proofErr w:type="gramStart"/>
    <w:r>
      <w:rPr>
        <w:sz w:val="20"/>
      </w:rPr>
      <w:t>-….</w:t>
    </w:r>
    <w:proofErr w:type="gramEnd"/>
    <w:r>
      <w:rPr>
        <w:sz w:val="20"/>
      </w:rPr>
      <w:t>.  (S)    …..    …..</w:t>
    </w:r>
    <w:r>
      <w:rPr>
        <w:sz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74DB71" w14:textId="77777777" w:rsidR="00877E00" w:rsidRDefault="00877E00">
    <w:pPr>
      <w:pStyle w:val="Footer"/>
    </w:pPr>
    <w:r>
      <w:rPr>
        <w:noProof/>
      </w:rPr>
      <w:drawing>
        <wp:anchor distT="0" distB="0" distL="114300" distR="114300" simplePos="0" relativeHeight="251658752" behindDoc="0" locked="0" layoutInCell="1" allowOverlap="1" wp14:anchorId="63F364AA" wp14:editId="637194B7">
          <wp:simplePos x="0" y="0"/>
          <wp:positionH relativeFrom="margin">
            <wp:posOffset>5557683</wp:posOffset>
          </wp:positionH>
          <wp:positionV relativeFrom="margin">
            <wp:posOffset>8787602</wp:posOffset>
          </wp:positionV>
          <wp:extent cx="561975" cy="561975"/>
          <wp:effectExtent l="0" t="0" r="9525" b="952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1" layoutInCell="1" allowOverlap="1" wp14:anchorId="70FC481F" wp14:editId="098DE373">
          <wp:simplePos x="0" y="0"/>
          <wp:positionH relativeFrom="margin">
            <wp:posOffset>4382770</wp:posOffset>
          </wp:positionH>
          <wp:positionV relativeFrom="margin">
            <wp:posOffset>9132570</wp:posOffset>
          </wp:positionV>
          <wp:extent cx="1085850" cy="228600"/>
          <wp:effectExtent l="0" t="0" r="0" b="0"/>
          <wp:wrapNone/>
          <wp:docPr id="7" name="Imagen 7" descr="Se_ruega_recicla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E00352" w14:textId="77777777" w:rsidR="00877E00" w:rsidRDefault="00877E0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A4F2C3" w14:textId="77777777" w:rsidR="00877E00" w:rsidRPr="00457366" w:rsidRDefault="00877E00" w:rsidP="0045736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93D932" w14:textId="6C0A4791" w:rsidR="00877E00" w:rsidRDefault="00877E00" w:rsidP="005D1760">
    <w:pPr>
      <w:pStyle w:val="Footer"/>
      <w:tabs>
        <w:tab w:val="right" w:pos="9639"/>
      </w:tabs>
      <w:spacing w:line="240" w:lineRule="auto"/>
      <w:ind w:right="-7"/>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iv</w:t>
    </w:r>
    <w:r>
      <w:rPr>
        <w:rStyle w:val="PageNumber"/>
      </w:rPr>
      <w:fldChar w:fldCharType="end"/>
    </w:r>
    <w:r>
      <w:rPr>
        <w:rStyle w:val="PageNumber"/>
      </w:rPr>
      <w:tab/>
    </w:r>
    <w:r>
      <w:rPr>
        <w:szCs w:val="16"/>
      </w:rPr>
      <w:t>GE.21-08565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83F6CD" w14:textId="77777777" w:rsidR="00877E00" w:rsidRPr="00C55ADD" w:rsidRDefault="00877E00" w:rsidP="00AE2E9F">
    <w:pPr>
      <w:pStyle w:val="Footer"/>
      <w:tabs>
        <w:tab w:val="right" w:pos="9639"/>
      </w:tabs>
      <w:spacing w:line="240" w:lineRule="auto"/>
      <w:ind w:right="357"/>
    </w:pPr>
    <w:r>
      <w:t>GE.</w:t>
    </w:r>
    <w:proofErr w:type="gramStart"/>
    <w:r>
      <w:t>1.-….</w:t>
    </w:r>
    <w:proofErr w:type="gramEnd"/>
    <w:r>
      <w: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v</w:t>
    </w:r>
    <w:r>
      <w:rPr>
        <w:rStyle w:val="PageNumber"/>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9C0A3F" w14:textId="77777777" w:rsidR="00877E00" w:rsidRDefault="00877E00" w:rsidP="00C55ADD">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iii</w:t>
    </w:r>
    <w:r>
      <w:rPr>
        <w:rStyle w:val="PageNumber"/>
      </w:rPr>
      <w:fldChar w:fldCharType="end"/>
    </w:r>
  </w:p>
  <w:p w14:paraId="5C42103E" w14:textId="32FB7BC8" w:rsidR="00877E00" w:rsidRPr="00C55ADD" w:rsidRDefault="00877E00" w:rsidP="00A421E2">
    <w:pPr>
      <w:pStyle w:val="Footer"/>
      <w:tabs>
        <w:tab w:val="left" w:pos="9639"/>
      </w:tabs>
      <w:ind w:right="357"/>
      <w:rPr>
        <w:sz w:val="20"/>
      </w:rPr>
    </w:pPr>
    <w:r>
      <w:rPr>
        <w:sz w:val="20"/>
      </w:rPr>
      <w:t>GE.21-</w:t>
    </w:r>
    <w:proofErr w:type="gramStart"/>
    <w:r>
      <w:rPr>
        <w:sz w:val="20"/>
      </w:rPr>
      <w:t>08565  (</w:t>
    </w:r>
    <w:proofErr w:type="gramEnd"/>
    <w:r>
      <w:rPr>
        <w:sz w:val="20"/>
      </w:rPr>
      <w:t>S)    020721    060721</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85ACF5" w14:textId="244A2985" w:rsidR="00877E00" w:rsidRPr="00C55ADD" w:rsidRDefault="00877E00" w:rsidP="005B12C8">
    <w:pPr>
      <w:pStyle w:val="Footer"/>
      <w:tabs>
        <w:tab w:val="right" w:pos="9639"/>
      </w:tabs>
      <w:spacing w:line="240" w:lineRule="auto"/>
      <w:ind w:right="-1"/>
    </w:pPr>
    <w:r>
      <w:t>GE.21-08565</w:t>
    </w:r>
    <w:r>
      <w:tab/>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C07DA8" w14:textId="77777777" w:rsidR="00877E00" w:rsidRPr="00C55ADD" w:rsidRDefault="00877E00" w:rsidP="00DE4C10">
    <w:pPr>
      <w:pStyle w:val="Footer"/>
      <w:tabs>
        <w:tab w:val="right" w:pos="9639"/>
      </w:tabs>
      <w:spacing w:line="240" w:lineRule="auto"/>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284BB8" w14:textId="77777777" w:rsidR="00877E00" w:rsidRDefault="00877E00">
      <w:pPr>
        <w:tabs>
          <w:tab w:val="right" w:pos="2155"/>
        </w:tabs>
        <w:spacing w:after="80" w:line="240" w:lineRule="auto"/>
        <w:ind w:left="680"/>
        <w:rPr>
          <w:u w:val="single"/>
        </w:rPr>
      </w:pPr>
      <w:r>
        <w:rPr>
          <w:u w:val="single"/>
        </w:rPr>
        <w:tab/>
      </w:r>
    </w:p>
  </w:footnote>
  <w:footnote w:type="continuationSeparator" w:id="0">
    <w:p w14:paraId="44F6FDB4" w14:textId="77777777" w:rsidR="00877E00" w:rsidRDefault="00877E00">
      <w:pPr>
        <w:tabs>
          <w:tab w:val="right" w:pos="2155"/>
        </w:tabs>
        <w:spacing w:after="80" w:line="240" w:lineRule="auto"/>
        <w:ind w:left="680"/>
      </w:pPr>
      <w:r>
        <w:rPr>
          <w:u w:val="single"/>
        </w:rPr>
        <w:tab/>
      </w:r>
    </w:p>
  </w:footnote>
  <w:footnote w:id="1">
    <w:p w14:paraId="6B2A2D86" w14:textId="4189856A" w:rsidR="00877E00" w:rsidRPr="005E7CB5" w:rsidRDefault="00877E00" w:rsidP="009679FD">
      <w:pPr>
        <w:pStyle w:val="FootnoteText"/>
      </w:pPr>
      <w:r w:rsidRPr="005E7CB5">
        <w:tab/>
      </w:r>
      <w:r w:rsidRPr="005E7CB5">
        <w:rPr>
          <w:rStyle w:val="FootnoteReference"/>
        </w:rPr>
        <w:footnoteRef/>
      </w:r>
      <w:r w:rsidRPr="005E7CB5">
        <w:tab/>
      </w:r>
      <w:hyperlink r:id="rId1" w:history="1">
        <w:r w:rsidRPr="009679FD">
          <w:rPr>
            <w:rStyle w:val="Hyperlink"/>
          </w:rPr>
          <w:t>https://treaties.un.org/Pages/ViewDetails.aspx?src=TREATY&amp;mtdsg_no=IV-16&amp;chapter=4&amp;clang=_en</w:t>
        </w:r>
      </w:hyperlink>
      <w:r w:rsidRPr="005E7CB5">
        <w:t>.</w:t>
      </w:r>
    </w:p>
  </w:footnote>
  <w:footnote w:id="2">
    <w:p w14:paraId="4C215A7A" w14:textId="33C5E134" w:rsidR="00877E00" w:rsidRPr="005E7CB5" w:rsidRDefault="00877E00" w:rsidP="009679FD">
      <w:pPr>
        <w:pStyle w:val="FootnoteText"/>
        <w:rPr>
          <w:lang w:val="fr-CM"/>
        </w:rPr>
      </w:pPr>
      <w:r w:rsidRPr="005E7CB5">
        <w:tab/>
      </w:r>
      <w:r w:rsidRPr="005E7CB5">
        <w:rPr>
          <w:rStyle w:val="FootnoteReference"/>
        </w:rPr>
        <w:footnoteRef/>
      </w:r>
      <w:r w:rsidRPr="005E7CB5">
        <w:rPr>
          <w:lang w:val="fr-CM"/>
        </w:rPr>
        <w:tab/>
      </w:r>
      <w:r w:rsidRPr="005E7CB5">
        <w:rPr>
          <w:lang w:val="fr-CM"/>
        </w:rPr>
        <w:t xml:space="preserve">Véase </w:t>
      </w:r>
      <w:hyperlink r:id="rId2" w:history="1">
        <w:r w:rsidRPr="00A17383">
          <w:rPr>
            <w:rStyle w:val="Hyperlink"/>
            <w:lang w:val="fr-CM"/>
          </w:rPr>
          <w:t>www.ohchr.org/Documents/Issues/Disappearances/Guidelines-COVID19-EnforcedDisappearance.pdf</w:t>
        </w:r>
      </w:hyperlink>
      <w:r w:rsidRPr="005E7CB5">
        <w:rPr>
          <w:lang w:val="fr-CM"/>
        </w:rPr>
        <w:t>.</w:t>
      </w:r>
      <w:bookmarkStart w:id="75" w:name="_Hlk75293609"/>
      <w:bookmarkEnd w:id="75"/>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5EF260" w14:textId="77777777" w:rsidR="00877E00" w:rsidRDefault="00877E00" w:rsidP="00C55ADD">
    <w:pPr>
      <w:pStyle w:val="Header"/>
      <w:tabs>
        <w:tab w:val="left" w:pos="4320"/>
        <w:tab w:val="right" w:pos="9496"/>
      </w:tabs>
    </w:pPr>
    <w:r>
      <w:t>A/76/56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D3F67B" w14:textId="77777777" w:rsidR="00877E00" w:rsidRPr="0096750D" w:rsidRDefault="00877E00" w:rsidP="0096750D">
    <w:pPr>
      <w:pStyle w:val="Header"/>
      <w:jc w:val="right"/>
    </w:pPr>
    <w:r>
      <w:t>A/76/56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1E696A" w14:textId="77777777" w:rsidR="00877E00" w:rsidRPr="00C55ADD" w:rsidRDefault="00877E00" w:rsidP="00C55ADD">
    <w:pPr>
      <w:pStyle w:val="Header"/>
      <w:jc w:val="right"/>
    </w:pPr>
    <w:r>
      <w:t>A/76/56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18"/>
  </w:num>
  <w:num w:numId="3">
    <w:abstractNumId w:val="13"/>
  </w:num>
  <w:num w:numId="4">
    <w:abstractNumId w:val="29"/>
  </w:num>
  <w:num w:numId="5">
    <w:abstractNumId w:val="28"/>
  </w:num>
  <w:num w:numId="6">
    <w:abstractNumId w:val="19"/>
  </w:num>
  <w:num w:numId="7">
    <w:abstractNumId w:val="2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7"/>
  </w:num>
  <w:num w:numId="19">
    <w:abstractNumId w:val="16"/>
  </w:num>
  <w:num w:numId="20">
    <w:abstractNumId w:val="10"/>
  </w:num>
  <w:num w:numId="21">
    <w:abstractNumId w:val="22"/>
  </w:num>
  <w:num w:numId="22">
    <w:abstractNumId w:val="15"/>
  </w:num>
  <w:num w:numId="23">
    <w:abstractNumId w:val="12"/>
  </w:num>
  <w:num w:numId="24">
    <w:abstractNumId w:val="26"/>
  </w:num>
  <w:num w:numId="25">
    <w:abstractNumId w:val="21"/>
  </w:num>
  <w:num w:numId="26">
    <w:abstractNumId w:val="20"/>
  </w:num>
  <w:num w:numId="27">
    <w:abstractNumId w:val="24"/>
  </w:num>
  <w:num w:numId="28">
    <w:abstractNumId w:val="14"/>
  </w:num>
  <w:num w:numId="29">
    <w:abstractNumId w:val="25"/>
  </w:num>
  <w:num w:numId="30">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974"/>
    <w:rsid w:val="0000271A"/>
    <w:rsid w:val="00002C93"/>
    <w:rsid w:val="0002652F"/>
    <w:rsid w:val="00040993"/>
    <w:rsid w:val="0004426D"/>
    <w:rsid w:val="00045202"/>
    <w:rsid w:val="0005377B"/>
    <w:rsid w:val="00057523"/>
    <w:rsid w:val="0006449B"/>
    <w:rsid w:val="00074498"/>
    <w:rsid w:val="000A6338"/>
    <w:rsid w:val="000B2515"/>
    <w:rsid w:val="000B42B2"/>
    <w:rsid w:val="000D4E0B"/>
    <w:rsid w:val="000F341E"/>
    <w:rsid w:val="000F35B5"/>
    <w:rsid w:val="00103BDC"/>
    <w:rsid w:val="001066C9"/>
    <w:rsid w:val="001415D1"/>
    <w:rsid w:val="00146C52"/>
    <w:rsid w:val="00183201"/>
    <w:rsid w:val="00184B59"/>
    <w:rsid w:val="00187200"/>
    <w:rsid w:val="00191725"/>
    <w:rsid w:val="00191BEC"/>
    <w:rsid w:val="001B70F5"/>
    <w:rsid w:val="001C2144"/>
    <w:rsid w:val="001F4334"/>
    <w:rsid w:val="002146FD"/>
    <w:rsid w:val="00225FDA"/>
    <w:rsid w:val="0024494A"/>
    <w:rsid w:val="00250713"/>
    <w:rsid w:val="0026585F"/>
    <w:rsid w:val="00276CD9"/>
    <w:rsid w:val="00285974"/>
    <w:rsid w:val="00291644"/>
    <w:rsid w:val="002B4818"/>
    <w:rsid w:val="002C4056"/>
    <w:rsid w:val="002C7BE1"/>
    <w:rsid w:val="002F5C9C"/>
    <w:rsid w:val="00316F86"/>
    <w:rsid w:val="003350BA"/>
    <w:rsid w:val="003509C2"/>
    <w:rsid w:val="00367BEE"/>
    <w:rsid w:val="003732D8"/>
    <w:rsid w:val="00377191"/>
    <w:rsid w:val="003B17FC"/>
    <w:rsid w:val="003B7DFB"/>
    <w:rsid w:val="003C0877"/>
    <w:rsid w:val="003D0BA4"/>
    <w:rsid w:val="003D1D4A"/>
    <w:rsid w:val="003D2760"/>
    <w:rsid w:val="003F6C51"/>
    <w:rsid w:val="004112FD"/>
    <w:rsid w:val="004207CF"/>
    <w:rsid w:val="00432BE7"/>
    <w:rsid w:val="00441FB9"/>
    <w:rsid w:val="00441FBC"/>
    <w:rsid w:val="00452DF0"/>
    <w:rsid w:val="004552D4"/>
    <w:rsid w:val="00457366"/>
    <w:rsid w:val="00476A8D"/>
    <w:rsid w:val="00485630"/>
    <w:rsid w:val="00495818"/>
    <w:rsid w:val="004A5B25"/>
    <w:rsid w:val="004C05E3"/>
    <w:rsid w:val="004E198B"/>
    <w:rsid w:val="004E33E8"/>
    <w:rsid w:val="004E663E"/>
    <w:rsid w:val="00524DB3"/>
    <w:rsid w:val="0054058F"/>
    <w:rsid w:val="00544E1F"/>
    <w:rsid w:val="00546470"/>
    <w:rsid w:val="00546A02"/>
    <w:rsid w:val="00550EF4"/>
    <w:rsid w:val="00560BD7"/>
    <w:rsid w:val="00567E03"/>
    <w:rsid w:val="005862BC"/>
    <w:rsid w:val="00593622"/>
    <w:rsid w:val="005A69A2"/>
    <w:rsid w:val="005A78A5"/>
    <w:rsid w:val="005B12C8"/>
    <w:rsid w:val="005B1F71"/>
    <w:rsid w:val="005B286F"/>
    <w:rsid w:val="005B29A3"/>
    <w:rsid w:val="005B6CF5"/>
    <w:rsid w:val="005C1DBE"/>
    <w:rsid w:val="005C3586"/>
    <w:rsid w:val="005D1760"/>
    <w:rsid w:val="005D2CAF"/>
    <w:rsid w:val="005E56DA"/>
    <w:rsid w:val="005E5F7F"/>
    <w:rsid w:val="005F473D"/>
    <w:rsid w:val="005F688E"/>
    <w:rsid w:val="00622549"/>
    <w:rsid w:val="0062719E"/>
    <w:rsid w:val="00653B00"/>
    <w:rsid w:val="006626F9"/>
    <w:rsid w:val="00665E27"/>
    <w:rsid w:val="00680249"/>
    <w:rsid w:val="00683071"/>
    <w:rsid w:val="0069426A"/>
    <w:rsid w:val="00694755"/>
    <w:rsid w:val="006B1A6F"/>
    <w:rsid w:val="006B4565"/>
    <w:rsid w:val="006B5198"/>
    <w:rsid w:val="006B5F1E"/>
    <w:rsid w:val="006B6809"/>
    <w:rsid w:val="006D7795"/>
    <w:rsid w:val="006F2B42"/>
    <w:rsid w:val="007030FD"/>
    <w:rsid w:val="00703358"/>
    <w:rsid w:val="00721CE4"/>
    <w:rsid w:val="00722EC0"/>
    <w:rsid w:val="007256E9"/>
    <w:rsid w:val="007259C5"/>
    <w:rsid w:val="0072765A"/>
    <w:rsid w:val="00730EB0"/>
    <w:rsid w:val="00736A0D"/>
    <w:rsid w:val="00737516"/>
    <w:rsid w:val="007402B9"/>
    <w:rsid w:val="00764C02"/>
    <w:rsid w:val="00772F25"/>
    <w:rsid w:val="007778EE"/>
    <w:rsid w:val="00781299"/>
    <w:rsid w:val="00791589"/>
    <w:rsid w:val="007A1F98"/>
    <w:rsid w:val="007A6C93"/>
    <w:rsid w:val="007B0DC7"/>
    <w:rsid w:val="007C1342"/>
    <w:rsid w:val="007C397B"/>
    <w:rsid w:val="007D595E"/>
    <w:rsid w:val="007D5A09"/>
    <w:rsid w:val="007F280C"/>
    <w:rsid w:val="0080088F"/>
    <w:rsid w:val="00826417"/>
    <w:rsid w:val="00831D24"/>
    <w:rsid w:val="008338D3"/>
    <w:rsid w:val="008431E7"/>
    <w:rsid w:val="008742B1"/>
    <w:rsid w:val="00877E00"/>
    <w:rsid w:val="00885B2C"/>
    <w:rsid w:val="008932DE"/>
    <w:rsid w:val="008B0B1F"/>
    <w:rsid w:val="008C2521"/>
    <w:rsid w:val="008C68C7"/>
    <w:rsid w:val="008D61DB"/>
    <w:rsid w:val="008E4CCE"/>
    <w:rsid w:val="00902633"/>
    <w:rsid w:val="00907899"/>
    <w:rsid w:val="0091421C"/>
    <w:rsid w:val="00931A8A"/>
    <w:rsid w:val="00935CAD"/>
    <w:rsid w:val="009458B1"/>
    <w:rsid w:val="00955E11"/>
    <w:rsid w:val="009646E7"/>
    <w:rsid w:val="0096750D"/>
    <w:rsid w:val="009679FD"/>
    <w:rsid w:val="00972EE3"/>
    <w:rsid w:val="00976597"/>
    <w:rsid w:val="00983320"/>
    <w:rsid w:val="009979D6"/>
    <w:rsid w:val="009C5D5A"/>
    <w:rsid w:val="009D04FE"/>
    <w:rsid w:val="009F22F5"/>
    <w:rsid w:val="009F7423"/>
    <w:rsid w:val="00A03A69"/>
    <w:rsid w:val="00A057F4"/>
    <w:rsid w:val="00A10FE5"/>
    <w:rsid w:val="00A17383"/>
    <w:rsid w:val="00A351AC"/>
    <w:rsid w:val="00A37DAB"/>
    <w:rsid w:val="00A421E2"/>
    <w:rsid w:val="00A51992"/>
    <w:rsid w:val="00A55168"/>
    <w:rsid w:val="00A92060"/>
    <w:rsid w:val="00A95598"/>
    <w:rsid w:val="00AA0022"/>
    <w:rsid w:val="00AA5D9A"/>
    <w:rsid w:val="00AB722F"/>
    <w:rsid w:val="00AD1CE5"/>
    <w:rsid w:val="00AD7F71"/>
    <w:rsid w:val="00AE2E9F"/>
    <w:rsid w:val="00B05E32"/>
    <w:rsid w:val="00B24BD3"/>
    <w:rsid w:val="00B3073A"/>
    <w:rsid w:val="00B30D91"/>
    <w:rsid w:val="00B30FEA"/>
    <w:rsid w:val="00B52EC2"/>
    <w:rsid w:val="00B63A76"/>
    <w:rsid w:val="00B651B9"/>
    <w:rsid w:val="00B741FD"/>
    <w:rsid w:val="00B75E03"/>
    <w:rsid w:val="00B97B56"/>
    <w:rsid w:val="00BC6515"/>
    <w:rsid w:val="00BE7E23"/>
    <w:rsid w:val="00BF1A5A"/>
    <w:rsid w:val="00BF4D4D"/>
    <w:rsid w:val="00C00C0F"/>
    <w:rsid w:val="00C16486"/>
    <w:rsid w:val="00C16A0F"/>
    <w:rsid w:val="00C4034D"/>
    <w:rsid w:val="00C500D0"/>
    <w:rsid w:val="00C55ADD"/>
    <w:rsid w:val="00C6432A"/>
    <w:rsid w:val="00C64886"/>
    <w:rsid w:val="00CA063B"/>
    <w:rsid w:val="00CA0D4A"/>
    <w:rsid w:val="00CC0EAC"/>
    <w:rsid w:val="00CF5DEB"/>
    <w:rsid w:val="00D12FDE"/>
    <w:rsid w:val="00D31E22"/>
    <w:rsid w:val="00D532E4"/>
    <w:rsid w:val="00D63382"/>
    <w:rsid w:val="00D6425B"/>
    <w:rsid w:val="00D645CB"/>
    <w:rsid w:val="00D74525"/>
    <w:rsid w:val="00D76984"/>
    <w:rsid w:val="00D77E29"/>
    <w:rsid w:val="00D871B7"/>
    <w:rsid w:val="00DA740E"/>
    <w:rsid w:val="00DC086B"/>
    <w:rsid w:val="00DE43E4"/>
    <w:rsid w:val="00DE4C10"/>
    <w:rsid w:val="00DF43BC"/>
    <w:rsid w:val="00DF7F37"/>
    <w:rsid w:val="00E11EC4"/>
    <w:rsid w:val="00E26A08"/>
    <w:rsid w:val="00E276DF"/>
    <w:rsid w:val="00E32216"/>
    <w:rsid w:val="00E442E1"/>
    <w:rsid w:val="00E46948"/>
    <w:rsid w:val="00E537ED"/>
    <w:rsid w:val="00E56256"/>
    <w:rsid w:val="00E629AE"/>
    <w:rsid w:val="00E6749B"/>
    <w:rsid w:val="00E71EB7"/>
    <w:rsid w:val="00E73C4D"/>
    <w:rsid w:val="00E762FE"/>
    <w:rsid w:val="00E91AC9"/>
    <w:rsid w:val="00E960AC"/>
    <w:rsid w:val="00EB5B04"/>
    <w:rsid w:val="00EE2D8A"/>
    <w:rsid w:val="00EF6D9D"/>
    <w:rsid w:val="00F03EF9"/>
    <w:rsid w:val="00F14E19"/>
    <w:rsid w:val="00F53290"/>
    <w:rsid w:val="00F54ABC"/>
    <w:rsid w:val="00F6196C"/>
    <w:rsid w:val="00F622AF"/>
    <w:rsid w:val="00F65594"/>
    <w:rsid w:val="00F67D67"/>
    <w:rsid w:val="00F84996"/>
    <w:rsid w:val="00FA3941"/>
    <w:rsid w:val="00FC7060"/>
    <w:rsid w:val="00FD3720"/>
    <w:rsid w:val="00FE744C"/>
    <w:rsid w:val="00FF0DF9"/>
    <w:rsid w:val="00FF636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A626CAC"/>
  <w15:docId w15:val="{186E1E67-5E04-4C2E-9A0F-200C3CDB9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10FE5"/>
    <w:pPr>
      <w:spacing w:line="240" w:lineRule="atLeast"/>
    </w:pPr>
  </w:style>
  <w:style w:type="paragraph" w:styleId="Heading1">
    <w:name w:val="heading 1"/>
    <w:aliases w:val="Cuadro_G,Table_G"/>
    <w:basedOn w:val="SingleTxtG"/>
    <w:next w:val="SingleTxtG"/>
    <w:link w:val="Heading1Char"/>
    <w:uiPriority w:val="9"/>
    <w:qFormat/>
    <w:rsid w:val="00A10FE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semiHidden/>
    <w:rsid w:val="00A10FE5"/>
    <w:pPr>
      <w:keepNext/>
      <w:outlineLvl w:val="1"/>
    </w:pPr>
    <w:rPr>
      <w:rFonts w:cs="Arial"/>
      <w:bCs/>
      <w:iCs/>
      <w:szCs w:val="28"/>
    </w:rPr>
  </w:style>
  <w:style w:type="paragraph" w:styleId="Heading3">
    <w:name w:val="heading 3"/>
    <w:basedOn w:val="Normal"/>
    <w:next w:val="Normal"/>
    <w:link w:val="Heading3Char"/>
    <w:semiHidden/>
    <w:rsid w:val="00A10FE5"/>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A10FE5"/>
    <w:pPr>
      <w:keepNext/>
      <w:spacing w:before="240" w:after="60"/>
      <w:outlineLvl w:val="3"/>
    </w:pPr>
    <w:rPr>
      <w:b/>
      <w:bCs/>
      <w:sz w:val="28"/>
      <w:szCs w:val="28"/>
    </w:rPr>
  </w:style>
  <w:style w:type="paragraph" w:styleId="Heading5">
    <w:name w:val="heading 5"/>
    <w:basedOn w:val="Normal"/>
    <w:next w:val="Normal"/>
    <w:link w:val="Heading5Char"/>
    <w:semiHidden/>
    <w:rsid w:val="00A10FE5"/>
    <w:pPr>
      <w:spacing w:before="240" w:after="60"/>
      <w:outlineLvl w:val="4"/>
    </w:pPr>
    <w:rPr>
      <w:b/>
      <w:bCs/>
      <w:i/>
      <w:iCs/>
      <w:sz w:val="26"/>
      <w:szCs w:val="26"/>
    </w:rPr>
  </w:style>
  <w:style w:type="paragraph" w:styleId="Heading6">
    <w:name w:val="heading 6"/>
    <w:basedOn w:val="Normal"/>
    <w:next w:val="Normal"/>
    <w:link w:val="Heading6Char"/>
    <w:semiHidden/>
    <w:rsid w:val="00A10FE5"/>
    <w:pPr>
      <w:spacing w:before="240" w:after="60"/>
      <w:outlineLvl w:val="5"/>
    </w:pPr>
    <w:rPr>
      <w:b/>
      <w:bCs/>
      <w:sz w:val="22"/>
      <w:szCs w:val="22"/>
    </w:rPr>
  </w:style>
  <w:style w:type="paragraph" w:styleId="Heading7">
    <w:name w:val="heading 7"/>
    <w:basedOn w:val="Normal"/>
    <w:next w:val="Normal"/>
    <w:link w:val="Heading7Char"/>
    <w:semiHidden/>
    <w:rsid w:val="00A10FE5"/>
    <w:pPr>
      <w:spacing w:before="240" w:after="60"/>
      <w:outlineLvl w:val="6"/>
    </w:pPr>
    <w:rPr>
      <w:sz w:val="24"/>
      <w:szCs w:val="24"/>
    </w:rPr>
  </w:style>
  <w:style w:type="paragraph" w:styleId="Heading8">
    <w:name w:val="heading 8"/>
    <w:basedOn w:val="Normal"/>
    <w:next w:val="Normal"/>
    <w:link w:val="Heading8Char"/>
    <w:semiHidden/>
    <w:rsid w:val="00A10FE5"/>
    <w:pPr>
      <w:spacing w:before="240" w:after="60"/>
      <w:outlineLvl w:val="7"/>
    </w:pPr>
    <w:rPr>
      <w:i/>
      <w:iCs/>
      <w:sz w:val="24"/>
      <w:szCs w:val="24"/>
    </w:rPr>
  </w:style>
  <w:style w:type="paragraph" w:styleId="Heading9">
    <w:name w:val="heading 9"/>
    <w:basedOn w:val="Normal"/>
    <w:next w:val="Normal"/>
    <w:link w:val="Heading9Char"/>
    <w:semiHidden/>
    <w:rsid w:val="00A10FE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A10FE5"/>
    <w:rPr>
      <w:rFonts w:ascii="Times New Roman" w:hAnsi="Times New Roman"/>
      <w:sz w:val="18"/>
      <w:vertAlign w:val="superscript"/>
    </w:rPr>
  </w:style>
  <w:style w:type="paragraph" w:customStyle="1" w:styleId="HMG">
    <w:name w:val="_ H __M_G"/>
    <w:basedOn w:val="Normal"/>
    <w:next w:val="Normal"/>
    <w:qFormat/>
    <w:rsid w:val="00A10FE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10FE5"/>
    <w:pPr>
      <w:keepNext/>
      <w:keepLines/>
      <w:tabs>
        <w:tab w:val="right" w:pos="851"/>
      </w:tabs>
      <w:suppressAutoHyphens/>
      <w:spacing w:before="360" w:after="240" w:line="300" w:lineRule="exact"/>
      <w:ind w:left="1134" w:right="1134" w:hanging="1134"/>
      <w:outlineLvl w:val="1"/>
    </w:pPr>
    <w:rPr>
      <w:b/>
      <w:sz w:val="28"/>
    </w:rPr>
  </w:style>
  <w:style w:type="paragraph" w:customStyle="1" w:styleId="Bullet1G">
    <w:name w:val="_Bullet 1_G"/>
    <w:basedOn w:val="Normal"/>
    <w:uiPriority w:val="1"/>
    <w:qFormat/>
    <w:rsid w:val="00A10FE5"/>
    <w:pPr>
      <w:numPr>
        <w:numId w:val="1"/>
      </w:numPr>
      <w:spacing w:after="120"/>
      <w:ind w:right="1134"/>
      <w:jc w:val="both"/>
    </w:pPr>
    <w:rPr>
      <w:lang w:eastAsia="en-US"/>
    </w:rPr>
  </w:style>
  <w:style w:type="paragraph" w:customStyle="1" w:styleId="Bullet2G">
    <w:name w:val="_Bullet 2_G"/>
    <w:basedOn w:val="Normal"/>
    <w:uiPriority w:val="1"/>
    <w:qFormat/>
    <w:rsid w:val="00A10FE5"/>
    <w:pPr>
      <w:numPr>
        <w:numId w:val="2"/>
      </w:numPr>
      <w:spacing w:after="120"/>
      <w:ind w:right="1134"/>
      <w:jc w:val="both"/>
    </w:pPr>
  </w:style>
  <w:style w:type="paragraph" w:customStyle="1" w:styleId="H1G">
    <w:name w:val="_ H_1_G"/>
    <w:basedOn w:val="Normal"/>
    <w:next w:val="Normal"/>
    <w:qFormat/>
    <w:rsid w:val="00A10FE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10FE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link w:val="H4GCar"/>
    <w:qFormat/>
    <w:rsid w:val="00A10FE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10FE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A10FE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10FE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10FE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10FE5"/>
    <w:pPr>
      <w:keepNext/>
      <w:keepLines/>
      <w:spacing w:before="240" w:after="240" w:line="580" w:lineRule="exact"/>
      <w:ind w:left="1134" w:right="1134"/>
    </w:pPr>
    <w:rPr>
      <w:b/>
      <w:sz w:val="56"/>
    </w:rPr>
  </w:style>
  <w:style w:type="paragraph" w:customStyle="1" w:styleId="SSG">
    <w:name w:val="__S_S_G"/>
    <w:basedOn w:val="Normal"/>
    <w:next w:val="Normal"/>
    <w:uiPriority w:val="5"/>
    <w:rsid w:val="00A10FE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A10FE5"/>
    <w:rPr>
      <w:sz w:val="16"/>
    </w:rPr>
  </w:style>
  <w:style w:type="paragraph" w:customStyle="1" w:styleId="XLargeG">
    <w:name w:val="__XLarge_G"/>
    <w:basedOn w:val="Normal"/>
    <w:next w:val="Normal"/>
    <w:uiPriority w:val="5"/>
    <w:rsid w:val="00A10FE5"/>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A10FE5"/>
    <w:pPr>
      <w:tabs>
        <w:tab w:val="right" w:pos="1021"/>
      </w:tabs>
      <w:spacing w:line="220" w:lineRule="exact"/>
      <w:ind w:left="1134" w:right="1134" w:hanging="1134"/>
    </w:pPr>
    <w:rPr>
      <w:sz w:val="18"/>
    </w:rPr>
  </w:style>
  <w:style w:type="numbering" w:styleId="111111">
    <w:name w:val="Outline List 2"/>
    <w:basedOn w:val="NoList"/>
    <w:rsid w:val="00A10FE5"/>
    <w:pPr>
      <w:numPr>
        <w:numId w:val="4"/>
      </w:numPr>
    </w:pPr>
  </w:style>
  <w:style w:type="numbering" w:styleId="1ai">
    <w:name w:val="Outline List 1"/>
    <w:basedOn w:val="NoList"/>
    <w:rsid w:val="00A10FE5"/>
    <w:pPr>
      <w:numPr>
        <w:numId w:val="5"/>
      </w:numPr>
    </w:pPr>
  </w:style>
  <w:style w:type="character" w:styleId="HTMLAcronym">
    <w:name w:val="HTML Acronym"/>
    <w:basedOn w:val="DefaultParagraphFont"/>
    <w:semiHidden/>
    <w:rsid w:val="00A10FE5"/>
  </w:style>
  <w:style w:type="numbering" w:styleId="ArticleSection">
    <w:name w:val="Outline List 3"/>
    <w:basedOn w:val="NoList"/>
    <w:rsid w:val="00A10FE5"/>
    <w:pPr>
      <w:numPr>
        <w:numId w:val="7"/>
      </w:numPr>
    </w:pPr>
  </w:style>
  <w:style w:type="paragraph" w:styleId="Closing">
    <w:name w:val="Closing"/>
    <w:basedOn w:val="Normal"/>
    <w:link w:val="ClosingChar"/>
    <w:semiHidden/>
    <w:rsid w:val="00A10FE5"/>
    <w:pPr>
      <w:ind w:left="4252"/>
    </w:pPr>
  </w:style>
  <w:style w:type="character" w:styleId="HTMLCite">
    <w:name w:val="HTML Cite"/>
    <w:semiHidden/>
    <w:rsid w:val="00A10FE5"/>
    <w:rPr>
      <w:i/>
      <w:iCs/>
    </w:rPr>
  </w:style>
  <w:style w:type="character" w:styleId="HTMLCode">
    <w:name w:val="HTML Code"/>
    <w:semiHidden/>
    <w:rsid w:val="00A10FE5"/>
    <w:rPr>
      <w:rFonts w:ascii="Courier New" w:hAnsi="Courier New" w:cs="Courier New"/>
      <w:sz w:val="20"/>
      <w:szCs w:val="20"/>
    </w:rPr>
  </w:style>
  <w:style w:type="paragraph" w:styleId="ListContinue">
    <w:name w:val="List Continue"/>
    <w:basedOn w:val="Normal"/>
    <w:semiHidden/>
    <w:rsid w:val="00A10FE5"/>
    <w:pPr>
      <w:spacing w:after="120"/>
      <w:ind w:left="283"/>
    </w:pPr>
  </w:style>
  <w:style w:type="paragraph" w:styleId="ListContinue2">
    <w:name w:val="List Continue 2"/>
    <w:basedOn w:val="Normal"/>
    <w:semiHidden/>
    <w:rsid w:val="00A10FE5"/>
    <w:pPr>
      <w:spacing w:after="120"/>
      <w:ind w:left="566"/>
    </w:pPr>
  </w:style>
  <w:style w:type="paragraph" w:styleId="ListContinue3">
    <w:name w:val="List Continue 3"/>
    <w:basedOn w:val="Normal"/>
    <w:semiHidden/>
    <w:rsid w:val="00A10FE5"/>
    <w:pPr>
      <w:spacing w:after="120"/>
      <w:ind w:left="849"/>
    </w:pPr>
  </w:style>
  <w:style w:type="paragraph" w:styleId="ListContinue4">
    <w:name w:val="List Continue 4"/>
    <w:basedOn w:val="Normal"/>
    <w:semiHidden/>
    <w:rsid w:val="00A10FE5"/>
    <w:pPr>
      <w:spacing w:after="120"/>
      <w:ind w:left="1132"/>
    </w:pPr>
  </w:style>
  <w:style w:type="paragraph" w:styleId="ListContinue5">
    <w:name w:val="List Continue 5"/>
    <w:basedOn w:val="Normal"/>
    <w:semiHidden/>
    <w:rsid w:val="00A10FE5"/>
    <w:pPr>
      <w:spacing w:after="120"/>
      <w:ind w:left="1415"/>
    </w:pPr>
  </w:style>
  <w:style w:type="character" w:styleId="HTMLDefinition">
    <w:name w:val="HTML Definition"/>
    <w:semiHidden/>
    <w:rsid w:val="00A10FE5"/>
    <w:rPr>
      <w:i/>
      <w:iCs/>
    </w:rPr>
  </w:style>
  <w:style w:type="paragraph" w:styleId="HTMLAddress">
    <w:name w:val="HTML Address"/>
    <w:basedOn w:val="Normal"/>
    <w:link w:val="HTMLAddressChar"/>
    <w:semiHidden/>
    <w:rsid w:val="00A10FE5"/>
    <w:rPr>
      <w:i/>
      <w:iCs/>
    </w:rPr>
  </w:style>
  <w:style w:type="paragraph" w:styleId="EnvelopeAddress">
    <w:name w:val="envelope address"/>
    <w:basedOn w:val="Normal"/>
    <w:semiHidden/>
    <w:rsid w:val="00A10FE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A10FE5"/>
    <w:rPr>
      <w:rFonts w:ascii="Courier New" w:hAnsi="Courier New" w:cs="Courier New"/>
    </w:rPr>
  </w:style>
  <w:style w:type="paragraph" w:styleId="MessageHeader">
    <w:name w:val="Message Header"/>
    <w:basedOn w:val="Normal"/>
    <w:link w:val="MessageHeaderChar"/>
    <w:semiHidden/>
    <w:rsid w:val="00A10FE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A10FE5"/>
  </w:style>
  <w:style w:type="paragraph" w:styleId="Date">
    <w:name w:val="Date"/>
    <w:basedOn w:val="Normal"/>
    <w:next w:val="Normal"/>
    <w:link w:val="DateChar"/>
    <w:semiHidden/>
    <w:rsid w:val="00A10FE5"/>
  </w:style>
  <w:style w:type="paragraph" w:styleId="Signature">
    <w:name w:val="Signature"/>
    <w:basedOn w:val="Normal"/>
    <w:link w:val="SignatureChar"/>
    <w:semiHidden/>
    <w:rsid w:val="00A10FE5"/>
    <w:pPr>
      <w:ind w:left="4252"/>
    </w:pPr>
  </w:style>
  <w:style w:type="paragraph" w:styleId="E-mailSignature">
    <w:name w:val="E-mail Signature"/>
    <w:basedOn w:val="Normal"/>
    <w:link w:val="E-mailSignatureChar"/>
    <w:semiHidden/>
    <w:rsid w:val="00A10FE5"/>
  </w:style>
  <w:style w:type="character" w:styleId="Hyperlink">
    <w:name w:val="Hyperlink"/>
    <w:uiPriority w:val="4"/>
    <w:rsid w:val="00A10FE5"/>
    <w:rPr>
      <w:color w:val="0000FF"/>
      <w:u w:val="none"/>
    </w:rPr>
  </w:style>
  <w:style w:type="character" w:styleId="FollowedHyperlink">
    <w:name w:val="FollowedHyperlink"/>
    <w:uiPriority w:val="4"/>
    <w:rsid w:val="00A10FE5"/>
    <w:rPr>
      <w:color w:val="0000FF"/>
      <w:u w:val="none"/>
    </w:rPr>
  </w:style>
  <w:style w:type="paragraph" w:styleId="HTMLPreformatted">
    <w:name w:val="HTML Preformatted"/>
    <w:basedOn w:val="Normal"/>
    <w:link w:val="HTMLPreformattedChar"/>
    <w:semiHidden/>
    <w:rsid w:val="00A10FE5"/>
    <w:rPr>
      <w:rFonts w:ascii="Courier New" w:hAnsi="Courier New" w:cs="Courier New"/>
    </w:rPr>
  </w:style>
  <w:style w:type="paragraph" w:styleId="List">
    <w:name w:val="List"/>
    <w:basedOn w:val="Normal"/>
    <w:semiHidden/>
    <w:rsid w:val="00A10FE5"/>
    <w:pPr>
      <w:ind w:left="283" w:hanging="283"/>
    </w:pPr>
  </w:style>
  <w:style w:type="paragraph" w:styleId="List2">
    <w:name w:val="List 2"/>
    <w:basedOn w:val="Normal"/>
    <w:semiHidden/>
    <w:rsid w:val="00A10FE5"/>
    <w:pPr>
      <w:ind w:left="566" w:hanging="283"/>
    </w:pPr>
  </w:style>
  <w:style w:type="paragraph" w:styleId="List3">
    <w:name w:val="List 3"/>
    <w:basedOn w:val="Normal"/>
    <w:semiHidden/>
    <w:rsid w:val="00A10FE5"/>
    <w:pPr>
      <w:ind w:left="849" w:hanging="283"/>
    </w:pPr>
  </w:style>
  <w:style w:type="paragraph" w:styleId="List4">
    <w:name w:val="List 4"/>
    <w:basedOn w:val="Normal"/>
    <w:semiHidden/>
    <w:rsid w:val="00A10FE5"/>
    <w:pPr>
      <w:ind w:left="1132" w:hanging="283"/>
    </w:pPr>
  </w:style>
  <w:style w:type="paragraph" w:styleId="List5">
    <w:name w:val="List 5"/>
    <w:basedOn w:val="Normal"/>
    <w:semiHidden/>
    <w:rsid w:val="00A10FE5"/>
    <w:pPr>
      <w:ind w:left="1415" w:hanging="283"/>
    </w:pPr>
  </w:style>
  <w:style w:type="paragraph" w:styleId="ListNumber">
    <w:name w:val="List Number"/>
    <w:basedOn w:val="Normal"/>
    <w:semiHidden/>
    <w:rsid w:val="00A10FE5"/>
    <w:pPr>
      <w:numPr>
        <w:numId w:val="13"/>
      </w:numPr>
    </w:pPr>
  </w:style>
  <w:style w:type="paragraph" w:styleId="ListNumber2">
    <w:name w:val="List Number 2"/>
    <w:basedOn w:val="Normal"/>
    <w:semiHidden/>
    <w:rsid w:val="00A10FE5"/>
    <w:pPr>
      <w:numPr>
        <w:numId w:val="14"/>
      </w:numPr>
    </w:pPr>
  </w:style>
  <w:style w:type="paragraph" w:styleId="ListNumber3">
    <w:name w:val="List Number 3"/>
    <w:basedOn w:val="Normal"/>
    <w:semiHidden/>
    <w:rsid w:val="00A10FE5"/>
    <w:pPr>
      <w:numPr>
        <w:numId w:val="15"/>
      </w:numPr>
    </w:pPr>
  </w:style>
  <w:style w:type="paragraph" w:styleId="ListNumber4">
    <w:name w:val="List Number 4"/>
    <w:basedOn w:val="Normal"/>
    <w:semiHidden/>
    <w:rsid w:val="00A10FE5"/>
    <w:pPr>
      <w:numPr>
        <w:numId w:val="16"/>
      </w:numPr>
    </w:pPr>
  </w:style>
  <w:style w:type="paragraph" w:styleId="ListNumber5">
    <w:name w:val="List Number 5"/>
    <w:basedOn w:val="Normal"/>
    <w:semiHidden/>
    <w:rsid w:val="00A10FE5"/>
    <w:pPr>
      <w:numPr>
        <w:numId w:val="17"/>
      </w:numPr>
    </w:pPr>
  </w:style>
  <w:style w:type="paragraph" w:styleId="ListBullet">
    <w:name w:val="List Bullet"/>
    <w:basedOn w:val="Normal"/>
    <w:semiHidden/>
    <w:rsid w:val="00A10FE5"/>
    <w:pPr>
      <w:numPr>
        <w:numId w:val="8"/>
      </w:numPr>
    </w:pPr>
  </w:style>
  <w:style w:type="paragraph" w:styleId="ListBullet2">
    <w:name w:val="List Bullet 2"/>
    <w:basedOn w:val="Normal"/>
    <w:semiHidden/>
    <w:rsid w:val="00A10FE5"/>
    <w:pPr>
      <w:numPr>
        <w:numId w:val="9"/>
      </w:numPr>
    </w:pPr>
  </w:style>
  <w:style w:type="paragraph" w:styleId="ListBullet3">
    <w:name w:val="List Bullet 3"/>
    <w:basedOn w:val="Normal"/>
    <w:semiHidden/>
    <w:rsid w:val="00A10FE5"/>
    <w:pPr>
      <w:numPr>
        <w:numId w:val="10"/>
      </w:numPr>
    </w:pPr>
  </w:style>
  <w:style w:type="paragraph" w:styleId="ListBullet4">
    <w:name w:val="List Bullet 4"/>
    <w:basedOn w:val="Normal"/>
    <w:semiHidden/>
    <w:rsid w:val="00A10FE5"/>
    <w:pPr>
      <w:numPr>
        <w:numId w:val="11"/>
      </w:numPr>
    </w:pPr>
  </w:style>
  <w:style w:type="paragraph" w:styleId="ListBullet5">
    <w:name w:val="List Bullet 5"/>
    <w:basedOn w:val="Normal"/>
    <w:semiHidden/>
    <w:rsid w:val="00A10FE5"/>
    <w:pPr>
      <w:numPr>
        <w:numId w:val="12"/>
      </w:numPr>
    </w:pPr>
  </w:style>
  <w:style w:type="character" w:styleId="HTMLTypewriter">
    <w:name w:val="HTML Typewriter"/>
    <w:semiHidden/>
    <w:rsid w:val="00A10FE5"/>
    <w:rPr>
      <w:rFonts w:ascii="Courier New" w:hAnsi="Courier New" w:cs="Courier New"/>
      <w:sz w:val="20"/>
      <w:szCs w:val="20"/>
    </w:rPr>
  </w:style>
  <w:style w:type="paragraph" w:styleId="NormalWeb">
    <w:name w:val="Normal (Web)"/>
    <w:basedOn w:val="Normal"/>
    <w:semiHidden/>
    <w:rsid w:val="00A10FE5"/>
    <w:rPr>
      <w:sz w:val="24"/>
      <w:szCs w:val="24"/>
    </w:rPr>
  </w:style>
  <w:style w:type="character" w:styleId="LineNumber">
    <w:name w:val="line number"/>
    <w:basedOn w:val="DefaultParagraphFont"/>
    <w:semiHidden/>
    <w:rsid w:val="00A10FE5"/>
  </w:style>
  <w:style w:type="paragraph" w:styleId="EnvelopeReturn">
    <w:name w:val="envelope return"/>
    <w:basedOn w:val="Normal"/>
    <w:semiHidden/>
    <w:rsid w:val="00A10FE5"/>
    <w:rPr>
      <w:rFonts w:ascii="Arial" w:hAnsi="Arial" w:cs="Arial"/>
    </w:rPr>
  </w:style>
  <w:style w:type="paragraph" w:styleId="Salutation">
    <w:name w:val="Salutation"/>
    <w:basedOn w:val="Normal"/>
    <w:next w:val="Normal"/>
    <w:link w:val="SalutationChar"/>
    <w:semiHidden/>
    <w:rsid w:val="00A10FE5"/>
  </w:style>
  <w:style w:type="paragraph" w:styleId="BodyTextIndent2">
    <w:name w:val="Body Text Indent 2"/>
    <w:basedOn w:val="Normal"/>
    <w:link w:val="BodyTextIndent2Char"/>
    <w:semiHidden/>
    <w:rsid w:val="00A10FE5"/>
    <w:pPr>
      <w:spacing w:after="120" w:line="480" w:lineRule="auto"/>
      <w:ind w:left="283"/>
    </w:pPr>
  </w:style>
  <w:style w:type="paragraph" w:styleId="BodyTextIndent3">
    <w:name w:val="Body Text Indent 3"/>
    <w:basedOn w:val="Normal"/>
    <w:link w:val="BodyTextIndent3Char"/>
    <w:semiHidden/>
    <w:rsid w:val="00A10FE5"/>
    <w:pPr>
      <w:spacing w:after="120"/>
      <w:ind w:left="283"/>
    </w:pPr>
    <w:rPr>
      <w:sz w:val="16"/>
      <w:szCs w:val="16"/>
    </w:rPr>
  </w:style>
  <w:style w:type="paragraph" w:styleId="BodyTextIndent">
    <w:name w:val="Body Text Indent"/>
    <w:basedOn w:val="Normal"/>
    <w:link w:val="BodyTextIndentChar"/>
    <w:semiHidden/>
    <w:rsid w:val="00A10FE5"/>
    <w:pPr>
      <w:spacing w:after="120"/>
      <w:ind w:left="283"/>
    </w:pPr>
  </w:style>
  <w:style w:type="paragraph" w:styleId="NormalIndent">
    <w:name w:val="Normal Indent"/>
    <w:basedOn w:val="Normal"/>
    <w:semiHidden/>
    <w:rsid w:val="00A10FE5"/>
    <w:pPr>
      <w:ind w:left="567"/>
    </w:pPr>
  </w:style>
  <w:style w:type="table" w:styleId="TableSimple1">
    <w:name w:val="Table Simple 1"/>
    <w:basedOn w:val="TableNormal"/>
    <w:rsid w:val="00A10FE5"/>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A10FE5"/>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A10FE5"/>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A10FE5"/>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A10FE5"/>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A10FE5"/>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A10FE5"/>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A10FE5"/>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A10FE5"/>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A10FE5"/>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A10FE5"/>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A10FE5"/>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rsid w:val="00A10FE5"/>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A10FE5"/>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A10FE5"/>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A10FE5"/>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A10FE5"/>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A10FE5"/>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A10FE5"/>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A10FE5"/>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A10FE5"/>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A10FE5"/>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A10FE5"/>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A10FE5"/>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A10FE5"/>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A10FE5"/>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A10FE5"/>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A10FE5"/>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A10FE5"/>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A10FE5"/>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A10FE5"/>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A10FE5"/>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A10FE5"/>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A10FE5"/>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A10FE5"/>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A10FE5"/>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A10FE5"/>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A10FE5"/>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A10FE5"/>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A10FE5"/>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A10FE5"/>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A10FE5"/>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A10FE5"/>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A10FE5"/>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A10FE5"/>
    <w:rPr>
      <w:rFonts w:ascii="Courier New" w:hAnsi="Courier New" w:cs="Courier New"/>
      <w:sz w:val="20"/>
      <w:szCs w:val="20"/>
    </w:rPr>
  </w:style>
  <w:style w:type="paragraph" w:styleId="BlockText">
    <w:name w:val="Block Text"/>
    <w:basedOn w:val="Normal"/>
    <w:semiHidden/>
    <w:rsid w:val="00A10FE5"/>
    <w:pPr>
      <w:spacing w:after="120"/>
      <w:ind w:left="1440" w:right="1440"/>
    </w:pPr>
  </w:style>
  <w:style w:type="paragraph" w:customStyle="1" w:styleId="ParNoG">
    <w:name w:val="_ParNo_G"/>
    <w:basedOn w:val="Normal"/>
    <w:uiPriority w:val="1"/>
    <w:qFormat/>
    <w:rsid w:val="00A10FE5"/>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paragraph" w:styleId="BodyText">
    <w:name w:val="Body Text"/>
    <w:basedOn w:val="Normal"/>
    <w:link w:val="BodyTextChar"/>
    <w:semiHidden/>
    <w:rsid w:val="00A10FE5"/>
    <w:pPr>
      <w:spacing w:after="120"/>
    </w:pPr>
  </w:style>
  <w:style w:type="paragraph" w:styleId="BodyText2">
    <w:name w:val="Body Text 2"/>
    <w:basedOn w:val="Normal"/>
    <w:link w:val="BodyText2Char"/>
    <w:semiHidden/>
    <w:rsid w:val="00A10FE5"/>
    <w:pPr>
      <w:spacing w:after="120" w:line="480" w:lineRule="auto"/>
    </w:pPr>
  </w:style>
  <w:style w:type="paragraph" w:styleId="BodyText3">
    <w:name w:val="Body Text 3"/>
    <w:basedOn w:val="Normal"/>
    <w:link w:val="BodyText3Char"/>
    <w:semiHidden/>
    <w:rsid w:val="00A10FE5"/>
    <w:pPr>
      <w:spacing w:after="120"/>
    </w:pPr>
    <w:rPr>
      <w:sz w:val="16"/>
      <w:szCs w:val="16"/>
    </w:rPr>
  </w:style>
  <w:style w:type="paragraph" w:styleId="BodyTextFirstIndent">
    <w:name w:val="Body Text First Indent"/>
    <w:basedOn w:val="BodyText"/>
    <w:link w:val="BodyTextFirstIndentChar"/>
    <w:semiHidden/>
    <w:rsid w:val="00A10FE5"/>
    <w:pPr>
      <w:ind w:firstLine="210"/>
    </w:pPr>
  </w:style>
  <w:style w:type="paragraph" w:styleId="BodyTextFirstIndent2">
    <w:name w:val="Body Text First Indent 2"/>
    <w:basedOn w:val="BodyTextIndent"/>
    <w:link w:val="BodyTextFirstIndent2Char"/>
    <w:semiHidden/>
    <w:rsid w:val="00A10FE5"/>
    <w:pPr>
      <w:ind w:firstLine="210"/>
    </w:pPr>
  </w:style>
  <w:style w:type="paragraph" w:styleId="EndnoteText">
    <w:name w:val="endnote text"/>
    <w:aliases w:val="2_G"/>
    <w:basedOn w:val="FootnoteText"/>
    <w:link w:val="EndnoteTextChar"/>
    <w:uiPriority w:val="3"/>
    <w:qFormat/>
    <w:rsid w:val="00A10FE5"/>
  </w:style>
  <w:style w:type="paragraph" w:styleId="PlainText">
    <w:name w:val="Plain Text"/>
    <w:basedOn w:val="Normal"/>
    <w:link w:val="PlainTextChar"/>
    <w:semiHidden/>
    <w:rsid w:val="00A10FE5"/>
    <w:rPr>
      <w:rFonts w:ascii="Courier New" w:hAnsi="Courier New" w:cs="Courier New"/>
    </w:rPr>
  </w:style>
  <w:style w:type="character" w:styleId="HTMLVariable">
    <w:name w:val="HTML Variable"/>
    <w:semiHidden/>
    <w:rsid w:val="00A10FE5"/>
    <w:rPr>
      <w:i/>
      <w:iCs/>
    </w:rPr>
  </w:style>
  <w:style w:type="character" w:styleId="EndnoteReference">
    <w:name w:val="endnote reference"/>
    <w:aliases w:val="1_G"/>
    <w:uiPriority w:val="3"/>
    <w:qFormat/>
    <w:rsid w:val="00A10FE5"/>
    <w:rPr>
      <w:rFonts w:ascii="Times New Roman" w:hAnsi="Times New Roman"/>
      <w:sz w:val="18"/>
      <w:vertAlign w:val="superscript"/>
    </w:rPr>
  </w:style>
  <w:style w:type="character" w:styleId="PageNumber">
    <w:name w:val="page number"/>
    <w:aliases w:val="7_G"/>
    <w:uiPriority w:val="3"/>
    <w:qFormat/>
    <w:rsid w:val="00A10FE5"/>
    <w:rPr>
      <w:b/>
      <w:sz w:val="18"/>
    </w:rPr>
  </w:style>
  <w:style w:type="character" w:customStyle="1" w:styleId="SingleTxtGChar">
    <w:name w:val="_ Single Txt_G Char"/>
    <w:link w:val="SingleTxtG"/>
    <w:uiPriority w:val="1"/>
    <w:rsid w:val="00A10FE5"/>
  </w:style>
  <w:style w:type="character" w:customStyle="1" w:styleId="HeaderChar">
    <w:name w:val="Header Char"/>
    <w:aliases w:val="6_G Char"/>
    <w:basedOn w:val="DefaultParagraphFont"/>
    <w:link w:val="Header"/>
    <w:uiPriority w:val="3"/>
    <w:locked/>
    <w:rsid w:val="00A10FE5"/>
    <w:rPr>
      <w:b/>
      <w:sz w:val="18"/>
    </w:rPr>
  </w:style>
  <w:style w:type="character" w:customStyle="1" w:styleId="FooterChar">
    <w:name w:val="Footer Char"/>
    <w:aliases w:val="3_G Char"/>
    <w:basedOn w:val="DefaultParagraphFont"/>
    <w:link w:val="Footer"/>
    <w:uiPriority w:val="3"/>
    <w:rsid w:val="00A10FE5"/>
    <w:rPr>
      <w:sz w:val="16"/>
    </w:rPr>
  </w:style>
  <w:style w:type="character" w:customStyle="1" w:styleId="H4GCar">
    <w:name w:val="_ H_4_G Car"/>
    <w:basedOn w:val="DefaultParagraphFont"/>
    <w:link w:val="H4G"/>
    <w:rsid w:val="00D645CB"/>
    <w:rPr>
      <w:i/>
    </w:rPr>
  </w:style>
  <w:style w:type="paragraph" w:customStyle="1" w:styleId="1ParNoG">
    <w:name w:val="1 _ParNo_G"/>
    <w:basedOn w:val="Normal"/>
    <w:uiPriority w:val="1"/>
    <w:qFormat/>
    <w:rsid w:val="00A10FE5"/>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A10FE5"/>
    <w:pPr>
      <w:numPr>
        <w:ilvl w:val="2"/>
        <w:numId w:val="6"/>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A10FE5"/>
  </w:style>
  <w:style w:type="character" w:customStyle="1" w:styleId="BodyText2Char">
    <w:name w:val="Body Text 2 Char"/>
    <w:basedOn w:val="DefaultParagraphFont"/>
    <w:link w:val="BodyText2"/>
    <w:semiHidden/>
    <w:rsid w:val="00A10FE5"/>
  </w:style>
  <w:style w:type="character" w:customStyle="1" w:styleId="BodyText3Char">
    <w:name w:val="Body Text 3 Char"/>
    <w:basedOn w:val="DefaultParagraphFont"/>
    <w:link w:val="BodyText3"/>
    <w:semiHidden/>
    <w:rsid w:val="00A10FE5"/>
    <w:rPr>
      <w:sz w:val="16"/>
      <w:szCs w:val="16"/>
    </w:rPr>
  </w:style>
  <w:style w:type="character" w:customStyle="1" w:styleId="BodyTextFirstIndentChar">
    <w:name w:val="Body Text First Indent Char"/>
    <w:basedOn w:val="BodyTextChar"/>
    <w:link w:val="BodyTextFirstIndent"/>
    <w:semiHidden/>
    <w:rsid w:val="00A10FE5"/>
  </w:style>
  <w:style w:type="character" w:customStyle="1" w:styleId="BodyTextIndentChar">
    <w:name w:val="Body Text Indent Char"/>
    <w:basedOn w:val="DefaultParagraphFont"/>
    <w:link w:val="BodyTextIndent"/>
    <w:semiHidden/>
    <w:rsid w:val="00A10FE5"/>
  </w:style>
  <w:style w:type="character" w:customStyle="1" w:styleId="BodyTextFirstIndent2Char">
    <w:name w:val="Body Text First Indent 2 Char"/>
    <w:basedOn w:val="BodyTextIndentChar"/>
    <w:link w:val="BodyTextFirstIndent2"/>
    <w:semiHidden/>
    <w:rsid w:val="00A10FE5"/>
  </w:style>
  <w:style w:type="character" w:customStyle="1" w:styleId="BodyTextIndent2Char">
    <w:name w:val="Body Text Indent 2 Char"/>
    <w:basedOn w:val="DefaultParagraphFont"/>
    <w:link w:val="BodyTextIndent2"/>
    <w:semiHidden/>
    <w:rsid w:val="00A10FE5"/>
  </w:style>
  <w:style w:type="character" w:customStyle="1" w:styleId="BodyTextIndent3Char">
    <w:name w:val="Body Text Indent 3 Char"/>
    <w:basedOn w:val="DefaultParagraphFont"/>
    <w:link w:val="BodyTextIndent3"/>
    <w:semiHidden/>
    <w:rsid w:val="00A10FE5"/>
    <w:rPr>
      <w:sz w:val="16"/>
      <w:szCs w:val="16"/>
    </w:rPr>
  </w:style>
  <w:style w:type="character" w:customStyle="1" w:styleId="ClosingChar">
    <w:name w:val="Closing Char"/>
    <w:basedOn w:val="DefaultParagraphFont"/>
    <w:link w:val="Closing"/>
    <w:semiHidden/>
    <w:rsid w:val="00A10FE5"/>
  </w:style>
  <w:style w:type="character" w:customStyle="1" w:styleId="DateChar">
    <w:name w:val="Date Char"/>
    <w:basedOn w:val="DefaultParagraphFont"/>
    <w:link w:val="Date"/>
    <w:semiHidden/>
    <w:rsid w:val="00A10FE5"/>
  </w:style>
  <w:style w:type="character" w:customStyle="1" w:styleId="E-mailSignatureChar">
    <w:name w:val="E-mail Signature Char"/>
    <w:basedOn w:val="DefaultParagraphFont"/>
    <w:link w:val="E-mailSignature"/>
    <w:semiHidden/>
    <w:rsid w:val="00A10FE5"/>
  </w:style>
  <w:style w:type="character" w:customStyle="1" w:styleId="FootnoteTextChar">
    <w:name w:val="Footnote Text Char"/>
    <w:aliases w:val="5_G Char"/>
    <w:basedOn w:val="DefaultParagraphFont"/>
    <w:link w:val="FootnoteText"/>
    <w:uiPriority w:val="3"/>
    <w:rsid w:val="00A10FE5"/>
    <w:rPr>
      <w:sz w:val="18"/>
    </w:rPr>
  </w:style>
  <w:style w:type="character" w:customStyle="1" w:styleId="EndnoteTextChar">
    <w:name w:val="Endnote Text Char"/>
    <w:aliases w:val="2_G Char"/>
    <w:basedOn w:val="DefaultParagraphFont"/>
    <w:link w:val="EndnoteText"/>
    <w:uiPriority w:val="3"/>
    <w:rsid w:val="00A10FE5"/>
    <w:rPr>
      <w:sz w:val="18"/>
    </w:rPr>
  </w:style>
  <w:style w:type="character" w:customStyle="1" w:styleId="Heading1Char">
    <w:name w:val="Heading 1 Char"/>
    <w:aliases w:val="Cuadro_G Char,Table_G Char"/>
    <w:basedOn w:val="DefaultParagraphFont"/>
    <w:link w:val="Heading1"/>
    <w:uiPriority w:val="9"/>
    <w:rsid w:val="00A10FE5"/>
    <w:rPr>
      <w:lang w:val="fr-CH" w:eastAsia="en-US"/>
    </w:rPr>
  </w:style>
  <w:style w:type="character" w:customStyle="1" w:styleId="HTMLAddressChar">
    <w:name w:val="HTML Address Char"/>
    <w:basedOn w:val="DefaultParagraphFont"/>
    <w:link w:val="HTMLAddress"/>
    <w:semiHidden/>
    <w:rsid w:val="00A10FE5"/>
    <w:rPr>
      <w:i/>
      <w:iCs/>
    </w:rPr>
  </w:style>
  <w:style w:type="character" w:customStyle="1" w:styleId="HTMLPreformattedChar">
    <w:name w:val="HTML Preformatted Char"/>
    <w:basedOn w:val="DefaultParagraphFont"/>
    <w:link w:val="HTMLPreformatted"/>
    <w:semiHidden/>
    <w:rsid w:val="00A10FE5"/>
    <w:rPr>
      <w:rFonts w:ascii="Courier New" w:hAnsi="Courier New" w:cs="Courier New"/>
    </w:rPr>
  </w:style>
  <w:style w:type="paragraph" w:styleId="IntenseQuote">
    <w:name w:val="Intense Quote"/>
    <w:basedOn w:val="Normal"/>
    <w:next w:val="Normal"/>
    <w:link w:val="IntenseQuoteChar"/>
    <w:uiPriority w:val="30"/>
    <w:rsid w:val="00A10FE5"/>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A10FE5"/>
    <w:rPr>
      <w:b/>
      <w:bCs/>
      <w:i/>
      <w:iCs/>
      <w:color w:val="4F81BD"/>
    </w:rPr>
  </w:style>
  <w:style w:type="character" w:customStyle="1" w:styleId="MessageHeaderChar">
    <w:name w:val="Message Header Char"/>
    <w:basedOn w:val="DefaultParagraphFont"/>
    <w:link w:val="MessageHeader"/>
    <w:semiHidden/>
    <w:rsid w:val="00A10FE5"/>
    <w:rPr>
      <w:rFonts w:ascii="Arial" w:hAnsi="Arial" w:cs="Arial"/>
      <w:sz w:val="24"/>
      <w:szCs w:val="24"/>
      <w:shd w:val="pct20" w:color="auto" w:fill="auto"/>
    </w:rPr>
  </w:style>
  <w:style w:type="character" w:customStyle="1" w:styleId="NoteHeadingChar">
    <w:name w:val="Note Heading Char"/>
    <w:basedOn w:val="DefaultParagraphFont"/>
    <w:link w:val="NoteHeading"/>
    <w:semiHidden/>
    <w:rsid w:val="00A10FE5"/>
  </w:style>
  <w:style w:type="character" w:customStyle="1" w:styleId="PlainTextChar">
    <w:name w:val="Plain Text Char"/>
    <w:basedOn w:val="DefaultParagraphFont"/>
    <w:link w:val="PlainText"/>
    <w:semiHidden/>
    <w:rsid w:val="00A10FE5"/>
    <w:rPr>
      <w:rFonts w:ascii="Courier New" w:hAnsi="Courier New" w:cs="Courier New"/>
    </w:rPr>
  </w:style>
  <w:style w:type="character" w:customStyle="1" w:styleId="SalutationChar">
    <w:name w:val="Salutation Char"/>
    <w:basedOn w:val="DefaultParagraphFont"/>
    <w:link w:val="Salutation"/>
    <w:semiHidden/>
    <w:rsid w:val="00A10FE5"/>
  </w:style>
  <w:style w:type="character" w:customStyle="1" w:styleId="SignatureChar">
    <w:name w:val="Signature Char"/>
    <w:basedOn w:val="DefaultParagraphFont"/>
    <w:link w:val="Signature"/>
    <w:semiHidden/>
    <w:rsid w:val="00A10FE5"/>
  </w:style>
  <w:style w:type="paragraph" w:customStyle="1" w:styleId="Table1G">
    <w:name w:val="Table_1_G"/>
    <w:basedOn w:val="Normal"/>
    <w:next w:val="Normal"/>
    <w:uiPriority w:val="2"/>
    <w:qFormat/>
    <w:rsid w:val="00A10FE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10FE5"/>
    <w:pPr>
      <w:spacing w:after="120"/>
    </w:pPr>
    <w:rPr>
      <w:b/>
    </w:rPr>
  </w:style>
  <w:style w:type="paragraph" w:customStyle="1" w:styleId="Table1Line3G">
    <w:name w:val="Table_1_Line3_G"/>
    <w:basedOn w:val="Table1line2G"/>
    <w:next w:val="Normal"/>
    <w:uiPriority w:val="2"/>
    <w:qFormat/>
    <w:rsid w:val="00A10FE5"/>
    <w:rPr>
      <w:b w:val="0"/>
      <w:sz w:val="16"/>
    </w:rPr>
  </w:style>
  <w:style w:type="paragraph" w:customStyle="1" w:styleId="TableH23G">
    <w:name w:val="Table_H2/3_G"/>
    <w:basedOn w:val="H23G"/>
    <w:uiPriority w:val="2"/>
    <w:qFormat/>
    <w:rsid w:val="00A10FE5"/>
    <w:pPr>
      <w:kinsoku w:val="0"/>
      <w:overflowPunct w:val="0"/>
      <w:autoSpaceDE w:val="0"/>
      <w:autoSpaceDN w:val="0"/>
      <w:adjustRightInd w:val="0"/>
      <w:snapToGrid w:val="0"/>
      <w:spacing w:before="0"/>
      <w:ind w:right="0" w:firstLine="0"/>
      <w:outlineLvl w:val="9"/>
    </w:pPr>
    <w:rPr>
      <w:rFonts w:eastAsiaTheme="minorHAnsi"/>
      <w:lang w:eastAsia="en-US"/>
    </w:rPr>
  </w:style>
  <w:style w:type="paragraph" w:styleId="TOC1">
    <w:name w:val="toc 1"/>
    <w:basedOn w:val="Normal"/>
    <w:next w:val="Normal"/>
    <w:uiPriority w:val="5"/>
    <w:unhideWhenUsed/>
    <w:rsid w:val="00A10FE5"/>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A10FE5"/>
    <w:pPr>
      <w:tabs>
        <w:tab w:val="clear" w:pos="851"/>
      </w:tabs>
      <w:ind w:left="1559" w:hanging="425"/>
    </w:pPr>
  </w:style>
  <w:style w:type="paragraph" w:styleId="TOC3">
    <w:name w:val="toc 3"/>
    <w:basedOn w:val="TOC2"/>
    <w:next w:val="Normal"/>
    <w:uiPriority w:val="5"/>
    <w:unhideWhenUsed/>
    <w:rsid w:val="00A10FE5"/>
    <w:pPr>
      <w:tabs>
        <w:tab w:val="left" w:pos="1985"/>
      </w:tabs>
      <w:ind w:left="1984"/>
    </w:pPr>
  </w:style>
  <w:style w:type="paragraph" w:styleId="TOC4">
    <w:name w:val="toc 4"/>
    <w:basedOn w:val="TOC1"/>
    <w:next w:val="Normal"/>
    <w:uiPriority w:val="5"/>
    <w:unhideWhenUsed/>
    <w:rsid w:val="00A10FE5"/>
    <w:pPr>
      <w:tabs>
        <w:tab w:val="clear" w:pos="9072"/>
        <w:tab w:val="left" w:leader="dot" w:pos="7938"/>
        <w:tab w:val="right" w:pos="8930"/>
      </w:tabs>
      <w:ind w:right="1701"/>
    </w:pPr>
  </w:style>
  <w:style w:type="paragraph" w:styleId="TOC5">
    <w:name w:val="toc 5"/>
    <w:basedOn w:val="TOC4"/>
    <w:next w:val="Normal"/>
    <w:uiPriority w:val="5"/>
    <w:unhideWhenUsed/>
    <w:rsid w:val="00A10FE5"/>
    <w:pPr>
      <w:tabs>
        <w:tab w:val="clear" w:pos="851"/>
      </w:tabs>
      <w:ind w:left="1559" w:hanging="425"/>
    </w:pPr>
  </w:style>
  <w:style w:type="paragraph" w:styleId="TOC6">
    <w:name w:val="toc 6"/>
    <w:basedOn w:val="TOC5"/>
    <w:next w:val="Normal"/>
    <w:uiPriority w:val="5"/>
    <w:unhideWhenUsed/>
    <w:rsid w:val="00A10FE5"/>
    <w:pPr>
      <w:tabs>
        <w:tab w:val="left" w:pos="1985"/>
      </w:tabs>
      <w:ind w:left="1984"/>
    </w:pPr>
  </w:style>
  <w:style w:type="paragraph" w:styleId="BalloonText">
    <w:name w:val="Balloon Text"/>
    <w:basedOn w:val="Normal"/>
    <w:link w:val="BalloonTextChar"/>
    <w:semiHidden/>
    <w:unhideWhenUsed/>
    <w:rsid w:val="00D7698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D76984"/>
    <w:rPr>
      <w:rFonts w:ascii="Segoe UI" w:hAnsi="Segoe UI" w:cs="Segoe UI"/>
      <w:sz w:val="18"/>
      <w:szCs w:val="18"/>
    </w:rPr>
  </w:style>
  <w:style w:type="character" w:styleId="Emphasis">
    <w:name w:val="Emphasis"/>
    <w:rsid w:val="009679FD"/>
    <w:rPr>
      <w:i/>
      <w:iCs/>
    </w:rPr>
  </w:style>
  <w:style w:type="paragraph" w:styleId="Subtitle">
    <w:name w:val="Subtitle"/>
    <w:basedOn w:val="Normal"/>
    <w:link w:val="SubtitleChar"/>
    <w:rsid w:val="009679FD"/>
    <w:pPr>
      <w:spacing w:after="60"/>
      <w:jc w:val="center"/>
      <w:outlineLvl w:val="1"/>
    </w:pPr>
    <w:rPr>
      <w:rFonts w:ascii="Arial" w:hAnsi="Arial" w:cs="Arial"/>
      <w:sz w:val="24"/>
      <w:szCs w:val="24"/>
    </w:rPr>
  </w:style>
  <w:style w:type="character" w:customStyle="1" w:styleId="SubtitleChar">
    <w:name w:val="Subtitle Char"/>
    <w:basedOn w:val="DefaultParagraphFont"/>
    <w:link w:val="Subtitle"/>
    <w:rsid w:val="009679FD"/>
    <w:rPr>
      <w:rFonts w:ascii="Arial" w:hAnsi="Arial" w:cs="Arial"/>
      <w:sz w:val="24"/>
      <w:szCs w:val="24"/>
    </w:rPr>
  </w:style>
  <w:style w:type="character" w:styleId="Strong">
    <w:name w:val="Strong"/>
    <w:rsid w:val="009679FD"/>
    <w:rPr>
      <w:b/>
      <w:bCs/>
    </w:rPr>
  </w:style>
  <w:style w:type="paragraph" w:styleId="Title">
    <w:name w:val="Title"/>
    <w:basedOn w:val="Normal"/>
    <w:link w:val="TitleChar"/>
    <w:rsid w:val="009679FD"/>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9679FD"/>
    <w:rPr>
      <w:rFonts w:ascii="Arial" w:hAnsi="Arial" w:cs="Arial"/>
      <w:b/>
      <w:bCs/>
      <w:kern w:val="28"/>
      <w:sz w:val="32"/>
      <w:szCs w:val="32"/>
    </w:rPr>
  </w:style>
  <w:style w:type="character" w:styleId="IntenseEmphasis">
    <w:name w:val="Intense Emphasis"/>
    <w:uiPriority w:val="21"/>
    <w:rsid w:val="009679FD"/>
    <w:rPr>
      <w:b/>
      <w:bCs/>
      <w:i/>
      <w:iCs/>
      <w:color w:val="4F81BD"/>
    </w:rPr>
  </w:style>
  <w:style w:type="character" w:customStyle="1" w:styleId="Heading2Char">
    <w:name w:val="Heading 2 Char"/>
    <w:basedOn w:val="DefaultParagraphFont"/>
    <w:link w:val="Heading2"/>
    <w:semiHidden/>
    <w:rsid w:val="009679FD"/>
    <w:rPr>
      <w:rFonts w:cs="Arial"/>
      <w:bCs/>
      <w:iCs/>
      <w:szCs w:val="28"/>
    </w:rPr>
  </w:style>
  <w:style w:type="character" w:customStyle="1" w:styleId="Heading3Char">
    <w:name w:val="Heading 3 Char"/>
    <w:basedOn w:val="DefaultParagraphFont"/>
    <w:link w:val="Heading3"/>
    <w:semiHidden/>
    <w:rsid w:val="009679FD"/>
    <w:rPr>
      <w:rFonts w:ascii="Arial" w:hAnsi="Arial" w:cs="Arial"/>
      <w:b/>
      <w:bCs/>
      <w:sz w:val="26"/>
      <w:szCs w:val="26"/>
    </w:rPr>
  </w:style>
  <w:style w:type="character" w:customStyle="1" w:styleId="Heading4Char">
    <w:name w:val="Heading 4 Char"/>
    <w:basedOn w:val="DefaultParagraphFont"/>
    <w:link w:val="Heading4"/>
    <w:semiHidden/>
    <w:rsid w:val="009679FD"/>
    <w:rPr>
      <w:b/>
      <w:bCs/>
      <w:sz w:val="28"/>
      <w:szCs w:val="28"/>
    </w:rPr>
  </w:style>
  <w:style w:type="character" w:customStyle="1" w:styleId="Heading5Char">
    <w:name w:val="Heading 5 Char"/>
    <w:basedOn w:val="DefaultParagraphFont"/>
    <w:link w:val="Heading5"/>
    <w:semiHidden/>
    <w:rsid w:val="009679FD"/>
    <w:rPr>
      <w:b/>
      <w:bCs/>
      <w:i/>
      <w:iCs/>
      <w:sz w:val="26"/>
      <w:szCs w:val="26"/>
    </w:rPr>
  </w:style>
  <w:style w:type="character" w:customStyle="1" w:styleId="Heading6Char">
    <w:name w:val="Heading 6 Char"/>
    <w:basedOn w:val="DefaultParagraphFont"/>
    <w:link w:val="Heading6"/>
    <w:semiHidden/>
    <w:rsid w:val="009679FD"/>
    <w:rPr>
      <w:b/>
      <w:bCs/>
      <w:sz w:val="22"/>
      <w:szCs w:val="22"/>
    </w:rPr>
  </w:style>
  <w:style w:type="character" w:customStyle="1" w:styleId="Heading7Char">
    <w:name w:val="Heading 7 Char"/>
    <w:basedOn w:val="DefaultParagraphFont"/>
    <w:link w:val="Heading7"/>
    <w:semiHidden/>
    <w:rsid w:val="009679FD"/>
    <w:rPr>
      <w:sz w:val="24"/>
      <w:szCs w:val="24"/>
    </w:rPr>
  </w:style>
  <w:style w:type="character" w:customStyle="1" w:styleId="Heading8Char">
    <w:name w:val="Heading 8 Char"/>
    <w:basedOn w:val="DefaultParagraphFont"/>
    <w:link w:val="Heading8"/>
    <w:semiHidden/>
    <w:rsid w:val="009679FD"/>
    <w:rPr>
      <w:i/>
      <w:iCs/>
      <w:sz w:val="24"/>
      <w:szCs w:val="24"/>
    </w:rPr>
  </w:style>
  <w:style w:type="character" w:customStyle="1" w:styleId="Heading9Char">
    <w:name w:val="Heading 9 Char"/>
    <w:basedOn w:val="DefaultParagraphFont"/>
    <w:link w:val="Heading9"/>
    <w:semiHidden/>
    <w:rsid w:val="009679FD"/>
    <w:rPr>
      <w:rFonts w:ascii="Arial" w:hAnsi="Arial" w:cs="Arial"/>
      <w:sz w:val="22"/>
      <w:szCs w:val="22"/>
    </w:rPr>
  </w:style>
  <w:style w:type="character" w:styleId="BookTitle">
    <w:name w:val="Book Title"/>
    <w:basedOn w:val="DefaultParagraphFont"/>
    <w:uiPriority w:val="33"/>
    <w:rsid w:val="009679FD"/>
    <w:rPr>
      <w:b/>
      <w:bCs/>
      <w:smallCaps/>
      <w:spacing w:val="5"/>
    </w:rPr>
  </w:style>
  <w:style w:type="character" w:styleId="CommentReference">
    <w:name w:val="annotation reference"/>
    <w:basedOn w:val="DefaultParagraphFont"/>
    <w:uiPriority w:val="99"/>
    <w:semiHidden/>
    <w:unhideWhenUsed/>
    <w:rsid w:val="009679FD"/>
    <w:rPr>
      <w:sz w:val="16"/>
      <w:szCs w:val="16"/>
    </w:rPr>
  </w:style>
  <w:style w:type="paragraph" w:styleId="CommentText">
    <w:name w:val="annotation text"/>
    <w:basedOn w:val="Normal"/>
    <w:link w:val="CommentTextChar"/>
    <w:uiPriority w:val="99"/>
    <w:semiHidden/>
    <w:unhideWhenUsed/>
    <w:rsid w:val="009679FD"/>
    <w:pPr>
      <w:suppressAutoHyphens/>
      <w:kinsoku w:val="0"/>
      <w:overflowPunct w:val="0"/>
      <w:autoSpaceDE w:val="0"/>
      <w:autoSpaceDN w:val="0"/>
      <w:adjustRightInd w:val="0"/>
      <w:snapToGrid w:val="0"/>
      <w:spacing w:line="240" w:lineRule="auto"/>
    </w:pPr>
    <w:rPr>
      <w:rFonts w:eastAsiaTheme="minorHAnsi"/>
      <w:lang w:val="en-GB" w:eastAsia="en-US"/>
    </w:rPr>
  </w:style>
  <w:style w:type="character" w:customStyle="1" w:styleId="CommentTextChar">
    <w:name w:val="Comment Text Char"/>
    <w:basedOn w:val="DefaultParagraphFont"/>
    <w:link w:val="CommentText"/>
    <w:uiPriority w:val="99"/>
    <w:semiHidden/>
    <w:rsid w:val="009679FD"/>
    <w:rPr>
      <w:rFonts w:eastAsiaTheme="minorHAnsi"/>
      <w:lang w:val="en-GB" w:eastAsia="en-US"/>
    </w:rPr>
  </w:style>
  <w:style w:type="paragraph" w:styleId="CommentSubject">
    <w:name w:val="annotation subject"/>
    <w:basedOn w:val="CommentText"/>
    <w:next w:val="CommentText"/>
    <w:link w:val="CommentSubjectChar"/>
    <w:uiPriority w:val="99"/>
    <w:semiHidden/>
    <w:unhideWhenUsed/>
    <w:rsid w:val="009679FD"/>
    <w:rPr>
      <w:b/>
      <w:bCs/>
    </w:rPr>
  </w:style>
  <w:style w:type="character" w:customStyle="1" w:styleId="CommentSubjectChar">
    <w:name w:val="Comment Subject Char"/>
    <w:basedOn w:val="CommentTextChar"/>
    <w:link w:val="CommentSubject"/>
    <w:uiPriority w:val="99"/>
    <w:semiHidden/>
    <w:rsid w:val="009679FD"/>
    <w:rPr>
      <w:rFonts w:eastAsiaTheme="minorHAnsi"/>
      <w:b/>
      <w:bCs/>
      <w:lang w:val="en-GB" w:eastAsia="en-US"/>
    </w:rPr>
  </w:style>
  <w:style w:type="character" w:styleId="UnresolvedMention">
    <w:name w:val="Unresolved Mention"/>
    <w:basedOn w:val="DefaultParagraphFont"/>
    <w:uiPriority w:val="99"/>
    <w:semiHidden/>
    <w:unhideWhenUsed/>
    <w:rsid w:val="009679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eader" Target="header3.xml"/><Relationship Id="rId26" Type="http://schemas.openxmlformats.org/officeDocument/2006/relationships/hyperlink" Target="http://undocs.org/es/CED/C/19/4" TargetMode="External"/><Relationship Id="rId39" Type="http://schemas.openxmlformats.org/officeDocument/2006/relationships/hyperlink" Target="http://undocs.org/es/CED/C/GAB/CO/1/Add.1" TargetMode="External"/><Relationship Id="rId21" Type="http://schemas.openxmlformats.org/officeDocument/2006/relationships/hyperlink" Target="http://undocs.org/es/A/RES/68/268%20" TargetMode="External"/><Relationship Id="rId34" Type="http://schemas.openxmlformats.org/officeDocument/2006/relationships/hyperlink" Target="http://undocs.org/es/CED/C/MNG/CO/1" TargetMode="External"/><Relationship Id="rId42" Type="http://schemas.openxmlformats.org/officeDocument/2006/relationships/hyperlink" Target="http://undocs.org/es/CED/C/JPN/FCO/1" TargetMode="External"/><Relationship Id="rId47" Type="http://schemas.openxmlformats.org/officeDocument/2006/relationships/hyperlink" Target="http://undocs.org/es/CED/C/DEU/AI/1" TargetMode="External"/><Relationship Id="rId50" Type="http://schemas.openxmlformats.org/officeDocument/2006/relationships/hyperlink" Target="http://undocs.org/es/CED/C/COL/AI/1" TargetMode="External"/><Relationship Id="rId55" Type="http://schemas.openxmlformats.org/officeDocument/2006/relationships/hyperlink" Target="http://undocs.org/es/CED/C/MLI/1" TargetMode="External"/><Relationship Id="rId63" Type="http://schemas.openxmlformats.org/officeDocument/2006/relationships/hyperlink" Target="http://undocs.org/es/CED/C/11/3" TargetMode="External"/><Relationship Id="rId68" Type="http://schemas.openxmlformats.org/officeDocument/2006/relationships/hyperlink" Target="http://undocs.org/es/CED/C/16/3" TargetMode="External"/><Relationship Id="rId76" Type="http://schemas.openxmlformats.org/officeDocument/2006/relationships/hyperlink" Target="https://treaties.un.org/Pages/ViewDetails.aspx?src=TREATY&amp;mtdsg_no=IV-16&amp;chapter=4&amp;clang=_en" TargetMode="External"/><Relationship Id="rId7" Type="http://schemas.openxmlformats.org/officeDocument/2006/relationships/image" Target="media/image1.png"/><Relationship Id="rId71" Type="http://schemas.openxmlformats.org/officeDocument/2006/relationships/hyperlink" Target="http://undocs.org/es/CED/C/7" TargetMode="External"/><Relationship Id="rId2" Type="http://schemas.openxmlformats.org/officeDocument/2006/relationships/styles" Target="styles.xml"/><Relationship Id="rId16" Type="http://schemas.openxmlformats.org/officeDocument/2006/relationships/footer" Target="footer5.xml"/><Relationship Id="rId29" Type="http://schemas.openxmlformats.org/officeDocument/2006/relationships/hyperlink" Target="http://undocs.org/es/CED/C/10/D/1/2013" TargetMode="External"/><Relationship Id="rId11" Type="http://schemas.openxmlformats.org/officeDocument/2006/relationships/image" Target="media/image4.png"/><Relationship Id="rId24" Type="http://schemas.openxmlformats.org/officeDocument/2006/relationships/hyperlink" Target="http://undocs.org/es/CED/C/IRQ/OAI/1" TargetMode="External"/><Relationship Id="rId32" Type="http://schemas.openxmlformats.org/officeDocument/2006/relationships/hyperlink" Target="http://undocs.org/es/CED/C/MNG/1" TargetMode="External"/><Relationship Id="rId37" Type="http://schemas.openxmlformats.org/officeDocument/2006/relationships/hyperlink" Target="http://undocs.org/es/CED/C/AUT/FCO/1" TargetMode="External"/><Relationship Id="rId40" Type="http://schemas.openxmlformats.org/officeDocument/2006/relationships/hyperlink" Target="http://undocs.org/es/CED/C/HND/CO/1/Add.1" TargetMode="External"/><Relationship Id="rId45" Type="http://schemas.openxmlformats.org/officeDocument/2006/relationships/hyperlink" Target="http://undocs.org/es/CED/C/PER/CO/1" TargetMode="External"/><Relationship Id="rId53" Type="http://schemas.openxmlformats.org/officeDocument/2006/relationships/hyperlink" Target="http://undocs.org/es/CED/C/NER/Q/1" TargetMode="External"/><Relationship Id="rId58" Type="http://schemas.openxmlformats.org/officeDocument/2006/relationships/hyperlink" Target="http://undocs.org/es/CED/C/GMB/1" TargetMode="External"/><Relationship Id="rId66" Type="http://schemas.openxmlformats.org/officeDocument/2006/relationships/hyperlink" Target="http://undocs.org/es/CED/C/14/2" TargetMode="External"/><Relationship Id="rId74" Type="http://schemas.openxmlformats.org/officeDocument/2006/relationships/hyperlink" Target="http://undocs.org/es/A/75/56" TargetMode="External"/><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undocs.org/es/CED/C/NGA/1" TargetMode="External"/><Relationship Id="rId10" Type="http://schemas.openxmlformats.org/officeDocument/2006/relationships/hyperlink" Target="https://undocs.org/es/a/76/56" TargetMode="External"/><Relationship Id="rId19" Type="http://schemas.openxmlformats.org/officeDocument/2006/relationships/footer" Target="footer7.xml"/><Relationship Id="rId31" Type="http://schemas.openxmlformats.org/officeDocument/2006/relationships/hyperlink" Target="http://undocs.org/es/CED/C/8" TargetMode="External"/><Relationship Id="rId44" Type="http://schemas.openxmlformats.org/officeDocument/2006/relationships/hyperlink" Target="http://undocs.org/es/CED/C/PRT/FCO/1" TargetMode="External"/><Relationship Id="rId52" Type="http://schemas.openxmlformats.org/officeDocument/2006/relationships/hyperlink" Target="http://undocs.org/es/CED/C/GRC/Q/1" TargetMode="External"/><Relationship Id="rId60" Type="http://schemas.openxmlformats.org/officeDocument/2006/relationships/hyperlink" Target="http://undocs.org/es/CED/C/MRT/1" TargetMode="External"/><Relationship Id="rId65" Type="http://schemas.openxmlformats.org/officeDocument/2006/relationships/hyperlink" Target="http://undocs.org/es/CED/C/13/3" TargetMode="External"/><Relationship Id="rId73" Type="http://schemas.openxmlformats.org/officeDocument/2006/relationships/hyperlink" Target="http://undocs.org/es/A/74/56" TargetMode="External"/><Relationship Id="rId78"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1.xml"/><Relationship Id="rId22" Type="http://schemas.openxmlformats.org/officeDocument/2006/relationships/hyperlink" Target="http://undocs.org/es/CED/C/20/1" TargetMode="External"/><Relationship Id="rId27" Type="http://schemas.openxmlformats.org/officeDocument/2006/relationships/hyperlink" Target="http://undocs.org/es/CED/C/19/D/3/2019" TargetMode="External"/><Relationship Id="rId30" Type="http://schemas.openxmlformats.org/officeDocument/2006/relationships/hyperlink" Target="http://undocs.org/es/CED/C/20/2" TargetMode="External"/><Relationship Id="rId35" Type="http://schemas.openxmlformats.org/officeDocument/2006/relationships/hyperlink" Target="http://undocs.org/es/CED/C/CHE/CO/1" TargetMode="External"/><Relationship Id="rId43" Type="http://schemas.openxmlformats.org/officeDocument/2006/relationships/hyperlink" Target="http://undocs.org/es/CED/C/LTU/CO/1/Add.1" TargetMode="External"/><Relationship Id="rId48" Type="http://schemas.openxmlformats.org/officeDocument/2006/relationships/hyperlink" Target="http://undocs.org/es/CED/C/NLD/AI/1" TargetMode="External"/><Relationship Id="rId56" Type="http://schemas.openxmlformats.org/officeDocument/2006/relationships/hyperlink" Target="http://undocs.org/es/CED/C/ZMB/QAR/1" TargetMode="External"/><Relationship Id="rId64" Type="http://schemas.openxmlformats.org/officeDocument/2006/relationships/hyperlink" Target="http://undocs.org/es/CED/C/12/2" TargetMode="External"/><Relationship Id="rId69" Type="http://schemas.openxmlformats.org/officeDocument/2006/relationships/hyperlink" Target="http://undocs.org/es/CED/C/17/2" TargetMode="External"/><Relationship Id="rId77" Type="http://schemas.openxmlformats.org/officeDocument/2006/relationships/footer" Target="footer8.xml"/><Relationship Id="rId8" Type="http://schemas.openxmlformats.org/officeDocument/2006/relationships/footer" Target="footer1.xml"/><Relationship Id="rId51" Type="http://schemas.openxmlformats.org/officeDocument/2006/relationships/hyperlink" Target="http://undocs.org/es/CED/C/CZE/Q/1" TargetMode="External"/><Relationship Id="rId72" Type="http://schemas.openxmlformats.org/officeDocument/2006/relationships/hyperlink" Target="http://undocs.org/es/A/73/56"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footer" Target="footer6.xml"/><Relationship Id="rId25" Type="http://schemas.openxmlformats.org/officeDocument/2006/relationships/hyperlink" Target="http://undocs.org/es/CED/C/19/2" TargetMode="External"/><Relationship Id="rId33" Type="http://schemas.openxmlformats.org/officeDocument/2006/relationships/hyperlink" Target="http://undocs.org/es/CED/C/CHE/1" TargetMode="External"/><Relationship Id="rId38" Type="http://schemas.openxmlformats.org/officeDocument/2006/relationships/hyperlink" Target="http://undocs.org/es/CED/C/CHL/FCO/1" TargetMode="External"/><Relationship Id="rId46" Type="http://schemas.openxmlformats.org/officeDocument/2006/relationships/hyperlink" Target="http://undocs.org/es/CED/C/BEL/AI/1" TargetMode="External"/><Relationship Id="rId59" Type="http://schemas.openxmlformats.org/officeDocument/2006/relationships/hyperlink" Target="http://undocs.org/es/CED/C/MLI/1" TargetMode="External"/><Relationship Id="rId67" Type="http://schemas.openxmlformats.org/officeDocument/2006/relationships/hyperlink" Target="http://undocs.org/es/CED/C/15/3" TargetMode="External"/><Relationship Id="rId20" Type="http://schemas.openxmlformats.org/officeDocument/2006/relationships/hyperlink" Target="http://undocs.org/es/CED/C/19/1" TargetMode="External"/><Relationship Id="rId41" Type="http://schemas.openxmlformats.org/officeDocument/2006/relationships/hyperlink" Target="http://undocs.org/es/CED/C/ITA/FCO/1" TargetMode="External"/><Relationship Id="rId54" Type="http://schemas.openxmlformats.org/officeDocument/2006/relationships/hyperlink" Target="http://undocs.org/es/CED/C/MLI/QAR/1" TargetMode="External"/><Relationship Id="rId62" Type="http://schemas.openxmlformats.org/officeDocument/2006/relationships/hyperlink" Target="http://undocs.org/es/CED/C/8" TargetMode="External"/><Relationship Id="rId70" Type="http://schemas.openxmlformats.org/officeDocument/2006/relationships/hyperlink" Target="http://undocs.org/es/CED/C/19/2" TargetMode="External"/><Relationship Id="rId75" Type="http://schemas.openxmlformats.org/officeDocument/2006/relationships/hyperlink" Target="http://undocs.org/es/CED/C/19/D/3/2019"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2.xml"/><Relationship Id="rId23" Type="http://schemas.openxmlformats.org/officeDocument/2006/relationships/hyperlink" Target="file:///\\conf-share1\LS\SPA\COMMON\FINAL\www.ohchr.org\EN\HRBodies\CED\Pages\Membership.aspx" TargetMode="External"/><Relationship Id="rId28" Type="http://schemas.openxmlformats.org/officeDocument/2006/relationships/hyperlink" Target="http://undocs.org/es/CED/C/19/3" TargetMode="External"/><Relationship Id="rId36" Type="http://schemas.openxmlformats.org/officeDocument/2006/relationships/hyperlink" Target="http://undocs.org/es/CED/C/ALB/FCO/1" TargetMode="External"/><Relationship Id="rId49" Type="http://schemas.openxmlformats.org/officeDocument/2006/relationships/hyperlink" Target="http://undocs.org/es/CED/C/IRQ/AI/1" TargetMode="External"/><Relationship Id="rId57" Type="http://schemas.openxmlformats.org/officeDocument/2006/relationships/hyperlink" Target="http://undocs.org/es/CED/C/CRI/1"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file:///\\conf-share1\LS\SPA\COMMON\FINAL\www.ohchr.org\Documents\Issues\Disappearances\Guidelines-COVID19-EnforcedDisappearance.pdf" TargetMode="External"/><Relationship Id="rId1" Type="http://schemas.openxmlformats.org/officeDocument/2006/relationships/hyperlink" Target="https://treaties.un.org/Pages/ViewDetails.aspx?src=TREATY&amp;mtdsg_no=IV-16&amp;chapter=4&amp;clang=_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Inform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Informe.dotm</Template>
  <TotalTime>4</TotalTime>
  <Pages>33</Pages>
  <Words>11782</Words>
  <Characters>67158</Characters>
  <Application>Microsoft Office Word</Application>
  <DocSecurity>0</DocSecurity>
  <Lines>559</Lines>
  <Paragraphs>157</Paragraphs>
  <ScaleCrop>false</ScaleCrop>
  <HeadingPairs>
    <vt:vector size="2" baseType="variant">
      <vt:variant>
        <vt:lpstr>Título</vt:lpstr>
      </vt:variant>
      <vt:variant>
        <vt:i4>1</vt:i4>
      </vt:variant>
    </vt:vector>
  </HeadingPairs>
  <TitlesOfParts>
    <vt:vector size="1" baseType="lpstr">
      <vt:lpstr>A/76/56</vt:lpstr>
    </vt:vector>
  </TitlesOfParts>
  <Company>CSD</Company>
  <LinksUpToDate>false</LinksUpToDate>
  <CharactersWithSpaces>78783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A/76/56</dc:title>
  <dc:subject/>
  <dc:creator>Romina Valeria MERINO MAC-KAY</dc:creator>
  <cp:keywords/>
  <dc:description/>
  <cp:lastModifiedBy>Maria Luisa Zeballos Moreno</cp:lastModifiedBy>
  <cp:revision>2</cp:revision>
  <cp:lastPrinted>2021-07-05T07:12:00Z</cp:lastPrinted>
  <dcterms:created xsi:type="dcterms:W3CDTF">2021-07-06T09:14:00Z</dcterms:created>
  <dcterms:modified xsi:type="dcterms:W3CDTF">2021-07-06T09:14:00Z</dcterms:modified>
</cp:coreProperties>
</file>