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0FC3B64" w14:textId="77777777" w:rsidTr="00B614C4">
        <w:trPr>
          <w:trHeight w:hRule="exact" w:val="851"/>
        </w:trPr>
        <w:tc>
          <w:tcPr>
            <w:tcW w:w="1280" w:type="dxa"/>
            <w:tcBorders>
              <w:bottom w:val="single" w:sz="4" w:space="0" w:color="auto"/>
            </w:tcBorders>
          </w:tcPr>
          <w:p w14:paraId="3F9895C6" w14:textId="77777777" w:rsidR="00CE1D1C" w:rsidRPr="00F124C6" w:rsidRDefault="00CE1D1C" w:rsidP="00B614C4">
            <w:pPr>
              <w:pStyle w:val="H23GC"/>
            </w:pPr>
          </w:p>
        </w:tc>
        <w:tc>
          <w:tcPr>
            <w:tcW w:w="2273" w:type="dxa"/>
            <w:tcBorders>
              <w:bottom w:val="single" w:sz="4" w:space="0" w:color="auto"/>
            </w:tcBorders>
            <w:vAlign w:val="bottom"/>
          </w:tcPr>
          <w:p w14:paraId="5BB69B3A"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076DF929" w14:textId="77777777" w:rsidR="00CE1D1C" w:rsidRPr="00AD2C68" w:rsidRDefault="00AD2C68" w:rsidP="00B614C4">
            <w:pPr>
              <w:spacing w:line="240" w:lineRule="atLeast"/>
              <w:jc w:val="right"/>
              <w:rPr>
                <w:sz w:val="20"/>
                <w:szCs w:val="21"/>
              </w:rPr>
            </w:pPr>
            <w:r w:rsidRPr="00AD2C68">
              <w:rPr>
                <w:sz w:val="40"/>
                <w:szCs w:val="21"/>
              </w:rPr>
              <w:t>CCPR</w:t>
            </w:r>
            <w:r>
              <w:rPr>
                <w:sz w:val="20"/>
                <w:szCs w:val="21"/>
              </w:rPr>
              <w:t>/C/ZWE/CO/2</w:t>
            </w:r>
          </w:p>
        </w:tc>
      </w:tr>
      <w:tr w:rsidR="00CE1D1C" w:rsidRPr="00F124C6" w14:paraId="1DEF25B2" w14:textId="77777777" w:rsidTr="00B614C4">
        <w:trPr>
          <w:trHeight w:hRule="exact" w:val="2835"/>
        </w:trPr>
        <w:tc>
          <w:tcPr>
            <w:tcW w:w="1280" w:type="dxa"/>
            <w:tcBorders>
              <w:top w:val="single" w:sz="4" w:space="0" w:color="auto"/>
              <w:bottom w:val="single" w:sz="12" w:space="0" w:color="auto"/>
            </w:tcBorders>
          </w:tcPr>
          <w:p w14:paraId="077F263A" w14:textId="77777777" w:rsidR="00CE1D1C" w:rsidRPr="00F124C6" w:rsidRDefault="00CE1D1C" w:rsidP="00B614C4">
            <w:pPr>
              <w:spacing w:line="120" w:lineRule="atLeast"/>
              <w:rPr>
                <w:sz w:val="10"/>
                <w:szCs w:val="10"/>
              </w:rPr>
            </w:pPr>
          </w:p>
          <w:p w14:paraId="33EA29B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AD7A232" wp14:editId="3D764CF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4EC5C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E06C9B3" w14:textId="2E62624E" w:rsidR="00CE1D1C" w:rsidRPr="0004600B" w:rsidRDefault="00CE1D1C" w:rsidP="00B614C4">
            <w:pPr>
              <w:spacing w:before="240" w:line="240" w:lineRule="atLeast"/>
              <w:rPr>
                <w:rFonts w:hint="eastAsia"/>
                <w:sz w:val="20"/>
              </w:rPr>
            </w:pPr>
            <w:r w:rsidRPr="00F124C6">
              <w:rPr>
                <w:sz w:val="20"/>
              </w:rPr>
              <w:t xml:space="preserve">Distr.: </w:t>
            </w:r>
            <w:r w:rsidR="00AD2C68" w:rsidRPr="00AD2C68">
              <w:rPr>
                <w:sz w:val="20"/>
              </w:rPr>
              <w:t>General</w:t>
            </w:r>
          </w:p>
          <w:p w14:paraId="0574A069" w14:textId="364AE7FF" w:rsidR="00CE1D1C" w:rsidRPr="00F124C6" w:rsidRDefault="00AD2C68" w:rsidP="00B614C4">
            <w:pPr>
              <w:spacing w:line="240" w:lineRule="atLeast"/>
              <w:rPr>
                <w:sz w:val="20"/>
              </w:rPr>
            </w:pPr>
            <w:r>
              <w:rPr>
                <w:rFonts w:hint="eastAsia"/>
                <w:sz w:val="20"/>
              </w:rPr>
              <w:t xml:space="preserve">6 </w:t>
            </w:r>
            <w:r w:rsidRPr="00AD2C68">
              <w:rPr>
                <w:sz w:val="20"/>
              </w:rPr>
              <w:t>May</w:t>
            </w:r>
            <w:r w:rsidR="00EA7E67">
              <w:rPr>
                <w:sz w:val="20"/>
              </w:rPr>
              <w:t xml:space="preserve"> 20</w:t>
            </w:r>
            <w:r w:rsidR="00A43337">
              <w:rPr>
                <w:sz w:val="20"/>
              </w:rPr>
              <w:t>25</w:t>
            </w:r>
          </w:p>
          <w:p w14:paraId="663AA174" w14:textId="77777777" w:rsidR="00CE1D1C" w:rsidRPr="00F124C6" w:rsidRDefault="00CE1D1C" w:rsidP="00B614C4">
            <w:pPr>
              <w:spacing w:line="240" w:lineRule="atLeast"/>
              <w:rPr>
                <w:sz w:val="20"/>
              </w:rPr>
            </w:pPr>
            <w:r w:rsidRPr="00F124C6">
              <w:rPr>
                <w:sz w:val="20"/>
              </w:rPr>
              <w:t xml:space="preserve">Chinese </w:t>
            </w:r>
          </w:p>
          <w:p w14:paraId="7250B9A7" w14:textId="77777777" w:rsidR="00CE1D1C" w:rsidRPr="00F124C6" w:rsidRDefault="00CE1D1C" w:rsidP="00B614C4">
            <w:pPr>
              <w:spacing w:line="240" w:lineRule="atLeast"/>
            </w:pPr>
            <w:r w:rsidRPr="00F124C6">
              <w:rPr>
                <w:sz w:val="20"/>
              </w:rPr>
              <w:t>Original: English</w:t>
            </w:r>
          </w:p>
        </w:tc>
      </w:tr>
    </w:tbl>
    <w:p w14:paraId="006A8443" w14:textId="77777777" w:rsidR="00AA2244" w:rsidRPr="0024203B" w:rsidRDefault="00AA2244" w:rsidP="0024203B">
      <w:pPr>
        <w:spacing w:before="120"/>
        <w:rPr>
          <w:rFonts w:ascii="Time New Roman" w:eastAsia="黑体" w:hAnsi="Time New Roman"/>
          <w:sz w:val="24"/>
        </w:rPr>
      </w:pPr>
      <w:r w:rsidRPr="0024203B">
        <w:rPr>
          <w:rFonts w:ascii="Time New Roman" w:eastAsia="黑体" w:hAnsi="Time New Roman" w:hint="eastAsia"/>
          <w:sz w:val="24"/>
        </w:rPr>
        <w:t>人权事务委员会</w:t>
      </w:r>
    </w:p>
    <w:p w14:paraId="1160ABC0" w14:textId="77777777" w:rsidR="00AA2244" w:rsidRPr="007E469B" w:rsidRDefault="00AA2244" w:rsidP="0024203B">
      <w:pPr>
        <w:pStyle w:val="HChGC"/>
      </w:pPr>
      <w:r w:rsidRPr="007E469B">
        <w:tab/>
      </w:r>
      <w:r w:rsidRPr="007E469B">
        <w:tab/>
      </w:r>
      <w:r w:rsidRPr="007E469B">
        <w:rPr>
          <w:rFonts w:hint="eastAsia"/>
        </w:rPr>
        <w:t>关于津巴布韦第二次定期报告的结论性意见</w:t>
      </w:r>
      <w:r w:rsidRPr="007E469B">
        <w:rPr>
          <w:bCs/>
        </w:rPr>
        <w:footnoteReference w:customMarkFollows="1" w:id="2"/>
        <w:t>*</w:t>
      </w:r>
    </w:p>
    <w:p w14:paraId="44A99B13" w14:textId="77777777" w:rsidR="00AA2244" w:rsidRPr="007E469B" w:rsidRDefault="00AA2244" w:rsidP="00AA2244">
      <w:pPr>
        <w:pStyle w:val="SingleTxtGC"/>
      </w:pPr>
      <w:r w:rsidRPr="007E469B">
        <w:t>1.</w:t>
      </w:r>
      <w:r w:rsidRPr="007E469B">
        <w:tab/>
      </w:r>
      <w:r w:rsidRPr="007E469B">
        <w:t>委员会审议了津巴布韦提交的第二次定期报告</w:t>
      </w:r>
      <w:r w:rsidRPr="007E469B">
        <w:rPr>
          <w:rStyle w:val="a8"/>
          <w:rFonts w:eastAsia="宋体"/>
        </w:rPr>
        <w:footnoteReference w:id="3"/>
      </w:r>
      <w:r>
        <w:rPr>
          <w:rStyle w:val="SingleTxtGCChar"/>
        </w:rPr>
        <w:t>，</w:t>
      </w:r>
      <w:r w:rsidRPr="007E469B">
        <w:rPr>
          <w:rFonts w:hint="eastAsia"/>
          <w:lang w:val="fr-CH"/>
        </w:rPr>
        <w:t>审议工作</w:t>
      </w:r>
      <w:r w:rsidRPr="007E469B">
        <w:t>于</w:t>
      </w:r>
      <w:r w:rsidRPr="007E469B">
        <w:t>2025</w:t>
      </w:r>
      <w:r w:rsidRPr="007E469B">
        <w:t>年</w:t>
      </w:r>
      <w:r w:rsidRPr="007E469B">
        <w:t>3</w:t>
      </w:r>
      <w:r w:rsidRPr="007E469B">
        <w:t>月</w:t>
      </w:r>
      <w:r w:rsidRPr="007E469B">
        <w:t>6</w:t>
      </w:r>
      <w:r w:rsidRPr="007E469B">
        <w:t>日和</w:t>
      </w:r>
      <w:r w:rsidRPr="007E469B">
        <w:t>7</w:t>
      </w:r>
      <w:r w:rsidRPr="007E469B">
        <w:t>日举行的第</w:t>
      </w:r>
      <w:r w:rsidRPr="007E469B">
        <w:t>4191</w:t>
      </w:r>
      <w:r w:rsidRPr="007E469B">
        <w:t>次和第</w:t>
      </w:r>
      <w:r w:rsidRPr="007E469B">
        <w:t>4192</w:t>
      </w:r>
      <w:r w:rsidRPr="007E469B">
        <w:t>次会议</w:t>
      </w:r>
      <w:r w:rsidRPr="007E469B">
        <w:rPr>
          <w:rStyle w:val="a8"/>
          <w:rFonts w:eastAsia="宋体"/>
        </w:rPr>
        <w:footnoteReference w:id="4"/>
      </w:r>
      <w:r>
        <w:rPr>
          <w:rStyle w:val="SingleTxtGCChar"/>
        </w:rPr>
        <w:t xml:space="preserve"> </w:t>
      </w:r>
      <w:r w:rsidRPr="007E469B">
        <w:t>上</w:t>
      </w:r>
      <w:r w:rsidRPr="007E469B">
        <w:rPr>
          <w:rFonts w:hint="eastAsia"/>
        </w:rPr>
        <w:t>进行。委员会</w:t>
      </w:r>
      <w:r w:rsidRPr="007E469B">
        <w:t>于</w:t>
      </w:r>
      <w:r w:rsidRPr="007E469B">
        <w:t>2025</w:t>
      </w:r>
      <w:r w:rsidRPr="007E469B">
        <w:t>年</w:t>
      </w:r>
      <w:r w:rsidRPr="007E469B">
        <w:t>3</w:t>
      </w:r>
      <w:r w:rsidRPr="007E469B">
        <w:t>月</w:t>
      </w:r>
      <w:r w:rsidRPr="007E469B">
        <w:t>21</w:t>
      </w:r>
      <w:r w:rsidRPr="007E469B">
        <w:t>日举行的第</w:t>
      </w:r>
      <w:r w:rsidRPr="007E469B">
        <w:t>4212</w:t>
      </w:r>
      <w:r w:rsidRPr="007E469B">
        <w:t>次会议上通过了本结论性意见。</w:t>
      </w:r>
    </w:p>
    <w:p w14:paraId="39AF0154" w14:textId="77777777" w:rsidR="00AA2244" w:rsidRPr="007E469B" w:rsidRDefault="00AA2244" w:rsidP="0024203B">
      <w:pPr>
        <w:pStyle w:val="H1GC"/>
      </w:pPr>
      <w:r w:rsidRPr="007E469B">
        <w:tab/>
        <w:t>A.</w:t>
      </w:r>
      <w:r w:rsidRPr="007E469B">
        <w:tab/>
      </w:r>
      <w:r w:rsidRPr="007E469B">
        <w:rPr>
          <w:rFonts w:hint="eastAsia"/>
        </w:rPr>
        <w:t>导言</w:t>
      </w:r>
    </w:p>
    <w:p w14:paraId="09D2D85F" w14:textId="77777777" w:rsidR="00AA2244" w:rsidRPr="007E469B" w:rsidRDefault="00AA2244" w:rsidP="00AA2244">
      <w:pPr>
        <w:pStyle w:val="SingleTxtGC"/>
      </w:pPr>
      <w:r w:rsidRPr="007E469B">
        <w:t>2.</w:t>
      </w:r>
      <w:r w:rsidRPr="007E469B">
        <w:tab/>
      </w:r>
      <w:r w:rsidRPr="007E469B">
        <w:t>委员会感谢缔约国接受简化报告程序，并根据该程序提交第二次定期报告</w:t>
      </w:r>
      <w:r w:rsidRPr="007E469B">
        <w:rPr>
          <w:rFonts w:hint="eastAsia"/>
        </w:rPr>
        <w:t>，作为对委员会所提报告前</w:t>
      </w:r>
      <w:r w:rsidRPr="007E469B">
        <w:t>问题清单</w:t>
      </w:r>
      <w:r w:rsidRPr="007E469B">
        <w:rPr>
          <w:rStyle w:val="a8"/>
          <w:rFonts w:eastAsia="宋体"/>
        </w:rPr>
        <w:footnoteReference w:id="5"/>
      </w:r>
      <w:r>
        <w:rPr>
          <w:rStyle w:val="SingleTxtGCChar"/>
        </w:rPr>
        <w:t xml:space="preserve"> </w:t>
      </w:r>
      <w:r w:rsidRPr="007E469B">
        <w:rPr>
          <w:rFonts w:hint="eastAsia"/>
        </w:rPr>
        <w:t>的回应</w:t>
      </w:r>
      <w:r w:rsidRPr="007E469B">
        <w:t>。</w:t>
      </w:r>
      <w:r w:rsidRPr="007E469B">
        <w:rPr>
          <w:rFonts w:hint="eastAsia"/>
        </w:rPr>
        <w:t>委员会表示赞赏的是，</w:t>
      </w:r>
      <w:r w:rsidRPr="007E469B">
        <w:t>在</w:t>
      </w:r>
      <w:r w:rsidRPr="007E469B">
        <w:rPr>
          <w:rFonts w:hint="eastAsia"/>
        </w:rPr>
        <w:t>1998</w:t>
      </w:r>
      <w:r w:rsidRPr="007E469B">
        <w:rPr>
          <w:rFonts w:hint="eastAsia"/>
        </w:rPr>
        <w:t>年</w:t>
      </w:r>
      <w:r w:rsidRPr="007E469B">
        <w:t>上次审议后</w:t>
      </w:r>
      <w:r w:rsidRPr="007E469B">
        <w:rPr>
          <w:rFonts w:hint="eastAsia"/>
        </w:rPr>
        <w:t>，再次有机会</w:t>
      </w:r>
      <w:r w:rsidRPr="007E469B">
        <w:t>与</w:t>
      </w:r>
      <w:r w:rsidRPr="007E469B">
        <w:rPr>
          <w:rFonts w:hint="eastAsia"/>
        </w:rPr>
        <w:t>缔约国</w:t>
      </w:r>
      <w:r w:rsidRPr="007E469B">
        <w:t>高级别代表团就报告期内为落实《公约》条款所采取的措施进行建设性对话。委员会感谢缔约国代表团提供的口头答复以及提交的书面补充资料。</w:t>
      </w:r>
    </w:p>
    <w:p w14:paraId="78C37AB7" w14:textId="77777777" w:rsidR="00AA2244" w:rsidRPr="007E469B" w:rsidRDefault="00AA2244" w:rsidP="0024203B">
      <w:pPr>
        <w:pStyle w:val="H1GC"/>
      </w:pPr>
      <w:r w:rsidRPr="007E469B">
        <w:tab/>
        <w:t>B.</w:t>
      </w:r>
      <w:r w:rsidRPr="007E469B">
        <w:tab/>
      </w:r>
      <w:r w:rsidRPr="007E469B">
        <w:rPr>
          <w:rFonts w:hint="eastAsia"/>
        </w:rPr>
        <w:t>积极方面</w:t>
      </w:r>
    </w:p>
    <w:p w14:paraId="7E47C63F" w14:textId="77777777" w:rsidR="00AA2244" w:rsidRPr="007E469B" w:rsidRDefault="00AA2244" w:rsidP="00AA2244">
      <w:pPr>
        <w:pStyle w:val="SingleTxtGC"/>
      </w:pPr>
      <w:r w:rsidRPr="007E469B">
        <w:t>3.</w:t>
      </w:r>
      <w:r w:rsidRPr="007E469B">
        <w:tab/>
      </w:r>
      <w:r w:rsidRPr="007E469B">
        <w:t>委员会欢迎缔约国采取以下立法、体制和政策方面的措施：</w:t>
      </w:r>
    </w:p>
    <w:p w14:paraId="228D6430" w14:textId="77777777" w:rsidR="00AA2244" w:rsidRPr="007E469B" w:rsidRDefault="00AA2244" w:rsidP="00AA2244">
      <w:pPr>
        <w:pStyle w:val="SingleTxtGC"/>
      </w:pPr>
      <w:r w:rsidRPr="007E469B">
        <w:tab/>
        <w:t>(a)</w:t>
      </w:r>
      <w:r w:rsidRPr="007E469B">
        <w:tab/>
        <w:t>2024</w:t>
      </w:r>
      <w:r w:rsidRPr="007E469B">
        <w:t>年通过《废除死刑法》；</w:t>
      </w:r>
    </w:p>
    <w:p w14:paraId="25493E4F" w14:textId="77777777" w:rsidR="00AA2244" w:rsidRPr="007E469B" w:rsidRDefault="00AA2244" w:rsidP="00AA2244">
      <w:pPr>
        <w:pStyle w:val="SingleTxtGC"/>
      </w:pPr>
      <w:r w:rsidRPr="007E469B">
        <w:tab/>
        <w:t>(b)</w:t>
      </w:r>
      <w:r w:rsidRPr="007E469B">
        <w:tab/>
        <w:t>2024</w:t>
      </w:r>
      <w:r w:rsidRPr="007E469B">
        <w:t>年启动《国家气候变化适应计划》；</w:t>
      </w:r>
    </w:p>
    <w:p w14:paraId="05E8315F" w14:textId="77777777" w:rsidR="00AA2244" w:rsidRPr="007E469B" w:rsidRDefault="00AA2244" w:rsidP="00AA2244">
      <w:pPr>
        <w:pStyle w:val="SingleTxtGC"/>
      </w:pPr>
      <w:r w:rsidRPr="007E469B">
        <w:tab/>
        <w:t>(c)</w:t>
      </w:r>
      <w:r w:rsidRPr="007E469B">
        <w:tab/>
        <w:t>2024</w:t>
      </w:r>
      <w:r w:rsidRPr="007E469B">
        <w:t>年通过《刑法修正</w:t>
      </w:r>
      <w:r w:rsidRPr="007E469B">
        <w:t>(</w:t>
      </w:r>
      <w:r w:rsidRPr="007E469B">
        <w:t>儿童和青少年保护</w:t>
      </w:r>
      <w:r w:rsidRPr="007E469B">
        <w:t>)</w:t>
      </w:r>
      <w:r w:rsidRPr="007E469B">
        <w:rPr>
          <w:rFonts w:hint="eastAsia"/>
        </w:rPr>
        <w:t>法</w:t>
      </w:r>
      <w:r w:rsidRPr="007E469B">
        <w:t>案》；</w:t>
      </w:r>
    </w:p>
    <w:p w14:paraId="37BAC6BB" w14:textId="77777777" w:rsidR="00AA2244" w:rsidRPr="007E469B" w:rsidRDefault="00AA2244" w:rsidP="00AA2244">
      <w:pPr>
        <w:pStyle w:val="SingleTxtGC"/>
      </w:pPr>
      <w:r w:rsidRPr="007E469B">
        <w:tab/>
        <w:t>(d)</w:t>
      </w:r>
      <w:r w:rsidRPr="007E469B">
        <w:tab/>
        <w:t>2023</w:t>
      </w:r>
      <w:r w:rsidRPr="007E469B">
        <w:t>年通过《儿童修正法</w:t>
      </w:r>
      <w:r w:rsidRPr="007E469B">
        <w:rPr>
          <w:rFonts w:hint="eastAsia"/>
        </w:rPr>
        <w:t>案</w:t>
      </w:r>
      <w:r w:rsidRPr="007E469B">
        <w:t>》；</w:t>
      </w:r>
    </w:p>
    <w:p w14:paraId="1366B6C6" w14:textId="77777777" w:rsidR="00AA2244" w:rsidRPr="007E469B" w:rsidRDefault="00AA2244" w:rsidP="00AA2244">
      <w:pPr>
        <w:pStyle w:val="SingleTxtGC"/>
      </w:pPr>
      <w:r w:rsidRPr="007E469B">
        <w:tab/>
        <w:t>(e)</w:t>
      </w:r>
      <w:r w:rsidRPr="007E469B">
        <w:tab/>
        <w:t>2022</w:t>
      </w:r>
      <w:r w:rsidRPr="007E469B">
        <w:t>年通过《婚姻法》；</w:t>
      </w:r>
    </w:p>
    <w:p w14:paraId="667E7E4D" w14:textId="77777777" w:rsidR="00AA2244" w:rsidRPr="007E469B" w:rsidRDefault="00AA2244" w:rsidP="00AA2244">
      <w:pPr>
        <w:pStyle w:val="SingleTxtGC"/>
      </w:pPr>
      <w:r w:rsidRPr="007E469B">
        <w:tab/>
        <w:t>(f)</w:t>
      </w:r>
      <w:r w:rsidRPr="007E469B">
        <w:tab/>
        <w:t>2022</w:t>
      </w:r>
      <w:r w:rsidRPr="007E469B">
        <w:t>年通过《津巴布韦独立投诉委员会法》；</w:t>
      </w:r>
    </w:p>
    <w:p w14:paraId="1DC04EE7" w14:textId="77777777" w:rsidR="00AA2244" w:rsidRPr="007E469B" w:rsidRDefault="00AA2244" w:rsidP="00AA2244">
      <w:pPr>
        <w:pStyle w:val="SingleTxtGC"/>
      </w:pPr>
      <w:r w:rsidRPr="007E469B">
        <w:tab/>
        <w:t>(g)</w:t>
      </w:r>
      <w:r w:rsidRPr="007E469B">
        <w:tab/>
        <w:t>2021</w:t>
      </w:r>
      <w:r w:rsidRPr="007E469B">
        <w:t>年启动《国家残疾人政策》；</w:t>
      </w:r>
    </w:p>
    <w:p w14:paraId="759FC237" w14:textId="77777777" w:rsidR="00AA2244" w:rsidRPr="007E469B" w:rsidRDefault="00AA2244" w:rsidP="00AA2244">
      <w:pPr>
        <w:pStyle w:val="SingleTxtGC"/>
      </w:pPr>
      <w:r w:rsidRPr="007E469B">
        <w:lastRenderedPageBreak/>
        <w:tab/>
        <w:t>(h)</w:t>
      </w:r>
      <w:r w:rsidRPr="007E469B">
        <w:tab/>
        <w:t>2019</w:t>
      </w:r>
      <w:r w:rsidRPr="007E469B">
        <w:t>年设</w:t>
      </w:r>
      <w:r w:rsidRPr="007E469B">
        <w:rPr>
          <w:rFonts w:hAnsi="宋体"/>
        </w:rPr>
        <w:t>立“弱</w:t>
      </w:r>
      <w:r w:rsidRPr="007E469B">
        <w:t>势移民国家转</w:t>
      </w:r>
      <w:r w:rsidRPr="007E469B">
        <w:rPr>
          <w:rFonts w:hint="eastAsia"/>
        </w:rPr>
        <w:t>送</w:t>
      </w:r>
      <w:r w:rsidRPr="007E469B">
        <w:t>机</w:t>
      </w:r>
      <w:r w:rsidRPr="007E469B">
        <w:rPr>
          <w:rFonts w:hAnsi="宋体"/>
        </w:rPr>
        <w:t>制”；</w:t>
      </w:r>
    </w:p>
    <w:p w14:paraId="0CEAB111" w14:textId="77777777" w:rsidR="00AA2244" w:rsidRPr="007E469B" w:rsidRDefault="00AA2244" w:rsidP="00AA2244">
      <w:pPr>
        <w:pStyle w:val="SingleTxtGC"/>
      </w:pPr>
      <w:r w:rsidRPr="007E469B">
        <w:tab/>
        <w:t>(i)</w:t>
      </w:r>
      <w:r w:rsidRPr="007E469B">
        <w:tab/>
        <w:t>2015</w:t>
      </w:r>
      <w:r w:rsidRPr="007E469B">
        <w:t>年通过《津巴布韦性别委员会法》；</w:t>
      </w:r>
    </w:p>
    <w:p w14:paraId="2297A109" w14:textId="77777777" w:rsidR="00AA2244" w:rsidRPr="007E469B" w:rsidRDefault="00AA2244" w:rsidP="00AA2244">
      <w:pPr>
        <w:pStyle w:val="SingleTxtGC"/>
      </w:pPr>
      <w:r w:rsidRPr="007E469B">
        <w:tab/>
        <w:t>(j)</w:t>
      </w:r>
      <w:r w:rsidRPr="007E469B">
        <w:tab/>
        <w:t>2013</w:t>
      </w:r>
      <w:r w:rsidRPr="007E469B">
        <w:t>年通过《津巴布韦宪法修正案</w:t>
      </w:r>
      <w:r w:rsidRPr="007E469B">
        <w:rPr>
          <w:rFonts w:hint="eastAsia"/>
        </w:rPr>
        <w:t>(</w:t>
      </w:r>
      <w:r w:rsidRPr="007E469B">
        <w:t>第</w:t>
      </w:r>
      <w:r w:rsidRPr="007E469B">
        <w:t>20</w:t>
      </w:r>
      <w:r w:rsidRPr="007E469B">
        <w:t>号</w:t>
      </w:r>
      <w:r w:rsidRPr="007E469B">
        <w:rPr>
          <w:rFonts w:hint="eastAsia"/>
        </w:rPr>
        <w:t>)</w:t>
      </w:r>
      <w:r w:rsidRPr="007E469B">
        <w:t>》；</w:t>
      </w:r>
    </w:p>
    <w:p w14:paraId="2E09912A" w14:textId="77777777" w:rsidR="00AA2244" w:rsidRPr="007E469B" w:rsidRDefault="00AA2244" w:rsidP="00AA2244">
      <w:pPr>
        <w:pStyle w:val="SingleTxtGC"/>
      </w:pPr>
      <w:r w:rsidRPr="007E469B">
        <w:tab/>
        <w:t>(k)</w:t>
      </w:r>
      <w:r w:rsidRPr="007E469B">
        <w:tab/>
        <w:t>2012</w:t>
      </w:r>
      <w:r w:rsidRPr="007E469B">
        <w:t>年通过《津巴布韦人权委员会法》；</w:t>
      </w:r>
    </w:p>
    <w:p w14:paraId="4012C941" w14:textId="77777777" w:rsidR="00AA2244" w:rsidRPr="007E469B" w:rsidRDefault="00AA2244" w:rsidP="00AA2244">
      <w:pPr>
        <w:pStyle w:val="SingleTxtGC"/>
      </w:pPr>
      <w:r w:rsidRPr="007E469B">
        <w:tab/>
        <w:t>(l)</w:t>
      </w:r>
      <w:r w:rsidRPr="007E469B">
        <w:tab/>
        <w:t>2006</w:t>
      </w:r>
      <w:r w:rsidRPr="007E469B">
        <w:t>年通过《</w:t>
      </w:r>
      <w:r w:rsidRPr="007E469B">
        <w:rPr>
          <w:rFonts w:hint="eastAsia"/>
        </w:rPr>
        <w:t>反</w:t>
      </w:r>
      <w:r w:rsidRPr="007E469B">
        <w:t>家庭暴力法》；</w:t>
      </w:r>
    </w:p>
    <w:p w14:paraId="2BBFAA04" w14:textId="77777777" w:rsidR="00AA2244" w:rsidRPr="007E469B" w:rsidRDefault="00AA2244" w:rsidP="00AA2244">
      <w:pPr>
        <w:pStyle w:val="SingleTxtGC"/>
      </w:pPr>
      <w:r w:rsidRPr="007E469B">
        <w:tab/>
        <w:t>(m)</w:t>
      </w:r>
      <w:r w:rsidRPr="007E469B">
        <w:tab/>
        <w:t>2004</w:t>
      </w:r>
      <w:r w:rsidRPr="007E469B">
        <w:t>年通过《反腐败委员会法》；</w:t>
      </w:r>
    </w:p>
    <w:p w14:paraId="72EA2867" w14:textId="77777777" w:rsidR="00AA2244" w:rsidRPr="007E469B" w:rsidRDefault="00AA2244" w:rsidP="00AA2244">
      <w:pPr>
        <w:pStyle w:val="SingleTxtGC"/>
      </w:pPr>
      <w:r w:rsidRPr="007E469B">
        <w:tab/>
        <w:t>(n)</w:t>
      </w:r>
      <w:r w:rsidRPr="007E469B">
        <w:tab/>
        <w:t>2001</w:t>
      </w:r>
      <w:r w:rsidRPr="007E469B">
        <w:t>年通过《</w:t>
      </w:r>
      <w:r w:rsidRPr="007E469B">
        <w:rPr>
          <w:rFonts w:hint="eastAsia"/>
        </w:rPr>
        <w:t>反</w:t>
      </w:r>
      <w:r w:rsidRPr="007E469B">
        <w:t>性侵犯罪法》。</w:t>
      </w:r>
    </w:p>
    <w:p w14:paraId="1C1CE62A" w14:textId="77777777" w:rsidR="00AA2244" w:rsidRPr="007E469B" w:rsidRDefault="00AA2244" w:rsidP="00AA2244">
      <w:pPr>
        <w:pStyle w:val="SingleTxtGC"/>
      </w:pPr>
      <w:r w:rsidRPr="007E469B">
        <w:t>4.</w:t>
      </w:r>
      <w:r w:rsidRPr="007E469B">
        <w:tab/>
      </w:r>
      <w:r w:rsidRPr="007E469B">
        <w:t>委员会</w:t>
      </w:r>
      <w:r w:rsidRPr="007E469B">
        <w:rPr>
          <w:rFonts w:hint="eastAsia"/>
        </w:rPr>
        <w:t>也</w:t>
      </w:r>
      <w:r w:rsidRPr="007E469B">
        <w:t>欢迎缔约国批准或加入</w:t>
      </w:r>
      <w:r w:rsidRPr="007E469B">
        <w:rPr>
          <w:rFonts w:hint="eastAsia"/>
        </w:rPr>
        <w:t>了</w:t>
      </w:r>
      <w:r w:rsidRPr="007E469B">
        <w:t>以下国际文书：</w:t>
      </w:r>
    </w:p>
    <w:p w14:paraId="1BB69EB8" w14:textId="77777777" w:rsidR="00AA2244" w:rsidRPr="007E469B" w:rsidRDefault="00AA2244" w:rsidP="00AA2244">
      <w:pPr>
        <w:pStyle w:val="SingleTxtGC"/>
      </w:pPr>
      <w:r w:rsidRPr="007E469B">
        <w:tab/>
        <w:t>(a)</w:t>
      </w:r>
      <w:r w:rsidRPr="007E469B">
        <w:tab/>
      </w:r>
      <w:r w:rsidRPr="007E469B">
        <w:t>《保护所有移徙工人及其家庭成员权利国际公约》</w:t>
      </w:r>
      <w:r w:rsidRPr="007E469B">
        <w:rPr>
          <w:rFonts w:hint="eastAsia"/>
        </w:rPr>
        <w:t>，</w:t>
      </w:r>
      <w:r w:rsidRPr="007E469B">
        <w:t>2024</w:t>
      </w:r>
      <w:r w:rsidRPr="007E469B">
        <w:t>年；</w:t>
      </w:r>
    </w:p>
    <w:p w14:paraId="47F3BAEE" w14:textId="77777777" w:rsidR="00AA2244" w:rsidRPr="007E469B" w:rsidRDefault="00AA2244" w:rsidP="00AA2244">
      <w:pPr>
        <w:pStyle w:val="SingleTxtGC"/>
      </w:pPr>
      <w:r w:rsidRPr="007E469B">
        <w:tab/>
        <w:t>(b)</w:t>
      </w:r>
      <w:r w:rsidRPr="007E469B">
        <w:tab/>
      </w:r>
      <w:r w:rsidRPr="007E469B">
        <w:t>《非洲民主、选举</w:t>
      </w:r>
      <w:r w:rsidRPr="007E469B">
        <w:rPr>
          <w:rFonts w:hint="eastAsia"/>
        </w:rPr>
        <w:t>和</w:t>
      </w:r>
      <w:r w:rsidRPr="007E469B">
        <w:t>治理宪章》</w:t>
      </w:r>
      <w:r w:rsidRPr="007E469B">
        <w:rPr>
          <w:rFonts w:hint="eastAsia"/>
        </w:rPr>
        <w:t>，</w:t>
      </w:r>
      <w:r w:rsidRPr="007E469B">
        <w:t>2022</w:t>
      </w:r>
      <w:r w:rsidRPr="007E469B">
        <w:t>年；</w:t>
      </w:r>
    </w:p>
    <w:p w14:paraId="6C571E3D" w14:textId="77777777" w:rsidR="00AA2244" w:rsidRPr="007E469B" w:rsidRDefault="00AA2244" w:rsidP="00AA2244">
      <w:pPr>
        <w:pStyle w:val="SingleTxtGC"/>
      </w:pPr>
      <w:r w:rsidRPr="007E469B">
        <w:tab/>
        <w:t>(c)</w:t>
      </w:r>
      <w:r w:rsidRPr="007E469B">
        <w:tab/>
      </w:r>
      <w:r w:rsidRPr="007E469B">
        <w:t>《残疾人权利公约》</w:t>
      </w:r>
      <w:r w:rsidRPr="007E469B">
        <w:rPr>
          <w:rFonts w:hint="eastAsia"/>
        </w:rPr>
        <w:t>，</w:t>
      </w:r>
      <w:r w:rsidRPr="007E469B">
        <w:t>2013</w:t>
      </w:r>
      <w:r w:rsidRPr="007E469B">
        <w:t>年；</w:t>
      </w:r>
    </w:p>
    <w:p w14:paraId="65300BEF" w14:textId="77777777" w:rsidR="00AA2244" w:rsidRPr="007E469B" w:rsidRDefault="00AA2244" w:rsidP="00AA2244">
      <w:pPr>
        <w:pStyle w:val="SingleTxtGC"/>
      </w:pPr>
      <w:r w:rsidRPr="007E469B">
        <w:tab/>
        <w:t>(d)</w:t>
      </w:r>
      <w:r w:rsidRPr="007E469B">
        <w:tab/>
      </w:r>
      <w:r w:rsidRPr="007E469B">
        <w:t>《残疾人权利公约任择议定书》</w:t>
      </w:r>
      <w:r w:rsidRPr="007E469B">
        <w:rPr>
          <w:rFonts w:hint="eastAsia"/>
        </w:rPr>
        <w:t>，</w:t>
      </w:r>
      <w:r w:rsidRPr="007E469B">
        <w:t>2013</w:t>
      </w:r>
      <w:r w:rsidRPr="007E469B">
        <w:t>年；</w:t>
      </w:r>
    </w:p>
    <w:p w14:paraId="7F46C0BD" w14:textId="77777777" w:rsidR="00AA2244" w:rsidRPr="007E469B" w:rsidRDefault="00AA2244" w:rsidP="00AA2244">
      <w:pPr>
        <w:pStyle w:val="SingleTxtGC"/>
      </w:pPr>
      <w:r w:rsidRPr="007E469B">
        <w:tab/>
        <w:t>(e)</w:t>
      </w:r>
      <w:r w:rsidRPr="007E469B">
        <w:tab/>
      </w:r>
      <w:r w:rsidRPr="007E469B">
        <w:t>《儿童权利公约关于儿童卷入武装冲突问题的任择议定书》</w:t>
      </w:r>
      <w:r w:rsidRPr="007E469B">
        <w:rPr>
          <w:rFonts w:hint="eastAsia"/>
        </w:rPr>
        <w:t>，</w:t>
      </w:r>
      <w:r w:rsidRPr="007E469B">
        <w:t>2013</w:t>
      </w:r>
      <w:r w:rsidRPr="007E469B">
        <w:t>年；</w:t>
      </w:r>
    </w:p>
    <w:p w14:paraId="585D0899" w14:textId="77777777" w:rsidR="00AA2244" w:rsidRPr="007E469B" w:rsidRDefault="00AA2244" w:rsidP="00AA2244">
      <w:pPr>
        <w:pStyle w:val="SingleTxtGC"/>
      </w:pPr>
      <w:r w:rsidRPr="007E469B">
        <w:tab/>
        <w:t>(f)</w:t>
      </w:r>
      <w:r w:rsidRPr="007E469B">
        <w:tab/>
      </w:r>
      <w:r w:rsidRPr="007E469B">
        <w:t>《儿童权利公约关于儿童买卖、儿童卖淫和儿童色情制品问题的任择议定书》</w:t>
      </w:r>
      <w:r w:rsidRPr="007E469B">
        <w:rPr>
          <w:rFonts w:hint="eastAsia"/>
        </w:rPr>
        <w:t>，</w:t>
      </w:r>
      <w:r w:rsidRPr="007E469B">
        <w:t>2012</w:t>
      </w:r>
      <w:r w:rsidRPr="007E469B">
        <w:t>年；</w:t>
      </w:r>
    </w:p>
    <w:p w14:paraId="041FABD4" w14:textId="77777777" w:rsidR="00AA2244" w:rsidRPr="007E469B" w:rsidRDefault="00AA2244" w:rsidP="00AA2244">
      <w:pPr>
        <w:pStyle w:val="SingleTxtGC"/>
      </w:pPr>
      <w:r w:rsidRPr="007E469B">
        <w:tab/>
        <w:t>(g)</w:t>
      </w:r>
      <w:r w:rsidRPr="007E469B">
        <w:tab/>
      </w:r>
      <w:r w:rsidRPr="007E469B">
        <w:t>《非洲联盟</w:t>
      </w:r>
      <w:r w:rsidRPr="007E469B">
        <w:rPr>
          <w:rFonts w:hint="eastAsia"/>
        </w:rPr>
        <w:t>预防</w:t>
      </w:r>
      <w:r w:rsidRPr="007E469B">
        <w:t>和打击腐败公约》</w:t>
      </w:r>
      <w:r w:rsidRPr="007E469B">
        <w:rPr>
          <w:rFonts w:hint="eastAsia"/>
        </w:rPr>
        <w:t>，</w:t>
      </w:r>
      <w:r w:rsidRPr="007E469B">
        <w:t>2006</w:t>
      </w:r>
      <w:r w:rsidRPr="007E469B">
        <w:t>年；</w:t>
      </w:r>
    </w:p>
    <w:p w14:paraId="4E0F9A1D" w14:textId="77777777" w:rsidR="00AA2244" w:rsidRPr="007E469B" w:rsidRDefault="00AA2244" w:rsidP="00AA2244">
      <w:pPr>
        <w:pStyle w:val="SingleTxtGC"/>
      </w:pPr>
      <w:r w:rsidRPr="007E469B">
        <w:tab/>
        <w:t>(h)</w:t>
      </w:r>
      <w:r w:rsidRPr="007E469B">
        <w:tab/>
      </w:r>
      <w:r w:rsidRPr="007E469B">
        <w:t>《非洲人权和民族权宪章关于非洲妇女权利的议定书》</w:t>
      </w:r>
      <w:r w:rsidRPr="007E469B">
        <w:rPr>
          <w:rFonts w:hint="eastAsia"/>
        </w:rPr>
        <w:t>，</w:t>
      </w:r>
      <w:r w:rsidRPr="007E469B">
        <w:t>2008</w:t>
      </w:r>
      <w:r w:rsidRPr="007E469B">
        <w:t>年；</w:t>
      </w:r>
    </w:p>
    <w:p w14:paraId="479829EB" w14:textId="77777777" w:rsidR="00AA2244" w:rsidRPr="007E469B" w:rsidRDefault="00AA2244" w:rsidP="00AA2244">
      <w:pPr>
        <w:pStyle w:val="SingleTxtGC"/>
      </w:pPr>
      <w:r w:rsidRPr="007E469B">
        <w:tab/>
        <w:t>(i)</w:t>
      </w:r>
      <w:r w:rsidRPr="007E469B">
        <w:tab/>
      </w:r>
      <w:r w:rsidRPr="007E469B">
        <w:t>《非洲儿童权利和福利宪章》</w:t>
      </w:r>
      <w:r w:rsidRPr="007E469B">
        <w:rPr>
          <w:rFonts w:hint="eastAsia"/>
        </w:rPr>
        <w:t>，</w:t>
      </w:r>
      <w:r w:rsidRPr="007E469B">
        <w:t>1995</w:t>
      </w:r>
      <w:r w:rsidRPr="007E469B">
        <w:t>年；</w:t>
      </w:r>
    </w:p>
    <w:p w14:paraId="338CFEFA" w14:textId="418CFDAE" w:rsidR="00AA2244" w:rsidRPr="007E469B" w:rsidRDefault="00AA2244" w:rsidP="00AA2244">
      <w:pPr>
        <w:pStyle w:val="SingleTxtGC"/>
      </w:pPr>
      <w:r w:rsidRPr="007E469B">
        <w:tab/>
        <w:t>(j)</w:t>
      </w:r>
      <w:r w:rsidRPr="007E469B">
        <w:tab/>
      </w:r>
      <w:r w:rsidRPr="007E469B">
        <w:t>国际劳工组织《</w:t>
      </w:r>
      <w:r w:rsidRPr="007E469B">
        <w:t>1999</w:t>
      </w:r>
      <w:r w:rsidRPr="007E469B">
        <w:t>年最恶劣形式的童工劳动公约》</w:t>
      </w:r>
      <w:r w:rsidRPr="007E469B">
        <w:t>(</w:t>
      </w:r>
      <w:r w:rsidRPr="007E469B">
        <w:t>第</w:t>
      </w:r>
      <w:r w:rsidRPr="007E469B">
        <w:t>182</w:t>
      </w:r>
      <w:r w:rsidRPr="007E469B">
        <w:t>号</w:t>
      </w:r>
      <w:r w:rsidRPr="007E469B">
        <w:t>)</w:t>
      </w:r>
      <w:r w:rsidRPr="007E469B">
        <w:rPr>
          <w:rFonts w:hint="eastAsia"/>
        </w:rPr>
        <w:t>，</w:t>
      </w:r>
      <w:r w:rsidRPr="007E469B">
        <w:t>2000</w:t>
      </w:r>
      <w:r w:rsidRPr="007E469B">
        <w:t>年。</w:t>
      </w:r>
    </w:p>
    <w:p w14:paraId="431E9828" w14:textId="77777777" w:rsidR="00AA2244" w:rsidRPr="007E469B" w:rsidRDefault="00AA2244" w:rsidP="003313BF">
      <w:pPr>
        <w:pStyle w:val="H1GC"/>
      </w:pPr>
      <w:r w:rsidRPr="007E469B">
        <w:tab/>
        <w:t>C.</w:t>
      </w:r>
      <w:r w:rsidRPr="007E469B">
        <w:tab/>
      </w:r>
      <w:r w:rsidRPr="007E469B">
        <w:rPr>
          <w:rFonts w:hint="eastAsia"/>
        </w:rPr>
        <w:t>主要关注事项与建议</w:t>
      </w:r>
    </w:p>
    <w:p w14:paraId="07C0207C" w14:textId="77777777" w:rsidR="00AA2244" w:rsidRPr="007E469B" w:rsidRDefault="00AA2244" w:rsidP="003313BF">
      <w:pPr>
        <w:pStyle w:val="H23GC"/>
      </w:pPr>
      <w:r w:rsidRPr="007E469B">
        <w:tab/>
      </w:r>
      <w:r w:rsidRPr="007E469B">
        <w:tab/>
      </w:r>
      <w:r w:rsidRPr="007E469B">
        <w:rPr>
          <w:rFonts w:hint="eastAsia"/>
        </w:rPr>
        <w:t>《公约》的落实</w:t>
      </w:r>
    </w:p>
    <w:p w14:paraId="70AAE260" w14:textId="77777777" w:rsidR="00AA2244" w:rsidRPr="007E469B" w:rsidRDefault="00AA2244" w:rsidP="00AA2244">
      <w:pPr>
        <w:pStyle w:val="SingleTxtGC"/>
      </w:pPr>
      <w:r w:rsidRPr="007E469B">
        <w:t>5.</w:t>
      </w:r>
      <w:r w:rsidRPr="007E469B">
        <w:tab/>
      </w:r>
      <w:r w:rsidRPr="007E469B">
        <w:t>委员会欢迎缔约国为使现行法律全面符合《宪法》和《公约》条款所作的努力，并注意到缔约国提供了有关国内法院直接适用《公约》条款的一些案例的信息，但委员会遗憾的是，在国内法与《公约》存在不一致的情况下，《公约》并不具有优先地位</w:t>
      </w:r>
      <w:r w:rsidRPr="007E469B">
        <w:t>(</w:t>
      </w:r>
      <w:r w:rsidRPr="007E469B">
        <w:t>第</w:t>
      </w:r>
      <w:r w:rsidRPr="007E469B">
        <w:rPr>
          <w:rFonts w:hint="eastAsia"/>
        </w:rPr>
        <w:t>二</w:t>
      </w:r>
      <w:r w:rsidRPr="007E469B">
        <w:t>条</w:t>
      </w:r>
      <w:r w:rsidRPr="007E469B">
        <w:t>)</w:t>
      </w:r>
      <w:r w:rsidRPr="007E469B">
        <w:t>。</w:t>
      </w:r>
    </w:p>
    <w:p w14:paraId="66BB78F4" w14:textId="77777777" w:rsidR="00AA2244" w:rsidRPr="007569AA" w:rsidRDefault="00AA2244" w:rsidP="00AA2244">
      <w:pPr>
        <w:pStyle w:val="SingleTxtGC"/>
        <w:rPr>
          <w:rFonts w:ascii="Time New Roman" w:eastAsia="黑体" w:hAnsi="Time New Roman"/>
          <w:bCs/>
        </w:rPr>
      </w:pPr>
      <w:r w:rsidRPr="007569AA">
        <w:rPr>
          <w:rFonts w:ascii="Time New Roman" w:eastAsia="黑体" w:hAnsi="Time New Roman"/>
        </w:rPr>
        <w:t>6.</w:t>
      </w:r>
      <w:r w:rsidRPr="007569AA">
        <w:rPr>
          <w:rFonts w:ascii="Time New Roman" w:eastAsia="黑体" w:hAnsi="Time New Roman"/>
        </w:rPr>
        <w:tab/>
      </w:r>
      <w:r w:rsidRPr="007569AA">
        <w:rPr>
          <w:rFonts w:ascii="Time New Roman" w:eastAsia="黑体" w:hAnsi="Time New Roman" w:hint="eastAsia"/>
        </w:rPr>
        <w:t>按照</w:t>
      </w:r>
      <w:r w:rsidRPr="007569AA">
        <w:rPr>
          <w:rFonts w:ascii="Time New Roman" w:eastAsia="黑体" w:hAnsi="Time New Roman"/>
        </w:rPr>
        <w:t>委员会此前的建议</w:t>
      </w:r>
      <w:r w:rsidRPr="007569AA">
        <w:rPr>
          <w:rStyle w:val="a8"/>
          <w:rFonts w:ascii="Time New Roman" w:eastAsia="黑体" w:hAnsi="Time New Roman"/>
        </w:rPr>
        <w:footnoteReference w:id="6"/>
      </w:r>
      <w:r w:rsidRPr="007569AA">
        <w:rPr>
          <w:rStyle w:val="SingleTxtGCChar"/>
          <w:rFonts w:ascii="Time New Roman" w:eastAsia="黑体" w:hAnsi="Time New Roman"/>
        </w:rPr>
        <w:t>，</w:t>
      </w:r>
      <w:r w:rsidRPr="007569AA">
        <w:rPr>
          <w:rFonts w:ascii="Time New Roman" w:eastAsia="黑体" w:hAnsi="Time New Roman"/>
        </w:rPr>
        <w:t>缔约国</w:t>
      </w:r>
      <w:r w:rsidRPr="007569AA">
        <w:rPr>
          <w:rFonts w:ascii="Time New Roman" w:eastAsia="黑体" w:hAnsi="Time New Roman" w:hint="eastAsia"/>
        </w:rPr>
        <w:t>应</w:t>
      </w:r>
      <w:r w:rsidRPr="007569AA">
        <w:rPr>
          <w:rFonts w:ascii="Time New Roman" w:eastAsia="黑体" w:hAnsi="Time New Roman"/>
        </w:rPr>
        <w:t>确保将《公约》所有条款全面纳入国内法律体系并</w:t>
      </w:r>
      <w:r w:rsidRPr="007569AA">
        <w:rPr>
          <w:rFonts w:ascii="Time New Roman" w:eastAsia="黑体" w:hAnsi="Time New Roman" w:hint="eastAsia"/>
        </w:rPr>
        <w:t>予以充分落实，</w:t>
      </w:r>
      <w:r w:rsidRPr="007569AA">
        <w:rPr>
          <w:rFonts w:ascii="Time New Roman" w:eastAsia="黑体" w:hAnsi="Time New Roman"/>
        </w:rPr>
        <w:t>确保国内</w:t>
      </w:r>
      <w:r w:rsidRPr="007569AA">
        <w:rPr>
          <w:rFonts w:ascii="Time New Roman" w:eastAsia="黑体" w:hAnsi="Time New Roman" w:hint="eastAsia"/>
        </w:rPr>
        <w:t>法律的</w:t>
      </w:r>
      <w:r w:rsidRPr="007569AA">
        <w:rPr>
          <w:rFonts w:ascii="Time New Roman" w:eastAsia="黑体" w:hAnsi="Time New Roman"/>
        </w:rPr>
        <w:t>解释和适用充分符合</w:t>
      </w:r>
      <w:r w:rsidRPr="007569AA">
        <w:rPr>
          <w:rFonts w:ascii="Time New Roman" w:eastAsia="黑体" w:hAnsi="Time New Roman" w:hint="eastAsia"/>
        </w:rPr>
        <w:t>本国在</w:t>
      </w:r>
      <w:r w:rsidRPr="007569AA">
        <w:rPr>
          <w:rFonts w:ascii="Time New Roman" w:eastAsia="黑体" w:hAnsi="Time New Roman"/>
        </w:rPr>
        <w:t>《公约》</w:t>
      </w:r>
      <w:r w:rsidRPr="007569AA">
        <w:rPr>
          <w:rFonts w:ascii="Time New Roman" w:eastAsia="黑体" w:hAnsi="Time New Roman" w:hint="eastAsia"/>
        </w:rPr>
        <w:t>下</w:t>
      </w:r>
      <w:r w:rsidRPr="007569AA">
        <w:rPr>
          <w:rFonts w:ascii="Time New Roman" w:eastAsia="黑体" w:hAnsi="Time New Roman"/>
        </w:rPr>
        <w:t>的义务。此外，缔约国应在国家层面提高政府官员、法官、律师、检察官以及广大公众对《公约》及其适用的认识。缔约国还应考虑加入《公约》第一任择议定书。</w:t>
      </w:r>
    </w:p>
    <w:p w14:paraId="411C210D" w14:textId="77777777" w:rsidR="00AA2244" w:rsidRPr="007E469B" w:rsidRDefault="00AA2244" w:rsidP="003313BF">
      <w:pPr>
        <w:pStyle w:val="H23GC"/>
      </w:pPr>
      <w:r w:rsidRPr="007E469B">
        <w:lastRenderedPageBreak/>
        <w:tab/>
      </w:r>
      <w:r w:rsidRPr="007E469B">
        <w:tab/>
      </w:r>
      <w:r w:rsidRPr="007E469B">
        <w:rPr>
          <w:rFonts w:hint="eastAsia"/>
        </w:rPr>
        <w:t>国家人权机构</w:t>
      </w:r>
    </w:p>
    <w:p w14:paraId="6F2CC597" w14:textId="77777777" w:rsidR="00AA2244" w:rsidRPr="007E469B" w:rsidRDefault="00AA2244" w:rsidP="00AA2244">
      <w:pPr>
        <w:pStyle w:val="SingleTxtGC"/>
      </w:pPr>
      <w:r w:rsidRPr="007E469B">
        <w:t>7.</w:t>
      </w:r>
      <w:r w:rsidRPr="007E469B">
        <w:tab/>
      </w:r>
      <w:r w:rsidRPr="007E469B">
        <w:t>委员会</w:t>
      </w:r>
      <w:r w:rsidRPr="007E469B">
        <w:rPr>
          <w:rFonts w:hint="eastAsia"/>
        </w:rPr>
        <w:t>感到</w:t>
      </w:r>
      <w:r w:rsidRPr="007E469B">
        <w:t>关切</w:t>
      </w:r>
      <w:r w:rsidRPr="007E469B">
        <w:rPr>
          <w:rFonts w:hint="eastAsia"/>
        </w:rPr>
        <w:t>的是，</w:t>
      </w:r>
      <w:r w:rsidRPr="007E469B">
        <w:t>津巴布韦人权委员会</w:t>
      </w:r>
      <w:r w:rsidRPr="007E469B">
        <w:rPr>
          <w:rFonts w:hint="eastAsia"/>
        </w:rPr>
        <w:t>缺少切实履行任务所需的</w:t>
      </w:r>
      <w:r w:rsidRPr="007E469B">
        <w:t>人力和财政资源，导致向地方</w:t>
      </w:r>
      <w:r w:rsidRPr="007E469B">
        <w:rPr>
          <w:rFonts w:hint="eastAsia"/>
        </w:rPr>
        <w:t>下放以扩大基层</w:t>
      </w:r>
      <w:r w:rsidRPr="007E469B">
        <w:t>网络的</w:t>
      </w:r>
      <w:r w:rsidRPr="007E469B">
        <w:rPr>
          <w:rFonts w:hint="eastAsia"/>
        </w:rPr>
        <w:t>工作</w:t>
      </w:r>
      <w:r w:rsidRPr="007E469B">
        <w:t>进展缓慢。委员会还关切</w:t>
      </w:r>
      <w:r w:rsidRPr="007E469B">
        <w:rPr>
          <w:rFonts w:hint="eastAsia"/>
        </w:rPr>
        <w:t>津巴布韦人权</w:t>
      </w:r>
      <w:r w:rsidRPr="007E469B">
        <w:t>委员会在财政和运</w:t>
      </w:r>
      <w:r w:rsidRPr="007E469B">
        <w:rPr>
          <w:rFonts w:hint="eastAsia"/>
        </w:rPr>
        <w:t>作</w:t>
      </w:r>
      <w:r w:rsidRPr="007E469B">
        <w:t>方面未能脱离行政部门控制</w:t>
      </w:r>
      <w:r w:rsidRPr="007E469B">
        <w:rPr>
          <w:rFonts w:hint="eastAsia"/>
        </w:rPr>
        <w:t>而实现自主</w:t>
      </w:r>
      <w:r w:rsidRPr="007E469B">
        <w:t>，从而限制其有效和独立履行职责的能力。</w:t>
      </w:r>
      <w:r w:rsidRPr="007E469B">
        <w:rPr>
          <w:rFonts w:hint="eastAsia"/>
        </w:rPr>
        <w:t>此外，</w:t>
      </w:r>
      <w:r w:rsidRPr="007E469B">
        <w:t>委员会关切</w:t>
      </w:r>
      <w:r w:rsidRPr="007E469B">
        <w:rPr>
          <w:rFonts w:hint="eastAsia"/>
        </w:rPr>
        <w:t>津巴布韦人权</w:t>
      </w:r>
      <w:r w:rsidRPr="007E469B">
        <w:t>委员会高级领导人员的任命程序缺乏透明度</w:t>
      </w:r>
      <w:r w:rsidRPr="007E469B">
        <w:t>(</w:t>
      </w:r>
      <w:r w:rsidRPr="007E469B">
        <w:t>第</w:t>
      </w:r>
      <w:r w:rsidRPr="007E469B">
        <w:rPr>
          <w:rFonts w:hint="eastAsia"/>
        </w:rPr>
        <w:t>二</w:t>
      </w:r>
      <w:r w:rsidRPr="007E469B">
        <w:t>条</w:t>
      </w:r>
      <w:r w:rsidRPr="007E469B">
        <w:t>)</w:t>
      </w:r>
      <w:r w:rsidRPr="007E469B">
        <w:t>。</w:t>
      </w:r>
    </w:p>
    <w:p w14:paraId="23A511D7" w14:textId="77777777"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8.</w:t>
      </w:r>
      <w:r w:rsidRPr="00161C49">
        <w:rPr>
          <w:rFonts w:ascii="Time New Roman" w:eastAsia="黑体" w:hAnsi="Time New Roman"/>
        </w:rPr>
        <w:tab/>
      </w:r>
      <w:r w:rsidRPr="00161C49">
        <w:rPr>
          <w:rFonts w:ascii="Time New Roman" w:eastAsia="黑体" w:hAnsi="Time New Roman" w:hint="eastAsia"/>
        </w:rPr>
        <w:t>缔约国应：</w:t>
      </w:r>
    </w:p>
    <w:p w14:paraId="0EAA32CF" w14:textId="77777777"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ab/>
        <w:t>(a)</w:t>
      </w:r>
      <w:r w:rsidRPr="00161C49">
        <w:rPr>
          <w:rFonts w:ascii="Time New Roman" w:eastAsia="黑体" w:hAnsi="Time New Roman"/>
        </w:rPr>
        <w:tab/>
      </w:r>
      <w:r w:rsidRPr="00161C49">
        <w:rPr>
          <w:rFonts w:ascii="Time New Roman" w:eastAsia="黑体" w:hAnsi="Time New Roman"/>
        </w:rPr>
        <w:t>向津巴布韦人权委员会提供充足的人力和财政资源，使</w:t>
      </w:r>
      <w:r w:rsidRPr="00161C49">
        <w:rPr>
          <w:rFonts w:ascii="Time New Roman" w:eastAsia="黑体" w:hAnsi="Time New Roman" w:hint="eastAsia"/>
        </w:rPr>
        <w:t>之</w:t>
      </w:r>
      <w:r w:rsidRPr="00161C49">
        <w:rPr>
          <w:rFonts w:ascii="Time New Roman" w:eastAsia="黑体" w:hAnsi="Time New Roman"/>
        </w:rPr>
        <w:t>能够</w:t>
      </w:r>
      <w:r w:rsidRPr="00161C49">
        <w:rPr>
          <w:rFonts w:ascii="Time New Roman" w:eastAsia="黑体" w:hAnsi="Time New Roman" w:hint="eastAsia"/>
        </w:rPr>
        <w:t>充分符合</w:t>
      </w:r>
      <w:r w:rsidRPr="00161C49">
        <w:rPr>
          <w:rFonts w:ascii="Time New Roman" w:eastAsia="黑体" w:hAnsi="Time New Roman" w:cs="Helvetica"/>
        </w:rPr>
        <w:t>《关于促进和保护人权的国家机构的地位的原则》</w:t>
      </w:r>
      <w:r w:rsidRPr="00161C49">
        <w:rPr>
          <w:rFonts w:ascii="Time New Roman" w:eastAsia="黑体" w:hAnsi="Time New Roman" w:cs="Helvetica"/>
        </w:rPr>
        <w:t>(</w:t>
      </w:r>
      <w:r w:rsidRPr="00161C49">
        <w:rPr>
          <w:rFonts w:ascii="Time New Roman" w:eastAsia="黑体" w:hAnsi="Time New Roman" w:cs="Helvetica"/>
        </w:rPr>
        <w:t>《巴黎原则》</w:t>
      </w:r>
      <w:r w:rsidRPr="00161C49">
        <w:rPr>
          <w:rFonts w:ascii="Time New Roman" w:eastAsia="黑体" w:hAnsi="Time New Roman" w:cs="Helvetica"/>
        </w:rPr>
        <w:t>)</w:t>
      </w:r>
      <w:r w:rsidRPr="00161C49">
        <w:rPr>
          <w:rFonts w:ascii="Time New Roman" w:eastAsia="黑体" w:hAnsi="Time New Roman" w:cs="Helvetica" w:hint="eastAsia"/>
        </w:rPr>
        <w:t>，</w:t>
      </w:r>
      <w:r w:rsidRPr="00161C49">
        <w:rPr>
          <w:rFonts w:ascii="Time New Roman" w:eastAsia="黑体" w:hAnsi="Time New Roman"/>
        </w:rPr>
        <w:t>有效</w:t>
      </w:r>
      <w:r w:rsidRPr="00161C49">
        <w:rPr>
          <w:rFonts w:ascii="Time New Roman" w:eastAsia="黑体" w:hAnsi="Time New Roman" w:hint="eastAsia"/>
        </w:rPr>
        <w:t>和</w:t>
      </w:r>
      <w:r w:rsidRPr="00161C49">
        <w:rPr>
          <w:rFonts w:ascii="Time New Roman" w:eastAsia="黑体" w:hAnsi="Time New Roman"/>
        </w:rPr>
        <w:t>独立地履行</w:t>
      </w:r>
      <w:r w:rsidRPr="00161C49">
        <w:rPr>
          <w:rFonts w:ascii="Time New Roman" w:eastAsia="黑体" w:hAnsi="Time New Roman" w:hint="eastAsia"/>
        </w:rPr>
        <w:t>任务</w:t>
      </w:r>
      <w:r w:rsidRPr="00161C49">
        <w:rPr>
          <w:rFonts w:ascii="Time New Roman" w:eastAsia="黑体" w:hAnsi="Time New Roman"/>
        </w:rPr>
        <w:t>，包括</w:t>
      </w:r>
      <w:r w:rsidRPr="00161C49">
        <w:rPr>
          <w:rFonts w:ascii="Time New Roman" w:eastAsia="黑体" w:hAnsi="Time New Roman" w:hint="eastAsia"/>
        </w:rPr>
        <w:t>实施</w:t>
      </w:r>
      <w:r w:rsidRPr="00161C49">
        <w:rPr>
          <w:rFonts w:ascii="Time New Roman" w:eastAsia="黑体" w:hAnsi="Time New Roman"/>
        </w:rPr>
        <w:t>增强</w:t>
      </w:r>
      <w:r w:rsidRPr="00161C49">
        <w:rPr>
          <w:rFonts w:ascii="Time New Roman" w:eastAsia="黑体" w:hAnsi="Time New Roman" w:hint="eastAsia"/>
        </w:rPr>
        <w:t>基层网络</w:t>
      </w:r>
      <w:r w:rsidRPr="00161C49">
        <w:rPr>
          <w:rFonts w:ascii="Time New Roman" w:eastAsia="黑体" w:hAnsi="Time New Roman"/>
        </w:rPr>
        <w:t>的计划；</w:t>
      </w:r>
    </w:p>
    <w:p w14:paraId="326BF08A" w14:textId="77777777"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ab/>
        <w:t>(b)</w:t>
      </w:r>
      <w:r w:rsidRPr="00161C49">
        <w:rPr>
          <w:rFonts w:ascii="Time New Roman" w:eastAsia="黑体" w:hAnsi="Time New Roman"/>
        </w:rPr>
        <w:tab/>
      </w:r>
      <w:r w:rsidRPr="00161C49">
        <w:rPr>
          <w:rFonts w:ascii="Time New Roman" w:eastAsia="黑体" w:hAnsi="Time New Roman" w:hint="eastAsia"/>
        </w:rPr>
        <w:t>通过修订《津巴布韦人权委员会法》，确保该委员会在财政和运营上的自主性，使之接受捐助资金无需政府事先批准；建立财务制度，通过定期财务报告确保问责；明确赋权委员会直接向议会提交报告，而无需通过行政部门提交报告；</w:t>
      </w:r>
    </w:p>
    <w:p w14:paraId="71F7A097" w14:textId="77777777"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ab/>
        <w:t>(c)</w:t>
      </w:r>
      <w:r w:rsidRPr="00161C49">
        <w:rPr>
          <w:rFonts w:ascii="Time New Roman" w:eastAsia="黑体" w:hAnsi="Time New Roman"/>
        </w:rPr>
        <w:tab/>
      </w:r>
      <w:r w:rsidRPr="00161C49">
        <w:rPr>
          <w:rFonts w:ascii="Time New Roman" w:eastAsia="黑体" w:hAnsi="Time New Roman" w:hint="eastAsia"/>
        </w:rPr>
        <w:t>确保采用明确、透明、参与和择优程序，选拔和任命津巴布韦人权委员会的高级领导人员，保障多元化选拔程序。</w:t>
      </w:r>
    </w:p>
    <w:p w14:paraId="43D8C57B" w14:textId="77777777" w:rsidR="00AA2244" w:rsidRPr="007E469B" w:rsidRDefault="00AA2244" w:rsidP="003313BF">
      <w:pPr>
        <w:pStyle w:val="H23GC"/>
      </w:pPr>
      <w:r w:rsidRPr="007E469B">
        <w:tab/>
      </w:r>
      <w:r w:rsidRPr="007E469B">
        <w:tab/>
      </w:r>
      <w:r w:rsidRPr="007E469B">
        <w:rPr>
          <w:rFonts w:hint="eastAsia"/>
        </w:rPr>
        <w:t>反腐败措施</w:t>
      </w:r>
    </w:p>
    <w:p w14:paraId="6E1CC6A3" w14:textId="6C634350" w:rsidR="00AA2244" w:rsidRPr="007E469B" w:rsidRDefault="00AA2244" w:rsidP="00AA2244">
      <w:pPr>
        <w:pStyle w:val="SingleTxtGC"/>
      </w:pPr>
      <w:r w:rsidRPr="007E469B">
        <w:t>9.</w:t>
      </w:r>
      <w:r w:rsidRPr="007E469B">
        <w:tab/>
      </w:r>
      <w:r w:rsidRPr="007E469B">
        <w:rPr>
          <w:rFonts w:hint="eastAsia"/>
        </w:rPr>
        <w:t>委员会注意到缔约国为打击腐败所采取的措施，包括通过《</w:t>
      </w:r>
      <w:r w:rsidRPr="007E469B">
        <w:t>2020</w:t>
      </w:r>
      <w:r w:rsidR="003313BF">
        <w:rPr>
          <w:rFonts w:hint="eastAsia"/>
        </w:rPr>
        <w:t>-</w:t>
      </w:r>
      <w:r w:rsidRPr="007E469B">
        <w:t>2024</w:t>
      </w:r>
      <w:r w:rsidRPr="007E469B">
        <w:rPr>
          <w:rFonts w:hint="eastAsia"/>
        </w:rPr>
        <w:t>年国家反腐败战略》，设立津巴布韦反腐败委员会、警察反腐败处、特别反腐败小组以及反腐败法庭。然而，委员会关切有报道称，反腐败活动人士和记者遭受攻击、逮捕和拘留，审理腐败案件的治安官和法官受到威胁。委员会虽然注意到缔约国提供的报告期内涉及腐败的调查和起诉数量信息，但遗憾的是未能收到有关反腐败法庭受理的案件类型、获得定罪和判罚的案件比例、涉及高级公职人员腐败指控案件等的详细信息。委员会还感到遗憾的是，缺少来自其他相关机构的数据</w:t>
      </w:r>
      <w:r w:rsidRPr="007E469B">
        <w:rPr>
          <w:rFonts w:hint="eastAsia"/>
        </w:rPr>
        <w:t>(</w:t>
      </w:r>
      <w:r w:rsidRPr="007E469B">
        <w:rPr>
          <w:rFonts w:hint="eastAsia"/>
        </w:rPr>
        <w:t>第二条和第二十五条</w:t>
      </w:r>
      <w:r w:rsidRPr="007E469B">
        <w:rPr>
          <w:rFonts w:hint="eastAsia"/>
        </w:rPr>
        <w:t>)</w:t>
      </w:r>
      <w:r w:rsidRPr="007E469B">
        <w:rPr>
          <w:rFonts w:hint="eastAsia"/>
        </w:rPr>
        <w:t>。</w:t>
      </w:r>
    </w:p>
    <w:p w14:paraId="60FD5BF1" w14:textId="77777777"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10.</w:t>
      </w:r>
      <w:r w:rsidRPr="00161C49">
        <w:rPr>
          <w:rFonts w:ascii="Time New Roman" w:eastAsia="黑体" w:hAnsi="Time New Roman"/>
        </w:rPr>
        <w:tab/>
      </w:r>
      <w:r w:rsidRPr="00161C49">
        <w:rPr>
          <w:rFonts w:ascii="Time New Roman" w:eastAsia="黑体" w:hAnsi="Time New Roman" w:hint="eastAsia"/>
        </w:rPr>
        <w:t>缔约国应加大力度，在各级防止和消除腐败，具体应：</w:t>
      </w:r>
    </w:p>
    <w:p w14:paraId="72BD08C9" w14:textId="77777777"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ab/>
        <w:t>(a)</w:t>
      </w:r>
      <w:r w:rsidRPr="00161C49">
        <w:rPr>
          <w:rFonts w:ascii="Time New Roman" w:eastAsia="黑体" w:hAnsi="Time New Roman"/>
        </w:rPr>
        <w:tab/>
      </w:r>
      <w:r w:rsidRPr="00161C49">
        <w:rPr>
          <w:rFonts w:ascii="Time New Roman" w:eastAsia="黑体" w:hAnsi="Time New Roman" w:hint="eastAsia"/>
        </w:rPr>
        <w:t>强化努力，及时、彻底、独立和公正地调查所有反腐败活动人士和记者遭受攻击、逮捕和拘留的指称以及治安官和法官所受威胁的指称，确保施害者受到起诉，如被定罪，则受到与罪行严重程度相称的处罚，并向受害者作出补偿；</w:t>
      </w:r>
    </w:p>
    <w:p w14:paraId="5906F7DC" w14:textId="77777777"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ab/>
        <w:t>(b)</w:t>
      </w:r>
      <w:r w:rsidRPr="00161C49">
        <w:rPr>
          <w:rFonts w:ascii="Time New Roman" w:eastAsia="黑体" w:hAnsi="Time New Roman"/>
        </w:rPr>
        <w:tab/>
      </w:r>
      <w:r w:rsidRPr="00161C49">
        <w:rPr>
          <w:rFonts w:ascii="Time New Roman" w:eastAsia="黑体" w:hAnsi="Time New Roman" w:hint="eastAsia"/>
        </w:rPr>
        <w:t>向委员会提供更为详细的信息，包括反腐败法庭和其他相关机构受理的案件类型、获得定罪和判罚的案件比例以及涉及高级公职人员腐败的案件情况；</w:t>
      </w:r>
    </w:p>
    <w:p w14:paraId="7B5FA20A" w14:textId="7E7DF0E2" w:rsidR="00AA2244" w:rsidRPr="00161C49" w:rsidRDefault="00AA2244" w:rsidP="00AA2244">
      <w:pPr>
        <w:pStyle w:val="SingleTxtGC"/>
        <w:rPr>
          <w:rFonts w:ascii="Time New Roman" w:eastAsia="黑体" w:hAnsi="Time New Roman"/>
          <w:bCs/>
        </w:rPr>
      </w:pPr>
      <w:r w:rsidRPr="00161C49">
        <w:rPr>
          <w:rFonts w:ascii="Time New Roman" w:eastAsia="黑体" w:hAnsi="Time New Roman"/>
        </w:rPr>
        <w:tab/>
        <w:t>(c)</w:t>
      </w:r>
      <w:r w:rsidRPr="00161C49">
        <w:rPr>
          <w:rFonts w:ascii="Time New Roman" w:eastAsia="黑体" w:hAnsi="Time New Roman"/>
        </w:rPr>
        <w:tab/>
      </w:r>
      <w:r w:rsidRPr="00161C49">
        <w:rPr>
          <w:rFonts w:ascii="Time New Roman" w:eastAsia="黑体" w:hAnsi="Time New Roman" w:hint="eastAsia"/>
        </w:rPr>
        <w:t>开展培训和宣传活动，使公职人员、政治人物和公众了解腐败的经济和社会代价以及为应对腐败而设立的机制</w:t>
      </w:r>
      <w:r w:rsidR="00161C49" w:rsidRPr="00161C49">
        <w:rPr>
          <w:rFonts w:ascii="Time New Roman" w:eastAsia="黑体" w:hAnsi="Time New Roman" w:hint="eastAsia"/>
          <w:bCs/>
        </w:rPr>
        <w:t>。</w:t>
      </w:r>
    </w:p>
    <w:p w14:paraId="1ED841C9" w14:textId="77777777" w:rsidR="00AA2244" w:rsidRPr="007E469B" w:rsidRDefault="00AA2244" w:rsidP="003313BF">
      <w:pPr>
        <w:pStyle w:val="H23GC"/>
      </w:pPr>
      <w:r w:rsidRPr="007E469B">
        <w:tab/>
      </w:r>
      <w:r w:rsidRPr="007E469B">
        <w:tab/>
      </w:r>
      <w:r w:rsidRPr="007E469B">
        <w:rPr>
          <w:rFonts w:hint="eastAsia"/>
        </w:rPr>
        <w:t>打击有罪不罚现象和对过去的侵犯人权问题</w:t>
      </w:r>
    </w:p>
    <w:p w14:paraId="69608213" w14:textId="58ECC3D7" w:rsidR="00AA2244" w:rsidRPr="007E469B" w:rsidRDefault="00AA2244" w:rsidP="00AA2244">
      <w:pPr>
        <w:pStyle w:val="SingleTxtGC"/>
      </w:pPr>
      <w:r w:rsidRPr="007E469B">
        <w:t>11.</w:t>
      </w:r>
      <w:r w:rsidRPr="007E469B">
        <w:tab/>
      </w:r>
      <w:r w:rsidRPr="007E469B">
        <w:rPr>
          <w:rFonts w:hint="eastAsia"/>
        </w:rPr>
        <w:t>委员会注意到，缔约国于</w:t>
      </w:r>
      <w:r w:rsidRPr="007E469B">
        <w:t>1983</w:t>
      </w:r>
      <w:r w:rsidRPr="007E469B">
        <w:rPr>
          <w:rFonts w:hint="eastAsia"/>
        </w:rPr>
        <w:t>年设</w:t>
      </w:r>
      <w:r w:rsidRPr="007E469B">
        <w:rPr>
          <w:rFonts w:hAnsi="宋体" w:hint="eastAsia"/>
        </w:rPr>
        <w:t>立“马</w:t>
      </w:r>
      <w:r w:rsidRPr="007E469B">
        <w:rPr>
          <w:rFonts w:hint="eastAsia"/>
        </w:rPr>
        <w:t>塔贝莱兰骚乱调查委员</w:t>
      </w:r>
      <w:r w:rsidRPr="007E469B">
        <w:rPr>
          <w:rFonts w:hAnsi="宋体" w:hint="eastAsia"/>
        </w:rPr>
        <w:t>会”</w:t>
      </w:r>
      <w:r w:rsidRPr="007E469B">
        <w:rPr>
          <w:rFonts w:hint="eastAsia"/>
        </w:rPr>
        <w:t>(</w:t>
      </w:r>
      <w:r w:rsidRPr="007E469B">
        <w:rPr>
          <w:rFonts w:hint="eastAsia"/>
        </w:rPr>
        <w:t>即奇汉巴夸委员会</w:t>
      </w:r>
      <w:r w:rsidRPr="007E469B">
        <w:rPr>
          <w:rFonts w:hint="eastAsia"/>
        </w:rPr>
        <w:t>)</w:t>
      </w:r>
      <w:r w:rsidRPr="007E469B">
        <w:rPr>
          <w:rFonts w:hint="eastAsia"/>
        </w:rPr>
        <w:t>，但继续关切该委员会的报告至今尚未公开。委员会还感到关切的是，</w:t>
      </w:r>
      <w:r w:rsidRPr="007E469B">
        <w:t>2008</w:t>
      </w:r>
      <w:r w:rsidRPr="007E469B">
        <w:rPr>
          <w:rFonts w:hint="eastAsia"/>
        </w:rPr>
        <w:t>年选举期间发生的严重侵犯人权事件仍未受到追究，受害者也未获</w:t>
      </w:r>
      <w:r w:rsidRPr="007E469B">
        <w:rPr>
          <w:rFonts w:hint="eastAsia"/>
        </w:rPr>
        <w:lastRenderedPageBreak/>
        <w:t>得充分补救。委员会还感到遗憾的是，“</w:t>
      </w:r>
      <w:r w:rsidRPr="007E469B">
        <w:t>2018</w:t>
      </w:r>
      <w:r w:rsidRPr="007E469B">
        <w:rPr>
          <w:rFonts w:hint="eastAsia"/>
        </w:rPr>
        <w:t>年</w:t>
      </w:r>
      <w:r w:rsidRPr="007E469B">
        <w:t>8</w:t>
      </w:r>
      <w:r w:rsidRPr="007E469B">
        <w:rPr>
          <w:rFonts w:hint="eastAsia"/>
        </w:rPr>
        <w:t>月</w:t>
      </w:r>
      <w:r w:rsidRPr="007E469B">
        <w:t>1</w:t>
      </w:r>
      <w:r w:rsidRPr="007E469B">
        <w:rPr>
          <w:rFonts w:hint="eastAsia"/>
        </w:rPr>
        <w:t>日选后暴力事件调查委员</w:t>
      </w:r>
      <w:r w:rsidRPr="007E469B">
        <w:rPr>
          <w:rFonts w:hAnsi="宋体" w:hint="eastAsia"/>
        </w:rPr>
        <w:t>会”</w:t>
      </w:r>
      <w:r w:rsidRPr="007E469B">
        <w:rPr>
          <w:rFonts w:hint="eastAsia"/>
        </w:rPr>
        <w:t>(</w:t>
      </w:r>
      <w:r w:rsidRPr="007E469B">
        <w:rPr>
          <w:rFonts w:hint="eastAsia"/>
        </w:rPr>
        <w:t>莫特兰蒂委员会</w:t>
      </w:r>
      <w:r w:rsidRPr="007E469B">
        <w:rPr>
          <w:rFonts w:hint="eastAsia"/>
        </w:rPr>
        <w:t>)</w:t>
      </w:r>
      <w:r w:rsidRPr="007E469B">
        <w:rPr>
          <w:rFonts w:hint="eastAsia"/>
        </w:rPr>
        <w:t>报告中提出的建议没有得到落实。此外，委员会关注，有报告称，</w:t>
      </w:r>
      <w:r w:rsidRPr="007E469B">
        <w:t>2018</w:t>
      </w:r>
      <w:r w:rsidRPr="007E469B">
        <w:rPr>
          <w:rFonts w:hint="eastAsia"/>
        </w:rPr>
        <w:t>年设立的国家和平与和解委员会缺乏政治支持，资源也不充足，因而实现真相与和解方面的目标，例如有关发掘与重新安葬方面的工作</w:t>
      </w:r>
      <w:r w:rsidRPr="007E469B">
        <w:rPr>
          <w:rFonts w:hint="eastAsia"/>
        </w:rPr>
        <w:t>(</w:t>
      </w:r>
      <w:r w:rsidRPr="007E469B">
        <w:rPr>
          <w:rFonts w:hint="eastAsia"/>
        </w:rPr>
        <w:t>第二、第六、第七和第十七条</w:t>
      </w:r>
      <w:r w:rsidRPr="007E469B">
        <w:rPr>
          <w:rFonts w:hint="eastAsia"/>
        </w:rPr>
        <w:t>)</w:t>
      </w:r>
      <w:r w:rsidRPr="007E469B">
        <w:rPr>
          <w:rFonts w:hint="eastAsia"/>
        </w:rPr>
        <w:t>。</w:t>
      </w:r>
    </w:p>
    <w:p w14:paraId="366B0CBD" w14:textId="77777777" w:rsidR="00AA2244" w:rsidRPr="00295805" w:rsidRDefault="00AA2244" w:rsidP="00AA2244">
      <w:pPr>
        <w:pStyle w:val="SingleTxtGC"/>
        <w:rPr>
          <w:rFonts w:ascii="Time New Roman" w:eastAsia="黑体" w:hAnsi="Time New Roman" w:hint="eastAsia"/>
          <w:bCs/>
        </w:rPr>
      </w:pPr>
      <w:r w:rsidRPr="00295805">
        <w:rPr>
          <w:rFonts w:ascii="Time New Roman" w:eastAsia="黑体" w:hAnsi="Time New Roman"/>
        </w:rPr>
        <w:t>12.</w:t>
      </w:r>
      <w:r w:rsidRPr="00295805">
        <w:rPr>
          <w:rFonts w:ascii="Time New Roman" w:eastAsia="黑体" w:hAnsi="Time New Roman"/>
        </w:rPr>
        <w:tab/>
      </w:r>
      <w:r w:rsidRPr="00295805">
        <w:rPr>
          <w:rFonts w:ascii="Time New Roman" w:eastAsia="黑体" w:hAnsi="Time New Roman" w:hint="eastAsia"/>
        </w:rPr>
        <w:t>缔约国应：</w:t>
      </w:r>
    </w:p>
    <w:p w14:paraId="43D46F79" w14:textId="77777777" w:rsidR="00AA2244" w:rsidRPr="007E469B" w:rsidRDefault="00AA2244" w:rsidP="00AA2244">
      <w:pPr>
        <w:pStyle w:val="SingleTxtGC"/>
        <w:rPr>
          <w:rFonts w:eastAsia="黑体"/>
          <w:bCs/>
        </w:rPr>
      </w:pPr>
      <w:r w:rsidRPr="007E469B">
        <w:rPr>
          <w:rFonts w:eastAsia="黑体"/>
          <w:bCs/>
        </w:rPr>
        <w:tab/>
        <w:t>(a)</w:t>
      </w:r>
      <w:r w:rsidRPr="007E469B">
        <w:rPr>
          <w:rFonts w:eastAsia="黑体"/>
          <w:bCs/>
        </w:rPr>
        <w:tab/>
      </w:r>
      <w:r w:rsidRPr="007E469B">
        <w:rPr>
          <w:rFonts w:eastAsia="黑体" w:hint="eastAsia"/>
          <w:bCs/>
        </w:rPr>
        <w:t>公布调查委员会所有报告和调查的结论，以加强透明和问责，推动真相与和解进程；</w:t>
      </w:r>
    </w:p>
    <w:p w14:paraId="47C5535E" w14:textId="77777777" w:rsidR="00AA2244" w:rsidRPr="007E469B" w:rsidRDefault="00AA2244" w:rsidP="00AA2244">
      <w:pPr>
        <w:pStyle w:val="SingleTxtGC"/>
        <w:rPr>
          <w:rFonts w:eastAsia="黑体"/>
          <w:bCs/>
        </w:rPr>
      </w:pPr>
      <w:r w:rsidRPr="007E469B">
        <w:rPr>
          <w:rFonts w:eastAsia="黑体"/>
          <w:bCs/>
        </w:rPr>
        <w:tab/>
        <w:t>(b)</w:t>
      </w:r>
      <w:r w:rsidRPr="007E469B">
        <w:rPr>
          <w:rFonts w:eastAsia="黑体"/>
          <w:bCs/>
        </w:rPr>
        <w:tab/>
      </w:r>
      <w:r w:rsidRPr="007E469B">
        <w:rPr>
          <w:rFonts w:eastAsia="黑体" w:hint="eastAsia"/>
          <w:bCs/>
        </w:rPr>
        <w:t>调查有关以往严重侵犯人权的指称，起诉行为人，如定罪则予以应当惩处，同时确保受害者获得有效的补救；</w:t>
      </w:r>
    </w:p>
    <w:p w14:paraId="781C11E4" w14:textId="77777777" w:rsidR="00AA2244" w:rsidRPr="007E469B" w:rsidRDefault="00AA2244" w:rsidP="00AA2244">
      <w:pPr>
        <w:pStyle w:val="SingleTxtGC"/>
        <w:rPr>
          <w:rFonts w:eastAsia="黑体"/>
          <w:bCs/>
        </w:rPr>
      </w:pPr>
      <w:r w:rsidRPr="007E469B">
        <w:rPr>
          <w:rFonts w:eastAsia="黑体"/>
          <w:bCs/>
        </w:rPr>
        <w:tab/>
        <w:t>(c)</w:t>
      </w:r>
      <w:r w:rsidRPr="007E469B">
        <w:rPr>
          <w:rFonts w:eastAsia="黑体"/>
          <w:bCs/>
        </w:rPr>
        <w:tab/>
      </w:r>
      <w:r w:rsidRPr="007E469B">
        <w:rPr>
          <w:rFonts w:eastAsia="黑体" w:hint="eastAsia"/>
          <w:bCs/>
        </w:rPr>
        <w:t>全面落实“</w:t>
      </w:r>
      <w:r w:rsidRPr="007E469B">
        <w:rPr>
          <w:rFonts w:eastAsia="黑体"/>
          <w:bCs/>
        </w:rPr>
        <w:t>2018</w:t>
      </w:r>
      <w:r w:rsidRPr="007E469B">
        <w:rPr>
          <w:rFonts w:eastAsia="黑体" w:hint="eastAsia"/>
          <w:bCs/>
        </w:rPr>
        <w:t>年</w:t>
      </w:r>
      <w:r w:rsidRPr="007E469B">
        <w:rPr>
          <w:rFonts w:eastAsia="黑体"/>
          <w:bCs/>
        </w:rPr>
        <w:t>8</w:t>
      </w:r>
      <w:r w:rsidRPr="007E469B">
        <w:rPr>
          <w:rFonts w:eastAsia="黑体" w:hint="eastAsia"/>
          <w:bCs/>
        </w:rPr>
        <w:t>月</w:t>
      </w:r>
      <w:r w:rsidRPr="007E469B">
        <w:rPr>
          <w:rFonts w:eastAsia="黑体"/>
          <w:bCs/>
        </w:rPr>
        <w:t>1</w:t>
      </w:r>
      <w:r w:rsidRPr="007E469B">
        <w:rPr>
          <w:rFonts w:eastAsia="黑体" w:hint="eastAsia"/>
          <w:bCs/>
        </w:rPr>
        <w:t>日选后暴力事件调查委员会”</w:t>
      </w:r>
      <w:r w:rsidRPr="007E469B">
        <w:rPr>
          <w:rFonts w:eastAsia="黑体" w:hint="eastAsia"/>
          <w:bCs/>
        </w:rPr>
        <w:t>(</w:t>
      </w:r>
      <w:r w:rsidRPr="007E469B">
        <w:rPr>
          <w:rFonts w:eastAsia="黑体" w:hint="eastAsia"/>
          <w:bCs/>
        </w:rPr>
        <w:t>莫特兰蒂委员会</w:t>
      </w:r>
      <w:r w:rsidRPr="007E469B">
        <w:rPr>
          <w:rFonts w:eastAsia="黑体" w:hint="eastAsia"/>
          <w:bCs/>
        </w:rPr>
        <w:t>)</w:t>
      </w:r>
      <w:r w:rsidRPr="007E469B">
        <w:rPr>
          <w:rFonts w:eastAsia="黑体" w:hint="eastAsia"/>
          <w:bCs/>
        </w:rPr>
        <w:t>报告中的建议和结论，特别是追究安全部门人员的责任，并向受害者及其家属提供赔偿；</w:t>
      </w:r>
    </w:p>
    <w:p w14:paraId="67E74260" w14:textId="77777777" w:rsidR="00AA2244" w:rsidRPr="007E469B" w:rsidRDefault="00AA2244" w:rsidP="00AA2244">
      <w:pPr>
        <w:pStyle w:val="SingleTxtGC"/>
        <w:rPr>
          <w:rFonts w:eastAsia="黑体"/>
          <w:bCs/>
        </w:rPr>
      </w:pPr>
      <w:r w:rsidRPr="007E469B">
        <w:rPr>
          <w:rFonts w:eastAsia="黑体"/>
          <w:bCs/>
        </w:rPr>
        <w:tab/>
        <w:t>(d)</w:t>
      </w:r>
      <w:r w:rsidRPr="007E469B">
        <w:rPr>
          <w:rFonts w:eastAsia="黑体"/>
          <w:bCs/>
        </w:rPr>
        <w:tab/>
      </w:r>
      <w:r w:rsidRPr="007E469B">
        <w:rPr>
          <w:rFonts w:eastAsia="黑体" w:hint="eastAsia"/>
          <w:bCs/>
        </w:rPr>
        <w:t>提供充足的财政、人力和技术资源，确保所有调查以往违反《公约》行为的独立机制都能够切实履行任务。</w:t>
      </w:r>
    </w:p>
    <w:p w14:paraId="2DEA421B" w14:textId="77777777" w:rsidR="00AA2244" w:rsidRPr="007E469B" w:rsidRDefault="00AA2244" w:rsidP="00295805">
      <w:pPr>
        <w:pStyle w:val="H23GC"/>
      </w:pPr>
      <w:r w:rsidRPr="007E469B">
        <w:tab/>
      </w:r>
      <w:r w:rsidRPr="007E469B">
        <w:tab/>
      </w:r>
      <w:r w:rsidRPr="007E469B">
        <w:rPr>
          <w:rFonts w:hint="eastAsia"/>
        </w:rPr>
        <w:t>不歧视</w:t>
      </w:r>
    </w:p>
    <w:p w14:paraId="0EF6C880" w14:textId="77777777" w:rsidR="00AA2244" w:rsidRPr="007E469B" w:rsidRDefault="00AA2244" w:rsidP="00AA2244">
      <w:pPr>
        <w:pStyle w:val="SingleTxtGC"/>
      </w:pPr>
      <w:r w:rsidRPr="007E469B">
        <w:t>13.</w:t>
      </w:r>
      <w:r w:rsidRPr="007E469B">
        <w:tab/>
      </w:r>
      <w:r w:rsidRPr="007E469B">
        <w:rPr>
          <w:rFonts w:hint="eastAsia"/>
        </w:rPr>
        <w:t>委员会了解《宪法》已有禁止歧视的规定，但仍关注有关歧视、仇恨犯罪和仇恨言论的报告，包括公职人员的此种行为报告，这些行为加剧了对人们基于性取向、性别认同或艾滋病毒感染情况</w:t>
      </w:r>
      <w:r w:rsidRPr="007E469B">
        <w:rPr>
          <w:rFonts w:hint="eastAsia"/>
          <w:lang w:val="fr-CH"/>
        </w:rPr>
        <w:t>的</w:t>
      </w:r>
      <w:r w:rsidRPr="007E469B">
        <w:rPr>
          <w:rFonts w:hint="eastAsia"/>
        </w:rPr>
        <w:t>社会污名和偏见。委员会特别关切《刑法</w:t>
      </w:r>
      <w:r w:rsidRPr="007E469B">
        <w:rPr>
          <w:rFonts w:hint="eastAsia"/>
        </w:rPr>
        <w:t>(</w:t>
      </w:r>
      <w:r w:rsidRPr="007E469B">
        <w:rPr>
          <w:rFonts w:hint="eastAsia"/>
        </w:rPr>
        <w:t>编纂与改革</w:t>
      </w:r>
      <w:r w:rsidRPr="007E469B">
        <w:rPr>
          <w:rFonts w:hint="eastAsia"/>
        </w:rPr>
        <w:t>)</w:t>
      </w:r>
      <w:r w:rsidRPr="007E469B">
        <w:rPr>
          <w:rFonts w:hint="eastAsia"/>
        </w:rPr>
        <w:t>法案》第</w:t>
      </w:r>
      <w:r w:rsidRPr="007E469B">
        <w:t>73</w:t>
      </w:r>
      <w:r w:rsidRPr="007E469B">
        <w:rPr>
          <w:rFonts w:hint="eastAsia"/>
        </w:rPr>
        <w:t>条，该条规定成年人间自愿发生的同性性行为构成犯罪。委员会也对基于性取向的仇恨犯罪的调查和起诉率偏低感到关切。委员会注意到缔约国于</w:t>
      </w:r>
      <w:r w:rsidRPr="007E469B">
        <w:t>2021</w:t>
      </w:r>
      <w:r w:rsidRPr="007E469B">
        <w:rPr>
          <w:rFonts w:hint="eastAsia"/>
        </w:rPr>
        <w:t>年通过了《国家残疾人政策》，但了解到有报告称残疾人仍面临歧视和污名化，在就业、公共场所、司法部门以及教育和医疗等基本服务方面仍存在进入障碍</w:t>
      </w:r>
      <w:r w:rsidRPr="007E469B">
        <w:rPr>
          <w:rFonts w:hint="eastAsia"/>
        </w:rPr>
        <w:t>(</w:t>
      </w:r>
      <w:r w:rsidRPr="007E469B">
        <w:rPr>
          <w:rFonts w:hint="eastAsia"/>
        </w:rPr>
        <w:t>第二、第三、第十九、第二十和第二十六条</w:t>
      </w:r>
      <w:r w:rsidRPr="007E469B">
        <w:rPr>
          <w:rFonts w:hint="eastAsia"/>
        </w:rPr>
        <w:t>)</w:t>
      </w:r>
      <w:r w:rsidRPr="007E469B">
        <w:rPr>
          <w:rFonts w:hint="eastAsia"/>
        </w:rPr>
        <w:t>。</w:t>
      </w:r>
    </w:p>
    <w:p w14:paraId="2C767CF1" w14:textId="77777777" w:rsidR="00AA2244" w:rsidRPr="007E469B" w:rsidRDefault="00AA2244" w:rsidP="00AA2244">
      <w:pPr>
        <w:pStyle w:val="SingleTxtGC"/>
        <w:rPr>
          <w:rFonts w:eastAsia="黑体"/>
          <w:bCs/>
        </w:rPr>
      </w:pPr>
      <w:r w:rsidRPr="007E469B">
        <w:t>14.</w:t>
      </w:r>
      <w:r w:rsidRPr="007E469B">
        <w:tab/>
      </w:r>
      <w:r w:rsidRPr="007E469B">
        <w:rPr>
          <w:rFonts w:eastAsia="黑体" w:hint="eastAsia"/>
          <w:bCs/>
        </w:rPr>
        <w:t>缔约国应采取适当措施：</w:t>
      </w:r>
    </w:p>
    <w:p w14:paraId="58A3E3FE" w14:textId="77777777" w:rsidR="00AA2244" w:rsidRPr="007E469B" w:rsidRDefault="00AA2244" w:rsidP="00AA2244">
      <w:pPr>
        <w:pStyle w:val="SingleTxtGC"/>
        <w:rPr>
          <w:rFonts w:eastAsia="黑体"/>
          <w:bCs/>
        </w:rPr>
      </w:pPr>
      <w:r w:rsidRPr="007E469B">
        <w:rPr>
          <w:rFonts w:eastAsia="黑体"/>
          <w:bCs/>
        </w:rPr>
        <w:tab/>
        <w:t>(a)</w:t>
      </w:r>
      <w:r w:rsidRPr="007E469B">
        <w:rPr>
          <w:rFonts w:eastAsia="黑体"/>
          <w:bCs/>
        </w:rPr>
        <w:tab/>
      </w:r>
      <w:r w:rsidRPr="007E469B">
        <w:rPr>
          <w:rFonts w:eastAsia="黑体" w:hint="eastAsia"/>
          <w:bCs/>
        </w:rPr>
        <w:t>打击歧视、污名和偏见，谴责以性取向、性别认同、残疾或艾滋病毒感染状况为由针对他人的仇恨言论，为此应对公职人员、执法人员、法官、检察官以及宗教和社区领袖进行培训，并对广大公众开展宣传活动，倡导尊重多样性；</w:t>
      </w:r>
    </w:p>
    <w:p w14:paraId="226E7B31" w14:textId="77777777" w:rsidR="00AA2244" w:rsidRPr="007E469B" w:rsidRDefault="00AA2244" w:rsidP="00AA2244">
      <w:pPr>
        <w:pStyle w:val="SingleTxtGC"/>
        <w:rPr>
          <w:rFonts w:eastAsia="黑体"/>
          <w:bCs/>
        </w:rPr>
      </w:pPr>
      <w:r w:rsidRPr="007E469B">
        <w:rPr>
          <w:rFonts w:eastAsia="黑体"/>
          <w:bCs/>
        </w:rPr>
        <w:tab/>
        <w:t>(b)</w:t>
      </w:r>
      <w:r w:rsidRPr="007E469B">
        <w:rPr>
          <w:rFonts w:eastAsia="黑体"/>
          <w:bCs/>
        </w:rPr>
        <w:tab/>
      </w:r>
      <w:r w:rsidRPr="007E469B">
        <w:rPr>
          <w:rFonts w:eastAsia="黑体" w:hint="eastAsia"/>
          <w:bCs/>
        </w:rPr>
        <w:t>废除或修订《刑法</w:t>
      </w:r>
      <w:r w:rsidRPr="007E469B">
        <w:rPr>
          <w:rFonts w:eastAsia="黑体" w:hint="eastAsia"/>
          <w:bCs/>
        </w:rPr>
        <w:t>(</w:t>
      </w:r>
      <w:r w:rsidRPr="007E469B">
        <w:rPr>
          <w:rFonts w:eastAsia="黑体" w:hint="eastAsia"/>
          <w:bCs/>
        </w:rPr>
        <w:t>编纂与改革</w:t>
      </w:r>
      <w:r w:rsidRPr="007E469B">
        <w:rPr>
          <w:rFonts w:eastAsia="黑体" w:hint="eastAsia"/>
          <w:bCs/>
        </w:rPr>
        <w:t>)</w:t>
      </w:r>
      <w:r w:rsidRPr="007E469B">
        <w:rPr>
          <w:rFonts w:eastAsia="黑体" w:hint="eastAsia"/>
          <w:bCs/>
        </w:rPr>
        <w:t>法案》中的有关规定，将同性成年人之间自愿的性行为去刑事化；</w:t>
      </w:r>
    </w:p>
    <w:p w14:paraId="0378BA35" w14:textId="77777777" w:rsidR="00AA2244" w:rsidRPr="007E469B" w:rsidRDefault="00AA2244" w:rsidP="00AA2244">
      <w:pPr>
        <w:pStyle w:val="SingleTxtGC"/>
        <w:rPr>
          <w:rFonts w:eastAsia="黑体"/>
          <w:bCs/>
        </w:rPr>
      </w:pPr>
      <w:r w:rsidRPr="007E469B">
        <w:rPr>
          <w:rFonts w:eastAsia="黑体"/>
          <w:bCs/>
        </w:rPr>
        <w:tab/>
        <w:t>(c)</w:t>
      </w:r>
      <w:r w:rsidRPr="007E469B">
        <w:rPr>
          <w:rFonts w:eastAsia="黑体"/>
          <w:bCs/>
        </w:rPr>
        <w:tab/>
      </w:r>
      <w:r w:rsidRPr="007E469B">
        <w:rPr>
          <w:rFonts w:eastAsia="黑体" w:hint="eastAsia"/>
          <w:bCs/>
        </w:rPr>
        <w:t>确保及时有效地调查所有歧视和暴力行为，特别是基于实际或认为的性取向或性别认同、残疾或艾滋病毒感染状况的歧视和暴力行为，将施害者绳之以法，一经定罪则予以适当处罚，并为受害者提供补救。</w:t>
      </w:r>
    </w:p>
    <w:p w14:paraId="498C2798" w14:textId="77777777" w:rsidR="00AA2244" w:rsidRPr="007E469B" w:rsidRDefault="00AA2244" w:rsidP="00295805">
      <w:pPr>
        <w:pStyle w:val="H23GC"/>
      </w:pPr>
      <w:r w:rsidRPr="007E469B">
        <w:tab/>
      </w:r>
      <w:r w:rsidRPr="007E469B">
        <w:tab/>
      </w:r>
      <w:r w:rsidRPr="007E469B">
        <w:rPr>
          <w:rFonts w:hint="eastAsia"/>
        </w:rPr>
        <w:t>性别平等</w:t>
      </w:r>
    </w:p>
    <w:p w14:paraId="20D7CFBB" w14:textId="77777777" w:rsidR="00AA2244" w:rsidRPr="007E469B" w:rsidRDefault="00AA2244" w:rsidP="00AA2244">
      <w:pPr>
        <w:pStyle w:val="SingleTxtGC"/>
      </w:pPr>
      <w:r w:rsidRPr="007E469B">
        <w:t>15.</w:t>
      </w:r>
      <w:r w:rsidRPr="007E469B">
        <w:tab/>
      </w:r>
      <w:r w:rsidRPr="007E469B">
        <w:rPr>
          <w:rFonts w:hint="eastAsia"/>
        </w:rPr>
        <w:t>委员会欢迎缔约国为促进性别平等所采取的多项措施，但仍关注妇女在公共和政治生活中的代表性偏低，尤其是在决策岗位上。此外，委员会遗憾地注意到有报告称，女性民选官员和政治候选人遭遇网络骚扰和攻击</w:t>
      </w:r>
      <w:r w:rsidRPr="007E469B">
        <w:rPr>
          <w:rFonts w:hint="eastAsia"/>
        </w:rPr>
        <w:t>(</w:t>
      </w:r>
      <w:r w:rsidRPr="007E469B">
        <w:rPr>
          <w:rFonts w:hint="eastAsia"/>
        </w:rPr>
        <w:t>第二、第三、第二十五和第二十六条</w:t>
      </w:r>
      <w:r w:rsidRPr="007E469B">
        <w:rPr>
          <w:rFonts w:hint="eastAsia"/>
        </w:rPr>
        <w:t>)</w:t>
      </w:r>
      <w:r w:rsidRPr="007E469B">
        <w:rPr>
          <w:rFonts w:hint="eastAsia"/>
        </w:rPr>
        <w:t>。</w:t>
      </w:r>
    </w:p>
    <w:p w14:paraId="124906CA"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lastRenderedPageBreak/>
        <w:t>16.</w:t>
      </w:r>
      <w:r w:rsidRPr="00295805">
        <w:rPr>
          <w:rFonts w:ascii="Time New Roman" w:eastAsia="黑体" w:hAnsi="Time New Roman"/>
        </w:rPr>
        <w:tab/>
      </w:r>
      <w:r w:rsidRPr="00295805">
        <w:rPr>
          <w:rFonts w:ascii="Time New Roman" w:eastAsia="黑体" w:hAnsi="Time New Roman" w:hint="eastAsia"/>
        </w:rPr>
        <w:t>缔约国应加大力度，在法律和实践中保障性别平等。具体而言，缔约国应采取一切必要措施：</w:t>
      </w:r>
    </w:p>
    <w:p w14:paraId="16961C4C"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ab/>
        <w:t>(a)</w:t>
      </w:r>
      <w:r w:rsidRPr="00295805">
        <w:rPr>
          <w:rFonts w:ascii="Time New Roman" w:eastAsia="黑体" w:hAnsi="Time New Roman"/>
        </w:rPr>
        <w:tab/>
      </w:r>
      <w:r w:rsidRPr="00295805">
        <w:rPr>
          <w:rFonts w:ascii="Time New Roman" w:eastAsia="黑体" w:hAnsi="Time New Roman" w:hint="eastAsia"/>
        </w:rPr>
        <w:t>实现妇女在政治和公共生活中，尤其是在决策职位上的充分和平等参与，包括为此采取特别措施；</w:t>
      </w:r>
    </w:p>
    <w:p w14:paraId="17C849D5"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ab/>
        <w:t>(b)</w:t>
      </w:r>
      <w:r w:rsidRPr="00295805">
        <w:rPr>
          <w:rFonts w:ascii="Time New Roman" w:eastAsia="黑体" w:hAnsi="Time New Roman"/>
        </w:rPr>
        <w:tab/>
      </w:r>
      <w:r w:rsidRPr="00295805">
        <w:rPr>
          <w:rFonts w:ascii="Time New Roman" w:eastAsia="黑体" w:hAnsi="Time New Roman" w:hint="eastAsia"/>
        </w:rPr>
        <w:t>保护女性政治候选人和政治人物免受骚扰、言语攻击和暴力行为的侵害，包括公开谴责和处罚此种行为；</w:t>
      </w:r>
    </w:p>
    <w:p w14:paraId="79C52906"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ab/>
        <w:t>(c)</w:t>
      </w:r>
      <w:r w:rsidRPr="00295805">
        <w:rPr>
          <w:rFonts w:ascii="Time New Roman" w:eastAsia="黑体" w:hAnsi="Time New Roman"/>
        </w:rPr>
        <w:tab/>
      </w:r>
      <w:r w:rsidRPr="00295805">
        <w:rPr>
          <w:rFonts w:ascii="Time New Roman" w:eastAsia="黑体" w:hAnsi="Time New Roman" w:hint="eastAsia"/>
        </w:rPr>
        <w:t>确保对所有因妇女行使参与公共事务的权利而遭遇骚扰和攻击的指称切实予以调查，追究加害者责任，如定罪，则施以适当处罚；</w:t>
      </w:r>
    </w:p>
    <w:p w14:paraId="1BC3B14F" w14:textId="77777777" w:rsidR="00AA2244" w:rsidRPr="00295805" w:rsidRDefault="00AA2244" w:rsidP="00AA2244">
      <w:pPr>
        <w:pStyle w:val="SingleTxtGC"/>
        <w:rPr>
          <w:rFonts w:ascii="Time New Roman" w:eastAsia="黑体" w:hAnsi="Time New Roman"/>
          <w:bCs/>
        </w:rPr>
      </w:pPr>
      <w:r w:rsidRPr="00295805">
        <w:rPr>
          <w:rFonts w:ascii="Time New Roman" w:eastAsia="黑体" w:hAnsi="Time New Roman"/>
        </w:rPr>
        <w:tab/>
        <w:t>(d)</w:t>
      </w:r>
      <w:r w:rsidRPr="00295805">
        <w:rPr>
          <w:rFonts w:ascii="Time New Roman" w:eastAsia="黑体" w:hAnsi="Time New Roman"/>
        </w:rPr>
        <w:tab/>
      </w:r>
      <w:r w:rsidRPr="00295805">
        <w:rPr>
          <w:rFonts w:ascii="Time New Roman" w:eastAsia="黑体" w:hAnsi="Time New Roman" w:hint="eastAsia"/>
        </w:rPr>
        <w:t>加强公民教育，开展关于妇女参与公共事务重要性的宣传活动。</w:t>
      </w:r>
    </w:p>
    <w:p w14:paraId="3D75ED5B" w14:textId="77777777" w:rsidR="00AA2244" w:rsidRPr="007E469B" w:rsidRDefault="00AA2244" w:rsidP="00295805">
      <w:pPr>
        <w:pStyle w:val="H23GC"/>
      </w:pPr>
      <w:r w:rsidRPr="007E469B">
        <w:tab/>
      </w:r>
      <w:r w:rsidRPr="007E469B">
        <w:tab/>
      </w:r>
      <w:bookmarkStart w:id="2" w:name="_Hlk192699778"/>
      <w:r w:rsidRPr="007E469B">
        <w:rPr>
          <w:rFonts w:hint="eastAsia"/>
        </w:rPr>
        <w:t>暴力侵害妇女问题，包括家庭暴力</w:t>
      </w:r>
    </w:p>
    <w:p w14:paraId="701F84BD" w14:textId="77777777" w:rsidR="00AA2244" w:rsidRPr="007E469B" w:rsidRDefault="00AA2244" w:rsidP="00AA2244">
      <w:pPr>
        <w:pStyle w:val="SingleTxtGC"/>
      </w:pPr>
      <w:r w:rsidRPr="007E469B">
        <w:t>17.</w:t>
      </w:r>
      <w:r w:rsidRPr="007E469B">
        <w:tab/>
      </w:r>
      <w:r w:rsidRPr="007E469B">
        <w:rPr>
          <w:rFonts w:hint="eastAsia"/>
        </w:rPr>
        <w:t>委员会注意到缔约国为应对暴力侵害妇女行为所采取的措施，包括颁布</w:t>
      </w:r>
      <w:r w:rsidRPr="007E469B">
        <w:t>2006</w:t>
      </w:r>
      <w:r w:rsidRPr="007E469B">
        <w:rPr>
          <w:rFonts w:hint="eastAsia"/>
        </w:rPr>
        <w:t>年《反家庭暴力法》和</w:t>
      </w:r>
      <w:r w:rsidRPr="007E469B">
        <w:t>2024</w:t>
      </w:r>
      <w:r w:rsidRPr="007E469B">
        <w:rPr>
          <w:rFonts w:hint="eastAsia"/>
        </w:rPr>
        <w:t>年《刑法修正</w:t>
      </w:r>
      <w:r w:rsidRPr="007E469B">
        <w:rPr>
          <w:rFonts w:hint="eastAsia"/>
        </w:rPr>
        <w:t>(</w:t>
      </w:r>
      <w:r w:rsidRPr="007E469B">
        <w:rPr>
          <w:rFonts w:hint="eastAsia"/>
        </w:rPr>
        <w:t>儿童和青少年保护</w:t>
      </w:r>
      <w:r w:rsidRPr="007E469B">
        <w:rPr>
          <w:rFonts w:hint="eastAsia"/>
        </w:rPr>
        <w:t>)</w:t>
      </w:r>
      <w:r w:rsidRPr="007E469B">
        <w:rPr>
          <w:rFonts w:hint="eastAsia"/>
        </w:rPr>
        <w:t>法案》，但委员会仍然关切性别暴力</w:t>
      </w:r>
      <w:r w:rsidRPr="007E469B">
        <w:rPr>
          <w:rFonts w:hint="eastAsia"/>
        </w:rPr>
        <w:t>(</w:t>
      </w:r>
      <w:r w:rsidRPr="007E469B">
        <w:rPr>
          <w:rFonts w:hint="eastAsia"/>
        </w:rPr>
        <w:t>包括家庭暴力</w:t>
      </w:r>
      <w:r w:rsidRPr="007E469B">
        <w:rPr>
          <w:rFonts w:hint="eastAsia"/>
        </w:rPr>
        <w:t>)</w:t>
      </w:r>
      <w:r w:rsidRPr="007E469B">
        <w:rPr>
          <w:rFonts w:hint="eastAsia"/>
        </w:rPr>
        <w:t>的普遍存在，尤其是女性命案数量居高不下，受害者报案率偏低。委员会还感到关切的是，尽管《反家庭暴力法》第</w:t>
      </w:r>
      <w:r w:rsidRPr="007E469B">
        <w:t>4</w:t>
      </w:r>
      <w:r w:rsidRPr="007E469B">
        <w:rPr>
          <w:rFonts w:hint="eastAsia"/>
        </w:rPr>
        <w:t>条已将家庭暴力列为犯罪行为，但施害者受到起诉的情况很少</w:t>
      </w:r>
      <w:r w:rsidRPr="007E469B">
        <w:rPr>
          <w:rFonts w:hint="eastAsia"/>
        </w:rPr>
        <w:t>(</w:t>
      </w:r>
      <w:r w:rsidRPr="007E469B">
        <w:rPr>
          <w:rFonts w:hint="eastAsia"/>
        </w:rPr>
        <w:t>第二、第三、第六、第七和第二十六条</w:t>
      </w:r>
      <w:r w:rsidRPr="007E469B">
        <w:rPr>
          <w:rFonts w:hint="eastAsia"/>
        </w:rPr>
        <w:t>)</w:t>
      </w:r>
      <w:r w:rsidRPr="007E469B">
        <w:rPr>
          <w:rFonts w:hint="eastAsia"/>
        </w:rPr>
        <w:t>。</w:t>
      </w:r>
    </w:p>
    <w:p w14:paraId="043427D9"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18.</w:t>
      </w:r>
      <w:r w:rsidRPr="00295805">
        <w:rPr>
          <w:rFonts w:ascii="Time New Roman" w:eastAsia="黑体" w:hAnsi="Time New Roman"/>
        </w:rPr>
        <w:tab/>
      </w:r>
      <w:r w:rsidRPr="00295805">
        <w:rPr>
          <w:rFonts w:ascii="Time New Roman" w:eastAsia="黑体" w:hAnsi="Time New Roman" w:hint="eastAsia"/>
        </w:rPr>
        <w:t>按照委员会以往的建议</w:t>
      </w:r>
      <w:r w:rsidRPr="00295805">
        <w:rPr>
          <w:rStyle w:val="a8"/>
          <w:rFonts w:ascii="Time New Roman" w:eastAsia="黑体" w:hAnsi="Time New Roman"/>
        </w:rPr>
        <w:footnoteReference w:id="7"/>
      </w:r>
      <w:r w:rsidRPr="00295805">
        <w:rPr>
          <w:rStyle w:val="SingleTxtGCChar"/>
          <w:rFonts w:ascii="Time New Roman" w:eastAsia="黑体" w:hAnsi="Time New Roman"/>
        </w:rPr>
        <w:t>，</w:t>
      </w:r>
      <w:r w:rsidRPr="00295805">
        <w:rPr>
          <w:rFonts w:ascii="Time New Roman" w:eastAsia="黑体" w:hAnsi="Time New Roman" w:hint="eastAsia"/>
        </w:rPr>
        <w:t>缔约国应进一步努力消除性别暴力，包括家庭暴力，具体措施包括：</w:t>
      </w:r>
    </w:p>
    <w:p w14:paraId="5FE95392"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ab/>
        <w:t>(a)</w:t>
      </w:r>
      <w:r w:rsidRPr="00295805">
        <w:rPr>
          <w:rFonts w:ascii="Time New Roman" w:eastAsia="黑体" w:hAnsi="Time New Roman"/>
        </w:rPr>
        <w:tab/>
      </w:r>
      <w:r w:rsidRPr="00295805">
        <w:rPr>
          <w:rFonts w:ascii="Time New Roman" w:eastAsia="黑体" w:hAnsi="Time New Roman" w:hint="eastAsia"/>
        </w:rPr>
        <w:t>加强机制，便利并鼓励对暴力侵害妇女和女童案件的报告，包括确保所有妇女都能获得关于自身权利、保护措施和补救途径的信息；</w:t>
      </w:r>
    </w:p>
    <w:p w14:paraId="1537FA88"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ab/>
        <w:t>(b)</w:t>
      </w:r>
      <w:r w:rsidRPr="00295805">
        <w:rPr>
          <w:rFonts w:ascii="Time New Roman" w:eastAsia="黑体" w:hAnsi="Time New Roman"/>
        </w:rPr>
        <w:tab/>
      </w:r>
      <w:r w:rsidRPr="00295805">
        <w:rPr>
          <w:rFonts w:ascii="Time New Roman" w:eastAsia="黑体" w:hAnsi="Time New Roman" w:hint="eastAsia"/>
        </w:rPr>
        <w:t>确保所有针对妇女和女童的暴力案件均能得到及时和全面的调查，起诉施害者，如定罪，则处以与罪行严重程度相称的处罚；</w:t>
      </w:r>
    </w:p>
    <w:p w14:paraId="1F92FBDD"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ab/>
        <w:t>(c)</w:t>
      </w:r>
      <w:r w:rsidRPr="00295805">
        <w:rPr>
          <w:rFonts w:ascii="Time New Roman" w:eastAsia="黑体" w:hAnsi="Time New Roman"/>
        </w:rPr>
        <w:tab/>
      </w:r>
      <w:r w:rsidRPr="00295805">
        <w:rPr>
          <w:rFonts w:ascii="Time New Roman" w:eastAsia="黑体" w:hAnsi="Time New Roman" w:hint="eastAsia"/>
        </w:rPr>
        <w:t>为受害者提供必要的法律、医疗、经济和心理支持，包括为她们及其子女提供庇护所；</w:t>
      </w:r>
    </w:p>
    <w:p w14:paraId="64D5198F" w14:textId="77777777" w:rsidR="00AA2244" w:rsidRPr="00295805" w:rsidRDefault="00AA2244" w:rsidP="00AA2244">
      <w:pPr>
        <w:pStyle w:val="SingleTxtGC"/>
        <w:rPr>
          <w:rFonts w:ascii="Time New Roman" w:eastAsia="黑体" w:hAnsi="Time New Roman"/>
        </w:rPr>
      </w:pPr>
      <w:r w:rsidRPr="00295805">
        <w:rPr>
          <w:rFonts w:ascii="Time New Roman" w:eastAsia="黑体" w:hAnsi="Time New Roman"/>
        </w:rPr>
        <w:tab/>
        <w:t>(d)</w:t>
      </w:r>
      <w:r w:rsidRPr="00295805">
        <w:rPr>
          <w:rFonts w:ascii="Time New Roman" w:eastAsia="黑体" w:hAnsi="Time New Roman"/>
        </w:rPr>
        <w:tab/>
      </w:r>
      <w:r w:rsidRPr="00295805">
        <w:rPr>
          <w:rFonts w:ascii="Time New Roman" w:eastAsia="黑体" w:hAnsi="Time New Roman" w:hint="eastAsia"/>
        </w:rPr>
        <w:t>确保法官、检察官、执法人员和医护人员接受适当培训，使之能够以有效和性别敏感的方式处理性别暴力案件，增加女性法官、检察官和警察以及处理此类暴力的专业部门的数量；</w:t>
      </w:r>
    </w:p>
    <w:p w14:paraId="5E427FB4" w14:textId="77777777" w:rsidR="00AA2244" w:rsidRPr="00295805" w:rsidRDefault="00AA2244" w:rsidP="00AA2244">
      <w:pPr>
        <w:pStyle w:val="SingleTxtGC"/>
        <w:rPr>
          <w:rFonts w:ascii="Time New Roman" w:eastAsia="黑体" w:hAnsi="Time New Roman"/>
          <w:bCs/>
        </w:rPr>
      </w:pPr>
      <w:r w:rsidRPr="00295805">
        <w:rPr>
          <w:rFonts w:ascii="Time New Roman" w:eastAsia="黑体" w:hAnsi="Time New Roman"/>
        </w:rPr>
        <w:tab/>
        <w:t>(e)</w:t>
      </w:r>
      <w:r w:rsidRPr="00295805">
        <w:rPr>
          <w:rFonts w:ascii="Time New Roman" w:eastAsia="黑体" w:hAnsi="Time New Roman"/>
        </w:rPr>
        <w:tab/>
      </w:r>
      <w:r w:rsidRPr="00295805">
        <w:rPr>
          <w:rFonts w:ascii="Time New Roman" w:eastAsia="黑体" w:hAnsi="Time New Roman" w:hint="eastAsia"/>
        </w:rPr>
        <w:t>开展宣传运动，说明暴力侵害妇女行为不可接受且产生不良影响，并介绍获得保护、援助和补救的可用途径。</w:t>
      </w:r>
    </w:p>
    <w:p w14:paraId="382A06CA" w14:textId="77777777" w:rsidR="00AA2244" w:rsidRPr="007E469B" w:rsidRDefault="00AA2244" w:rsidP="00495536">
      <w:pPr>
        <w:pStyle w:val="H23GC"/>
      </w:pPr>
      <w:r w:rsidRPr="007E469B">
        <w:tab/>
      </w:r>
      <w:r w:rsidRPr="007E469B">
        <w:tab/>
      </w:r>
      <w:r w:rsidRPr="007E469B">
        <w:rPr>
          <w:rFonts w:hint="eastAsia"/>
        </w:rPr>
        <w:t>自愿终止妊娠</w:t>
      </w:r>
      <w:r w:rsidRPr="007E469B">
        <w:rPr>
          <w:rFonts w:hint="eastAsia"/>
          <w:lang w:val="fr-CH"/>
        </w:rPr>
        <w:t>以及</w:t>
      </w:r>
      <w:r w:rsidRPr="007E469B">
        <w:rPr>
          <w:rFonts w:hint="eastAsia"/>
        </w:rPr>
        <w:t>性权利和生殖权利</w:t>
      </w:r>
    </w:p>
    <w:p w14:paraId="3F534A86" w14:textId="77777777" w:rsidR="00AA2244" w:rsidRPr="007E469B" w:rsidRDefault="00AA2244" w:rsidP="00AA2244">
      <w:pPr>
        <w:pStyle w:val="SingleTxtGC"/>
      </w:pPr>
      <w:r w:rsidRPr="007E469B">
        <w:t>19.</w:t>
      </w:r>
      <w:r w:rsidRPr="007E469B">
        <w:tab/>
      </w:r>
      <w:r w:rsidRPr="007E469B">
        <w:rPr>
          <w:rFonts w:hint="eastAsia"/>
        </w:rPr>
        <w:t>委员会欢迎津巴布韦高等法院于</w:t>
      </w:r>
      <w:r w:rsidRPr="007E469B">
        <w:t>2024</w:t>
      </w:r>
      <w:r w:rsidRPr="007E469B">
        <w:rPr>
          <w:rFonts w:hint="eastAsia"/>
        </w:rPr>
        <w:t>年</w:t>
      </w:r>
      <w:r w:rsidRPr="007E469B">
        <w:t>11</w:t>
      </w:r>
      <w:r w:rsidRPr="007E469B">
        <w:rPr>
          <w:rFonts w:hint="eastAsia"/>
        </w:rPr>
        <w:t>月</w:t>
      </w:r>
      <w:r w:rsidRPr="007E469B">
        <w:t>22</w:t>
      </w:r>
      <w:r w:rsidRPr="007E469B">
        <w:rPr>
          <w:rFonts w:hint="eastAsia"/>
        </w:rPr>
        <w:t>日</w:t>
      </w:r>
      <w:r w:rsidRPr="007E469B">
        <w:rPr>
          <w:rFonts w:hAnsi="宋体" w:hint="eastAsia"/>
        </w:rPr>
        <w:t>在“南</w:t>
      </w:r>
      <w:r w:rsidRPr="007E469B">
        <w:rPr>
          <w:rFonts w:hint="eastAsia"/>
        </w:rPr>
        <w:t>部非洲妇女法律组织与遗忘天赋组织诉卫生与儿童保健部长等人</w:t>
      </w:r>
      <w:r w:rsidRPr="007E469B">
        <w:rPr>
          <w:rFonts w:hAnsi="宋体" w:hint="eastAsia"/>
        </w:rPr>
        <w:t>案”中</w:t>
      </w:r>
      <w:r w:rsidRPr="007E469B">
        <w:rPr>
          <w:rFonts w:hint="eastAsia"/>
        </w:rPr>
        <w:t>作出的裁决，认定《</w:t>
      </w:r>
      <w:r w:rsidRPr="007E469B">
        <w:t>1977</w:t>
      </w:r>
      <w:r w:rsidRPr="007E469B">
        <w:rPr>
          <w:rFonts w:hint="eastAsia"/>
        </w:rPr>
        <w:t>年终止妊娠法》第</w:t>
      </w:r>
      <w:r w:rsidRPr="007E469B">
        <w:t>2</w:t>
      </w:r>
      <w:r w:rsidRPr="007E469B">
        <w:rPr>
          <w:rFonts w:hint="eastAsia"/>
        </w:rPr>
        <w:t>条第</w:t>
      </w:r>
      <w:r w:rsidRPr="007E469B">
        <w:t>1</w:t>
      </w:r>
      <w:r w:rsidRPr="007E469B">
        <w:rPr>
          <w:rFonts w:hint="eastAsia"/>
        </w:rPr>
        <w:t>款违宪且无效。然而，委员会感到关切的是，修订《终止妊娠法》第</w:t>
      </w:r>
      <w:r w:rsidRPr="007E469B">
        <w:rPr>
          <w:rFonts w:hint="eastAsia"/>
        </w:rPr>
        <w:t>4</w:t>
      </w:r>
      <w:r w:rsidRPr="007E469B">
        <w:rPr>
          <w:rFonts w:hint="eastAsia"/>
        </w:rPr>
        <w:t>条以扩大允许终止妊娠的情形范围的工作受到拖延。委员会还关注缔约国婴儿和孕产妇死亡率极高，因为在获得基本的性健康与生殖健康服务以及安全流产方面阻碍较多</w:t>
      </w:r>
      <w:r w:rsidRPr="007E469B">
        <w:rPr>
          <w:rFonts w:hint="eastAsia"/>
        </w:rPr>
        <w:t>(</w:t>
      </w:r>
      <w:r w:rsidRPr="007E469B">
        <w:rPr>
          <w:rFonts w:hint="eastAsia"/>
        </w:rPr>
        <w:t>第三、第六、第七和第二十四条</w:t>
      </w:r>
      <w:r w:rsidRPr="007E469B">
        <w:rPr>
          <w:rFonts w:hint="eastAsia"/>
        </w:rPr>
        <w:t>)</w:t>
      </w:r>
      <w:r w:rsidRPr="007E469B">
        <w:rPr>
          <w:rFonts w:hint="eastAsia"/>
        </w:rPr>
        <w:t>。</w:t>
      </w:r>
    </w:p>
    <w:p w14:paraId="795EDA08" w14:textId="77777777" w:rsidR="00AA2244" w:rsidRPr="00495536" w:rsidRDefault="00AA2244" w:rsidP="00AA2244">
      <w:pPr>
        <w:pStyle w:val="SingleTxtGC"/>
        <w:rPr>
          <w:rFonts w:ascii="Time New Roman" w:eastAsia="黑体" w:hAnsi="Time New Roman"/>
        </w:rPr>
      </w:pPr>
      <w:r w:rsidRPr="00495536">
        <w:rPr>
          <w:rFonts w:ascii="Time New Roman" w:eastAsia="黑体" w:hAnsi="Time New Roman"/>
        </w:rPr>
        <w:lastRenderedPageBreak/>
        <w:t>20.</w:t>
      </w:r>
      <w:r w:rsidRPr="00495536">
        <w:rPr>
          <w:rFonts w:ascii="Time New Roman" w:eastAsia="黑体" w:hAnsi="Time New Roman"/>
        </w:rPr>
        <w:tab/>
      </w:r>
      <w:r w:rsidRPr="00495536">
        <w:rPr>
          <w:rFonts w:ascii="Time New Roman" w:eastAsia="黑体" w:hAnsi="Time New Roman" w:hint="eastAsia"/>
        </w:rPr>
        <w:t>缔约国应铭记委员会关于生命权的第</w:t>
      </w:r>
      <w:r w:rsidRPr="00495536">
        <w:rPr>
          <w:rFonts w:ascii="Time New Roman" w:eastAsia="黑体" w:hAnsi="Time New Roman"/>
        </w:rPr>
        <w:t>36</w:t>
      </w:r>
      <w:r w:rsidRPr="00495536">
        <w:rPr>
          <w:rFonts w:ascii="Time New Roman" w:eastAsia="黑体" w:hAnsi="Time New Roman" w:hint="eastAsia"/>
        </w:rPr>
        <w:t>号一般性意见</w:t>
      </w:r>
      <w:r w:rsidRPr="00495536">
        <w:rPr>
          <w:rFonts w:ascii="Time New Roman" w:eastAsia="黑体" w:hAnsi="Time New Roman" w:hint="eastAsia"/>
        </w:rPr>
        <w:t>(</w:t>
      </w:r>
      <w:r w:rsidRPr="00495536">
        <w:rPr>
          <w:rFonts w:ascii="Time New Roman" w:eastAsia="黑体" w:hAnsi="Time New Roman"/>
        </w:rPr>
        <w:t>2018</w:t>
      </w:r>
      <w:r w:rsidRPr="00495536">
        <w:rPr>
          <w:rFonts w:ascii="Time New Roman" w:eastAsia="黑体" w:hAnsi="Time New Roman" w:hint="eastAsia"/>
        </w:rPr>
        <w:t>年</w:t>
      </w:r>
      <w:r w:rsidRPr="00495536">
        <w:rPr>
          <w:rFonts w:ascii="Time New Roman" w:eastAsia="黑体" w:hAnsi="Time New Roman" w:hint="eastAsia"/>
        </w:rPr>
        <w:t>)</w:t>
      </w:r>
      <w:r w:rsidRPr="00495536">
        <w:rPr>
          <w:rFonts w:ascii="Time New Roman" w:eastAsia="黑体" w:hAnsi="Time New Roman" w:hint="eastAsia"/>
        </w:rPr>
        <w:t>第</w:t>
      </w:r>
      <w:r w:rsidRPr="00495536">
        <w:rPr>
          <w:rFonts w:ascii="Time New Roman" w:eastAsia="黑体" w:hAnsi="Time New Roman"/>
        </w:rPr>
        <w:t>8</w:t>
      </w:r>
      <w:r w:rsidRPr="00495536">
        <w:rPr>
          <w:rFonts w:ascii="Time New Roman" w:eastAsia="黑体" w:hAnsi="Time New Roman" w:hint="eastAsia"/>
        </w:rPr>
        <w:t>段，采取一切必要措施，确保切实无障碍提供安全和自愿的终止妊娠服务。缔约国应：</w:t>
      </w:r>
    </w:p>
    <w:p w14:paraId="46DF5F90" w14:textId="77777777" w:rsidR="00AA2244" w:rsidRPr="00495536" w:rsidRDefault="00AA2244" w:rsidP="00AA2244">
      <w:pPr>
        <w:pStyle w:val="SingleTxtGC"/>
        <w:rPr>
          <w:rFonts w:ascii="Time New Roman" w:eastAsia="黑体" w:hAnsi="Time New Roman"/>
        </w:rPr>
      </w:pPr>
      <w:r w:rsidRPr="00495536">
        <w:rPr>
          <w:rFonts w:ascii="Time New Roman" w:eastAsia="黑体" w:hAnsi="Time New Roman"/>
        </w:rPr>
        <w:tab/>
        <w:t>(a)</w:t>
      </w:r>
      <w:r w:rsidRPr="00495536">
        <w:rPr>
          <w:rFonts w:ascii="Time New Roman" w:eastAsia="黑体" w:hAnsi="Time New Roman"/>
        </w:rPr>
        <w:tab/>
      </w:r>
      <w:r w:rsidRPr="00495536">
        <w:rPr>
          <w:rFonts w:ascii="Time New Roman" w:eastAsia="黑体" w:hAnsi="Time New Roman" w:hint="eastAsia"/>
        </w:rPr>
        <w:t>按照津巴布韦高等法院</w:t>
      </w:r>
      <w:r w:rsidRPr="00495536">
        <w:rPr>
          <w:rFonts w:ascii="Time New Roman" w:eastAsia="黑体" w:hAnsi="Time New Roman"/>
        </w:rPr>
        <w:t>2024</w:t>
      </w:r>
      <w:r w:rsidRPr="00495536">
        <w:rPr>
          <w:rFonts w:ascii="Time New Roman" w:eastAsia="黑体" w:hAnsi="Time New Roman" w:hint="eastAsia"/>
        </w:rPr>
        <w:t>年</w:t>
      </w:r>
      <w:r w:rsidRPr="00495536">
        <w:rPr>
          <w:rFonts w:ascii="Time New Roman" w:eastAsia="黑体" w:hAnsi="Time New Roman"/>
        </w:rPr>
        <w:t>11</w:t>
      </w:r>
      <w:r w:rsidRPr="00495536">
        <w:rPr>
          <w:rFonts w:ascii="Time New Roman" w:eastAsia="黑体" w:hAnsi="Time New Roman" w:hint="eastAsia"/>
        </w:rPr>
        <w:t>月</w:t>
      </w:r>
      <w:r w:rsidRPr="00495536">
        <w:rPr>
          <w:rFonts w:ascii="Time New Roman" w:eastAsia="黑体" w:hAnsi="Time New Roman"/>
        </w:rPr>
        <w:t>22</w:t>
      </w:r>
      <w:r w:rsidRPr="00495536">
        <w:rPr>
          <w:rFonts w:ascii="Time New Roman" w:eastAsia="黑体" w:hAnsi="Time New Roman" w:hint="eastAsia"/>
        </w:rPr>
        <w:t>日的裁决精神，修订《终止妊娠法》的相关条款，将安全、合法、有效终止妊娠的适用范围扩大至乱伦或强奸</w:t>
      </w:r>
      <w:r w:rsidRPr="00495536">
        <w:rPr>
          <w:rFonts w:ascii="Time New Roman" w:eastAsia="黑体" w:hAnsi="Time New Roman" w:hint="eastAsia"/>
        </w:rPr>
        <w:t>(</w:t>
      </w:r>
      <w:r w:rsidRPr="00495536">
        <w:rPr>
          <w:rFonts w:ascii="Time New Roman" w:eastAsia="黑体" w:hAnsi="Time New Roman" w:hint="eastAsia"/>
        </w:rPr>
        <w:t>包括婚内强奸</w:t>
      </w:r>
      <w:r w:rsidRPr="00495536">
        <w:rPr>
          <w:rFonts w:ascii="Time New Roman" w:eastAsia="黑体" w:hAnsi="Time New Roman" w:hint="eastAsia"/>
        </w:rPr>
        <w:t>)</w:t>
      </w:r>
      <w:r w:rsidRPr="00495536">
        <w:rPr>
          <w:rFonts w:ascii="Time New Roman" w:eastAsia="黑体" w:hAnsi="Time New Roman" w:hint="eastAsia"/>
        </w:rPr>
        <w:t>所致怀孕以及</w:t>
      </w:r>
      <w:r w:rsidRPr="00495536">
        <w:rPr>
          <w:rFonts w:ascii="Time New Roman" w:eastAsia="黑体" w:hAnsi="Time New Roman"/>
        </w:rPr>
        <w:t>18</w:t>
      </w:r>
      <w:r w:rsidRPr="00495536">
        <w:rPr>
          <w:rFonts w:ascii="Time New Roman" w:eastAsia="黑体" w:hAnsi="Time New Roman" w:hint="eastAsia"/>
        </w:rPr>
        <w:t>岁以下未成年人的怀孕；</w:t>
      </w:r>
    </w:p>
    <w:p w14:paraId="0261FE7E" w14:textId="77777777" w:rsidR="00AA2244" w:rsidRPr="00495536" w:rsidRDefault="00AA2244" w:rsidP="00AA2244">
      <w:pPr>
        <w:pStyle w:val="SingleTxtGC"/>
        <w:rPr>
          <w:rFonts w:ascii="Time New Roman" w:eastAsia="黑体" w:hAnsi="Time New Roman"/>
        </w:rPr>
      </w:pPr>
      <w:r w:rsidRPr="00495536">
        <w:rPr>
          <w:rFonts w:ascii="Time New Roman" w:eastAsia="黑体" w:hAnsi="Time New Roman"/>
        </w:rPr>
        <w:tab/>
        <w:t>(b)</w:t>
      </w:r>
      <w:r w:rsidRPr="00495536">
        <w:rPr>
          <w:rFonts w:ascii="Time New Roman" w:eastAsia="黑体" w:hAnsi="Time New Roman"/>
        </w:rPr>
        <w:tab/>
      </w:r>
      <w:r w:rsidRPr="00495536">
        <w:rPr>
          <w:rFonts w:ascii="Time New Roman" w:eastAsia="黑体" w:hAnsi="Time New Roman" w:hint="eastAsia"/>
        </w:rPr>
        <w:t>确保不会对接受堕胎的妇女和女童或协助她们堕胎的医疗服务提供者施加刑事处罚；</w:t>
      </w:r>
    </w:p>
    <w:p w14:paraId="046CDFD3" w14:textId="77777777" w:rsidR="00AA2244" w:rsidRPr="00495536" w:rsidRDefault="00AA2244" w:rsidP="00AA2244">
      <w:pPr>
        <w:pStyle w:val="SingleTxtGC"/>
        <w:rPr>
          <w:rFonts w:ascii="Time New Roman" w:eastAsia="黑体" w:hAnsi="Time New Roman"/>
        </w:rPr>
      </w:pPr>
      <w:r w:rsidRPr="00495536">
        <w:rPr>
          <w:rFonts w:ascii="Time New Roman" w:eastAsia="黑体" w:hAnsi="Time New Roman"/>
        </w:rPr>
        <w:tab/>
        <w:t>(c)</w:t>
      </w:r>
      <w:r w:rsidRPr="00495536">
        <w:rPr>
          <w:rFonts w:ascii="Time New Roman" w:eastAsia="黑体" w:hAnsi="Time New Roman"/>
        </w:rPr>
        <w:tab/>
      </w:r>
      <w:r w:rsidRPr="00495536">
        <w:rPr>
          <w:rFonts w:ascii="Time New Roman" w:eastAsia="黑体" w:hAnsi="Time New Roman" w:hint="eastAsia"/>
        </w:rPr>
        <w:t>确保获得性健康与生殖健康服务和教育的渠道畅通且保密，为人们提供可负担的避孕手段；</w:t>
      </w:r>
    </w:p>
    <w:p w14:paraId="5FD35009" w14:textId="77777777" w:rsidR="00AA2244" w:rsidRPr="00495536" w:rsidRDefault="00AA2244" w:rsidP="00AA2244">
      <w:pPr>
        <w:pStyle w:val="SingleTxtGC"/>
        <w:rPr>
          <w:rFonts w:ascii="Time New Roman" w:eastAsia="黑体" w:hAnsi="Time New Roman"/>
          <w:bCs/>
        </w:rPr>
      </w:pPr>
      <w:r w:rsidRPr="00495536">
        <w:rPr>
          <w:rFonts w:ascii="Time New Roman" w:eastAsia="黑体" w:hAnsi="Time New Roman"/>
        </w:rPr>
        <w:tab/>
        <w:t>(d)</w:t>
      </w:r>
      <w:r w:rsidRPr="00495536">
        <w:rPr>
          <w:rFonts w:ascii="Time New Roman" w:eastAsia="黑体" w:hAnsi="Time New Roman"/>
        </w:rPr>
        <w:tab/>
      </w:r>
      <w:r w:rsidRPr="00495536">
        <w:rPr>
          <w:rFonts w:ascii="Time New Roman" w:eastAsia="黑体" w:hAnsi="Time New Roman" w:hint="eastAsia"/>
        </w:rPr>
        <w:t>将性健康与生殖健康纳入国家级的战略和方案。</w:t>
      </w:r>
    </w:p>
    <w:p w14:paraId="48B24473" w14:textId="77777777" w:rsidR="00AA2244" w:rsidRPr="007E469B" w:rsidRDefault="00AA2244" w:rsidP="00BF6AD5">
      <w:pPr>
        <w:pStyle w:val="H23GC"/>
      </w:pPr>
      <w:r w:rsidRPr="007E469B">
        <w:tab/>
      </w:r>
      <w:r w:rsidRPr="007E469B">
        <w:tab/>
      </w:r>
      <w:r w:rsidRPr="007E469B">
        <w:rPr>
          <w:rFonts w:hint="eastAsia"/>
        </w:rPr>
        <w:t>气候变化与环境退化</w:t>
      </w:r>
    </w:p>
    <w:p w14:paraId="79F8BC80" w14:textId="07DB7EB2" w:rsidR="00AA2244" w:rsidRPr="007E469B" w:rsidRDefault="00AA2244" w:rsidP="00AA2244">
      <w:pPr>
        <w:pStyle w:val="SingleTxtGC"/>
      </w:pPr>
      <w:r w:rsidRPr="007E469B">
        <w:t>21.</w:t>
      </w:r>
      <w:r w:rsidRPr="007E469B">
        <w:tab/>
      </w:r>
      <w:r w:rsidRPr="007E469B">
        <w:t>委员会欢迎缔约国为应对气候变化所采取的措施，包括</w:t>
      </w:r>
      <w:r w:rsidRPr="007E469B">
        <w:t>2017</w:t>
      </w:r>
      <w:r w:rsidRPr="007E469B">
        <w:t>年通过《国家气候政策》、</w:t>
      </w:r>
      <w:r w:rsidRPr="007E469B">
        <w:rPr>
          <w:rFonts w:hint="eastAsia"/>
        </w:rPr>
        <w:t>制订</w:t>
      </w:r>
      <w:r w:rsidRPr="007E469B">
        <w:t>国家气候变化适应计划以及</w:t>
      </w:r>
      <w:r w:rsidRPr="007E469B">
        <w:t>2020</w:t>
      </w:r>
      <w:r w:rsidR="00C77E5E">
        <w:rPr>
          <w:rFonts w:hint="eastAsia"/>
        </w:rPr>
        <w:t>-</w:t>
      </w:r>
      <w:r w:rsidRPr="007E469B">
        <w:t>2050</w:t>
      </w:r>
      <w:r w:rsidRPr="007E469B">
        <w:t>年温室气体低排放长期发展战略。然而，委员会</w:t>
      </w:r>
      <w:r w:rsidRPr="007E469B">
        <w:rPr>
          <w:rFonts w:hint="eastAsia"/>
        </w:rPr>
        <w:t>感到</w:t>
      </w:r>
      <w:r w:rsidRPr="007E469B">
        <w:t>关切</w:t>
      </w:r>
      <w:r w:rsidRPr="007E469B">
        <w:rPr>
          <w:rFonts w:hint="eastAsia"/>
        </w:rPr>
        <w:t>的是，缔约国缺乏充分的环境</w:t>
      </w:r>
      <w:r w:rsidRPr="007E469B">
        <w:t>标准</w:t>
      </w:r>
      <w:r w:rsidRPr="007E469B">
        <w:rPr>
          <w:rFonts w:hint="eastAsia"/>
        </w:rPr>
        <w:t>，</w:t>
      </w:r>
      <w:r w:rsidRPr="007E469B">
        <w:t>环境信息</w:t>
      </w:r>
      <w:r w:rsidRPr="007E469B">
        <w:rPr>
          <w:rFonts w:hint="eastAsia"/>
        </w:rPr>
        <w:t>的</w:t>
      </w:r>
      <w:r w:rsidRPr="007E469B">
        <w:t>获取</w:t>
      </w:r>
      <w:r w:rsidRPr="007E469B">
        <w:rPr>
          <w:rFonts w:hint="eastAsia"/>
        </w:rPr>
        <w:t>途径</w:t>
      </w:r>
      <w:r w:rsidRPr="007E469B">
        <w:t>有限，最弱势群体</w:t>
      </w:r>
      <w:r w:rsidRPr="007E469B">
        <w:rPr>
          <w:rFonts w:hint="eastAsia"/>
        </w:rPr>
        <w:t>得不到</w:t>
      </w:r>
      <w:r w:rsidRPr="007E469B">
        <w:t>有效协商</w:t>
      </w:r>
      <w:r w:rsidRPr="007E469B">
        <w:rPr>
          <w:rFonts w:hint="eastAsia"/>
        </w:rPr>
        <w:t>和真正</w:t>
      </w:r>
      <w:r w:rsidRPr="007E469B">
        <w:t>参与，执法和监督机制不健全</w:t>
      </w:r>
      <w:r w:rsidRPr="007E469B">
        <w:t>(</w:t>
      </w:r>
      <w:r w:rsidRPr="007E469B">
        <w:t>第</w:t>
      </w:r>
      <w:r w:rsidRPr="007E469B">
        <w:rPr>
          <w:rFonts w:hint="eastAsia"/>
        </w:rPr>
        <w:t>六</w:t>
      </w:r>
      <w:r w:rsidRPr="007E469B">
        <w:t>和第</w:t>
      </w:r>
      <w:r w:rsidRPr="007E469B">
        <w:rPr>
          <w:rFonts w:hint="eastAsia"/>
        </w:rPr>
        <w:t>十九</w:t>
      </w:r>
      <w:r w:rsidRPr="007E469B">
        <w:t>条</w:t>
      </w:r>
      <w:r w:rsidRPr="007E469B">
        <w:t>)</w:t>
      </w:r>
      <w:r w:rsidRPr="007E469B">
        <w:t>。</w:t>
      </w:r>
    </w:p>
    <w:p w14:paraId="56647AB4"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22.</w:t>
      </w:r>
      <w:r w:rsidRPr="00BF6AD5">
        <w:rPr>
          <w:rFonts w:ascii="Time New Roman" w:eastAsia="黑体" w:hAnsi="Time New Roman"/>
        </w:rPr>
        <w:tab/>
      </w:r>
      <w:r w:rsidRPr="00BF6AD5">
        <w:rPr>
          <w:rFonts w:ascii="Time New Roman" w:eastAsia="黑体" w:hAnsi="Time New Roman" w:hint="eastAsia"/>
        </w:rPr>
        <w:t>按照《公约》第六条以及委员会第</w:t>
      </w:r>
      <w:r w:rsidRPr="00BF6AD5">
        <w:rPr>
          <w:rFonts w:ascii="Time New Roman" w:eastAsia="黑体" w:hAnsi="Time New Roman"/>
        </w:rPr>
        <w:t>36</w:t>
      </w:r>
      <w:r w:rsidRPr="00BF6AD5">
        <w:rPr>
          <w:rFonts w:ascii="Time New Roman" w:eastAsia="黑体" w:hAnsi="Time New Roman" w:hint="eastAsia"/>
        </w:rPr>
        <w:t>号一般性意见</w:t>
      </w:r>
      <w:r w:rsidRPr="00BF6AD5">
        <w:rPr>
          <w:rFonts w:ascii="Time New Roman" w:eastAsia="黑体" w:hAnsi="Time New Roman" w:hint="eastAsia"/>
        </w:rPr>
        <w:t>(</w:t>
      </w:r>
      <w:r w:rsidRPr="00BF6AD5">
        <w:rPr>
          <w:rFonts w:ascii="Time New Roman" w:eastAsia="黑体" w:hAnsi="Time New Roman"/>
        </w:rPr>
        <w:t>2018</w:t>
      </w:r>
      <w:r w:rsidRPr="00BF6AD5">
        <w:rPr>
          <w:rFonts w:ascii="Time New Roman" w:eastAsia="黑体" w:hAnsi="Time New Roman" w:hint="eastAsia"/>
        </w:rPr>
        <w:t>年</w:t>
      </w:r>
      <w:r w:rsidRPr="00BF6AD5">
        <w:rPr>
          <w:rFonts w:ascii="Time New Roman" w:eastAsia="黑体" w:hAnsi="Time New Roman" w:hint="eastAsia"/>
        </w:rPr>
        <w:t>)</w:t>
      </w:r>
      <w:r w:rsidRPr="00BF6AD5">
        <w:rPr>
          <w:rFonts w:ascii="Time New Roman" w:eastAsia="黑体" w:hAnsi="Time New Roman" w:hint="eastAsia"/>
        </w:rPr>
        <w:t>，缔约国应：</w:t>
      </w:r>
    </w:p>
    <w:p w14:paraId="67C41D23"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(a)</w:t>
      </w:r>
      <w:r w:rsidRPr="00BF6AD5">
        <w:rPr>
          <w:rFonts w:ascii="Time New Roman" w:eastAsia="黑体" w:hAnsi="Time New Roman"/>
        </w:rPr>
        <w:tab/>
      </w:r>
      <w:r w:rsidRPr="00BF6AD5">
        <w:rPr>
          <w:rFonts w:ascii="Time New Roman" w:eastAsia="黑体" w:hAnsi="Time New Roman" w:hint="eastAsia"/>
        </w:rPr>
        <w:t>制定并实施环境标准以确保对自然资源进行可持续利用，并开展环境影响评估；</w:t>
      </w:r>
    </w:p>
    <w:p w14:paraId="699EA812"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(b)</w:t>
      </w:r>
      <w:r w:rsidRPr="00BF6AD5">
        <w:rPr>
          <w:rFonts w:ascii="Time New Roman" w:eastAsia="黑体" w:hAnsi="Time New Roman"/>
        </w:rPr>
        <w:tab/>
      </w:r>
      <w:r w:rsidRPr="00BF6AD5">
        <w:rPr>
          <w:rFonts w:ascii="Time New Roman" w:eastAsia="黑体" w:hAnsi="Time New Roman" w:hint="eastAsia"/>
        </w:rPr>
        <w:t>增强地方社区和广大公众，尤其是弱势群体，在环境决策中的有效参与能力和获取相关信息的能力；</w:t>
      </w:r>
    </w:p>
    <w:p w14:paraId="06A2AB03" w14:textId="77777777" w:rsidR="00AA2244" w:rsidRPr="00BF6AD5" w:rsidRDefault="00AA2244" w:rsidP="00AA2244">
      <w:pPr>
        <w:pStyle w:val="SingleTxtGC"/>
        <w:rPr>
          <w:rFonts w:ascii="Time New Roman" w:eastAsia="黑体" w:hAnsi="Time New Roman"/>
          <w:bCs/>
        </w:rPr>
      </w:pPr>
      <w:r w:rsidRPr="00BF6AD5">
        <w:rPr>
          <w:rFonts w:ascii="Time New Roman" w:eastAsia="黑体" w:hAnsi="Time New Roman"/>
        </w:rPr>
        <w:tab/>
        <w:t>(c)</w:t>
      </w:r>
      <w:r w:rsidRPr="00BF6AD5">
        <w:rPr>
          <w:rFonts w:ascii="Time New Roman" w:eastAsia="黑体" w:hAnsi="Time New Roman"/>
        </w:rPr>
        <w:tab/>
      </w:r>
      <w:r w:rsidRPr="00BF6AD5">
        <w:rPr>
          <w:rFonts w:ascii="Time New Roman" w:eastAsia="黑体" w:hAnsi="Time New Roman" w:hint="eastAsia"/>
        </w:rPr>
        <w:t>加强为监督和报告可能的侵犯权利</w:t>
      </w:r>
      <w:r w:rsidRPr="00BF6AD5">
        <w:rPr>
          <w:rFonts w:ascii="Time New Roman" w:eastAsia="黑体" w:hAnsi="Time New Roman" w:hint="eastAsia"/>
        </w:rPr>
        <w:t>(</w:t>
      </w:r>
      <w:r w:rsidRPr="00BF6AD5">
        <w:rPr>
          <w:rFonts w:ascii="Time New Roman" w:eastAsia="黑体" w:hAnsi="Time New Roman" w:hint="eastAsia"/>
        </w:rPr>
        <w:t>特别是生命权</w:t>
      </w:r>
      <w:r w:rsidRPr="00BF6AD5">
        <w:rPr>
          <w:rFonts w:ascii="Time New Roman" w:eastAsia="黑体" w:hAnsi="Time New Roman" w:hint="eastAsia"/>
        </w:rPr>
        <w:t>)</w:t>
      </w:r>
      <w:r w:rsidRPr="00BF6AD5">
        <w:rPr>
          <w:rFonts w:ascii="Time New Roman" w:eastAsia="黑体" w:hAnsi="Time New Roman" w:hint="eastAsia"/>
        </w:rPr>
        <w:t>行为的机制。</w:t>
      </w:r>
    </w:p>
    <w:p w14:paraId="298737DB" w14:textId="77777777" w:rsidR="00AA2244" w:rsidRPr="007E469B" w:rsidRDefault="00AA2244" w:rsidP="00BF6AD5">
      <w:pPr>
        <w:pStyle w:val="H23GC"/>
      </w:pPr>
      <w:r w:rsidRPr="007E469B">
        <w:tab/>
      </w:r>
      <w:r w:rsidRPr="007E469B">
        <w:tab/>
      </w:r>
      <w:r w:rsidRPr="007E469B">
        <w:rPr>
          <w:rFonts w:hint="eastAsia"/>
        </w:rPr>
        <w:t>死刑</w:t>
      </w:r>
    </w:p>
    <w:p w14:paraId="43769504" w14:textId="77777777" w:rsidR="00AA2244" w:rsidRPr="007E469B" w:rsidRDefault="00AA2244" w:rsidP="00AA2244">
      <w:pPr>
        <w:pStyle w:val="SingleTxtGC"/>
      </w:pPr>
      <w:r w:rsidRPr="007E469B">
        <w:t>23.</w:t>
      </w:r>
      <w:r w:rsidRPr="007E469B">
        <w:tab/>
      </w:r>
      <w:r w:rsidRPr="007E469B">
        <w:rPr>
          <w:rFonts w:hint="eastAsia"/>
        </w:rPr>
        <w:t>委员会欢迎缔约国颁布《废除死刑法》从而废除了死刑。同时，委员会感到关切的是，该法第</w:t>
      </w:r>
      <w:r w:rsidRPr="007E469B">
        <w:rPr>
          <w:rFonts w:hint="eastAsia"/>
        </w:rPr>
        <w:t>7</w:t>
      </w:r>
      <w:r w:rsidRPr="007E469B">
        <w:rPr>
          <w:rFonts w:hint="eastAsia"/>
        </w:rPr>
        <w:t>条对《国防法》第</w:t>
      </w:r>
      <w:r w:rsidRPr="007E469B">
        <w:t>116</w:t>
      </w:r>
      <w:r w:rsidRPr="007E469B">
        <w:rPr>
          <w:rFonts w:hint="eastAsia"/>
        </w:rPr>
        <w:t>条作出修订，允许在根据宪法第</w:t>
      </w:r>
      <w:r w:rsidRPr="007E469B">
        <w:t>113</w:t>
      </w:r>
      <w:r w:rsidRPr="007E469B">
        <w:rPr>
          <w:rFonts w:hint="eastAsia"/>
        </w:rPr>
        <w:t>条宣布国家公共紧急状态期间适用死刑。委员会也遗憾地注意到，在死刑被废除前已被判处死刑者尚未获得减刑</w:t>
      </w:r>
      <w:r w:rsidRPr="007E469B">
        <w:rPr>
          <w:rFonts w:hint="eastAsia"/>
        </w:rPr>
        <w:t>(</w:t>
      </w:r>
      <w:r w:rsidRPr="007E469B">
        <w:rPr>
          <w:rFonts w:hint="eastAsia"/>
        </w:rPr>
        <w:t>第六条</w:t>
      </w:r>
      <w:r w:rsidRPr="007E469B">
        <w:rPr>
          <w:rFonts w:hint="eastAsia"/>
        </w:rPr>
        <w:t>)</w:t>
      </w:r>
      <w:r w:rsidRPr="007E469B">
        <w:rPr>
          <w:rFonts w:hint="eastAsia"/>
        </w:rPr>
        <w:t>。</w:t>
      </w:r>
    </w:p>
    <w:p w14:paraId="373F86BB"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24.</w:t>
      </w:r>
      <w:r w:rsidRPr="00BF6AD5">
        <w:rPr>
          <w:rFonts w:ascii="Time New Roman" w:eastAsia="黑体" w:hAnsi="Time New Roman"/>
        </w:rPr>
        <w:tab/>
      </w:r>
      <w:r w:rsidRPr="00BF6AD5">
        <w:rPr>
          <w:rFonts w:ascii="Time New Roman" w:eastAsia="黑体" w:hAnsi="Time New Roman" w:hint="eastAsia"/>
        </w:rPr>
        <w:t>按照委员会第</w:t>
      </w:r>
      <w:r w:rsidRPr="00BF6AD5">
        <w:rPr>
          <w:rFonts w:ascii="Time New Roman" w:eastAsia="黑体" w:hAnsi="Time New Roman"/>
        </w:rPr>
        <w:t>36</w:t>
      </w:r>
      <w:r w:rsidRPr="00BF6AD5">
        <w:rPr>
          <w:rFonts w:ascii="Time New Roman" w:eastAsia="黑体" w:hAnsi="Time New Roman" w:hint="eastAsia"/>
        </w:rPr>
        <w:t>号一般性意见</w:t>
      </w:r>
      <w:r w:rsidRPr="00BF6AD5">
        <w:rPr>
          <w:rFonts w:ascii="Time New Roman" w:eastAsia="黑体" w:hAnsi="Time New Roman" w:hint="eastAsia"/>
        </w:rPr>
        <w:t>(</w:t>
      </w:r>
      <w:r w:rsidRPr="00BF6AD5">
        <w:rPr>
          <w:rFonts w:ascii="Time New Roman" w:eastAsia="黑体" w:hAnsi="Time New Roman"/>
        </w:rPr>
        <w:t>2018</w:t>
      </w:r>
      <w:r w:rsidRPr="00BF6AD5">
        <w:rPr>
          <w:rFonts w:ascii="Time New Roman" w:eastAsia="黑体" w:hAnsi="Time New Roman" w:hint="eastAsia"/>
        </w:rPr>
        <w:t>年</w:t>
      </w:r>
      <w:r w:rsidRPr="00BF6AD5">
        <w:rPr>
          <w:rFonts w:ascii="Time New Roman" w:eastAsia="黑体" w:hAnsi="Time New Roman" w:hint="eastAsia"/>
        </w:rPr>
        <w:t>)</w:t>
      </w:r>
      <w:r w:rsidRPr="00BF6AD5">
        <w:rPr>
          <w:rFonts w:ascii="Time New Roman" w:eastAsia="黑体" w:hAnsi="Time New Roman" w:hint="eastAsia"/>
        </w:rPr>
        <w:t>，缔约国应：</w:t>
      </w:r>
    </w:p>
    <w:p w14:paraId="1B208A54"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(a)</w:t>
      </w:r>
      <w:r w:rsidRPr="00BF6AD5">
        <w:rPr>
          <w:rFonts w:ascii="Time New Roman" w:eastAsia="黑体" w:hAnsi="Time New Roman"/>
        </w:rPr>
        <w:tab/>
      </w:r>
      <w:r w:rsidRPr="00BF6AD5">
        <w:rPr>
          <w:rFonts w:ascii="Time New Roman" w:eastAsia="黑体" w:hAnsi="Time New Roman" w:hint="eastAsia"/>
        </w:rPr>
        <w:t>撤销《废除死刑法》中对《国防法》作出修订的第</w:t>
      </w:r>
      <w:r w:rsidRPr="00BF6AD5">
        <w:rPr>
          <w:rFonts w:ascii="Time New Roman" w:eastAsia="黑体" w:hAnsi="Time New Roman"/>
        </w:rPr>
        <w:t>7</w:t>
      </w:r>
      <w:r w:rsidRPr="00BF6AD5">
        <w:rPr>
          <w:rFonts w:ascii="Time New Roman" w:eastAsia="黑体" w:hAnsi="Time New Roman" w:hint="eastAsia"/>
        </w:rPr>
        <w:t>条；</w:t>
      </w:r>
    </w:p>
    <w:p w14:paraId="4A677C8D"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(b)</w:t>
      </w:r>
      <w:r w:rsidRPr="00BF6AD5">
        <w:rPr>
          <w:rFonts w:ascii="Time New Roman" w:eastAsia="黑体" w:hAnsi="Time New Roman"/>
        </w:rPr>
        <w:tab/>
      </w:r>
      <w:r w:rsidRPr="00BF6AD5">
        <w:rPr>
          <w:rFonts w:ascii="Time New Roman" w:eastAsia="黑体" w:hAnsi="Time New Roman" w:hint="eastAsia"/>
        </w:rPr>
        <w:t>考虑加入旨在废除死刑的公约第二项任意议定书；</w:t>
      </w:r>
    </w:p>
    <w:p w14:paraId="7F22045C"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(c)</w:t>
      </w:r>
      <w:r w:rsidRPr="00BF6AD5">
        <w:rPr>
          <w:rFonts w:ascii="Time New Roman" w:eastAsia="黑体" w:hAnsi="Time New Roman"/>
        </w:rPr>
        <w:tab/>
      </w:r>
      <w:r w:rsidRPr="00BF6AD5">
        <w:rPr>
          <w:rFonts w:ascii="Time New Roman" w:eastAsia="黑体" w:hAnsi="Time New Roman" w:hint="eastAsia"/>
        </w:rPr>
        <w:t>将所有死刑判决减为有期徒刑，并确保所有有权获得重审的人及时获得法律援助，以准备并提出减轻处罚的证据。</w:t>
      </w:r>
    </w:p>
    <w:p w14:paraId="570E4724" w14:textId="77777777" w:rsidR="00AA2244" w:rsidRPr="007E469B" w:rsidRDefault="00AA2244" w:rsidP="00BF6AD5">
      <w:pPr>
        <w:pStyle w:val="H23GC"/>
      </w:pPr>
      <w:r w:rsidRPr="007E469B">
        <w:tab/>
      </w:r>
      <w:r w:rsidRPr="007E469B">
        <w:tab/>
      </w:r>
      <w:bookmarkEnd w:id="2"/>
      <w:r w:rsidRPr="007E469B">
        <w:rPr>
          <w:rFonts w:hint="eastAsia"/>
        </w:rPr>
        <w:t>禁止酷刑和其他残忍、不人道或有辱人格的待遇或处罚</w:t>
      </w:r>
    </w:p>
    <w:p w14:paraId="59CC0485" w14:textId="77777777" w:rsidR="00AA2244" w:rsidRPr="007E469B" w:rsidRDefault="00AA2244" w:rsidP="00AA2244">
      <w:pPr>
        <w:pStyle w:val="SingleTxtGC"/>
      </w:pPr>
      <w:r w:rsidRPr="007E469B">
        <w:t>25.</w:t>
      </w:r>
      <w:r w:rsidRPr="007E469B">
        <w:tab/>
      </w:r>
      <w:r w:rsidRPr="007E469B">
        <w:rPr>
          <w:rFonts w:hint="eastAsia"/>
        </w:rPr>
        <w:t>委员会知悉津巴布韦宪法禁止酷刑及其他形式的残忍、不人道或有辱人格的待遇或处罚，但继续关切不断有关于使用酷刑打压异见的报告。委员会亦关切缔约国尚未制定明确界定酷刑及其他虐待行为并使之入罪的专门的反酷刑立法。委</w:t>
      </w:r>
      <w:r w:rsidRPr="007E469B">
        <w:rPr>
          <w:rFonts w:hint="eastAsia"/>
        </w:rPr>
        <w:lastRenderedPageBreak/>
        <w:t>员会还注意到，缺少关于缔约国内有关接获申诉、开展调查、对酷刑行为实施者施加处罚以及向受害者及其家人提供赔偿的信息。委员会欢迎</w:t>
      </w:r>
      <w:r w:rsidRPr="007E469B">
        <w:t>2022</w:t>
      </w:r>
      <w:r w:rsidRPr="007E469B">
        <w:rPr>
          <w:rFonts w:hint="eastAsia"/>
        </w:rPr>
        <w:t>年设立津巴布韦独立申诉委员会，但对后者缺乏独立性感到关切，特别是在成员任命和组成方面</w:t>
      </w:r>
      <w:r w:rsidRPr="007E469B">
        <w:rPr>
          <w:rFonts w:hint="eastAsia"/>
        </w:rPr>
        <w:t>(</w:t>
      </w:r>
      <w:r w:rsidRPr="007E469B">
        <w:rPr>
          <w:rFonts w:hint="eastAsia"/>
        </w:rPr>
        <w:t>第二、第七、第十和第二十六条</w:t>
      </w:r>
      <w:r w:rsidRPr="007E469B">
        <w:rPr>
          <w:rFonts w:hint="eastAsia"/>
        </w:rPr>
        <w:t>)</w:t>
      </w:r>
      <w:r w:rsidRPr="007E469B">
        <w:rPr>
          <w:rFonts w:hint="eastAsia"/>
        </w:rPr>
        <w:t>。</w:t>
      </w:r>
    </w:p>
    <w:p w14:paraId="02D6575C"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26.</w:t>
      </w:r>
      <w:r w:rsidRPr="00BF6AD5">
        <w:rPr>
          <w:rFonts w:ascii="Time New Roman" w:eastAsia="黑体" w:hAnsi="Time New Roman"/>
        </w:rPr>
        <w:tab/>
      </w:r>
      <w:r w:rsidRPr="00BF6AD5">
        <w:rPr>
          <w:rFonts w:ascii="Time New Roman" w:eastAsia="黑体" w:hAnsi="Time New Roman" w:hint="eastAsia"/>
        </w:rPr>
        <w:t>缔约国应：</w:t>
      </w:r>
    </w:p>
    <w:p w14:paraId="73E20D41" w14:textId="0E2201D3"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(a)</w:t>
      </w:r>
      <w:r w:rsidRPr="00BF6AD5">
        <w:rPr>
          <w:rFonts w:ascii="Time New Roman" w:eastAsia="黑体" w:hAnsi="Time New Roman"/>
        </w:rPr>
        <w:tab/>
      </w:r>
      <w:r w:rsidRPr="00BF6AD5">
        <w:rPr>
          <w:rFonts w:ascii="Time New Roman" w:eastAsia="黑体" w:hAnsi="Time New Roman" w:hint="eastAsia"/>
        </w:rPr>
        <w:t>按照</w:t>
      </w:r>
      <w:r w:rsidRPr="00BF6AD5">
        <w:rPr>
          <w:rFonts w:ascii="Time New Roman" w:eastAsia="黑体" w:hAnsi="Time New Roman"/>
        </w:rPr>
        <w:t>《酷刑和其他残忍、不人道或有辱人格的待遇或处罚的有效调查和文件记录手册》</w:t>
      </w:r>
      <w:r w:rsidRPr="00BF6AD5">
        <w:rPr>
          <w:rFonts w:ascii="Time New Roman" w:eastAsia="黑体" w:hAnsi="Time New Roman"/>
        </w:rPr>
        <w:t>(</w:t>
      </w:r>
      <w:r w:rsidRPr="00BF6AD5">
        <w:rPr>
          <w:rFonts w:ascii="Time New Roman" w:eastAsia="黑体" w:hAnsi="Time New Roman"/>
        </w:rPr>
        <w:t>《伊斯坦布尔规程》</w:t>
      </w:r>
      <w:r w:rsidRPr="00BF6AD5">
        <w:rPr>
          <w:rFonts w:ascii="Time New Roman" w:eastAsia="黑体" w:hAnsi="Time New Roman"/>
        </w:rPr>
        <w:t>)</w:t>
      </w:r>
      <w:r w:rsidRPr="00BF6AD5">
        <w:rPr>
          <w:rFonts w:ascii="Time New Roman" w:eastAsia="黑体" w:hAnsi="Time New Roman" w:hint="eastAsia"/>
        </w:rPr>
        <w:t>和《关于调查潜在非法死亡的明尼苏达规程》，对所有酷刑和虐待指称开展迅速、彻底和公正的调查，确保施害者被起诉并在定罪后受到惩处，同时确保受害者获得赔偿；</w:t>
      </w:r>
    </w:p>
    <w:p w14:paraId="42237698" w14:textId="49ACB2A6"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(b)</w:t>
      </w:r>
      <w:r w:rsidRPr="00BF6AD5">
        <w:rPr>
          <w:rFonts w:ascii="Time New Roman" w:eastAsia="黑体" w:hAnsi="Time New Roman"/>
        </w:rPr>
        <w:tab/>
      </w:r>
      <w:r w:rsidRPr="00BF6AD5">
        <w:rPr>
          <w:rFonts w:ascii="Time New Roman" w:eastAsia="黑体" w:hAnsi="Time New Roman" w:hint="eastAsia"/>
        </w:rPr>
        <w:t>尽快通过立法，将酷刑界定为一项专门的刑事犯罪，并规定与其严重程度相称的适当惩罚措施，同时确保对酷刑的定义符合《公约》第七条及其他相关国际标准；</w:t>
      </w:r>
    </w:p>
    <w:p w14:paraId="65897910" w14:textId="014E7096"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(c)</w:t>
      </w:r>
      <w:r w:rsidRPr="00BF6AD5">
        <w:rPr>
          <w:rFonts w:ascii="Time New Roman" w:eastAsia="黑体" w:hAnsi="Time New Roman"/>
        </w:rPr>
        <w:tab/>
      </w:r>
      <w:r w:rsidRPr="00BF6AD5">
        <w:rPr>
          <w:rFonts w:ascii="Time New Roman" w:eastAsia="黑体" w:hAnsi="Time New Roman" w:hint="eastAsia"/>
        </w:rPr>
        <w:t>采取必要措施，保障津巴布韦独立申诉委员会的独立性，包括确保其成员的遴选和任命程序透明公正；</w:t>
      </w:r>
    </w:p>
    <w:p w14:paraId="65F63E77" w14:textId="3941DBA5"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(d)</w:t>
      </w:r>
      <w:r w:rsidRPr="00BF6AD5">
        <w:rPr>
          <w:rFonts w:ascii="Time New Roman" w:eastAsia="黑体" w:hAnsi="Time New Roman"/>
        </w:rPr>
        <w:tab/>
      </w:r>
      <w:r w:rsidRPr="00BF6AD5">
        <w:rPr>
          <w:rFonts w:ascii="Time New Roman" w:eastAsia="黑体" w:hAnsi="Time New Roman" w:hint="eastAsia"/>
        </w:rPr>
        <w:t>考虑批准《禁止酷刑和其他残忍、不人道或有辱人格的待遇或处罚公约》及其《任择议定书》。</w:t>
      </w:r>
    </w:p>
    <w:p w14:paraId="32C74B66" w14:textId="77777777" w:rsidR="00AA2244" w:rsidRPr="007E469B" w:rsidRDefault="00AA2244" w:rsidP="00BF6AD5">
      <w:pPr>
        <w:pStyle w:val="H23GC"/>
      </w:pPr>
      <w:r w:rsidRPr="007E469B">
        <w:tab/>
      </w:r>
      <w:r w:rsidRPr="007E469B">
        <w:tab/>
      </w:r>
      <w:r w:rsidRPr="007E469B">
        <w:rPr>
          <w:rFonts w:hint="eastAsia"/>
        </w:rPr>
        <w:t>人身自由和安全</w:t>
      </w:r>
    </w:p>
    <w:p w14:paraId="22A45EAD" w14:textId="04ED2573" w:rsidR="00AA2244" w:rsidRPr="007E469B" w:rsidRDefault="00AA2244" w:rsidP="00AA2244">
      <w:pPr>
        <w:pStyle w:val="SingleTxtGC"/>
      </w:pPr>
      <w:r w:rsidRPr="007E469B">
        <w:t>27.</w:t>
      </w:r>
      <w:r w:rsidRPr="007E469B">
        <w:tab/>
      </w:r>
      <w:r w:rsidRPr="007E469B">
        <w:rPr>
          <w:rFonts w:hint="eastAsia"/>
        </w:rPr>
        <w:t>委员会关切缔约国使用长期审前羁押的做法，包括针对政治异见人士、工会领导人、抗议者及未成年人使用这种做法，尤其是在治安官和法庭口译员短缺、官僚程序低效以及法院人员能力低下的背景下。委员会注意到宪法第</w:t>
      </w:r>
      <w:r w:rsidRPr="007E469B">
        <w:t>50(1)(d)</w:t>
      </w:r>
      <w:r w:rsidRPr="007E469B">
        <w:rPr>
          <w:rFonts w:hint="eastAsia"/>
        </w:rPr>
        <w:t>条规定了保释权，但遗憾的是政治在押犯被拒绝保释，还有报告称保释裁定在工作时间以外作出</w:t>
      </w:r>
      <w:r w:rsidRPr="007E469B">
        <w:rPr>
          <w:rFonts w:hint="eastAsia"/>
        </w:rPr>
        <w:t>(</w:t>
      </w:r>
      <w:r w:rsidRPr="007E469B">
        <w:rPr>
          <w:rFonts w:hint="eastAsia"/>
        </w:rPr>
        <w:t>第九、第十和第十四条</w:t>
      </w:r>
      <w:r w:rsidRPr="007E469B">
        <w:rPr>
          <w:rFonts w:hint="eastAsia"/>
        </w:rPr>
        <w:t>)</w:t>
      </w:r>
      <w:r w:rsidRPr="007E469B">
        <w:rPr>
          <w:rFonts w:hint="eastAsia"/>
        </w:rPr>
        <w:t>。</w:t>
      </w:r>
    </w:p>
    <w:p w14:paraId="16D0C56D"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28.</w:t>
      </w:r>
      <w:r w:rsidRPr="00BF6AD5">
        <w:rPr>
          <w:rFonts w:ascii="Time New Roman" w:eastAsia="黑体" w:hAnsi="Time New Roman"/>
        </w:rPr>
        <w:tab/>
      </w:r>
      <w:r w:rsidRPr="00BF6AD5">
        <w:rPr>
          <w:rFonts w:ascii="Time New Roman" w:eastAsia="黑体" w:hAnsi="Time New Roman" w:hint="eastAsia"/>
        </w:rPr>
        <w:t>按照委员会关于人身自由和安全的第</w:t>
      </w:r>
      <w:r w:rsidRPr="00BF6AD5">
        <w:rPr>
          <w:rFonts w:ascii="Time New Roman" w:eastAsia="黑体" w:hAnsi="Time New Roman"/>
        </w:rPr>
        <w:t>35</w:t>
      </w:r>
      <w:r w:rsidRPr="00BF6AD5">
        <w:rPr>
          <w:rFonts w:ascii="Time New Roman" w:eastAsia="黑体" w:hAnsi="Time New Roman" w:hint="eastAsia"/>
        </w:rPr>
        <w:t>号一般性意见</w:t>
      </w:r>
      <w:r w:rsidRPr="00BF6AD5">
        <w:rPr>
          <w:rFonts w:ascii="Time New Roman" w:eastAsia="黑体" w:hAnsi="Time New Roman" w:hint="eastAsia"/>
        </w:rPr>
        <w:t>(</w:t>
      </w:r>
      <w:r w:rsidRPr="00BF6AD5">
        <w:rPr>
          <w:rFonts w:ascii="Time New Roman" w:eastAsia="黑体" w:hAnsi="Time New Roman"/>
        </w:rPr>
        <w:t>2014</w:t>
      </w:r>
      <w:r w:rsidRPr="00BF6AD5">
        <w:rPr>
          <w:rFonts w:ascii="Time New Roman" w:eastAsia="黑体" w:hAnsi="Time New Roman" w:hint="eastAsia"/>
        </w:rPr>
        <w:t>年</w:t>
      </w:r>
      <w:r w:rsidRPr="00BF6AD5">
        <w:rPr>
          <w:rFonts w:ascii="Time New Roman" w:eastAsia="黑体" w:hAnsi="Time New Roman" w:hint="eastAsia"/>
        </w:rPr>
        <w:t>)</w:t>
      </w:r>
      <w:r w:rsidRPr="00BF6AD5">
        <w:rPr>
          <w:rFonts w:ascii="Time New Roman" w:eastAsia="黑体" w:hAnsi="Time New Roman" w:hint="eastAsia"/>
        </w:rPr>
        <w:t>，缔约国应显著减少审前羁押的使用，包括更广泛地采取非监禁性替代措施，并确保在实践中，所有被羁押人员自羁押之初起即获得一切法律和程序保障。具体说来，缔约国应：</w:t>
      </w:r>
    </w:p>
    <w:p w14:paraId="6232B160"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(a)</w:t>
      </w:r>
      <w:r w:rsidRPr="00BF6AD5">
        <w:rPr>
          <w:rFonts w:ascii="Time New Roman" w:eastAsia="黑体" w:hAnsi="Time New Roman"/>
        </w:rPr>
        <w:tab/>
      </w:r>
      <w:r w:rsidRPr="00BF6AD5">
        <w:rPr>
          <w:rFonts w:ascii="Time New Roman" w:eastAsia="黑体" w:hAnsi="Time New Roman" w:hint="eastAsia"/>
        </w:rPr>
        <w:t>确保审前羁押作为例外措施，仅在必要时才适用，期限尽可能短，并严格执行法定羁押时限；</w:t>
      </w:r>
    </w:p>
    <w:p w14:paraId="4DCB945A"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(b)</w:t>
      </w:r>
      <w:r w:rsidRPr="00BF6AD5">
        <w:rPr>
          <w:rFonts w:ascii="Time New Roman" w:eastAsia="黑体" w:hAnsi="Time New Roman"/>
        </w:rPr>
        <w:tab/>
      </w:r>
      <w:r w:rsidRPr="00BF6AD5">
        <w:rPr>
          <w:rFonts w:ascii="Time New Roman" w:eastAsia="黑体" w:hAnsi="Time New Roman" w:hint="eastAsia"/>
        </w:rPr>
        <w:t>依照</w:t>
      </w:r>
      <w:r w:rsidRPr="00BF6AD5">
        <w:rPr>
          <w:rFonts w:ascii="Time New Roman" w:eastAsia="黑体" w:hAnsi="Time New Roman"/>
        </w:rPr>
        <w:t>《联合国非拘禁措施最低限度标准规则》</w:t>
      </w:r>
      <w:r w:rsidRPr="00BF6AD5">
        <w:rPr>
          <w:rFonts w:ascii="Time New Roman" w:eastAsia="黑体" w:hAnsi="Time New Roman" w:hint="eastAsia"/>
        </w:rPr>
        <w:t>(</w:t>
      </w:r>
      <w:r w:rsidRPr="00BF6AD5">
        <w:rPr>
          <w:rFonts w:ascii="Time New Roman" w:eastAsia="黑体" w:hAnsi="Time New Roman" w:hint="eastAsia"/>
        </w:rPr>
        <w:t>《东京规则》</w:t>
      </w:r>
      <w:r w:rsidRPr="00BF6AD5">
        <w:rPr>
          <w:rFonts w:ascii="Time New Roman" w:eastAsia="黑体" w:hAnsi="Time New Roman" w:hint="eastAsia"/>
        </w:rPr>
        <w:t>)</w:t>
      </w:r>
      <w:r w:rsidRPr="00BF6AD5">
        <w:rPr>
          <w:rFonts w:ascii="Time New Roman" w:eastAsia="黑体" w:hAnsi="Time New Roman" w:hint="eastAsia"/>
        </w:rPr>
        <w:t>和《</w:t>
      </w:r>
      <w:r w:rsidRPr="00BF6AD5">
        <w:rPr>
          <w:rFonts w:ascii="Time New Roman" w:eastAsia="黑体" w:hAnsi="Time New Roman"/>
        </w:rPr>
        <w:t>联合国关于女性囚犯待遇和女性罪犯非监禁措施的规则</w:t>
      </w:r>
      <w:r w:rsidRPr="00BF6AD5">
        <w:rPr>
          <w:rFonts w:ascii="Time New Roman" w:eastAsia="黑体" w:hAnsi="Time New Roman" w:hint="eastAsia"/>
        </w:rPr>
        <w:t>》</w:t>
      </w:r>
      <w:r w:rsidRPr="00BF6AD5">
        <w:rPr>
          <w:rFonts w:ascii="Time New Roman" w:eastAsia="黑体" w:hAnsi="Time New Roman" w:hint="eastAsia"/>
        </w:rPr>
        <w:t>(</w:t>
      </w:r>
      <w:r w:rsidRPr="00BF6AD5">
        <w:rPr>
          <w:rFonts w:ascii="Time New Roman" w:eastAsia="黑体" w:hAnsi="Time New Roman" w:hint="eastAsia"/>
        </w:rPr>
        <w:t>《曼谷规则》</w:t>
      </w:r>
      <w:r w:rsidRPr="00BF6AD5">
        <w:rPr>
          <w:rFonts w:ascii="Time New Roman" w:eastAsia="黑体" w:hAnsi="Time New Roman" w:hint="eastAsia"/>
        </w:rPr>
        <w:t>)</w:t>
      </w:r>
      <w:r w:rsidRPr="00BF6AD5">
        <w:rPr>
          <w:rFonts w:ascii="Time New Roman" w:eastAsia="黑体" w:hAnsi="Time New Roman" w:hint="eastAsia"/>
        </w:rPr>
        <w:t>，扩大审前羁押替代措施的适用范围和付诸使用；</w:t>
      </w:r>
    </w:p>
    <w:p w14:paraId="160730CA"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(c)</w:t>
      </w:r>
      <w:r w:rsidRPr="00BF6AD5">
        <w:rPr>
          <w:rFonts w:ascii="Time New Roman" w:eastAsia="黑体" w:hAnsi="Time New Roman"/>
        </w:rPr>
        <w:tab/>
      </w:r>
      <w:r w:rsidRPr="00BF6AD5">
        <w:rPr>
          <w:rFonts w:ascii="Time New Roman" w:eastAsia="黑体" w:hAnsi="Time New Roman" w:hint="eastAsia"/>
        </w:rPr>
        <w:t>确保由相关司法机关对审前羁押进行及时、彻底和公正的审查，包括有效落实人身保护令权利，并确保所有被任意拘留者无条件获释并获得适当赔偿。</w:t>
      </w:r>
    </w:p>
    <w:p w14:paraId="2CE78508" w14:textId="77777777" w:rsidR="00AA2244" w:rsidRPr="007E469B" w:rsidRDefault="00AA2244" w:rsidP="00BF6AD5">
      <w:pPr>
        <w:pStyle w:val="H23GC"/>
      </w:pPr>
      <w:r w:rsidRPr="007E469B">
        <w:tab/>
      </w:r>
      <w:r w:rsidRPr="007E469B">
        <w:tab/>
      </w:r>
      <w:r w:rsidRPr="007E469B">
        <w:rPr>
          <w:rFonts w:hint="eastAsia"/>
        </w:rPr>
        <w:t>强迫失踪</w:t>
      </w:r>
    </w:p>
    <w:p w14:paraId="48E760F8" w14:textId="77777777" w:rsidR="00AA2244" w:rsidRPr="007E469B" w:rsidRDefault="00AA2244" w:rsidP="00AA2244">
      <w:pPr>
        <w:pStyle w:val="SingleTxtGC"/>
      </w:pPr>
      <w:r w:rsidRPr="007E469B">
        <w:t>29.</w:t>
      </w:r>
      <w:r w:rsidRPr="007E469B">
        <w:tab/>
      </w:r>
      <w:r w:rsidRPr="007E469B">
        <w:rPr>
          <w:rFonts w:hint="eastAsia"/>
        </w:rPr>
        <w:t>委员会遗憾地指出，缔约国未提供关于强迫失踪案件及调查情况的信息，也未说明为打击强迫失踪所采取的措施，包括报告期内收到的申诉数量、所进行的调查和起诉情况以及向受害者及其亲属提供的补救措施</w:t>
      </w:r>
      <w:r w:rsidRPr="007E469B">
        <w:rPr>
          <w:rFonts w:hint="eastAsia"/>
        </w:rPr>
        <w:t>(</w:t>
      </w:r>
      <w:r w:rsidRPr="007E469B">
        <w:rPr>
          <w:rFonts w:hint="eastAsia"/>
        </w:rPr>
        <w:t>第六和第九条</w:t>
      </w:r>
      <w:r w:rsidRPr="007E469B">
        <w:rPr>
          <w:rFonts w:hint="eastAsia"/>
        </w:rPr>
        <w:t>)</w:t>
      </w:r>
      <w:r w:rsidRPr="007E469B">
        <w:rPr>
          <w:rFonts w:hint="eastAsia"/>
        </w:rPr>
        <w:t>。</w:t>
      </w:r>
    </w:p>
    <w:p w14:paraId="6F7FD47F" w14:textId="77777777" w:rsidR="00AA2244" w:rsidRPr="00BF6AD5" w:rsidRDefault="00AA2244" w:rsidP="00AA2244">
      <w:pPr>
        <w:pStyle w:val="SingleTxtGC"/>
        <w:rPr>
          <w:rFonts w:ascii="Time New Roman" w:eastAsia="黑体" w:hAnsi="Time New Roman"/>
          <w:bCs/>
        </w:rPr>
      </w:pPr>
      <w:r w:rsidRPr="00BF6AD5">
        <w:rPr>
          <w:rFonts w:ascii="Time New Roman" w:eastAsia="黑体" w:hAnsi="Time New Roman"/>
        </w:rPr>
        <w:lastRenderedPageBreak/>
        <w:t>30.</w:t>
      </w:r>
      <w:r w:rsidRPr="00BF6AD5">
        <w:rPr>
          <w:rFonts w:ascii="Time New Roman" w:eastAsia="黑体" w:hAnsi="Time New Roman"/>
        </w:rPr>
        <w:tab/>
      </w:r>
      <w:r w:rsidRPr="00BF6AD5">
        <w:rPr>
          <w:rFonts w:ascii="Time New Roman" w:eastAsia="黑体" w:hAnsi="Time New Roman" w:hint="eastAsia"/>
        </w:rPr>
        <w:t>缔约国应对所有强迫失踪案件作出说明，并立即开展公正、彻底的调查，确保受害者及其亲属获知调查的进展和结果。缔约国还应查明责任人，并确保进行起诉，如定罪，则给予与其罪行严重程度相称的惩罚，并向强迫失踪的受害者及其家属提供全面赔偿。缔约国还应考虑加入《保护所有人免遭强迫失踪国际公约》。</w:t>
      </w:r>
    </w:p>
    <w:p w14:paraId="1607F424" w14:textId="77777777" w:rsidR="00AA2244" w:rsidRPr="007E469B" w:rsidRDefault="00AA2244" w:rsidP="00BF6AD5">
      <w:pPr>
        <w:pStyle w:val="H23GC"/>
      </w:pPr>
      <w:r w:rsidRPr="007E469B">
        <w:tab/>
      </w:r>
      <w:r w:rsidRPr="007E469B">
        <w:tab/>
      </w:r>
      <w:r w:rsidRPr="007E469B">
        <w:rPr>
          <w:rFonts w:hint="eastAsia"/>
        </w:rPr>
        <w:t>被剥夺自由者的待遇</w:t>
      </w:r>
    </w:p>
    <w:p w14:paraId="4A2DC10D" w14:textId="77777777" w:rsidR="00AA2244" w:rsidRPr="007E469B" w:rsidRDefault="00AA2244" w:rsidP="00AA2244">
      <w:pPr>
        <w:pStyle w:val="SingleTxtGC"/>
      </w:pPr>
      <w:r w:rsidRPr="007E469B">
        <w:t>31.</w:t>
      </w:r>
      <w:r w:rsidRPr="007E469B">
        <w:tab/>
      </w:r>
      <w:r w:rsidRPr="007E469B">
        <w:rPr>
          <w:rFonts w:hint="eastAsia"/>
        </w:rPr>
        <w:t>委员会注意到缔约国为提高监狱和拘留设施收容能力所作的努力，但仍对羁押条件表示关切，包括严重拥挤、基础设施不足以及无法充分获得食物、水、清洁和医疗等基本生活必需品。委员会还感到关切的是，有报告称审前羁押人员未与定罪服刑人员分开羁押，少年犯与成年人共同羁押，导致虐待和骚扰事件的发生</w:t>
      </w:r>
      <w:r w:rsidRPr="007E469B">
        <w:rPr>
          <w:rFonts w:hint="eastAsia"/>
        </w:rPr>
        <w:t>(</w:t>
      </w:r>
      <w:r w:rsidRPr="007E469B">
        <w:rPr>
          <w:rFonts w:hint="eastAsia"/>
        </w:rPr>
        <w:t>第九和第十条</w:t>
      </w:r>
      <w:r w:rsidRPr="007E469B">
        <w:rPr>
          <w:rFonts w:hint="eastAsia"/>
        </w:rPr>
        <w:t>)</w:t>
      </w:r>
      <w:r w:rsidRPr="007E469B">
        <w:rPr>
          <w:rFonts w:hint="eastAsia"/>
        </w:rPr>
        <w:t>。</w:t>
      </w:r>
    </w:p>
    <w:p w14:paraId="5853DD7F"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32.</w:t>
      </w:r>
      <w:r w:rsidRPr="00BF6AD5">
        <w:rPr>
          <w:rFonts w:ascii="Time New Roman" w:eastAsia="黑体" w:hAnsi="Time New Roman"/>
        </w:rPr>
        <w:tab/>
      </w:r>
      <w:r w:rsidRPr="00BF6AD5">
        <w:rPr>
          <w:rFonts w:ascii="Time New Roman" w:eastAsia="黑体" w:hAnsi="Time New Roman" w:hint="eastAsia"/>
        </w:rPr>
        <w:t>按照委员会以往的建议</w:t>
      </w:r>
      <w:r w:rsidRPr="00BF6AD5">
        <w:rPr>
          <w:rStyle w:val="a8"/>
          <w:rFonts w:ascii="Time New Roman" w:eastAsia="黑体" w:hAnsi="Time New Roman"/>
        </w:rPr>
        <w:footnoteReference w:id="8"/>
      </w:r>
      <w:r w:rsidRPr="00BF6AD5">
        <w:rPr>
          <w:rStyle w:val="SingleTxtGCChar"/>
          <w:rFonts w:ascii="Time New Roman" w:eastAsia="黑体" w:hAnsi="Time New Roman"/>
        </w:rPr>
        <w:t>，</w:t>
      </w:r>
      <w:r w:rsidRPr="00BF6AD5">
        <w:rPr>
          <w:rFonts w:ascii="Time New Roman" w:eastAsia="黑体" w:hAnsi="Time New Roman" w:hint="eastAsia"/>
        </w:rPr>
        <w:t>缔约国应确保羁押条件符合相关国际人权标准，包括《联合国囚犯待遇最低标准规则》</w:t>
      </w:r>
      <w:r w:rsidRPr="00BF6AD5">
        <w:rPr>
          <w:rFonts w:ascii="Time New Roman" w:eastAsia="黑体" w:hAnsi="Time New Roman" w:hint="eastAsia"/>
        </w:rPr>
        <w:t>(</w:t>
      </w:r>
      <w:r w:rsidRPr="00BF6AD5">
        <w:rPr>
          <w:rFonts w:ascii="Time New Roman" w:eastAsia="黑体" w:hAnsi="Time New Roman" w:hint="eastAsia"/>
        </w:rPr>
        <w:t>《纳尔逊·曼德拉规则》</w:t>
      </w:r>
      <w:r w:rsidRPr="00BF6AD5">
        <w:rPr>
          <w:rFonts w:ascii="Time New Roman" w:eastAsia="黑体" w:hAnsi="Time New Roman" w:hint="eastAsia"/>
        </w:rPr>
        <w:t>)</w:t>
      </w:r>
      <w:r w:rsidRPr="00BF6AD5">
        <w:rPr>
          <w:rFonts w:ascii="Time New Roman" w:eastAsia="黑体" w:hAnsi="Time New Roman" w:hint="eastAsia"/>
        </w:rPr>
        <w:t>和《</w:t>
      </w:r>
      <w:r w:rsidRPr="00BF6AD5">
        <w:rPr>
          <w:rFonts w:ascii="Time New Roman" w:eastAsia="黑体" w:hAnsi="Time New Roman"/>
        </w:rPr>
        <w:t>联合国关于女性囚犯待遇和女性罪犯非监禁措施的规则</w:t>
      </w:r>
      <w:r w:rsidRPr="00BF6AD5">
        <w:rPr>
          <w:rFonts w:ascii="Time New Roman" w:eastAsia="黑体" w:hAnsi="Time New Roman" w:hint="eastAsia"/>
        </w:rPr>
        <w:t>》</w:t>
      </w:r>
      <w:r w:rsidRPr="00BF6AD5">
        <w:rPr>
          <w:rFonts w:ascii="Time New Roman" w:eastAsia="黑体" w:hAnsi="Time New Roman" w:hint="eastAsia"/>
        </w:rPr>
        <w:t>(</w:t>
      </w:r>
      <w:r w:rsidRPr="00BF6AD5">
        <w:rPr>
          <w:rFonts w:ascii="Time New Roman" w:eastAsia="黑体" w:hAnsi="Time New Roman" w:hint="eastAsia"/>
        </w:rPr>
        <w:t>《曼谷规则》</w:t>
      </w:r>
      <w:r w:rsidRPr="00BF6AD5">
        <w:rPr>
          <w:rFonts w:ascii="Time New Roman" w:eastAsia="黑体" w:hAnsi="Time New Roman" w:hint="eastAsia"/>
        </w:rPr>
        <w:t>)</w:t>
      </w:r>
      <w:r w:rsidRPr="00BF6AD5">
        <w:rPr>
          <w:rFonts w:ascii="Time New Roman" w:eastAsia="黑体" w:hAnsi="Time New Roman" w:hint="eastAsia"/>
        </w:rPr>
        <w:t>。具体说来，缔约国应：</w:t>
      </w:r>
    </w:p>
    <w:p w14:paraId="24653FCF"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(a)</w:t>
      </w:r>
      <w:r w:rsidRPr="00BF6AD5">
        <w:rPr>
          <w:rFonts w:ascii="Time New Roman" w:eastAsia="黑体" w:hAnsi="Time New Roman"/>
        </w:rPr>
        <w:tab/>
      </w:r>
      <w:r w:rsidRPr="00BF6AD5">
        <w:rPr>
          <w:rFonts w:ascii="Time New Roman" w:eastAsia="黑体" w:hAnsi="Time New Roman" w:hint="eastAsia"/>
        </w:rPr>
        <w:t>立即采取措施，大幅缓解监狱过度拥挤状况，包括根据《联合国非拘禁措施最低限度标准规则》</w:t>
      </w:r>
      <w:r w:rsidRPr="00BF6AD5">
        <w:rPr>
          <w:rFonts w:ascii="Time New Roman" w:eastAsia="黑体" w:hAnsi="Time New Roman" w:hint="eastAsia"/>
        </w:rPr>
        <w:t>(</w:t>
      </w:r>
      <w:r w:rsidRPr="00BF6AD5">
        <w:rPr>
          <w:rFonts w:ascii="Time New Roman" w:eastAsia="黑体" w:hAnsi="Time New Roman" w:hint="eastAsia"/>
        </w:rPr>
        <w:t>《东京规则》</w:t>
      </w:r>
      <w:r w:rsidRPr="00BF6AD5">
        <w:rPr>
          <w:rFonts w:ascii="Time New Roman" w:eastAsia="黑体" w:hAnsi="Time New Roman" w:hint="eastAsia"/>
        </w:rPr>
        <w:t>)</w:t>
      </w:r>
      <w:r w:rsidRPr="00BF6AD5">
        <w:rPr>
          <w:rFonts w:ascii="Time New Roman" w:eastAsia="黑体" w:hAnsi="Time New Roman" w:hint="eastAsia"/>
        </w:rPr>
        <w:t>更广泛地采用非羁押措施替代监禁；</w:t>
      </w:r>
    </w:p>
    <w:p w14:paraId="5B4DA68A"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(b)</w:t>
      </w:r>
      <w:r w:rsidRPr="00BF6AD5">
        <w:rPr>
          <w:rFonts w:ascii="Time New Roman" w:eastAsia="黑体" w:hAnsi="Time New Roman"/>
        </w:rPr>
        <w:tab/>
      </w:r>
      <w:r w:rsidRPr="00BF6AD5">
        <w:rPr>
          <w:rFonts w:ascii="Time New Roman" w:eastAsia="黑体" w:hAnsi="Time New Roman" w:hint="eastAsia"/>
        </w:rPr>
        <w:t>加大力度改善羁押条件，确保所有被羁押人员充分获得食物、洁净水和医疗服务；</w:t>
      </w:r>
    </w:p>
    <w:p w14:paraId="4CFADAC4"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(c)</w:t>
      </w:r>
      <w:r w:rsidRPr="00BF6AD5">
        <w:rPr>
          <w:rFonts w:ascii="Time New Roman" w:eastAsia="黑体" w:hAnsi="Time New Roman"/>
        </w:rPr>
        <w:tab/>
      </w:r>
      <w:r w:rsidRPr="00BF6AD5">
        <w:rPr>
          <w:rFonts w:ascii="Time New Roman" w:eastAsia="黑体" w:hAnsi="Time New Roman" w:hint="eastAsia"/>
        </w:rPr>
        <w:t>确保审前羁押人员与定罪服刑人员分开羁押，少年犯与成年人分开羁押。</w:t>
      </w:r>
    </w:p>
    <w:p w14:paraId="4EA77ADA" w14:textId="77777777" w:rsidR="00AA2244" w:rsidRPr="007E469B" w:rsidRDefault="00AA2244" w:rsidP="00BF6AD5">
      <w:pPr>
        <w:pStyle w:val="H23GC"/>
      </w:pPr>
      <w:r w:rsidRPr="007E469B">
        <w:tab/>
      </w:r>
      <w:r w:rsidRPr="007E469B">
        <w:tab/>
      </w:r>
      <w:r w:rsidRPr="007E469B">
        <w:rPr>
          <w:rFonts w:hint="eastAsia"/>
        </w:rPr>
        <w:t>消除奴隶制、奴役和贩运人口现象</w:t>
      </w:r>
    </w:p>
    <w:p w14:paraId="0A20DB62" w14:textId="77777777" w:rsidR="00AA2244" w:rsidRPr="007E469B" w:rsidRDefault="00AA2244" w:rsidP="00AA2244">
      <w:pPr>
        <w:pStyle w:val="SingleTxtGC"/>
      </w:pPr>
      <w:r w:rsidRPr="007E469B">
        <w:t>33.</w:t>
      </w:r>
      <w:r w:rsidRPr="007E469B">
        <w:tab/>
      </w:r>
      <w:r w:rsidRPr="007E469B">
        <w:rPr>
          <w:rFonts w:hint="eastAsia"/>
        </w:rPr>
        <w:t>委员会注意到缔约国为打击和预防贩运人口所作的努力，包括通过</w:t>
      </w:r>
      <w:r w:rsidRPr="007E469B">
        <w:t>2014</w:t>
      </w:r>
      <w:r w:rsidRPr="007E469B">
        <w:rPr>
          <w:rFonts w:hint="eastAsia"/>
        </w:rPr>
        <w:t>年《反贩运人口法》以及实施《</w:t>
      </w:r>
      <w:r w:rsidRPr="007E469B">
        <w:t>2019</w:t>
      </w:r>
      <w:r w:rsidRPr="007E469B">
        <w:rPr>
          <w:rFonts w:hint="eastAsia"/>
        </w:rPr>
        <w:t>-</w:t>
      </w:r>
      <w:r w:rsidRPr="007E469B">
        <w:t>2021</w:t>
      </w:r>
      <w:r w:rsidRPr="007E469B">
        <w:rPr>
          <w:rFonts w:hint="eastAsia"/>
        </w:rPr>
        <w:t>年津巴布韦打击贩运人口国家行动计划》。然而，委员会仍然关切的是，《反贩运人口法》中对贩运人口的定义不完全符合《</w:t>
      </w:r>
      <w:r w:rsidRPr="007E469B">
        <w:t>联合国打击跨国有组织犯罪公约关于预防、禁止和惩治贩运人口特别是妇女和儿童行为的补充议定书</w:t>
      </w:r>
      <w:r w:rsidRPr="007E469B">
        <w:rPr>
          <w:rFonts w:hint="eastAsia"/>
        </w:rPr>
        <w:t>》第</w:t>
      </w:r>
      <w:r w:rsidRPr="007E469B">
        <w:rPr>
          <w:rFonts w:hint="eastAsia"/>
        </w:rPr>
        <w:t>3</w:t>
      </w:r>
      <w:r w:rsidRPr="007E469B">
        <w:rPr>
          <w:rFonts w:hint="eastAsia"/>
        </w:rPr>
        <w:t>条的规定。委员会还感到关切的是，关于国家行动计划实施工作所配备的人力和财政资源、所开展的培训类型、为贩运受害者提供的庇护所收容能力和数目、调查、起诉与定罪数目、对施害者的处罚和向受害者提供的赔偿等等情况，缔约国提供的信息有限</w:t>
      </w:r>
      <w:r w:rsidRPr="007E469B">
        <w:rPr>
          <w:rFonts w:hint="eastAsia"/>
        </w:rPr>
        <w:t>(</w:t>
      </w:r>
      <w:r w:rsidRPr="007E469B">
        <w:rPr>
          <w:rFonts w:hint="eastAsia"/>
        </w:rPr>
        <w:t>第二、第三、第八和第二十六条</w:t>
      </w:r>
      <w:r w:rsidRPr="007E469B">
        <w:rPr>
          <w:rFonts w:hint="eastAsia"/>
        </w:rPr>
        <w:t>)</w:t>
      </w:r>
      <w:r w:rsidRPr="007E469B">
        <w:rPr>
          <w:rFonts w:hint="eastAsia"/>
        </w:rPr>
        <w:t>。</w:t>
      </w:r>
    </w:p>
    <w:p w14:paraId="298CFE71"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34.</w:t>
      </w:r>
      <w:r w:rsidRPr="00BF6AD5">
        <w:rPr>
          <w:rFonts w:ascii="Time New Roman" w:eastAsia="黑体" w:hAnsi="Time New Roman"/>
        </w:rPr>
        <w:tab/>
      </w:r>
      <w:r w:rsidRPr="00BF6AD5">
        <w:rPr>
          <w:rFonts w:ascii="Time New Roman" w:eastAsia="黑体" w:hAnsi="Time New Roman" w:hint="eastAsia"/>
        </w:rPr>
        <w:t>缔约国应进一步加大力度，打击、防止、根除并惩治贩运人口行为，确保为受害者提供充分保护。具体说来，缔约国应：</w:t>
      </w:r>
    </w:p>
    <w:p w14:paraId="210A059A"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(a)</w:t>
      </w:r>
      <w:r w:rsidRPr="00BF6AD5">
        <w:rPr>
          <w:rFonts w:ascii="Time New Roman" w:eastAsia="黑体" w:hAnsi="Time New Roman"/>
        </w:rPr>
        <w:tab/>
      </w:r>
      <w:r w:rsidRPr="00BF6AD5">
        <w:rPr>
          <w:rFonts w:ascii="Time New Roman" w:eastAsia="黑体" w:hAnsi="Time New Roman" w:hint="eastAsia"/>
        </w:rPr>
        <w:t>修订《反贩运人口法》，按照有关贩运人口问题的国际标准，特别是《</w:t>
      </w:r>
      <w:r w:rsidRPr="00BF6AD5">
        <w:rPr>
          <w:rFonts w:ascii="Time New Roman" w:eastAsia="黑体" w:hAnsi="Time New Roman"/>
        </w:rPr>
        <w:t>联合国打击跨国有组织犯罪公约关于预防、禁止和惩治贩运人口特别是妇女和儿童行为的补充议定书</w:t>
      </w:r>
      <w:r w:rsidRPr="00BF6AD5">
        <w:rPr>
          <w:rFonts w:ascii="Time New Roman" w:eastAsia="黑体" w:hAnsi="Time New Roman" w:hint="eastAsia"/>
        </w:rPr>
        <w:t>》，将贩运人口入罪，并列入一项具体法律条款，禁止对贩运受害者因被贩运而受胁迫参与非法活动的行为进行惩罚；</w:t>
      </w:r>
    </w:p>
    <w:p w14:paraId="1885A28A"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lastRenderedPageBreak/>
        <w:tab/>
        <w:t>(b)</w:t>
      </w:r>
      <w:r w:rsidRPr="00BF6AD5">
        <w:rPr>
          <w:rFonts w:ascii="Time New Roman" w:eastAsia="黑体" w:hAnsi="Time New Roman"/>
        </w:rPr>
        <w:tab/>
      </w:r>
      <w:r w:rsidRPr="00BF6AD5">
        <w:rPr>
          <w:rFonts w:ascii="Time New Roman" w:eastAsia="黑体" w:hAnsi="Time New Roman" w:hint="eastAsia"/>
        </w:rPr>
        <w:t>确保为所有负责预防、打击和惩治贩运人口行为的机构以及为受害者提供保护与援助的机构</w:t>
      </w:r>
      <w:r w:rsidRPr="00BF6AD5">
        <w:rPr>
          <w:rFonts w:ascii="Time New Roman" w:eastAsia="黑体" w:hAnsi="Time New Roman" w:hint="eastAsia"/>
        </w:rPr>
        <w:t>(</w:t>
      </w:r>
      <w:r w:rsidRPr="00BF6AD5">
        <w:rPr>
          <w:rFonts w:ascii="Time New Roman" w:eastAsia="黑体" w:hAnsi="Time New Roman" w:hint="eastAsia"/>
        </w:rPr>
        <w:t>包括民间社会组织</w:t>
      </w:r>
      <w:r w:rsidRPr="00BF6AD5">
        <w:rPr>
          <w:rFonts w:ascii="Time New Roman" w:eastAsia="黑体" w:hAnsi="Time New Roman" w:hint="eastAsia"/>
        </w:rPr>
        <w:t>)</w:t>
      </w:r>
      <w:r w:rsidRPr="00BF6AD5">
        <w:rPr>
          <w:rFonts w:ascii="Time New Roman" w:eastAsia="黑体" w:hAnsi="Time New Roman" w:hint="eastAsia"/>
        </w:rPr>
        <w:t>分配充足的人力和财政资源；</w:t>
      </w:r>
    </w:p>
    <w:p w14:paraId="59B94772"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(c)</w:t>
      </w:r>
      <w:r w:rsidRPr="00BF6AD5">
        <w:rPr>
          <w:rFonts w:ascii="Time New Roman" w:eastAsia="黑体" w:hAnsi="Time New Roman"/>
        </w:rPr>
        <w:tab/>
      </w:r>
      <w:r w:rsidRPr="00BF6AD5">
        <w:rPr>
          <w:rFonts w:ascii="Time New Roman" w:eastAsia="黑体" w:hAnsi="Time New Roman" w:hint="eastAsia"/>
        </w:rPr>
        <w:t>解决贩运人口的根源问题，制定并实施长期解决方案，确保幸存者的社会融入；</w:t>
      </w:r>
    </w:p>
    <w:p w14:paraId="33F6CCE9"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(d)</w:t>
      </w:r>
      <w:r w:rsidRPr="00BF6AD5">
        <w:rPr>
          <w:rFonts w:ascii="Time New Roman" w:eastAsia="黑体" w:hAnsi="Time New Roman"/>
        </w:rPr>
        <w:tab/>
      </w:r>
      <w:r w:rsidRPr="00BF6AD5">
        <w:rPr>
          <w:rFonts w:ascii="Time New Roman" w:eastAsia="黑体" w:hAnsi="Time New Roman" w:hint="eastAsia"/>
        </w:rPr>
        <w:t>加强面向公众的预防和宣传活动，并为所有相关国家工作人员</w:t>
      </w:r>
      <w:r w:rsidRPr="00BF6AD5">
        <w:rPr>
          <w:rFonts w:ascii="Time New Roman" w:eastAsia="黑体" w:hAnsi="Time New Roman" w:hint="eastAsia"/>
        </w:rPr>
        <w:t>(</w:t>
      </w:r>
      <w:r w:rsidRPr="00BF6AD5">
        <w:rPr>
          <w:rFonts w:ascii="Time New Roman" w:eastAsia="黑体" w:hAnsi="Time New Roman" w:hint="eastAsia"/>
        </w:rPr>
        <w:t>包括司法、检察、执法和边境官员</w:t>
      </w:r>
      <w:r w:rsidRPr="00BF6AD5">
        <w:rPr>
          <w:rFonts w:ascii="Time New Roman" w:eastAsia="黑体" w:hAnsi="Time New Roman" w:hint="eastAsia"/>
        </w:rPr>
        <w:t>)</w:t>
      </w:r>
      <w:r w:rsidRPr="00BF6AD5">
        <w:rPr>
          <w:rFonts w:ascii="Time New Roman" w:eastAsia="黑体" w:hAnsi="Time New Roman" w:hint="eastAsia"/>
        </w:rPr>
        <w:t>提供关于防止人口贩运及识别和转介贩运受害者的标准和程序的专业培训；</w:t>
      </w:r>
    </w:p>
    <w:p w14:paraId="1E1FE116"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(e)</w:t>
      </w:r>
      <w:r w:rsidRPr="00BF6AD5">
        <w:rPr>
          <w:rFonts w:ascii="Time New Roman" w:eastAsia="黑体" w:hAnsi="Time New Roman"/>
        </w:rPr>
        <w:tab/>
      </w:r>
      <w:r w:rsidRPr="00BF6AD5">
        <w:rPr>
          <w:rFonts w:ascii="Time New Roman" w:eastAsia="黑体" w:hAnsi="Time New Roman" w:hint="eastAsia"/>
        </w:rPr>
        <w:t>在缔约国全国向人口贩运受害者提供充分的保护与援助，包括安全和专业的庇护设施、获得医疗和法律保护的渠道以及康复与重新融入方面的支持服务；</w:t>
      </w:r>
    </w:p>
    <w:p w14:paraId="480AC5AF" w14:textId="77777777" w:rsidR="00AA2244" w:rsidRPr="00BF6AD5" w:rsidRDefault="00AA2244" w:rsidP="00AA2244">
      <w:pPr>
        <w:pStyle w:val="SingleTxtGC"/>
        <w:rPr>
          <w:rFonts w:ascii="Time New Roman" w:eastAsia="黑体" w:hAnsi="Time New Roman"/>
          <w:bCs/>
        </w:rPr>
      </w:pPr>
      <w:r w:rsidRPr="00BF6AD5">
        <w:rPr>
          <w:rFonts w:ascii="Time New Roman" w:eastAsia="黑体" w:hAnsi="Time New Roman"/>
        </w:rPr>
        <w:tab/>
        <w:t>(f)</w:t>
      </w:r>
      <w:r w:rsidRPr="00BF6AD5">
        <w:rPr>
          <w:rFonts w:ascii="Time New Roman" w:eastAsia="黑体" w:hAnsi="Time New Roman"/>
        </w:rPr>
        <w:tab/>
      </w:r>
      <w:r w:rsidRPr="00BF6AD5">
        <w:rPr>
          <w:rFonts w:ascii="Time New Roman" w:eastAsia="黑体" w:hAnsi="Time New Roman" w:hint="eastAsia"/>
        </w:rPr>
        <w:t>确保对所有人口贩运案件开展彻底调查，起诉施害者，如定罪则予以适当惩处和充分处罚，同时确保受害者获得全面赔偿。</w:t>
      </w:r>
    </w:p>
    <w:p w14:paraId="604EA95B" w14:textId="77777777" w:rsidR="00AA2244" w:rsidRPr="007E469B" w:rsidRDefault="00AA2244" w:rsidP="00AA2244">
      <w:pPr>
        <w:pStyle w:val="SingleTxtGC"/>
      </w:pPr>
      <w:r w:rsidRPr="007E469B">
        <w:t>35.</w:t>
      </w:r>
      <w:r w:rsidRPr="007E469B">
        <w:tab/>
      </w:r>
      <w:r w:rsidRPr="007E469B">
        <w:rPr>
          <w:rFonts w:hint="eastAsia"/>
        </w:rPr>
        <w:t>委员会也关切童工现象依然普遍存在，特别是在商业性的性剥削、采矿和烟草生产等领域。委员会也对缔约国未提供有关为童工现象受害者提供保护、康复、赔偿和重新融入措施的信息表示遗憾</w:t>
      </w:r>
      <w:r w:rsidRPr="007E469B">
        <w:rPr>
          <w:rFonts w:hint="eastAsia"/>
        </w:rPr>
        <w:t>(</w:t>
      </w:r>
      <w:r w:rsidRPr="007E469B">
        <w:rPr>
          <w:rFonts w:hint="eastAsia"/>
        </w:rPr>
        <w:t>第八和第二十四条</w:t>
      </w:r>
      <w:r w:rsidRPr="007E469B">
        <w:rPr>
          <w:rFonts w:hint="eastAsia"/>
        </w:rPr>
        <w:t>)</w:t>
      </w:r>
      <w:r w:rsidRPr="007E469B">
        <w:rPr>
          <w:rFonts w:hint="eastAsia"/>
        </w:rPr>
        <w:t>。</w:t>
      </w:r>
    </w:p>
    <w:p w14:paraId="44C3FFA5" w14:textId="77777777" w:rsidR="00AA2244" w:rsidRPr="00BF6AD5" w:rsidRDefault="00AA2244" w:rsidP="00AA2244">
      <w:pPr>
        <w:pStyle w:val="SingleTxtGC"/>
        <w:rPr>
          <w:rFonts w:ascii="Time New Roman" w:eastAsia="黑体" w:hAnsi="Time New Roman"/>
          <w:bCs/>
        </w:rPr>
      </w:pPr>
      <w:r w:rsidRPr="00BF6AD5">
        <w:rPr>
          <w:rFonts w:ascii="Time New Roman" w:eastAsia="黑体" w:hAnsi="Time New Roman"/>
        </w:rPr>
        <w:t>36.</w:t>
      </w:r>
      <w:r w:rsidRPr="00BF6AD5">
        <w:rPr>
          <w:rFonts w:ascii="Time New Roman" w:eastAsia="黑体" w:hAnsi="Time New Roman"/>
        </w:rPr>
        <w:tab/>
      </w:r>
      <w:r w:rsidRPr="00BF6AD5">
        <w:rPr>
          <w:rFonts w:ascii="Time New Roman" w:eastAsia="黑体" w:hAnsi="Time New Roman" w:hint="eastAsia"/>
        </w:rPr>
        <w:t>缔约国应加强努力，打击并消除童工现象，特别是使儿童从事危险工作的行为，并确保相关保护服务具备充足能力。</w:t>
      </w:r>
    </w:p>
    <w:p w14:paraId="2E3332E3" w14:textId="77777777" w:rsidR="00AA2244" w:rsidRPr="007E469B" w:rsidRDefault="00AA2244" w:rsidP="00BF6AD5">
      <w:pPr>
        <w:pStyle w:val="H23GC"/>
      </w:pPr>
      <w:r w:rsidRPr="007E469B">
        <w:tab/>
      </w:r>
      <w:r w:rsidRPr="007E469B">
        <w:tab/>
      </w:r>
      <w:r w:rsidRPr="007E469B">
        <w:rPr>
          <w:rFonts w:hint="eastAsia"/>
        </w:rPr>
        <w:t>外国人待遇，包括移民、难民和寻求庇护者的待遇</w:t>
      </w:r>
    </w:p>
    <w:p w14:paraId="7D33EF0D" w14:textId="18C26760" w:rsidR="00AA2244" w:rsidRPr="00BF6AD5" w:rsidRDefault="00AA2244" w:rsidP="00AA2244">
      <w:pPr>
        <w:pStyle w:val="SingleTxtGC"/>
        <w:rPr>
          <w:rFonts w:ascii="Time New Roman" w:hAnsi="Time New Roman"/>
        </w:rPr>
      </w:pPr>
      <w:r w:rsidRPr="00BF6AD5">
        <w:rPr>
          <w:rFonts w:ascii="Time New Roman" w:hAnsi="Time New Roman"/>
        </w:rPr>
        <w:t>37.</w:t>
      </w:r>
      <w:r w:rsidRPr="00BF6AD5">
        <w:rPr>
          <w:rFonts w:ascii="Time New Roman" w:hAnsi="Time New Roman"/>
        </w:rPr>
        <w:tab/>
      </w:r>
      <w:r w:rsidRPr="00BF6AD5">
        <w:rPr>
          <w:rFonts w:ascii="Time New Roman" w:hAnsi="Time New Roman" w:hint="eastAsia"/>
        </w:rPr>
        <w:t>委员会关切缔约国缺乏公平高效的庇护程序来确保尊重不推回原则。委员会还关切有关在拘留中心虐待难民和寻求庇护者的报告。此外，委员会遗憾地指出，缺少以下方面的统计数据：申请庇护或难民身份的人数、获得此类身份的人数、被驳回的上诉案件数目以及从缔约国被驱逐出境的人数</w:t>
      </w:r>
      <w:r w:rsidRPr="00BF6AD5">
        <w:rPr>
          <w:rFonts w:ascii="Time New Roman" w:hAnsi="Time New Roman" w:hint="eastAsia"/>
        </w:rPr>
        <w:t>(</w:t>
      </w:r>
      <w:r w:rsidRPr="00BF6AD5">
        <w:rPr>
          <w:rFonts w:ascii="Time New Roman" w:hAnsi="Time New Roman" w:hint="eastAsia"/>
        </w:rPr>
        <w:t>第七和第十三条</w:t>
      </w:r>
      <w:r w:rsidRPr="00BF6AD5">
        <w:rPr>
          <w:rFonts w:ascii="Time New Roman" w:hAnsi="Time New Roman" w:hint="eastAsia"/>
        </w:rPr>
        <w:t>)</w:t>
      </w:r>
      <w:r w:rsidRPr="00BF6AD5">
        <w:rPr>
          <w:rFonts w:ascii="Time New Roman" w:hAnsi="Time New Roman" w:hint="eastAsia"/>
        </w:rPr>
        <w:t>。</w:t>
      </w:r>
    </w:p>
    <w:p w14:paraId="4C66B597" w14:textId="77777777" w:rsidR="00AA2244" w:rsidRPr="007E469B" w:rsidRDefault="00AA2244" w:rsidP="00AA2244">
      <w:pPr>
        <w:pStyle w:val="SingleTxtGC"/>
        <w:rPr>
          <w:rFonts w:eastAsia="黑体"/>
        </w:rPr>
      </w:pPr>
      <w:r w:rsidRPr="007E469B">
        <w:rPr>
          <w:rFonts w:eastAsia="黑体"/>
        </w:rPr>
        <w:t>38.</w:t>
      </w:r>
      <w:r w:rsidRPr="007E469B">
        <w:rPr>
          <w:rFonts w:eastAsia="黑体"/>
        </w:rPr>
        <w:tab/>
      </w:r>
      <w:r w:rsidRPr="007E469B">
        <w:rPr>
          <w:rFonts w:eastAsia="黑体" w:hint="eastAsia"/>
        </w:rPr>
        <w:t>缔约国应确保所有需要国际保护的人员，无论其原籍地如何，均可不受阻碍地进入有效的程序，获得关于难民身份的个案认定，并可利用符合国际标准的上诉程序，获得有效的不推回保护。缔约国还应确保寻求庇护者和难民受到有尊严的对待，所有虐待指称得到迅速、彻底和独立的调查，施害者一经确认有罪，则得到适当惩处。</w:t>
      </w:r>
    </w:p>
    <w:p w14:paraId="1B51430A" w14:textId="77777777" w:rsidR="00AA2244" w:rsidRPr="00BF6AD5" w:rsidRDefault="00AA2244" w:rsidP="00AA2244">
      <w:pPr>
        <w:pStyle w:val="SingleTxtGC"/>
        <w:rPr>
          <w:rFonts w:ascii="Time New Roman" w:hAnsi="Time New Roman"/>
        </w:rPr>
      </w:pPr>
      <w:r w:rsidRPr="00BF6AD5">
        <w:rPr>
          <w:rFonts w:ascii="Time New Roman" w:hAnsi="Time New Roman"/>
        </w:rPr>
        <w:t>39.</w:t>
      </w:r>
      <w:r w:rsidRPr="00BF6AD5">
        <w:rPr>
          <w:rFonts w:ascii="Time New Roman" w:hAnsi="Time New Roman"/>
        </w:rPr>
        <w:tab/>
      </w:r>
      <w:r w:rsidRPr="00BF6AD5">
        <w:rPr>
          <w:rFonts w:ascii="Time New Roman" w:hAnsi="Time New Roman" w:hint="eastAsia"/>
        </w:rPr>
        <w:t>委员会注意到，为存在无国籍风险的父母所生儿童保障出生登记的授权立法尚未颁布，同时感到关切的是，出生登记方面存在障碍，特别是对庇护申请被拒者所生子女，这些障碍包括需要提供儿童出生的证明文件、父母的无国籍状态证明以及在津巴布韦的居留权</w:t>
      </w:r>
      <w:r w:rsidRPr="00BF6AD5">
        <w:rPr>
          <w:rFonts w:ascii="Time New Roman" w:hAnsi="Time New Roman" w:hint="eastAsia"/>
        </w:rPr>
        <w:t>(</w:t>
      </w:r>
      <w:r w:rsidRPr="00BF6AD5">
        <w:rPr>
          <w:rFonts w:ascii="Time New Roman" w:hAnsi="Time New Roman" w:hint="eastAsia"/>
        </w:rPr>
        <w:t>第二、第二十四和第二十六条</w:t>
      </w:r>
      <w:r w:rsidRPr="00BF6AD5">
        <w:rPr>
          <w:rFonts w:ascii="Time New Roman" w:hAnsi="Time New Roman" w:hint="eastAsia"/>
        </w:rPr>
        <w:t>)</w:t>
      </w:r>
      <w:r w:rsidRPr="00BF6AD5">
        <w:rPr>
          <w:rFonts w:ascii="Time New Roman" w:hAnsi="Time New Roman" w:hint="eastAsia"/>
        </w:rPr>
        <w:t>。</w:t>
      </w:r>
    </w:p>
    <w:p w14:paraId="1785A0AA" w14:textId="77777777" w:rsidR="00AA2244" w:rsidRPr="007E469B" w:rsidRDefault="00AA2244" w:rsidP="00AA2244">
      <w:pPr>
        <w:pStyle w:val="SingleTxtGC"/>
        <w:rPr>
          <w:rFonts w:eastAsia="黑体"/>
        </w:rPr>
      </w:pPr>
      <w:r w:rsidRPr="007E469B">
        <w:rPr>
          <w:rFonts w:eastAsia="黑体"/>
        </w:rPr>
        <w:t>40.</w:t>
      </w:r>
      <w:r w:rsidRPr="007E469B">
        <w:rPr>
          <w:rFonts w:eastAsia="黑体"/>
        </w:rPr>
        <w:tab/>
      </w:r>
      <w:r w:rsidRPr="007E469B">
        <w:rPr>
          <w:rFonts w:eastAsia="黑体" w:hint="eastAsia"/>
        </w:rPr>
        <w:t>缔约国应确保所有在其境内出生的儿童，包括无国籍父母所生儿童，均可在出生后立即获得登记，无论其父母的法律身份如何。</w:t>
      </w:r>
    </w:p>
    <w:p w14:paraId="7C715EEA" w14:textId="5314022D" w:rsidR="00AA2244" w:rsidRPr="007E469B" w:rsidRDefault="00AA2244" w:rsidP="00BF6AD5">
      <w:pPr>
        <w:pStyle w:val="H23GC"/>
        <w:rPr>
          <w:rFonts w:hint="eastAsia"/>
        </w:rPr>
      </w:pPr>
      <w:r w:rsidRPr="007E469B">
        <w:tab/>
      </w:r>
      <w:r w:rsidR="00BF6AD5">
        <w:tab/>
      </w:r>
      <w:r w:rsidRPr="007E469B">
        <w:rPr>
          <w:rFonts w:hint="eastAsia"/>
          <w:lang w:val="fr-CH"/>
        </w:rPr>
        <w:t>诉诸司法与司法独立</w:t>
      </w:r>
    </w:p>
    <w:p w14:paraId="245329F3" w14:textId="77777777" w:rsidR="00AA2244" w:rsidRPr="007E469B" w:rsidRDefault="00AA2244" w:rsidP="00AA2244">
      <w:pPr>
        <w:pStyle w:val="SingleTxtGC"/>
      </w:pPr>
      <w:r w:rsidRPr="007E469B">
        <w:t>41.</w:t>
      </w:r>
      <w:r w:rsidRPr="007E469B">
        <w:tab/>
      </w:r>
      <w:r w:rsidRPr="007E469B">
        <w:rPr>
          <w:rFonts w:hint="eastAsia"/>
        </w:rPr>
        <w:t>委员会关切有关作出不利政府裁决的法官受到威胁、恐吓及解职的报告。此外，委员会还关注法官持续短缺导致司法工作显著拖延，特别是在涉及侵犯人权和腐败的广受关注的案件中。委员会欢迎缔约国为提高司法效率和减少积案所采取的举措，特别是推广综合电子案件管理系统以及津巴布韦高等法院开设分院等做法。然而，委员会指出，由于智能手机和互联网覆盖率低、数据漫游费用高及</w:t>
      </w:r>
      <w:r w:rsidRPr="007E469B">
        <w:rPr>
          <w:rFonts w:hint="eastAsia"/>
        </w:rPr>
        <w:lastRenderedPageBreak/>
        <w:t>数字知识差距等问题，特别是在农村地区，公众诉诸司法仍面临障碍。委员会注意到缔约国为改善司法基础设施所做努力，但也了解到有关农村地区实体基础设施不足以及残疾人和老年人面临障碍等问题的报告。委员会还注意到，为法律援助局提供的财政和人力资源有限</w:t>
      </w:r>
      <w:r w:rsidRPr="007E469B">
        <w:rPr>
          <w:rFonts w:hint="eastAsia"/>
        </w:rPr>
        <w:t>(</w:t>
      </w:r>
      <w:r w:rsidRPr="007E469B">
        <w:rPr>
          <w:rFonts w:hint="eastAsia"/>
        </w:rPr>
        <w:t>第二、第九和第十四条</w:t>
      </w:r>
      <w:r w:rsidRPr="007E469B">
        <w:rPr>
          <w:rFonts w:hint="eastAsia"/>
        </w:rPr>
        <w:t>)</w:t>
      </w:r>
      <w:r w:rsidRPr="007E469B">
        <w:rPr>
          <w:rFonts w:hint="eastAsia"/>
        </w:rPr>
        <w:t>。</w:t>
      </w:r>
    </w:p>
    <w:p w14:paraId="257D1B55"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42.</w:t>
      </w:r>
      <w:r w:rsidRPr="00BF6AD5">
        <w:rPr>
          <w:rFonts w:ascii="Time New Roman" w:eastAsia="黑体" w:hAnsi="Time New Roman"/>
        </w:rPr>
        <w:tab/>
      </w:r>
      <w:r w:rsidRPr="00BF6AD5">
        <w:rPr>
          <w:rFonts w:ascii="Time New Roman" w:eastAsia="黑体" w:hAnsi="Time New Roman" w:hint="eastAsia"/>
        </w:rPr>
        <w:t>缔约国应：</w:t>
      </w:r>
    </w:p>
    <w:p w14:paraId="4B8E4D5E"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(a)</w:t>
      </w:r>
      <w:r w:rsidRPr="00BF6AD5">
        <w:rPr>
          <w:rFonts w:ascii="Time New Roman" w:eastAsia="黑体" w:hAnsi="Time New Roman"/>
        </w:rPr>
        <w:tab/>
      </w:r>
      <w:r w:rsidRPr="00BF6AD5">
        <w:rPr>
          <w:rFonts w:ascii="Time New Roman" w:eastAsia="黑体" w:hAnsi="Time New Roman" w:hint="eastAsia"/>
        </w:rPr>
        <w:t>立即采取措施，防止并根除行政部门对司法机关的一切威胁、恐吓和其他形式的不当干预，在法律上和实践中确保法官充分独立和公正，包括建立透明公正的法官遴选、任命、晋升、处罚和解职程序；</w:t>
      </w:r>
    </w:p>
    <w:p w14:paraId="2D3ADF8C"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(b)</w:t>
      </w:r>
      <w:r w:rsidRPr="00BF6AD5">
        <w:rPr>
          <w:rFonts w:ascii="Time New Roman" w:eastAsia="黑体" w:hAnsi="Time New Roman"/>
        </w:rPr>
        <w:tab/>
      </w:r>
      <w:r w:rsidRPr="00BF6AD5">
        <w:rPr>
          <w:rFonts w:ascii="Time New Roman" w:eastAsia="黑体" w:hAnsi="Time New Roman" w:hint="eastAsia"/>
        </w:rPr>
        <w:t>便利所有个人使用综合电子案件管理系统；</w:t>
      </w:r>
    </w:p>
    <w:p w14:paraId="469ED3E1"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(c)</w:t>
      </w:r>
      <w:r w:rsidRPr="00BF6AD5">
        <w:rPr>
          <w:rFonts w:ascii="Time New Roman" w:eastAsia="黑体" w:hAnsi="Time New Roman"/>
        </w:rPr>
        <w:tab/>
      </w:r>
      <w:r w:rsidRPr="00BF6AD5">
        <w:rPr>
          <w:rFonts w:ascii="Time New Roman" w:eastAsia="黑体" w:hAnsi="Time New Roman" w:hint="eastAsia"/>
        </w:rPr>
        <w:t>为法律援助局分配充足的人力和财政资源，以减少延误，解决积案；</w:t>
      </w:r>
    </w:p>
    <w:p w14:paraId="5633264B" w14:textId="77777777" w:rsidR="00AA2244" w:rsidRPr="00BF6AD5" w:rsidRDefault="00AA2244" w:rsidP="00AA2244">
      <w:pPr>
        <w:pStyle w:val="SingleTxtGC"/>
        <w:rPr>
          <w:rFonts w:ascii="Time New Roman" w:eastAsia="黑体" w:hAnsi="Time New Roman"/>
        </w:rPr>
      </w:pPr>
      <w:r w:rsidRPr="00BF6AD5">
        <w:rPr>
          <w:rFonts w:ascii="Time New Roman" w:eastAsia="黑体" w:hAnsi="Time New Roman"/>
        </w:rPr>
        <w:tab/>
        <w:t>(d)</w:t>
      </w:r>
      <w:r w:rsidRPr="00BF6AD5">
        <w:rPr>
          <w:rFonts w:ascii="Time New Roman" w:eastAsia="黑体" w:hAnsi="Time New Roman"/>
        </w:rPr>
        <w:tab/>
      </w:r>
      <w:r w:rsidRPr="00BF6AD5">
        <w:rPr>
          <w:rFonts w:ascii="Time New Roman" w:eastAsia="黑体" w:hAnsi="Time New Roman" w:hint="eastAsia"/>
        </w:rPr>
        <w:t>加强法律援助中心的财政和人员能力，扩大免费法律援助服务的覆盖范围，为人人诉诸司法提供便利，尤其是农村和土著社区居民。</w:t>
      </w:r>
    </w:p>
    <w:p w14:paraId="0350F6FF" w14:textId="5A75B024" w:rsidR="00AA2244" w:rsidRPr="00BF6AD5" w:rsidRDefault="00BF6AD5" w:rsidP="00BF6AD5">
      <w:pPr>
        <w:pStyle w:val="H23GC"/>
      </w:pPr>
      <w:r>
        <w:tab/>
      </w:r>
      <w:r>
        <w:tab/>
      </w:r>
      <w:r w:rsidR="00AA2244" w:rsidRPr="00BF6AD5">
        <w:rPr>
          <w:rFonts w:hint="eastAsia"/>
        </w:rPr>
        <w:t>隐私权</w:t>
      </w:r>
    </w:p>
    <w:p w14:paraId="54204FC1" w14:textId="77777777" w:rsidR="00AA2244" w:rsidRPr="007E469B" w:rsidRDefault="00AA2244" w:rsidP="00AA2244">
      <w:pPr>
        <w:pStyle w:val="SingleTxtGC"/>
      </w:pPr>
      <w:r w:rsidRPr="007E469B">
        <w:t>43.</w:t>
      </w:r>
      <w:r w:rsidRPr="007E469B">
        <w:tab/>
      </w:r>
      <w:r w:rsidRPr="007E469B">
        <w:rPr>
          <w:rFonts w:hint="eastAsia"/>
        </w:rPr>
        <w:t>委员会注意到《宪法》第</w:t>
      </w:r>
      <w:r w:rsidRPr="007E469B">
        <w:t>57</w:t>
      </w:r>
      <w:r w:rsidRPr="007E469B">
        <w:rPr>
          <w:rFonts w:hint="eastAsia"/>
        </w:rPr>
        <w:t>条规定通信受保护，免遭未经授权的搜查、扣押及干扰，同时认为缔约国的若干法律引发重大隐私关切。这些法律包括：</w:t>
      </w:r>
      <w:r w:rsidRPr="007E469B">
        <w:t>2000</w:t>
      </w:r>
      <w:r w:rsidRPr="007E469B">
        <w:rPr>
          <w:rFonts w:hint="eastAsia"/>
        </w:rPr>
        <w:t>年《邮政与电信法》，该法授权政府拦截可疑通信，但缺乏明确定义和保障措施；</w:t>
      </w:r>
      <w:r w:rsidRPr="007E469B">
        <w:t>2007</w:t>
      </w:r>
      <w:r w:rsidRPr="007E469B">
        <w:rPr>
          <w:rFonts w:hint="eastAsia"/>
        </w:rPr>
        <w:t>年《通信拦截法》，允许在没有司法监督的情况下实施监控，也不要求政府机关在监控实施期间或之后通知个人；</w:t>
      </w:r>
      <w:r w:rsidRPr="007E469B">
        <w:t>2021</w:t>
      </w:r>
      <w:r w:rsidRPr="007E469B">
        <w:rPr>
          <w:rFonts w:hint="eastAsia"/>
        </w:rPr>
        <w:t>年《网络与数据保护法》，该法指定津巴布韦邮政与电信管理局为数据保护主管部门，而这与该机构同时作为电信监管机构存在潜在冲突，同时还设立了国家数据中心用于监控目的。</w:t>
      </w:r>
    </w:p>
    <w:p w14:paraId="76A08504" w14:textId="77777777" w:rsidR="00AA2244" w:rsidRPr="00400F22" w:rsidRDefault="00AA2244" w:rsidP="00AA2244">
      <w:pPr>
        <w:pStyle w:val="SingleTxtGC"/>
        <w:rPr>
          <w:rFonts w:ascii="Time New Roman" w:hAnsi="Time New Roman"/>
        </w:rPr>
      </w:pPr>
      <w:r w:rsidRPr="00400F22">
        <w:rPr>
          <w:rFonts w:ascii="Time New Roman" w:hAnsi="Time New Roman"/>
        </w:rPr>
        <w:t>44.</w:t>
      </w:r>
      <w:r w:rsidRPr="00400F22">
        <w:rPr>
          <w:rFonts w:ascii="Time New Roman" w:hAnsi="Time New Roman"/>
        </w:rPr>
        <w:tab/>
      </w:r>
      <w:r w:rsidRPr="00400F22">
        <w:rPr>
          <w:rFonts w:ascii="Time New Roman" w:hAnsi="Time New Roman" w:hint="eastAsia"/>
        </w:rPr>
        <w:t>委员会已收到关于缔约国采购并使用先进监控技术包括人脸识别系统和通信拦截技术的报告。委员会还关切有人指称缔约国对个人，尤其是新闻记者和政治异见人士，实施定向监控</w:t>
      </w:r>
      <w:r w:rsidRPr="00400F22">
        <w:rPr>
          <w:rFonts w:ascii="Time New Roman" w:hAnsi="Time New Roman" w:hint="eastAsia"/>
        </w:rPr>
        <w:t>(</w:t>
      </w:r>
      <w:r w:rsidRPr="00400F22">
        <w:rPr>
          <w:rFonts w:ascii="Time New Roman" w:hAnsi="Time New Roman" w:hint="eastAsia"/>
        </w:rPr>
        <w:t>第十七条</w:t>
      </w:r>
      <w:r w:rsidRPr="00400F22">
        <w:rPr>
          <w:rFonts w:ascii="Time New Roman" w:hAnsi="Time New Roman" w:hint="eastAsia"/>
        </w:rPr>
        <w:t>)</w:t>
      </w:r>
      <w:r w:rsidRPr="00400F22">
        <w:rPr>
          <w:rFonts w:ascii="Time New Roman" w:hAnsi="Time New Roman" w:hint="eastAsia"/>
        </w:rPr>
        <w:t>。</w:t>
      </w:r>
    </w:p>
    <w:p w14:paraId="071BDC7F"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hint="eastAsia"/>
        </w:rPr>
        <w:t>45.</w:t>
      </w:r>
      <w:r w:rsidRPr="00400F22">
        <w:rPr>
          <w:rFonts w:ascii="Time New Roman" w:eastAsia="黑体" w:hAnsi="Time New Roman"/>
        </w:rPr>
        <w:tab/>
      </w:r>
      <w:r w:rsidRPr="00400F22">
        <w:rPr>
          <w:rFonts w:ascii="Time New Roman" w:eastAsia="黑体" w:hAnsi="Time New Roman" w:hint="eastAsia"/>
        </w:rPr>
        <w:t>缔约国应：</w:t>
      </w:r>
    </w:p>
    <w:p w14:paraId="52E6B94B"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(a)</w:t>
      </w:r>
      <w:r w:rsidRPr="00400F22">
        <w:rPr>
          <w:rFonts w:ascii="Time New Roman" w:eastAsia="黑体" w:hAnsi="Time New Roman"/>
        </w:rPr>
        <w:tab/>
      </w:r>
      <w:r w:rsidRPr="00400F22">
        <w:rPr>
          <w:rFonts w:ascii="Time New Roman" w:eastAsia="黑体" w:hAnsi="Time New Roman" w:hint="eastAsia"/>
        </w:rPr>
        <w:t>确保所有形式的监视活动，包括线上监视、电子通信及元数据的拦截和获取，均由适当立法作出监管，这一立法须完全符合《公约》，特别是其中的第十七条，并符合合法性、相称性和必要性原则；</w:t>
      </w:r>
    </w:p>
    <w:p w14:paraId="785F652F"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(b)</w:t>
      </w:r>
      <w:r w:rsidRPr="00400F22">
        <w:rPr>
          <w:rFonts w:ascii="Time New Roman" w:eastAsia="黑体" w:hAnsi="Time New Roman"/>
        </w:rPr>
        <w:tab/>
      </w:r>
      <w:r w:rsidRPr="00400F22">
        <w:rPr>
          <w:rFonts w:ascii="Time New Roman" w:eastAsia="黑体" w:hAnsi="Time New Roman" w:hint="eastAsia"/>
        </w:rPr>
        <w:t>建立独立的监督机制，包括对监视活动进行司法审查；</w:t>
      </w:r>
    </w:p>
    <w:p w14:paraId="7EB9AE56"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(c)</w:t>
      </w:r>
      <w:r w:rsidRPr="00400F22">
        <w:rPr>
          <w:rFonts w:ascii="Time New Roman" w:eastAsia="黑体" w:hAnsi="Time New Roman"/>
        </w:rPr>
        <w:tab/>
      </w:r>
      <w:r w:rsidRPr="00400F22">
        <w:rPr>
          <w:rFonts w:ascii="Time New Roman" w:eastAsia="黑体" w:hAnsi="Time New Roman" w:hint="eastAsia"/>
        </w:rPr>
        <w:t>在可能的情况下，确保受影响人员获悉曾遭受的监视和拦截活动，如存在滥用情形，他们可获得有效救济。</w:t>
      </w:r>
    </w:p>
    <w:p w14:paraId="34621998" w14:textId="013CF12C" w:rsidR="00AA2244" w:rsidRPr="007E469B" w:rsidRDefault="00400F22" w:rsidP="00400F22">
      <w:pPr>
        <w:pStyle w:val="H23GC"/>
      </w:pPr>
      <w:r>
        <w:tab/>
      </w:r>
      <w:r>
        <w:tab/>
      </w:r>
      <w:r w:rsidR="00AA2244" w:rsidRPr="007E469B">
        <w:rPr>
          <w:rFonts w:hint="eastAsia"/>
        </w:rPr>
        <w:t>良心与宗教信仰自由</w:t>
      </w:r>
    </w:p>
    <w:p w14:paraId="327CBBE7" w14:textId="77777777" w:rsidR="00AA2244" w:rsidRPr="007E469B" w:rsidRDefault="00AA2244" w:rsidP="00AA2244">
      <w:pPr>
        <w:pStyle w:val="SingleTxtGC"/>
      </w:pPr>
      <w:r w:rsidRPr="007E469B">
        <w:rPr>
          <w:rFonts w:hint="eastAsia"/>
        </w:rPr>
        <w:t>46.</w:t>
      </w:r>
      <w:r w:rsidRPr="007E469B">
        <w:rPr>
          <w:rFonts w:hint="eastAsia"/>
        </w:rPr>
        <w:tab/>
      </w:r>
      <w:r w:rsidRPr="007E469B">
        <w:rPr>
          <w:rFonts w:hint="eastAsia"/>
        </w:rPr>
        <w:t>委员会注意到，《宪法》第</w:t>
      </w:r>
      <w:r w:rsidRPr="007E469B">
        <w:t>60</w:t>
      </w:r>
      <w:r w:rsidRPr="007E469B">
        <w:rPr>
          <w:rFonts w:hint="eastAsia"/>
        </w:rPr>
        <w:t>条第</w:t>
      </w:r>
      <w:r w:rsidRPr="007E469B">
        <w:t>1</w:t>
      </w:r>
      <w:r w:rsidRPr="007E469B">
        <w:rPr>
          <w:rFonts w:hint="eastAsia"/>
        </w:rPr>
        <w:t>款规定人人有权享有良心自由，包括思想、意见、宗教或信仰自由。同时委员会感到关切的是，有报告称政府曾经监控公众活动、祈祷集会、教会聚会和被视为批评政府的宗教性非政府组织</w:t>
      </w:r>
      <w:r w:rsidRPr="007E469B">
        <w:rPr>
          <w:rFonts w:hint="eastAsia"/>
        </w:rPr>
        <w:t>(</w:t>
      </w:r>
      <w:r w:rsidRPr="007E469B">
        <w:rPr>
          <w:rFonts w:hint="eastAsia"/>
        </w:rPr>
        <w:t>第二、第十八和第二十六条</w:t>
      </w:r>
      <w:r w:rsidRPr="007E469B">
        <w:rPr>
          <w:rFonts w:hint="eastAsia"/>
        </w:rPr>
        <w:t>)</w:t>
      </w:r>
      <w:r w:rsidRPr="007E469B">
        <w:rPr>
          <w:rFonts w:hint="eastAsia"/>
        </w:rPr>
        <w:t>。</w:t>
      </w:r>
    </w:p>
    <w:p w14:paraId="76416508"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hint="eastAsia"/>
        </w:rPr>
        <w:t>47.</w:t>
      </w:r>
      <w:r w:rsidRPr="00400F22">
        <w:rPr>
          <w:rFonts w:ascii="Time New Roman" w:eastAsia="黑体" w:hAnsi="Time New Roman" w:hint="eastAsia"/>
        </w:rPr>
        <w:tab/>
      </w:r>
      <w:r w:rsidRPr="00400F22">
        <w:rPr>
          <w:rFonts w:ascii="Time New Roman" w:eastAsia="黑体" w:hAnsi="Time New Roman" w:hint="eastAsia"/>
        </w:rPr>
        <w:t>缔约国应确保人们在实践中能切实行使宗教和信仰自由，并应避免采取任何可能对该自由作超出《公约》第十八条所严格界定的范围之外限制的行为。</w:t>
      </w:r>
    </w:p>
    <w:p w14:paraId="45CDD51F" w14:textId="77777777" w:rsidR="00AA2244" w:rsidRPr="007E469B" w:rsidRDefault="00AA2244" w:rsidP="00AA2244">
      <w:pPr>
        <w:pStyle w:val="SingleTxtGC"/>
      </w:pPr>
      <w:r w:rsidRPr="007E469B">
        <w:rPr>
          <w:rFonts w:hint="eastAsia"/>
        </w:rPr>
        <w:lastRenderedPageBreak/>
        <w:t>48.</w:t>
      </w:r>
      <w:r w:rsidRPr="007E469B">
        <w:rPr>
          <w:rFonts w:hint="eastAsia"/>
        </w:rPr>
        <w:tab/>
      </w:r>
      <w:r w:rsidRPr="007E469B">
        <w:rPr>
          <w:rFonts w:hint="eastAsia"/>
        </w:rPr>
        <w:t>委员会还感到遗憾的是，缔约国没有在《宪法》中承认依良心拒服强制兵役的权利</w:t>
      </w:r>
      <w:r w:rsidRPr="007E469B">
        <w:rPr>
          <w:rFonts w:hint="eastAsia"/>
        </w:rPr>
        <w:t>(</w:t>
      </w:r>
      <w:r w:rsidRPr="007E469B">
        <w:rPr>
          <w:rFonts w:hint="eastAsia"/>
        </w:rPr>
        <w:t>第二、第十八和第二十六条</w:t>
      </w:r>
      <w:r w:rsidRPr="007E469B">
        <w:rPr>
          <w:rFonts w:hint="eastAsia"/>
        </w:rPr>
        <w:t>)</w:t>
      </w:r>
      <w:r w:rsidRPr="007E469B">
        <w:rPr>
          <w:rFonts w:hint="eastAsia"/>
        </w:rPr>
        <w:t>。</w:t>
      </w:r>
    </w:p>
    <w:p w14:paraId="0475F1CA" w14:textId="77777777" w:rsidR="00AA2244" w:rsidRPr="00400F22" w:rsidRDefault="00AA2244" w:rsidP="00AA2244">
      <w:pPr>
        <w:pStyle w:val="SingleTxtGC"/>
        <w:rPr>
          <w:rFonts w:ascii="Time New Roman" w:eastAsia="黑体" w:hAnsi="Time New Roman"/>
          <w:bCs/>
        </w:rPr>
      </w:pPr>
      <w:r w:rsidRPr="00400F22">
        <w:rPr>
          <w:rFonts w:ascii="Time New Roman" w:eastAsia="黑体" w:hAnsi="Time New Roman" w:hint="eastAsia"/>
        </w:rPr>
        <w:t>49.</w:t>
      </w:r>
      <w:r w:rsidRPr="00400F22">
        <w:rPr>
          <w:rFonts w:ascii="Time New Roman" w:eastAsia="黑体" w:hAnsi="Time New Roman" w:hint="eastAsia"/>
        </w:rPr>
        <w:tab/>
      </w:r>
      <w:r w:rsidRPr="00400F22">
        <w:rPr>
          <w:rFonts w:ascii="Time New Roman" w:eastAsia="黑体" w:hAnsi="Time New Roman" w:hint="eastAsia"/>
        </w:rPr>
        <w:t>缔约国应通过立法，明确承认依良心拒服兵役权。</w:t>
      </w:r>
    </w:p>
    <w:p w14:paraId="3BC97899" w14:textId="77777777" w:rsidR="00AA2244" w:rsidRPr="007E469B" w:rsidRDefault="00AA2244" w:rsidP="00400F22">
      <w:pPr>
        <w:pStyle w:val="H23GC"/>
      </w:pPr>
      <w:r w:rsidRPr="007E469B">
        <w:tab/>
      </w:r>
      <w:r w:rsidRPr="007E469B">
        <w:tab/>
      </w:r>
      <w:r w:rsidRPr="007E469B">
        <w:rPr>
          <w:rFonts w:hint="eastAsia"/>
        </w:rPr>
        <w:t>表达自由</w:t>
      </w:r>
    </w:p>
    <w:p w14:paraId="3B24517C" w14:textId="77777777" w:rsidR="00AA2244" w:rsidRPr="007E469B" w:rsidRDefault="00AA2244" w:rsidP="00AA2244">
      <w:pPr>
        <w:pStyle w:val="SingleTxtGC"/>
      </w:pPr>
      <w:r w:rsidRPr="007E469B">
        <w:rPr>
          <w:rFonts w:hint="eastAsia"/>
        </w:rPr>
        <w:t>50.</w:t>
      </w:r>
      <w:r w:rsidRPr="007E469B">
        <w:rPr>
          <w:rFonts w:hint="eastAsia"/>
        </w:rPr>
        <w:tab/>
      </w:r>
      <w:r w:rsidRPr="007E469B">
        <w:rPr>
          <w:rFonts w:hint="eastAsia"/>
        </w:rPr>
        <w:t>委员会关切地注意到表达自由在法律和实践中受到任意限制，包括在抗议期间及之后关闭互联网和封锁社交媒体平台，委员会也关注《</w:t>
      </w:r>
      <w:r w:rsidRPr="007E469B">
        <w:t>2002</w:t>
      </w:r>
      <w:r w:rsidRPr="007E469B">
        <w:rPr>
          <w:rFonts w:hint="eastAsia"/>
        </w:rPr>
        <w:t>年信息获取与隐私保护法》、《</w:t>
      </w:r>
      <w:r w:rsidRPr="007E469B">
        <w:t>2002</w:t>
      </w:r>
      <w:r w:rsidRPr="007E469B">
        <w:rPr>
          <w:rFonts w:hint="eastAsia"/>
        </w:rPr>
        <w:t>年公共秩序与安全法》和《刑法</w:t>
      </w:r>
      <w:r w:rsidRPr="007E469B">
        <w:rPr>
          <w:rFonts w:hint="eastAsia"/>
        </w:rPr>
        <w:t>(</w:t>
      </w:r>
      <w:r w:rsidRPr="007E469B">
        <w:rPr>
          <w:rFonts w:hint="eastAsia"/>
        </w:rPr>
        <w:t>编纂与改革</w:t>
      </w:r>
      <w:r w:rsidRPr="007E469B">
        <w:rPr>
          <w:rFonts w:hint="eastAsia"/>
        </w:rPr>
        <w:t>)</w:t>
      </w:r>
      <w:r w:rsidRPr="007E469B">
        <w:rPr>
          <w:rFonts w:hint="eastAsia"/>
        </w:rPr>
        <w:t>法案》，后者规定了严厉的处罚措施。委员会还感到关切的是，有报告称记者、媒体工作者和人权维护者遭到威胁、骚扰、恐吓和袭击，这对示威和抗议活动报道尤其产生寒蝉效应。委员会还关切的是，</w:t>
      </w:r>
      <w:r w:rsidRPr="007E469B">
        <w:t>2016</w:t>
      </w:r>
      <w:r w:rsidRPr="007E469B">
        <w:rPr>
          <w:rFonts w:hint="eastAsia"/>
        </w:rPr>
        <w:t>年</w:t>
      </w:r>
      <w:r w:rsidRPr="007E469B">
        <w:t>8</w:t>
      </w:r>
      <w:r w:rsidRPr="007E469B">
        <w:rPr>
          <w:rFonts w:hint="eastAsia"/>
        </w:rPr>
        <w:t>月</w:t>
      </w:r>
      <w:r w:rsidRPr="007E469B">
        <w:t>15</w:t>
      </w:r>
      <w:r w:rsidRPr="007E469B">
        <w:rPr>
          <w:rFonts w:hint="eastAsia"/>
        </w:rPr>
        <w:t>日修订的《广播服务法》赋予新闻与宣传部长决定哪些实体以及在何种情形下可获得广播许可证的权力</w:t>
      </w:r>
      <w:r w:rsidRPr="007E469B">
        <w:rPr>
          <w:rFonts w:hint="eastAsia"/>
        </w:rPr>
        <w:t>(</w:t>
      </w:r>
      <w:r w:rsidRPr="007E469B">
        <w:rPr>
          <w:rFonts w:hint="eastAsia"/>
        </w:rPr>
        <w:t>第十九条</w:t>
      </w:r>
      <w:r w:rsidRPr="007E469B">
        <w:rPr>
          <w:rFonts w:hint="eastAsia"/>
        </w:rPr>
        <w:t>)</w:t>
      </w:r>
      <w:r w:rsidRPr="007E469B">
        <w:rPr>
          <w:rFonts w:hint="eastAsia"/>
        </w:rPr>
        <w:t>。</w:t>
      </w:r>
    </w:p>
    <w:p w14:paraId="7B56DBF5"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hint="eastAsia"/>
        </w:rPr>
        <w:t>51.</w:t>
      </w:r>
      <w:r w:rsidRPr="00400F22">
        <w:rPr>
          <w:rFonts w:ascii="Time New Roman" w:eastAsia="黑体" w:hAnsi="Time New Roman" w:hint="eastAsia"/>
        </w:rPr>
        <w:tab/>
      </w:r>
      <w:r w:rsidRPr="00400F22">
        <w:rPr>
          <w:rFonts w:ascii="Time New Roman" w:eastAsia="黑体" w:hAnsi="Time New Roman" w:hint="eastAsia"/>
        </w:rPr>
        <w:t>遵循委员会以往的建议</w:t>
      </w:r>
      <w:r w:rsidRPr="00400F22">
        <w:rPr>
          <w:rStyle w:val="a8"/>
          <w:rFonts w:ascii="Time New Roman" w:eastAsia="黑体" w:hAnsi="Time New Roman"/>
        </w:rPr>
        <w:footnoteReference w:id="9"/>
      </w:r>
      <w:r w:rsidRPr="00400F22">
        <w:rPr>
          <w:rStyle w:val="SingleTxtGCChar"/>
          <w:rFonts w:ascii="Time New Roman" w:eastAsia="黑体" w:hAnsi="Time New Roman"/>
        </w:rPr>
        <w:t>，</w:t>
      </w:r>
      <w:r w:rsidRPr="00400F22">
        <w:rPr>
          <w:rFonts w:ascii="Time New Roman" w:eastAsia="黑体" w:hAnsi="Time New Roman" w:hint="eastAsia"/>
        </w:rPr>
        <w:t>并根据《公约》第十九条以及委员会关于意见和表达自由的第</w:t>
      </w:r>
      <w:r w:rsidRPr="00400F22">
        <w:rPr>
          <w:rFonts w:ascii="Time New Roman" w:eastAsia="黑体" w:hAnsi="Time New Roman"/>
        </w:rPr>
        <w:t>34</w:t>
      </w:r>
      <w:r w:rsidRPr="00400F22">
        <w:rPr>
          <w:rFonts w:ascii="Time New Roman" w:eastAsia="黑体" w:hAnsi="Time New Roman" w:hint="eastAsia"/>
        </w:rPr>
        <w:t>号一般性意见</w:t>
      </w:r>
      <w:r w:rsidRPr="00400F22">
        <w:rPr>
          <w:rFonts w:ascii="Time New Roman" w:eastAsia="黑体" w:hAnsi="Time New Roman" w:hint="eastAsia"/>
        </w:rPr>
        <w:t>(</w:t>
      </w:r>
      <w:r w:rsidRPr="00400F22">
        <w:rPr>
          <w:rFonts w:ascii="Time New Roman" w:eastAsia="黑体" w:hAnsi="Time New Roman"/>
        </w:rPr>
        <w:t>2011</w:t>
      </w:r>
      <w:r w:rsidRPr="00400F22">
        <w:rPr>
          <w:rFonts w:ascii="Time New Roman" w:eastAsia="黑体" w:hAnsi="Time New Roman" w:hint="eastAsia"/>
        </w:rPr>
        <w:t>年</w:t>
      </w:r>
      <w:r w:rsidRPr="00400F22">
        <w:rPr>
          <w:rFonts w:ascii="Time New Roman" w:eastAsia="黑体" w:hAnsi="Time New Roman" w:hint="eastAsia"/>
        </w:rPr>
        <w:t>)</w:t>
      </w:r>
      <w:r w:rsidRPr="00400F22">
        <w:rPr>
          <w:rFonts w:ascii="Time New Roman" w:eastAsia="黑体" w:hAnsi="Time New Roman" w:hint="eastAsia"/>
        </w:rPr>
        <w:t>，缔约国应：</w:t>
      </w:r>
    </w:p>
    <w:p w14:paraId="4E414502"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(a)</w:t>
      </w:r>
      <w:r w:rsidRPr="00400F22">
        <w:rPr>
          <w:rFonts w:ascii="Time New Roman" w:eastAsia="黑体" w:hAnsi="Time New Roman"/>
        </w:rPr>
        <w:tab/>
      </w:r>
      <w:r w:rsidRPr="00400F22">
        <w:rPr>
          <w:rFonts w:ascii="Time New Roman" w:eastAsia="黑体" w:hAnsi="Time New Roman" w:hint="eastAsia"/>
        </w:rPr>
        <w:t>立即采取措施，确保人人都能不受干扰地行使表达自由权，对行使该权利的任何限制均须符合《公约》第十九条第三款的严格规定；</w:t>
      </w:r>
    </w:p>
    <w:p w14:paraId="39013312"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(b)</w:t>
      </w:r>
      <w:r w:rsidRPr="00400F22">
        <w:rPr>
          <w:rFonts w:ascii="Time New Roman" w:eastAsia="黑体" w:hAnsi="Time New Roman"/>
        </w:rPr>
        <w:tab/>
      </w:r>
      <w:r w:rsidRPr="00400F22">
        <w:rPr>
          <w:rFonts w:ascii="Time New Roman" w:eastAsia="黑体" w:hAnsi="Time New Roman" w:hint="eastAsia"/>
        </w:rPr>
        <w:t>修订《公共秩序与安全法》和《刑法</w:t>
      </w:r>
      <w:r w:rsidRPr="00400F22">
        <w:rPr>
          <w:rFonts w:ascii="Time New Roman" w:eastAsia="黑体" w:hAnsi="Time New Roman" w:hint="eastAsia"/>
        </w:rPr>
        <w:t>(</w:t>
      </w:r>
      <w:r w:rsidRPr="00400F22">
        <w:rPr>
          <w:rFonts w:ascii="Time New Roman" w:eastAsia="黑体" w:hAnsi="Time New Roman" w:hint="eastAsia"/>
        </w:rPr>
        <w:t>编纂与改革</w:t>
      </w:r>
      <w:r w:rsidRPr="00400F22">
        <w:rPr>
          <w:rFonts w:ascii="Time New Roman" w:eastAsia="黑体" w:hAnsi="Time New Roman" w:hint="eastAsia"/>
        </w:rPr>
        <w:t>)</w:t>
      </w:r>
      <w:r w:rsidRPr="00400F22">
        <w:rPr>
          <w:rFonts w:ascii="Time New Roman" w:eastAsia="黑体" w:hAnsi="Time New Roman" w:hint="eastAsia"/>
        </w:rPr>
        <w:t>法案》，取消对行使《公约》权利的记者实施刑事处罚的规定；</w:t>
      </w:r>
    </w:p>
    <w:p w14:paraId="7E110F1B"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(c)</w:t>
      </w:r>
      <w:r w:rsidRPr="00400F22">
        <w:rPr>
          <w:rFonts w:ascii="Time New Roman" w:eastAsia="黑体" w:hAnsi="Time New Roman"/>
        </w:rPr>
        <w:tab/>
      </w:r>
      <w:r w:rsidRPr="00400F22">
        <w:rPr>
          <w:rFonts w:ascii="Time New Roman" w:eastAsia="黑体" w:hAnsi="Time New Roman" w:hint="eastAsia"/>
        </w:rPr>
        <w:t>打击并防止对记者、媒体工作者和人权维护者一切形式的威胁、骚扰、恐吓和暴力行为，并采取一切必要措施，确保他们能够自由开展工作，无需担心受到任何形式的暴力或报复；</w:t>
      </w:r>
    </w:p>
    <w:p w14:paraId="6F7D6947"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(d)</w:t>
      </w:r>
      <w:r w:rsidRPr="00400F22">
        <w:rPr>
          <w:rFonts w:ascii="Time New Roman" w:eastAsia="黑体" w:hAnsi="Time New Roman"/>
        </w:rPr>
        <w:tab/>
      </w:r>
      <w:r w:rsidRPr="00400F22">
        <w:rPr>
          <w:rFonts w:ascii="Time New Roman" w:eastAsia="黑体" w:hAnsi="Time New Roman" w:hint="eastAsia"/>
        </w:rPr>
        <w:t>确保对所有针对记者、媒体工作者和人权维护者的侵犯人权行为进行彻底、公正和独立的调查，对施害者绳之以法，如被定罪，则受到应有处罚，并向受害者提供充分赔偿；</w:t>
      </w:r>
    </w:p>
    <w:p w14:paraId="393CCD58" w14:textId="77777777" w:rsidR="00AA2244" w:rsidRPr="00400F22" w:rsidRDefault="00AA2244" w:rsidP="00AA2244">
      <w:pPr>
        <w:pStyle w:val="SingleTxtGC"/>
        <w:rPr>
          <w:rFonts w:ascii="Time New Roman" w:eastAsia="黑体" w:hAnsi="Time New Roman"/>
        </w:rPr>
      </w:pPr>
      <w:r w:rsidRPr="00400F22">
        <w:rPr>
          <w:rFonts w:ascii="Time New Roman" w:eastAsia="黑体" w:hAnsi="Time New Roman"/>
        </w:rPr>
        <w:tab/>
        <w:t>(e)</w:t>
      </w:r>
      <w:r w:rsidRPr="00400F22">
        <w:rPr>
          <w:rFonts w:ascii="Time New Roman" w:eastAsia="黑体" w:hAnsi="Time New Roman"/>
        </w:rPr>
        <w:tab/>
      </w:r>
      <w:r w:rsidRPr="00400F22">
        <w:rPr>
          <w:rFonts w:ascii="Time New Roman" w:eastAsia="黑体" w:hAnsi="Time New Roman" w:hint="eastAsia"/>
        </w:rPr>
        <w:t>修订《广播服务法》有关发放许可证的规定，使之完全符合《公约》，并设立一个独立的广播许可证核发机构，依据合理客观的标准审查广播许可申请并发放许可证。</w:t>
      </w:r>
    </w:p>
    <w:p w14:paraId="6C9E68E1" w14:textId="15CF241C" w:rsidR="00AA2244" w:rsidRPr="007E469B" w:rsidRDefault="00400F22" w:rsidP="00400F22">
      <w:pPr>
        <w:pStyle w:val="H23GC"/>
      </w:pPr>
      <w:r>
        <w:tab/>
      </w:r>
      <w:r>
        <w:tab/>
      </w:r>
      <w:r w:rsidR="00AA2244" w:rsidRPr="007E469B">
        <w:rPr>
          <w:rFonts w:hint="eastAsia"/>
        </w:rPr>
        <w:t>和平集会自由</w:t>
      </w:r>
    </w:p>
    <w:p w14:paraId="142A7D9F" w14:textId="49226886" w:rsidR="00AA2244" w:rsidRPr="007E469B" w:rsidRDefault="00AA2244" w:rsidP="00AA2244">
      <w:pPr>
        <w:pStyle w:val="SingleTxtGC"/>
      </w:pPr>
      <w:r w:rsidRPr="007E469B">
        <w:rPr>
          <w:rFonts w:hint="eastAsia"/>
        </w:rPr>
        <w:t>52.</w:t>
      </w:r>
      <w:r w:rsidRPr="007E469B">
        <w:rPr>
          <w:rFonts w:hint="eastAsia"/>
        </w:rPr>
        <w:tab/>
      </w:r>
      <w:r w:rsidRPr="007E469B">
        <w:rPr>
          <w:rFonts w:hint="eastAsia"/>
        </w:rPr>
        <w:t>委员会注意到，《宪法》第</w:t>
      </w:r>
      <w:r w:rsidRPr="007E469B">
        <w:t>58</w:t>
      </w:r>
      <w:r w:rsidRPr="007E469B">
        <w:rPr>
          <w:rFonts w:hint="eastAsia"/>
        </w:rPr>
        <w:t>条保障集会自由。同时委员会对缔约国处理和平集会的方式感到关切，特别是在发生社会动荡或抗议活动期间。委员会还关切地注意到，《刑法</w:t>
      </w:r>
      <w:r w:rsidRPr="007E469B">
        <w:rPr>
          <w:rFonts w:hint="eastAsia"/>
        </w:rPr>
        <w:t>(</w:t>
      </w:r>
      <w:r w:rsidRPr="007E469B">
        <w:rPr>
          <w:rFonts w:hint="eastAsia"/>
        </w:rPr>
        <w:t>编纂与改革</w:t>
      </w:r>
      <w:r w:rsidRPr="007E469B">
        <w:rPr>
          <w:rFonts w:hint="eastAsia"/>
        </w:rPr>
        <w:t>)</w:t>
      </w:r>
      <w:r w:rsidRPr="007E469B">
        <w:rPr>
          <w:rFonts w:hint="eastAsia"/>
        </w:rPr>
        <w:t>法案》第</w:t>
      </w:r>
      <w:r w:rsidRPr="007E469B">
        <w:t>22</w:t>
      </w:r>
      <w:r w:rsidRPr="007E469B">
        <w:rPr>
          <w:rFonts w:hint="eastAsia"/>
        </w:rPr>
        <w:t>条被用于起诉人权维护者、民间社会成员和被怀疑在抗议活动中发挥重要作用的反对派领导人，导致他们被指控犯下类似叛国罪的行为，最高可判处</w:t>
      </w:r>
      <w:r w:rsidRPr="007E469B">
        <w:t>20</w:t>
      </w:r>
      <w:r w:rsidRPr="007E469B">
        <w:rPr>
          <w:rFonts w:hint="eastAsia"/>
        </w:rPr>
        <w:t>年徒刑。委员会还关切的是，《维护和平与秩序法》第</w:t>
      </w:r>
      <w:r w:rsidRPr="007E469B">
        <w:t>10</w:t>
      </w:r>
      <w:r w:rsidRPr="007E469B">
        <w:rPr>
          <w:rFonts w:hint="eastAsia"/>
        </w:rPr>
        <w:t>条禁止在议会、国内法院和受保护地点附近举行任何集会，从而妨碍向立法者请愿的能力，并规定集会造成的任何损害的民事赔偿责任由集会召集人承担。委员会也关注《维护和平与秩序法》第</w:t>
      </w:r>
      <w:r w:rsidRPr="007E469B">
        <w:t>7</w:t>
      </w:r>
      <w:r w:rsidRPr="007E469B">
        <w:rPr>
          <w:rFonts w:hint="eastAsia"/>
        </w:rPr>
        <w:t>条第</w:t>
      </w:r>
      <w:r w:rsidRPr="007E469B">
        <w:t>1</w:t>
      </w:r>
      <w:r w:rsidRPr="007E469B">
        <w:rPr>
          <w:rFonts w:hint="eastAsia"/>
        </w:rPr>
        <w:t>款</w:t>
      </w:r>
      <w:r w:rsidRPr="007E469B">
        <w:t>(a)</w:t>
      </w:r>
      <w:r w:rsidRPr="007E469B">
        <w:rPr>
          <w:rFonts w:hint="eastAsia"/>
        </w:rPr>
        <w:t>项和</w:t>
      </w:r>
      <w:r w:rsidRPr="007E469B">
        <w:t>(b)</w:t>
      </w:r>
      <w:r w:rsidRPr="007E469B">
        <w:rPr>
          <w:rFonts w:hint="eastAsia"/>
        </w:rPr>
        <w:t>项，其</w:t>
      </w:r>
      <w:r w:rsidRPr="007E469B">
        <w:rPr>
          <w:rFonts w:hint="eastAsia"/>
        </w:rPr>
        <w:lastRenderedPageBreak/>
        <w:t>中规定公共集会组织者如准备举行公众示威，须至少提前七天通知，如准备举行公众集会，须至少提前五天通知</w:t>
      </w:r>
      <w:r w:rsidRPr="007E469B">
        <w:rPr>
          <w:rFonts w:hint="eastAsia"/>
        </w:rPr>
        <w:t>(</w:t>
      </w:r>
      <w:r w:rsidRPr="007E469B">
        <w:rPr>
          <w:rFonts w:hint="eastAsia"/>
        </w:rPr>
        <w:t>第九和第二十一条</w:t>
      </w:r>
      <w:r w:rsidRPr="007E469B">
        <w:rPr>
          <w:rFonts w:hint="eastAsia"/>
        </w:rPr>
        <w:t>)</w:t>
      </w:r>
      <w:r w:rsidRPr="007E469B">
        <w:rPr>
          <w:rFonts w:hint="eastAsia"/>
        </w:rPr>
        <w:t>。</w:t>
      </w:r>
    </w:p>
    <w:p w14:paraId="3D21F63B"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hint="eastAsia"/>
        </w:rPr>
        <w:t>53.</w:t>
      </w:r>
      <w:r w:rsidRPr="00CD1ED1">
        <w:rPr>
          <w:rFonts w:ascii="Time New Roman" w:eastAsia="黑体" w:hAnsi="Time New Roman" w:hint="eastAsia"/>
        </w:rPr>
        <w:tab/>
      </w:r>
      <w:r w:rsidRPr="00CD1ED1">
        <w:rPr>
          <w:rFonts w:ascii="Time New Roman" w:eastAsia="黑体" w:hAnsi="Time New Roman" w:hint="eastAsia"/>
        </w:rPr>
        <w:t>按照委员会以往的建议</w:t>
      </w:r>
      <w:r w:rsidRPr="00CD1ED1">
        <w:rPr>
          <w:rStyle w:val="a8"/>
          <w:rFonts w:ascii="Time New Roman" w:eastAsia="黑体" w:hAnsi="Time New Roman"/>
        </w:rPr>
        <w:footnoteReference w:id="10"/>
      </w:r>
      <w:r w:rsidRPr="00CD1ED1">
        <w:rPr>
          <w:rStyle w:val="SingleTxtGCChar"/>
          <w:rFonts w:ascii="Time New Roman" w:eastAsia="黑体" w:hAnsi="Time New Roman"/>
        </w:rPr>
        <w:t xml:space="preserve"> </w:t>
      </w:r>
      <w:r w:rsidRPr="00CD1ED1">
        <w:rPr>
          <w:rFonts w:ascii="Time New Roman" w:eastAsia="黑体" w:hAnsi="Time New Roman" w:hint="eastAsia"/>
        </w:rPr>
        <w:t>和关于和平集会权的第</w:t>
      </w:r>
      <w:r w:rsidRPr="00CD1ED1">
        <w:rPr>
          <w:rFonts w:ascii="Time New Roman" w:eastAsia="黑体" w:hAnsi="Time New Roman"/>
        </w:rPr>
        <w:t>37</w:t>
      </w:r>
      <w:r w:rsidRPr="00CD1ED1">
        <w:rPr>
          <w:rFonts w:ascii="Time New Roman" w:eastAsia="黑体" w:hAnsi="Time New Roman" w:hint="eastAsia"/>
        </w:rPr>
        <w:t>号一般性意见</w:t>
      </w:r>
      <w:r w:rsidRPr="00CD1ED1">
        <w:rPr>
          <w:rFonts w:ascii="Time New Roman" w:eastAsia="黑体" w:hAnsi="Time New Roman" w:hint="eastAsia"/>
        </w:rPr>
        <w:t>(</w:t>
      </w:r>
      <w:r w:rsidRPr="00CD1ED1">
        <w:rPr>
          <w:rFonts w:ascii="Time New Roman" w:eastAsia="黑体" w:hAnsi="Time New Roman"/>
        </w:rPr>
        <w:t>2020</w:t>
      </w:r>
      <w:r w:rsidRPr="00CD1ED1">
        <w:rPr>
          <w:rFonts w:ascii="Time New Roman" w:eastAsia="黑体" w:hAnsi="Time New Roman" w:hint="eastAsia"/>
        </w:rPr>
        <w:t>年</w:t>
      </w:r>
      <w:r w:rsidRPr="00CD1ED1">
        <w:rPr>
          <w:rFonts w:ascii="Time New Roman" w:eastAsia="黑体" w:hAnsi="Time New Roman" w:hint="eastAsia"/>
        </w:rPr>
        <w:t>)</w:t>
      </w:r>
      <w:r w:rsidRPr="00CD1ED1">
        <w:rPr>
          <w:rFonts w:ascii="Time New Roman" w:eastAsia="黑体" w:hAnsi="Time New Roman" w:hint="eastAsia"/>
        </w:rPr>
        <w:t>，缔约国应：</w:t>
      </w:r>
    </w:p>
    <w:p w14:paraId="5AF01B7C"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(a)</w:t>
      </w:r>
      <w:r w:rsidRPr="00CD1ED1">
        <w:rPr>
          <w:rFonts w:ascii="Time New Roman" w:eastAsia="黑体" w:hAnsi="Time New Roman"/>
        </w:rPr>
        <w:tab/>
      </w:r>
      <w:r w:rsidRPr="00CD1ED1">
        <w:rPr>
          <w:rFonts w:ascii="Time New Roman" w:eastAsia="黑体" w:hAnsi="Time New Roman" w:hint="eastAsia"/>
        </w:rPr>
        <w:t>修订《刑法</w:t>
      </w:r>
      <w:r w:rsidRPr="00CD1ED1">
        <w:rPr>
          <w:rFonts w:ascii="Time New Roman" w:eastAsia="黑体" w:hAnsi="Time New Roman" w:hint="eastAsia"/>
        </w:rPr>
        <w:t>(</w:t>
      </w:r>
      <w:r w:rsidRPr="00CD1ED1">
        <w:rPr>
          <w:rFonts w:ascii="Time New Roman" w:eastAsia="黑体" w:hAnsi="Time New Roman" w:hint="eastAsia"/>
        </w:rPr>
        <w:t>编纂与改革</w:t>
      </w:r>
      <w:r w:rsidRPr="00CD1ED1">
        <w:rPr>
          <w:rFonts w:ascii="Time New Roman" w:eastAsia="黑体" w:hAnsi="Time New Roman" w:hint="eastAsia"/>
        </w:rPr>
        <w:t>)</w:t>
      </w:r>
      <w:r w:rsidRPr="00CD1ED1">
        <w:rPr>
          <w:rFonts w:ascii="Time New Roman" w:eastAsia="黑体" w:hAnsi="Time New Roman" w:hint="eastAsia"/>
        </w:rPr>
        <w:t>法案》第</w:t>
      </w:r>
      <w:r w:rsidRPr="00CD1ED1">
        <w:rPr>
          <w:rFonts w:ascii="Time New Roman" w:eastAsia="黑体" w:hAnsi="Time New Roman"/>
        </w:rPr>
        <w:t>22</w:t>
      </w:r>
      <w:r w:rsidRPr="00CD1ED1">
        <w:rPr>
          <w:rFonts w:ascii="Time New Roman" w:eastAsia="黑体" w:hAnsi="Time New Roman" w:hint="eastAsia"/>
        </w:rPr>
        <w:t>条，使之符合《公约》第二十一条；</w:t>
      </w:r>
    </w:p>
    <w:p w14:paraId="485B4D05"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(b)</w:t>
      </w:r>
      <w:r w:rsidRPr="00CD1ED1">
        <w:rPr>
          <w:rFonts w:ascii="Time New Roman" w:eastAsia="黑体" w:hAnsi="Time New Roman"/>
        </w:rPr>
        <w:tab/>
      </w:r>
      <w:r w:rsidRPr="00CD1ED1">
        <w:rPr>
          <w:rFonts w:ascii="Time New Roman" w:eastAsia="黑体" w:hAnsi="Time New Roman" w:hint="eastAsia"/>
        </w:rPr>
        <w:t>废除或修订《维护和平与秩序法》的相关条款，确保其充分遵守《宪法》和《公约》所载的集会自由和表达自由权。</w:t>
      </w:r>
    </w:p>
    <w:p w14:paraId="71A6A503" w14:textId="77777777" w:rsidR="00AA2244" w:rsidRPr="007E469B" w:rsidRDefault="00AA2244" w:rsidP="00CD1ED1">
      <w:pPr>
        <w:pStyle w:val="H23GC"/>
      </w:pPr>
      <w:r w:rsidRPr="007E469B">
        <w:tab/>
      </w:r>
      <w:bookmarkStart w:id="3" w:name="_Hlk192760297"/>
      <w:r w:rsidRPr="007E469B">
        <w:tab/>
      </w:r>
      <w:r w:rsidRPr="007E469B">
        <w:rPr>
          <w:rFonts w:hint="eastAsia"/>
        </w:rPr>
        <w:t>结社自由</w:t>
      </w:r>
    </w:p>
    <w:bookmarkEnd w:id="3"/>
    <w:p w14:paraId="21154905" w14:textId="77777777" w:rsidR="00AA2244" w:rsidRPr="007E469B" w:rsidRDefault="00AA2244" w:rsidP="00AA2244">
      <w:pPr>
        <w:pStyle w:val="SingleTxtGC"/>
      </w:pPr>
      <w:r w:rsidRPr="007E469B">
        <w:rPr>
          <w:rFonts w:hint="eastAsia"/>
        </w:rPr>
        <w:t>54.</w:t>
      </w:r>
      <w:r w:rsidRPr="007E469B">
        <w:rPr>
          <w:rFonts w:hint="eastAsia"/>
        </w:rPr>
        <w:tab/>
      </w:r>
      <w:r w:rsidRPr="007E469B">
        <w:rPr>
          <w:rFonts w:hint="eastAsia"/>
        </w:rPr>
        <w:t>委员会关切地注意到，《</w:t>
      </w:r>
      <w:r w:rsidRPr="007E469B">
        <w:t>2024</w:t>
      </w:r>
      <w:r w:rsidRPr="007E469B">
        <w:rPr>
          <w:rFonts w:hint="eastAsia"/>
        </w:rPr>
        <w:t>年私营志愿组织修正法案》旨在打击洗钱和资助恐怖主义，并确保非政府组织不从事政治游说活动，但其中一些条款可能限制公民空间，并对民间社会组织和人权维护者行使结社和集会自由权产生寒蝉效应。委员会还关切地注意到，《刑法</w:t>
      </w:r>
      <w:r w:rsidRPr="007E469B">
        <w:rPr>
          <w:rFonts w:hint="eastAsia"/>
        </w:rPr>
        <w:t>(</w:t>
      </w:r>
      <w:r w:rsidRPr="007E469B">
        <w:rPr>
          <w:rFonts w:hint="eastAsia"/>
        </w:rPr>
        <w:t>编纂与改革</w:t>
      </w:r>
      <w:r w:rsidRPr="007E469B">
        <w:rPr>
          <w:rFonts w:hint="eastAsia"/>
        </w:rPr>
        <w:t>)</w:t>
      </w:r>
      <w:r w:rsidRPr="007E469B">
        <w:rPr>
          <w:rFonts w:hint="eastAsia"/>
        </w:rPr>
        <w:t>法案》</w:t>
      </w:r>
      <w:r w:rsidRPr="007E469B">
        <w:rPr>
          <w:rFonts w:hAnsi="宋体" w:hint="eastAsia"/>
        </w:rPr>
        <w:t>将“故</w:t>
      </w:r>
      <w:r w:rsidRPr="007E469B">
        <w:rPr>
          <w:rFonts w:hint="eastAsia"/>
        </w:rPr>
        <w:t>意损害津巴布韦主权和国家利</w:t>
      </w:r>
      <w:r w:rsidRPr="007E469B">
        <w:rPr>
          <w:rFonts w:hAnsi="宋体" w:hint="eastAsia"/>
        </w:rPr>
        <w:t>益”以</w:t>
      </w:r>
      <w:r w:rsidRPr="007E469B">
        <w:rPr>
          <w:rFonts w:hint="eastAsia"/>
        </w:rPr>
        <w:t>及呼吁对该国实施经济制裁的行为定为犯罪，并规定极其严厉的处罚，包括丧失公民权、剥夺选举权以及判处死刑</w:t>
      </w:r>
      <w:r w:rsidRPr="007E469B">
        <w:rPr>
          <w:rFonts w:hint="eastAsia"/>
        </w:rPr>
        <w:t>(</w:t>
      </w:r>
      <w:r w:rsidRPr="007E469B">
        <w:rPr>
          <w:rFonts w:hint="eastAsia"/>
        </w:rPr>
        <w:t>第二十二条</w:t>
      </w:r>
      <w:r w:rsidRPr="007E469B">
        <w:rPr>
          <w:rFonts w:hint="eastAsia"/>
        </w:rPr>
        <w:t>)</w:t>
      </w:r>
      <w:r w:rsidRPr="007E469B">
        <w:rPr>
          <w:rFonts w:hint="eastAsia"/>
        </w:rPr>
        <w:t>。</w:t>
      </w:r>
    </w:p>
    <w:p w14:paraId="489F1211"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hint="eastAsia"/>
        </w:rPr>
        <w:t>55.</w:t>
      </w:r>
      <w:r w:rsidRPr="00CD1ED1">
        <w:rPr>
          <w:rFonts w:ascii="Time New Roman" w:eastAsia="黑体" w:hAnsi="Time New Roman" w:hint="eastAsia"/>
        </w:rPr>
        <w:tab/>
      </w:r>
      <w:r w:rsidRPr="00CD1ED1">
        <w:rPr>
          <w:rFonts w:ascii="Time New Roman" w:eastAsia="黑体" w:hAnsi="Time New Roman" w:hint="eastAsia"/>
        </w:rPr>
        <w:t>缔约国应：</w:t>
      </w:r>
    </w:p>
    <w:p w14:paraId="1984FA6F"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(a)</w:t>
      </w:r>
      <w:r w:rsidRPr="00CD1ED1">
        <w:rPr>
          <w:rFonts w:ascii="Time New Roman" w:eastAsia="黑体" w:hAnsi="Time New Roman"/>
        </w:rPr>
        <w:tab/>
      </w:r>
      <w:r w:rsidRPr="00CD1ED1">
        <w:rPr>
          <w:rFonts w:ascii="Time New Roman" w:eastAsia="黑体" w:hAnsi="Time New Roman" w:hint="eastAsia"/>
        </w:rPr>
        <w:t>考虑放弃颁布《私营志愿组织法案》，并将该法案退回议会；同时编写一份法案的合并本，与相关利益方广泛协商，使其符合《宪法》和国际标准，包括对结社自由权的保护；</w:t>
      </w:r>
    </w:p>
    <w:p w14:paraId="1D882927"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(b)</w:t>
      </w:r>
      <w:r w:rsidRPr="00CD1ED1">
        <w:rPr>
          <w:rFonts w:ascii="Time New Roman" w:eastAsia="黑体" w:hAnsi="Time New Roman"/>
        </w:rPr>
        <w:tab/>
      </w:r>
      <w:r w:rsidRPr="00CD1ED1">
        <w:rPr>
          <w:rFonts w:ascii="Time New Roman" w:eastAsia="黑体" w:hAnsi="Time New Roman" w:hint="eastAsia"/>
        </w:rPr>
        <w:t>废除《刑法</w:t>
      </w:r>
      <w:r w:rsidRPr="00CD1ED1">
        <w:rPr>
          <w:rFonts w:ascii="Time New Roman" w:eastAsia="黑体" w:hAnsi="Time New Roman" w:hint="eastAsia"/>
        </w:rPr>
        <w:t>(</w:t>
      </w:r>
      <w:r w:rsidRPr="00CD1ED1">
        <w:rPr>
          <w:rFonts w:ascii="Time New Roman" w:eastAsia="黑体" w:hAnsi="Time New Roman" w:hint="eastAsia"/>
        </w:rPr>
        <w:t>编纂与改革</w:t>
      </w:r>
      <w:r w:rsidRPr="00CD1ED1">
        <w:rPr>
          <w:rFonts w:ascii="Time New Roman" w:eastAsia="黑体" w:hAnsi="Time New Roman" w:hint="eastAsia"/>
        </w:rPr>
        <w:t>)</w:t>
      </w:r>
      <w:r w:rsidRPr="00CD1ED1">
        <w:rPr>
          <w:rFonts w:ascii="Time New Roman" w:eastAsia="黑体" w:hAnsi="Time New Roman" w:hint="eastAsia"/>
        </w:rPr>
        <w:t>法案》第</w:t>
      </w:r>
      <w:r w:rsidRPr="00CD1ED1">
        <w:rPr>
          <w:rFonts w:ascii="Time New Roman" w:eastAsia="黑体" w:hAnsi="Time New Roman"/>
        </w:rPr>
        <w:t>22A</w:t>
      </w:r>
      <w:r w:rsidRPr="00CD1ED1">
        <w:rPr>
          <w:rFonts w:ascii="Time New Roman" w:eastAsia="黑体" w:hAnsi="Time New Roman" w:hint="eastAsia"/>
        </w:rPr>
        <w:t>条中妨碍行使缔约国《宪法》和《公约》所载基本权利和自由的规定。</w:t>
      </w:r>
    </w:p>
    <w:p w14:paraId="0B9F72D2" w14:textId="7165710B" w:rsidR="00AA2244" w:rsidRPr="007E469B" w:rsidRDefault="00CD1ED1" w:rsidP="00CD1ED1">
      <w:pPr>
        <w:pStyle w:val="H23GC"/>
      </w:pPr>
      <w:r>
        <w:tab/>
      </w:r>
      <w:r>
        <w:tab/>
      </w:r>
      <w:r w:rsidR="00AA2244" w:rsidRPr="007E469B">
        <w:rPr>
          <w:rFonts w:hint="eastAsia"/>
        </w:rPr>
        <w:t>儿童权利</w:t>
      </w:r>
    </w:p>
    <w:p w14:paraId="7F0497DC" w14:textId="77777777" w:rsidR="00AA2244" w:rsidRPr="007E469B" w:rsidRDefault="00AA2244" w:rsidP="00AA2244">
      <w:pPr>
        <w:pStyle w:val="SingleTxtGC"/>
      </w:pPr>
      <w:r w:rsidRPr="007E469B">
        <w:rPr>
          <w:rFonts w:hint="eastAsia"/>
        </w:rPr>
        <w:t>56.</w:t>
      </w:r>
      <w:r w:rsidRPr="007E469B">
        <w:rPr>
          <w:rFonts w:hint="eastAsia"/>
        </w:rPr>
        <w:tab/>
      </w:r>
      <w:r w:rsidRPr="007E469B">
        <w:rPr>
          <w:rFonts w:hint="eastAsia"/>
        </w:rPr>
        <w:t>委员会关切地注意到有关虐待儿童的报告，包括性虐待、乱伦、杀婴、遗弃和强奸以及在各种环境中实施体罚和童工的问题。委员会还感到关切的是，尽管《婚姻法》第</w:t>
      </w:r>
      <w:r w:rsidRPr="007E469B">
        <w:t>3</w:t>
      </w:r>
      <w:r w:rsidRPr="007E469B">
        <w:rPr>
          <w:rFonts w:hint="eastAsia"/>
        </w:rPr>
        <w:t>条将法定结婚年龄规定为</w:t>
      </w:r>
      <w:r w:rsidRPr="007E469B">
        <w:t>18</w:t>
      </w:r>
      <w:r w:rsidRPr="007E469B">
        <w:rPr>
          <w:rFonts w:hint="eastAsia"/>
        </w:rPr>
        <w:t>岁，但仍有关于童婚、早婚和强迫婚姻的报告，特别是在包括一些倡导早婚等的与世隔绝的宗教社区和艾滋病遗孤中的上述现象。此外，委员会还关切地注意到，有报告称处境脆弱的儿童，包括孤儿和残疾儿童，面临虐待、歧视、社会污名、粮食无保障、营养不良、艾滋病毒感染和无家可归的风险</w:t>
      </w:r>
      <w:r w:rsidRPr="007E469B">
        <w:rPr>
          <w:rFonts w:hint="eastAsia"/>
        </w:rPr>
        <w:t>(</w:t>
      </w:r>
      <w:r w:rsidRPr="007E469B">
        <w:rPr>
          <w:rFonts w:hint="eastAsia"/>
        </w:rPr>
        <w:t>第七、第二十三、第二十四和第二十六条</w:t>
      </w:r>
      <w:r w:rsidRPr="007E469B">
        <w:rPr>
          <w:rFonts w:hint="eastAsia"/>
        </w:rPr>
        <w:t>)</w:t>
      </w:r>
      <w:r w:rsidRPr="007E469B">
        <w:rPr>
          <w:rFonts w:hint="eastAsia"/>
        </w:rPr>
        <w:t>。</w:t>
      </w:r>
    </w:p>
    <w:p w14:paraId="6E42CE40"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hint="eastAsia"/>
        </w:rPr>
        <w:t>57.</w:t>
      </w:r>
      <w:r w:rsidRPr="00CD1ED1">
        <w:rPr>
          <w:rFonts w:ascii="Time New Roman" w:eastAsia="黑体" w:hAnsi="Time New Roman"/>
        </w:rPr>
        <w:tab/>
      </w:r>
      <w:r w:rsidRPr="00CD1ED1">
        <w:rPr>
          <w:rFonts w:ascii="Time New Roman" w:eastAsia="黑体" w:hAnsi="Time New Roman" w:hint="eastAsia"/>
        </w:rPr>
        <w:t>缔约国应：</w:t>
      </w:r>
    </w:p>
    <w:p w14:paraId="13EF6CDB"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(a)</w:t>
      </w:r>
      <w:r w:rsidRPr="00CD1ED1">
        <w:rPr>
          <w:rFonts w:ascii="Time New Roman" w:eastAsia="黑体" w:hAnsi="Time New Roman"/>
        </w:rPr>
        <w:tab/>
      </w:r>
      <w:r w:rsidRPr="00CD1ED1">
        <w:rPr>
          <w:rFonts w:ascii="Time New Roman" w:eastAsia="黑体" w:hAnsi="Time New Roman" w:hint="eastAsia"/>
        </w:rPr>
        <w:t>进一步努力，打击所有环境中的虐待儿童行为，确保此类案件切实得到调查，施害者受到起诉和处罚，受害儿童能够获得包括专业照护在内的充分补救；</w:t>
      </w:r>
    </w:p>
    <w:p w14:paraId="632FCDEC"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(b)</w:t>
      </w:r>
      <w:r w:rsidRPr="00CD1ED1">
        <w:rPr>
          <w:rFonts w:ascii="Time New Roman" w:eastAsia="黑体" w:hAnsi="Time New Roman"/>
        </w:rPr>
        <w:tab/>
      </w:r>
      <w:r w:rsidRPr="00CD1ED1">
        <w:rPr>
          <w:rFonts w:ascii="Time New Roman" w:eastAsia="黑体" w:hAnsi="Time New Roman" w:hint="eastAsia"/>
        </w:rPr>
        <w:t>确保现有禁止童婚、早婚和强迫婚姻的法律条款、包括禁止童婚的《婚姻法》得到切实实施和有效执行，并开展社区宣传活动，劝阻此类做法，提供有关童婚受禁止及其负面影响的信息，特别面向妇女和女童提供；</w:t>
      </w:r>
    </w:p>
    <w:p w14:paraId="3BFBB1B3"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lastRenderedPageBreak/>
        <w:tab/>
        <w:t>(c)</w:t>
      </w:r>
      <w:r w:rsidRPr="00CD1ED1">
        <w:rPr>
          <w:rFonts w:ascii="Time New Roman" w:eastAsia="黑体" w:hAnsi="Time New Roman"/>
        </w:rPr>
        <w:tab/>
      </w:r>
      <w:r w:rsidRPr="00CD1ED1">
        <w:rPr>
          <w:rFonts w:ascii="Time New Roman" w:eastAsia="黑体" w:hAnsi="Time New Roman" w:hint="eastAsia"/>
        </w:rPr>
        <w:t>颁布法律，明确在所有环境中禁止对儿童实施体罚，鼓励采用非暴力的惩戒方式替代体罚，开展关于体罚危害的宣传活动；</w:t>
      </w:r>
    </w:p>
    <w:p w14:paraId="41DCE722"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(d)</w:t>
      </w:r>
      <w:r w:rsidRPr="00CD1ED1">
        <w:rPr>
          <w:rFonts w:ascii="Time New Roman" w:eastAsia="黑体" w:hAnsi="Time New Roman"/>
        </w:rPr>
        <w:tab/>
      </w:r>
      <w:r w:rsidRPr="00CD1ED1">
        <w:rPr>
          <w:rFonts w:ascii="Time New Roman" w:eastAsia="黑体" w:hAnsi="Time New Roman" w:hint="eastAsia"/>
        </w:rPr>
        <w:t>强化采取措施，在各个行业识别和打击童工现象，并确保儿童保护服务部门具备充足能力；</w:t>
      </w:r>
    </w:p>
    <w:p w14:paraId="529BEBA7"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(e)</w:t>
      </w:r>
      <w:r w:rsidRPr="00CD1ED1">
        <w:rPr>
          <w:rFonts w:ascii="Time New Roman" w:eastAsia="黑体" w:hAnsi="Time New Roman"/>
        </w:rPr>
        <w:tab/>
      </w:r>
      <w:r w:rsidRPr="00CD1ED1">
        <w:rPr>
          <w:rFonts w:ascii="Time New Roman" w:eastAsia="黑体" w:hAnsi="Time New Roman" w:hint="eastAsia"/>
        </w:rPr>
        <w:t>确保所有受害儿童，特别是孤儿和残疾儿童，能够不受任何形式歧视地获得适当的住所、医疗和法律保护。</w:t>
      </w:r>
    </w:p>
    <w:p w14:paraId="42AC3983" w14:textId="77777777" w:rsidR="00AA2244" w:rsidRPr="007E469B" w:rsidRDefault="00AA2244" w:rsidP="00CD1ED1">
      <w:pPr>
        <w:pStyle w:val="H23GC"/>
      </w:pPr>
      <w:r w:rsidRPr="007E469B">
        <w:tab/>
      </w:r>
      <w:r w:rsidRPr="007E469B">
        <w:tab/>
      </w:r>
      <w:r w:rsidRPr="007E469B">
        <w:rPr>
          <w:rFonts w:hint="eastAsia"/>
        </w:rPr>
        <w:t>参与公共事务</w:t>
      </w:r>
    </w:p>
    <w:p w14:paraId="64273A3E" w14:textId="77777777" w:rsidR="00AA2244" w:rsidRPr="007E469B" w:rsidRDefault="00AA2244" w:rsidP="00AA2244">
      <w:pPr>
        <w:pStyle w:val="SingleTxtGC"/>
      </w:pPr>
      <w:r w:rsidRPr="007E469B">
        <w:t>58.</w:t>
      </w:r>
      <w:r w:rsidRPr="007E469B">
        <w:tab/>
      </w:r>
      <w:r w:rsidRPr="007E469B">
        <w:rPr>
          <w:rFonts w:hint="eastAsia"/>
        </w:rPr>
        <w:t>委员会关切地注意到关于《维护和平与秩序法》以及《刑法</w:t>
      </w:r>
      <w:r w:rsidRPr="007E469B">
        <w:rPr>
          <w:rFonts w:hint="eastAsia"/>
        </w:rPr>
        <w:t>(</w:t>
      </w:r>
      <w:r w:rsidRPr="007E469B">
        <w:rPr>
          <w:rFonts w:hint="eastAsia"/>
        </w:rPr>
        <w:t>编纂与改革</w:t>
      </w:r>
      <w:r w:rsidRPr="007E469B">
        <w:rPr>
          <w:rFonts w:hint="eastAsia"/>
        </w:rPr>
        <w:t>)</w:t>
      </w:r>
      <w:r w:rsidRPr="007E469B">
        <w:rPr>
          <w:rFonts w:hint="eastAsia"/>
        </w:rPr>
        <w:t>法案》第</w:t>
      </w:r>
      <w:r w:rsidRPr="007E469B">
        <w:t>22A</w:t>
      </w:r>
      <w:r w:rsidRPr="007E469B">
        <w:rPr>
          <w:rFonts w:hint="eastAsia"/>
        </w:rPr>
        <w:t>条受到选择性实施的报告，据称在</w:t>
      </w:r>
      <w:r w:rsidRPr="007E469B">
        <w:t>2023</w:t>
      </w:r>
      <w:r w:rsidRPr="007E469B">
        <w:rPr>
          <w:rFonts w:hint="eastAsia"/>
        </w:rPr>
        <w:t>年统一选举期间造成寒蝉效应，阻碍了多个群体公众的参与，限制了选民在真正自由和多元的环境中作出选择的能力。委员会还关切地注意到，《选举法》的若干条款将津巴布韦选举委员会，包括其观察员认证分委会，置于行政部门之下，从而削弱了该委员会的独立性。人权事务委员会还感到关切的是，《选举法》未对津巴布韦国外侨民、住院者和在押人员的选举权作出专门规定</w:t>
      </w:r>
      <w:r w:rsidRPr="007E469B">
        <w:rPr>
          <w:rFonts w:hint="eastAsia"/>
        </w:rPr>
        <w:t>(</w:t>
      </w:r>
      <w:r w:rsidRPr="007E469B">
        <w:rPr>
          <w:rFonts w:hint="eastAsia"/>
        </w:rPr>
        <w:t>第二、第二十五和第二十六条</w:t>
      </w:r>
      <w:r w:rsidRPr="007E469B">
        <w:rPr>
          <w:rFonts w:hint="eastAsia"/>
        </w:rPr>
        <w:t>)</w:t>
      </w:r>
      <w:r w:rsidRPr="007E469B">
        <w:rPr>
          <w:rFonts w:hint="eastAsia"/>
        </w:rPr>
        <w:t>。</w:t>
      </w:r>
    </w:p>
    <w:p w14:paraId="4FF24CB1"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hint="eastAsia"/>
        </w:rPr>
        <w:t>59.</w:t>
      </w:r>
      <w:r w:rsidRPr="00CD1ED1">
        <w:rPr>
          <w:rFonts w:ascii="Time New Roman" w:eastAsia="黑体" w:hAnsi="Time New Roman" w:hint="eastAsia"/>
        </w:rPr>
        <w:tab/>
      </w:r>
      <w:r w:rsidRPr="00CD1ED1">
        <w:rPr>
          <w:rFonts w:ascii="Time New Roman" w:eastAsia="黑体" w:hAnsi="Time New Roman" w:hint="eastAsia"/>
        </w:rPr>
        <w:t>缔约国应确保公民享有参与公共事务的权利，并应使《选举法》符合《公约》，包括《公约》第二十五条，以及委员会关于参与公共事务和选举权的第</w:t>
      </w:r>
      <w:r w:rsidRPr="00CD1ED1">
        <w:rPr>
          <w:rFonts w:ascii="Time New Roman" w:eastAsia="黑体" w:hAnsi="Time New Roman"/>
        </w:rPr>
        <w:t>25</w:t>
      </w:r>
      <w:r w:rsidRPr="00CD1ED1">
        <w:rPr>
          <w:rFonts w:ascii="Time New Roman" w:eastAsia="黑体" w:hAnsi="Time New Roman" w:hint="eastAsia"/>
        </w:rPr>
        <w:t>号一般性意见</w:t>
      </w:r>
      <w:r w:rsidRPr="00CD1ED1">
        <w:rPr>
          <w:rFonts w:ascii="Time New Roman" w:eastAsia="黑体" w:hAnsi="Time New Roman" w:hint="eastAsia"/>
        </w:rPr>
        <w:t>(</w:t>
      </w:r>
      <w:r w:rsidRPr="00CD1ED1">
        <w:rPr>
          <w:rFonts w:ascii="Time New Roman" w:eastAsia="黑体" w:hAnsi="Time New Roman"/>
        </w:rPr>
        <w:t>1996</w:t>
      </w:r>
      <w:r w:rsidRPr="00CD1ED1">
        <w:rPr>
          <w:rFonts w:ascii="Time New Roman" w:eastAsia="黑体" w:hAnsi="Time New Roman" w:hint="eastAsia"/>
        </w:rPr>
        <w:t>年</w:t>
      </w:r>
      <w:r w:rsidRPr="00CD1ED1">
        <w:rPr>
          <w:rFonts w:ascii="Time New Roman" w:eastAsia="黑体" w:hAnsi="Time New Roman" w:hint="eastAsia"/>
        </w:rPr>
        <w:t>)</w:t>
      </w:r>
      <w:r w:rsidRPr="00CD1ED1">
        <w:rPr>
          <w:rFonts w:ascii="Time New Roman" w:eastAsia="黑体" w:hAnsi="Time New Roman" w:hint="eastAsia"/>
        </w:rPr>
        <w:t>。具体说来，缔约国应：</w:t>
      </w:r>
    </w:p>
    <w:p w14:paraId="1D74F8EC"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(a)</w:t>
      </w:r>
      <w:r w:rsidRPr="00CD1ED1">
        <w:rPr>
          <w:rFonts w:ascii="Time New Roman" w:eastAsia="黑体" w:hAnsi="Time New Roman"/>
        </w:rPr>
        <w:tab/>
      </w:r>
      <w:r w:rsidRPr="00CD1ED1">
        <w:rPr>
          <w:rFonts w:ascii="Time New Roman" w:eastAsia="黑体" w:hAnsi="Time New Roman" w:hint="eastAsia"/>
        </w:rPr>
        <w:t>扶持多元政治文化，确保反对派政治候选人及其支持者、记者、人权维护者和媒体能够在免于不当干预以及人身自由与安全权限制的情况下自由开展与选举有关的活动；</w:t>
      </w:r>
    </w:p>
    <w:p w14:paraId="2B7E2850"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(b)</w:t>
      </w:r>
      <w:r w:rsidRPr="00CD1ED1">
        <w:rPr>
          <w:rFonts w:ascii="Time New Roman" w:eastAsia="黑体" w:hAnsi="Time New Roman"/>
        </w:rPr>
        <w:tab/>
      </w:r>
      <w:r w:rsidRPr="00CD1ED1">
        <w:rPr>
          <w:rFonts w:ascii="Time New Roman" w:eastAsia="黑体" w:hAnsi="Time New Roman" w:hint="eastAsia"/>
        </w:rPr>
        <w:t>使《选举法》充分符合《宪法》规定，确保该法的实施不受行政部门的不当干预；</w:t>
      </w:r>
    </w:p>
    <w:p w14:paraId="21DD4FD8"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rPr>
        <w:tab/>
        <w:t>(c)</w:t>
      </w:r>
      <w:r w:rsidRPr="00CD1ED1">
        <w:rPr>
          <w:rFonts w:ascii="Time New Roman" w:eastAsia="黑体" w:hAnsi="Time New Roman"/>
        </w:rPr>
        <w:tab/>
      </w:r>
      <w:r w:rsidRPr="00CD1ED1">
        <w:rPr>
          <w:rFonts w:ascii="Time New Roman" w:eastAsia="黑体" w:hAnsi="Time New Roman" w:hint="eastAsia"/>
        </w:rPr>
        <w:t>考虑修订国家法律框架，确保国外侨民、住院人员和在押人员的选举权。</w:t>
      </w:r>
    </w:p>
    <w:p w14:paraId="424CCF96" w14:textId="77777777" w:rsidR="00AA2244" w:rsidRPr="007E469B" w:rsidRDefault="00AA2244" w:rsidP="00CD1ED1">
      <w:pPr>
        <w:pStyle w:val="H1GC"/>
      </w:pPr>
      <w:r w:rsidRPr="007E469B">
        <w:tab/>
        <w:t>D.</w:t>
      </w:r>
      <w:r w:rsidRPr="007E469B">
        <w:tab/>
      </w:r>
      <w:r w:rsidRPr="007E469B">
        <w:rPr>
          <w:rFonts w:hint="eastAsia"/>
        </w:rPr>
        <w:t>传播与后续工作</w:t>
      </w:r>
    </w:p>
    <w:p w14:paraId="17C47739" w14:textId="77777777" w:rsidR="00AA2244" w:rsidRPr="00CD1ED1" w:rsidRDefault="00AA2244" w:rsidP="00AA2244">
      <w:pPr>
        <w:pStyle w:val="SingleTxtGC"/>
        <w:rPr>
          <w:rFonts w:ascii="Time New Roman" w:eastAsia="黑体" w:hAnsi="Time New Roman"/>
        </w:rPr>
      </w:pPr>
      <w:r w:rsidRPr="00CD1ED1">
        <w:rPr>
          <w:rFonts w:ascii="Time New Roman" w:eastAsia="黑体" w:hAnsi="Time New Roman" w:hint="eastAsia"/>
        </w:rPr>
        <w:t>60.</w:t>
      </w:r>
      <w:r w:rsidRPr="00CD1ED1">
        <w:rPr>
          <w:rFonts w:ascii="Time New Roman" w:eastAsia="黑体" w:hAnsi="Time New Roman"/>
        </w:rPr>
        <w:tab/>
      </w:r>
      <w:r w:rsidRPr="00CD1ED1">
        <w:rPr>
          <w:rFonts w:ascii="Time New Roman" w:eastAsia="黑体" w:hAnsi="Time New Roman" w:hint="eastAsia"/>
        </w:rPr>
        <w:t>缔约国应广泛宣传《公约》、其第二次定期报告以及本结论性意见，以提高司法、立法和行政当局、民间社会、在该国开展工作的非政府组织和普通公众对《公约》所载权利的认识。</w:t>
      </w:r>
    </w:p>
    <w:p w14:paraId="671E955B" w14:textId="61926C2C" w:rsidR="00AA2244" w:rsidRPr="00CD1ED1" w:rsidRDefault="00AA2244" w:rsidP="00AA2244">
      <w:pPr>
        <w:pStyle w:val="SingleTxtGC"/>
        <w:rPr>
          <w:rFonts w:ascii="Time New Roman" w:eastAsia="黑体" w:hAnsi="Time New Roman"/>
        </w:rPr>
      </w:pPr>
      <w:r w:rsidRPr="00CD1ED1">
        <w:rPr>
          <w:rFonts w:ascii="Time New Roman" w:eastAsia="黑体" w:hAnsi="Time New Roman" w:hint="eastAsia"/>
        </w:rPr>
        <w:t>61.</w:t>
      </w:r>
      <w:r w:rsidRPr="00CD1ED1">
        <w:rPr>
          <w:rFonts w:ascii="Time New Roman" w:eastAsia="黑体" w:hAnsi="Time New Roman"/>
        </w:rPr>
        <w:tab/>
      </w:r>
      <w:r w:rsidRPr="00CD1ED1">
        <w:rPr>
          <w:rFonts w:ascii="Time New Roman" w:eastAsia="黑体" w:hAnsi="Time New Roman" w:hint="eastAsia"/>
        </w:rPr>
        <w:t>根据委员会议事规则第</w:t>
      </w:r>
      <w:r w:rsidRPr="00CD1ED1">
        <w:rPr>
          <w:rFonts w:ascii="Time New Roman" w:eastAsia="黑体" w:hAnsi="Time New Roman"/>
        </w:rPr>
        <w:t>75</w:t>
      </w:r>
      <w:r w:rsidRPr="00CD1ED1">
        <w:rPr>
          <w:rFonts w:ascii="Time New Roman" w:eastAsia="黑体" w:hAnsi="Time New Roman" w:hint="eastAsia"/>
        </w:rPr>
        <w:t>条第</w:t>
      </w:r>
      <w:r w:rsidRPr="00CD1ED1">
        <w:rPr>
          <w:rFonts w:ascii="Time New Roman" w:eastAsia="黑体" w:hAnsi="Time New Roman" w:hint="eastAsia"/>
        </w:rPr>
        <w:t>(</w:t>
      </w:r>
      <w:r w:rsidRPr="00CD1ED1">
        <w:rPr>
          <w:rFonts w:ascii="Time New Roman" w:eastAsia="黑体" w:hAnsi="Time New Roman"/>
        </w:rPr>
        <w:t>1</w:t>
      </w:r>
      <w:r w:rsidRPr="00CD1ED1">
        <w:rPr>
          <w:rFonts w:ascii="Time New Roman" w:eastAsia="黑体" w:hAnsi="Time New Roman" w:hint="eastAsia"/>
        </w:rPr>
        <w:t>)</w:t>
      </w:r>
      <w:r w:rsidRPr="00CD1ED1">
        <w:rPr>
          <w:rFonts w:ascii="Time New Roman" w:eastAsia="黑体" w:hAnsi="Time New Roman" w:hint="eastAsia"/>
        </w:rPr>
        <w:t>款，缔约国应于</w:t>
      </w:r>
      <w:r w:rsidRPr="00CD1ED1">
        <w:rPr>
          <w:rFonts w:ascii="Time New Roman" w:eastAsia="黑体" w:hAnsi="Time New Roman"/>
        </w:rPr>
        <w:t>2028</w:t>
      </w:r>
      <w:r w:rsidRPr="00CD1ED1">
        <w:rPr>
          <w:rFonts w:ascii="Time New Roman" w:eastAsia="黑体" w:hAnsi="Time New Roman" w:hint="eastAsia"/>
        </w:rPr>
        <w:t>年</w:t>
      </w:r>
      <w:r w:rsidRPr="00CD1ED1">
        <w:rPr>
          <w:rFonts w:ascii="Time New Roman" w:eastAsia="黑体" w:hAnsi="Time New Roman"/>
        </w:rPr>
        <w:t>3</w:t>
      </w:r>
      <w:r w:rsidRPr="00CD1ED1">
        <w:rPr>
          <w:rFonts w:ascii="Time New Roman" w:eastAsia="黑体" w:hAnsi="Time New Roman" w:hint="eastAsia"/>
        </w:rPr>
        <w:t>月</w:t>
      </w:r>
      <w:r w:rsidRPr="00CD1ED1">
        <w:rPr>
          <w:rFonts w:ascii="Time New Roman" w:eastAsia="黑体" w:hAnsi="Time New Roman"/>
        </w:rPr>
        <w:t>28</w:t>
      </w:r>
      <w:r w:rsidRPr="00CD1ED1">
        <w:rPr>
          <w:rFonts w:ascii="Time New Roman" w:eastAsia="黑体" w:hAnsi="Time New Roman" w:hint="eastAsia"/>
        </w:rPr>
        <w:t>日前提供资料，介绍委员会在上文第</w:t>
      </w:r>
      <w:r w:rsidRPr="00CD1ED1">
        <w:rPr>
          <w:rFonts w:ascii="Time New Roman" w:eastAsia="黑体" w:hAnsi="Time New Roman"/>
        </w:rPr>
        <w:t>24</w:t>
      </w:r>
      <w:r w:rsidRPr="00CD1ED1">
        <w:rPr>
          <w:rFonts w:ascii="Time New Roman" w:eastAsia="黑体" w:hAnsi="Time New Roman" w:hint="eastAsia"/>
        </w:rPr>
        <w:t>段</w:t>
      </w:r>
      <w:r w:rsidRPr="00CD1ED1">
        <w:rPr>
          <w:rFonts w:ascii="Time New Roman" w:eastAsia="黑体" w:hAnsi="Time New Roman" w:hint="eastAsia"/>
        </w:rPr>
        <w:t>(</w:t>
      </w:r>
      <w:r w:rsidRPr="00CD1ED1">
        <w:rPr>
          <w:rFonts w:ascii="Time New Roman" w:eastAsia="黑体" w:hAnsi="Time New Roman" w:hint="eastAsia"/>
        </w:rPr>
        <w:t>死刑</w:t>
      </w:r>
      <w:r w:rsidRPr="00CD1ED1">
        <w:rPr>
          <w:rFonts w:ascii="Time New Roman" w:eastAsia="黑体" w:hAnsi="Time New Roman" w:hint="eastAsia"/>
        </w:rPr>
        <w:t>)</w:t>
      </w:r>
      <w:r w:rsidRPr="00CD1ED1">
        <w:rPr>
          <w:rFonts w:ascii="Time New Roman" w:eastAsia="黑体" w:hAnsi="Time New Roman" w:hint="eastAsia"/>
        </w:rPr>
        <w:t>、第</w:t>
      </w:r>
      <w:r w:rsidRPr="00CD1ED1">
        <w:rPr>
          <w:rFonts w:ascii="Time New Roman" w:eastAsia="黑体" w:hAnsi="Time New Roman"/>
        </w:rPr>
        <w:t>51</w:t>
      </w:r>
      <w:r w:rsidRPr="00CD1ED1">
        <w:rPr>
          <w:rFonts w:ascii="Time New Roman" w:eastAsia="黑体" w:hAnsi="Time New Roman" w:hint="eastAsia"/>
        </w:rPr>
        <w:t>段</w:t>
      </w:r>
      <w:r w:rsidRPr="00CD1ED1">
        <w:rPr>
          <w:rFonts w:ascii="Time New Roman" w:eastAsia="黑体" w:hAnsi="Time New Roman" w:hint="eastAsia"/>
        </w:rPr>
        <w:t>(</w:t>
      </w:r>
      <w:r w:rsidRPr="00CD1ED1">
        <w:rPr>
          <w:rFonts w:ascii="Time New Roman" w:eastAsia="黑体" w:hAnsi="Time New Roman" w:hint="eastAsia"/>
        </w:rPr>
        <w:t>表达自由</w:t>
      </w:r>
      <w:r w:rsidRPr="00CD1ED1">
        <w:rPr>
          <w:rFonts w:ascii="Time New Roman" w:eastAsia="黑体" w:hAnsi="Time New Roman" w:hint="eastAsia"/>
        </w:rPr>
        <w:t>)</w:t>
      </w:r>
      <w:r w:rsidRPr="00CD1ED1">
        <w:rPr>
          <w:rFonts w:ascii="Time New Roman" w:eastAsia="黑体" w:hAnsi="Time New Roman" w:hint="eastAsia"/>
        </w:rPr>
        <w:t>和第</w:t>
      </w:r>
      <w:r w:rsidRPr="00CD1ED1">
        <w:rPr>
          <w:rFonts w:ascii="Time New Roman" w:eastAsia="黑体" w:hAnsi="Time New Roman"/>
        </w:rPr>
        <w:t>55</w:t>
      </w:r>
      <w:r w:rsidRPr="00CD1ED1">
        <w:rPr>
          <w:rFonts w:ascii="Time New Roman" w:eastAsia="黑体" w:hAnsi="Time New Roman" w:hint="eastAsia"/>
        </w:rPr>
        <w:t>段</w:t>
      </w:r>
      <w:r w:rsidRPr="00CD1ED1">
        <w:rPr>
          <w:rFonts w:ascii="Time New Roman" w:eastAsia="黑体" w:hAnsi="Time New Roman" w:hint="eastAsia"/>
        </w:rPr>
        <w:t>(</w:t>
      </w:r>
      <w:r w:rsidRPr="00CD1ED1">
        <w:rPr>
          <w:rFonts w:ascii="Time New Roman" w:eastAsia="黑体" w:hAnsi="Time New Roman" w:hint="eastAsia"/>
        </w:rPr>
        <w:t>结社自由</w:t>
      </w:r>
      <w:r w:rsidRPr="00CD1ED1">
        <w:rPr>
          <w:rFonts w:ascii="Time New Roman" w:eastAsia="黑体" w:hAnsi="Time New Roman" w:hint="eastAsia"/>
        </w:rPr>
        <w:t>)</w:t>
      </w:r>
      <w:r w:rsidRPr="00CD1ED1">
        <w:rPr>
          <w:rFonts w:ascii="Time New Roman" w:eastAsia="黑体" w:hAnsi="Time New Roman" w:hint="eastAsia"/>
        </w:rPr>
        <w:t>中所提建议的落实情况。</w:t>
      </w:r>
    </w:p>
    <w:p w14:paraId="1B54A11F" w14:textId="494CAD73" w:rsidR="00AA2244" w:rsidRPr="00CD1ED1" w:rsidRDefault="00AA2244" w:rsidP="00AA2244">
      <w:pPr>
        <w:pStyle w:val="SingleTxtGC"/>
        <w:rPr>
          <w:rFonts w:ascii="Time New Roman" w:eastAsia="黑体" w:hAnsi="Time New Roman"/>
        </w:rPr>
      </w:pPr>
      <w:r w:rsidRPr="00CD1ED1">
        <w:rPr>
          <w:rFonts w:ascii="Time New Roman" w:eastAsia="黑体" w:hAnsi="Time New Roman" w:hint="eastAsia"/>
        </w:rPr>
        <w:t>62.</w:t>
      </w:r>
      <w:r w:rsidRPr="00CD1ED1">
        <w:rPr>
          <w:rFonts w:ascii="Time New Roman" w:eastAsia="黑体" w:hAnsi="Time New Roman"/>
        </w:rPr>
        <w:tab/>
      </w:r>
      <w:r w:rsidRPr="00CD1ED1">
        <w:rPr>
          <w:rFonts w:ascii="Time New Roman" w:eastAsia="黑体" w:hAnsi="Time New Roman" w:hint="eastAsia"/>
        </w:rPr>
        <w:t>根据委员会可预见的审议周期，缔约国将在</w:t>
      </w:r>
      <w:r w:rsidRPr="00CD1ED1">
        <w:rPr>
          <w:rFonts w:ascii="Time New Roman" w:eastAsia="黑体" w:hAnsi="Time New Roman"/>
        </w:rPr>
        <w:t>2031</w:t>
      </w:r>
      <w:r w:rsidRPr="00CD1ED1">
        <w:rPr>
          <w:rFonts w:ascii="Time New Roman" w:eastAsia="黑体" w:hAnsi="Time New Roman" w:hint="eastAsia"/>
        </w:rPr>
        <w:t>年收到委员会的报告前问题清单，并应在一年内提交答复，作为缔约国的第三次定期报告。委员会还请缔约国在编写报告时广泛征求民间社会和在该国开展工作的非政府组织的意见。根据大会第</w:t>
      </w:r>
      <w:r w:rsidRPr="00CD1ED1">
        <w:rPr>
          <w:rFonts w:ascii="Time New Roman" w:eastAsia="黑体" w:hAnsi="Time New Roman"/>
        </w:rPr>
        <w:t>68/268</w:t>
      </w:r>
      <w:r w:rsidRPr="00CD1ED1">
        <w:rPr>
          <w:rFonts w:ascii="Time New Roman" w:eastAsia="黑体" w:hAnsi="Time New Roman" w:hint="eastAsia"/>
        </w:rPr>
        <w:t>号决议，报告篇幅不得超过</w:t>
      </w:r>
      <w:r w:rsidRPr="00CD1ED1">
        <w:rPr>
          <w:rFonts w:ascii="Time New Roman" w:eastAsia="黑体" w:hAnsi="Time New Roman"/>
        </w:rPr>
        <w:t>21,200</w:t>
      </w:r>
      <w:r w:rsidRPr="00CD1ED1">
        <w:rPr>
          <w:rFonts w:ascii="Time New Roman" w:eastAsia="黑体" w:hAnsi="Time New Roman" w:hint="eastAsia"/>
        </w:rPr>
        <w:t>字。委员会与缔约国的下一次建设性对话将于</w:t>
      </w:r>
      <w:r w:rsidRPr="00CD1ED1">
        <w:rPr>
          <w:rFonts w:ascii="Time New Roman" w:eastAsia="黑体" w:hAnsi="Time New Roman"/>
        </w:rPr>
        <w:t>2033</w:t>
      </w:r>
      <w:r w:rsidRPr="00CD1ED1">
        <w:rPr>
          <w:rFonts w:ascii="Time New Roman" w:eastAsia="黑体" w:hAnsi="Time New Roman" w:hint="eastAsia"/>
        </w:rPr>
        <w:t>年在日内瓦举行。</w:t>
      </w:r>
    </w:p>
    <w:p w14:paraId="0ABE5BA9" w14:textId="4A8802BB" w:rsidR="00FE11BE" w:rsidRPr="00AA2244" w:rsidRDefault="00AA2244" w:rsidP="006E5A66">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FE11BE" w:rsidRPr="00AA2244"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2CDCA" w14:textId="77777777" w:rsidR="008D1ECE" w:rsidRPr="000D319F" w:rsidRDefault="008D1ECE" w:rsidP="000D319F">
      <w:pPr>
        <w:pStyle w:val="af0"/>
        <w:spacing w:after="240"/>
        <w:ind w:left="907"/>
        <w:rPr>
          <w:rFonts w:asciiTheme="majorBidi" w:eastAsia="宋体" w:hAnsiTheme="majorBidi" w:cstheme="majorBidi"/>
          <w:sz w:val="21"/>
          <w:szCs w:val="21"/>
          <w:lang w:val="en-US"/>
        </w:rPr>
      </w:pPr>
    </w:p>
    <w:p w14:paraId="41AD97FF" w14:textId="77777777" w:rsidR="008D1ECE" w:rsidRPr="000D319F" w:rsidRDefault="008D1EC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536E8F4" w14:textId="77777777" w:rsidR="008D1ECE" w:rsidRPr="000D319F" w:rsidRDefault="008D1ECE" w:rsidP="000D319F">
      <w:pPr>
        <w:pStyle w:val="af0"/>
      </w:pPr>
    </w:p>
  </w:endnote>
  <w:endnote w:type="continuationNotice" w:id="1">
    <w:p w14:paraId="7F09FE33" w14:textId="77777777" w:rsidR="008D1ECE" w:rsidRDefault="008D1E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8A5A" w14:textId="77777777" w:rsidR="00117CCB" w:rsidRPr="00AD2C68" w:rsidRDefault="00AD2C68" w:rsidP="00AD2C6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D2C68">
      <w:rPr>
        <w:rStyle w:val="af2"/>
        <w:b w:val="0"/>
        <w:snapToGrid w:val="0"/>
        <w:sz w:val="16"/>
      </w:rPr>
      <w:t>GE.25-05538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E9320" w14:textId="77777777" w:rsidR="00117CCB" w:rsidRPr="00AD2C68" w:rsidRDefault="00AD2C68" w:rsidP="00AD2C68">
    <w:pPr>
      <w:pStyle w:val="af0"/>
      <w:tabs>
        <w:tab w:val="clear" w:pos="431"/>
        <w:tab w:val="right" w:pos="9638"/>
      </w:tabs>
      <w:rPr>
        <w:rStyle w:val="af2"/>
      </w:rPr>
    </w:pPr>
    <w:r>
      <w:t>GE.25-05538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48BA5" w14:textId="37308D9F" w:rsidR="00117CCB" w:rsidRPr="00487939" w:rsidRDefault="00AD2C6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6EC583" wp14:editId="569BDFD8">
          <wp:simplePos x="0" y="0"/>
          <wp:positionH relativeFrom="column">
            <wp:align>right</wp:align>
          </wp:positionH>
          <wp:positionV relativeFrom="paragraph">
            <wp:posOffset>-69850</wp:posOffset>
          </wp:positionV>
          <wp:extent cx="571500" cy="571500"/>
          <wp:effectExtent l="0" t="0" r="0" b="0"/>
          <wp:wrapNone/>
          <wp:docPr id="508819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GE.25-05538</w:t>
    </w:r>
    <w:r w:rsidR="00731A42" w:rsidRPr="00EE277A">
      <w:rPr>
        <w:sz w:val="20"/>
        <w:lang w:eastAsia="zh-CN"/>
      </w:rPr>
      <w:t xml:space="preserve"> (C)</w:t>
    </w:r>
    <w:r w:rsidR="00EA7E67">
      <w:rPr>
        <w:sz w:val="20"/>
        <w:lang w:eastAsia="zh-CN"/>
      </w:rPr>
      <w:tab/>
    </w:r>
    <w:r>
      <w:rPr>
        <w:rFonts w:eastAsiaTheme="minorEastAsia" w:hint="eastAsia"/>
        <w:sz w:val="20"/>
        <w:lang w:eastAsia="zh-CN"/>
      </w:rPr>
      <w:t>2005</w:t>
    </w:r>
    <w:r w:rsidR="00A43337">
      <w:rPr>
        <w:sz w:val="20"/>
        <w:lang w:eastAsia="zh-CN"/>
      </w:rPr>
      <w:t>25</w:t>
    </w:r>
    <w:r w:rsidR="00731A42">
      <w:rPr>
        <w:sz w:val="20"/>
        <w:lang w:eastAsia="zh-CN"/>
      </w:rPr>
      <w:tab/>
    </w:r>
    <w:r>
      <w:rPr>
        <w:rFonts w:eastAsiaTheme="minorEastAsia" w:hint="eastAsia"/>
        <w:sz w:val="20"/>
        <w:lang w:eastAsia="zh-CN"/>
      </w:rPr>
      <w:t>0506</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34E75695" wp14:editId="29F1684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601E1" w14:textId="77777777" w:rsidR="008D1ECE" w:rsidRPr="000157B1" w:rsidRDefault="008D1E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38DC844" w14:textId="77777777" w:rsidR="008D1ECE" w:rsidRPr="000157B1" w:rsidRDefault="008D1E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6464CE" w14:textId="77777777" w:rsidR="008D1ECE" w:rsidRDefault="008D1ECE"/>
  </w:footnote>
  <w:footnote w:id="2">
    <w:p w14:paraId="30284810" w14:textId="77777777" w:rsidR="00AA2244" w:rsidRDefault="00AA2244" w:rsidP="00AA2244">
      <w:pPr>
        <w:pStyle w:val="a6"/>
      </w:pPr>
      <w:bookmarkStart w:id="0" w:name="_Hlk200024014"/>
      <w:bookmarkStart w:id="1" w:name="_Hlk200024015"/>
      <w:r>
        <w:tab/>
      </w:r>
      <w:r w:rsidRPr="00FB1D99">
        <w:rPr>
          <w:sz w:val="21"/>
          <w:szCs w:val="21"/>
        </w:rPr>
        <w:t>*</w:t>
      </w:r>
      <w:r w:rsidRPr="0040690D">
        <w:tab/>
      </w:r>
      <w:r w:rsidRPr="0040690D">
        <w:rPr>
          <w:rFonts w:hint="eastAsia"/>
        </w:rPr>
        <w:t>委员会第一四三届会议</w:t>
      </w:r>
      <w:r w:rsidRPr="0040690D">
        <w:rPr>
          <w:rFonts w:hint="eastAsia"/>
        </w:rPr>
        <w:t>(2025</w:t>
      </w:r>
      <w:r w:rsidRPr="0040690D">
        <w:rPr>
          <w:rFonts w:hint="eastAsia"/>
        </w:rPr>
        <w:t>年</w:t>
      </w:r>
      <w:r w:rsidRPr="0040690D">
        <w:rPr>
          <w:rFonts w:hint="eastAsia"/>
        </w:rPr>
        <w:t>3</w:t>
      </w:r>
      <w:r w:rsidRPr="0040690D">
        <w:rPr>
          <w:rFonts w:hint="eastAsia"/>
        </w:rPr>
        <w:t>月</w:t>
      </w:r>
      <w:r w:rsidRPr="0040690D">
        <w:rPr>
          <w:rFonts w:hint="eastAsia"/>
        </w:rPr>
        <w:t>3</w:t>
      </w:r>
      <w:r w:rsidRPr="0040690D">
        <w:rPr>
          <w:rFonts w:hint="eastAsia"/>
        </w:rPr>
        <w:t>日至</w:t>
      </w:r>
      <w:r w:rsidRPr="0040690D">
        <w:rPr>
          <w:rFonts w:hint="eastAsia"/>
        </w:rPr>
        <w:t>28</w:t>
      </w:r>
      <w:r w:rsidRPr="0040690D">
        <w:rPr>
          <w:rFonts w:hint="eastAsia"/>
        </w:rPr>
        <w:t>日</w:t>
      </w:r>
      <w:r w:rsidRPr="0040690D">
        <w:rPr>
          <w:rFonts w:hint="eastAsia"/>
        </w:rPr>
        <w:t>)</w:t>
      </w:r>
      <w:r w:rsidRPr="0040690D">
        <w:rPr>
          <w:rFonts w:hint="eastAsia"/>
        </w:rPr>
        <w:t>通过。</w:t>
      </w:r>
    </w:p>
  </w:footnote>
  <w:footnote w:id="3">
    <w:p w14:paraId="14615A18" w14:textId="0BF1A1C2" w:rsidR="00AA2244" w:rsidRPr="00945B3D" w:rsidRDefault="00AA2244" w:rsidP="00AA2244">
      <w:pPr>
        <w:pStyle w:val="a6"/>
      </w:pPr>
      <w:r>
        <w:tab/>
      </w:r>
      <w:r w:rsidRPr="0040690D">
        <w:rPr>
          <w:rStyle w:val="a8"/>
          <w:rFonts w:eastAsia="宋体"/>
        </w:rPr>
        <w:footnoteRef/>
      </w:r>
      <w:r>
        <w:rPr>
          <w:rStyle w:val="a7"/>
        </w:rPr>
        <w:tab/>
      </w:r>
      <w:r w:rsidRPr="009F15DD">
        <w:rPr>
          <w:rStyle w:val="af6"/>
          <w:color w:val="auto"/>
        </w:rPr>
        <w:t>CCPR/C/ZWE/2</w:t>
      </w:r>
      <w:r w:rsidR="00FB1D99">
        <w:t>.</w:t>
      </w:r>
    </w:p>
  </w:footnote>
  <w:footnote w:id="4">
    <w:p w14:paraId="75C9FABF" w14:textId="393B6A51" w:rsidR="00AA2244" w:rsidRPr="009F15DD" w:rsidRDefault="00AA2244" w:rsidP="00AA2244">
      <w:pPr>
        <w:pStyle w:val="a6"/>
        <w:rPr>
          <w:rFonts w:hint="eastAsia"/>
        </w:rPr>
      </w:pPr>
      <w:r>
        <w:tab/>
      </w:r>
      <w:r w:rsidRPr="0040690D">
        <w:rPr>
          <w:rStyle w:val="a8"/>
          <w:rFonts w:eastAsia="宋体"/>
        </w:rPr>
        <w:footnoteRef/>
      </w:r>
      <w:r>
        <w:rPr>
          <w:rStyle w:val="a7"/>
        </w:rPr>
        <w:tab/>
      </w:r>
      <w:r w:rsidRPr="0040690D">
        <w:rPr>
          <w:rFonts w:hint="eastAsia"/>
        </w:rPr>
        <w:t>见</w:t>
      </w:r>
      <w:r w:rsidRPr="009F15DD">
        <w:rPr>
          <w:rStyle w:val="af6"/>
          <w:color w:val="auto"/>
        </w:rPr>
        <w:t>CCPR/C/SR.4191</w:t>
      </w:r>
      <w:r w:rsidRPr="0040690D">
        <w:rPr>
          <w:rFonts w:hint="eastAsia"/>
        </w:rPr>
        <w:t>和</w:t>
      </w:r>
      <w:r w:rsidRPr="009F15DD">
        <w:rPr>
          <w:rStyle w:val="af6"/>
          <w:color w:val="auto"/>
        </w:rPr>
        <w:t>CCPR/C/SR.4192</w:t>
      </w:r>
      <w:r w:rsidR="003313BF">
        <w:rPr>
          <w:rFonts w:hint="eastAsia"/>
          <w:lang w:val="fr-CH"/>
        </w:rPr>
        <w:t>。</w:t>
      </w:r>
    </w:p>
  </w:footnote>
  <w:footnote w:id="5">
    <w:p w14:paraId="60A55BC9" w14:textId="1BBF2885" w:rsidR="00AA2244" w:rsidRPr="00470BCF" w:rsidRDefault="00AA2244" w:rsidP="00AA2244">
      <w:pPr>
        <w:pStyle w:val="a6"/>
      </w:pPr>
      <w:r>
        <w:tab/>
      </w:r>
      <w:r w:rsidRPr="0040690D">
        <w:rPr>
          <w:rStyle w:val="a8"/>
          <w:rFonts w:eastAsia="宋体"/>
        </w:rPr>
        <w:footnoteRef/>
      </w:r>
      <w:r>
        <w:rPr>
          <w:rStyle w:val="a7"/>
        </w:rPr>
        <w:tab/>
      </w:r>
      <w:r w:rsidRPr="009F15DD">
        <w:rPr>
          <w:rStyle w:val="af6"/>
          <w:color w:val="auto"/>
        </w:rPr>
        <w:t>CCPR/C/ZWE/QPR/2</w:t>
      </w:r>
      <w:r w:rsidRPr="0040690D">
        <w:t>.</w:t>
      </w:r>
    </w:p>
  </w:footnote>
  <w:footnote w:id="6">
    <w:p w14:paraId="42BF0529" w14:textId="0FAFF086" w:rsidR="00AA2244" w:rsidRPr="00B0001B" w:rsidRDefault="00AA2244" w:rsidP="00AA2244">
      <w:pPr>
        <w:pStyle w:val="a6"/>
      </w:pPr>
      <w:r>
        <w:tab/>
      </w:r>
      <w:r w:rsidRPr="0040690D">
        <w:rPr>
          <w:rStyle w:val="a8"/>
          <w:rFonts w:eastAsia="宋体"/>
        </w:rPr>
        <w:footnoteRef/>
      </w:r>
      <w:r>
        <w:rPr>
          <w:rStyle w:val="a7"/>
        </w:rPr>
        <w:tab/>
      </w:r>
      <w:r w:rsidRPr="009F15DD">
        <w:t>CCPR/C/79/Add.89</w:t>
      </w:r>
      <w:r w:rsidRPr="0040690D">
        <w:t xml:space="preserve">, </w:t>
      </w:r>
      <w:r w:rsidRPr="0040690D">
        <w:rPr>
          <w:rFonts w:hint="eastAsia"/>
          <w:lang w:val="es-ES"/>
        </w:rPr>
        <w:t>第</w:t>
      </w:r>
      <w:r w:rsidRPr="0040690D">
        <w:rPr>
          <w:rFonts w:hint="eastAsia"/>
        </w:rPr>
        <w:t>1</w:t>
      </w:r>
      <w:r w:rsidRPr="0040690D">
        <w:t>1</w:t>
      </w:r>
      <w:r w:rsidRPr="0040690D">
        <w:rPr>
          <w:rFonts w:hint="eastAsia"/>
          <w:lang w:val="es-ES"/>
        </w:rPr>
        <w:t>段。</w:t>
      </w:r>
    </w:p>
  </w:footnote>
  <w:footnote w:id="7">
    <w:p w14:paraId="3535D940" w14:textId="77777777" w:rsidR="00AA2244" w:rsidRPr="001D11DF" w:rsidRDefault="00AA2244" w:rsidP="00AA2244">
      <w:pPr>
        <w:pStyle w:val="a6"/>
      </w:pPr>
      <w:r>
        <w:tab/>
      </w:r>
      <w:r w:rsidRPr="0040690D">
        <w:rPr>
          <w:rStyle w:val="a8"/>
          <w:rFonts w:eastAsia="宋体"/>
        </w:rPr>
        <w:footnoteRef/>
      </w:r>
      <w:r>
        <w:rPr>
          <w:rStyle w:val="a7"/>
        </w:rPr>
        <w:tab/>
      </w:r>
      <w:r w:rsidRPr="0040690D">
        <w:rPr>
          <w:rFonts w:hint="eastAsia"/>
          <w:lang w:val="es-ES"/>
        </w:rPr>
        <w:t>同上</w:t>
      </w:r>
      <w:r w:rsidRPr="0040690D">
        <w:rPr>
          <w:rFonts w:hint="eastAsia"/>
        </w:rPr>
        <w:t>，</w:t>
      </w:r>
      <w:r w:rsidRPr="0040690D">
        <w:rPr>
          <w:rFonts w:hint="eastAsia"/>
          <w:lang w:val="es-ES"/>
        </w:rPr>
        <w:t>第</w:t>
      </w:r>
      <w:r w:rsidRPr="0040690D">
        <w:rPr>
          <w:rFonts w:hint="eastAsia"/>
        </w:rPr>
        <w:t>14</w:t>
      </w:r>
      <w:r w:rsidRPr="0040690D">
        <w:rPr>
          <w:rFonts w:hint="eastAsia"/>
          <w:lang w:val="es-ES"/>
        </w:rPr>
        <w:t>段</w:t>
      </w:r>
    </w:p>
  </w:footnote>
  <w:footnote w:id="8">
    <w:p w14:paraId="6DDC408B" w14:textId="77777777" w:rsidR="00AA2244" w:rsidRPr="001D11DF" w:rsidRDefault="00AA2244" w:rsidP="00AA2244">
      <w:pPr>
        <w:pStyle w:val="a6"/>
      </w:pPr>
      <w:r>
        <w:tab/>
      </w:r>
      <w:r w:rsidRPr="0040690D">
        <w:rPr>
          <w:rStyle w:val="a8"/>
          <w:rFonts w:eastAsia="宋体"/>
        </w:rPr>
        <w:footnoteRef/>
      </w:r>
      <w:r>
        <w:rPr>
          <w:rStyle w:val="a7"/>
        </w:rPr>
        <w:tab/>
      </w:r>
      <w:r w:rsidRPr="0040690D">
        <w:rPr>
          <w:rFonts w:hint="eastAsia"/>
          <w:lang w:val="es-ES"/>
        </w:rPr>
        <w:t>同上</w:t>
      </w:r>
      <w:r w:rsidRPr="0040690D">
        <w:rPr>
          <w:rFonts w:hint="eastAsia"/>
        </w:rPr>
        <w:t>，</w:t>
      </w:r>
      <w:r w:rsidRPr="0040690D">
        <w:rPr>
          <w:rFonts w:hint="eastAsia"/>
          <w:lang w:val="es-ES"/>
        </w:rPr>
        <w:t>第</w:t>
      </w:r>
      <w:r w:rsidRPr="0040690D">
        <w:t>18</w:t>
      </w:r>
      <w:r w:rsidRPr="0040690D">
        <w:rPr>
          <w:rFonts w:hint="eastAsia"/>
          <w:lang w:val="es-ES"/>
        </w:rPr>
        <w:t>段。</w:t>
      </w:r>
    </w:p>
  </w:footnote>
  <w:footnote w:id="9">
    <w:p w14:paraId="35A4FB99" w14:textId="77777777" w:rsidR="00AA2244" w:rsidRPr="001D11DF" w:rsidRDefault="00AA2244" w:rsidP="00AA2244">
      <w:pPr>
        <w:pStyle w:val="a6"/>
      </w:pPr>
      <w:r>
        <w:tab/>
      </w:r>
      <w:r w:rsidRPr="0040690D">
        <w:rPr>
          <w:rStyle w:val="a8"/>
          <w:rFonts w:eastAsia="宋体"/>
        </w:rPr>
        <w:footnoteRef/>
      </w:r>
      <w:r w:rsidRPr="00321E74">
        <w:rPr>
          <w:rStyle w:val="a7"/>
        </w:rPr>
        <w:tab/>
      </w:r>
      <w:r w:rsidRPr="0040690D">
        <w:rPr>
          <w:rFonts w:hint="eastAsia"/>
          <w:lang w:val="es-ES"/>
        </w:rPr>
        <w:t>同上</w:t>
      </w:r>
      <w:r w:rsidRPr="0040690D">
        <w:rPr>
          <w:rFonts w:hint="eastAsia"/>
        </w:rPr>
        <w:t>，</w:t>
      </w:r>
      <w:r w:rsidRPr="0040690D">
        <w:rPr>
          <w:rFonts w:hint="eastAsia"/>
          <w:lang w:val="es-ES"/>
        </w:rPr>
        <w:t>第</w:t>
      </w:r>
      <w:r w:rsidRPr="0040690D">
        <w:rPr>
          <w:rFonts w:hint="eastAsia"/>
        </w:rPr>
        <w:t>22</w:t>
      </w:r>
      <w:r w:rsidRPr="0040690D">
        <w:rPr>
          <w:rFonts w:hint="eastAsia"/>
          <w:lang w:val="es-ES"/>
        </w:rPr>
        <w:t>段。</w:t>
      </w:r>
    </w:p>
  </w:footnote>
  <w:footnote w:id="10">
    <w:p w14:paraId="1554F407" w14:textId="77777777" w:rsidR="00AA2244" w:rsidRPr="001D11DF" w:rsidRDefault="00AA2244" w:rsidP="00AA2244">
      <w:pPr>
        <w:pStyle w:val="a6"/>
      </w:pPr>
      <w:r>
        <w:tab/>
      </w:r>
      <w:r w:rsidRPr="0040690D">
        <w:rPr>
          <w:rStyle w:val="a8"/>
          <w:rFonts w:eastAsia="宋体"/>
        </w:rPr>
        <w:footnoteRef/>
      </w:r>
      <w:r>
        <w:rPr>
          <w:rStyle w:val="a7"/>
        </w:rPr>
        <w:tab/>
      </w:r>
      <w:r w:rsidRPr="0040690D">
        <w:rPr>
          <w:rFonts w:hint="eastAsia"/>
          <w:lang w:val="es-ES"/>
        </w:rPr>
        <w:t>同上</w:t>
      </w:r>
      <w:r w:rsidRPr="0040690D">
        <w:rPr>
          <w:rFonts w:hint="eastAsia"/>
        </w:rPr>
        <w:t>，</w:t>
      </w:r>
      <w:r w:rsidRPr="0040690D">
        <w:rPr>
          <w:rFonts w:hint="eastAsia"/>
          <w:lang w:val="es-ES"/>
        </w:rPr>
        <w:t>第</w:t>
      </w:r>
      <w:r w:rsidRPr="0040690D">
        <w:rPr>
          <w:rFonts w:hint="eastAsia"/>
        </w:rPr>
        <w:t>16</w:t>
      </w:r>
      <w:r w:rsidRPr="0040690D">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5F3E" w14:textId="77777777" w:rsidR="00117CCB" w:rsidRDefault="00AD2C68" w:rsidP="00AD2C68">
    <w:pPr>
      <w:pStyle w:val="af3"/>
    </w:pPr>
    <w:r>
      <w:t>CCPR/C/ZWE/CO/2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2BE3F" w14:textId="77777777" w:rsidR="00117CCB" w:rsidRPr="00202A30" w:rsidRDefault="00AD2C68" w:rsidP="00AD2C68">
    <w:pPr>
      <w:pStyle w:val="af3"/>
      <w:jc w:val="right"/>
    </w:pPr>
    <w:r>
      <w:t>CCPR/C/ZWE/CO/2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FE6957E">
      <w:start w:val="1"/>
      <w:numFmt w:val="decimal"/>
      <w:lvlText w:val="%1."/>
      <w:lvlJc w:val="left"/>
      <w:pPr>
        <w:tabs>
          <w:tab w:val="num" w:pos="1701"/>
        </w:tabs>
        <w:ind w:left="1134" w:firstLine="0"/>
      </w:pPr>
      <w:rPr>
        <w:rFonts w:ascii="Times New Roman" w:hAnsi="Times New Roman" w:hint="default"/>
        <w:b w:val="0"/>
        <w:i w:val="0"/>
        <w:sz w:val="20"/>
      </w:rPr>
    </w:lvl>
    <w:lvl w:ilvl="1" w:tplc="B13496B4" w:tentative="1">
      <w:start w:val="1"/>
      <w:numFmt w:val="lowerLetter"/>
      <w:lvlText w:val="%2."/>
      <w:lvlJc w:val="left"/>
      <w:pPr>
        <w:tabs>
          <w:tab w:val="num" w:pos="1440"/>
        </w:tabs>
        <w:ind w:left="1440" w:hanging="360"/>
      </w:pPr>
    </w:lvl>
    <w:lvl w:ilvl="2" w:tplc="F62806D6" w:tentative="1">
      <w:start w:val="1"/>
      <w:numFmt w:val="lowerRoman"/>
      <w:lvlText w:val="%3."/>
      <w:lvlJc w:val="right"/>
      <w:pPr>
        <w:tabs>
          <w:tab w:val="num" w:pos="2160"/>
        </w:tabs>
        <w:ind w:left="2160" w:hanging="180"/>
      </w:pPr>
    </w:lvl>
    <w:lvl w:ilvl="3" w:tplc="C3CE6154" w:tentative="1">
      <w:start w:val="1"/>
      <w:numFmt w:val="decimal"/>
      <w:lvlText w:val="%4."/>
      <w:lvlJc w:val="left"/>
      <w:pPr>
        <w:tabs>
          <w:tab w:val="num" w:pos="2880"/>
        </w:tabs>
        <w:ind w:left="2880" w:hanging="360"/>
      </w:pPr>
    </w:lvl>
    <w:lvl w:ilvl="4" w:tplc="6AA4AB8A" w:tentative="1">
      <w:start w:val="1"/>
      <w:numFmt w:val="lowerLetter"/>
      <w:lvlText w:val="%5."/>
      <w:lvlJc w:val="left"/>
      <w:pPr>
        <w:tabs>
          <w:tab w:val="num" w:pos="3600"/>
        </w:tabs>
        <w:ind w:left="3600" w:hanging="360"/>
      </w:pPr>
    </w:lvl>
    <w:lvl w:ilvl="5" w:tplc="555C3AE2" w:tentative="1">
      <w:start w:val="1"/>
      <w:numFmt w:val="lowerRoman"/>
      <w:lvlText w:val="%6."/>
      <w:lvlJc w:val="right"/>
      <w:pPr>
        <w:tabs>
          <w:tab w:val="num" w:pos="4320"/>
        </w:tabs>
        <w:ind w:left="4320" w:hanging="180"/>
      </w:pPr>
    </w:lvl>
    <w:lvl w:ilvl="6" w:tplc="4638611C" w:tentative="1">
      <w:start w:val="1"/>
      <w:numFmt w:val="decimal"/>
      <w:lvlText w:val="%7."/>
      <w:lvlJc w:val="left"/>
      <w:pPr>
        <w:tabs>
          <w:tab w:val="num" w:pos="5040"/>
        </w:tabs>
        <w:ind w:left="5040" w:hanging="360"/>
      </w:pPr>
    </w:lvl>
    <w:lvl w:ilvl="7" w:tplc="DE002072" w:tentative="1">
      <w:start w:val="1"/>
      <w:numFmt w:val="lowerLetter"/>
      <w:lvlText w:val="%8."/>
      <w:lvlJc w:val="left"/>
      <w:pPr>
        <w:tabs>
          <w:tab w:val="num" w:pos="5760"/>
        </w:tabs>
        <w:ind w:left="5760" w:hanging="360"/>
      </w:pPr>
    </w:lvl>
    <w:lvl w:ilvl="8" w:tplc="1B584100"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8FC3680"/>
    <w:multiLevelType w:val="multilevel"/>
    <w:tmpl w:val="F1C8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F5755B"/>
    <w:multiLevelType w:val="hybridMultilevel"/>
    <w:tmpl w:val="17B86E80"/>
    <w:lvl w:ilvl="0" w:tplc="67BCFBB6">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265A154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26EE2CCF"/>
    <w:multiLevelType w:val="hybridMultilevel"/>
    <w:tmpl w:val="365E2C10"/>
    <w:lvl w:ilvl="0" w:tplc="50CC0C3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B6759C"/>
    <w:multiLevelType w:val="hybridMultilevel"/>
    <w:tmpl w:val="62200426"/>
    <w:lvl w:ilvl="0" w:tplc="E40C641E">
      <w:start w:val="1"/>
      <w:numFmt w:val="low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7" w15:restartNumberingAfterBreak="0">
    <w:nsid w:val="3ACF4EB2"/>
    <w:multiLevelType w:val="hybridMultilevel"/>
    <w:tmpl w:val="CB6C816A"/>
    <w:lvl w:ilvl="0" w:tplc="24AE8E94">
      <w:start w:val="1"/>
      <w:numFmt w:val="bullet"/>
      <w:lvlText w:val="•"/>
      <w:lvlJc w:val="left"/>
      <w:pPr>
        <w:tabs>
          <w:tab w:val="num" w:pos="2268"/>
        </w:tabs>
        <w:ind w:left="2268" w:hanging="170"/>
      </w:pPr>
      <w:rPr>
        <w:rFonts w:ascii="Times New Roman" w:hAnsi="Times New Roman" w:cs="Times New Roman" w:hint="default"/>
      </w:rPr>
    </w:lvl>
    <w:lvl w:ilvl="1" w:tplc="3FECC644" w:tentative="1">
      <w:start w:val="1"/>
      <w:numFmt w:val="bullet"/>
      <w:lvlText w:val="o"/>
      <w:lvlJc w:val="left"/>
      <w:pPr>
        <w:tabs>
          <w:tab w:val="num" w:pos="3708"/>
        </w:tabs>
        <w:ind w:left="3708" w:hanging="360"/>
      </w:pPr>
      <w:rPr>
        <w:rFonts w:ascii="Courier New" w:hAnsi="Courier New" w:hint="default"/>
      </w:rPr>
    </w:lvl>
    <w:lvl w:ilvl="2" w:tplc="A7587F48" w:tentative="1">
      <w:start w:val="1"/>
      <w:numFmt w:val="bullet"/>
      <w:lvlText w:val=""/>
      <w:lvlJc w:val="left"/>
      <w:pPr>
        <w:tabs>
          <w:tab w:val="num" w:pos="4428"/>
        </w:tabs>
        <w:ind w:left="4428" w:hanging="360"/>
      </w:pPr>
      <w:rPr>
        <w:rFonts w:ascii="Wingdings" w:hAnsi="Wingdings" w:hint="default"/>
      </w:rPr>
    </w:lvl>
    <w:lvl w:ilvl="3" w:tplc="6F709776" w:tentative="1">
      <w:start w:val="1"/>
      <w:numFmt w:val="bullet"/>
      <w:lvlText w:val=""/>
      <w:lvlJc w:val="left"/>
      <w:pPr>
        <w:tabs>
          <w:tab w:val="num" w:pos="5148"/>
        </w:tabs>
        <w:ind w:left="5148" w:hanging="360"/>
      </w:pPr>
      <w:rPr>
        <w:rFonts w:ascii="Symbol" w:hAnsi="Symbol" w:hint="default"/>
      </w:rPr>
    </w:lvl>
    <w:lvl w:ilvl="4" w:tplc="EF287AB6" w:tentative="1">
      <w:start w:val="1"/>
      <w:numFmt w:val="bullet"/>
      <w:lvlText w:val="o"/>
      <w:lvlJc w:val="left"/>
      <w:pPr>
        <w:tabs>
          <w:tab w:val="num" w:pos="5868"/>
        </w:tabs>
        <w:ind w:left="5868" w:hanging="360"/>
      </w:pPr>
      <w:rPr>
        <w:rFonts w:ascii="Courier New" w:hAnsi="Courier New" w:hint="default"/>
      </w:rPr>
    </w:lvl>
    <w:lvl w:ilvl="5" w:tplc="F5849422" w:tentative="1">
      <w:start w:val="1"/>
      <w:numFmt w:val="bullet"/>
      <w:lvlText w:val=""/>
      <w:lvlJc w:val="left"/>
      <w:pPr>
        <w:tabs>
          <w:tab w:val="num" w:pos="6588"/>
        </w:tabs>
        <w:ind w:left="6588" w:hanging="360"/>
      </w:pPr>
      <w:rPr>
        <w:rFonts w:ascii="Wingdings" w:hAnsi="Wingdings" w:hint="default"/>
      </w:rPr>
    </w:lvl>
    <w:lvl w:ilvl="6" w:tplc="85BC0FA6" w:tentative="1">
      <w:start w:val="1"/>
      <w:numFmt w:val="bullet"/>
      <w:lvlText w:val=""/>
      <w:lvlJc w:val="left"/>
      <w:pPr>
        <w:tabs>
          <w:tab w:val="num" w:pos="7308"/>
        </w:tabs>
        <w:ind w:left="7308" w:hanging="360"/>
      </w:pPr>
      <w:rPr>
        <w:rFonts w:ascii="Symbol" w:hAnsi="Symbol" w:hint="default"/>
      </w:rPr>
    </w:lvl>
    <w:lvl w:ilvl="7" w:tplc="9CA4AF66" w:tentative="1">
      <w:start w:val="1"/>
      <w:numFmt w:val="bullet"/>
      <w:lvlText w:val="o"/>
      <w:lvlJc w:val="left"/>
      <w:pPr>
        <w:tabs>
          <w:tab w:val="num" w:pos="8028"/>
        </w:tabs>
        <w:ind w:left="8028" w:hanging="360"/>
      </w:pPr>
      <w:rPr>
        <w:rFonts w:ascii="Courier New" w:hAnsi="Courier New" w:hint="default"/>
      </w:rPr>
    </w:lvl>
    <w:lvl w:ilvl="8" w:tplc="6B7269DE"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CB404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CCD4045"/>
    <w:multiLevelType w:val="multilevel"/>
    <w:tmpl w:val="BBDA2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0B767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9E732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C601F3B"/>
    <w:multiLevelType w:val="hybridMultilevel"/>
    <w:tmpl w:val="11986022"/>
    <w:lvl w:ilvl="0" w:tplc="7624E32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6" w15:restartNumberingAfterBreak="0">
    <w:nsid w:val="5DAA05E9"/>
    <w:multiLevelType w:val="hybridMultilevel"/>
    <w:tmpl w:val="FEE09634"/>
    <w:lvl w:ilvl="0" w:tplc="459282A8">
      <w:start w:val="1"/>
      <w:numFmt w:val="lowerRoman"/>
      <w:lvlText w:val="(%1)"/>
      <w:lvlJc w:val="left"/>
      <w:pPr>
        <w:ind w:left="2420" w:hanging="720"/>
      </w:pPr>
      <w:rPr>
        <w:rFonts w:hint="default"/>
      </w:rPr>
    </w:lvl>
    <w:lvl w:ilvl="1" w:tplc="20000019" w:tentative="1">
      <w:start w:val="1"/>
      <w:numFmt w:val="lowerLetter"/>
      <w:lvlText w:val="%2."/>
      <w:lvlJc w:val="left"/>
      <w:pPr>
        <w:ind w:left="2780" w:hanging="360"/>
      </w:pPr>
    </w:lvl>
    <w:lvl w:ilvl="2" w:tplc="2000001B" w:tentative="1">
      <w:start w:val="1"/>
      <w:numFmt w:val="lowerRoman"/>
      <w:lvlText w:val="%3."/>
      <w:lvlJc w:val="right"/>
      <w:pPr>
        <w:ind w:left="3500" w:hanging="180"/>
      </w:pPr>
    </w:lvl>
    <w:lvl w:ilvl="3" w:tplc="2000000F" w:tentative="1">
      <w:start w:val="1"/>
      <w:numFmt w:val="decimal"/>
      <w:lvlText w:val="%4."/>
      <w:lvlJc w:val="left"/>
      <w:pPr>
        <w:ind w:left="4220" w:hanging="360"/>
      </w:pPr>
    </w:lvl>
    <w:lvl w:ilvl="4" w:tplc="20000019" w:tentative="1">
      <w:start w:val="1"/>
      <w:numFmt w:val="lowerLetter"/>
      <w:lvlText w:val="%5."/>
      <w:lvlJc w:val="left"/>
      <w:pPr>
        <w:ind w:left="4940" w:hanging="360"/>
      </w:pPr>
    </w:lvl>
    <w:lvl w:ilvl="5" w:tplc="2000001B" w:tentative="1">
      <w:start w:val="1"/>
      <w:numFmt w:val="lowerRoman"/>
      <w:lvlText w:val="%6."/>
      <w:lvlJc w:val="right"/>
      <w:pPr>
        <w:ind w:left="5660" w:hanging="180"/>
      </w:pPr>
    </w:lvl>
    <w:lvl w:ilvl="6" w:tplc="2000000F" w:tentative="1">
      <w:start w:val="1"/>
      <w:numFmt w:val="decimal"/>
      <w:lvlText w:val="%7."/>
      <w:lvlJc w:val="left"/>
      <w:pPr>
        <w:ind w:left="6380" w:hanging="360"/>
      </w:pPr>
    </w:lvl>
    <w:lvl w:ilvl="7" w:tplc="20000019" w:tentative="1">
      <w:start w:val="1"/>
      <w:numFmt w:val="lowerLetter"/>
      <w:lvlText w:val="%8."/>
      <w:lvlJc w:val="left"/>
      <w:pPr>
        <w:ind w:left="7100" w:hanging="360"/>
      </w:pPr>
    </w:lvl>
    <w:lvl w:ilvl="8" w:tplc="2000001B" w:tentative="1">
      <w:start w:val="1"/>
      <w:numFmt w:val="lowerRoman"/>
      <w:lvlText w:val="%9."/>
      <w:lvlJc w:val="right"/>
      <w:pPr>
        <w:ind w:left="7820"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68AD07B2"/>
    <w:multiLevelType w:val="hybridMultilevel"/>
    <w:tmpl w:val="7FEE3222"/>
    <w:lvl w:ilvl="0" w:tplc="92BEFD2E">
      <w:start w:val="1"/>
      <w:numFmt w:val="bullet"/>
      <w:lvlText w:val="•"/>
      <w:lvlJc w:val="left"/>
      <w:pPr>
        <w:tabs>
          <w:tab w:val="num" w:pos="1701"/>
        </w:tabs>
        <w:ind w:left="1701" w:hanging="170"/>
      </w:pPr>
      <w:rPr>
        <w:rFonts w:ascii="Times New Roman" w:hAnsi="Times New Roman" w:cs="Times New Roman" w:hint="default"/>
      </w:rPr>
    </w:lvl>
    <w:lvl w:ilvl="1" w:tplc="88D24E0C" w:tentative="1">
      <w:start w:val="1"/>
      <w:numFmt w:val="bullet"/>
      <w:lvlText w:val="o"/>
      <w:lvlJc w:val="left"/>
      <w:pPr>
        <w:tabs>
          <w:tab w:val="num" w:pos="3141"/>
        </w:tabs>
        <w:ind w:left="3141" w:hanging="360"/>
      </w:pPr>
      <w:rPr>
        <w:rFonts w:ascii="Courier New" w:hAnsi="Courier New" w:hint="default"/>
      </w:rPr>
    </w:lvl>
    <w:lvl w:ilvl="2" w:tplc="B1DE4354" w:tentative="1">
      <w:start w:val="1"/>
      <w:numFmt w:val="bullet"/>
      <w:lvlText w:val=""/>
      <w:lvlJc w:val="left"/>
      <w:pPr>
        <w:tabs>
          <w:tab w:val="num" w:pos="3861"/>
        </w:tabs>
        <w:ind w:left="3861" w:hanging="360"/>
      </w:pPr>
      <w:rPr>
        <w:rFonts w:ascii="Wingdings" w:hAnsi="Wingdings" w:hint="default"/>
      </w:rPr>
    </w:lvl>
    <w:lvl w:ilvl="3" w:tplc="7D2EAE52" w:tentative="1">
      <w:start w:val="1"/>
      <w:numFmt w:val="bullet"/>
      <w:lvlText w:val=""/>
      <w:lvlJc w:val="left"/>
      <w:pPr>
        <w:tabs>
          <w:tab w:val="num" w:pos="4581"/>
        </w:tabs>
        <w:ind w:left="4581" w:hanging="360"/>
      </w:pPr>
      <w:rPr>
        <w:rFonts w:ascii="Symbol" w:hAnsi="Symbol" w:hint="default"/>
      </w:rPr>
    </w:lvl>
    <w:lvl w:ilvl="4" w:tplc="13948D34" w:tentative="1">
      <w:start w:val="1"/>
      <w:numFmt w:val="bullet"/>
      <w:lvlText w:val="o"/>
      <w:lvlJc w:val="left"/>
      <w:pPr>
        <w:tabs>
          <w:tab w:val="num" w:pos="5301"/>
        </w:tabs>
        <w:ind w:left="5301" w:hanging="360"/>
      </w:pPr>
      <w:rPr>
        <w:rFonts w:ascii="Courier New" w:hAnsi="Courier New" w:hint="default"/>
      </w:rPr>
    </w:lvl>
    <w:lvl w:ilvl="5" w:tplc="8F1E1CBC" w:tentative="1">
      <w:start w:val="1"/>
      <w:numFmt w:val="bullet"/>
      <w:lvlText w:val=""/>
      <w:lvlJc w:val="left"/>
      <w:pPr>
        <w:tabs>
          <w:tab w:val="num" w:pos="6021"/>
        </w:tabs>
        <w:ind w:left="6021" w:hanging="360"/>
      </w:pPr>
      <w:rPr>
        <w:rFonts w:ascii="Wingdings" w:hAnsi="Wingdings" w:hint="default"/>
      </w:rPr>
    </w:lvl>
    <w:lvl w:ilvl="6" w:tplc="AE60212C" w:tentative="1">
      <w:start w:val="1"/>
      <w:numFmt w:val="bullet"/>
      <w:lvlText w:val=""/>
      <w:lvlJc w:val="left"/>
      <w:pPr>
        <w:tabs>
          <w:tab w:val="num" w:pos="6741"/>
        </w:tabs>
        <w:ind w:left="6741" w:hanging="360"/>
      </w:pPr>
      <w:rPr>
        <w:rFonts w:ascii="Symbol" w:hAnsi="Symbol" w:hint="default"/>
      </w:rPr>
    </w:lvl>
    <w:lvl w:ilvl="7" w:tplc="0F5CA2DE" w:tentative="1">
      <w:start w:val="1"/>
      <w:numFmt w:val="bullet"/>
      <w:lvlText w:val="o"/>
      <w:lvlJc w:val="left"/>
      <w:pPr>
        <w:tabs>
          <w:tab w:val="num" w:pos="7461"/>
        </w:tabs>
        <w:ind w:left="7461" w:hanging="360"/>
      </w:pPr>
      <w:rPr>
        <w:rFonts w:ascii="Courier New" w:hAnsi="Courier New" w:hint="default"/>
      </w:rPr>
    </w:lvl>
    <w:lvl w:ilvl="8" w:tplc="C23C0942"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7B1D623E"/>
    <w:multiLevelType w:val="multilevel"/>
    <w:tmpl w:val="555E48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EA7756"/>
    <w:multiLevelType w:val="hybridMultilevel"/>
    <w:tmpl w:val="B8DECC78"/>
    <w:lvl w:ilvl="0" w:tplc="3009001B">
      <w:start w:val="1"/>
      <w:numFmt w:val="lowerRoman"/>
      <w:lvlText w:val="%1."/>
      <w:lvlJc w:val="righ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16cid:durableId="397942271">
    <w:abstractNumId w:val="13"/>
  </w:num>
  <w:num w:numId="2" w16cid:durableId="1488473444">
    <w:abstractNumId w:val="39"/>
  </w:num>
  <w:num w:numId="3" w16cid:durableId="1881046147">
    <w:abstractNumId w:val="15"/>
  </w:num>
  <w:num w:numId="4" w16cid:durableId="2042706911">
    <w:abstractNumId w:val="8"/>
  </w:num>
  <w:num w:numId="5" w16cid:durableId="17302258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42"/>
  </w:num>
  <w:num w:numId="8" w16cid:durableId="246697977">
    <w:abstractNumId w:val="16"/>
  </w:num>
  <w:num w:numId="9" w16cid:durableId="570771093">
    <w:abstractNumId w:val="2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9"/>
  </w:num>
  <w:num w:numId="20" w16cid:durableId="1311061048">
    <w:abstractNumId w:val="38"/>
  </w:num>
  <w:num w:numId="21" w16cid:durableId="2033022209">
    <w:abstractNumId w:val="25"/>
  </w:num>
  <w:num w:numId="22" w16cid:durableId="1224297868">
    <w:abstractNumId w:val="20"/>
  </w:num>
  <w:num w:numId="23" w16cid:durableId="286473178">
    <w:abstractNumId w:val="10"/>
  </w:num>
  <w:num w:numId="24" w16cid:durableId="480510345">
    <w:abstractNumId w:val="37"/>
  </w:num>
  <w:num w:numId="25" w16cid:durableId="785545256">
    <w:abstractNumId w:val="22"/>
  </w:num>
  <w:num w:numId="26" w16cid:durableId="1484738775">
    <w:abstractNumId w:val="31"/>
  </w:num>
  <w:num w:numId="27" w16cid:durableId="1338576534">
    <w:abstractNumId w:val="17"/>
  </w:num>
  <w:num w:numId="28" w16cid:durableId="1284579773">
    <w:abstractNumId w:val="14"/>
  </w:num>
  <w:num w:numId="29" w16cid:durableId="865405149">
    <w:abstractNumId w:val="33"/>
  </w:num>
  <w:num w:numId="30" w16cid:durableId="468674048">
    <w:abstractNumId w:val="28"/>
  </w:num>
  <w:num w:numId="31" w16cid:durableId="2006787060">
    <w:abstractNumId w:val="41"/>
  </w:num>
  <w:num w:numId="32" w16cid:durableId="258028488">
    <w:abstractNumId w:val="27"/>
  </w:num>
  <w:num w:numId="33" w16cid:durableId="1785073302">
    <w:abstractNumId w:val="11"/>
  </w:num>
  <w:num w:numId="34" w16cid:durableId="1168834720">
    <w:abstractNumId w:val="32"/>
  </w:num>
  <w:num w:numId="35" w16cid:durableId="1500542547">
    <w:abstractNumId w:val="34"/>
  </w:num>
  <w:num w:numId="36" w16cid:durableId="1710185889">
    <w:abstractNumId w:val="12"/>
  </w:num>
  <w:num w:numId="37" w16cid:durableId="1059089398">
    <w:abstractNumId w:val="29"/>
  </w:num>
  <w:num w:numId="38" w16cid:durableId="1536771293">
    <w:abstractNumId w:val="36"/>
  </w:num>
  <w:num w:numId="39" w16cid:durableId="1624847445">
    <w:abstractNumId w:val="35"/>
  </w:num>
  <w:num w:numId="40" w16cid:durableId="1935236156">
    <w:abstractNumId w:val="21"/>
  </w:num>
  <w:num w:numId="41" w16cid:durableId="1591355607">
    <w:abstractNumId w:val="26"/>
  </w:num>
  <w:num w:numId="42" w16cid:durableId="1137601124">
    <w:abstractNumId w:val="23"/>
  </w:num>
  <w:num w:numId="43" w16cid:durableId="233976507">
    <w:abstractNumId w:val="44"/>
  </w:num>
  <w:num w:numId="44" w16cid:durableId="1348173533">
    <w:abstractNumId w:val="30"/>
  </w:num>
  <w:num w:numId="45" w16cid:durableId="2136872207">
    <w:abstractNumId w:val="18"/>
  </w:num>
  <w:num w:numId="46" w16cid:durableId="19927575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CE"/>
    <w:rsid w:val="00011483"/>
    <w:rsid w:val="0004554F"/>
    <w:rsid w:val="00080D76"/>
    <w:rsid w:val="000955E4"/>
    <w:rsid w:val="000B5AD4"/>
    <w:rsid w:val="000B5BD5"/>
    <w:rsid w:val="000D319F"/>
    <w:rsid w:val="000E4D0E"/>
    <w:rsid w:val="000F5EB8"/>
    <w:rsid w:val="00117CCB"/>
    <w:rsid w:val="00126EB7"/>
    <w:rsid w:val="00131549"/>
    <w:rsid w:val="00144B69"/>
    <w:rsid w:val="00153E86"/>
    <w:rsid w:val="00161C49"/>
    <w:rsid w:val="00172E04"/>
    <w:rsid w:val="001A44EE"/>
    <w:rsid w:val="001B1BD1"/>
    <w:rsid w:val="001C3EF2"/>
    <w:rsid w:val="001D018A"/>
    <w:rsid w:val="001D17F6"/>
    <w:rsid w:val="001E269E"/>
    <w:rsid w:val="00204B42"/>
    <w:rsid w:val="0021265F"/>
    <w:rsid w:val="00215838"/>
    <w:rsid w:val="002231C3"/>
    <w:rsid w:val="0024203B"/>
    <w:rsid w:val="0024417F"/>
    <w:rsid w:val="00250F8D"/>
    <w:rsid w:val="0025482B"/>
    <w:rsid w:val="00295805"/>
    <w:rsid w:val="002A5904"/>
    <w:rsid w:val="002B5450"/>
    <w:rsid w:val="002B6644"/>
    <w:rsid w:val="002E1C97"/>
    <w:rsid w:val="002F5834"/>
    <w:rsid w:val="003006AB"/>
    <w:rsid w:val="00321E74"/>
    <w:rsid w:val="00326EBF"/>
    <w:rsid w:val="003273A4"/>
    <w:rsid w:val="00327FE4"/>
    <w:rsid w:val="003313BF"/>
    <w:rsid w:val="003333CC"/>
    <w:rsid w:val="00373F0A"/>
    <w:rsid w:val="00385347"/>
    <w:rsid w:val="00387EA8"/>
    <w:rsid w:val="003A4E85"/>
    <w:rsid w:val="00400F22"/>
    <w:rsid w:val="00427F63"/>
    <w:rsid w:val="00434D38"/>
    <w:rsid w:val="00494EB8"/>
    <w:rsid w:val="00495536"/>
    <w:rsid w:val="004A127A"/>
    <w:rsid w:val="004C4A0A"/>
    <w:rsid w:val="004D0A00"/>
    <w:rsid w:val="004E473D"/>
    <w:rsid w:val="004F348E"/>
    <w:rsid w:val="00501220"/>
    <w:rsid w:val="00526696"/>
    <w:rsid w:val="0057615F"/>
    <w:rsid w:val="00576BD6"/>
    <w:rsid w:val="00576CBE"/>
    <w:rsid w:val="005E403A"/>
    <w:rsid w:val="005E4086"/>
    <w:rsid w:val="0060122D"/>
    <w:rsid w:val="00604D91"/>
    <w:rsid w:val="00607905"/>
    <w:rsid w:val="006257FE"/>
    <w:rsid w:val="00654DD9"/>
    <w:rsid w:val="00670DEE"/>
    <w:rsid w:val="00680656"/>
    <w:rsid w:val="006B1119"/>
    <w:rsid w:val="006D3757"/>
    <w:rsid w:val="006D37EB"/>
    <w:rsid w:val="006E3E46"/>
    <w:rsid w:val="006E5A66"/>
    <w:rsid w:val="006E71B1"/>
    <w:rsid w:val="006F1404"/>
    <w:rsid w:val="0070593B"/>
    <w:rsid w:val="00705D89"/>
    <w:rsid w:val="00731A42"/>
    <w:rsid w:val="00755487"/>
    <w:rsid w:val="007569AA"/>
    <w:rsid w:val="00757C88"/>
    <w:rsid w:val="00767E69"/>
    <w:rsid w:val="0077079A"/>
    <w:rsid w:val="007710C4"/>
    <w:rsid w:val="00771504"/>
    <w:rsid w:val="00774832"/>
    <w:rsid w:val="00782223"/>
    <w:rsid w:val="007868C8"/>
    <w:rsid w:val="007A5599"/>
    <w:rsid w:val="0084128A"/>
    <w:rsid w:val="00856233"/>
    <w:rsid w:val="00860F27"/>
    <w:rsid w:val="00862706"/>
    <w:rsid w:val="008645B2"/>
    <w:rsid w:val="0089786B"/>
    <w:rsid w:val="008A1560"/>
    <w:rsid w:val="008B0560"/>
    <w:rsid w:val="008B2BFA"/>
    <w:rsid w:val="008D1ECE"/>
    <w:rsid w:val="008D31F4"/>
    <w:rsid w:val="008E6A3F"/>
    <w:rsid w:val="008E6FEB"/>
    <w:rsid w:val="00912990"/>
    <w:rsid w:val="00923557"/>
    <w:rsid w:val="00936F03"/>
    <w:rsid w:val="00943B69"/>
    <w:rsid w:val="00944CB3"/>
    <w:rsid w:val="0096722F"/>
    <w:rsid w:val="00986624"/>
    <w:rsid w:val="009B09D7"/>
    <w:rsid w:val="009D35ED"/>
    <w:rsid w:val="009E4D61"/>
    <w:rsid w:val="009F15DD"/>
    <w:rsid w:val="009F5172"/>
    <w:rsid w:val="00A03CB6"/>
    <w:rsid w:val="00A1364C"/>
    <w:rsid w:val="00A21076"/>
    <w:rsid w:val="00A31BA8"/>
    <w:rsid w:val="00A3739A"/>
    <w:rsid w:val="00A43337"/>
    <w:rsid w:val="00A52DAF"/>
    <w:rsid w:val="00A612DD"/>
    <w:rsid w:val="00A84072"/>
    <w:rsid w:val="00AA2244"/>
    <w:rsid w:val="00AD2C68"/>
    <w:rsid w:val="00B0482A"/>
    <w:rsid w:val="00B16570"/>
    <w:rsid w:val="00B16989"/>
    <w:rsid w:val="00B23B03"/>
    <w:rsid w:val="00B43EB7"/>
    <w:rsid w:val="00B53320"/>
    <w:rsid w:val="00B614C4"/>
    <w:rsid w:val="00B712F3"/>
    <w:rsid w:val="00BC38F9"/>
    <w:rsid w:val="00BC6522"/>
    <w:rsid w:val="00BE1FFE"/>
    <w:rsid w:val="00BF01D8"/>
    <w:rsid w:val="00BF6AD5"/>
    <w:rsid w:val="00C121D5"/>
    <w:rsid w:val="00C13AFF"/>
    <w:rsid w:val="00C17349"/>
    <w:rsid w:val="00C323A4"/>
    <w:rsid w:val="00C351AA"/>
    <w:rsid w:val="00C43CF0"/>
    <w:rsid w:val="00C70852"/>
    <w:rsid w:val="00C7253F"/>
    <w:rsid w:val="00C77E5E"/>
    <w:rsid w:val="00C829C3"/>
    <w:rsid w:val="00C90707"/>
    <w:rsid w:val="00CD1ED1"/>
    <w:rsid w:val="00CE1D1C"/>
    <w:rsid w:val="00CF4A2B"/>
    <w:rsid w:val="00D26A05"/>
    <w:rsid w:val="00D9309B"/>
    <w:rsid w:val="00D95B54"/>
    <w:rsid w:val="00D97B98"/>
    <w:rsid w:val="00DB0D94"/>
    <w:rsid w:val="00DC5D9D"/>
    <w:rsid w:val="00DC671F"/>
    <w:rsid w:val="00DE4DA7"/>
    <w:rsid w:val="00E02C13"/>
    <w:rsid w:val="00E16349"/>
    <w:rsid w:val="00E33B38"/>
    <w:rsid w:val="00E442A1"/>
    <w:rsid w:val="00E47FE5"/>
    <w:rsid w:val="00E55247"/>
    <w:rsid w:val="00E574AF"/>
    <w:rsid w:val="00E73B33"/>
    <w:rsid w:val="00EA06E2"/>
    <w:rsid w:val="00EA7E67"/>
    <w:rsid w:val="00EE776E"/>
    <w:rsid w:val="00F24E6D"/>
    <w:rsid w:val="00F379B8"/>
    <w:rsid w:val="00F553BD"/>
    <w:rsid w:val="00F714DA"/>
    <w:rsid w:val="00F87910"/>
    <w:rsid w:val="00FB1D99"/>
    <w:rsid w:val="00FB456B"/>
    <w:rsid w:val="00FE11B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FF4BF9"/>
  <w15:docId w15:val="{70D2AFD9-CA78-4E30-B1C8-5175EEAD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373F0A"/>
    <w:rPr>
      <w:color w:val="0000FF"/>
      <w:u w:val="none"/>
    </w:rPr>
  </w:style>
  <w:style w:type="character" w:styleId="af7">
    <w:name w:val="FollowedHyperlink"/>
    <w:basedOn w:val="a0"/>
    <w:uiPriority w:val="99"/>
    <w:semiHidden/>
    <w:rsid w:val="00373F0A"/>
    <w:rPr>
      <w:color w:val="0000FF"/>
      <w:u w:val="none"/>
    </w:rPr>
  </w:style>
  <w:style w:type="paragraph" w:styleId="af8">
    <w:name w:val="macro"/>
    <w:link w:val="af9"/>
    <w:semiHidden/>
    <w:rsid w:val="00373F0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373F0A"/>
    <w:rPr>
      <w:kern w:val="24"/>
      <w:sz w:val="24"/>
      <w:szCs w:val="24"/>
    </w:rPr>
  </w:style>
  <w:style w:type="paragraph" w:styleId="afa">
    <w:name w:val="Subtitle"/>
    <w:basedOn w:val="a"/>
    <w:next w:val="a"/>
    <w:link w:val="afb"/>
    <w:uiPriority w:val="11"/>
    <w:semiHidden/>
    <w:rsid w:val="00373F0A"/>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373F0A"/>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373F0A"/>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373F0A"/>
    <w:rPr>
      <w:i/>
      <w:iCs/>
      <w:color w:val="404040" w:themeColor="text1" w:themeTint="BF"/>
      <w:sz w:val="21"/>
      <w:szCs w:val="21"/>
    </w:rPr>
  </w:style>
  <w:style w:type="paragraph" w:styleId="afe">
    <w:name w:val="List Paragraph"/>
    <w:basedOn w:val="a"/>
    <w:uiPriority w:val="34"/>
    <w:rsid w:val="00373F0A"/>
    <w:pPr>
      <w:ind w:left="720"/>
      <w:contextualSpacing/>
    </w:pPr>
    <w:rPr>
      <w:snapToGrid/>
      <w:szCs w:val="21"/>
    </w:rPr>
  </w:style>
  <w:style w:type="character" w:styleId="aff">
    <w:name w:val="Intense Emphasis"/>
    <w:basedOn w:val="a0"/>
    <w:uiPriority w:val="21"/>
    <w:rsid w:val="00373F0A"/>
    <w:rPr>
      <w:i/>
      <w:iCs/>
      <w:color w:val="365F91" w:themeColor="accent1" w:themeShade="BF"/>
    </w:rPr>
  </w:style>
  <w:style w:type="paragraph" w:styleId="aff0">
    <w:name w:val="Intense Quote"/>
    <w:basedOn w:val="a"/>
    <w:next w:val="a"/>
    <w:link w:val="aff1"/>
    <w:uiPriority w:val="30"/>
    <w:rsid w:val="00373F0A"/>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373F0A"/>
    <w:rPr>
      <w:i/>
      <w:iCs/>
      <w:color w:val="365F91" w:themeColor="accent1" w:themeShade="BF"/>
      <w:sz w:val="21"/>
      <w:szCs w:val="21"/>
    </w:rPr>
  </w:style>
  <w:style w:type="character" w:styleId="aff2">
    <w:name w:val="Intense Reference"/>
    <w:basedOn w:val="a0"/>
    <w:uiPriority w:val="32"/>
    <w:rsid w:val="00373F0A"/>
    <w:rPr>
      <w:b/>
      <w:bCs/>
      <w:smallCaps/>
      <w:color w:val="365F91" w:themeColor="accent1" w:themeShade="BF"/>
      <w:spacing w:val="5"/>
    </w:rPr>
  </w:style>
  <w:style w:type="character" w:styleId="aff3">
    <w:name w:val="Book Title"/>
    <w:basedOn w:val="a0"/>
    <w:uiPriority w:val="33"/>
    <w:rsid w:val="00373F0A"/>
    <w:rPr>
      <w:b/>
      <w:bCs/>
      <w:smallCaps/>
      <w:spacing w:val="5"/>
    </w:rPr>
  </w:style>
  <w:style w:type="paragraph" w:styleId="aff4">
    <w:name w:val="Balloon Text"/>
    <w:basedOn w:val="a"/>
    <w:link w:val="aff5"/>
    <w:uiPriority w:val="99"/>
    <w:semiHidden/>
    <w:unhideWhenUsed/>
    <w:rsid w:val="00373F0A"/>
    <w:pPr>
      <w:spacing w:line="240" w:lineRule="auto"/>
    </w:pPr>
    <w:rPr>
      <w:rFonts w:ascii="Tahoma" w:hAnsi="Tahoma" w:cs="Tahoma"/>
      <w:snapToGrid/>
      <w:sz w:val="16"/>
      <w:szCs w:val="16"/>
    </w:rPr>
  </w:style>
  <w:style w:type="character" w:customStyle="1" w:styleId="aff5">
    <w:name w:val="批注框文本 字符"/>
    <w:basedOn w:val="a0"/>
    <w:link w:val="aff4"/>
    <w:uiPriority w:val="99"/>
    <w:semiHidden/>
    <w:rsid w:val="00373F0A"/>
    <w:rPr>
      <w:rFonts w:ascii="Tahoma" w:hAnsi="Tahoma" w:cs="Tahoma"/>
      <w:sz w:val="16"/>
      <w:szCs w:val="16"/>
    </w:rPr>
  </w:style>
  <w:style w:type="paragraph" w:styleId="aff6">
    <w:name w:val="Revision"/>
    <w:hidden/>
    <w:uiPriority w:val="99"/>
    <w:semiHidden/>
    <w:rsid w:val="00373F0A"/>
    <w:rPr>
      <w:rFonts w:eastAsia="Times New Roman"/>
      <w:lang w:val="en-GB" w:eastAsia="en-US"/>
    </w:rPr>
  </w:style>
  <w:style w:type="character" w:styleId="aff7">
    <w:name w:val="Unresolved Mention"/>
    <w:basedOn w:val="a0"/>
    <w:uiPriority w:val="99"/>
    <w:semiHidden/>
    <w:unhideWhenUsed/>
    <w:rsid w:val="00373F0A"/>
    <w:rPr>
      <w:color w:val="605E5C"/>
      <w:shd w:val="clear" w:color="auto" w:fill="E1DFDD"/>
    </w:rPr>
  </w:style>
  <w:style w:type="character" w:styleId="aff8">
    <w:name w:val="annotation reference"/>
    <w:basedOn w:val="a0"/>
    <w:uiPriority w:val="99"/>
    <w:semiHidden/>
    <w:unhideWhenUsed/>
    <w:rsid w:val="00373F0A"/>
    <w:rPr>
      <w:sz w:val="16"/>
      <w:szCs w:val="16"/>
    </w:rPr>
  </w:style>
  <w:style w:type="paragraph" w:styleId="aff9">
    <w:name w:val="annotation text"/>
    <w:basedOn w:val="a"/>
    <w:link w:val="affa"/>
    <w:uiPriority w:val="99"/>
    <w:unhideWhenUsed/>
    <w:rsid w:val="00373F0A"/>
    <w:pPr>
      <w:spacing w:line="240" w:lineRule="auto"/>
    </w:pPr>
    <w:rPr>
      <w:snapToGrid/>
      <w:szCs w:val="21"/>
    </w:rPr>
  </w:style>
  <w:style w:type="character" w:customStyle="1" w:styleId="affa">
    <w:name w:val="批注文字 字符"/>
    <w:basedOn w:val="a0"/>
    <w:link w:val="aff9"/>
    <w:uiPriority w:val="99"/>
    <w:rsid w:val="00373F0A"/>
    <w:rPr>
      <w:sz w:val="21"/>
      <w:szCs w:val="21"/>
    </w:rPr>
  </w:style>
  <w:style w:type="paragraph" w:styleId="affb">
    <w:name w:val="annotation subject"/>
    <w:basedOn w:val="aff9"/>
    <w:next w:val="aff9"/>
    <w:link w:val="affc"/>
    <w:uiPriority w:val="99"/>
    <w:semiHidden/>
    <w:unhideWhenUsed/>
    <w:rsid w:val="00373F0A"/>
    <w:rPr>
      <w:b/>
      <w:bCs/>
    </w:rPr>
  </w:style>
  <w:style w:type="character" w:customStyle="1" w:styleId="affc">
    <w:name w:val="批注主题 字符"/>
    <w:basedOn w:val="affa"/>
    <w:link w:val="affb"/>
    <w:uiPriority w:val="99"/>
    <w:semiHidden/>
    <w:rsid w:val="00373F0A"/>
    <w:rPr>
      <w:b/>
      <w:bCs/>
      <w:sz w:val="21"/>
      <w:szCs w:val="21"/>
    </w:rPr>
  </w:style>
  <w:style w:type="paragraph" w:styleId="affd">
    <w:name w:val="Normal (Web)"/>
    <w:basedOn w:val="a"/>
    <w:uiPriority w:val="99"/>
    <w:unhideWhenUsed/>
    <w:rsid w:val="00373F0A"/>
    <w:pPr>
      <w:spacing w:before="100" w:beforeAutospacing="1" w:after="100" w:afterAutospacing="1" w:line="240" w:lineRule="auto"/>
    </w:pPr>
    <w:rPr>
      <w:rFonts w:ascii="宋体" w:hAnsi="宋体" w:cs="宋体"/>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12047</Words>
  <Characters>12699</Characters>
  <Application>Microsoft Office Word</Application>
  <DocSecurity>0</DocSecurity>
  <Lines>473</Lines>
  <Paragraphs>195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CCPR/C/ZWE/CO/2</dc:title>
  <dc:subject>2505538</dc:subject>
  <dc:creator>tt</dc:creator>
  <cp:keywords/>
  <dc:description/>
  <cp:lastModifiedBy>Ting TANG</cp:lastModifiedBy>
  <cp:revision>2</cp:revision>
  <cp:lastPrinted>2014-05-09T11:28:00Z</cp:lastPrinted>
  <dcterms:created xsi:type="dcterms:W3CDTF">2025-06-05T12:05:00Z</dcterms:created>
  <dcterms:modified xsi:type="dcterms:W3CDTF">2025-06-05T12:05:00Z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