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spacing w:line="240" w:lineRule="auto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213"/>
        </w:trPr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02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4"/>
              <w:rPr>
                <w:i/>
                <w:lang w:val="ru-RU"/>
              </w:rPr>
            </w:pPr>
            <w:r>
              <w:rPr>
                <w:i/>
                <w:sz w:val="40"/>
                <w:lang w:val="ru-RU"/>
              </w:rPr>
              <w:t>М</w:t>
            </w:r>
            <w:r>
              <w:rPr>
                <w:i/>
                <w:lang w:val="ru-RU"/>
              </w:rPr>
              <w:t xml:space="preserve">ЕЖДУНАРОДНАЯ </w:t>
            </w:r>
            <w:r>
              <w:rPr>
                <w:i/>
                <w:lang w:val="ru-RU"/>
              </w:rPr>
              <w:br/>
              <w:t xml:space="preserve">КОНВЕНЦИЯ </w:t>
            </w:r>
            <w:r>
              <w:rPr>
                <w:i/>
                <w:lang w:val="ru-RU"/>
              </w:rPr>
              <w:br/>
              <w:t xml:space="preserve">О ЛИКВИДАЦИИ </w:t>
            </w:r>
            <w:r>
              <w:rPr>
                <w:i/>
                <w:lang w:val="ru-RU"/>
              </w:rPr>
              <w:br/>
              <w:t xml:space="preserve">ВСЕХ ФОРМ </w:t>
            </w:r>
            <w:r>
              <w:rPr>
                <w:i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after="0"/>
            </w:pPr>
            <w:r>
              <w:t>CERD/C/OMN/CO/1</w:t>
            </w:r>
          </w:p>
          <w:p w:rsidR="00000000" w:rsidRDefault="00000000">
            <w:pPr>
              <w:spacing w:after="0"/>
            </w:pPr>
            <w:r>
              <w:t>19 October 2006</w:t>
            </w:r>
          </w:p>
          <w:p w:rsidR="00000000" w:rsidRDefault="00000000">
            <w:pPr>
              <w:spacing w:after="0"/>
            </w:pP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  <w:lang w:val="ru-RU"/>
              </w:rPr>
              <w:t xml:space="preserve">:  </w:t>
            </w:r>
            <w:r>
              <w:rPr>
                <w:sz w:val="22"/>
                <w:lang w:val="en-US"/>
              </w:rPr>
              <w:t>ENGLISH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lang w:val="ru-RU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КОМИТЕТ ПО ЛИКВИДАЦИИ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РАСОВОЙ ДИСКРИМИНАЦИИ</w:t>
      </w:r>
    </w:p>
    <w:p w:rsidR="00000000" w:rsidRDefault="00000000">
      <w:pPr>
        <w:spacing w:after="0"/>
        <w:rPr>
          <w:szCs w:val="24"/>
          <w:lang w:val="ru-RU"/>
        </w:rPr>
      </w:pPr>
      <w:r>
        <w:rPr>
          <w:szCs w:val="24"/>
          <w:lang w:val="ru-RU"/>
        </w:rPr>
        <w:t xml:space="preserve">Шестьдесят девятая сессия </w:t>
      </w:r>
    </w:p>
    <w:p w:rsidR="00000000" w:rsidRDefault="00000000">
      <w:pPr>
        <w:spacing w:after="0"/>
        <w:rPr>
          <w:szCs w:val="24"/>
          <w:lang w:val="ru-RU"/>
        </w:rPr>
      </w:pPr>
      <w:r>
        <w:rPr>
          <w:szCs w:val="24"/>
          <w:lang w:val="ru-RU"/>
        </w:rPr>
        <w:t>31 июля - 18 августа 2006</w:t>
      </w:r>
      <w:r>
        <w:rPr>
          <w:szCs w:val="24"/>
        </w:rPr>
        <w:t> </w:t>
      </w:r>
      <w:r>
        <w:rPr>
          <w:szCs w:val="24"/>
          <w:lang w:val="ru-RU"/>
        </w:rPr>
        <w:t>года</w:t>
      </w:r>
    </w:p>
    <w:p w:rsidR="00000000" w:rsidRDefault="00000000">
      <w:pPr>
        <w:spacing w:after="0"/>
        <w:rPr>
          <w:lang w:val="ru-RU"/>
        </w:rPr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расовой дискриминации</w:t>
      </w:r>
    </w:p>
    <w:p w:rsidR="00000000" w:rsidRDefault="00000000">
      <w:pPr>
        <w:jc w:val="center"/>
        <w:rPr>
          <w:lang w:val="ru-RU"/>
        </w:rPr>
      </w:pPr>
      <w:r>
        <w:rPr>
          <w:b/>
          <w:bCs/>
        </w:rPr>
        <w:t>ОМАН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рассмотрел первоначальный периодический доклад Омана, подлежавший представлению в 2004 году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OMN</w:t>
      </w:r>
      <w:r>
        <w:rPr>
          <w:lang w:val="ru-RU"/>
        </w:rPr>
        <w:t>/1), на своих 1768-м и 1769-м  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.1768 и 1769), состоявшихся 7 и 8 августа 2006</w:t>
      </w:r>
      <w:r>
        <w:t> </w:t>
      </w:r>
      <w:r>
        <w:rPr>
          <w:lang w:val="ru-RU"/>
        </w:rPr>
        <w:t>года.  На своих 1781-м и 1782</w:t>
      </w:r>
      <w:r>
        <w:rPr>
          <w:lang w:val="ru-RU"/>
        </w:rPr>
        <w:noBreakHyphen/>
        <w:t>м 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.1781 и 1782), состоявшихся 16 и 17 августа 2006</w:t>
      </w:r>
      <w:r>
        <w:t> </w:t>
      </w:r>
      <w:r>
        <w:rPr>
          <w:lang w:val="ru-RU"/>
        </w:rPr>
        <w:t>года, он принял следующие заключительные замечания.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А.</w:t>
      </w:r>
      <w:r>
        <w:rPr>
          <w:b/>
          <w:bCs/>
          <w:lang w:val="ru-RU"/>
        </w:rPr>
        <w:tab/>
        <w:t>Введение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представленный Оманом первоначальный периодический доклад и полученную таким образом возможность начать конструктивный диалог с государством-участником.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приветствует присутствие высокопоставленной делегации и ее усилия по предоставлению ответов на заданные членами Комитета вопросы.  Комитет также с одобрением отмечает заверения делегации в том, что государство-участник готово продолжать диалог с Комитетом.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Вместе с тем Комитет отмечает, что доклад не полностью соответствует руководящим принципам, касающимся представления докладов.  В нем содержится лишь общая информация о законах, нормативных положениях и судебной системе, однако в отношении социально-экономической ситуации различных этнических групп, проживающих на территории государства-участника, и практического осуществления Конвенции представлена весьма ограниченная информация.</w:t>
      </w:r>
    </w:p>
    <w:p w:rsidR="00000000" w:rsidRDefault="00000000">
      <w:pPr>
        <w:jc w:val="center"/>
      </w:pPr>
      <w:r>
        <w:rPr>
          <w:b/>
          <w:bCs/>
          <w:lang w:val="ru-RU"/>
        </w:rPr>
        <w:t>В.</w:t>
      </w:r>
      <w:r>
        <w:rPr>
          <w:b/>
          <w:bCs/>
          <w:lang w:val="ru-RU"/>
        </w:rPr>
        <w:tab/>
        <w:t>Позитивные аспекты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удовлетворением отмечает усилия государства-участника по своевременному представлению первоначального периодического доклада.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недавнее присоединение Омана к Конвенции о ликвидации всех форм дискриминации в отношении женщин.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принятые государством-участником меры по обеспечению того, чтобы женщины Омана пользовались всеми правами человека и основными свободами наравне с мужчинами.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удовлетворением отмечает, что в Трудовом кодексе Омана подтверждается равенство всех трудящихся без какой-либо дискриминации по признаку гражданства, пола, вероисповедания или каких-либо иных различий.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содержащуюся в докладе информацию о включении в школьные программы дисциплин, направленных на борьбу против расизма и поощрение прав человека, взаимопонимания и терпимости между отдельными лицами и группами различного этнического происхождения и религиозных убеждений.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также приветствует сделанное делегацией заявление о том, что в настоящее время Оман рассматривает возможность присоединения к Конвенции 1951</w:t>
      </w:r>
      <w:r>
        <w:t> </w:t>
      </w:r>
      <w:r>
        <w:rPr>
          <w:lang w:val="ru-RU"/>
        </w:rPr>
        <w:t>года о статусе беженцев и к Международному пакту об экономических, социальных и культурных правах.</w:t>
      </w:r>
    </w:p>
    <w:p w:rsidR="00000000" w:rsidRDefault="00000000">
      <w:pPr>
        <w:jc w:val="center"/>
      </w:pPr>
      <w:r>
        <w:rPr>
          <w:b/>
          <w:bCs/>
          <w:lang w:val="ru-RU"/>
        </w:rPr>
        <w:t>С.</w:t>
      </w:r>
      <w:r>
        <w:rPr>
          <w:b/>
          <w:bCs/>
          <w:lang w:val="ru-RU"/>
        </w:rPr>
        <w:tab/>
        <w:t>Проблемы, вызывающие озабоченность, и рекомендации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наличие расхождения между утверждением государства-участника об этнической однородности оманского общества и информацией о том, что в составе населения имеются различные этнические группы, включая белуджи, оманцев, говорящих на суахили и родившихся в Занзибаре и в других регионах Восточной Африки, ливатийцев и джибали, а также значительное число трудящихся-мигрантов из Индии, Филиппин и других азиатских стран.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обращает внимание государства-участника на свою общую рекомендацию № 24 (1994 год) по статье 1 Конвенции, а также на пункт 8 своих Руководящих принципов, касающихся представления докладов, и рекомендует ему представить дезагрегированные статистические данные об этническом составе населения.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статья 17 Основного закона государства, касающаяся равенства и недискриминации, не содержит упоминания о "расе, родовом, национальном или этническом происхождении" в числе запрещенных оснований для дискриминации (статья</w:t>
      </w:r>
      <w:r>
        <w:t> </w:t>
      </w:r>
      <w:r>
        <w:rPr>
          <w:lang w:val="ru-RU"/>
        </w:rPr>
        <w:t>1).</w:t>
      </w:r>
    </w:p>
    <w:p w:rsidR="00000000" w:rsidRDefault="00000000">
      <w:pPr>
        <w:ind w:left="567"/>
      </w:pPr>
      <w:r>
        <w:rPr>
          <w:b/>
          <w:bCs/>
          <w:lang w:val="ru-RU"/>
        </w:rPr>
        <w:t>Комитет рекомендует государству-участнику пересмотреть определение дискриминации, содержащееся в статье 17 Основного закона государства, с целью расширения перечня запрещенных оснований для дискриминации в соответствии с пунктом 1 статьи 1 Конвенции.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сожалеет о том, что в докладе не содержится достаточной информации о принимаемых на национальном уровне мерах по выполнению обязательств, изложенных в пункте 1 статьи 2 Конвенции (пункт 2 статьи 1).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включить в свой следующий периодический доклад подробную информацию о законодательных, судебных, административных и других мерах, принятых с целью выполнения положений пункта 1 статьи 2 Конвенции.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тем, что рамки применения статьи 130-бис Уголовного кодекса Омана, в соответствии с которой "к категории преступлений относятся любые призывы к расовой дискриминации в контексте разжигания религиозных или межконфессиональных конфликтов", не обеспечивают эффективного наказания за акты дискриминации в соответствии с пунктом а) статьи 4 Конвенции (пункт а) статьи 4).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принять всеобъемлющее законодательство, направленное на недопущение, запрещение и пресечение расовой дискриминации в соответствии с пунктом а) статьи 4 Конвенции.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с обеспокоенностью отмечает содержащееся в докладе государства-участника утверждение о том, что ему нет необходимости принимать какие-либо меры в соответствии с пунктом </w:t>
      </w:r>
      <w:r>
        <w:t>b</w:t>
      </w:r>
      <w:r>
        <w:rPr>
          <w:lang w:val="ru-RU"/>
        </w:rPr>
        <w:t xml:space="preserve">) статьи 4 Конвенции, запрещающие создание организаций, которые поощряют расовую дискриминацию и подстрекательство к ней, поскольку такие организации на его территории отсутствуют (статья 4 </w:t>
      </w:r>
      <w:r>
        <w:t>b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 xml:space="preserve">С учетом своей общей рекомендации № 15 (1993 год) об организованном насилии по признаку этнического происхождения и общей рекомендации № 7 (1985 год), касающейся законодательства, направленного на искоренение расовой дискриминации, Комитет рекомендует государству-участнику принять необходимые меры по выполнению требований положений статьи 4 </w:t>
      </w:r>
      <w:r>
        <w:rPr>
          <w:b/>
          <w:bCs/>
        </w:rPr>
        <w:t>b</w:t>
      </w:r>
      <w:r>
        <w:rPr>
          <w:b/>
          <w:bCs/>
          <w:lang w:val="ru-RU"/>
        </w:rPr>
        <w:t>) Конвенции.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тем, что, согласно статье 17 Основного закона государства, только "граждане" равны перед законом и пользуются общественными правами без какой-либо дискриминации по признаку пола, происхождения, цвета кожи, языка, религии, принадлежности к той или иной секте, постоянного места жительства или социального статуса (статья 5).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обращает внимание государства-участника на свою общую рекомендацию № 30 (2004 год) о дискриминации неграждан и рекомендует государству-участнику пересмотреть свое законодательство, с тем чтобы гарантировать равенство между гражданами и негражданами в деле осуществления предусмотренных в Конвенции прав в той мере, в какой они признаются в международном праве.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в докладе не содержится достаточной информации о мерах по обеспечению равного и эффективного пользования правами, предусмотренными в статье 5 Конвенции, лицами из различных этнических групп и трудящимися-мигрантами, проживающими на территории государства-участника (статья 5).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просит государство-участник в своем следующем периодическом докладе представить подробную информацию о законодательных, судебных, административных и других мерах, принятых с целью выполнения статьи 5 Конвенции в отношении различных этнических групп и трудящихся-мигрантов, проживающих на его территории.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тем, что Закон об оманском гражданстве не предоставляет гражданство детям оманских женщин, состоящих в браке с лицами, не являющимися гражданами страны, в отличие от детей, отцами которых являются граждане Омана.  Комитет выражает свою обеспокоенность по поводу того, что это может привести к появлению безгражданства (статья 5</w:t>
      </w:r>
      <w:r>
        <w:t> c</w:t>
      </w:r>
      <w:r>
        <w:rPr>
          <w:lang w:val="ru-RU"/>
        </w:rPr>
        <w:t>)</w:t>
      </w:r>
      <w:r>
        <w:t> iii</w:t>
      </w:r>
      <w:r>
        <w:rPr>
          <w:lang w:val="ru-RU"/>
        </w:rPr>
        <w:t>)).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b/>
          <w:bCs/>
          <w:lang w:val="ru-RU"/>
        </w:rPr>
        <w:tab/>
        <w:t>С учетом общей рекомендации № 30 (2004 год) о дискриминации неграждан Комитет настоятельно призывает государство-участник пересмотреть свое законодательство о получении оманского гражданства с целью обеспечения того, чтобы оба родителя могли передавать свое гражданство собственным детям.  Кроме того, Комитет рекомендует государству-участнику присоединиться к Конвенции 1954</w:t>
      </w:r>
      <w:r>
        <w:rPr>
          <w:b/>
          <w:bCs/>
        </w:rPr>
        <w:t> </w:t>
      </w:r>
      <w:r>
        <w:rPr>
          <w:b/>
          <w:bCs/>
          <w:lang w:val="ru-RU"/>
        </w:rPr>
        <w:t>года о статусе апатридов и к Конвенции 1961</w:t>
      </w:r>
      <w:r>
        <w:rPr>
          <w:b/>
          <w:bCs/>
        </w:rPr>
        <w:t> </w:t>
      </w:r>
      <w:r>
        <w:rPr>
          <w:b/>
          <w:bCs/>
          <w:lang w:val="ru-RU"/>
        </w:rPr>
        <w:t>года о сокращении безгражданства.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включенную в доклад информацию о средствах правовой защиты, предоставляемых в государстве-участнике лицам, утверждающим, что они являются жертвами актов расовой дискриминации, а также дополнительную информацию, представленную делегацией в отношении права на получение компенсации, которое установлено в статье 58 Уголовного кодекса Омана.  Вместе с тем он сожалеет об отсутствии в докладе информации о количестве и характере связанных с расовой дискриминацией дел, рассмотренных оманскими судами, о результатах такого рассмотрения и о назначенной жертвам компенсации.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просит государство-участник включить в свой следующий периодический доклад подробную информацию о средствах правовой защиты, предоставляемых жертвам актов расовой дискриминации, а также статистическую информацию о случаях возбуждения уголовного преследования и о назначенных наказаниях за совершение правонарушений, связанных с расовой дискриминаций, а также о случаях применения соответствующих положений действующего внутреннего законодательства.  Комитет отмечает, что сам по себе факт отсутствия жалоб и судебных исков со стороны жертв расовой дискриминации может в значительной степени указывать на отсутствие соответствующего конкретного законодательства, на отсутствие осведомленности о наличии средств правовой защиты либо на недостаточную решимость властей преследовать такие деяния.  Комитет просит государство-участник проинформировать население обо всех средствах правовой защиты в области расовой дискриминации.</w:t>
      </w:r>
    </w:p>
    <w:p w:rsidR="00000000" w:rsidRDefault="00000000">
      <w:pPr>
        <w:ind w:left="567" w:hanging="567"/>
        <w:rPr>
          <w:b/>
          <w:bCs/>
          <w:lang w:val="ru-RU"/>
        </w:rPr>
      </w:pP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делегация не дала ответа на вопрос о создании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</w:t>
      </w:r>
      <w:r>
        <w:t> </w:t>
      </w:r>
      <w:r>
        <w:rPr>
          <w:lang w:val="ru-RU"/>
        </w:rPr>
        <w:t>48/134 Генеральной Ассамблеи).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рассмотреть возможность создания национального правозащитного учреждения в соответствии с Парижскими принципами.  Комитет просит государство-участник включить в свой следующий периодический доклад информацию по данному вопросу.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государство-участник не сделало факультативного заявления, предусмотренного статьей 14 Конвенции, и настоятельно призывает его рассмотреть эту возможность.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настоятельно рекомендует государству-участнику ратифицировать поправки к пункту</w:t>
      </w:r>
      <w:r>
        <w:t> </w:t>
      </w:r>
      <w:r>
        <w:rPr>
          <w:lang w:val="ru-RU"/>
        </w:rPr>
        <w:t>6 статьи 8 Конвенции, принятые 15 января 1992</w:t>
      </w:r>
      <w:r>
        <w:t> </w:t>
      </w:r>
      <w:r>
        <w:rPr>
          <w:lang w:val="ru-RU"/>
        </w:rPr>
        <w:t>года на четырнадцатом Совещании государств - участников Конвенции и одобренные Генеральной Ассамблеей в ее резолюции</w:t>
      </w:r>
      <w:r>
        <w:t> </w:t>
      </w:r>
      <w:r>
        <w:rPr>
          <w:lang w:val="ru-RU"/>
        </w:rPr>
        <w:t>47/111.  В этой связи Комитет ссылается на резолюцию 59/176 Генеральной Ассамблеи от 20</w:t>
      </w:r>
      <w:r>
        <w:t> </w:t>
      </w:r>
      <w:r>
        <w:rPr>
          <w:lang w:val="ru-RU"/>
        </w:rPr>
        <w:t>декабря 2004</w:t>
      </w:r>
      <w:r>
        <w:t> </w:t>
      </w:r>
      <w:r>
        <w:rPr>
          <w:lang w:val="ru-RU"/>
        </w:rPr>
        <w:t>года, в которой Ассамблея настоятельно призывает государства-участники ускорить свои внутренние процедуры ратификации поправки и оперативно уведомить в письменном виде Генерального секретаря о своем согласии с ней.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Учитывая значительную долю трудящихся-мигрантов, проживающих на территории государства-участника (23,9% населения), Комитет рекомендует государству-участнику присоединиться к Международной конвенции о защите прав всех трудящихся-мигрантов и членов их семей.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 во внутреннем праве, в частности статей</w:t>
      </w:r>
      <w:r>
        <w:t> </w:t>
      </w:r>
      <w:r>
        <w:rPr>
          <w:lang w:val="ru-RU"/>
        </w:rPr>
        <w:t>2</w:t>
      </w:r>
      <w:r>
        <w:rPr>
          <w:lang w:val="ru-RU"/>
        </w:rPr>
        <w:noBreakHyphen/>
        <w:t>7 Конвенции, и включить в свой следующий периодический доклад конкретную информацию о планах действий или других мерах, принятых в порядке осуществления Дурбанской декларации и Программы действий на национальном уровне.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предоставлять общественности широкий доступ к его докладам с момента их представления и обеспечивать такое же распространение замечаний Комитета по этим докладам.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проводить широкие консультации с организациями гражданского общества, занимающимися вопросами борьбы против расовой дискриминации, в связи с подготовкой следующего периодического доклада.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В соответствии с пунктом 1 правила 65 правил процедуры Комитета государству-участнику следует в течение одного года представить информацию о принятых им мерах в связи с рекомендациями Комитета, содержащимися в пунктах 11 и 15.</w:t>
      </w:r>
    </w:p>
    <w:p w:rsidR="00000000" w:rsidRDefault="00000000">
      <w:pPr>
        <w:rPr>
          <w:lang w:val="ru-RU"/>
        </w:rPr>
      </w:pP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представить свои второй, третий и четвертый периодические доклады в едином документе, подлежащем представлению 2</w:t>
      </w:r>
      <w:r>
        <w:t> </w:t>
      </w:r>
      <w:r>
        <w:rPr>
          <w:lang w:val="ru-RU"/>
        </w:rPr>
        <w:t>января 2010</w:t>
      </w:r>
      <w:r>
        <w:t> </w:t>
      </w:r>
      <w:r>
        <w:rPr>
          <w:lang w:val="ru-RU"/>
        </w:rPr>
        <w:t>года, обеспечить всеобъемлющий характер такого доклада и отразить в нем все вопросы, затронутые в настоящих заключительных замечаниях.</w:t>
      </w:r>
    </w:p>
    <w:p w:rsidR="00000000" w:rsidRDefault="00000000">
      <w:pPr>
        <w:jc w:val="center"/>
      </w:pPr>
      <w:r>
        <w:t>- - 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440" w:bottom="1440" w:left="1440" w:header="1021" w:footer="68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GE.06-44757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0"/>
    </w:pPr>
    <w:r>
      <w:t>CERD/C/OMN/CO/1</w:t>
    </w:r>
  </w:p>
  <w:p w:rsidR="00000000" w:rsidRDefault="00000000">
    <w:pPr>
      <w:pStyle w:val="Head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0"/>
    </w:pPr>
    <w:r>
      <w:tab/>
    </w:r>
    <w:r>
      <w:tab/>
      <w:t xml:space="preserve">                                                                                           CERD/C/OMN/CO/1</w:t>
    </w:r>
  </w:p>
  <w:p w:rsidR="00000000" w:rsidRDefault="00000000">
    <w:pPr>
      <w:pStyle w:val="Header"/>
    </w:pPr>
    <w:r>
      <w:tab/>
      <w:t xml:space="preserve">                                                                                                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7AF1"/>
    <w:multiLevelType w:val="hybridMultilevel"/>
    <w:tmpl w:val="26CE1F1E"/>
    <w:lvl w:ilvl="0" w:tplc="63E6FEC2">
      <w:start w:val="36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2C2DA0"/>
    <w:multiLevelType w:val="hybridMultilevel"/>
    <w:tmpl w:val="3AD0A3BE"/>
    <w:lvl w:ilvl="0" w:tplc="69D2F930">
      <w:start w:val="35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67BD3"/>
    <w:multiLevelType w:val="hybridMultilevel"/>
    <w:tmpl w:val="03287E18"/>
    <w:lvl w:ilvl="0" w:tplc="113809F2">
      <w:start w:val="37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CB5A66"/>
    <w:multiLevelType w:val="hybridMultilevel"/>
    <w:tmpl w:val="0860BBFE"/>
    <w:lvl w:ilvl="0" w:tplc="25FA60E8">
      <w:start w:val="37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A16128"/>
    <w:multiLevelType w:val="hybridMultilevel"/>
    <w:tmpl w:val="FFDC3502"/>
    <w:lvl w:ilvl="0" w:tplc="7716FBDE">
      <w:start w:val="36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044"/>
    <w:multiLevelType w:val="hybridMultilevel"/>
    <w:tmpl w:val="E650224E"/>
    <w:lvl w:ilvl="0" w:tplc="BC92D7AE">
      <w:start w:val="35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AD5A3B"/>
    <w:multiLevelType w:val="hybridMultilevel"/>
    <w:tmpl w:val="E392F8B8"/>
    <w:lvl w:ilvl="0" w:tplc="96EC6F94">
      <w:start w:val="35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311F3"/>
    <w:multiLevelType w:val="hybridMultilevel"/>
    <w:tmpl w:val="27F65F98"/>
    <w:lvl w:ilvl="0" w:tplc="180E585C">
      <w:start w:val="36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F74825"/>
    <w:multiLevelType w:val="hybridMultilevel"/>
    <w:tmpl w:val="BAEC8B48"/>
    <w:lvl w:ilvl="0" w:tplc="F3F0E7DE">
      <w:start w:val="35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B105C9"/>
    <w:multiLevelType w:val="hybridMultilevel"/>
    <w:tmpl w:val="8744DFE2"/>
    <w:lvl w:ilvl="0" w:tplc="60CE2BD8">
      <w:start w:val="35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0215EE"/>
    <w:multiLevelType w:val="hybridMultilevel"/>
    <w:tmpl w:val="1BE0EA90"/>
    <w:lvl w:ilvl="0" w:tplc="53A8BB5A">
      <w:start w:val="36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555BEF"/>
    <w:multiLevelType w:val="hybridMultilevel"/>
    <w:tmpl w:val="3C642958"/>
    <w:lvl w:ilvl="0" w:tplc="C4F8F4A0">
      <w:start w:val="35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E27B3F"/>
    <w:multiLevelType w:val="hybridMultilevel"/>
    <w:tmpl w:val="926234B8"/>
    <w:lvl w:ilvl="0" w:tplc="81841E60">
      <w:start w:val="34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057554"/>
    <w:multiLevelType w:val="hybridMultilevel"/>
    <w:tmpl w:val="009A4CB4"/>
    <w:lvl w:ilvl="0" w:tplc="A48072DC">
      <w:start w:val="37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932D20"/>
    <w:multiLevelType w:val="hybridMultilevel"/>
    <w:tmpl w:val="B386C0C4"/>
    <w:lvl w:ilvl="0" w:tplc="103E9E84">
      <w:start w:val="36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2E7E39"/>
    <w:multiLevelType w:val="hybridMultilevel"/>
    <w:tmpl w:val="8BB4FA44"/>
    <w:lvl w:ilvl="0" w:tplc="D55CC7C0">
      <w:start w:val="37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2E408D"/>
    <w:multiLevelType w:val="hybridMultilevel"/>
    <w:tmpl w:val="707CD9DA"/>
    <w:lvl w:ilvl="0" w:tplc="C6A2CEF6">
      <w:start w:val="36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3293E12"/>
    <w:multiLevelType w:val="hybridMultilevel"/>
    <w:tmpl w:val="ED546D6A"/>
    <w:lvl w:ilvl="0" w:tplc="51C2FA24">
      <w:start w:val="35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E65155"/>
    <w:multiLevelType w:val="hybridMultilevel"/>
    <w:tmpl w:val="2026C6D4"/>
    <w:lvl w:ilvl="0" w:tplc="36BC37EE">
      <w:start w:val="35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9F367F"/>
    <w:multiLevelType w:val="hybridMultilevel"/>
    <w:tmpl w:val="88500EFC"/>
    <w:lvl w:ilvl="0" w:tplc="044E66A6">
      <w:start w:val="35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F625CC"/>
    <w:multiLevelType w:val="hybridMultilevel"/>
    <w:tmpl w:val="238E7BBA"/>
    <w:lvl w:ilvl="0" w:tplc="77DA88B6">
      <w:start w:val="36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991689"/>
    <w:multiLevelType w:val="hybridMultilevel"/>
    <w:tmpl w:val="9C8671C0"/>
    <w:lvl w:ilvl="0" w:tplc="DFC8A5A0">
      <w:start w:val="37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41592B"/>
    <w:multiLevelType w:val="hybridMultilevel"/>
    <w:tmpl w:val="C43A6C96"/>
    <w:lvl w:ilvl="0" w:tplc="F6C8F230">
      <w:start w:val="37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32167A"/>
    <w:multiLevelType w:val="hybridMultilevel"/>
    <w:tmpl w:val="C21074AE"/>
    <w:lvl w:ilvl="0" w:tplc="948E9482">
      <w:start w:val="36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7C4A5F"/>
    <w:multiLevelType w:val="hybridMultilevel"/>
    <w:tmpl w:val="91A60A0E"/>
    <w:lvl w:ilvl="0" w:tplc="596AD262">
      <w:start w:val="37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742383"/>
    <w:multiLevelType w:val="hybridMultilevel"/>
    <w:tmpl w:val="BF4C4486"/>
    <w:lvl w:ilvl="0" w:tplc="D2E8CA48">
      <w:start w:val="35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8E7B9F"/>
    <w:multiLevelType w:val="hybridMultilevel"/>
    <w:tmpl w:val="79AE68B0"/>
    <w:lvl w:ilvl="0" w:tplc="55B2F5E4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2A1F45"/>
    <w:multiLevelType w:val="hybridMultilevel"/>
    <w:tmpl w:val="05FE229C"/>
    <w:lvl w:ilvl="0" w:tplc="3DB6E96A">
      <w:start w:val="36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44136"/>
    <w:multiLevelType w:val="hybridMultilevel"/>
    <w:tmpl w:val="3AC4BC92"/>
    <w:lvl w:ilvl="0" w:tplc="DCEE27F4">
      <w:start w:val="36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12"/>
  </w:num>
  <w:num w:numId="3">
    <w:abstractNumId w:val="11"/>
  </w:num>
  <w:num w:numId="4">
    <w:abstractNumId w:val="9"/>
  </w:num>
  <w:num w:numId="5">
    <w:abstractNumId w:val="1"/>
  </w:num>
  <w:num w:numId="6">
    <w:abstractNumId w:val="8"/>
  </w:num>
  <w:num w:numId="7">
    <w:abstractNumId w:val="6"/>
  </w:num>
  <w:num w:numId="8">
    <w:abstractNumId w:val="17"/>
  </w:num>
  <w:num w:numId="9">
    <w:abstractNumId w:val="18"/>
  </w:num>
  <w:num w:numId="10">
    <w:abstractNumId w:val="19"/>
  </w:num>
  <w:num w:numId="11">
    <w:abstractNumId w:val="5"/>
  </w:num>
  <w:num w:numId="12">
    <w:abstractNumId w:val="25"/>
  </w:num>
  <w:num w:numId="13">
    <w:abstractNumId w:val="7"/>
  </w:num>
  <w:num w:numId="14">
    <w:abstractNumId w:val="4"/>
  </w:num>
  <w:num w:numId="15">
    <w:abstractNumId w:val="0"/>
  </w:num>
  <w:num w:numId="16">
    <w:abstractNumId w:val="27"/>
  </w:num>
  <w:num w:numId="17">
    <w:abstractNumId w:val="23"/>
  </w:num>
  <w:num w:numId="18">
    <w:abstractNumId w:val="20"/>
  </w:num>
  <w:num w:numId="19">
    <w:abstractNumId w:val="10"/>
  </w:num>
  <w:num w:numId="20">
    <w:abstractNumId w:val="14"/>
  </w:num>
  <w:num w:numId="21">
    <w:abstractNumId w:val="16"/>
  </w:num>
  <w:num w:numId="22">
    <w:abstractNumId w:val="28"/>
  </w:num>
  <w:num w:numId="23">
    <w:abstractNumId w:val="24"/>
  </w:num>
  <w:num w:numId="24">
    <w:abstractNumId w:val="3"/>
  </w:num>
  <w:num w:numId="25">
    <w:abstractNumId w:val="13"/>
  </w:num>
  <w:num w:numId="26">
    <w:abstractNumId w:val="15"/>
  </w:num>
  <w:num w:numId="27">
    <w:abstractNumId w:val="2"/>
  </w:num>
  <w:num w:numId="28">
    <w:abstractNumId w:val="22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4"/>
    </w:pPr>
    <w:rPr>
      <w:rFonts w:eastAsia="SimSun"/>
      <w:i/>
      <w:u w:val="single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spacing w:after="0"/>
    </w:pPr>
    <w:rPr>
      <w:rFonts w:ascii="Courier" w:hAnsi="Courier"/>
      <w:snapToGrid w:val="0"/>
      <w:lang w:val="ru-RU" w:eastAsia="ru-RU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1833</Words>
  <Characters>10452</Characters>
  <Application>Microsoft Office Word</Application>
  <DocSecurity>4</DocSecurity>
  <Lines>87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International Computing Centre</Company>
  <LinksUpToDate>false</LinksUpToDate>
  <CharactersWithSpaces>12835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OHCHR</dc:creator>
  <cp:keywords/>
  <dc:description/>
  <cp:lastModifiedBy>csd</cp:lastModifiedBy>
  <cp:revision>4</cp:revision>
  <cp:lastPrinted>2006-10-23T09:00:00Z</cp:lastPrinted>
  <dcterms:created xsi:type="dcterms:W3CDTF">2006-10-20T13:40:00Z</dcterms:created>
  <dcterms:modified xsi:type="dcterms:W3CDTF">2006-10-23T09:00:00Z</dcterms:modified>
</cp:coreProperties>
</file>