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79E" w:rsidRDefault="002E379E">
      <w:pPr>
        <w:spacing w:line="240" w:lineRule="auto"/>
        <w:rPr>
          <w:sz w:val="6"/>
        </w:rPr>
      </w:pPr>
      <w:r>
        <w:rPr>
          <w:rStyle w:val="CommentReference"/>
        </w:rPr>
        <w:commentReference w:id="0"/>
      </w:r>
    </w:p>
    <w:p w:rsidR="00C07E89" w:rsidRPr="002E379E" w:rsidRDefault="00C07E89" w:rsidP="002E379E">
      <w:pPr>
        <w:spacing w:line="20" w:lineRule="exact"/>
        <w:rPr>
          <w:sz w:val="2"/>
        </w:rPr>
        <w:sectPr w:rsidR="00C07E89" w:rsidRPr="002E379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p>
    <w:p w:rsidR="00C07E89" w:rsidRDefault="00C07E89">
      <w:pPr>
        <w:pStyle w:val="H1"/>
      </w:pPr>
      <w:r>
        <w:t>Comité para la Eliminación de la Discriminación</w:t>
      </w:r>
      <w:r>
        <w:br/>
        <w:t>contra la Mujer</w:t>
      </w:r>
    </w:p>
    <w:p w:rsidR="00C07E89" w:rsidRDefault="00C07E89">
      <w:pPr>
        <w:pStyle w:val="H23"/>
      </w:pPr>
      <w:r>
        <w:t>37º período de sesiones</w:t>
      </w:r>
    </w:p>
    <w:p w:rsidR="00C07E89" w:rsidRDefault="00C07E89">
      <w:pPr>
        <w:spacing w:line="240" w:lineRule="auto"/>
        <w:rPr>
          <w:sz w:val="12"/>
        </w:rPr>
      </w:pPr>
    </w:p>
    <w:p w:rsidR="00C07E89" w:rsidRDefault="00C07E89">
      <w:pPr>
        <w:pStyle w:val="H23"/>
      </w:pPr>
      <w:r>
        <w:t>Acta resumida de la 762ª sesión (Sala A)</w:t>
      </w:r>
    </w:p>
    <w:p w:rsidR="00C07E89" w:rsidRDefault="00C07E89">
      <w:r>
        <w:t>Celebrada en la Sede, Nueva York, el jueves 18 de enero de 2007, a las 15.00 horas</w:t>
      </w:r>
    </w:p>
    <w:p w:rsidR="00C07E89" w:rsidRDefault="00C07E89">
      <w:pPr>
        <w:spacing w:line="120" w:lineRule="exact"/>
        <w:rPr>
          <w:sz w:val="10"/>
        </w:rPr>
      </w:pPr>
    </w:p>
    <w:p w:rsidR="00C07E89" w:rsidRDefault="00C07E89">
      <w:pPr>
        <w:tabs>
          <w:tab w:val="right" w:pos="907"/>
          <w:tab w:val="left" w:pos="1267"/>
          <w:tab w:val="right" w:leader="dot" w:pos="8568"/>
        </w:tabs>
        <w:ind w:right="1267"/>
      </w:pPr>
      <w:r>
        <w:rPr>
          <w:i/>
        </w:rPr>
        <w:t>Presidenta</w:t>
      </w:r>
      <w:r>
        <w:t>:</w:t>
      </w:r>
      <w:r>
        <w:tab/>
        <w:t xml:space="preserve">Sra. Gabr (Vicepresidenta) </w:t>
      </w:r>
    </w:p>
    <w:p w:rsidR="00C07E89" w:rsidRDefault="00C07E89">
      <w:pPr>
        <w:spacing w:line="120" w:lineRule="exact"/>
        <w:rPr>
          <w:sz w:val="10"/>
        </w:rPr>
      </w:pPr>
    </w:p>
    <w:p w:rsidR="00C07E89" w:rsidRDefault="00C07E89">
      <w:pPr>
        <w:spacing w:line="120" w:lineRule="exact"/>
        <w:rPr>
          <w:sz w:val="10"/>
        </w:rPr>
      </w:pPr>
    </w:p>
    <w:p w:rsidR="00C07E89" w:rsidRDefault="00C07E89">
      <w:pPr>
        <w:tabs>
          <w:tab w:val="right" w:pos="907"/>
          <w:tab w:val="left" w:pos="1267"/>
          <w:tab w:val="right" w:leader="dot" w:pos="8568"/>
        </w:tabs>
        <w:spacing w:line="120" w:lineRule="exact"/>
        <w:ind w:right="1267"/>
        <w:rPr>
          <w:sz w:val="10"/>
        </w:rPr>
      </w:pPr>
    </w:p>
    <w:p w:rsidR="00C07E89" w:rsidRDefault="00C07E89">
      <w:pPr>
        <w:pStyle w:val="HCh"/>
        <w:rPr>
          <w:b w:val="0"/>
        </w:rPr>
      </w:pPr>
      <w:r>
        <w:rPr>
          <w:b w:val="0"/>
        </w:rPr>
        <w:t>Sumario</w:t>
      </w:r>
    </w:p>
    <w:p w:rsidR="00C07E89" w:rsidRDefault="00C07E89">
      <w:pPr>
        <w:spacing w:line="120" w:lineRule="exact"/>
        <w:rPr>
          <w:sz w:val="10"/>
        </w:rPr>
      </w:pPr>
    </w:p>
    <w:p w:rsidR="00C07E89" w:rsidRDefault="00C07E89">
      <w:pPr>
        <w:pStyle w:val="SingleTxt"/>
        <w:jc w:val="left"/>
      </w:pPr>
      <w:r>
        <w:t>Examen de los informes presentados por los Estados partes con arreglo al artículo 18 de la Convención (</w:t>
      </w:r>
      <w:r>
        <w:rPr>
          <w:i/>
        </w:rPr>
        <w:t>continuación</w:t>
      </w:r>
      <w:r>
        <w:t>)</w:t>
      </w:r>
    </w:p>
    <w:p w:rsidR="00C07E89" w:rsidRDefault="00C07E89">
      <w:pPr>
        <w:pStyle w:val="SingleTxt"/>
        <w:suppressAutoHyphens/>
        <w:jc w:val="left"/>
      </w:pPr>
      <w:r>
        <w:tab/>
      </w:r>
      <w:r>
        <w:rPr>
          <w:i/>
        </w:rPr>
        <w:t>Informes periódicos segundo y tercero combinados de la India (continuación</w:t>
      </w:r>
      <w:r>
        <w:t>)</w:t>
      </w:r>
    </w:p>
    <w:p w:rsidR="00C471EB" w:rsidRDefault="00C471EB" w:rsidP="00C471EB">
      <w:pPr>
        <w:pStyle w:val="H4"/>
        <w:tabs>
          <w:tab w:val="right" w:pos="360"/>
          <w:tab w:val="left" w:pos="475"/>
          <w:tab w:val="left" w:pos="965"/>
          <w:tab w:val="left" w:pos="1440"/>
          <w:tab w:val="left" w:pos="1915"/>
          <w:tab w:val="left" w:pos="2405"/>
          <w:tab w:val="left" w:pos="2880"/>
          <w:tab w:val="left" w:pos="3355"/>
        </w:tabs>
        <w:sectPr w:rsidR="00C471EB" w:rsidSect="00C471EB">
          <w:endnotePr>
            <w:numFmt w:val="decimal"/>
          </w:endnotePr>
          <w:type w:val="continuous"/>
          <w:pgSz w:w="12240" w:h="15840" w:code="1"/>
          <w:pgMar w:top="1742" w:right="1195" w:bottom="1898" w:left="1195" w:header="576" w:footer="1030" w:gutter="0"/>
          <w:cols w:space="240"/>
          <w:noEndnote/>
          <w:docGrid w:linePitch="209"/>
        </w:sectPr>
      </w:pPr>
    </w:p>
    <w:p w:rsidR="00C07E89" w:rsidRDefault="00C07E89" w:rsidP="00C471EB">
      <w:pPr>
        <w:pStyle w:val="H4"/>
        <w:tabs>
          <w:tab w:val="right" w:pos="360"/>
          <w:tab w:val="left" w:pos="475"/>
          <w:tab w:val="left" w:pos="965"/>
          <w:tab w:val="left" w:pos="1440"/>
          <w:tab w:val="left" w:pos="1915"/>
          <w:tab w:val="left" w:pos="2405"/>
          <w:tab w:val="left" w:pos="2880"/>
          <w:tab w:val="left" w:pos="3355"/>
        </w:tabs>
      </w:pPr>
      <w:r>
        <w:br w:type="page"/>
        <w:t>En ausencia de la Sra. Šimonović, la Sra. Gabr, Vicepresidenta, ocupa la Presidencia.</w:t>
      </w:r>
    </w:p>
    <w:p w:rsidR="00C07E89" w:rsidRDefault="00C07E89">
      <w:pPr>
        <w:pStyle w:val="DualTxt"/>
        <w:spacing w:after="0" w:line="120" w:lineRule="exact"/>
        <w:rPr>
          <w:sz w:val="10"/>
        </w:rPr>
      </w:pPr>
    </w:p>
    <w:p w:rsidR="00C07E89" w:rsidRDefault="00C07E8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C07E89" w:rsidRDefault="00C07E89">
      <w:pPr>
        <w:pStyle w:val="DualTxt"/>
        <w:spacing w:after="0" w:line="120" w:lineRule="exact"/>
        <w:rPr>
          <w:sz w:val="10"/>
        </w:rPr>
      </w:pPr>
    </w:p>
    <w:p w:rsidR="00C07E89" w:rsidRDefault="00C07E89">
      <w:pPr>
        <w:pStyle w:val="DualTxt"/>
        <w:spacing w:after="0" w:line="120" w:lineRule="exact"/>
        <w:rPr>
          <w:sz w:val="10"/>
        </w:rPr>
      </w:pPr>
    </w:p>
    <w:p w:rsidR="00C07E89" w:rsidRDefault="00C07E89">
      <w:pPr>
        <w:pStyle w:val="DualTxt"/>
        <w:spacing w:after="0" w:line="120" w:lineRule="exact"/>
        <w:rPr>
          <w:sz w:val="10"/>
        </w:rPr>
      </w:pPr>
    </w:p>
    <w:p w:rsidR="00C07E89" w:rsidRDefault="00C07E89">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w:t>
      </w:r>
      <w:r>
        <w:rPr>
          <w:b w:val="0"/>
        </w:rPr>
        <w:t xml:space="preserve"> (</w:t>
      </w:r>
      <w:r>
        <w:rPr>
          <w:b w:val="0"/>
          <w:i/>
        </w:rPr>
        <w:t>continuación</w:t>
      </w:r>
      <w:r>
        <w:rPr>
          <w:b w:val="0"/>
        </w:rPr>
        <w:t>)</w:t>
      </w:r>
    </w:p>
    <w:p w:rsidR="00C07E89" w:rsidRDefault="00C07E89">
      <w:pPr>
        <w:pStyle w:val="DualTxt"/>
        <w:spacing w:after="0" w:line="120" w:lineRule="exact"/>
        <w:rPr>
          <w:sz w:val="10"/>
        </w:rPr>
      </w:pPr>
    </w:p>
    <w:p w:rsidR="00C07E89" w:rsidRDefault="00C07E8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segundo y tercero combinados de la India </w:t>
      </w:r>
      <w:r>
        <w:rPr>
          <w:i w:val="0"/>
        </w:rPr>
        <w:t>(</w:t>
      </w:r>
      <w:r>
        <w:t>continuación</w:t>
      </w:r>
      <w:r>
        <w:rPr>
          <w:i w:val="0"/>
        </w:rPr>
        <w:t>) (CEDAW/C/IND/2-3, CEDAW/C/IND/Q/3 y Add.1)</w:t>
      </w:r>
    </w:p>
    <w:p w:rsidR="00C07E89" w:rsidRDefault="00C07E89">
      <w:pPr>
        <w:pStyle w:val="DualTxt"/>
        <w:spacing w:after="0" w:line="120" w:lineRule="exact"/>
        <w:rPr>
          <w:sz w:val="10"/>
        </w:rPr>
      </w:pPr>
    </w:p>
    <w:p w:rsidR="00C07E89" w:rsidRDefault="00C07E89">
      <w:pPr>
        <w:pStyle w:val="DualTxt"/>
      </w:pPr>
      <w:r>
        <w:t>1.</w:t>
      </w:r>
      <w:r>
        <w:tab/>
      </w:r>
      <w:r>
        <w:rPr>
          <w:i/>
        </w:rPr>
        <w:t>Por invitación de la Presidenta, los miembros de la delegación de la India toman asiento a la mesa del Comité.</w:t>
      </w:r>
    </w:p>
    <w:p w:rsidR="00C07E89" w:rsidRDefault="00C07E89">
      <w:pPr>
        <w:pStyle w:val="DualTxt"/>
        <w:spacing w:after="0" w:line="120" w:lineRule="exact"/>
        <w:rPr>
          <w:sz w:val="10"/>
        </w:rPr>
      </w:pPr>
    </w:p>
    <w:p w:rsidR="00C07E89" w:rsidRDefault="00C07E89">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C07E89" w:rsidRDefault="00C07E89">
      <w:pPr>
        <w:pStyle w:val="DualTxt"/>
        <w:spacing w:after="0" w:line="120" w:lineRule="exact"/>
        <w:rPr>
          <w:sz w:val="10"/>
        </w:rPr>
      </w:pPr>
    </w:p>
    <w:p w:rsidR="00C07E89" w:rsidRDefault="00C07E89">
      <w:pPr>
        <w:pStyle w:val="DualTxt"/>
      </w:pPr>
      <w:r>
        <w:t>2.</w:t>
      </w:r>
      <w:r>
        <w:tab/>
      </w:r>
      <w:r>
        <w:rPr>
          <w:b/>
        </w:rPr>
        <w:t>La Sra. Pimentel</w:t>
      </w:r>
      <w:r>
        <w:t xml:space="preserve"> solicita más información sobre los planes y programas concretos dirigidos a mejorar la situación de las mujeres de grupos marginales y desf</w:t>
      </w:r>
      <w:r>
        <w:t>a</w:t>
      </w:r>
      <w:r>
        <w:t>vorecidos, en particular su acceso a la educación más allá de la enseñanza primaria. También pregunta qué medidas legislativas se han adoptado para aplicar la Enmienda 86ª de la Constitución, que dispone la ed</w:t>
      </w:r>
      <w:r>
        <w:t>u</w:t>
      </w:r>
      <w:r>
        <w:t>cación obligatoria y gratuita de todos los niños entre los 6 y los 14 años de edad.</w:t>
      </w:r>
    </w:p>
    <w:p w:rsidR="00C07E89" w:rsidRDefault="00C07E89">
      <w:pPr>
        <w:pStyle w:val="DualTxt"/>
      </w:pPr>
      <w:r>
        <w:t>3.</w:t>
      </w:r>
      <w:r>
        <w:tab/>
      </w:r>
      <w:r>
        <w:rPr>
          <w:b/>
        </w:rPr>
        <w:t>La Sra. Schöpp-Schilling</w:t>
      </w:r>
      <w:r>
        <w:t xml:space="preserve"> pregunta qué poderes tiene el Gobierno central en las esferas que, como la educación, son competencia de los estados. Cuando los estados no están cumpliendo satisfactoriamente su c</w:t>
      </w:r>
      <w:r>
        <w:t>o</w:t>
      </w:r>
      <w:r>
        <w:t>metido</w:t>
      </w:r>
      <w:r w:rsidR="002E379E">
        <w:t xml:space="preserve"> —</w:t>
      </w:r>
      <w:r>
        <w:t>como demuestra la persistencia de difere</w:t>
      </w:r>
      <w:r>
        <w:t>n</w:t>
      </w:r>
      <w:r>
        <w:t>cias de los niveles de educación entre unas partes y otras del país</w:t>
      </w:r>
      <w:r w:rsidR="002E379E">
        <w:t xml:space="preserve">— </w:t>
      </w:r>
      <w:r>
        <w:t>es necesario que el Gobierno central intervenga de alguna manera. Observa que el pres</w:t>
      </w:r>
      <w:r>
        <w:t>u</w:t>
      </w:r>
      <w:r>
        <w:t>puesto de educación del Gobierno sigue por debajo del nivel del 6% del producto interno bruto al que se co</w:t>
      </w:r>
      <w:r>
        <w:t>m</w:t>
      </w:r>
      <w:r>
        <w:t>prometió en Beijing. Además, las cifras sobre educ</w:t>
      </w:r>
      <w:r>
        <w:t>a</w:t>
      </w:r>
      <w:r>
        <w:t>ción son una mezcla de datos absolutos y relativos o porcentuales, lo impide hacerse una idea clara de cuál es la situación y de lo que se está haciendo. Cabe esp</w:t>
      </w:r>
      <w:r>
        <w:t>e</w:t>
      </w:r>
      <w:r>
        <w:t>rar que los datos que se aporten en el próximo informe sean comparables, de manera que puedan discernirse las proporciones relativas y las tendencias. Tampoco se desprende claramente del informe si la inversión en educación  procede exclusivamente de fondos públicos o abarca también inversiones privadas. Señala que uno de los peligros de la privatización es el de que la ens</w:t>
      </w:r>
      <w:r>
        <w:t>e</w:t>
      </w:r>
      <w:r>
        <w:t>ñanza pública se convierta en la enseñanza de los p</w:t>
      </w:r>
      <w:r>
        <w:t>o</w:t>
      </w:r>
      <w:r>
        <w:t>bres.</w:t>
      </w:r>
    </w:p>
    <w:p w:rsidR="00C07E89" w:rsidRDefault="00C07E89">
      <w:pPr>
        <w:pStyle w:val="DualTxt"/>
      </w:pPr>
      <w:r>
        <w:t>4.</w:t>
      </w:r>
      <w:r>
        <w:tab/>
      </w:r>
      <w:r>
        <w:rPr>
          <w:b/>
        </w:rPr>
        <w:t>El Sr. Flinterman</w:t>
      </w:r>
      <w:r>
        <w:t xml:space="preserve"> pregunta cómo ha afectado a las niñas de los grupos minoritarios la privatización de la enseñanza. El Comité ha recibido un informe sobre la situación social y educativa de los musulmanes, pr</w:t>
      </w:r>
      <w:r>
        <w:t>e</w:t>
      </w:r>
      <w:r>
        <w:t>parado después de los disturbios de Gujarat. En el i</w:t>
      </w:r>
      <w:r>
        <w:t>n</w:t>
      </w:r>
      <w:r>
        <w:t>forme se muestra que la pobreza y otros factores s</w:t>
      </w:r>
      <w:r>
        <w:t>o</w:t>
      </w:r>
      <w:r>
        <w:t>cioeconómicos contribuyen más que el conservaduri</w:t>
      </w:r>
      <w:r>
        <w:t>s</w:t>
      </w:r>
      <w:r>
        <w:t>mo religioso a dificultar la escolarización y el progreso entre los musulmanes. Pregunta si el Gobierno ha adoptado medidas como consecuencia de esas const</w:t>
      </w:r>
      <w:r>
        <w:t>a</w:t>
      </w:r>
      <w:r>
        <w:t>taciones. Puesto que las tasas de alfabetización de m</w:t>
      </w:r>
      <w:r>
        <w:t>u</w:t>
      </w:r>
      <w:r>
        <w:t>jeres y hombres parecen haber mejorado en el decenio de 1990, solicita información sobre el decenio en cu</w:t>
      </w:r>
      <w:r>
        <w:t>r</w:t>
      </w:r>
      <w:r>
        <w:t>so, así como las asignaciones presupuestarias para la reducción del analfabetismo, especialmente entre muj</w:t>
      </w:r>
      <w:r>
        <w:t>e</w:t>
      </w:r>
      <w:r>
        <w:t>res y niñas.</w:t>
      </w:r>
    </w:p>
    <w:p w:rsidR="00C07E89" w:rsidRDefault="00C07E89">
      <w:pPr>
        <w:pStyle w:val="DualTxt"/>
      </w:pPr>
      <w:r>
        <w:t>5.</w:t>
      </w:r>
      <w:r>
        <w:tab/>
      </w:r>
      <w:r>
        <w:rPr>
          <w:b/>
        </w:rPr>
        <w:t>La Presidenta</w:t>
      </w:r>
      <w:r>
        <w:t>, hablando en calidad de miembro del Comité, dice que la educación y la eliminación de los estereotipos son instrumentos poderosos para pr</w:t>
      </w:r>
      <w:r>
        <w:t>o</w:t>
      </w:r>
      <w:r>
        <w:t>mover la integración social de las minorías y de los grupos desfavorecidos. Exhorta al Gobierno a que r</w:t>
      </w:r>
      <w:r>
        <w:t>e</w:t>
      </w:r>
      <w:r>
        <w:t>doble sus esfuerzos por aumentar la inversión en ed</w:t>
      </w:r>
      <w:r>
        <w:t>u</w:t>
      </w:r>
      <w:r>
        <w:t>cación.</w:t>
      </w:r>
    </w:p>
    <w:p w:rsidR="00C07E89" w:rsidRDefault="00C07E89">
      <w:pPr>
        <w:pStyle w:val="DualTxt"/>
      </w:pPr>
      <w:r>
        <w:t>6.</w:t>
      </w:r>
      <w:r>
        <w:tab/>
      </w:r>
      <w:r>
        <w:rPr>
          <w:b/>
        </w:rPr>
        <w:t>La Sra. Swarup</w:t>
      </w:r>
      <w:r>
        <w:t xml:space="preserve"> (India) dice que se ha preparado y distribuido a los estados un proyecto de ley modelo sobre la mejora del acceso a la educación. Durante el proceso de examen, el Gobierno central, en colabor</w:t>
      </w:r>
      <w:r>
        <w:t>a</w:t>
      </w:r>
      <w:r>
        <w:t>ción con los estados, ha establecido e impulsado pr</w:t>
      </w:r>
      <w:r>
        <w:t>o</w:t>
      </w:r>
      <w:r>
        <w:t>gramas tendentes a mejorar ese acceso. En las zonas rurales la tasa de escolarización en la enseñanza prim</w:t>
      </w:r>
      <w:r>
        <w:t>a</w:t>
      </w:r>
      <w:r>
        <w:t>ria y primaria superior es de más del 85%, y se ha r</w:t>
      </w:r>
      <w:r>
        <w:t>e</w:t>
      </w:r>
      <w:r>
        <w:t>ducido drásticamente el número de niños no escolar</w:t>
      </w:r>
      <w:r>
        <w:t>i</w:t>
      </w:r>
      <w:r>
        <w:t>zados.</w:t>
      </w:r>
    </w:p>
    <w:p w:rsidR="00C07E89" w:rsidRDefault="00C07E89">
      <w:pPr>
        <w:pStyle w:val="DualTxt"/>
      </w:pPr>
      <w:r>
        <w:t>7.</w:t>
      </w:r>
      <w:r>
        <w:tab/>
        <w:t>El 90% de los niños musulmanes están escolar</w:t>
      </w:r>
      <w:r>
        <w:t>i</w:t>
      </w:r>
      <w:r>
        <w:t>zados, y entre los que no lo están la proporción de n</w:t>
      </w:r>
      <w:r>
        <w:t>i</w:t>
      </w:r>
      <w:r>
        <w:t>ñas no es superior a la mitad. La mejora de la educ</w:t>
      </w:r>
      <w:r>
        <w:t>a</w:t>
      </w:r>
      <w:r>
        <w:t>ción para los grupos desfavorecidos es un objetivo prioritario, y se reserva un número determinado de pl</w:t>
      </w:r>
      <w:r>
        <w:t>a</w:t>
      </w:r>
      <w:r>
        <w:t>zas escolares para las minorías étnicas. Las diferencias entre niños y niñas en lo que se refiere a la educación se están reduciendo en toda la India, especialmente e</w:t>
      </w:r>
      <w:r>
        <w:t>n</w:t>
      </w:r>
      <w:r>
        <w:t>tre los grupos minoritarios, y la tasa de abandono esc</w:t>
      </w:r>
      <w:r>
        <w:t>o</w:t>
      </w:r>
      <w:r>
        <w:t>lar está disminuyendo más rápidamente entre las niñas que entre los niños. Los padres se resisten en muchos casos a permitir que sus hijas caminen largas distancias para acudir a la escuela, por lo que el Gobierno está tratando de construir escuelas más cercanas. El G</w:t>
      </w:r>
      <w:r>
        <w:t>o</w:t>
      </w:r>
      <w:r>
        <w:t>bierno centró inicialmente los esfuerzos en la enseña</w:t>
      </w:r>
      <w:r>
        <w:t>n</w:t>
      </w:r>
      <w:r>
        <w:t>za primaria, ampliando la base de servicios disponibles y mejorando el acceso a ellos; está trabajando ahora en la transición a niveles educativos superiores.</w:t>
      </w:r>
    </w:p>
    <w:p w:rsidR="00C07E89" w:rsidRDefault="00C07E89">
      <w:pPr>
        <w:pStyle w:val="DualTxt"/>
      </w:pPr>
      <w:r>
        <w:t>8.</w:t>
      </w:r>
      <w:r>
        <w:tab/>
        <w:t>En cuanto a la financiación de la enseñanza, señ</w:t>
      </w:r>
      <w:r>
        <w:t>a</w:t>
      </w:r>
      <w:r>
        <w:t>la que el actual nivel de gasto en educación no co</w:t>
      </w:r>
      <w:r>
        <w:t>m</w:t>
      </w:r>
      <w:r>
        <w:t>prende los fondos obtenidos por medio de la tasa del 2% recaudada con ese fin. Respecto de la privatización, señala que el 85% de la matrícula corresponde a las e</w:t>
      </w:r>
      <w:r>
        <w:t>s</w:t>
      </w:r>
      <w:r>
        <w:t>cuelas públicas, en las que se aplican estrictos contr</w:t>
      </w:r>
      <w:r>
        <w:t>o</w:t>
      </w:r>
      <w:r>
        <w:t>les de calidad. Más de 40 millones de profesores han participado en programas de formación y readiestr</w:t>
      </w:r>
      <w:r>
        <w:t>a</w:t>
      </w:r>
      <w:r>
        <w:t>miento. El Gobierno central y los estatales trabajan a</w:t>
      </w:r>
      <w:r>
        <w:t>c</w:t>
      </w:r>
      <w:r>
        <w:t>tivamente en estrecha colaboración con la sociedad c</w:t>
      </w:r>
      <w:r>
        <w:t>i</w:t>
      </w:r>
      <w:r>
        <w:t>vil en la revisión y renovación de los planes de estudio con el fin de promover la integración social e introd</w:t>
      </w:r>
      <w:r>
        <w:t>u</w:t>
      </w:r>
      <w:r>
        <w:t>cir un enfoque basado en los derechos.</w:t>
      </w:r>
    </w:p>
    <w:p w:rsidR="00C07E89" w:rsidRDefault="00C07E89">
      <w:pPr>
        <w:pStyle w:val="DualTxt"/>
      </w:pPr>
      <w:r>
        <w:t>9.</w:t>
      </w:r>
      <w:r>
        <w:tab/>
      </w:r>
      <w:r>
        <w:rPr>
          <w:b/>
        </w:rPr>
        <w:t>La Sra. Dairiam</w:t>
      </w:r>
      <w:r>
        <w:t xml:space="preserve"> pregunta, en relación con el a</w:t>
      </w:r>
      <w:r>
        <w:t>r</w:t>
      </w:r>
      <w:r>
        <w:t>tículo 11, qué se está haciendo para controlas los efe</w:t>
      </w:r>
      <w:r>
        <w:t>c</w:t>
      </w:r>
      <w:r>
        <w:t>tos negativos de las industrias en gran escala, que están haciéndose con el control de los recursos productivos y desplazando a los pobres y desfavorecidos, con el fin de evitar la ulterior marginalización de éstos. También solicita más información sobre la legislación contra el acoso sexual, en particular en el lugar de trabajo. D</w:t>
      </w:r>
      <w:r>
        <w:t>e</w:t>
      </w:r>
      <w:r>
        <w:t>bería consultarse a las asociaciones de mujeres y solic</w:t>
      </w:r>
      <w:r>
        <w:t>i</w:t>
      </w:r>
      <w:r>
        <w:t>tar sus recomendaciones al respecto. Solicita inform</w:t>
      </w:r>
      <w:r>
        <w:t>a</w:t>
      </w:r>
      <w:r>
        <w:t>ción sobre los programas e inversiones planeados para hacer frente a la situación de extrema precariedad ec</w:t>
      </w:r>
      <w:r>
        <w:t>o</w:t>
      </w:r>
      <w:r>
        <w:t>nómica de los estados nordorientales del país y sobre los plazos previstos para la promulgación de legisl</w:t>
      </w:r>
      <w:r>
        <w:t>a</w:t>
      </w:r>
      <w:r>
        <w:t>ción tendente a proteger a los trabajadores del sector no estructurado, entre los que hay una proporción muy elevada de mujeres. Por último, solicita más inform</w:t>
      </w:r>
      <w:r>
        <w:t>a</w:t>
      </w:r>
      <w:r>
        <w:t>ción sobre los programas tendentes a mejorar el acceso a la educación en las zonas urbanas, en las que está más ext</w:t>
      </w:r>
      <w:r w:rsidR="002E379E">
        <w:t>endido el trabajo infantil.</w:t>
      </w:r>
    </w:p>
    <w:p w:rsidR="00C07E89" w:rsidRDefault="00C07E89">
      <w:pPr>
        <w:pStyle w:val="DualTxt"/>
      </w:pPr>
      <w:r>
        <w:t>10.</w:t>
      </w:r>
      <w:r>
        <w:tab/>
      </w:r>
      <w:r>
        <w:rPr>
          <w:b/>
        </w:rPr>
        <w:t>La Sra. Singh</w:t>
      </w:r>
      <w:r>
        <w:t xml:space="preserve"> (India) confirma que sigue adela</w:t>
      </w:r>
      <w:r>
        <w:t>n</w:t>
      </w:r>
      <w:r>
        <w:t>te la tramitación del proyecto de ley relativo al acoso sexual en el lugar de trabajo, y añade que se ha consu</w:t>
      </w:r>
      <w:r>
        <w:t>l</w:t>
      </w:r>
      <w:r>
        <w:t>tado a diversas organizaciones, incluidas asociaciones de mujeres, y una de las recomendaciones formuladas es la de que el proyecto de ley debería aplicarse ta</w:t>
      </w:r>
      <w:r>
        <w:t>m</w:t>
      </w:r>
      <w:r>
        <w:t>bién al sector no estructurado. El texto del proyecto de ley se publicará en un sitio en la web para que el públ</w:t>
      </w:r>
      <w:r>
        <w:t>i</w:t>
      </w:r>
      <w:r>
        <w:t>co pueda formular observaciones al respecto. Una cuestión importante que se plantea es la de en qué m</w:t>
      </w:r>
      <w:r>
        <w:t>e</w:t>
      </w:r>
      <w:r>
        <w:t>dida deben ser de dominio público y accesibles para cualquier persona interesada las denuncias de acoso sexual.</w:t>
      </w:r>
    </w:p>
    <w:p w:rsidR="00C07E89" w:rsidRDefault="00C07E89">
      <w:pPr>
        <w:pStyle w:val="DualTxt"/>
      </w:pPr>
      <w:r>
        <w:t>11.</w:t>
      </w:r>
      <w:r>
        <w:tab/>
        <w:t>En cuanto a la cuestión de los microcréditos, r</w:t>
      </w:r>
      <w:r>
        <w:t>e</w:t>
      </w:r>
      <w:r>
        <w:t>cuerda que en el marco del anterior movimiento coop</w:t>
      </w:r>
      <w:r>
        <w:t>e</w:t>
      </w:r>
      <w:r>
        <w:t>rativo  las finalidades para las que podían solicitarse créditos estaban reguladas en gran medida por el G</w:t>
      </w:r>
      <w:r>
        <w:t>o</w:t>
      </w:r>
      <w:r>
        <w:t>bierno. En la actualidad, con el sistema de grupos de autoayuda, las mujeres se reúnen regularmente en gr</w:t>
      </w:r>
      <w:r>
        <w:t>u</w:t>
      </w:r>
      <w:r>
        <w:t>pos de 10 a 20 para aprender a gestionar un pequeño negocio. Conviene, por último, en que la cuestión del alivio de la pobreza a nivel nacional es una cuestión completamente diferente, que requiere un conjunto d</w:t>
      </w:r>
      <w:r>
        <w:t>i</w:t>
      </w:r>
      <w:r>
        <w:t>ferente de aportaciones.</w:t>
      </w:r>
    </w:p>
    <w:p w:rsidR="00C07E89" w:rsidRDefault="00C07E89">
      <w:pPr>
        <w:pStyle w:val="DualTxt"/>
      </w:pPr>
      <w:r>
        <w:t>12.</w:t>
      </w:r>
      <w:r>
        <w:tab/>
      </w:r>
      <w:r>
        <w:rPr>
          <w:b/>
        </w:rPr>
        <w:t>El Sr. S. K. Srivastava</w:t>
      </w:r>
      <w:r>
        <w:t xml:space="preserve"> (India), respondiendo a la pregunta relativa a los estados nordorientales, explica que  se consideran como región de atención especial y que muchos de los planes patrocinados por el Gobierno central están también financiados íntegramente por é</w:t>
      </w:r>
      <w:r>
        <w:t>s</w:t>
      </w:r>
      <w:r>
        <w:t>te. Buena parte de las actividades de fomento de la c</w:t>
      </w:r>
      <w:r>
        <w:t>a</w:t>
      </w:r>
      <w:r>
        <w:t>pacidad y formación técnica que se realizan en la r</w:t>
      </w:r>
      <w:r>
        <w:t>e</w:t>
      </w:r>
      <w:r>
        <w:t>gión están destinadas a las mujeres. Todavía no es p</w:t>
      </w:r>
      <w:r>
        <w:t>o</w:t>
      </w:r>
      <w:r>
        <w:t>sible indicar con seguridad durante cuánto tiempo será necesario seguir prestando ayuda económica sustancial a esa región.</w:t>
      </w:r>
    </w:p>
    <w:p w:rsidR="00C07E89" w:rsidRDefault="00C07E89">
      <w:pPr>
        <w:pStyle w:val="DualTxt"/>
      </w:pPr>
      <w:r>
        <w:t>13.</w:t>
      </w:r>
      <w:r>
        <w:tab/>
        <w:t>Respecto del trabajo infantil, explica que, según el censo de 2001, trabajan en la India alrededor de 12 millones de niños, de los que 1,2 millones lo hacen en actividades peligrosas. El Gobierno ha establecido y seguirá estableciendo escuelas especiales para estos ú</w:t>
      </w:r>
      <w:r>
        <w:t>l</w:t>
      </w:r>
      <w:r>
        <w:t>timos y planea abrir escuelas residenciales para niños que trabajan en centros urbanos y proporcionarles fo</w:t>
      </w:r>
      <w:r>
        <w:t>r</w:t>
      </w:r>
      <w:r>
        <w:t>mación profesional.</w:t>
      </w:r>
    </w:p>
    <w:p w:rsidR="00C07E89" w:rsidRDefault="00C07E89">
      <w:pPr>
        <w:pStyle w:val="DualTxt"/>
      </w:pPr>
      <w:r>
        <w:t>14.</w:t>
      </w:r>
      <w:r>
        <w:tab/>
        <w:t>En lo referente a las mujeres trabajadoras, en g</w:t>
      </w:r>
      <w:r>
        <w:t>e</w:t>
      </w:r>
      <w:r>
        <w:t>neral de zonas rurales, que han sido desplazadas por el surgimiento de grandes industrias, dice que el Gobie</w:t>
      </w:r>
      <w:r>
        <w:t>r</w:t>
      </w:r>
      <w:r>
        <w:t>no está centrando sus esfuerzos en proporcionarles formación profesional, pues está convencido de que esos conocimientos, unidos al aumento de las tasas de alfabetización, contribuirán considerablemente a a</w:t>
      </w:r>
      <w:r>
        <w:t>u</w:t>
      </w:r>
      <w:r>
        <w:t>mentar la participación de las mujeres en el empleo.</w:t>
      </w:r>
    </w:p>
    <w:p w:rsidR="00C07E89" w:rsidRDefault="00C07E89">
      <w:pPr>
        <w:pStyle w:val="DualTxt"/>
      </w:pPr>
      <w:r>
        <w:t>15.</w:t>
      </w:r>
      <w:r>
        <w:tab/>
        <w:t>Por último, hablando, en relación con el párrafo 233 del informe, de los plazos de tramitación del pr</w:t>
      </w:r>
      <w:r>
        <w:t>o</w:t>
      </w:r>
      <w:r>
        <w:t>yecto de ley de seguridad social, dice que se espera que se realice en breve un anuncio sobre la cuestión. Se han celebrado intensas consultas interministeriales centr</w:t>
      </w:r>
      <w:r>
        <w:t>a</w:t>
      </w:r>
      <w:r>
        <w:t>das en cuestiones tales como las consecuencias fina</w:t>
      </w:r>
      <w:r>
        <w:t>n</w:t>
      </w:r>
      <w:r>
        <w:t>cieras de proporcionar seguridad social para más de 370 millones de personas, la posible conveniencia de limitar la cobertura a los trabajadores agrícolas, o i</w:t>
      </w:r>
      <w:r>
        <w:t>n</w:t>
      </w:r>
      <w:r>
        <w:t>cluso a los trabajadores agrícolas que vivan por debajo del umbral de la pobreza, y las bases jurídicas por las habrá de regirse la administración del sistema.</w:t>
      </w:r>
    </w:p>
    <w:p w:rsidR="00C07E89" w:rsidRDefault="00C07E89">
      <w:pPr>
        <w:pStyle w:val="DualTxt"/>
      </w:pPr>
      <w:r>
        <w:t>16.</w:t>
      </w:r>
      <w:r>
        <w:tab/>
      </w:r>
      <w:r>
        <w:rPr>
          <w:b/>
        </w:rPr>
        <w:t xml:space="preserve">La Sra. Dairiam </w:t>
      </w:r>
      <w:r>
        <w:t>manifiesta preocupación por las elevadas tasas de mortalidad materna, la principal ca</w:t>
      </w:r>
      <w:r>
        <w:t>u</w:t>
      </w:r>
      <w:r>
        <w:t>sa de muerte entre las mujeres. En números absolutos, la India registra el número más elevado de defunciones maternas del mundo</w:t>
      </w:r>
      <w:r w:rsidR="002E379E">
        <w:t xml:space="preserve"> —</w:t>
      </w:r>
      <w:r>
        <w:t>130.000 anuales. Según otras fuentes, la cifra es todavía mayor. Por consiguiente, es necesario examinar los diversos factores que contrib</w:t>
      </w:r>
      <w:r>
        <w:t>u</w:t>
      </w:r>
      <w:r>
        <w:t>yen a esa situación, entre los que se cuentan, en su op</w:t>
      </w:r>
      <w:r>
        <w:t>i</w:t>
      </w:r>
      <w:r>
        <w:t>nión, los abortos ilegales que se practican cada año, cuyo número se sitúa entre 4 y 6 millones. Pregunta si se dispone de datos sobre en qué medida contribuyen los abortos ilegales al problema de la mortalidad m</w:t>
      </w:r>
      <w:r>
        <w:t>a</w:t>
      </w:r>
      <w:r>
        <w:t>terna, y si se está examinando adecuadamente ese a</w:t>
      </w:r>
      <w:r>
        <w:t>s</w:t>
      </w:r>
      <w:r>
        <w:t>pecto.</w:t>
      </w:r>
    </w:p>
    <w:p w:rsidR="00C07E89" w:rsidRDefault="00C07E89">
      <w:pPr>
        <w:pStyle w:val="DualTxt"/>
      </w:pPr>
      <w:r>
        <w:t>17.</w:t>
      </w:r>
      <w:r>
        <w:tab/>
        <w:t>Otro factor que agrava la situación es el limitado acceso a anticonceptivos. Tiene entendido que en alg</w:t>
      </w:r>
      <w:r>
        <w:t>u</w:t>
      </w:r>
      <w:r>
        <w:t>nos estados el suministro de anticonceptivos se vinc</w:t>
      </w:r>
      <w:r>
        <w:t>u</w:t>
      </w:r>
      <w:r>
        <w:t>la, por ejemplo, a determinadas prestaciones públicas. Pregunta si es cierta esa información y, en tal caso, qué planes tiene el Gobierno para corregir la situación. Otros factores que influyen negativamente en la salud materna son la elevada incidencia de enfermedades i</w:t>
      </w:r>
      <w:r>
        <w:t>n</w:t>
      </w:r>
      <w:r>
        <w:t>fecciosas transmitidas por el agua y los alimentos, la carencia de alimentos y el deficiente saneamiento. Pr</w:t>
      </w:r>
      <w:r>
        <w:t>e</w:t>
      </w:r>
      <w:r>
        <w:t>gunta qué planes tiene el Gobierno para hacer frente a esos factores.</w:t>
      </w:r>
    </w:p>
    <w:p w:rsidR="00C07E89" w:rsidRDefault="00C07E89">
      <w:pPr>
        <w:pStyle w:val="DualTxt"/>
      </w:pPr>
      <w:r>
        <w:t>18.</w:t>
      </w:r>
      <w:r>
        <w:tab/>
        <w:t>Tiene entendido que el gasto público en salud p</w:t>
      </w:r>
      <w:r>
        <w:t>ú</w:t>
      </w:r>
      <w:r>
        <w:t>blica está disminuyendo al tiempo que aumenta el ga</w:t>
      </w:r>
      <w:r>
        <w:t>s</w:t>
      </w:r>
      <w:r>
        <w:t>to en servicios de atención de salud privados. Puesto que ello tendría consecuencias muy graves para el a</w:t>
      </w:r>
      <w:r>
        <w:t>c</w:t>
      </w:r>
      <w:r>
        <w:t>ceso de las mujeres a servicios de salud, pregunta c</w:t>
      </w:r>
      <w:r>
        <w:t>ó</w:t>
      </w:r>
      <w:r>
        <w:t>mo se propone el Gobierno rectificar esa situación.</w:t>
      </w:r>
    </w:p>
    <w:p w:rsidR="00C07E89" w:rsidRDefault="00C07E89">
      <w:pPr>
        <w:pStyle w:val="DualTxt"/>
      </w:pPr>
      <w:r>
        <w:t>19.</w:t>
      </w:r>
      <w:r>
        <w:tab/>
      </w:r>
      <w:r>
        <w:rPr>
          <w:b/>
        </w:rPr>
        <w:t>La Sra. Simms</w:t>
      </w:r>
      <w:r>
        <w:t xml:space="preserve"> dice que la discriminación contra determinados grupos de personas está profundamente enraizada en la historia. Incluso las mujeres que oc</w:t>
      </w:r>
      <w:r>
        <w:t>u</w:t>
      </w:r>
      <w:r>
        <w:t>pan actualmente posiciones de poder tienen que rec</w:t>
      </w:r>
      <w:r>
        <w:t>o</w:t>
      </w:r>
      <w:r>
        <w:t>nocer que ellas también se han beneficiado de la di</w:t>
      </w:r>
      <w:r>
        <w:t>s</w:t>
      </w:r>
      <w:r>
        <w:t>criminación ejercida contra otros grupos de mujeres. Por consiguiente, todas las mujeres dirigentes deben insistir en que la discriminación estructural tiene que eliminarse en forma muy estructurada. Las mujeres no pueden esperar a que ocurran los cambios, sino que tienen que contribuir activamente a impulsarlos.</w:t>
      </w:r>
    </w:p>
    <w:p w:rsidR="00C07E89" w:rsidRDefault="00C07E89">
      <w:pPr>
        <w:pStyle w:val="DualTxt"/>
      </w:pPr>
      <w:r>
        <w:t>20.</w:t>
      </w:r>
      <w:r>
        <w:tab/>
      </w:r>
      <w:r>
        <w:rPr>
          <w:b/>
        </w:rPr>
        <w:t>La Sra. Shin</w:t>
      </w:r>
      <w:r>
        <w:t xml:space="preserve"> subraya la necesidad de abordar e</w:t>
      </w:r>
      <w:r>
        <w:t>s</w:t>
      </w:r>
      <w:r>
        <w:t>pecíficamente la situación de las mujeres de las zonas rurales de la India, que en muchos casos se ven despl</w:t>
      </w:r>
      <w:r>
        <w:t>a</w:t>
      </w:r>
      <w:r>
        <w:t>zadas como consecuencia de proyectos de desarrollo en gran escala. Además, aunque en el marco de las refo</w:t>
      </w:r>
      <w:r>
        <w:t>r</w:t>
      </w:r>
      <w:r>
        <w:t>mas agrarias se han redistribuido excedentes de tierras entre grupos tribales, las tierras en cuestión eran por lo general yermos no aptos para el cultivo. Agradecería que se aportara más información sobre las medidas adoptadas por el Gobierno para prestar asistencia a las mujeres rurales y tribales, y, a ese respecto, señala pa</w:t>
      </w:r>
      <w:r>
        <w:t>r</w:t>
      </w:r>
      <w:r>
        <w:t xml:space="preserve">ticularmente a la atención de los miembros del Comité el </w:t>
      </w:r>
      <w:r>
        <w:rPr>
          <w:spacing w:val="2"/>
        </w:rPr>
        <w:t>apartado a) del párrafo 2) del artículo 14 de la Co</w:t>
      </w:r>
      <w:r>
        <w:rPr>
          <w:spacing w:val="2"/>
        </w:rPr>
        <w:t>n</w:t>
      </w:r>
      <w:r>
        <w:rPr>
          <w:spacing w:val="2"/>
        </w:rPr>
        <w:t>vención, en el que se exhorta a los Estados Partes a que aseguren a las mujeres rurales el derecho a participar en la elaboración y ejecución de los planes de desarrollo a todos los niveles</w:t>
      </w:r>
      <w:r>
        <w:t>.</w:t>
      </w:r>
    </w:p>
    <w:p w:rsidR="00C07E89" w:rsidRDefault="00C07E89">
      <w:pPr>
        <w:pStyle w:val="DualTxt"/>
      </w:pPr>
      <w:r>
        <w:t>21.</w:t>
      </w:r>
      <w:r>
        <w:tab/>
        <w:t>El sistema de microcréditos en el marco de gr</w:t>
      </w:r>
      <w:r>
        <w:t>u</w:t>
      </w:r>
      <w:r>
        <w:t>pos de autoayuda descrito en el informe funciona sobre la base de préstamos rotatorios: los participantes han de ahorrar una cierta cantidad de dinero para que se les conceda acceso al crédito; las mujeres más pobres del país quedan excluidas de ese sistema. Las principales beneficiarias parecen ser en última instancia las inst</w:t>
      </w:r>
      <w:r>
        <w:t>i</w:t>
      </w:r>
      <w:r>
        <w:t>tuciones crediticias. El Estado parte debería introducir programas de fomento de la capacidad y de alfabetiz</w:t>
      </w:r>
      <w:r>
        <w:t>a</w:t>
      </w:r>
      <w:r>
        <w:t>ción adicionales para mujeres emprendedoras y divers</w:t>
      </w:r>
      <w:r>
        <w:t>i</w:t>
      </w:r>
      <w:r>
        <w:t>ficar los mecanismos para su financiación. Podrían ut</w:t>
      </w:r>
      <w:r>
        <w:t>i</w:t>
      </w:r>
      <w:r>
        <w:t>lizarse para ese fin los fondos destinados a promover el adelanto de la mujer en el marco del plan del comp</w:t>
      </w:r>
      <w:r>
        <w:t>o</w:t>
      </w:r>
      <w:r>
        <w:t>nente relativo a la mujer.</w:t>
      </w:r>
    </w:p>
    <w:p w:rsidR="00C07E89" w:rsidRDefault="00C07E89">
      <w:pPr>
        <w:pStyle w:val="DualTxt"/>
      </w:pPr>
      <w:r>
        <w:t>22.</w:t>
      </w:r>
      <w:r>
        <w:tab/>
      </w:r>
      <w:r>
        <w:rPr>
          <w:b/>
        </w:rPr>
        <w:t>La Sra. Coker-Appiah</w:t>
      </w:r>
      <w:r>
        <w:t xml:space="preserve"> recuerda que cerca del 70% de la población femenina de la India vive en z</w:t>
      </w:r>
      <w:r>
        <w:t>o</w:t>
      </w:r>
      <w:r>
        <w:t>nas rurales. Aunque el Gobierno ha adoptado diversas políticas y programas para aliviar la pobreza, son nec</w:t>
      </w:r>
      <w:r>
        <w:t>e</w:t>
      </w:r>
      <w:r>
        <w:t>sarios ulteriores esfuerzos para asegurarse de que esas políticas y programas tengan en cuenta las múltiples formas de discriminación que padecen las mujeres r</w:t>
      </w:r>
      <w:r>
        <w:t>u</w:t>
      </w:r>
      <w:r>
        <w:t>rales. A ese respecto, agradecería que se facilitaran d</w:t>
      </w:r>
      <w:r>
        <w:t>a</w:t>
      </w:r>
      <w:r>
        <w:t>tos adicionales, desglosados por casta, tribu y religión, sobre la situación de las mujeres rurales.</w:t>
      </w:r>
    </w:p>
    <w:p w:rsidR="00C07E89" w:rsidRDefault="00C07E89">
      <w:pPr>
        <w:pStyle w:val="DualTxt"/>
      </w:pPr>
      <w:r>
        <w:t>23.</w:t>
      </w:r>
      <w:r>
        <w:tab/>
        <w:t>Tras observar que una proporción importante de los recursos naturales de la India, así como de sus bo</w:t>
      </w:r>
      <w:r>
        <w:t>s</w:t>
      </w:r>
      <w:r>
        <w:t>ques, se encuentra en distritos tribales, manifiesta su preocupación por la posibilidad de que se dé precede</w:t>
      </w:r>
      <w:r>
        <w:t>n</w:t>
      </w:r>
      <w:r>
        <w:t>cia a intereses comerciales frente a los derechos de los habitantes de esas zonas. Pregunta, por consiguiente, si se ha aprobado ya el proyecto de política nacional s</w:t>
      </w:r>
      <w:r>
        <w:t>o</w:t>
      </w:r>
      <w:r>
        <w:t>bre los grupos tribales mencionado en la página 40 de la versión inglesa de las respuestas a la lista de cue</w:t>
      </w:r>
      <w:r>
        <w:t>s</w:t>
      </w:r>
      <w:r>
        <w:t>tiones y preguntas (CEDAW/C/IND/Q/3/Add.1), y, en caso afirmativo, cómo se propone el Gobierno superv</w:t>
      </w:r>
      <w:r>
        <w:t>i</w:t>
      </w:r>
      <w:r>
        <w:t>sar su aplicación.</w:t>
      </w:r>
    </w:p>
    <w:p w:rsidR="00C07E89" w:rsidRDefault="00C07E89">
      <w:pPr>
        <w:pStyle w:val="DualTxt"/>
      </w:pPr>
      <w:r>
        <w:t>24.</w:t>
      </w:r>
      <w:r>
        <w:tab/>
      </w:r>
      <w:r>
        <w:rPr>
          <w:b/>
        </w:rPr>
        <w:t>La Presidenta</w:t>
      </w:r>
      <w:r>
        <w:t>, hablando en calidad de miembro del Comité, recuerda anteriores observaciones del E</w:t>
      </w:r>
      <w:r>
        <w:t>s</w:t>
      </w:r>
      <w:r>
        <w:t>tado parte sobre los efectos de la globalización en las comunidades rurales y la cuestión conexa del acceso de las mujeres rurales al microcrédito. En su propio país, Egipto, las mujeres han demostrado que pueden utilizar ese crédito eficazmente y devolverlo a los prestamistas. En la India, sin embargo, son más los hombres que las mujeres que se benefician de iniciativas de microfina</w:t>
      </w:r>
      <w:r>
        <w:t>n</w:t>
      </w:r>
      <w:r>
        <w:t>ciación, y son necesarios ulteriores esfuerzos para co</w:t>
      </w:r>
      <w:r>
        <w:t>n</w:t>
      </w:r>
      <w:r>
        <w:t>seguir que las mujeres gocen de igualdad de derechos en esa esfera. A ese respecto, cabe preguntarse por qué no ha adoptado el Gobierno medidas para prestar asi</w:t>
      </w:r>
      <w:r>
        <w:t>s</w:t>
      </w:r>
      <w:r>
        <w:t>tencia financiera a las mujeres más pobres.</w:t>
      </w:r>
    </w:p>
    <w:p w:rsidR="00C07E89" w:rsidRDefault="00C07E89">
      <w:pPr>
        <w:pStyle w:val="DualTxt"/>
      </w:pPr>
      <w:r>
        <w:t>25.</w:t>
      </w:r>
      <w:r>
        <w:tab/>
      </w:r>
      <w:r>
        <w:rPr>
          <w:b/>
        </w:rPr>
        <w:t>La Sra. Singh</w:t>
      </w:r>
      <w:r>
        <w:t xml:space="preserve"> (India), respondiendo a las pr</w:t>
      </w:r>
      <w:r>
        <w:t>e</w:t>
      </w:r>
      <w:r>
        <w:t>guntas formuladas, conviene en que es preciso realizar ulteriores esfuerzos para proteger la salud de las muj</w:t>
      </w:r>
      <w:r>
        <w:t>e</w:t>
      </w:r>
      <w:r>
        <w:t>res. Aunque las tasas de mortalidad materna han dism</w:t>
      </w:r>
      <w:r>
        <w:t>i</w:t>
      </w:r>
      <w:r>
        <w:t>nuido considerablemente, es mucho lo que queda por hacer. En el 11º plan quinquenal se formulan diversas propuestas destinadas a intervenir en determinadas e</w:t>
      </w:r>
      <w:r>
        <w:t>s</w:t>
      </w:r>
      <w:r>
        <w:t>feras de interés y centradas, en particular, en la neces</w:t>
      </w:r>
      <w:r>
        <w:t>i</w:t>
      </w:r>
      <w:r>
        <w:t>dad de conseguir que los servicios de atención de la s</w:t>
      </w:r>
      <w:r>
        <w:t>a</w:t>
      </w:r>
      <w:r>
        <w:t>lud sean accesibles y de fácil utilización por las muj</w:t>
      </w:r>
      <w:r>
        <w:t>e</w:t>
      </w:r>
      <w:r>
        <w:t>res y se basen en un enfoque de ciclo vital; la impo</w:t>
      </w:r>
      <w:r>
        <w:t>r</w:t>
      </w:r>
      <w:r>
        <w:t>tancia de considerar la violencia contra la mujer como una cuestión de salud pública; y la necesidad de asi</w:t>
      </w:r>
      <w:r>
        <w:t>g</w:t>
      </w:r>
      <w:r>
        <w:t>nar recursos suficientes para actividades de capacit</w:t>
      </w:r>
      <w:r>
        <w:t>a</w:t>
      </w:r>
      <w:r>
        <w:t>ción. El plan contiene asimismo una serie de recome</w:t>
      </w:r>
      <w:r>
        <w:t>n</w:t>
      </w:r>
      <w:r>
        <w:t>daciones sobre la atención de la salud reproductiva, la prevención del VIH/SIDA, y la situación de las muj</w:t>
      </w:r>
      <w:r>
        <w:t>e</w:t>
      </w:r>
      <w:r>
        <w:t>res y niños desplazados dentro del país. No dispone de datos sobre el número de abortos ilegales practicados en la India. No obstante, se están realizando esfuerzos para garantizar la aplicación efectiva de la Ley de té</w:t>
      </w:r>
      <w:r>
        <w:t>c</w:t>
      </w:r>
      <w:r>
        <w:t>nicas de diagnóstico prenatal (prohibición de la sele</w:t>
      </w:r>
      <w:r>
        <w:t>c</w:t>
      </w:r>
      <w:r>
        <w:t>ción del sexo de los hijos).</w:t>
      </w:r>
    </w:p>
    <w:p w:rsidR="00C07E89" w:rsidRDefault="00C07E89">
      <w:pPr>
        <w:pStyle w:val="DualTxt"/>
      </w:pPr>
      <w:r>
        <w:t>26.</w:t>
      </w:r>
      <w:r>
        <w:tab/>
        <w:t>La India está afrontando actualmente el doble r</w:t>
      </w:r>
      <w:r>
        <w:t>e</w:t>
      </w:r>
      <w:r>
        <w:t>to de la globalización y la liberalización, que, aunque necesarias para sustentar el crecimiento económico, tienen consecuencias negativas para sectores vulner</w:t>
      </w:r>
      <w:r>
        <w:t>a</w:t>
      </w:r>
      <w:r>
        <w:t xml:space="preserve">bles de la población. Conviene examinar atentamente la relación de esos fenómenos con las situaciones de desplazamiento. Con el fin de que las mujeres rurales y tribales puedan ejercer sus derechos sobre la tierra, el Gobierno viene expidiendo </w:t>
      </w:r>
      <w:r>
        <w:rPr>
          <w:i/>
        </w:rPr>
        <w:t>pattas</w:t>
      </w:r>
      <w:r>
        <w:t xml:space="preserve"> (títulos) conjuntos a ambos cónyuges. También ha prohibido la transfere</w:t>
      </w:r>
      <w:r>
        <w:t>n</w:t>
      </w:r>
      <w:r>
        <w:t>cia de tierras cedidas y heredadas de poblaciones trib</w:t>
      </w:r>
      <w:r>
        <w:t>a</w:t>
      </w:r>
      <w:r>
        <w:t>les a poblaciones no tribales, y accedido a devolver ti</w:t>
      </w:r>
      <w:r>
        <w:t>e</w:t>
      </w:r>
      <w:r>
        <w:t>rras enajenadas a los pueblos tribales.</w:t>
      </w:r>
    </w:p>
    <w:p w:rsidR="00C07E89" w:rsidRDefault="00C07E89">
      <w:pPr>
        <w:pStyle w:val="DualTxt"/>
      </w:pPr>
      <w:r>
        <w:t>27.</w:t>
      </w:r>
      <w:r>
        <w:tab/>
        <w:t>Volviendo a la cuestión de los microcréditos, dice que existe una conciencia creciente de la necesidad de prestar asistencia a las mujeres que no tienen acceso a ese sistema, y se están realizando esfuerzos por gara</w:t>
      </w:r>
      <w:r>
        <w:t>n</w:t>
      </w:r>
      <w:r>
        <w:t>tizar que el adelanto y el empoderamiento de la mujer tengan precedencia sobre otras consideraciones.</w:t>
      </w:r>
    </w:p>
    <w:p w:rsidR="00C07E89" w:rsidRDefault="00C07E89">
      <w:pPr>
        <w:pStyle w:val="DualTxt"/>
      </w:pPr>
      <w:r>
        <w:t>28.</w:t>
      </w:r>
      <w:r>
        <w:tab/>
      </w:r>
      <w:r>
        <w:rPr>
          <w:b/>
        </w:rPr>
        <w:t>El Sr. Khanna</w:t>
      </w:r>
      <w:r>
        <w:t xml:space="preserve"> (India) dice que desde 1993 está prohibido emplear a recogedores de excrementos y construir letrinas secas. Con el fin de erradicar la prá</w:t>
      </w:r>
      <w:r>
        <w:t>c</w:t>
      </w:r>
      <w:r>
        <w:t>tica de la recogida manual de excrementos, el Gobierno ha introducido diversas medidas tendentes a la conve</w:t>
      </w:r>
      <w:r>
        <w:t>r</w:t>
      </w:r>
      <w:r>
        <w:t>sión de las letrinas secas en letrinas con descarga de agua. Además, se han establecido programas para pr</w:t>
      </w:r>
      <w:r>
        <w:t>o</w:t>
      </w:r>
      <w:r>
        <w:t>porcionar empleo alternativo a las personas que se d</w:t>
      </w:r>
      <w:r>
        <w:t>e</w:t>
      </w:r>
      <w:r>
        <w:t>dicaban a la recogida de excrementos.</w:t>
      </w:r>
    </w:p>
    <w:p w:rsidR="00C07E89" w:rsidRDefault="00C07E89">
      <w:pPr>
        <w:pStyle w:val="DualTxt"/>
      </w:pPr>
      <w:r>
        <w:t>29.</w:t>
      </w:r>
      <w:r>
        <w:tab/>
        <w:t>Mientras que las poblaciones tribales suelen vivir en zonas remotas del país, los dalit están repartidos por todos los pueblos y ciudades, por lo que no son más vulnerables que otros grupos a situaciones de despl</w:t>
      </w:r>
      <w:r>
        <w:t>a</w:t>
      </w:r>
      <w:r>
        <w:t>zamiento. Un comité gubernamental presidido por el Secretario del Ministerio de Justicia Social y Empod</w:t>
      </w:r>
      <w:r>
        <w:t>e</w:t>
      </w:r>
      <w:r>
        <w:t>ramiento se encarga de supervisar los programas de s</w:t>
      </w:r>
      <w:r>
        <w:t>o</w:t>
      </w:r>
      <w:r>
        <w:t>corro y rehabilitación para comunidades desplazadas.</w:t>
      </w:r>
    </w:p>
    <w:p w:rsidR="00C07E89" w:rsidRDefault="00C07E89">
      <w:pPr>
        <w:pStyle w:val="DualTxt"/>
      </w:pPr>
      <w:r>
        <w:t>30.</w:t>
      </w:r>
      <w:r>
        <w:tab/>
        <w:t>El Gobierno ha formulado una política nacional para personas con discapacidad, y la India firmará en breve la Convención de las Naciones Unidas sobre los derechos de las personas con discapacidad. Por último, en la política nacional para las personas de edad se presta la debida atención a los derechos de las mujeres de edad, y en la actualidad se está considerando la p</w:t>
      </w:r>
      <w:r>
        <w:t>o</w:t>
      </w:r>
      <w:r>
        <w:t>sibilidad de promulgar legislación para proteger esos derechos.</w:t>
      </w:r>
    </w:p>
    <w:p w:rsidR="00C07E89" w:rsidRDefault="00C07E89">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C07E89" w:rsidRDefault="00C07E89">
      <w:pPr>
        <w:pStyle w:val="DualTxt"/>
        <w:spacing w:after="0" w:line="120" w:lineRule="exact"/>
        <w:rPr>
          <w:sz w:val="10"/>
        </w:rPr>
      </w:pPr>
    </w:p>
    <w:p w:rsidR="00C07E89" w:rsidRDefault="00C07E89">
      <w:pPr>
        <w:pStyle w:val="DualTxt"/>
      </w:pPr>
      <w:r>
        <w:t>31.</w:t>
      </w:r>
      <w:r>
        <w:tab/>
      </w:r>
      <w:r>
        <w:rPr>
          <w:b/>
        </w:rPr>
        <w:t>La Sra. Coker-Appiah</w:t>
      </w:r>
      <w:r>
        <w:t xml:space="preserve"> dice que los derechos de las mujeres se han sacrificado tradicionalmente en aras de las instituciones del matrimonio y la familia, pero los gobiernos y las organizaciones internacionales i</w:t>
      </w:r>
      <w:r>
        <w:t>n</w:t>
      </w:r>
      <w:r>
        <w:t>tervienen en medida creciente en la esfera privada para proteger los derechos de las mujeres. Lamentableme</w:t>
      </w:r>
      <w:r>
        <w:t>n</w:t>
      </w:r>
      <w:r>
        <w:t>te, no parece que el Gobierno de la India esté dispuesto a seguir ese ejemplo, pues, según el párrafo 329 del i</w:t>
      </w:r>
      <w:r>
        <w:t>n</w:t>
      </w:r>
      <w:r>
        <w:t>forme, siguen celebrándose matrimonios de menores en muchas partes del país, a pesar de que, salvo en la l</w:t>
      </w:r>
      <w:r>
        <w:t>e</w:t>
      </w:r>
      <w:r>
        <w:t>gislación musulmana, la edad mínima para contraer matrimonio es de 18 años para las mujeres y de 21 para los hombres. Se pregunta si el Gobierno está dispuesto a considerar la posibilidad de modificar la Ley de re</w:t>
      </w:r>
      <w:r>
        <w:t>s</w:t>
      </w:r>
      <w:r>
        <w:t>tricción del matrimonio de niños de manera que se puedan anular los matrimonios en vez de limitarse a castigar a los infractores. A ese respecto, insta al G</w:t>
      </w:r>
      <w:r>
        <w:t>o</w:t>
      </w:r>
      <w:r>
        <w:t>bierno a que reconsidere sus reservas a los artículos 5 a 16 de la Convención.</w:t>
      </w:r>
    </w:p>
    <w:p w:rsidR="00C07E89" w:rsidRDefault="00C07E89">
      <w:pPr>
        <w:pStyle w:val="DualTxt"/>
      </w:pPr>
      <w:r>
        <w:t>32.</w:t>
      </w:r>
      <w:r>
        <w:tab/>
      </w:r>
      <w:r>
        <w:rPr>
          <w:b/>
        </w:rPr>
        <w:t>La Sra. Halperin-Kaddari</w:t>
      </w:r>
      <w:r>
        <w:t xml:space="preserve"> observa que, puesto que en la Ley especial sobre el matrimonio no se rec</w:t>
      </w:r>
      <w:r>
        <w:t>o</w:t>
      </w:r>
      <w:r>
        <w:t>noce el concepto de comunidad de bienes, las mujeres que se divorcian no pueden obtener la parte que les c</w:t>
      </w:r>
      <w:r>
        <w:t>o</w:t>
      </w:r>
      <w:r>
        <w:t>rresponde de las propiedades adquiridas durante el m</w:t>
      </w:r>
      <w:r>
        <w:t>a</w:t>
      </w:r>
      <w:r>
        <w:t>trimonio o activos futuros, como pensiones, sino que se ven obligadas a depender de la pensión alimenticia o subsidio de manutención. Pregunta qué impide al G</w:t>
      </w:r>
      <w:r>
        <w:t>o</w:t>
      </w:r>
      <w:r>
        <w:t>bierno promulgar leyes seculares para mejorar la situ</w:t>
      </w:r>
      <w:r>
        <w:t>a</w:t>
      </w:r>
      <w:r>
        <w:t>ción y por qué no está tipificada como delito la viol</w:t>
      </w:r>
      <w:r>
        <w:t>a</w:t>
      </w:r>
      <w:r>
        <w:t>ción dentro del matrimonio.</w:t>
      </w:r>
    </w:p>
    <w:p w:rsidR="00C07E89" w:rsidRDefault="00C07E89">
      <w:pPr>
        <w:pStyle w:val="DualTxt"/>
      </w:pPr>
      <w:r>
        <w:t>33.</w:t>
      </w:r>
      <w:r>
        <w:tab/>
        <w:t>En relación con la reforma interna, pregunta acerca del papel de la Junta sobre las leyes relativas al estatuto personal de los musulmanes de toda la India y señala que, aunque se propone (párr. 5 del informe) que se considere un pecado grave pronunciar el “triple t</w:t>
      </w:r>
      <w:r>
        <w:t>a</w:t>
      </w:r>
      <w:r>
        <w:t>laq” sin razón suficiente, el Gobierno podría, sin reb</w:t>
      </w:r>
      <w:r>
        <w:t>a</w:t>
      </w:r>
      <w:r>
        <w:t>sar el marco de las leyes relativas al estatuto personal, ir más allá y declararlo un delito punible. En cuanto al registro de los matrimonios, considera que el Estado podría diferenciar entre la validez religiosa del matr</w:t>
      </w:r>
      <w:r>
        <w:t>i</w:t>
      </w:r>
      <w:r>
        <w:t>monio y la responsabilidad administrativa de su regi</w:t>
      </w:r>
      <w:r>
        <w:t>s</w:t>
      </w:r>
      <w:r>
        <w:t>tro, con el fin de vigilar los casos de matrimonios entre menores y matrimonios polígamos. Menciona asimi</w:t>
      </w:r>
      <w:r>
        <w:t>s</w:t>
      </w:r>
      <w:r>
        <w:t>mo la falta de datos sobre la edad de celebración de los matrimonios y otros aspectos.</w:t>
      </w:r>
    </w:p>
    <w:p w:rsidR="00C07E89" w:rsidRDefault="00C07E89">
      <w:pPr>
        <w:pStyle w:val="DualTxt"/>
      </w:pPr>
      <w:r>
        <w:t>34.</w:t>
      </w:r>
      <w:r>
        <w:tab/>
      </w:r>
      <w:r>
        <w:rPr>
          <w:b/>
        </w:rPr>
        <w:t>El Sr. Vahnavati</w:t>
      </w:r>
      <w:r>
        <w:t xml:space="preserve"> (India) dice que la posibilidad de anular los matrimonios entre menores en vez de ca</w:t>
      </w:r>
      <w:r>
        <w:t>s</w:t>
      </w:r>
      <w:r>
        <w:t>tigar a los infractores plantea una cuestión delicada, pues hay que evitar penalizar a los hijos nacidos de esos matrimonios declarándolos ilegítimos. En cuanto a la comunidad de bienes, señala que los tribunales de familia están adoptando un enfoque más proactivo, pues, además de imponer pensiones alimenticias y su</w:t>
      </w:r>
      <w:r>
        <w:t>b</w:t>
      </w:r>
      <w:r>
        <w:t xml:space="preserve">sidios de manutención, reconocen el concepto de hogar conyugal. </w:t>
      </w:r>
    </w:p>
    <w:p w:rsidR="00C07E89" w:rsidRDefault="00C07E89">
      <w:pPr>
        <w:pStyle w:val="DualTxt"/>
      </w:pPr>
      <w:r>
        <w:t>35.</w:t>
      </w:r>
      <w:r>
        <w:tab/>
        <w:t>La Junta sobre las leyes relativas al estatuto pe</w:t>
      </w:r>
      <w:r>
        <w:t>r</w:t>
      </w:r>
      <w:r>
        <w:t>sonal de los musulmanes de toda la India tiene funci</w:t>
      </w:r>
      <w:r>
        <w:t>o</w:t>
      </w:r>
      <w:r>
        <w:t>nes de asesoramiento. Existen muchas opiniones dif</w:t>
      </w:r>
      <w:r>
        <w:t>e</w:t>
      </w:r>
      <w:r>
        <w:t>rentes respecto de la Ley relativa al estatuto personal de los musulmanes de la India; en virtud de la nueva ley, las mujeres musulmanas divorciadas tienen der</w:t>
      </w:r>
      <w:r>
        <w:t>e</w:t>
      </w:r>
      <w:r>
        <w:t>cho a recibir una pensión alimenticia que les permita mantener el nivel de vida del que gozaban durante el matrimonio. En cuanto al registro de los matrimonios, señala que el Tribunal Supremo ha dictaminado que cada estado debe promulgar normas obligatorias de</w:t>
      </w:r>
      <w:r>
        <w:t>s</w:t>
      </w:r>
      <w:r>
        <w:t xml:space="preserve">pués de someterlas a escrutinio público. </w:t>
      </w:r>
    </w:p>
    <w:p w:rsidR="00C07E89" w:rsidRDefault="00C07E89">
      <w:pPr>
        <w:pStyle w:val="DualTxt"/>
      </w:pPr>
      <w:r>
        <w:t>36.</w:t>
      </w:r>
      <w:r>
        <w:tab/>
      </w:r>
      <w:r>
        <w:rPr>
          <w:b/>
        </w:rPr>
        <w:t>La Sra. Pimentel</w:t>
      </w:r>
      <w:r>
        <w:t xml:space="preserve"> encomia al Gobierno por todas las mejoras introducidas en la esfera de la educación, en particular en la enseñanza primaria, pero solicita más información sobre el acceso de las mujeres marg</w:t>
      </w:r>
      <w:r>
        <w:t>i</w:t>
      </w:r>
      <w:r>
        <w:t>nadas a la enseñanza superior.</w:t>
      </w:r>
    </w:p>
    <w:p w:rsidR="00C07E89" w:rsidRDefault="00C07E89">
      <w:pPr>
        <w:pStyle w:val="DualTxt"/>
      </w:pPr>
      <w:r>
        <w:t>37.</w:t>
      </w:r>
      <w:r>
        <w:tab/>
      </w:r>
      <w:r>
        <w:rPr>
          <w:b/>
        </w:rPr>
        <w:t>El Sr. Flinterman</w:t>
      </w:r>
      <w:r>
        <w:t xml:space="preserve"> reitera la preocupación del Comité por la inmunidad de la que gozan las fuerzas armadas en casos de violaciones de los derechos de las mujeres. Aunque al parecer se estableció un comité p</w:t>
      </w:r>
      <w:r>
        <w:t>a</w:t>
      </w:r>
      <w:r>
        <w:t>ra examinar la cuestión, no se ha facilitado información alguna al respecto.</w:t>
      </w:r>
    </w:p>
    <w:p w:rsidR="00C07E89" w:rsidRDefault="00C07E89">
      <w:pPr>
        <w:pStyle w:val="DualTxt"/>
      </w:pPr>
      <w:r>
        <w:t>38.</w:t>
      </w:r>
      <w:r>
        <w:tab/>
      </w:r>
      <w:r>
        <w:rPr>
          <w:b/>
        </w:rPr>
        <w:t>La Sra. Schöpp-Schilling</w:t>
      </w:r>
      <w:r>
        <w:t xml:space="preserve"> pregunta si se dispone de datos sobre los resultados de las actuaciones del Gobierno en la esfera de la educación. Pese a lo estip</w:t>
      </w:r>
      <w:r>
        <w:t>u</w:t>
      </w:r>
      <w:r>
        <w:t>lado en la Constitución, se plantea un conflicto entre el derecho a la libertad de religión, por una parte, y el d</w:t>
      </w:r>
      <w:r>
        <w:t>e</w:t>
      </w:r>
      <w:r>
        <w:t>recho de las mujeres a gozar de los mismos derechos humanos que los hombres, por la otra. Exhorta al G</w:t>
      </w:r>
      <w:r>
        <w:t>o</w:t>
      </w:r>
      <w:r>
        <w:t>bierno a buscar formas de entablar un debate y un di</w:t>
      </w:r>
      <w:r>
        <w:t>á</w:t>
      </w:r>
      <w:r>
        <w:t>logo para promover los derechos de las mujeres.</w:t>
      </w:r>
    </w:p>
    <w:p w:rsidR="00C07E89" w:rsidRDefault="00C07E89">
      <w:pPr>
        <w:pStyle w:val="DualTxt"/>
      </w:pPr>
      <w:r>
        <w:t>39.</w:t>
      </w:r>
      <w:r>
        <w:tab/>
      </w:r>
      <w:r>
        <w:rPr>
          <w:b/>
        </w:rPr>
        <w:t>La Sra. Shin</w:t>
      </w:r>
      <w:r>
        <w:t xml:space="preserve"> pregunta si el Gobierno está di</w:t>
      </w:r>
      <w:r>
        <w:t>s</w:t>
      </w:r>
      <w:r>
        <w:t>puesto a escuchar las voces de las mujeres rurales y tribales y a tener en cuenta en sus políticas los inte</w:t>
      </w:r>
      <w:r>
        <w:t>r</w:t>
      </w:r>
      <w:r>
        <w:t>eses de esas mujeres. Señala que el porcentaje de p</w:t>
      </w:r>
      <w:r>
        <w:t>o</w:t>
      </w:r>
      <w:r>
        <w:t>blación con discapacidad que se indica en el párrafo 117 del informe parece más bien bajo. Por lo general, la proporción se sitúa entre 5 y 10%. Por último, sugi</w:t>
      </w:r>
      <w:r>
        <w:t>e</w:t>
      </w:r>
      <w:r>
        <w:t>re la conveniencia de que en el próximo informe se r</w:t>
      </w:r>
      <w:r>
        <w:t>e</w:t>
      </w:r>
      <w:r>
        <w:t>cojan las aportaciones de ONG de mujeres y de que se organice en la India un foro con el fin de sensibilizar a la opinión pública sobre las cuestiones tratadas en el actual período de sesiones.</w:t>
      </w:r>
    </w:p>
    <w:p w:rsidR="00C07E89" w:rsidRDefault="00C07E89">
      <w:pPr>
        <w:pStyle w:val="DualTxt"/>
      </w:pPr>
      <w:r>
        <w:t>40.</w:t>
      </w:r>
      <w:r>
        <w:tab/>
      </w:r>
      <w:r>
        <w:rPr>
          <w:b/>
        </w:rPr>
        <w:t>La Sra. Halperin-Kaddari</w:t>
      </w:r>
      <w:r>
        <w:t xml:space="preserve"> pregunta por qué en la respuesta a su pregunta relativa a la Ley especial s</w:t>
      </w:r>
      <w:r>
        <w:t>o</w:t>
      </w:r>
      <w:r>
        <w:t xml:space="preserve">bre el matrimonio y a las preocupaciones del Comité sobre los disturbios de Gujarat y las violaciones de los derechos humanos sólo se hace referencia a decisiones del Tribunal Supremo y no a iniciativas legislativas concretas del Gobierno. </w:t>
      </w:r>
    </w:p>
    <w:p w:rsidR="00C07E89" w:rsidRDefault="00C07E89">
      <w:pPr>
        <w:pStyle w:val="DualTxt"/>
      </w:pPr>
      <w:r>
        <w:t>41.</w:t>
      </w:r>
      <w:r>
        <w:tab/>
      </w:r>
      <w:r>
        <w:rPr>
          <w:b/>
        </w:rPr>
        <w:t>La Sra. Dairiam</w:t>
      </w:r>
      <w:r>
        <w:t xml:space="preserve"> pregunta por qué las perspect</w:t>
      </w:r>
      <w:r>
        <w:t>i</w:t>
      </w:r>
      <w:r>
        <w:t>vas de lograr el objetivo del registro obligatorio de los matrimonios parecen menos alentadoras atendiendo a las respuestas facilitadas por los miembros de la del</w:t>
      </w:r>
      <w:r>
        <w:t>e</w:t>
      </w:r>
      <w:r>
        <w:t>gación que según la información contenida en el párr</w:t>
      </w:r>
      <w:r>
        <w:t>a</w:t>
      </w:r>
      <w:r>
        <w:t xml:space="preserve">fo 9 del informe. </w:t>
      </w:r>
    </w:p>
    <w:p w:rsidR="00C07E89" w:rsidRDefault="00C07E89">
      <w:pPr>
        <w:pStyle w:val="DualTxt"/>
      </w:pPr>
      <w:r>
        <w:t>42.</w:t>
      </w:r>
      <w:r>
        <w:tab/>
      </w:r>
      <w:r>
        <w:rPr>
          <w:b/>
        </w:rPr>
        <w:t>La Sra. Singh</w:t>
      </w:r>
      <w:r>
        <w:t xml:space="preserve"> (India), respondiendo a la pregu</w:t>
      </w:r>
      <w:r>
        <w:t>n</w:t>
      </w:r>
      <w:r>
        <w:t>ta relativa a la inmunidad de las fuerzas militares, dice que es cierto que se estableció un comité para examinar la cuestión, pero sus recomendaciones no son de dom</w:t>
      </w:r>
      <w:r>
        <w:t>i</w:t>
      </w:r>
      <w:r>
        <w:t>nio público.</w:t>
      </w:r>
    </w:p>
    <w:p w:rsidR="00C07E89" w:rsidRDefault="00C07E89">
      <w:pPr>
        <w:pStyle w:val="DualTxt"/>
      </w:pPr>
      <w:r>
        <w:t xml:space="preserve">43. </w:t>
      </w:r>
      <w:r>
        <w:tab/>
        <w:t>En cuanto a las aportaciones de ONG de mujeres y otras partes, señala que se ha expuesto durante dos meses un borrador del informe en una página en la web para que los interesados pudieran aportar sugerencias; se seguirá el mismo procedimiento con el próximo i</w:t>
      </w:r>
      <w:r>
        <w:t>n</w:t>
      </w:r>
      <w:r>
        <w:t>forme.</w:t>
      </w:r>
    </w:p>
    <w:p w:rsidR="00C07E89" w:rsidRDefault="00C07E89">
      <w:pPr>
        <w:pStyle w:val="DualTxt"/>
      </w:pPr>
      <w:r>
        <w:t>44.</w:t>
      </w:r>
      <w:r>
        <w:tab/>
      </w:r>
      <w:r>
        <w:rPr>
          <w:b/>
        </w:rPr>
        <w:t>La Sra. Swarup</w:t>
      </w:r>
      <w:r>
        <w:t xml:space="preserve"> (India), refiriéndose a la pregu</w:t>
      </w:r>
      <w:r>
        <w:t>n</w:t>
      </w:r>
      <w:r>
        <w:t>ta planteada por la Sra. Pimentel, aporta algunos datos sobre la tasa de matriculación de las niñas en general y de las de grupos marginales en particular, añadiendo que la mayoría de los estados han establecido la gratu</w:t>
      </w:r>
      <w:r>
        <w:t>i</w:t>
      </w:r>
      <w:r>
        <w:t>dad total de la enseñanza para las niñas hasta la escuela secundaria superior. Además, se ofrecen becas a las n</w:t>
      </w:r>
      <w:r>
        <w:t>i</w:t>
      </w:r>
      <w:r>
        <w:t>ñas y muchachas de grupos marginales para continuar su educación a niveles superiores. No obstante, subraya la necesidad de aumentar la matrícula femenina en la enseñanza primaria y secundaria para que aumente también el número de mujeres que acceden a la ens</w:t>
      </w:r>
      <w:r>
        <w:t>e</w:t>
      </w:r>
      <w:r>
        <w:t>ñanza superior.</w:t>
      </w:r>
    </w:p>
    <w:p w:rsidR="00C07E89" w:rsidRDefault="00C07E89">
      <w:pPr>
        <w:pStyle w:val="DualTxt"/>
        <w:keepLines/>
      </w:pPr>
      <w:r>
        <w:t>45.</w:t>
      </w:r>
      <w:r>
        <w:tab/>
      </w:r>
      <w:r>
        <w:rPr>
          <w:b/>
        </w:rPr>
        <w:t>El Sr. Vahnavati</w:t>
      </w:r>
      <w:r>
        <w:t xml:space="preserve"> (India) dice que no hay razón para el desaliento en lo que respecta al objetivo de l</w:t>
      </w:r>
      <w:r>
        <w:t>o</w:t>
      </w:r>
      <w:r>
        <w:t>grar el registro de todos los matrimonios, porque el Tribunal Supremo ya ha emitido una resolución al re</w:t>
      </w:r>
      <w:r>
        <w:t>s</w:t>
      </w:r>
      <w:r>
        <w:t>pecto, y esas resoluciones siempre agilizan el proceso de aplicación. El Tribunal Supremo desempeña un p</w:t>
      </w:r>
      <w:r>
        <w:t>a</w:t>
      </w:r>
      <w:r>
        <w:t xml:space="preserve">pel extraordinariamente importante en la India, porque está facultado para emitir resoluciones sobre cualquier asunto con fines de justicia sustantiva, y el Gobierno siempre acata y aplica esas resoluciones. </w:t>
      </w:r>
    </w:p>
    <w:p w:rsidR="00C07E89" w:rsidRDefault="00C07E89">
      <w:pPr>
        <w:pStyle w:val="DualTxt"/>
      </w:pPr>
      <w:r>
        <w:t>46.</w:t>
      </w:r>
      <w:r>
        <w:tab/>
      </w:r>
      <w:r>
        <w:rPr>
          <w:b/>
        </w:rPr>
        <w:t>La Presidenta</w:t>
      </w:r>
      <w:r>
        <w:t xml:space="preserve"> dice que considera muy alentad</w:t>
      </w:r>
      <w:r>
        <w:t>o</w:t>
      </w:r>
      <w:r>
        <w:t>res los avances de los derechos de la mujer en la India, e insta a la delegación a que informe a su regreso al Parlamento y a la opinión pública sobre los resultados de las sesiones del Comité.</w:t>
      </w:r>
    </w:p>
    <w:p w:rsidR="00C07E89" w:rsidRDefault="00C07E89">
      <w:pPr>
        <w:pStyle w:val="DualTxt"/>
        <w:rPr>
          <w:i/>
          <w:iCs/>
        </w:rPr>
      </w:pPr>
      <w:r>
        <w:rPr>
          <w:i/>
          <w:iCs/>
        </w:rPr>
        <w:t>Se levanta la sesión a las 17.15 horas.</w:t>
      </w:r>
    </w:p>
    <w:sectPr w:rsidR="00C07E89">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2T22:06:00Z" w:initials="Start">
    <w:p w:rsidR="002E379E" w:rsidRPr="002E379E" w:rsidRDefault="002E379E">
      <w:pPr>
        <w:pStyle w:val="CommentText"/>
        <w:rPr>
          <w:lang w:val="en-US"/>
        </w:rPr>
      </w:pPr>
      <w:r>
        <w:fldChar w:fldCharType="begin"/>
      </w:r>
      <w:r w:rsidRPr="002E379E">
        <w:rPr>
          <w:rStyle w:val="CommentReference"/>
          <w:lang w:val="en-US"/>
        </w:rPr>
        <w:instrText xml:space="preserve"> </w:instrText>
      </w:r>
      <w:r w:rsidRPr="002E379E">
        <w:rPr>
          <w:lang w:val="en-US"/>
        </w:rPr>
        <w:instrText>PAGE \# "'Page: '#'</w:instrText>
      </w:r>
      <w:r w:rsidRPr="002E379E">
        <w:rPr>
          <w:lang w:val="en-US"/>
        </w:rPr>
        <w:br/>
        <w:instrText>'"</w:instrText>
      </w:r>
      <w:r w:rsidRPr="002E379E">
        <w:rPr>
          <w:rStyle w:val="CommentReference"/>
          <w:lang w:val="en-US"/>
        </w:rPr>
        <w:instrText xml:space="preserve"> </w:instrText>
      </w:r>
      <w:r>
        <w:fldChar w:fldCharType="end"/>
      </w:r>
      <w:r>
        <w:rPr>
          <w:rStyle w:val="CommentReference"/>
        </w:rPr>
        <w:annotationRef/>
      </w:r>
      <w:r w:rsidRPr="002E379E">
        <w:rPr>
          <w:lang w:val="en-US"/>
        </w:rPr>
        <w:t>&lt;&lt;ODS JOB NO&gt;&gt;N0721261S&lt;&lt;ODS JOB NO&gt;&gt;</w:t>
      </w:r>
    </w:p>
    <w:p w:rsidR="002E379E" w:rsidRPr="002E379E" w:rsidRDefault="002E379E">
      <w:pPr>
        <w:pStyle w:val="CommentText"/>
        <w:rPr>
          <w:lang w:val="en-US"/>
        </w:rPr>
      </w:pPr>
      <w:r w:rsidRPr="002E379E">
        <w:rPr>
          <w:lang w:val="en-US"/>
        </w:rPr>
        <w:t>&lt;&lt;ODS DOC SYMBOL1&gt;&gt;CEDAW/C/SR.762 (A)&lt;&lt;ODS DOC SYMBOL1&gt;&gt;</w:t>
      </w:r>
    </w:p>
    <w:p w:rsidR="002E379E" w:rsidRPr="002E379E" w:rsidRDefault="002E379E">
      <w:pPr>
        <w:pStyle w:val="CommentText"/>
        <w:rPr>
          <w:lang w:val="en-US"/>
        </w:rPr>
      </w:pPr>
      <w:r w:rsidRPr="002E379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586" w:rsidRDefault="00176586">
      <w:r>
        <w:separator/>
      </w:r>
    </w:p>
  </w:endnote>
  <w:endnote w:type="continuationSeparator" w:id="0">
    <w:p w:rsidR="00176586" w:rsidRDefault="0017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76586">
      <w:tblPrEx>
        <w:tblCellMar>
          <w:top w:w="0" w:type="dxa"/>
          <w:bottom w:w="0" w:type="dxa"/>
        </w:tblCellMar>
      </w:tblPrEx>
      <w:tc>
        <w:tcPr>
          <w:tcW w:w="5033" w:type="dxa"/>
          <w:vAlign w:val="bottom"/>
        </w:tcPr>
        <w:p w:rsidR="00176586" w:rsidRDefault="00176586">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E379E">
            <w:rPr>
              <w:rStyle w:val="PageNumber"/>
              <w:sz w:val="14"/>
            </w:rPr>
            <w:t>6</w:t>
          </w:r>
          <w:r>
            <w:rPr>
              <w:rStyle w:val="PageNumber"/>
              <w:sz w:val="14"/>
            </w:rPr>
            <w:fldChar w:fldCharType="end"/>
          </w:r>
        </w:p>
      </w:tc>
      <w:tc>
        <w:tcPr>
          <w:tcW w:w="5033" w:type="dxa"/>
          <w:vAlign w:val="bottom"/>
        </w:tcPr>
        <w:p w:rsidR="00176586" w:rsidRDefault="00176586">
          <w:pPr>
            <w:pStyle w:val="Footer"/>
            <w:jc w:val="right"/>
            <w:rPr>
              <w:sz w:val="14"/>
            </w:rPr>
          </w:pPr>
          <w:r>
            <w:rPr>
              <w:sz w:val="14"/>
            </w:rPr>
            <w:t>0721261s</w:t>
          </w:r>
        </w:p>
      </w:tc>
    </w:tr>
  </w:tbl>
  <w:p w:rsidR="00176586" w:rsidRDefault="001765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76586">
      <w:tblPrEx>
        <w:tblCellMar>
          <w:top w:w="0" w:type="dxa"/>
          <w:bottom w:w="0" w:type="dxa"/>
        </w:tblCellMar>
      </w:tblPrEx>
      <w:tc>
        <w:tcPr>
          <w:tcW w:w="5033" w:type="dxa"/>
          <w:vAlign w:val="bottom"/>
        </w:tcPr>
        <w:p w:rsidR="00176586" w:rsidRDefault="0017658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E379E">
            <w:rPr>
              <w:b w:val="0"/>
              <w:sz w:val="14"/>
            </w:rPr>
            <w:t>0721261s.doc</w:t>
          </w:r>
          <w:r>
            <w:rPr>
              <w:b w:val="0"/>
              <w:sz w:val="14"/>
            </w:rPr>
            <w:fldChar w:fldCharType="end"/>
          </w:r>
        </w:p>
      </w:tc>
      <w:tc>
        <w:tcPr>
          <w:tcW w:w="5033" w:type="dxa"/>
          <w:vAlign w:val="bottom"/>
        </w:tcPr>
        <w:p w:rsidR="00176586" w:rsidRDefault="00176586">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E379E">
            <w:rPr>
              <w:rStyle w:val="PageNumber"/>
              <w:sz w:val="14"/>
            </w:rPr>
            <w:t>7</w:t>
          </w:r>
          <w:r>
            <w:rPr>
              <w:rStyle w:val="PageNumber"/>
              <w:sz w:val="14"/>
            </w:rPr>
            <w:fldChar w:fldCharType="end"/>
          </w:r>
        </w:p>
      </w:tc>
    </w:tr>
  </w:tbl>
  <w:p w:rsidR="00176586" w:rsidRDefault="001765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586" w:rsidRDefault="00176586">
    <w:pPr>
      <w:pStyle w:val="Footer"/>
      <w:pBdr>
        <w:top w:val="single" w:sz="2" w:space="1" w:color="auto"/>
      </w:pBdr>
      <w:rPr>
        <w:sz w:val="2"/>
      </w:rPr>
    </w:pPr>
  </w:p>
  <w:p w:rsidR="00176586" w:rsidRDefault="0017658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76586" w:rsidRDefault="0017658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76586" w:rsidRDefault="0017658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76586" w:rsidRDefault="00176586">
    <w:pPr>
      <w:pStyle w:val="FootnoteText"/>
      <w:spacing w:line="120" w:lineRule="exact"/>
      <w:ind w:left="1267" w:right="1267" w:firstLine="0"/>
      <w:rPr>
        <w:sz w:val="10"/>
      </w:rPr>
    </w:pPr>
  </w:p>
  <w:p w:rsidR="00176586" w:rsidRDefault="00176586">
    <w:pPr>
      <w:pStyle w:val="Footer"/>
      <w:rPr>
        <w:b w:val="0"/>
        <w:sz w:val="20"/>
      </w:rPr>
    </w:pPr>
    <w:r>
      <w:rPr>
        <w:b w:val="0"/>
        <w:sz w:val="20"/>
      </w:rPr>
      <w:t>07-21261 (S)</w:t>
    </w:r>
  </w:p>
  <w:p w:rsidR="00176586" w:rsidRPr="00176586" w:rsidRDefault="00176586" w:rsidP="00176586">
    <w:pPr>
      <w:pStyle w:val="Footer"/>
      <w:spacing w:before="120" w:line="240" w:lineRule="exact"/>
      <w:rPr>
        <w:rFonts w:ascii="Barcode 3 of 9 by request" w:hAnsi="Barcode 3 of 9 by request"/>
        <w:b w:val="0"/>
        <w:sz w:val="24"/>
      </w:rPr>
    </w:pPr>
    <w:r w:rsidRPr="00176586">
      <w:rPr>
        <w:rFonts w:ascii="Barcode 3 of 9 by request" w:hAnsi="Barcode 3 of 9 by request"/>
        <w:b w:val="0"/>
        <w:sz w:val="24"/>
      </w:rPr>
      <w:t>*0721261*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586" w:rsidRDefault="00176586">
      <w:r>
        <w:separator/>
      </w:r>
    </w:p>
  </w:footnote>
  <w:footnote w:type="continuationSeparator" w:id="0">
    <w:p w:rsidR="00176586" w:rsidRDefault="00176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586" w:rsidRDefault="0017658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76586">
                  <w:tblPrEx>
                    <w:tblCellMar>
                      <w:top w:w="0" w:type="dxa"/>
                      <w:bottom w:w="0" w:type="dxa"/>
                    </w:tblCellMar>
                  </w:tblPrEx>
                  <w:trPr>
                    <w:trHeight w:hRule="exact" w:val="864"/>
                  </w:trPr>
                  <w:tc>
                    <w:tcPr>
                      <w:tcW w:w="4838" w:type="dxa"/>
                      <w:vAlign w:val="bottom"/>
                    </w:tcPr>
                    <w:p w:rsidR="00176586" w:rsidRDefault="00176586">
                      <w:pPr>
                        <w:pStyle w:val="Header"/>
                        <w:spacing w:after="80"/>
                        <w:rPr>
                          <w:b/>
                        </w:rPr>
                      </w:pPr>
                      <w:r>
                        <w:rPr>
                          <w:b/>
                        </w:rPr>
                        <w:t>CEDAW/C/SR.762 (A)</w:t>
                      </w:r>
                    </w:p>
                  </w:tc>
                  <w:tc>
                    <w:tcPr>
                      <w:tcW w:w="5048" w:type="dxa"/>
                      <w:vAlign w:val="bottom"/>
                    </w:tcPr>
                    <w:p w:rsidR="00176586" w:rsidRDefault="00176586">
                      <w:pPr>
                        <w:pStyle w:val="Header"/>
                      </w:pPr>
                    </w:p>
                  </w:tc>
                </w:tr>
              </w:tbl>
              <w:p w:rsidR="00176586" w:rsidRDefault="00176586">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586" w:rsidRDefault="0017658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76586">
                  <w:tblPrEx>
                    <w:tblCellMar>
                      <w:top w:w="0" w:type="dxa"/>
                      <w:bottom w:w="0" w:type="dxa"/>
                    </w:tblCellMar>
                  </w:tblPrEx>
                  <w:trPr>
                    <w:trHeight w:hRule="exact" w:val="864"/>
                  </w:trPr>
                  <w:tc>
                    <w:tcPr>
                      <w:tcW w:w="4838" w:type="dxa"/>
                      <w:vAlign w:val="bottom"/>
                    </w:tcPr>
                    <w:p w:rsidR="00176586" w:rsidRDefault="00176586">
                      <w:pPr>
                        <w:pStyle w:val="Header"/>
                      </w:pPr>
                    </w:p>
                  </w:tc>
                  <w:tc>
                    <w:tcPr>
                      <w:tcW w:w="5048" w:type="dxa"/>
                      <w:vAlign w:val="bottom"/>
                    </w:tcPr>
                    <w:p w:rsidR="00176586" w:rsidRDefault="00176586">
                      <w:pPr>
                        <w:pStyle w:val="Header"/>
                        <w:spacing w:after="80"/>
                        <w:jc w:val="right"/>
                        <w:rPr>
                          <w:b/>
                        </w:rPr>
                      </w:pPr>
                      <w:r>
                        <w:rPr>
                          <w:b/>
                        </w:rPr>
                        <w:t>CEDAW/C/SR.762 (A)</w:t>
                      </w:r>
                    </w:p>
                  </w:tc>
                </w:tr>
              </w:tbl>
              <w:p w:rsidR="00176586" w:rsidRDefault="00176586">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7658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76586" w:rsidRDefault="00176586">
          <w:pPr>
            <w:pStyle w:val="Header"/>
            <w:spacing w:after="120"/>
          </w:pPr>
        </w:p>
      </w:tc>
      <w:tc>
        <w:tcPr>
          <w:tcW w:w="2059" w:type="dxa"/>
          <w:tcBorders>
            <w:top w:val="nil"/>
            <w:left w:val="nil"/>
            <w:bottom w:val="single" w:sz="4" w:space="0" w:color="auto"/>
            <w:right w:val="nil"/>
          </w:tcBorders>
          <w:vAlign w:val="bottom"/>
        </w:tcPr>
        <w:p w:rsidR="00176586" w:rsidRDefault="00176586">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176586" w:rsidRDefault="00176586">
          <w:pPr>
            <w:pStyle w:val="Header"/>
            <w:spacing w:after="120"/>
          </w:pPr>
        </w:p>
      </w:tc>
      <w:tc>
        <w:tcPr>
          <w:tcW w:w="6523" w:type="dxa"/>
          <w:gridSpan w:val="3"/>
          <w:tcBorders>
            <w:top w:val="nil"/>
            <w:left w:val="nil"/>
            <w:bottom w:val="single" w:sz="4" w:space="0" w:color="auto"/>
            <w:right w:val="nil"/>
          </w:tcBorders>
          <w:vAlign w:val="bottom"/>
        </w:tcPr>
        <w:p w:rsidR="00176586" w:rsidRDefault="00176586">
          <w:pPr>
            <w:spacing w:after="80" w:line="240" w:lineRule="auto"/>
            <w:jc w:val="right"/>
            <w:rPr>
              <w:position w:val="-4"/>
            </w:rPr>
          </w:pPr>
          <w:r>
            <w:rPr>
              <w:position w:val="-4"/>
              <w:sz w:val="40"/>
            </w:rPr>
            <w:t>CEDAW</w:t>
          </w:r>
          <w:r>
            <w:rPr>
              <w:position w:val="-4"/>
            </w:rPr>
            <w:t>/C/SR.762 (A)</w:t>
          </w:r>
        </w:p>
      </w:tc>
    </w:tr>
    <w:tr w:rsidR="00176586">
      <w:tblPrEx>
        <w:tblCellMar>
          <w:top w:w="0" w:type="dxa"/>
          <w:bottom w:w="0" w:type="dxa"/>
        </w:tblCellMar>
      </w:tblPrEx>
      <w:trPr>
        <w:trHeight w:hRule="exact" w:val="2880"/>
      </w:trPr>
      <w:tc>
        <w:tcPr>
          <w:tcW w:w="1267" w:type="dxa"/>
          <w:tcBorders>
            <w:left w:val="nil"/>
            <w:bottom w:val="single" w:sz="12" w:space="0" w:color="auto"/>
            <w:right w:val="nil"/>
          </w:tcBorders>
        </w:tcPr>
        <w:p w:rsidR="00176586" w:rsidRDefault="00176586">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6586" w:rsidRDefault="00176586">
          <w:pPr>
            <w:pStyle w:val="Header"/>
            <w:spacing w:before="109"/>
            <w:rPr>
              <w:lang w:val="es-ES"/>
            </w:rPr>
          </w:pPr>
        </w:p>
      </w:tc>
      <w:tc>
        <w:tcPr>
          <w:tcW w:w="5227" w:type="dxa"/>
          <w:gridSpan w:val="3"/>
          <w:tcBorders>
            <w:left w:val="nil"/>
            <w:bottom w:val="single" w:sz="12" w:space="0" w:color="auto"/>
            <w:right w:val="nil"/>
          </w:tcBorders>
        </w:tcPr>
        <w:p w:rsidR="00176586" w:rsidRDefault="0017658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176586" w:rsidRDefault="00176586">
          <w:pPr>
            <w:pStyle w:val="Header"/>
            <w:spacing w:before="109"/>
            <w:rPr>
              <w:lang w:val="es-ES"/>
            </w:rPr>
          </w:pPr>
        </w:p>
      </w:tc>
      <w:tc>
        <w:tcPr>
          <w:tcW w:w="3180" w:type="dxa"/>
          <w:gridSpan w:val="2"/>
          <w:tcBorders>
            <w:left w:val="nil"/>
            <w:bottom w:val="single" w:sz="12" w:space="0" w:color="auto"/>
            <w:right w:val="nil"/>
          </w:tcBorders>
        </w:tcPr>
        <w:p w:rsidR="00176586" w:rsidRDefault="00176586">
          <w:pPr>
            <w:spacing w:before="240"/>
          </w:pPr>
          <w:r>
            <w:t>Distr. general</w:t>
          </w:r>
        </w:p>
        <w:p w:rsidR="00176586" w:rsidRDefault="00176586">
          <w:r>
            <w:t>26 de enero de 2007</w:t>
          </w:r>
        </w:p>
        <w:p w:rsidR="00176586" w:rsidRDefault="00176586">
          <w:r>
            <w:t>Español</w:t>
          </w:r>
        </w:p>
        <w:p w:rsidR="00176586" w:rsidRDefault="00176586">
          <w:r>
            <w:t>Original: inglés</w:t>
          </w:r>
        </w:p>
      </w:tc>
    </w:tr>
  </w:tbl>
  <w:p w:rsidR="00176586" w:rsidRDefault="00176586">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61*"/>
    <w:docVar w:name="CreationDt" w:val="3/13/2007 2:54: PM"/>
    <w:docVar w:name="DocCategory" w:val="SROthers"/>
    <w:docVar w:name="DocType" w:val="Final"/>
    <w:docVar w:name="jobn" w:val="07-21261 (S)"/>
    <w:docVar w:name="JobNo" w:val="0721261S"/>
    <w:docVar w:name="OandT" w:val="Globol"/>
    <w:docVar w:name="sss1" w:val="CEDAW/C/SR.762 (A)"/>
    <w:docVar w:name="sss2" w:val="-"/>
    <w:docVar w:name="Symbol1" w:val="CEDAW/C/SR.762 (A)"/>
    <w:docVar w:name="Symbol2" w:val="-"/>
  </w:docVars>
  <w:rsids>
    <w:rsidRoot w:val="0026692D"/>
    <w:rsid w:val="00176586"/>
    <w:rsid w:val="0026692D"/>
    <w:rsid w:val="002E379E"/>
    <w:rsid w:val="00822375"/>
    <w:rsid w:val="008877A9"/>
    <w:rsid w:val="00C07E89"/>
    <w:rsid w:val="00C471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xtodeglobo">
    <w:name w:val="Texto de globo"/>
    <w:basedOn w:val="Normal"/>
    <w:semiHidden/>
    <w:rPr>
      <w:rFonts w:ascii="Tahoma" w:hAnsi="Tahoma" w:cs="Tahoma"/>
      <w:sz w:val="16"/>
      <w:szCs w:val="16"/>
      <w:lang w:val="en-GB"/>
    </w:rPr>
  </w:style>
  <w:style w:type="paragraph" w:customStyle="1" w:styleId="Asuntodelcomentario">
    <w:name w:val="Asunto del comentario"/>
    <w:basedOn w:val="CommentText"/>
    <w:next w:val="CommentText"/>
    <w:semiHidden/>
    <w:rPr>
      <w:b/>
      <w:bCs/>
      <w:lang w:val="en-GB"/>
    </w:rPr>
  </w:style>
  <w:style w:type="character" w:styleId="PageNumber">
    <w:name w:val="page number"/>
    <w:basedOn w:val="DefaultParagraphFont"/>
  </w:style>
  <w:style w:type="paragraph" w:styleId="BalloonText">
    <w:name w:val="Balloon Text"/>
    <w:basedOn w:val="Normal"/>
    <w:semiHidden/>
    <w:rsid w:val="0026692D"/>
    <w:rPr>
      <w:rFonts w:ascii="Tahoma" w:hAnsi="Tahoma" w:cs="Tahoma"/>
      <w:sz w:val="16"/>
      <w:szCs w:val="16"/>
    </w:rPr>
  </w:style>
  <w:style w:type="paragraph" w:styleId="CommentSubject">
    <w:name w:val="annotation subject"/>
    <w:basedOn w:val="CommentText"/>
    <w:next w:val="CommentText"/>
    <w:semiHidden/>
    <w:rsid w:val="001765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4343</Words>
  <Characters>22761</Characters>
  <Application>Microsoft Office Word</Application>
  <DocSecurity>4</DocSecurity>
  <Lines>569</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BRAVO, Bertha</cp:lastModifiedBy>
  <cp:revision>4</cp:revision>
  <cp:lastPrinted>2007-04-12T20:13:00Z</cp:lastPrinted>
  <dcterms:created xsi:type="dcterms:W3CDTF">2007-04-12T20:01:00Z</dcterms:created>
  <dcterms:modified xsi:type="dcterms:W3CDTF">2007-04-12T20:14:00Z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0721261</vt:lpwstr>
  </property>
  <property fmtid="{D5CDD505-2E9C-101B-9397-08002B2CF9AE}" pid="3" name="Symbol1">
    <vt:lpwstr>CEDAW/C/SR.762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Globol/BBRAVO</vt:lpwstr>
  </property>
</Properties>
</file>