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relative:page"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44793</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CERD/C/362/Add.6</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4 October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lang w:val="en-US"/>
        </w:rPr>
      </w:pPr>
    </w:p>
    <w:p w:rsidR="00000000" w:rsidRDefault="00000000">
      <w:pPr>
        <w:tabs>
          <w:tab w:val="left" w:pos="0"/>
        </w:tabs>
        <w:suppressAutoHyphens/>
      </w:pPr>
      <w:r>
        <w:t>КОМИТЕТ ПО ЛИКВИДАЦИИ РАСОВОЙ</w:t>
      </w:r>
    </w:p>
    <w:p w:rsidR="00000000" w:rsidRDefault="00000000">
      <w:pPr>
        <w:tabs>
          <w:tab w:val="left" w:pos="0"/>
        </w:tabs>
        <w:suppressAutoHyphens/>
      </w:pPr>
      <w:r>
        <w:t>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pPr>
      <w:r>
        <w:t>РАССМОТРЕНИЕ ДОКЛАДОВ, ПРЕДСТАВЛЕННЫХ ГОСУДАРСТВАМИ-УЧАСТНИКАМИ В СООТВЕТСТВИИ СО СТАТЬЕЙ 9 КОНВЕНЦИИ</w:t>
      </w:r>
    </w:p>
    <w:p w:rsidR="00000000" w:rsidRDefault="00000000">
      <w:pPr>
        <w:tabs>
          <w:tab w:val="left" w:pos="0"/>
        </w:tabs>
        <w:suppressAutoHyphens/>
        <w:jc w:val="center"/>
      </w:pPr>
    </w:p>
    <w:p w:rsidR="00000000" w:rsidRDefault="00000000">
      <w:pPr>
        <w:tabs>
          <w:tab w:val="left" w:pos="0"/>
        </w:tabs>
        <w:suppressAutoHyphens/>
        <w:jc w:val="center"/>
        <w:rPr>
          <w:u w:val="single"/>
        </w:rPr>
      </w:pPr>
      <w:r>
        <w:rPr>
          <w:u w:val="single"/>
        </w:rPr>
        <w:t>Четырнадцатые периодические доклады государств-участников, подлежавшие представлению в 1999 году</w:t>
      </w:r>
    </w:p>
    <w:p w:rsidR="00000000" w:rsidRDefault="00000000">
      <w:pPr>
        <w:tabs>
          <w:tab w:val="left" w:pos="0"/>
        </w:tabs>
        <w:suppressAutoHyphens/>
        <w:jc w:val="center"/>
        <w:rPr>
          <w:u w:val="single"/>
        </w:rPr>
      </w:pPr>
    </w:p>
    <w:p w:rsidR="00000000" w:rsidRDefault="00000000">
      <w:pPr>
        <w:pStyle w:val="16"/>
        <w:tabs>
          <w:tab w:val="left" w:pos="0"/>
        </w:tabs>
        <w:suppressAutoHyphens/>
        <w:rPr>
          <w:u w:val="single"/>
        </w:rPr>
      </w:pPr>
      <w:r>
        <w:rPr>
          <w:u w:val="single"/>
        </w:rPr>
        <w:t>Добавление</w:t>
      </w:r>
    </w:p>
    <w:p w:rsidR="00000000" w:rsidRDefault="00000000">
      <w:pPr>
        <w:tabs>
          <w:tab w:val="left" w:pos="0"/>
        </w:tabs>
        <w:suppressAutoHyphens/>
        <w:jc w:val="center"/>
        <w:rPr>
          <w:u w:val="single"/>
        </w:rPr>
      </w:pPr>
    </w:p>
    <w:p w:rsidR="00000000" w:rsidRDefault="00000000">
      <w:pPr>
        <w:pStyle w:val="11"/>
        <w:tabs>
          <w:tab w:val="left" w:pos="0"/>
        </w:tabs>
        <w:suppressAutoHyphens/>
      </w:pPr>
      <w:r>
        <w:t>Алжир</w:t>
      </w:r>
      <w:r>
        <w:rPr>
          <w:u w:val="none"/>
        </w:rPr>
        <w:t>*</w:t>
      </w:r>
    </w:p>
    <w:p w:rsidR="00000000" w:rsidRDefault="00000000">
      <w:pPr>
        <w:tabs>
          <w:tab w:val="left" w:pos="0"/>
        </w:tabs>
        <w:suppressAutoHyphens/>
      </w:pPr>
    </w:p>
    <w:p w:rsidR="00000000" w:rsidRDefault="00000000">
      <w:pPr>
        <w:tabs>
          <w:tab w:val="left" w:pos="0"/>
        </w:tabs>
        <w:suppressAutoHyphens/>
        <w:jc w:val="right"/>
        <w:rPr>
          <w:lang w:val="en-US"/>
        </w:rPr>
      </w:pPr>
      <w:r>
        <w:rPr>
          <w:lang w:val="en-US"/>
        </w:rPr>
        <w:t>[</w:t>
      </w:r>
      <w:r>
        <w:t>22 мая 2000 года</w:t>
      </w:r>
      <w:r>
        <w:rPr>
          <w:lang w:val="en-US"/>
        </w:rPr>
        <w:t>]</w:t>
      </w:r>
    </w:p>
    <w:p w:rsidR="00000000" w:rsidRDefault="00000000">
      <w:pPr>
        <w:tabs>
          <w:tab w:val="left" w:pos="0"/>
        </w:tabs>
        <w:suppressAutoHyphens/>
        <w:jc w:val="right"/>
        <w:rPr>
          <w:lang w:val="en-US"/>
        </w:rPr>
      </w:pPr>
    </w:p>
    <w:p w:rsidR="00000000" w:rsidRDefault="00000000">
      <w:pPr>
        <w:tabs>
          <w:tab w:val="left" w:pos="0"/>
        </w:tabs>
        <w:suppressAutoHyphens/>
        <w:jc w:val="right"/>
        <w:rPr>
          <w:lang w:val="en-US"/>
        </w:rPr>
      </w:pPr>
    </w:p>
    <w:p w:rsidR="00000000" w:rsidRDefault="00000000">
      <w:pPr>
        <w:pStyle w:val="FootnoteText"/>
        <w:tabs>
          <w:tab w:val="left" w:pos="0"/>
        </w:tabs>
        <w:suppressAutoHyphens/>
        <w:spacing w:line="288" w:lineRule="auto"/>
        <w:rPr>
          <w:lang w:val="en-US"/>
        </w:rPr>
      </w:pPr>
    </w:p>
    <w:p w:rsidR="00000000" w:rsidRDefault="00000000">
      <w:pPr>
        <w:pStyle w:val="FootnoteText"/>
        <w:tabs>
          <w:tab w:val="left" w:pos="0"/>
        </w:tabs>
        <w:suppressAutoHyphens/>
        <w:spacing w:line="288" w:lineRule="auto"/>
        <w:rPr>
          <w:lang w:val="en-US"/>
        </w:rPr>
      </w:pPr>
    </w:p>
    <w:p w:rsidR="00000000" w:rsidRDefault="00000000">
      <w:pPr>
        <w:pStyle w:val="FootnoteText"/>
        <w:tabs>
          <w:tab w:val="left" w:pos="0"/>
        </w:tabs>
        <w:suppressAutoHyphens/>
        <w:spacing w:line="288" w:lineRule="auto"/>
        <w:rPr>
          <w:u w:val="single"/>
          <w:lang w:val="en-US"/>
        </w:rPr>
      </w:pPr>
      <w:r>
        <w:rPr>
          <w:u w:val="single"/>
          <w:lang w:val="en-US"/>
        </w:rPr>
        <w:tab/>
      </w:r>
      <w:r>
        <w:rPr>
          <w:u w:val="single"/>
          <w:lang w:val="en-US"/>
        </w:rPr>
        <w:tab/>
      </w:r>
      <w:r>
        <w:rPr>
          <w:u w:val="single"/>
          <w:lang w:val="en-US"/>
        </w:rPr>
        <w:tab/>
      </w:r>
      <w:r>
        <w:rPr>
          <w:u w:val="single"/>
          <w:lang w:val="en-US"/>
        </w:rPr>
        <w:tab/>
      </w:r>
    </w:p>
    <w:p w:rsidR="00000000" w:rsidRDefault="00000000">
      <w:pPr>
        <w:tabs>
          <w:tab w:val="left" w:pos="0"/>
        </w:tabs>
        <w:suppressAutoHyphens/>
        <w:rPr>
          <w:lang w:val="en-US"/>
        </w:rPr>
      </w:pPr>
    </w:p>
    <w:p w:rsidR="00000000" w:rsidRDefault="00000000">
      <w:pPr>
        <w:tabs>
          <w:tab w:val="left" w:pos="0"/>
        </w:tabs>
        <w:suppressAutoHyphens/>
        <w:spacing w:line="240" w:lineRule="auto"/>
        <w:rPr>
          <w:lang w:val="en-US"/>
        </w:rPr>
      </w:pPr>
      <w:r>
        <w:rPr>
          <w:lang w:val="en-US"/>
        </w:rPr>
        <w:t>*</w:t>
      </w:r>
      <w:r>
        <w:rPr>
          <w:lang w:val="en-US"/>
        </w:rPr>
        <w:tab/>
      </w:r>
      <w:r>
        <w:t xml:space="preserve">В настоящем документе содержатся тринадцатый и четырнадцатый периодические доклады Алжира, представленные в одном документе, которые подлежали представлению соответственно 15 марта 1997 и 1999 годов.  Одиннадцатый и двенадцатый периодические доклады Алжира, представленные в одном документе, и краткие отчеты о заседаниях, на которых Комитет рассматривал эти доклады, содержатся в документах </w:t>
      </w:r>
      <w:r>
        <w:rPr>
          <w:lang w:val="en-US"/>
        </w:rPr>
        <w:t xml:space="preserve">CERD/C/280/Add.3 </w:t>
      </w:r>
      <w:r>
        <w:t>и</w:t>
      </w:r>
      <w:r>
        <w:rPr>
          <w:lang w:val="en-US"/>
        </w:rPr>
        <w:t xml:space="preserve"> CERD/C/SR.1216-1217 </w:t>
      </w:r>
      <w:r>
        <w:t>и</w:t>
      </w:r>
      <w:r>
        <w:rPr>
          <w:lang w:val="en-US"/>
        </w:rPr>
        <w:t xml:space="preserve"> 1235.</w:t>
      </w:r>
    </w:p>
    <w:p w:rsidR="00000000" w:rsidRDefault="00000000">
      <w:pPr>
        <w:tabs>
          <w:tab w:val="left" w:pos="0"/>
        </w:tabs>
        <w:suppressAutoHyphens/>
        <w:rPr>
          <w:lang w:val="en-US"/>
        </w:rPr>
      </w:pPr>
    </w:p>
    <w:p w:rsidR="00000000" w:rsidRDefault="00000000">
      <w:pPr>
        <w:tabs>
          <w:tab w:val="left" w:pos="0"/>
        </w:tabs>
        <w:suppressAutoHyphens/>
        <w:rPr>
          <w:lang w:val="en-US"/>
        </w:rPr>
      </w:pP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jc w:val="center"/>
        <w:rPr>
          <w:lang w:val="en-US"/>
        </w:rPr>
      </w:pPr>
      <w:r>
        <w:rPr>
          <w:lang w:val="en-US"/>
        </w:rPr>
        <w:br w:type="page"/>
        <w:t>СОДЕРЖАНИЕ</w:t>
      </w: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jc w:val="center"/>
        <w:rPr>
          <w:lang w:val="en-US"/>
        </w:rPr>
      </w:pP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rPr>
          <w:lang w:val="en-US"/>
        </w:rPr>
      </w:pPr>
      <w:r>
        <w:rPr>
          <w:lang w:val="en-US"/>
        </w:rPr>
        <w:tab/>
      </w:r>
      <w:r>
        <w:rPr>
          <w:lang w:val="en-US"/>
        </w:rPr>
        <w:tab/>
      </w:r>
      <w:r>
        <w:rPr>
          <w:lang w:val="en-US"/>
        </w:rPr>
        <w:tab/>
      </w:r>
      <w:r>
        <w:rPr>
          <w:lang w:val="en-US"/>
        </w:rPr>
        <w:tab/>
      </w:r>
      <w:r>
        <w:rPr>
          <w:lang w:val="en-US"/>
        </w:rPr>
        <w:tab/>
      </w:r>
      <w:r>
        <w:rPr>
          <w:u w:val="single"/>
          <w:lang w:val="en-US"/>
        </w:rPr>
        <w:t>Пункты</w:t>
      </w:r>
      <w:r>
        <w:rPr>
          <w:lang w:val="en-US"/>
        </w:rPr>
        <w:tab/>
      </w:r>
      <w:r>
        <w:rPr>
          <w:u w:val="single"/>
          <w:lang w:val="en-US"/>
        </w:rPr>
        <w:t>Стр</w:t>
      </w:r>
      <w:r>
        <w:rPr>
          <w:lang w:val="en-US"/>
        </w:rPr>
        <w:t>.</w:t>
      </w:r>
    </w:p>
    <w:p w:rsidR="00000000" w:rsidRDefault="00000000">
      <w:pPr>
        <w:pStyle w:val="FootnoteText"/>
        <w:tabs>
          <w:tab w:val="clear" w:pos="6237"/>
          <w:tab w:val="left" w:pos="567"/>
          <w:tab w:val="left" w:pos="1134"/>
          <w:tab w:val="left" w:pos="1701"/>
          <w:tab w:val="left" w:pos="2268"/>
          <w:tab w:val="center" w:pos="8039"/>
          <w:tab w:val="center" w:pos="9122"/>
        </w:tabs>
        <w:suppressAutoHyphens/>
        <w:rPr>
          <w:lang w:val="en-US"/>
        </w:rPr>
      </w:pPr>
    </w:p>
    <w:p w:rsidR="00000000" w:rsidRDefault="00000000">
      <w:pPr>
        <w:pStyle w:val="FootnoteText"/>
        <w:tabs>
          <w:tab w:val="clear" w:pos="1134"/>
          <w:tab w:val="clear" w:pos="1701"/>
          <w:tab w:val="clear" w:pos="2268"/>
          <w:tab w:val="clear" w:pos="6237"/>
          <w:tab w:val="decimal" w:pos="567"/>
          <w:tab w:val="right" w:leader="dot" w:pos="7371"/>
          <w:tab w:val="center" w:pos="8039"/>
          <w:tab w:val="center" w:pos="9122"/>
        </w:tabs>
        <w:suppressAutoHyphens/>
        <w:rPr>
          <w:lang w:val="en-US"/>
        </w:rPr>
      </w:pPr>
      <w:r>
        <w:t xml:space="preserve">Введение </w:t>
      </w:r>
      <w:r>
        <w:tab/>
      </w:r>
      <w:r>
        <w:tab/>
        <w:t>1 - 3</w:t>
      </w:r>
      <w:r>
        <w:tab/>
      </w:r>
      <w:r>
        <w:rPr>
          <w:lang w:val="en-US"/>
        </w:rPr>
        <w:t>3</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spacing w:line="240" w:lineRule="auto"/>
        <w:jc w:val="center"/>
        <w:rPr>
          <w:b/>
          <w:bCs/>
        </w:rPr>
      </w:pPr>
    </w:p>
    <w:p w:rsidR="00000000" w:rsidRDefault="00000000">
      <w:pPr>
        <w:pStyle w:val="10"/>
        <w:tabs>
          <w:tab w:val="clear" w:pos="6237"/>
          <w:tab w:val="decimal" w:pos="567"/>
          <w:tab w:val="left" w:pos="1134"/>
          <w:tab w:val="left" w:pos="1701"/>
          <w:tab w:val="left" w:pos="2268"/>
          <w:tab w:val="right" w:leader="dot" w:pos="7371"/>
          <w:tab w:val="center" w:pos="8039"/>
          <w:tab w:val="center" w:pos="9122"/>
        </w:tabs>
        <w:suppressAutoHyphens/>
        <w:spacing w:line="240" w:lineRule="auto"/>
        <w:rPr>
          <w:bCs/>
        </w:rPr>
      </w:pPr>
      <w:r>
        <w:rPr>
          <w:bCs/>
        </w:rPr>
        <w:t>Часть первая</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spacing w:line="240" w:lineRule="auto"/>
        <w:jc w:val="center"/>
      </w:pP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pPr>
      <w:r>
        <w:rPr>
          <w:b/>
          <w:bCs/>
          <w:i/>
          <w:iCs/>
        </w:rPr>
        <w:tab/>
        <w:t>Общие сведения</w:t>
      </w:r>
      <w:r>
        <w:rPr>
          <w:i/>
          <w:iCs/>
        </w:rPr>
        <w:tab/>
      </w:r>
      <w:r>
        <w:tab/>
      </w:r>
      <w:r>
        <w:tab/>
        <w:t>4</w:t>
      </w:r>
      <w:r>
        <w:tab/>
        <w:t>4</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tab/>
      </w:r>
      <w:r>
        <w:rPr>
          <w:lang w:val="en-US"/>
        </w:rPr>
        <w:t>I.</w:t>
      </w:r>
      <w:r>
        <w:tab/>
        <w:t xml:space="preserve">ОБЩАЯ ПОЛИТИЧЕСКАЯ СТРУКТУРА </w:t>
      </w:r>
      <w:r>
        <w:tab/>
      </w:r>
      <w:r>
        <w:tab/>
        <w:t xml:space="preserve">  5 - 11</w:t>
      </w:r>
      <w:r>
        <w:tab/>
        <w:t>4</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tab/>
      </w:r>
      <w:r>
        <w:rPr>
          <w:lang w:val="en-US"/>
        </w:rPr>
        <w:t>II.</w:t>
      </w:r>
      <w:r>
        <w:rPr>
          <w:lang w:val="en-US"/>
        </w:rPr>
        <w:tab/>
      </w:r>
      <w:r>
        <w:t xml:space="preserve">ОБЩЕПРАВОВАЯ ОСНОВА ЗАЩИТЫ ПРАВ </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tab/>
      </w:r>
      <w:r>
        <w:tab/>
        <w:t xml:space="preserve">ЧЕЛОВЕКА </w:t>
      </w:r>
      <w:r>
        <w:tab/>
      </w:r>
      <w:r>
        <w:tab/>
        <w:t>12 - 27</w:t>
      </w:r>
      <w:r>
        <w:tab/>
        <w:t>5</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tab/>
      </w:r>
      <w:r>
        <w:tab/>
      </w:r>
      <w:r>
        <w:rPr>
          <w:lang w:val="en-US"/>
        </w:rPr>
        <w:t>A.</w:t>
      </w:r>
      <w:r>
        <w:rPr>
          <w:lang w:val="en-US"/>
        </w:rPr>
        <w:tab/>
      </w:r>
      <w:r>
        <w:t xml:space="preserve">Правозащитные механизмы </w:t>
      </w:r>
      <w:r>
        <w:tab/>
      </w:r>
      <w:r>
        <w:tab/>
        <w:t>12 - 25</w:t>
      </w:r>
      <w:r>
        <w:tab/>
        <w:t>5</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rPr>
          <w:lang w:val="en-US"/>
        </w:rPr>
        <w:tab/>
      </w:r>
      <w:r>
        <w:rPr>
          <w:lang w:val="en-US"/>
        </w:rPr>
        <w:tab/>
        <w:t>B.</w:t>
      </w:r>
      <w:r>
        <w:rPr>
          <w:lang w:val="en-US"/>
        </w:rPr>
        <w:tab/>
      </w:r>
      <w:r>
        <w:t>Международные договоры и внутригосударственное</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tab/>
      </w:r>
      <w:r>
        <w:tab/>
      </w:r>
      <w:r>
        <w:tab/>
        <w:t xml:space="preserve">право </w:t>
      </w:r>
      <w:r>
        <w:tab/>
      </w:r>
      <w:r>
        <w:tab/>
        <w:t>26 - 27</w:t>
      </w:r>
      <w:r>
        <w:tab/>
        <w:t>9</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rPr>
          <w:lang w:val="en-US"/>
        </w:rPr>
        <w:tab/>
        <w:t>III.</w:t>
      </w:r>
      <w:r>
        <w:rPr>
          <w:lang w:val="en-US"/>
        </w:rPr>
        <w:tab/>
      </w:r>
      <w:r>
        <w:t xml:space="preserve">ИНФОРМИРОВАНИЕ И ПРОПАГАНДА </w:t>
      </w:r>
      <w:r>
        <w:tab/>
      </w:r>
      <w:r>
        <w:tab/>
        <w:t>28 - 31</w:t>
      </w:r>
      <w:r>
        <w:tab/>
        <w:t>10</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tab/>
      </w:r>
      <w:r>
        <w:rPr>
          <w:lang w:val="en-US"/>
        </w:rPr>
        <w:t>IV.</w:t>
      </w:r>
      <w:r>
        <w:tab/>
        <w:t xml:space="preserve">СТАТУС КОНВЕНЦИИ ВО </w:t>
      </w:r>
      <w:proofErr w:type="spellStart"/>
      <w:r>
        <w:t>ВНУТРИГОСУДАРСТВЕН</w:t>
      </w:r>
      <w:proofErr w:type="spellEnd"/>
      <w:r>
        <w:t>-</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tab/>
      </w:r>
      <w:r>
        <w:tab/>
        <w:t xml:space="preserve">НОМ ПРАВЕ </w:t>
      </w:r>
      <w:r>
        <w:tab/>
      </w:r>
      <w:r>
        <w:tab/>
        <w:t>32 - 33</w:t>
      </w:r>
      <w:r>
        <w:tab/>
        <w:t>11</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pPr>
      <w:r>
        <w:rPr>
          <w:lang w:val="en-US"/>
        </w:rPr>
        <w:tab/>
        <w:t>V.</w:t>
      </w:r>
      <w:r>
        <w:rPr>
          <w:lang w:val="en-US"/>
        </w:rPr>
        <w:tab/>
      </w:r>
      <w:r>
        <w:t xml:space="preserve">ДЕМОГРАФИЧЕСКИЙ СОСТАВ НАСЕЛЕНИЯ </w:t>
      </w:r>
      <w:r>
        <w:tab/>
      </w:r>
      <w:r>
        <w:tab/>
        <w:t>34 - 40</w:t>
      </w:r>
      <w:r>
        <w:tab/>
        <w:t>11</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jc w:val="center"/>
      </w:pPr>
    </w:p>
    <w:p w:rsidR="00000000" w:rsidRDefault="00000000">
      <w:pPr>
        <w:pStyle w:val="10"/>
        <w:tabs>
          <w:tab w:val="clear" w:pos="6237"/>
          <w:tab w:val="decimal" w:pos="567"/>
          <w:tab w:val="left" w:pos="1134"/>
          <w:tab w:val="left" w:pos="1701"/>
          <w:tab w:val="left" w:pos="2268"/>
          <w:tab w:val="right" w:leader="dot" w:pos="7371"/>
          <w:tab w:val="center" w:pos="8039"/>
          <w:tab w:val="center" w:pos="9122"/>
        </w:tabs>
        <w:suppressAutoHyphens/>
        <w:rPr>
          <w:bCs/>
        </w:rPr>
      </w:pPr>
      <w:r>
        <w:rPr>
          <w:bCs/>
        </w:rPr>
        <w:t>Часть вторая</w:t>
      </w:r>
    </w:p>
    <w:p w:rsidR="00000000" w:rsidRDefault="00000000">
      <w:pPr>
        <w:tabs>
          <w:tab w:val="clear" w:pos="6237"/>
          <w:tab w:val="decimal" w:pos="567"/>
          <w:tab w:val="left" w:pos="1134"/>
          <w:tab w:val="left" w:pos="1701"/>
          <w:tab w:val="left" w:pos="2268"/>
          <w:tab w:val="right" w:leader="dot" w:pos="7371"/>
          <w:tab w:val="center" w:pos="8039"/>
          <w:tab w:val="center" w:pos="9122"/>
        </w:tabs>
        <w:suppressAutoHyphens/>
        <w:jc w:val="center"/>
        <w:rPr>
          <w:b/>
          <w:bCs/>
        </w:rPr>
      </w:pPr>
    </w:p>
    <w:p w:rsidR="00000000" w:rsidRDefault="00000000">
      <w:pPr>
        <w:pStyle w:val="Heading4"/>
        <w:tabs>
          <w:tab w:val="clear" w:pos="6237"/>
          <w:tab w:val="decimal" w:pos="567"/>
          <w:tab w:val="left" w:pos="1134"/>
          <w:tab w:val="left" w:pos="1701"/>
          <w:tab w:val="left" w:pos="2268"/>
          <w:tab w:val="right" w:leader="dot" w:pos="7371"/>
          <w:tab w:val="center" w:pos="8039"/>
          <w:tab w:val="center" w:pos="9122"/>
        </w:tabs>
        <w:suppressAutoHyphens/>
        <w:rPr>
          <w:b w:val="0"/>
          <w:iCs/>
        </w:rPr>
      </w:pPr>
      <w:r>
        <w:rPr>
          <w:bCs/>
          <w:iCs/>
        </w:rPr>
        <w:tab/>
        <w:t>Информация по ключевым положениям статей 2-7</w:t>
      </w:r>
      <w:r>
        <w:rPr>
          <w:b w:val="0"/>
          <w:i w:val="0"/>
        </w:rPr>
        <w:tab/>
      </w:r>
      <w:r>
        <w:rPr>
          <w:b w:val="0"/>
          <w:iCs/>
        </w:rPr>
        <w:tab/>
      </w:r>
      <w:r>
        <w:rPr>
          <w:b w:val="0"/>
          <w:i w:val="0"/>
        </w:rPr>
        <w:t>41</w:t>
      </w:r>
      <w:r>
        <w:rPr>
          <w:b w:val="0"/>
          <w:i w:val="0"/>
        </w:rPr>
        <w:tab/>
        <w:t>14</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rPr>
          <w:lang w:val="en-US"/>
        </w:rPr>
      </w:pPr>
    </w:p>
    <w:p w:rsidR="00000000" w:rsidRDefault="00000000">
      <w:pPr>
        <w:pStyle w:val="FootnoteText"/>
        <w:tabs>
          <w:tab w:val="clear" w:pos="1701"/>
          <w:tab w:val="clear" w:pos="2268"/>
          <w:tab w:val="clear" w:pos="6237"/>
          <w:tab w:val="decimal" w:pos="567"/>
          <w:tab w:val="left" w:pos="1134"/>
          <w:tab w:val="right" w:leader="dot" w:pos="7371"/>
          <w:tab w:val="center" w:pos="8039"/>
          <w:tab w:val="center" w:pos="9122"/>
        </w:tabs>
        <w:suppressAutoHyphens/>
        <w:spacing w:line="288" w:lineRule="auto"/>
      </w:pPr>
      <w:r>
        <w:t xml:space="preserve">Статья 2:  </w:t>
      </w:r>
      <w:r>
        <w:tab/>
      </w:r>
      <w:r>
        <w:tab/>
      </w:r>
      <w:r>
        <w:tab/>
        <w:t>42 - 45</w:t>
      </w:r>
      <w:r>
        <w:tab/>
        <w:t>14</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Статья 3:</w:t>
      </w:r>
      <w:r>
        <w:tab/>
        <w:t xml:space="preserve">Борьба против апартеида и расовой дискриминации </w:t>
      </w:r>
      <w:r>
        <w:tab/>
      </w:r>
      <w:r>
        <w:tab/>
        <w:t>46 - 47</w:t>
      </w:r>
      <w:r>
        <w:tab/>
        <w:t>15</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Статья 4:</w:t>
      </w:r>
      <w:r>
        <w:tab/>
        <w:t>Запрещение подстрекательства к расовой дискриминации,</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ab/>
      </w:r>
      <w:r>
        <w:tab/>
        <w:t xml:space="preserve">ее проявлений и ее пропаганды </w:t>
      </w:r>
      <w:r>
        <w:tab/>
      </w:r>
      <w:r>
        <w:tab/>
        <w:t>48 - 53</w:t>
      </w:r>
      <w:r>
        <w:tab/>
        <w:t>16</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Статья 5:</w:t>
      </w:r>
      <w:r>
        <w:tab/>
        <w:t xml:space="preserve">Равенство перед законом </w:t>
      </w:r>
      <w:r>
        <w:tab/>
      </w:r>
      <w:r>
        <w:tab/>
        <w:t xml:space="preserve">  54 - 140</w:t>
      </w:r>
      <w:r>
        <w:tab/>
        <w:t>18</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Статья 6:</w:t>
      </w:r>
      <w:r>
        <w:tab/>
        <w:t>Право на защиту и получение возмещения со стороны</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ab/>
      </w:r>
      <w:r>
        <w:tab/>
        <w:t xml:space="preserve">судебных органов </w:t>
      </w:r>
      <w:r>
        <w:tab/>
      </w:r>
      <w:r>
        <w:tab/>
        <w:t>141 - 144</w:t>
      </w:r>
      <w:r>
        <w:tab/>
        <w:t>40</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Статья 7:</w:t>
      </w:r>
      <w:r>
        <w:tab/>
        <w:t>Меры по поощрению взаимопонимания, терпимости</w:t>
      </w:r>
    </w:p>
    <w:p w:rsidR="00000000" w:rsidRDefault="00000000">
      <w:pPr>
        <w:pStyle w:val="FootnoteText"/>
        <w:tabs>
          <w:tab w:val="clear" w:pos="6237"/>
          <w:tab w:val="decimal" w:pos="567"/>
          <w:tab w:val="left" w:pos="1134"/>
          <w:tab w:val="left" w:pos="1701"/>
          <w:tab w:val="left" w:pos="2268"/>
          <w:tab w:val="right" w:leader="dot" w:pos="7371"/>
          <w:tab w:val="center" w:pos="8039"/>
          <w:tab w:val="center" w:pos="9122"/>
        </w:tabs>
        <w:suppressAutoHyphens/>
        <w:spacing w:line="288" w:lineRule="auto"/>
      </w:pPr>
      <w:r>
        <w:tab/>
      </w:r>
      <w:r>
        <w:tab/>
        <w:t xml:space="preserve">и дружбы между нациями </w:t>
      </w:r>
      <w:r>
        <w:tab/>
      </w:r>
      <w:r>
        <w:tab/>
        <w:t>145 - 146</w:t>
      </w:r>
      <w:r>
        <w:tab/>
        <w:t>41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jc w:val="center"/>
        <w:rPr>
          <w:u w:val="single"/>
        </w:rPr>
      </w:pPr>
      <w:r>
        <w:rPr>
          <w:u w:val="single"/>
        </w:rPr>
        <w:br w:type="page"/>
        <w:t>Введение</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1.</w:t>
      </w:r>
      <w:r>
        <w:tab/>
        <w:t>В соответствии со статьей 9 Международной конвенции о ликвидации всех форм расовой дискриминации, участником которой он является с 14 февраля 1972 года, Алжир на пятьдесят первой сессии Комитета по ликвидации расовой дискриминации 4 и 5 августа 1997 года представил в одном документе (</w:t>
      </w:r>
      <w:r>
        <w:rPr>
          <w:lang w:val="en-US"/>
        </w:rPr>
        <w:t>CERD/C/280/Add.3</w:t>
      </w:r>
      <w:r>
        <w:t>) свои одиннадцатый и двенадцатый доклады.  В этой связи делегация Алжира изложила программу политических и экономических реформ, начатую после принятия 23 февраля 1989 года Конституции в целях создания новых институтов на основе политического плюрализма, разделения властей, независимости судебной власти, свободы выражения своего мнения и убеждений и перехода к рыночной экономике.  Делегация Алжира подчеркнула также, что в международном плане правительство Алжира намерено активно продолжать процесс присоединения к различным международно-правовым актам в области прав человека.</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2.</w:t>
      </w:r>
      <w:r>
        <w:tab/>
        <w:t>После представления этого доклада органы государственной власти Алжира не прекращали усилий по укреплению правового государства, упрочению позиций демократии и плюрализма, а также поощрения и защиты прав человека, несмотря на трудности, связанные с преступной деятельностью террористов.  Так, например, благодаря внесению 28 ноября 1996 года изменений в Конституцию были созданы новые институты.  Кроме того, были укреплены уже имевшиеся механизмы поощрения прав человека и приведены в соответствие с новыми реальностями отдельные положения экономического, социального и культурного законодательства.  И наконец, благодаря все более благоприятным условиям существенно активизировалось движение в поддержку создания массовых объединений граждан.</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r>
        <w:t>3.</w:t>
      </w:r>
      <w:r>
        <w:tab/>
        <w:t>В соответствии с руководящими принципами Комитета по ликвидации расовой дискриминации настоящий сводный периодический доклад подразделяется на две части.  В первой части, озаглавленной "Общие сведения", содержится описание общей политической структуры страны и приводятся данные о том, какое значение придается борьбе с расовой дискриминацией в рамках защиты прав человека.  Вторая часть включает информацию по конкретным положениям конвенции.</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uppressAutoHyphens/>
        <w:spacing w:line="288" w:lineRule="auto"/>
      </w:pPr>
    </w:p>
    <w:p w:rsidR="00000000" w:rsidRDefault="00000000">
      <w:pPr>
        <w:jc w:val="center"/>
        <w:rPr>
          <w:b/>
          <w:bCs/>
        </w:rPr>
      </w:pPr>
      <w:r>
        <w:br w:type="page"/>
      </w:r>
      <w:r>
        <w:rPr>
          <w:b/>
          <w:bCs/>
        </w:rPr>
        <w:t>Часть первая</w:t>
      </w:r>
    </w:p>
    <w:p w:rsidR="00000000" w:rsidRDefault="00000000">
      <w:pPr>
        <w:pStyle w:val="10"/>
        <w:rPr>
          <w:bCs/>
        </w:rPr>
      </w:pPr>
    </w:p>
    <w:p w:rsidR="00000000" w:rsidRDefault="00000000">
      <w:pPr>
        <w:pStyle w:val="13"/>
        <w:rPr>
          <w:b w:val="0"/>
          <w:i w:val="0"/>
        </w:rPr>
      </w:pPr>
      <w:r>
        <w:rPr>
          <w:bCs/>
          <w:iCs/>
        </w:rPr>
        <w:t>Общие сведения</w:t>
      </w:r>
    </w:p>
    <w:p w:rsidR="00000000" w:rsidRDefault="00000000">
      <w:pPr>
        <w:pStyle w:val="13"/>
        <w:rPr>
          <w:b w:val="0"/>
          <w:i w:val="0"/>
        </w:rPr>
      </w:pPr>
    </w:p>
    <w:p w:rsidR="00000000" w:rsidRDefault="00000000">
      <w:pPr>
        <w:pStyle w:val="13"/>
        <w:jc w:val="left"/>
        <w:rPr>
          <w:b w:val="0"/>
          <w:i w:val="0"/>
        </w:rPr>
      </w:pPr>
      <w:r>
        <w:rPr>
          <w:b w:val="0"/>
          <w:i w:val="0"/>
        </w:rPr>
        <w:t>4.</w:t>
      </w:r>
      <w:r>
        <w:rPr>
          <w:b w:val="0"/>
          <w:i w:val="0"/>
        </w:rPr>
        <w:tab/>
        <w:t>С момента обретения Алжиром независимости в 1962 году страна ведет активную работу по строительству социального государства, основанного на широком участии народных масс и на уважении прав человека и основных свобод.  Универсально признанные принципы в этой области неизменно находили отражение в различных конституциях независимого Алжира.  Но только с поворотом страны к многопартийности в 1989 году в Алжире набрал силу активный процесс присоединения к международно-правовым актам по правам человека.  С тех пор Алжир представляет свои доклады в соответствии с принятыми им международными обязательствами и поддерживает и развивает широкое сотрудничество со всеми международными механизмами поощрения и защиты прав человека.</w:t>
      </w:r>
    </w:p>
    <w:p w:rsidR="00000000" w:rsidRDefault="00000000">
      <w:pPr>
        <w:pStyle w:val="13"/>
        <w:jc w:val="left"/>
        <w:rPr>
          <w:b w:val="0"/>
          <w:i w:val="0"/>
        </w:rPr>
      </w:pPr>
    </w:p>
    <w:p w:rsidR="00000000" w:rsidRDefault="00000000">
      <w:pPr>
        <w:pStyle w:val="13"/>
        <w:rPr>
          <w:b w:val="0"/>
          <w:i w:val="0"/>
        </w:rPr>
      </w:pPr>
      <w:r>
        <w:rPr>
          <w:b w:val="0"/>
          <w:i w:val="0"/>
        </w:rPr>
        <w:t>I.</w:t>
      </w:r>
      <w:r>
        <w:rPr>
          <w:b w:val="0"/>
          <w:i w:val="0"/>
        </w:rPr>
        <w:tab/>
        <w:t>ОБЩАЯ ПОЛИТИЧЕСКАЯ СТРУКТУРА</w:t>
      </w:r>
    </w:p>
    <w:p w:rsidR="00000000" w:rsidRDefault="00000000">
      <w:pPr>
        <w:pStyle w:val="13"/>
        <w:rPr>
          <w:b w:val="0"/>
          <w:i w:val="0"/>
        </w:rPr>
      </w:pPr>
    </w:p>
    <w:p w:rsidR="00000000" w:rsidRDefault="00000000">
      <w:pPr>
        <w:pStyle w:val="13"/>
        <w:jc w:val="left"/>
        <w:rPr>
          <w:b w:val="0"/>
          <w:i w:val="0"/>
        </w:rPr>
      </w:pPr>
      <w:r>
        <w:rPr>
          <w:b w:val="0"/>
          <w:i w:val="0"/>
        </w:rPr>
        <w:t>5.</w:t>
      </w:r>
      <w:r>
        <w:rPr>
          <w:b w:val="0"/>
          <w:i w:val="0"/>
        </w:rPr>
        <w:tab/>
        <w:t>На заре своей независимости Алжир столкнулся с многочисленными проблемами:  возвращением беженцев, необходимостью оказания социальной и моральной поддержки правопреемникам жертв национально-освободительной войны, обеспечения национального возрождения во всех его аспектах и создания государственных структур.  Решение всех этих возникших перед молодой страной проблем было невозможно без концептуальной разработки и практического создания необходимых институтов и обеспечения, с учетом остроты момента, контроля за эффективностью их деятельности.  Такая работа по восстановлению страны позволила государству, в частности, обеспечить всеобщее обязательное школьное образование, бесплатное медицинское обслуживание и реализацию политики всеобщей занятости.</w:t>
      </w:r>
    </w:p>
    <w:p w:rsidR="00000000" w:rsidRDefault="00000000">
      <w:pPr>
        <w:pStyle w:val="13"/>
        <w:jc w:val="left"/>
        <w:rPr>
          <w:b w:val="0"/>
          <w:i w:val="0"/>
        </w:rPr>
      </w:pPr>
    </w:p>
    <w:p w:rsidR="00000000" w:rsidRDefault="00000000">
      <w:pPr>
        <w:pStyle w:val="13"/>
        <w:jc w:val="left"/>
        <w:rPr>
          <w:b w:val="0"/>
          <w:i w:val="0"/>
        </w:rPr>
      </w:pPr>
      <w:r>
        <w:rPr>
          <w:b w:val="0"/>
          <w:i w:val="0"/>
        </w:rPr>
        <w:t>6.</w:t>
      </w:r>
      <w:r>
        <w:rPr>
          <w:b w:val="0"/>
          <w:i w:val="0"/>
        </w:rPr>
        <w:tab/>
        <w:t>Однако имевшие место на международном уровне политические и экономические потрясения в сочетании с возникшими внутри страны трудностями поставили перед Алжиром начиная с 1988 года двойную задачу:  завершить качественно новый этап адаптации его политических институтов и переориентировать его экономические приоритеты.</w:t>
      </w:r>
    </w:p>
    <w:p w:rsidR="00000000" w:rsidRDefault="00000000">
      <w:pPr>
        <w:pStyle w:val="13"/>
        <w:jc w:val="left"/>
        <w:rPr>
          <w:b w:val="0"/>
          <w:i w:val="0"/>
        </w:rPr>
      </w:pPr>
    </w:p>
    <w:p w:rsidR="00000000" w:rsidRDefault="00000000">
      <w:pPr>
        <w:pStyle w:val="13"/>
        <w:jc w:val="left"/>
        <w:rPr>
          <w:b w:val="0"/>
          <w:i w:val="0"/>
        </w:rPr>
      </w:pPr>
      <w:r>
        <w:rPr>
          <w:b w:val="0"/>
          <w:i w:val="0"/>
        </w:rPr>
        <w:t>7.</w:t>
      </w:r>
      <w:r>
        <w:rPr>
          <w:b w:val="0"/>
          <w:i w:val="0"/>
        </w:rPr>
        <w:tab/>
        <w:t>Как и во всех других странах, такой процесс не мог развиваться бесконфликтно.  На пути построения современного государства, демократического по своим функциям и транспарентного в вопросах управления, не могли не возникнуть внутренние препятствия, связанные со сложившейся культурой однопартийной системы, а также экономическими и социальными проблемами.</w:t>
      </w:r>
    </w:p>
    <w:p w:rsidR="00000000" w:rsidRDefault="00000000">
      <w:pPr>
        <w:pStyle w:val="13"/>
        <w:jc w:val="left"/>
        <w:rPr>
          <w:b w:val="0"/>
          <w:i w:val="0"/>
        </w:rPr>
      </w:pPr>
    </w:p>
    <w:p w:rsidR="00000000" w:rsidRDefault="00000000">
      <w:pPr>
        <w:pStyle w:val="13"/>
        <w:jc w:val="left"/>
        <w:rPr>
          <w:b w:val="0"/>
          <w:i w:val="0"/>
        </w:rPr>
      </w:pPr>
      <w:r>
        <w:rPr>
          <w:b w:val="0"/>
          <w:i w:val="0"/>
        </w:rPr>
        <w:t>8.</w:t>
      </w:r>
      <w:r>
        <w:rPr>
          <w:b w:val="0"/>
          <w:i w:val="0"/>
        </w:rPr>
        <w:tab/>
        <w:t>Результатом начатых с этого момента государственными властями политических реформ, после длительного процесса диалога и координации со всеми политическими партиями, готовыми считаться с Конституцией и законами Республики, стало создание государственных институтов, избираемых на основе всеобщего избирательного права.  В принятой 28 ноября 1996 года путем референдума пересмотренной Конституции, помимо всего прочего, нашли еще более прочное закрепление такие принципы, как уважение гражданских свобод, политический плюрализм, разделение властей и независимость судебной власти.</w:t>
      </w:r>
    </w:p>
    <w:p w:rsidR="00000000" w:rsidRDefault="00000000">
      <w:pPr>
        <w:pStyle w:val="13"/>
        <w:jc w:val="left"/>
        <w:rPr>
          <w:b w:val="0"/>
          <w:i w:val="0"/>
        </w:rPr>
      </w:pPr>
    </w:p>
    <w:p w:rsidR="00000000" w:rsidRDefault="00000000">
      <w:pPr>
        <w:pStyle w:val="13"/>
        <w:jc w:val="left"/>
        <w:rPr>
          <w:b w:val="0"/>
          <w:i w:val="0"/>
        </w:rPr>
      </w:pPr>
      <w:r>
        <w:rPr>
          <w:b w:val="0"/>
          <w:i w:val="0"/>
        </w:rPr>
        <w:t>9.</w:t>
      </w:r>
      <w:r>
        <w:rPr>
          <w:b w:val="0"/>
          <w:i w:val="0"/>
        </w:rPr>
        <w:tab/>
        <w:t>Первые основанные на началах плюрализма выборы Президента Республики состоялись 16 ноября 1995 года.  Вслед за этим в июне 1997 года прошли выборы в законодательные органы власти, а в октябре того же года - местные выборы.  После учреждения всех выборных представительных органов, предусмотренных в Конституции, 15 апреля 1999 года состоялись досрочные президентские выборы.  На них вели борьбу семь кандидатов, стоявших на разных программных позициях.  Этот выборный процесс был поставлен в рамки, которые гарантировали транспарентность его подготовки, хода и объявления результатов.  В соответствии с Конституцией одно и то же лицо не может занимать должность президента более двух сроков подряд.  Президент осуществляет высшую власть в пределах, устанавливаемых Конституцией, и назначает главу правительства, представляющего большинство в Национальном собрании.  Премьер-министр разрабатывает свою программу и представляет ее на утверждение Собрания.</w:t>
      </w:r>
    </w:p>
    <w:p w:rsidR="00000000" w:rsidRDefault="00000000">
      <w:pPr>
        <w:pStyle w:val="13"/>
        <w:jc w:val="left"/>
        <w:rPr>
          <w:b w:val="0"/>
          <w:i w:val="0"/>
        </w:rPr>
      </w:pPr>
    </w:p>
    <w:p w:rsidR="00000000" w:rsidRDefault="00000000">
      <w:pPr>
        <w:pStyle w:val="13"/>
        <w:jc w:val="left"/>
        <w:rPr>
          <w:b w:val="0"/>
          <w:i w:val="0"/>
        </w:rPr>
      </w:pPr>
      <w:r>
        <w:rPr>
          <w:b w:val="0"/>
          <w:i w:val="0"/>
        </w:rPr>
        <w:t>10.</w:t>
      </w:r>
      <w:r>
        <w:rPr>
          <w:b w:val="0"/>
          <w:i w:val="0"/>
        </w:rPr>
        <w:tab/>
        <w:t xml:space="preserve">Законодательная власть осуществляется парламентом, состоящим из двух палат:  Национального народного собрания и Совета нации.  Парламент контролирует деятельность правительства и принимает законы.  </w:t>
      </w:r>
    </w:p>
    <w:p w:rsidR="00000000" w:rsidRDefault="00000000">
      <w:pPr>
        <w:pStyle w:val="13"/>
        <w:jc w:val="left"/>
        <w:rPr>
          <w:b w:val="0"/>
          <w:i w:val="0"/>
        </w:rPr>
      </w:pPr>
    </w:p>
    <w:p w:rsidR="00000000" w:rsidRDefault="00000000">
      <w:pPr>
        <w:pStyle w:val="13"/>
        <w:jc w:val="left"/>
        <w:rPr>
          <w:b w:val="0"/>
          <w:i w:val="0"/>
        </w:rPr>
      </w:pPr>
      <w:r>
        <w:rPr>
          <w:b w:val="0"/>
          <w:i w:val="0"/>
        </w:rPr>
        <w:t>11.</w:t>
      </w:r>
      <w:r>
        <w:rPr>
          <w:b w:val="0"/>
          <w:i w:val="0"/>
        </w:rPr>
        <w:tab/>
        <w:t>Независимость судебной власти закреплена в статье 138 Конституции.</w:t>
      </w:r>
    </w:p>
    <w:p w:rsidR="00000000" w:rsidRDefault="00000000">
      <w:pPr>
        <w:pStyle w:val="13"/>
        <w:jc w:val="left"/>
        <w:rPr>
          <w:b w:val="0"/>
          <w:i w:val="0"/>
        </w:rPr>
      </w:pPr>
    </w:p>
    <w:p w:rsidR="00000000" w:rsidRDefault="00000000">
      <w:pPr>
        <w:pStyle w:val="13"/>
        <w:rPr>
          <w:b w:val="0"/>
          <w:i w:val="0"/>
        </w:rPr>
      </w:pPr>
      <w:r>
        <w:rPr>
          <w:b w:val="0"/>
          <w:i w:val="0"/>
        </w:rPr>
        <w:t>II.</w:t>
      </w:r>
      <w:r>
        <w:rPr>
          <w:b w:val="0"/>
          <w:i w:val="0"/>
        </w:rPr>
        <w:tab/>
        <w:t>ОБЩЕПРАВОВАЯ ОСНОВА ЗАЩИТЫ ПРАВ ЧЕЛОВЕКА</w:t>
      </w:r>
    </w:p>
    <w:p w:rsidR="00000000" w:rsidRDefault="00000000">
      <w:pPr>
        <w:pStyle w:val="13"/>
        <w:rPr>
          <w:b w:val="0"/>
          <w:i w:val="0"/>
        </w:rPr>
      </w:pPr>
    </w:p>
    <w:p w:rsidR="00000000" w:rsidRDefault="00000000">
      <w:pPr>
        <w:pStyle w:val="13"/>
        <w:rPr>
          <w:b w:val="0"/>
          <w:i w:val="0"/>
        </w:rPr>
      </w:pPr>
      <w:r>
        <w:rPr>
          <w:b w:val="0"/>
          <w:i w:val="0"/>
        </w:rPr>
        <w:t>А.</w:t>
      </w:r>
      <w:r>
        <w:rPr>
          <w:b w:val="0"/>
          <w:i w:val="0"/>
        </w:rPr>
        <w:tab/>
      </w:r>
      <w:r>
        <w:rPr>
          <w:b w:val="0"/>
          <w:i w:val="0"/>
          <w:u w:val="single"/>
        </w:rPr>
        <w:t>Правозащитные механизмы</w:t>
      </w:r>
    </w:p>
    <w:p w:rsidR="00000000" w:rsidRDefault="00000000">
      <w:pPr>
        <w:pStyle w:val="13"/>
        <w:rPr>
          <w:b w:val="0"/>
          <w:i w:val="0"/>
        </w:rPr>
      </w:pPr>
    </w:p>
    <w:p w:rsidR="00000000" w:rsidRDefault="00000000">
      <w:pPr>
        <w:pStyle w:val="13"/>
        <w:jc w:val="left"/>
        <w:rPr>
          <w:b w:val="0"/>
          <w:i w:val="0"/>
        </w:rPr>
      </w:pPr>
      <w:r>
        <w:rPr>
          <w:b w:val="0"/>
          <w:i w:val="0"/>
        </w:rPr>
        <w:t>12.</w:t>
      </w:r>
      <w:r>
        <w:rPr>
          <w:b w:val="0"/>
          <w:i w:val="0"/>
        </w:rPr>
        <w:tab/>
        <w:t>Сегодня в Алжире уже создана основная часть механизмов наблюдения за осуществлением прав человека.  Эти механизмы обеспечивают защиту индивидуальных, гражданских и политических прав, а также коллективных, экономических, социальных и культурных прав.  Все действующие на взаимодополняющей основе механизмы можно разделить на четыре большие категории.</w:t>
      </w:r>
    </w:p>
    <w:p w:rsidR="00000000" w:rsidRDefault="00000000">
      <w:pPr>
        <w:pStyle w:val="13"/>
        <w:jc w:val="left"/>
        <w:rPr>
          <w:b w:val="0"/>
          <w:i w:val="0"/>
        </w:rPr>
      </w:pPr>
    </w:p>
    <w:p w:rsidR="00000000" w:rsidRDefault="00000000">
      <w:pPr>
        <w:pStyle w:val="13"/>
        <w:rPr>
          <w:b w:val="0"/>
          <w:i w:val="0"/>
        </w:rPr>
      </w:pPr>
      <w:r>
        <w:rPr>
          <w:b w:val="0"/>
          <w:i w:val="0"/>
        </w:rPr>
        <w:t>1.</w:t>
      </w:r>
      <w:r>
        <w:rPr>
          <w:b w:val="0"/>
          <w:i w:val="0"/>
        </w:rPr>
        <w:tab/>
      </w:r>
      <w:r>
        <w:rPr>
          <w:b w:val="0"/>
          <w:i w:val="0"/>
          <w:u w:val="single"/>
        </w:rPr>
        <w:t>Политические механизмы</w:t>
      </w:r>
    </w:p>
    <w:p w:rsidR="00000000" w:rsidRDefault="00000000">
      <w:pPr>
        <w:pStyle w:val="13"/>
        <w:rPr>
          <w:b w:val="0"/>
          <w:i w:val="0"/>
        </w:rPr>
      </w:pPr>
    </w:p>
    <w:p w:rsidR="00000000" w:rsidRDefault="00000000">
      <w:pPr>
        <w:pStyle w:val="13"/>
        <w:jc w:val="left"/>
        <w:rPr>
          <w:b w:val="0"/>
          <w:i w:val="0"/>
        </w:rPr>
      </w:pPr>
      <w:r>
        <w:rPr>
          <w:b w:val="0"/>
          <w:i w:val="0"/>
        </w:rPr>
        <w:t>13.</w:t>
      </w:r>
      <w:r>
        <w:rPr>
          <w:b w:val="0"/>
          <w:i w:val="0"/>
        </w:rPr>
        <w:tab/>
        <w:t>Функционирование этих механизмов связано с деятельностью парламента, который через две свои палаты выполняет роль проводника чаяний и устремлений граждан страны.  Внутри этого органа, который воплощает демократические основы государства, вопросы, касающиеся различных аспектов прав человека, занимают важное место в работе постоянных комиссий, учрежденных с этой целью в его обеих палатах.  Эти парламентские комиссии являются, таким образом, настоящим форумом, призванным защищать права человека.</w:t>
      </w:r>
    </w:p>
    <w:p w:rsidR="00000000" w:rsidRDefault="00000000">
      <w:pPr>
        <w:pStyle w:val="13"/>
        <w:jc w:val="left"/>
        <w:rPr>
          <w:b w:val="0"/>
          <w:i w:val="0"/>
        </w:rPr>
      </w:pPr>
    </w:p>
    <w:p w:rsidR="00000000" w:rsidRDefault="00000000">
      <w:pPr>
        <w:pStyle w:val="13"/>
        <w:jc w:val="left"/>
        <w:rPr>
          <w:b w:val="0"/>
          <w:i w:val="0"/>
        </w:rPr>
      </w:pPr>
      <w:r>
        <w:rPr>
          <w:b w:val="0"/>
          <w:i w:val="0"/>
        </w:rPr>
        <w:t>14.</w:t>
      </w:r>
      <w:r>
        <w:rPr>
          <w:b w:val="0"/>
          <w:i w:val="0"/>
        </w:rPr>
        <w:tab/>
        <w:t>В соответствии с законом политические партии также считаются неотъемлемым элементом общей системы механизмов поощрения прав человека.  В принятом 8 июля 1989 года Законе о политических партиях с изменениями, внесенными в марте 1997 года, предписывается, чтобы уставы и программы партий конкретно называли среди преследуемых ими целей гарантию прав человека и основных свобод.  Статья 3 этого закона гласит:</w:t>
      </w:r>
    </w:p>
    <w:p w:rsidR="00000000" w:rsidRDefault="00000000">
      <w:pPr>
        <w:pStyle w:val="13"/>
        <w:jc w:val="left"/>
        <w:rPr>
          <w:b w:val="0"/>
          <w:i w:val="0"/>
        </w:rPr>
      </w:pPr>
    </w:p>
    <w:p w:rsidR="00000000" w:rsidRDefault="00000000">
      <w:pPr>
        <w:pStyle w:val="13"/>
        <w:ind w:left="567" w:hanging="567"/>
        <w:jc w:val="left"/>
        <w:rPr>
          <w:b w:val="0"/>
          <w:i w:val="0"/>
        </w:rPr>
      </w:pPr>
      <w:r>
        <w:rPr>
          <w:b w:val="0"/>
          <w:i w:val="0"/>
        </w:rPr>
        <w:tab/>
        <w:t>"Во всей своей деятельности политическая партия обязана действовать в соответствии со следующими принципами и целями:</w:t>
      </w:r>
    </w:p>
    <w:p w:rsidR="00000000" w:rsidRDefault="00000000">
      <w:pPr>
        <w:rPr>
          <w:lang w:val="en-US"/>
        </w:rPr>
      </w:pPr>
    </w:p>
    <w:p w:rsidR="00000000" w:rsidRDefault="00000000">
      <w:pPr>
        <w:ind w:left="1701" w:hanging="1701"/>
      </w:pPr>
      <w:r>
        <w:tab/>
        <w:t>-</w:t>
      </w:r>
      <w:r>
        <w:tab/>
        <w:t>уважение индивидуальных и коллективных свобод и уважение прав человека;</w:t>
      </w:r>
    </w:p>
    <w:p w:rsidR="00000000" w:rsidRDefault="00000000">
      <w:pPr>
        <w:ind w:left="1701" w:hanging="1701"/>
      </w:pPr>
    </w:p>
    <w:p w:rsidR="00000000" w:rsidRDefault="00000000">
      <w:pPr>
        <w:ind w:left="1701" w:hanging="1701"/>
      </w:pPr>
      <w:r>
        <w:tab/>
        <w:t>-</w:t>
      </w:r>
      <w:r>
        <w:tab/>
        <w:t>приверженность демократии при уважении национальных ценностей;</w:t>
      </w:r>
    </w:p>
    <w:p w:rsidR="00000000" w:rsidRDefault="00000000">
      <w:pPr>
        <w:ind w:left="1701" w:hanging="1701"/>
      </w:pPr>
    </w:p>
    <w:p w:rsidR="00000000" w:rsidRDefault="00000000">
      <w:pPr>
        <w:ind w:left="1701" w:hanging="1701"/>
      </w:pPr>
      <w:r>
        <w:tab/>
        <w:t>-</w:t>
      </w:r>
      <w:r>
        <w:tab/>
        <w:t>приверженность политическому плюрализму;</w:t>
      </w:r>
    </w:p>
    <w:p w:rsidR="00000000" w:rsidRDefault="00000000">
      <w:pPr>
        <w:ind w:left="1701" w:hanging="1701"/>
      </w:pPr>
    </w:p>
    <w:p w:rsidR="00000000" w:rsidRDefault="00000000">
      <w:pPr>
        <w:ind w:left="1701" w:hanging="1701"/>
      </w:pPr>
      <w:r>
        <w:tab/>
        <w:t>-</w:t>
      </w:r>
      <w:r>
        <w:tab/>
        <w:t>уважение демократического и республиканского характера государства".</w:t>
      </w:r>
    </w:p>
    <w:p w:rsidR="00000000" w:rsidRDefault="00000000">
      <w:pPr>
        <w:ind w:left="1701" w:hanging="1701"/>
      </w:pPr>
    </w:p>
    <w:p w:rsidR="00000000" w:rsidRDefault="00000000">
      <w:pPr>
        <w:ind w:left="1701" w:hanging="1701"/>
        <w:jc w:val="center"/>
        <w:rPr>
          <w:u w:val="single"/>
        </w:rPr>
      </w:pPr>
      <w:r>
        <w:t>2.</w:t>
      </w:r>
      <w:r>
        <w:tab/>
      </w:r>
      <w:r>
        <w:rPr>
          <w:u w:val="single"/>
        </w:rPr>
        <w:t>Судебные механизмы</w:t>
      </w:r>
    </w:p>
    <w:p w:rsidR="00000000" w:rsidRDefault="00000000">
      <w:pPr>
        <w:ind w:left="1701" w:hanging="1701"/>
        <w:jc w:val="center"/>
      </w:pPr>
    </w:p>
    <w:p w:rsidR="00000000" w:rsidRDefault="00000000">
      <w:r>
        <w:t>15.</w:t>
      </w:r>
      <w:r>
        <w:tab/>
        <w:t>В алжирском государстве созданы судебные механизмы, призванные, во</w:t>
      </w:r>
      <w:r>
        <w:noBreakHyphen/>
        <w:t>первых, гарантировать права граждан и, во</w:t>
      </w:r>
      <w:r>
        <w:noBreakHyphen/>
        <w:t xml:space="preserve">вторых, обеспечивать независимость принятия решений судебными органами.  С этой целью в Алжире предусмотрена следующая структура судов, основанная на принципе "близости органов правосудия к гражданам":  а)  районный суд на уровне дайры (супрефектуры),  </w:t>
      </w:r>
      <w:r>
        <w:rPr>
          <w:lang w:val="en-US"/>
        </w:rPr>
        <w:t>b</w:t>
      </w:r>
      <w:r>
        <w:t>)</w:t>
      </w:r>
      <w:r>
        <w:rPr>
          <w:lang w:val="en-US"/>
        </w:rPr>
        <w:t>  </w:t>
      </w:r>
      <w:r>
        <w:t xml:space="preserve">окружной суд на уровне вилайи (провинции) и </w:t>
      </w:r>
      <w:r>
        <w:rPr>
          <w:lang w:val="en-US"/>
        </w:rPr>
        <w:t xml:space="preserve"> c</w:t>
      </w:r>
      <w:r>
        <w:t>)</w:t>
      </w:r>
      <w:r>
        <w:rPr>
          <w:lang w:val="en-US"/>
        </w:rPr>
        <w:t>  </w:t>
      </w:r>
      <w:r>
        <w:t>Верховный суд на общенациональном уровне.</w:t>
      </w:r>
    </w:p>
    <w:p w:rsidR="00000000" w:rsidRDefault="00000000"/>
    <w:p w:rsidR="00000000" w:rsidRDefault="00000000">
      <w:r>
        <w:t>16.</w:t>
      </w:r>
      <w:r>
        <w:tab/>
        <w:t>Кроме того, в статье 152 Конституции предусматривается учреждение Государственного совета – созданного 17 июня 1998 года органа, регулирующего деятельность органов административной юстиции.  Он состоит из 44 членов.</w:t>
      </w:r>
    </w:p>
    <w:p w:rsidR="00000000" w:rsidRDefault="00000000"/>
    <w:p w:rsidR="00000000" w:rsidRDefault="00000000">
      <w:r>
        <w:t>17.</w:t>
      </w:r>
      <w:r>
        <w:tab/>
        <w:t>Наконец, парламентом принят Закон о суде по спорам о компетенции, на который возлагается урегулирование коллизионных конфликтов между Верховным судом и Государственным советом, как то предусмотрено в статье 152 Конституции.</w:t>
      </w:r>
    </w:p>
    <w:p w:rsidR="00000000" w:rsidRDefault="00000000"/>
    <w:p w:rsidR="00000000" w:rsidRDefault="00000000">
      <w:pPr>
        <w:jc w:val="center"/>
        <w:rPr>
          <w:u w:val="single"/>
        </w:rPr>
      </w:pPr>
      <w:r>
        <w:t>3.</w:t>
      </w:r>
      <w:r>
        <w:tab/>
      </w:r>
      <w:r>
        <w:rPr>
          <w:u w:val="single"/>
        </w:rPr>
        <w:t>Свобода печати</w:t>
      </w:r>
    </w:p>
    <w:p w:rsidR="00000000" w:rsidRDefault="00000000">
      <w:pPr>
        <w:jc w:val="center"/>
      </w:pPr>
    </w:p>
    <w:p w:rsidR="00000000" w:rsidRDefault="00000000">
      <w:r>
        <w:t>18.</w:t>
      </w:r>
      <w:r>
        <w:tab/>
        <w:t>Право свободно искать и распространять информацию и свобода печати являются, согласно закону, одним из важнейших механизмов соблюдения и защиты прав граждан.  Благодаря быстрому развитию средств массовой информации в Алжире печать стала подлинным инструментом коллективной защиты прав человека.  В настоящее время в стране насчитывается 25 ежедневных изданий, из которых восемь являются государственными, а 17 издаются частными компаниями или политическими организациями.  Их средний тираж составляет в целом около 1 млн. экземпляров в день.  Что касается еженедельных изданий, то их общий средний тираж равняется 1,4 млн. экземпляров в неделю, выходящих под 43 названиями.  Наконец, имеется также 20 других периодических изданий, выходящих два раза в месяц или ежемесячно, тираж которых составляет 300 000 экземпляров в месяц.  Общее количество читателей оценивается в 9 млн. человек в неделю.</w:t>
      </w:r>
    </w:p>
    <w:p w:rsidR="00000000" w:rsidRDefault="00000000"/>
    <w:p w:rsidR="00000000" w:rsidRDefault="00000000">
      <w:r>
        <w:t>19.</w:t>
      </w:r>
      <w:r>
        <w:tab/>
        <w:t>По признанию самих международных организаций алжирская печать является одной из наиболее свободных из развивающихся стран.  Международная федерация журналистов, в исполком которой входит и Алжир, аккредитована в Алжире;  бюро этой Федерации по Северной Африке располагается в столице страны.</w:t>
      </w:r>
    </w:p>
    <w:p w:rsidR="00000000" w:rsidRDefault="00000000"/>
    <w:p w:rsidR="00000000" w:rsidRDefault="00000000">
      <w:pPr>
        <w:pStyle w:val="16"/>
        <w:rPr>
          <w:u w:val="single"/>
        </w:rPr>
      </w:pPr>
      <w:r>
        <w:t>4.</w:t>
      </w:r>
      <w:r>
        <w:tab/>
      </w:r>
      <w:r>
        <w:rPr>
          <w:u w:val="single"/>
        </w:rPr>
        <w:t>Общественные и профсоюзные механизмы</w:t>
      </w:r>
    </w:p>
    <w:p w:rsidR="00000000" w:rsidRDefault="00000000">
      <w:pPr>
        <w:pStyle w:val="16"/>
      </w:pPr>
    </w:p>
    <w:p w:rsidR="00000000" w:rsidRDefault="00000000">
      <w:pPr>
        <w:pStyle w:val="16"/>
        <w:jc w:val="left"/>
      </w:pPr>
      <w:r>
        <w:t>20.</w:t>
      </w:r>
      <w:r>
        <w:tab/>
        <w:t>После 1988 года существенно расширились масштабы массового общественного движения.  В настоящее время насчитывается около 50 000 общественных ассоциаций, активно действующих в различных областях.  В Конституции Алжира свободе образования общественных правозащитных организаций отведено важное место.  В статье 32 Конституции гарантируется индивидуальная и коллективная защита этих прав, а в статье 41 называются конкретные права, пользующиеся защитой Конституции:  свобода выражения своих убеждений, право на объединение и свобода собраний.  Свобода ассоциации распространяется, разумеется, и на политическую область, но она также находит свое выражение и в защите некоторых категорий конкретных прав, таких, как права женщин, права ребенка, права больных и инвалидов, права потребителей и пользователей общественными службами.  Государство поддерживает деятельность общественных организаций путем выделения им субсидий и предоставления возможностей и средств для осуществления их деятельности.</w:t>
      </w:r>
    </w:p>
    <w:p w:rsidR="00000000" w:rsidRDefault="00000000">
      <w:pPr>
        <w:pStyle w:val="16"/>
        <w:jc w:val="left"/>
      </w:pPr>
    </w:p>
    <w:p w:rsidR="00000000" w:rsidRDefault="00000000">
      <w:pPr>
        <w:pStyle w:val="16"/>
        <w:jc w:val="left"/>
      </w:pPr>
      <w:r>
        <w:t>21.</w:t>
      </w:r>
      <w:r>
        <w:tab/>
        <w:t>Большинство общественных организаций имеют сегодня устав, собственность и программу деятельности, что позволяет им интегрироваться в международные ассоциации.  Особенно активно действуют общественные организации, занимающиеся поощрением прав женщин, права на образование или борьбой с неграмотностью.</w:t>
      </w:r>
    </w:p>
    <w:p w:rsidR="00000000" w:rsidRDefault="00000000">
      <w:pPr>
        <w:pStyle w:val="16"/>
        <w:jc w:val="left"/>
      </w:pPr>
    </w:p>
    <w:p w:rsidR="00000000" w:rsidRDefault="00000000">
      <w:pPr>
        <w:pStyle w:val="16"/>
        <w:jc w:val="left"/>
      </w:pPr>
      <w:r>
        <w:t>22.</w:t>
      </w:r>
      <w:r>
        <w:tab/>
        <w:t>Свобода профсоюзной деятельности была подтверждена в Конституции, и ее соблюдение регулируется законом от 21 декабря 1991 года.  Более подробная информация в этом отношении содержится в части второй настоящего доклада (см. материалы к статье 5;  подраздел 14, пункты 96</w:t>
      </w:r>
      <w:r>
        <w:noBreakHyphen/>
        <w:t>98).</w:t>
      </w:r>
    </w:p>
    <w:p w:rsidR="00000000" w:rsidRDefault="00000000">
      <w:pPr>
        <w:pStyle w:val="16"/>
        <w:jc w:val="left"/>
      </w:pPr>
    </w:p>
    <w:p w:rsidR="00000000" w:rsidRDefault="00000000">
      <w:pPr>
        <w:pStyle w:val="16"/>
        <w:rPr>
          <w:u w:val="single"/>
        </w:rPr>
      </w:pPr>
      <w:r>
        <w:t>5.</w:t>
      </w:r>
      <w:r>
        <w:tab/>
      </w:r>
      <w:r>
        <w:rPr>
          <w:u w:val="single"/>
        </w:rPr>
        <w:t>Иные механизмы защиты и поощрения прав человека</w:t>
      </w:r>
    </w:p>
    <w:p w:rsidR="00000000" w:rsidRDefault="00000000">
      <w:pPr>
        <w:pStyle w:val="16"/>
      </w:pPr>
    </w:p>
    <w:p w:rsidR="00000000" w:rsidRDefault="00000000">
      <w:pPr>
        <w:pStyle w:val="16"/>
        <w:jc w:val="left"/>
      </w:pPr>
      <w:r>
        <w:t>23.</w:t>
      </w:r>
      <w:r>
        <w:tab/>
        <w:t>Благодаря переходу к политическому плюрализму и присоединению к международным договорам в области прав человека правительство Алжира приняло решение учредить национальный орган наблюдения за осуществлением прав человека, который был создан по указу президента № 92-72 от 22 февраля 1992 года.  Организация, действующая на паритетных началах (в ее составе как избранные, так и назначенные члены), подотчетная Президенту Республики, пользующаяся административной и финансовой автономией и не подлежащая контролю со стороны министерств </w:t>
      </w:r>
      <w:r>
        <w:noBreakHyphen/>
        <w:t xml:space="preserve"> Алжирский национальный комитет по наблюдению за осуществлением прав человека, - является наблюдательным и контролирующим органом в правозащитной сфере.  На него возложена функция консультирования органов государственной власти по вопросам, касающимся прав человека.  Хотя он является лишь консультативным органом, порученный ему мандат представляется весьма широким, поскольку ему надлежит:</w:t>
      </w:r>
    </w:p>
    <w:p w:rsidR="00000000" w:rsidRDefault="00000000"/>
    <w:p w:rsidR="00000000" w:rsidRDefault="00000000">
      <w:r>
        <w:tab/>
        <w:t>а)</w:t>
      </w:r>
      <w:r>
        <w:tab/>
        <w:t>поощрять права человека в соответствии с принципами Всеобщей декларации прав человека;</w:t>
      </w:r>
    </w:p>
    <w:p w:rsidR="00000000" w:rsidRDefault="00000000"/>
    <w:p w:rsidR="00000000" w:rsidRDefault="00000000">
      <w:r>
        <w:tab/>
      </w:r>
      <w:r>
        <w:rPr>
          <w:lang w:val="en-US"/>
        </w:rPr>
        <w:t>b</w:t>
      </w:r>
      <w:r>
        <w:t>)</w:t>
      </w:r>
      <w:r>
        <w:tab/>
        <w:t>наблюдать за реализацией на практике положений в области прав человека, содержащихся в ратифицированных Алжиром международных конвенциях, а также положений Конституции, законов и иных нормативных актов;</w:t>
      </w:r>
    </w:p>
    <w:p w:rsidR="00000000" w:rsidRDefault="00000000"/>
    <w:p w:rsidR="00000000" w:rsidRDefault="00000000">
      <w:r>
        <w:tab/>
        <w:t>с)</w:t>
      </w:r>
      <w:r>
        <w:tab/>
        <w:t>предпринимать все необходимые действия в случае установления фактов нарушения прав человека или в тех случаях, когда ему становится известно о таких нарушениях;</w:t>
      </w:r>
    </w:p>
    <w:p w:rsidR="00000000" w:rsidRDefault="00000000"/>
    <w:p w:rsidR="00000000" w:rsidRDefault="00000000">
      <w:r>
        <w:tab/>
      </w:r>
      <w:r>
        <w:rPr>
          <w:lang w:val="en-US"/>
        </w:rPr>
        <w:t>d</w:t>
      </w:r>
      <w:r>
        <w:t>)</w:t>
      </w:r>
      <w:r>
        <w:tab/>
        <w:t>составлять ежегодно итоговый доклад о состоянии дел с соблюдением прав человека в стране и представлять его Президенту Республики.</w:t>
      </w:r>
    </w:p>
    <w:p w:rsidR="00000000" w:rsidRDefault="00000000"/>
    <w:p w:rsidR="00000000" w:rsidRDefault="00000000">
      <w:r>
        <w:t>24.</w:t>
      </w:r>
      <w:r>
        <w:tab/>
        <w:t>Алжирский национальный комитет осуществляет деятельность по более широкому ознакомлению общественности и пропаганде принципов прав человека, закрепленных в национальном законодательстве и международных правовых актах.  В этой связи он публикует ежеквартальный обзор состояния дел в области прав человека, обзор сообщений печати и внутренний информационный бюллетень, имеющий отношение к его деятельности.  Вместе с тем на практике этот национальный комитет, в функции которого изначально входило "консультирование органов государственной власти" по вопросам прав человека, все чаще выступает в качестве посредника между государством и гражданами, с тем чтобы конфликты не перерастали систематически в судебные иски.</w:t>
      </w:r>
    </w:p>
    <w:p w:rsidR="00000000" w:rsidRDefault="00000000"/>
    <w:p w:rsidR="00000000" w:rsidRDefault="00000000">
      <w:r>
        <w:t>25.</w:t>
      </w:r>
      <w:r>
        <w:tab/>
        <w:t>Среди органов, обеспечивающих взаимодействие государственной власти и гражданского общества, следует также отметить Совет по улучшению положения женщин и Совет по защите детей.</w:t>
      </w:r>
    </w:p>
    <w:p w:rsidR="00000000" w:rsidRDefault="00000000"/>
    <w:p w:rsidR="00000000" w:rsidRDefault="00000000">
      <w:pPr>
        <w:jc w:val="center"/>
        <w:rPr>
          <w:u w:val="single"/>
        </w:rPr>
      </w:pPr>
      <w:r>
        <w:t>В.</w:t>
      </w:r>
      <w:r>
        <w:tab/>
      </w:r>
      <w:r>
        <w:rPr>
          <w:u w:val="single"/>
        </w:rPr>
        <w:t>Международные договоры и внутригосударственное право</w:t>
      </w:r>
    </w:p>
    <w:p w:rsidR="00000000" w:rsidRDefault="00000000"/>
    <w:p w:rsidR="00000000" w:rsidRDefault="00000000">
      <w:r>
        <w:t>26.</w:t>
      </w:r>
      <w:r>
        <w:tab/>
        <w:t>Международные обязательства Алжира имеют приоритет по отношению к внутригосударственным законам.  Так, в решении от 20 августа 1989 года Конституционный совет подтвердил конституционный принцип, согласно которому ратифицированные международные договоры имеют преимущественную силу перед нормами внутригосударственных законов.  В этом решении буквально говорится, "что после ратификации и с момента опубликования любая конвенция инкорпорируется во внутреннее право и в соответствии со статьей 132 Конституции обладает приоритетом в отношении законов, давая любому алжирскому гражданину право ссылаться на ее положения в суде".  Таким образом, после исчерпания внутренних средств правовой защиты граждане имеют право в целях защиты своих прав прибегать к использованию механизмов, созданных Комитетом по правам человека или Комитетом против пыток.</w:t>
      </w:r>
    </w:p>
    <w:p w:rsidR="00000000" w:rsidRDefault="00000000"/>
    <w:p w:rsidR="00000000" w:rsidRDefault="00000000">
      <w:r>
        <w:t>27.</w:t>
      </w:r>
      <w:r>
        <w:tab/>
        <w:t>Алжирские власти, Алжирский национальный комитет по наблюдению за осуществлением прав человека, общественные объединения, а также средства массовой информации широко информируют общественность об этих возможностях обращения в международные структуры.  На практике алжирским гражданам и их адвокатам, по</w:t>
      </w:r>
      <w:r>
        <w:noBreakHyphen/>
        <w:t>видимому, оказывается достаточным использование многочисленных имеющихся внутренних средств правовой защиты (суды, Алжирский национальный комитет по наблюдению за осуществлением прав человека, общественные объединения).</w:t>
      </w:r>
    </w:p>
    <w:p w:rsidR="00000000" w:rsidRDefault="00000000"/>
    <w:p w:rsidR="00000000" w:rsidRDefault="00000000">
      <w:pPr>
        <w:jc w:val="center"/>
        <w:rPr>
          <w:u w:val="single"/>
        </w:rPr>
      </w:pPr>
      <w:r>
        <w:rPr>
          <w:lang w:val="en-US"/>
        </w:rPr>
        <w:t>III</w:t>
      </w:r>
      <w:r>
        <w:t>.</w:t>
      </w:r>
      <w:r>
        <w:tab/>
        <w:t>И</w:t>
      </w:r>
      <w:r>
        <w:rPr>
          <w:caps/>
        </w:rPr>
        <w:t>нформирование и пропаганда</w:t>
      </w:r>
    </w:p>
    <w:p w:rsidR="00000000" w:rsidRDefault="00000000">
      <w:pPr>
        <w:pStyle w:val="11"/>
        <w:tabs>
          <w:tab w:val="left" w:pos="567"/>
          <w:tab w:val="left" w:pos="1134"/>
          <w:tab w:val="left" w:pos="1701"/>
          <w:tab w:val="left" w:pos="2268"/>
          <w:tab w:val="left" w:pos="6237"/>
        </w:tabs>
      </w:pPr>
    </w:p>
    <w:p w:rsidR="00000000" w:rsidRDefault="00000000">
      <w:r>
        <w:t>28.</w:t>
      </w:r>
      <w:r>
        <w:tab/>
        <w:t>Ратификация Алжиром международно-правовых актов о правах человека получила широкое освещение в национальных средствах массовой информации в момент представления этих актов на рассмотрение и утверждение Национального собрания.  Все ратифицированные документы были опубликованы в "Журналь офисьель де ла Репюблик Альжерьен".</w:t>
      </w:r>
    </w:p>
    <w:p w:rsidR="00000000" w:rsidRDefault="00000000"/>
    <w:p w:rsidR="00000000" w:rsidRDefault="00000000">
      <w:r>
        <w:t>29.</w:t>
      </w:r>
      <w:r>
        <w:tab/>
        <w:t>Наряду с регулярно организуемыми коллоквиумами и семинарами на соответствующую тему удобной возможностью для повышения уровня осведомленности алжирской общественности о различных международных договорах в области прав человека, ратифицированных Алжиром, становится отмечаемый ежегодно 10 декабря День прав человека.  Задаче подтверждения места и роли женщин и детей в обществе служат также и регулярно отмечаемые дни 8 марта и 1 июня.</w:t>
      </w:r>
    </w:p>
    <w:p w:rsidR="00000000" w:rsidRDefault="00000000"/>
    <w:p w:rsidR="00000000" w:rsidRDefault="00000000">
      <w:r>
        <w:t>30.</w:t>
      </w:r>
      <w:r>
        <w:tab/>
        <w:t>В высшей школе вновь введен преподававшийся на юридических факультетах курс  под названием "Общественные свободы" с обновленным содержанием, учитывающим международные события и присоединение Алжира к новым конвенциям.  В ряде университетов (например, в Оране, Тизи</w:t>
      </w:r>
      <w:r>
        <w:noBreakHyphen/>
        <w:t>Узу и Аннабе) уже ведется работа по разработке учебных курсов по конкретным категориям прав.  Права человека преподаются обучающимся в Национальном институте магистратуры, Высшей школе полиции и Национальной школе пенитенциарной администрации.</w:t>
      </w:r>
    </w:p>
    <w:p w:rsidR="00000000" w:rsidRDefault="00000000"/>
    <w:p w:rsidR="00000000" w:rsidRDefault="00000000">
      <w:r>
        <w:t>31.</w:t>
      </w:r>
      <w:r>
        <w:tab/>
        <w:t>В университете города Оран открыта кафедра ЮНЕСКО по правам человека.  Эта педагогическая структура имеет целью организацию и поощрение деятельности комплексной системы научных исследований, подготовки, информации и документации в области прав человека.  На кафедре идет, в частности, подготовительная работа для введения магистерского курса по "правам человека".  Регулярно организуются дни изучения прав человека и гуманитарного права и публикуются соответствующие работы.  Со своей стороны Алжирский национальный комитет по наблюдению за осуществлением прав человека ведет работу по популяризации принципов прав человека, закрепленных во внутригосударственном законодательстве, а также в ратифицированных Алжиром международных договорах.  Проводимая этим органом просветительская работа принимает, в частности, вид издания обзоров и организации и проведения семинаров, выставок и учебных дней при содействии массовых общественных движений.</w:t>
      </w:r>
    </w:p>
    <w:p w:rsidR="00000000" w:rsidRDefault="00000000">
      <w:pPr>
        <w:pStyle w:val="16"/>
      </w:pPr>
      <w:proofErr w:type="spellStart"/>
      <w:r>
        <w:t>IV</w:t>
      </w:r>
      <w:proofErr w:type="spellEnd"/>
      <w:r>
        <w:t>.</w:t>
      </w:r>
      <w:r>
        <w:tab/>
        <w:t>СТАТУС КОНВЕНЦИИ ВО ВНУТРИГОСУДАРСТВЕННОМ ПРАВЕ</w:t>
      </w:r>
    </w:p>
    <w:p w:rsidR="00000000" w:rsidRDefault="00000000">
      <w:pPr>
        <w:pStyle w:val="16"/>
      </w:pPr>
    </w:p>
    <w:p w:rsidR="00000000" w:rsidRDefault="00000000">
      <w:r>
        <w:t>32.</w:t>
      </w:r>
      <w:r>
        <w:tab/>
        <w:t>В соответствии со статьей 131 Конституции после утверждения обеими палатами парламента международно-правовые акты по правам человека, подлежат ратификации Президентом Республики.  Кроме того, статья 132 Конституции предусматривает, что "договоры, ратифицированные Президентом Республики в предусмотренном Конституцией порядке, имеют преимущественную силу над национальными законами".  Таким образом, положения ратифицированных международных договоров занимают в иерархии нормативных актов вторую позицию после Конституции перед национальным законодательством.  Сразу же после их ратификации международные договоры становятся частью национального законодательства и граждане могут ссылаться в судах на их положения.</w:t>
      </w:r>
    </w:p>
    <w:p w:rsidR="00000000" w:rsidRDefault="00000000"/>
    <w:p w:rsidR="00000000" w:rsidRDefault="00000000">
      <w:r>
        <w:t>33.</w:t>
      </w:r>
      <w:r>
        <w:tab/>
        <w:t>В своем заключении от 20 августа 1989 года, которое определяет судебную практику в этой области, Конституционный совет подтвердил конституционный принцип преимущественной силы должным образом ратифицированных международных договоров перед национальным законодательством, отметив, что любой гражданин вправе ссылаться в судах на положения этих договоров, поскольку "после ратификации и с момента ее опубликования любая конвенция инкорпорируется во внутригосударственное право и, в соответствии со статьей 123 Конституции, обладает приоритетом перед национальными законами, предоставляя любому алжирскому гражданину право ссылаться в судах на ее положения.  Это касается, в частности, Международных пактов Организации Объединенных Наций 1966 года, которые были одобрены Законом № 89-08 от 25 апреля 1989 года и к которым Алжир присоединился в соответствии с Указом Президента № 89</w:t>
      </w:r>
      <w:r>
        <w:noBreakHyphen/>
        <w:t>67 от 16 мая 1989 года, а также Африканской хартии прав человека и народов, ратифицированной Указом № 87-37 от 3 февраля 1987 года, т.е. международных договоров, официально запретивших все формы дискриминации" (цитата из упомянутого выше заключения).</w:t>
      </w:r>
    </w:p>
    <w:p w:rsidR="00000000" w:rsidRDefault="00000000"/>
    <w:p w:rsidR="00000000" w:rsidRDefault="00000000">
      <w:pPr>
        <w:pStyle w:val="16"/>
      </w:pPr>
      <w:r>
        <w:t>V.</w:t>
      </w:r>
      <w:r>
        <w:tab/>
        <w:t>ДЕМОГРАФИЧЕСКИЙ СОСТАВ НАСЕЛЕНИЯ</w:t>
      </w:r>
    </w:p>
    <w:p w:rsidR="00000000" w:rsidRDefault="00000000">
      <w:pPr>
        <w:pStyle w:val="16"/>
      </w:pPr>
    </w:p>
    <w:p w:rsidR="00000000" w:rsidRDefault="00000000">
      <w:r>
        <w:t>34.</w:t>
      </w:r>
      <w:r>
        <w:tab/>
        <w:t>В ходе рассмотрения одиннадцатого и двенадцатого периодических докладов Алжира Комитет высказал пожелание получить статистические данные о демографическом составе населения.  В этой связи следует напомнить о том, что законодательство Алжира запрещает проводить перепись населения на основе этнических, религиозных или языковых критериев.</w:t>
      </w:r>
    </w:p>
    <w:p w:rsidR="00000000" w:rsidRDefault="00000000"/>
    <w:p w:rsidR="00000000" w:rsidRDefault="00000000">
      <w:r>
        <w:t>35.</w:t>
      </w:r>
      <w:r>
        <w:tab/>
        <w:t>После достижения Алжиром независимости в 1962 году переписи населения более не проводятся на основе этнических, религиозных или языковых критериев.  Это находит свое объяснение в том историческом процессе, который вследствие последовательного процесса взаимопроникновения, ассимиляции и смешения различных компонентов экзогенного населения привел к образованию триединой нации, объединяющей берберов, арабов и мусульман.</w:t>
      </w:r>
    </w:p>
    <w:p w:rsidR="00000000" w:rsidRDefault="00000000"/>
    <w:p w:rsidR="00000000" w:rsidRDefault="00000000">
      <w:r>
        <w:t>36.</w:t>
      </w:r>
      <w:r>
        <w:tab/>
        <w:t>Все попытки колонизаторов отрицать существование алжирской нации наталкивались на сопротивление алжирского народа.  Еще в период правления Масиниссы, создателя первого нумидийского государства, и Югурты, возглавившего борьбу против оккупации римлян, начал формироваться тот национальный характер и стало созревать то представление об алжирской нации, которые будут затем все более утверждаться на протяжении всего исторического развития Алжира в течение более двух тысячелетий.</w:t>
      </w:r>
    </w:p>
    <w:p w:rsidR="00000000" w:rsidRDefault="00000000"/>
    <w:p w:rsidR="00000000" w:rsidRDefault="00000000">
      <w:r>
        <w:t>37.</w:t>
      </w:r>
      <w:r>
        <w:tab/>
        <w:t>Начиная с VII века ислам был важнейшим фактором.  Государства, которые возникали на территории Алжира начиная со средних веков - Ростомидов, эмира Абделькадера, династий Зиридов - Хаммадидов и Абдальвадидов - Зианидов, упрочили исторические завоевания центрального Магриба, опираясь на свои мусульманские ценности.  Эти эволюционные изменения стали, таким образом, тем горнилом, в котором тесно перемешались этнические компоненты, образовавшие в конечном итоге алжирскую нацию.</w:t>
      </w:r>
    </w:p>
    <w:p w:rsidR="00000000" w:rsidRDefault="00000000"/>
    <w:p w:rsidR="00000000" w:rsidRDefault="00000000">
      <w:r>
        <w:t>38.</w:t>
      </w:r>
      <w:r>
        <w:tab/>
        <w:t>Алжир оказал ожесточенное сопротивление колонизаторам, которые начиная с ХIХ века стремились подчинить себе его территорию.  Их попытки раздела и ассимиляции укрепили, несмотря ни на что, единство народа, который, вновь обретя свою самобытность и свободу, продолжает сегодня свой исторический путь в государстве, где торжество закона и справедливости является неотъемлемым и священным принципом.</w:t>
      </w:r>
    </w:p>
    <w:p w:rsidR="00000000" w:rsidRDefault="00000000"/>
    <w:p w:rsidR="00000000" w:rsidRDefault="00000000">
      <w:r>
        <w:t>39.</w:t>
      </w:r>
      <w:r>
        <w:tab/>
        <w:t>Впредь более нельзя, даже если возникнет такое желание, классифицировать население страны по этническим или расовым признакам.  Это не означает, что в результате того или иного процесса алжирская нация стала в культурном отношении однородной - богатство и разнообразие ее компонентов свидетельствуют об обратном, - а говорит лишь о том, что критерии, позволяющие выделять "меньшинство" среди нынешнего населения Алжира, не имеют под собой никаких оснований.  Руководствуясь принципом "разделяй и властвуй", колониальные власти пытались классифицировать население Алжира по определенным критериям, в частности по критериям цвета кожи и языка, но те спонтанность и единство, которые были характерны для народного сопротивления колонизаторам и освободительной войны, доказали неестественный характер подобной классификации.</w:t>
      </w:r>
    </w:p>
    <w:p w:rsidR="00000000" w:rsidRDefault="00000000"/>
    <w:p w:rsidR="00000000" w:rsidRDefault="00000000">
      <w:r>
        <w:t>40.</w:t>
      </w:r>
      <w:r>
        <w:tab/>
        <w:t>Поэтому в статье 1 Основного закона провозглашается, что "Алжир един и неделим".  В соответствии со статьями 2 и 3 Конституции ислам является государственной религией, а арабский язык - официальным государственным языком.  Помимо преамбулы, в других положениях Конституции уточняется, что культура Алжира имеет также признаки берберской, африканской и средиземноморской самобытности.  И наконец, в Конституции провозглашается свобода совести, мнений, культурного, интеллектуального и научного творчества, выражения взглядов, ассоциаций и собраний, а также другие основополагающие свободы и права человека, которые гарантируются всем алжирцам без какой-либо дискриминации.</w:t>
      </w:r>
    </w:p>
    <w:p w:rsidR="00000000" w:rsidRDefault="00000000">
      <w:r>
        <w:br w:type="page"/>
      </w:r>
    </w:p>
    <w:p w:rsidR="00000000" w:rsidRDefault="00000000">
      <w:pPr>
        <w:pStyle w:val="16"/>
        <w:rPr>
          <w:b/>
          <w:bCs/>
        </w:rPr>
      </w:pPr>
      <w:r>
        <w:rPr>
          <w:b/>
          <w:bCs/>
        </w:rPr>
        <w:t>Часть вторая</w:t>
      </w:r>
    </w:p>
    <w:p w:rsidR="00000000" w:rsidRDefault="00000000">
      <w:pPr>
        <w:pStyle w:val="16"/>
        <w:rPr>
          <w:b/>
          <w:bCs/>
        </w:rPr>
      </w:pPr>
    </w:p>
    <w:p w:rsidR="00000000" w:rsidRDefault="00000000">
      <w:pPr>
        <w:pStyle w:val="11"/>
        <w:rPr>
          <w:i/>
          <w:iCs/>
          <w:u w:val="none"/>
        </w:rPr>
      </w:pPr>
      <w:r>
        <w:rPr>
          <w:b/>
          <w:bCs/>
          <w:i/>
          <w:iCs/>
          <w:u w:val="none"/>
        </w:rPr>
        <w:t>Информация по ключевым положениям статей 2-7</w:t>
      </w:r>
    </w:p>
    <w:p w:rsidR="00000000" w:rsidRDefault="00000000">
      <w:pPr>
        <w:pStyle w:val="11"/>
      </w:pPr>
    </w:p>
    <w:p w:rsidR="00000000" w:rsidRDefault="00000000">
      <w:r>
        <w:t>41.</w:t>
      </w:r>
      <w:r>
        <w:tab/>
        <w:t>Алжир осуждает расовую дискриминацию, проводя внутреннюю и внешнюю политику, которая благоприятствует всестороннему развитию человеческой личности, обеспечивает реализацию законных чаяний народов, способствует развитию отношений дружбы и согласия между государствами и содействует созданию общества, где права человека и народов, включая право на развитие, могут осуществляться в полной мере.</w:t>
      </w:r>
    </w:p>
    <w:p w:rsidR="00000000" w:rsidRDefault="00000000"/>
    <w:p w:rsidR="00000000" w:rsidRDefault="00000000">
      <w:pPr>
        <w:pStyle w:val="16"/>
        <w:rPr>
          <w:i/>
          <w:iCs/>
        </w:rPr>
      </w:pPr>
      <w:r>
        <w:rPr>
          <w:i/>
          <w:iCs/>
        </w:rPr>
        <w:t>Статья 2</w:t>
      </w:r>
    </w:p>
    <w:p w:rsidR="00000000" w:rsidRDefault="00000000">
      <w:pPr>
        <w:pStyle w:val="16"/>
      </w:pPr>
    </w:p>
    <w:p w:rsidR="00000000" w:rsidRDefault="00000000">
      <w:r>
        <w:t>42.</w:t>
      </w:r>
      <w:r>
        <w:tab/>
        <w:t>С момента обретения Алжиром независимости законодательная ветвь государственной власти строго следит за реализацией на практике принципа недискриминации.  Применение этой нормы облегчается еще и тем обстоятельством, что для алжирского общества традиционно не свойственны какие бы то ни были проявления дискриминации.  С первых месяцев своей независимости Алжир отменил унаследованные от колониального режима дискриминационные положения законов и других нормативных актов.  Был провозглашен принцип, в соответствии с которым все граждане равны в своих правах и обязанностях и пользуются равной защитой закона (статья 29 Конституции).</w:t>
      </w:r>
    </w:p>
    <w:p w:rsidR="00000000" w:rsidRDefault="00000000"/>
    <w:p w:rsidR="00000000" w:rsidRDefault="00000000">
      <w:pPr>
        <w:pStyle w:val="16"/>
        <w:jc w:val="left"/>
      </w:pPr>
      <w:r>
        <w:t>43.</w:t>
      </w:r>
      <w:r>
        <w:tab/>
        <w:t xml:space="preserve">Любая дискриминация по признаку расы, языка или религии запрещается в статьях 27 и 42 Конституции.  В основу положения Гражданского кодекса, Уголовного кодекса, Уголовно-процессуального кодекса, Кодекса законов о выборах и иных отраслевых кодексов (торговля, информация, здравоохранение, деятельность таможенных органов и т.д.) положен принцип равенства всех граждан.  Конституционным советом было установлено, что ни одно из положений вышеуказанных законов не противоречит духу и букве Конвенции.  </w:t>
      </w:r>
    </w:p>
    <w:p w:rsidR="00000000" w:rsidRDefault="00000000">
      <w:pPr>
        <w:pStyle w:val="16"/>
        <w:jc w:val="left"/>
      </w:pPr>
    </w:p>
    <w:p w:rsidR="00000000" w:rsidRDefault="00000000">
      <w:pPr>
        <w:pStyle w:val="16"/>
        <w:jc w:val="left"/>
      </w:pPr>
      <w:r>
        <w:t>44.</w:t>
      </w:r>
      <w:r>
        <w:tab/>
        <w:t>Следует напомнить, что в задачу Конституционного совета входят, в частности, контроль за соответствием законов Конституции и подписанным Алжиром международным конвенциям, пресечение любых нарушений принципа равноправия граждан и надзор за тем, чтобы применяемые к иностранным гражданам законодательные и иные нормы были совместимы с положениями Конституции и ратифицированных Алжиром международных конвенций.  Следует также отметить, что присоединение Алжира к международно-правовым актам о правах человека, в том числе и к Конвенции, а также сотрудничество с договорными и недоговорными органами способствует более глубокому пониманию значимости прав человека на национальном уровне.</w:t>
      </w:r>
    </w:p>
    <w:p w:rsidR="00000000" w:rsidRDefault="00000000">
      <w:pPr>
        <w:pStyle w:val="16"/>
        <w:jc w:val="left"/>
      </w:pPr>
    </w:p>
    <w:p w:rsidR="00000000" w:rsidRDefault="00000000">
      <w:r>
        <w:t>45.</w:t>
      </w:r>
      <w:r>
        <w:tab/>
        <w:t>В соответствии со статьей 13 Указа № 66-211 от 1 июля 1966 года о статусе иностранцев иностранцы пользуются теми же правами, что и алжирские граждане, при условии их пребывания на территории страны на законном основании.</w:t>
      </w:r>
    </w:p>
    <w:p w:rsidR="00000000" w:rsidRDefault="00000000"/>
    <w:p w:rsidR="00000000" w:rsidRDefault="00000000">
      <w:pPr>
        <w:pStyle w:val="16"/>
        <w:rPr>
          <w:i/>
          <w:iCs/>
        </w:rPr>
      </w:pPr>
      <w:r>
        <w:rPr>
          <w:i/>
          <w:iCs/>
        </w:rPr>
        <w:t>Статья 3</w:t>
      </w:r>
    </w:p>
    <w:p w:rsidR="00000000" w:rsidRDefault="00000000">
      <w:pPr>
        <w:pStyle w:val="16"/>
      </w:pPr>
    </w:p>
    <w:p w:rsidR="00000000" w:rsidRDefault="00000000">
      <w:pPr>
        <w:pStyle w:val="11"/>
      </w:pPr>
      <w:r>
        <w:t>Борьба против апартеида и расовой дискриминации</w:t>
      </w:r>
    </w:p>
    <w:p w:rsidR="00000000" w:rsidRDefault="00000000">
      <w:pPr>
        <w:pStyle w:val="11"/>
      </w:pPr>
    </w:p>
    <w:p w:rsidR="00000000" w:rsidRDefault="00000000">
      <w:r>
        <w:t>46.</w:t>
      </w:r>
      <w:r>
        <w:tab/>
        <w:t>Расизм и расовая дискриминация чужды алжирской культуре и обществу.  В период колониальной оккупации алжирский народ испытывал на себе последствия той дискриминационной политики, которую систематически проводила в его отношении колониальная администрация.  Эти тяжелые испытания окончательно закрепили моральные ценности алжирского общества, привили ему неприятие любых форм дискриминации и эксплуатации, а также определили решимость Алжира оказывать поддержку угнетенным и борющимся за свободу народам.</w:t>
      </w:r>
    </w:p>
    <w:p w:rsidR="00000000" w:rsidRDefault="00000000"/>
    <w:p w:rsidR="00000000" w:rsidRDefault="00000000">
      <w:r>
        <w:t>47.</w:t>
      </w:r>
      <w:r>
        <w:tab/>
        <w:t>Алжирская дипломатия работает в направлении "укрепления международного сотрудничества и развития дружественных отношений между государствами на основе равенства, общности интересов и невмешательства во внутренние дела" (статья 28 Конституции).  В Конституции прямо записано также, что руководители страны должны "воздерживаться от применения войны с целью нарушения законного суверенитета и свободы других народов" (статья 26).  Следствием включения этих положений в Конституцию от 28 ноября 1996 года стало отнесение принципа солидарности, упомянутого в статье 26, только к "колониальным народам и территориям", упомянутым в резолюции 1514 (</w:t>
      </w:r>
      <w:r>
        <w:rPr>
          <w:lang w:val="en-US"/>
        </w:rPr>
        <w:t>XV</w:t>
      </w:r>
      <w:r>
        <w:t>) Генеральной Ассамблеи от 14 декабря 1960 года.  Соответственно Алжир продолжал оказывать помощь народам, борющимся за свое национальное освобождение, в частности народам Палестины и Западной Сахары.  Одновременно алжирское правительство продолжает проводить активную и целеустремленную политику поддержки всех мер на международном уровне, призванных способствовать борьбе со всеми формами политической, расовой или религиозной дискриминации.</w:t>
      </w:r>
    </w:p>
    <w:p w:rsidR="00000000" w:rsidRDefault="00000000"/>
    <w:p w:rsidR="00000000" w:rsidRDefault="00000000">
      <w:r>
        <w:br w:type="page"/>
      </w:r>
    </w:p>
    <w:p w:rsidR="00000000" w:rsidRDefault="00000000">
      <w:pPr>
        <w:pStyle w:val="11"/>
        <w:rPr>
          <w:i/>
          <w:iCs/>
          <w:u w:val="none"/>
        </w:rPr>
      </w:pPr>
      <w:r>
        <w:rPr>
          <w:i/>
          <w:iCs/>
          <w:u w:val="none"/>
        </w:rPr>
        <w:t>Статья 4</w:t>
      </w:r>
    </w:p>
    <w:p w:rsidR="00000000" w:rsidRDefault="00000000">
      <w:pPr>
        <w:pStyle w:val="11"/>
      </w:pPr>
    </w:p>
    <w:p w:rsidR="00000000" w:rsidRDefault="00000000">
      <w:pPr>
        <w:jc w:val="center"/>
        <w:rPr>
          <w:u w:val="single"/>
        </w:rPr>
      </w:pPr>
      <w:r>
        <w:rPr>
          <w:u w:val="single"/>
        </w:rPr>
        <w:t xml:space="preserve">Запрещение подстрекательства к расовой дискриминации </w:t>
      </w:r>
    </w:p>
    <w:p w:rsidR="00000000" w:rsidRDefault="00000000">
      <w:pPr>
        <w:jc w:val="center"/>
        <w:rPr>
          <w:u w:val="single"/>
        </w:rPr>
      </w:pPr>
      <w:r>
        <w:rPr>
          <w:u w:val="single"/>
        </w:rPr>
        <w:t>ее проявлений и ее пропаганды</w:t>
      </w:r>
    </w:p>
    <w:p w:rsidR="00000000" w:rsidRDefault="00000000">
      <w:pPr>
        <w:jc w:val="center"/>
        <w:rPr>
          <w:u w:val="single"/>
        </w:rPr>
      </w:pPr>
    </w:p>
    <w:p w:rsidR="00000000" w:rsidRDefault="00000000">
      <w:r>
        <w:t>48.</w:t>
      </w:r>
      <w:r>
        <w:tab/>
        <w:t>В плане наказаний за любое подстрекательство к расовой дискриминации и любые насильственные и провокационные действия статьи Уголовного кодекса предусматривают следующее:</w:t>
      </w:r>
    </w:p>
    <w:p w:rsidR="00000000" w:rsidRDefault="00000000"/>
    <w:p w:rsidR="00000000" w:rsidRDefault="00000000">
      <w:pPr>
        <w:tabs>
          <w:tab w:val="left" w:pos="1701"/>
        </w:tabs>
        <w:ind w:left="567" w:hanging="567"/>
      </w:pPr>
      <w:r>
        <w:tab/>
        <w:t>Статья 296:  "Любое заявление или обвинение в совершении того или иного деяния, порочащее честь и достоинство лиц или органа, которому приписывается это деяние, квалифицируется как клевета.  Прямая публикация или распространение такого заявления подлежит наказанию, даже если оно излагается в форме предположения или направлено против не названных точно лиц или органов, которые, однако, можно идентифицировать, исходя из письменных либо печатных выступлений, высказываний, угроз, инкриминируемых плакатов или афиш".</w:t>
      </w:r>
    </w:p>
    <w:p w:rsidR="00000000" w:rsidRDefault="00000000">
      <w:pPr>
        <w:tabs>
          <w:tab w:val="clear" w:pos="1701"/>
          <w:tab w:val="left" w:pos="1985"/>
        </w:tabs>
        <w:ind w:left="1985" w:hanging="1985"/>
      </w:pPr>
    </w:p>
    <w:p w:rsidR="00000000" w:rsidRDefault="00000000">
      <w:pPr>
        <w:pStyle w:val="BodyTextIndent"/>
      </w:pPr>
      <w:r>
        <w:tab/>
        <w:t>Статья 297:  "Любое унижающее достоинство заявление, выраженное в презрительной или оскорбительной форме, которое не содержит обвинения в совершении какого-либо деяния, квалифицируется как оскорбление".</w:t>
      </w:r>
    </w:p>
    <w:p w:rsidR="00000000" w:rsidRDefault="00000000">
      <w:pPr>
        <w:tabs>
          <w:tab w:val="left" w:pos="1985"/>
        </w:tabs>
        <w:ind w:left="1985" w:hanging="1985"/>
      </w:pPr>
    </w:p>
    <w:p w:rsidR="00000000" w:rsidRDefault="00000000">
      <w:pPr>
        <w:pStyle w:val="BodyTextIndent"/>
      </w:pPr>
      <w:r>
        <w:tab/>
        <w:t>Статья 298:  "Любая клевета в адрес частных лиц наказывается лишением свободы на срок от пяти суток до шести месяцев и штрафом в размере от 150 до 1 500 алжирских динаров  или только одним из указанных видов наказаний.  Любая клевета в адрес одного или нескольких лиц, принадлежащих к какой-либо этнической группе, идейному течению или определенной религии, наказывается лишением свободы на срок от одного месяца до одного года и штрафом в размере от 300 до 3 000 алжирских динаров, если такая клевета направлена на разжигание ненависти между гражданами или жителями".</w:t>
      </w:r>
    </w:p>
    <w:p w:rsidR="00000000" w:rsidRDefault="00000000">
      <w:pPr>
        <w:tabs>
          <w:tab w:val="left" w:pos="1985"/>
        </w:tabs>
        <w:ind w:left="1985" w:hanging="1985"/>
      </w:pPr>
    </w:p>
    <w:p w:rsidR="00000000" w:rsidRDefault="00000000">
      <w:pPr>
        <w:tabs>
          <w:tab w:val="left" w:pos="1985"/>
        </w:tabs>
        <w:ind w:left="567" w:hanging="567"/>
      </w:pPr>
      <w:r>
        <w:tab/>
        <w:t>Статья 299:  "Любое оскорбление в адрес одного или нескольких лиц наказывается тюремным  заключением на срок от шести суток до трех месяцев и штрафом в размере от 150 до 1 500 алжирских динаров или одним из указанных видов наказаний".</w:t>
      </w:r>
    </w:p>
    <w:p w:rsidR="00000000" w:rsidRDefault="00000000">
      <w:pPr>
        <w:tabs>
          <w:tab w:val="left" w:pos="1985"/>
        </w:tabs>
        <w:ind w:left="1985" w:hanging="1985"/>
      </w:pPr>
    </w:p>
    <w:p w:rsidR="00000000" w:rsidRDefault="00000000">
      <w:r>
        <w:t>49.</w:t>
      </w:r>
      <w:r>
        <w:tab/>
        <w:t>Запрещение любой организованной деятельности, которая поощряет расовую дискриминацию, предусмотрено в следующих положениях:</w:t>
      </w:r>
    </w:p>
    <w:p w:rsidR="00000000" w:rsidRDefault="00000000"/>
    <w:p w:rsidR="00000000" w:rsidRDefault="00000000">
      <w:r>
        <w:tab/>
      </w:r>
      <w:r>
        <w:rPr>
          <w:lang w:val="en-US"/>
        </w:rPr>
        <w:t>a</w:t>
      </w:r>
      <w:r>
        <w:t>)</w:t>
      </w:r>
      <w:r>
        <w:tab/>
        <w:t>в статьях 22, 30 и 61 Закона № 90-14 от 2 июня 1990 года об осуществлении профсоюзных прав;</w:t>
      </w:r>
    </w:p>
    <w:p w:rsidR="00000000" w:rsidRDefault="00000000">
      <w:pPr>
        <w:ind w:left="1134" w:hanging="1134"/>
      </w:pPr>
    </w:p>
    <w:p w:rsidR="00000000" w:rsidRDefault="00000000">
      <w:r>
        <w:tab/>
      </w:r>
      <w:r>
        <w:rPr>
          <w:lang w:val="en-US"/>
        </w:rPr>
        <w:t>b</w:t>
      </w:r>
      <w:r>
        <w:t>)</w:t>
      </w:r>
      <w:r>
        <w:tab/>
        <w:t>в статьях 3 и 5 Закона № 97-09 от 6 марта 1997 года о политических партиях;</w:t>
      </w:r>
    </w:p>
    <w:p w:rsidR="00000000" w:rsidRDefault="00000000"/>
    <w:p w:rsidR="00000000" w:rsidRDefault="00000000">
      <w:r>
        <w:tab/>
      </w:r>
      <w:r>
        <w:rPr>
          <w:lang w:val="en-US"/>
        </w:rPr>
        <w:t>c</w:t>
      </w:r>
      <w:r>
        <w:t>)</w:t>
      </w:r>
      <w:r>
        <w:tab/>
        <w:t>в статьях 9, 10 и 24 Закона № 89-28 от 31 декабря 1989 года о публичных собраниях и манифестациях;</w:t>
      </w:r>
    </w:p>
    <w:p w:rsidR="00000000" w:rsidRDefault="00000000">
      <w:pPr>
        <w:ind w:left="1134" w:hanging="1134"/>
      </w:pPr>
    </w:p>
    <w:p w:rsidR="00000000" w:rsidRDefault="00000000">
      <w:r>
        <w:tab/>
      </w:r>
      <w:r>
        <w:rPr>
          <w:lang w:val="en-US"/>
        </w:rPr>
        <w:t>d</w:t>
      </w:r>
      <w:r>
        <w:t>)</w:t>
      </w:r>
      <w:r>
        <w:tab/>
        <w:t>в статьях 24 и 41 Закона № 90-31 от 4 декабря 1990 года об общественных объединениях.</w:t>
      </w:r>
    </w:p>
    <w:p w:rsidR="00000000" w:rsidRDefault="00000000">
      <w:pPr>
        <w:ind w:left="1134" w:hanging="1134"/>
      </w:pPr>
    </w:p>
    <w:p w:rsidR="00000000" w:rsidRDefault="00000000">
      <w:r>
        <w:t>50.</w:t>
      </w:r>
      <w:r>
        <w:tab/>
        <w:t>Государственным органам и учреждениям запрещается поощрять расовую дискриминацию или подстрекать к ней в соответствии со статьями 8, 9, 14, 24, 51 и 100 Конституции, статьей 44 Кодекса коммун и статьями 51 и 94 Кодекса вилай.</w:t>
      </w:r>
    </w:p>
    <w:p w:rsidR="00000000" w:rsidRDefault="00000000"/>
    <w:p w:rsidR="00000000" w:rsidRDefault="00000000">
      <w:pPr>
        <w:pStyle w:val="Heading2"/>
        <w:rPr>
          <w:i/>
          <w:iCs/>
          <w:u w:val="none"/>
        </w:rPr>
      </w:pPr>
      <w:r>
        <w:rPr>
          <w:i/>
          <w:iCs/>
          <w:u w:val="none"/>
        </w:rPr>
        <w:t>Меры по выполнению Общей рекомендации от 24 февраля 1972 года</w:t>
      </w:r>
    </w:p>
    <w:p w:rsidR="00000000" w:rsidRDefault="00000000">
      <w:pPr>
        <w:pStyle w:val="Heading2"/>
      </w:pPr>
    </w:p>
    <w:p w:rsidR="00000000" w:rsidRDefault="00000000">
      <w:r>
        <w:t>51.</w:t>
      </w:r>
      <w:r>
        <w:tab/>
        <w:t xml:space="preserve">Став независимым, Алжир провозгласил в качестве конституционного принципа запрещение расовой дискриминации;  на этом принципе основано алжирское законодательство. </w:t>
      </w:r>
    </w:p>
    <w:p w:rsidR="00000000" w:rsidRDefault="00000000"/>
    <w:p w:rsidR="00000000" w:rsidRDefault="00000000">
      <w:pPr>
        <w:rPr>
          <w:i/>
          <w:iCs/>
        </w:rPr>
      </w:pPr>
      <w:r>
        <w:rPr>
          <w:i/>
          <w:iCs/>
        </w:rPr>
        <w:t>Сведения о выполнении решения 3 (</w:t>
      </w:r>
      <w:r>
        <w:rPr>
          <w:i/>
          <w:iCs/>
          <w:lang w:val="en-US"/>
        </w:rPr>
        <w:t>VII</w:t>
      </w:r>
      <w:r>
        <w:rPr>
          <w:i/>
          <w:iCs/>
        </w:rPr>
        <w:t>) от 4 мая 1973 года</w:t>
      </w:r>
    </w:p>
    <w:p w:rsidR="00000000" w:rsidRDefault="00000000">
      <w:pPr>
        <w:rPr>
          <w:u w:val="single"/>
        </w:rPr>
      </w:pPr>
    </w:p>
    <w:p w:rsidR="00000000" w:rsidRDefault="00000000">
      <w:r>
        <w:t>52.</w:t>
      </w:r>
      <w:r>
        <w:tab/>
        <w:t xml:space="preserve">Выполнение указанного решения обеспечивают конкретные положения Уголовного кодекса.  Так, пункт 2 статьи 298 Кодекса предусматривает, что "любая клевета в адрес одного или нескольких лиц, принадлежащих какой-либо этнической группе, идейному течению или определенной религии, наказывается лишением свободы на срок от одного месяца до одного года и штрафом в размере от 300 до 3 000 алжирских динаров, если такая клевета направлена на разжигание ненависти между гражданами или жителями". </w:t>
      </w:r>
    </w:p>
    <w:p w:rsidR="00000000" w:rsidRDefault="00000000"/>
    <w:p w:rsidR="00000000" w:rsidRDefault="00000000">
      <w:r>
        <w:t>53.</w:t>
      </w:r>
      <w:r>
        <w:tab/>
        <w:t>Кроме того, в статье 298-бис (Закон № 82-04 от 13 февраля 1984 года) говорится о том, что "любое оскорбление в адрес одного или нескольких лиц, принадлежащих к какой-либо этнической группе, идейному течению или определенной религии, наказывается лишением свободы на срок от пяти суток до шести месяцев и штрафом в размере от 150 до 1 500 алжирских динаров или одним из указанных видов наказаний".</w:t>
      </w:r>
    </w:p>
    <w:p w:rsidR="00000000" w:rsidRDefault="00000000"/>
    <w:p w:rsidR="00000000" w:rsidRDefault="00000000">
      <w:pPr>
        <w:pStyle w:val="16"/>
        <w:keepNext/>
        <w:rPr>
          <w:i/>
          <w:iCs/>
        </w:rPr>
      </w:pPr>
      <w:r>
        <w:rPr>
          <w:i/>
          <w:iCs/>
        </w:rPr>
        <w:t>Статья 5</w:t>
      </w:r>
    </w:p>
    <w:p w:rsidR="00000000" w:rsidRDefault="00000000">
      <w:pPr>
        <w:pStyle w:val="16"/>
        <w:keepNext/>
      </w:pPr>
    </w:p>
    <w:p w:rsidR="00000000" w:rsidRDefault="00000000">
      <w:pPr>
        <w:pStyle w:val="11"/>
        <w:keepNext/>
      </w:pPr>
      <w:r>
        <w:t>Равенство перед законом</w:t>
      </w:r>
    </w:p>
    <w:p w:rsidR="00000000" w:rsidRDefault="00000000">
      <w:pPr>
        <w:pStyle w:val="11"/>
        <w:keepNext/>
      </w:pPr>
    </w:p>
    <w:p w:rsidR="00000000" w:rsidRDefault="00000000">
      <w:r>
        <w:t>54.</w:t>
      </w:r>
      <w:r>
        <w:tab/>
        <w:t>Как отмечалось выше, сразу после обретения независимости Алжир отменил действие дискриминационных законодательных и нормативных положений.  Принцип, в соответствии с которым все граждане равны в своих правах и обязанностях и пользуются равной защитой закона, провозглашен в статьях 29, 31 33, 34, 36, 51, 55 и в пункте 2 статьи 140 Конституции.  Алжирское законодательство, исходящее из этих положений, отражает также нормы, которые закреплены в международных конвенциях, ратифицированных Алжиром.</w:t>
      </w:r>
    </w:p>
    <w:p w:rsidR="00000000" w:rsidRDefault="00000000"/>
    <w:p w:rsidR="00000000" w:rsidRDefault="00000000">
      <w:r>
        <w:t>55.</w:t>
      </w:r>
      <w:r>
        <w:tab/>
        <w:t>В этой связи следует  отметить, что женщины точно так же, как и мужчины:</w:t>
      </w:r>
    </w:p>
    <w:p w:rsidR="00000000" w:rsidRDefault="00000000"/>
    <w:p w:rsidR="00000000" w:rsidRDefault="00000000">
      <w:pPr>
        <w:pStyle w:val="16"/>
        <w:tabs>
          <w:tab w:val="left" w:pos="567"/>
          <w:tab w:val="left" w:pos="1134"/>
        </w:tabs>
        <w:jc w:val="left"/>
      </w:pPr>
      <w:r>
        <w:tab/>
        <w:t>-</w:t>
      </w:r>
      <w:r>
        <w:tab/>
        <w:t>имеют право доступа к любым должностям на государственной службе;</w:t>
      </w:r>
    </w:p>
    <w:p w:rsidR="00000000" w:rsidRDefault="00000000">
      <w:pPr>
        <w:pStyle w:val="16"/>
        <w:tabs>
          <w:tab w:val="left" w:pos="567"/>
          <w:tab w:val="left" w:pos="1134"/>
        </w:tabs>
        <w:jc w:val="left"/>
      </w:pPr>
    </w:p>
    <w:p w:rsidR="00000000" w:rsidRDefault="00000000">
      <w:pPr>
        <w:pStyle w:val="16"/>
        <w:tabs>
          <w:tab w:val="left" w:pos="567"/>
          <w:tab w:val="left" w:pos="1134"/>
        </w:tabs>
        <w:ind w:left="1134" w:hanging="1134"/>
        <w:jc w:val="left"/>
      </w:pPr>
      <w:r>
        <w:tab/>
        <w:t>-</w:t>
      </w:r>
      <w:r>
        <w:tab/>
        <w:t>имеют право избирать и отдавать свои голоса за кандидатов на выборные должности;</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могут выставлять свои кандидатуры на выборах всех уровней, включая президентские;</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основывать партии, ассоциации, профсоюзы и участвовать в их руководящих и представительных органах;</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свободно выражать свои убеждения, используя для этого любые средства;</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участвовать в собраниях и манифестациях;</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обращаться в суды и любые иные органы судебной системы;</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выбирать место жительства и свободно перемещаться по территории страны и выезжать за границу;</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пользоваться всем комплексом предусмотренных законом социальных услуг;</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на получение начального, неполного среднего, среднего и высшего образования;</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 xml:space="preserve">имеют право получать профессиональную подготовку во всех отраслях; </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на медицинское обслуживание, будь то профилактическое или лечебное;</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заключать контракты любого рода;</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получения кредитов или использования любых других схожих форм заимствования, предусмотренных законом.  Закон не устанавливает никакой дискриминации в отношении предоставления банковских и ипотечных кредитов;</w:t>
      </w:r>
    </w:p>
    <w:p w:rsidR="00000000" w:rsidRDefault="00000000">
      <w:pPr>
        <w:pStyle w:val="16"/>
        <w:tabs>
          <w:tab w:val="left" w:pos="567"/>
          <w:tab w:val="left" w:pos="1134"/>
        </w:tabs>
        <w:ind w:left="1134" w:hanging="1134"/>
        <w:jc w:val="left"/>
      </w:pPr>
    </w:p>
    <w:p w:rsidR="00000000" w:rsidRDefault="00000000">
      <w:pPr>
        <w:pStyle w:val="16"/>
        <w:tabs>
          <w:tab w:val="left" w:pos="567"/>
          <w:tab w:val="left" w:pos="1134"/>
        </w:tabs>
        <w:ind w:left="1134" w:hanging="1134"/>
        <w:jc w:val="left"/>
      </w:pPr>
      <w:r>
        <w:tab/>
        <w:t>-</w:t>
      </w:r>
      <w:r>
        <w:tab/>
        <w:t>имеют право на труд и пользуются гарантиями продвижения по службе;  а также правом на равную плату за равный труд, на предусмотренный законом отдых и выход на пенсию.</w:t>
      </w:r>
    </w:p>
    <w:p w:rsidR="00000000" w:rsidRDefault="00000000">
      <w:pPr>
        <w:pStyle w:val="16"/>
        <w:tabs>
          <w:tab w:val="left" w:pos="567"/>
          <w:tab w:val="left" w:pos="1134"/>
        </w:tabs>
        <w:ind w:left="1134" w:hanging="1134"/>
        <w:jc w:val="left"/>
      </w:pPr>
    </w:p>
    <w:p w:rsidR="00000000" w:rsidRDefault="00000000">
      <w:r>
        <w:t xml:space="preserve">Граждане Алжира равны во всех указанных выше гражданских и политических, экономических, социальных и культурных правах.  Принцип </w:t>
      </w:r>
      <w:proofErr w:type="spellStart"/>
      <w:r>
        <w:t>недискриминации</w:t>
      </w:r>
      <w:proofErr w:type="spellEnd"/>
      <w:r>
        <w:t xml:space="preserve"> применяется в полной мере как в алжирском законодательстве, так и на практике.</w:t>
      </w:r>
    </w:p>
    <w:p w:rsidR="00000000" w:rsidRDefault="00000000"/>
    <w:p w:rsidR="00000000" w:rsidRDefault="00000000">
      <w:pPr>
        <w:pStyle w:val="12"/>
        <w:jc w:val="left"/>
        <w:rPr>
          <w:iCs/>
        </w:rPr>
      </w:pPr>
      <w:r>
        <w:rPr>
          <w:iCs/>
        </w:rPr>
        <w:tab/>
        <w:t>1.</w:t>
      </w:r>
      <w:r>
        <w:rPr>
          <w:iCs/>
        </w:rPr>
        <w:tab/>
        <w:t>Право на равенство перед судом</w:t>
      </w:r>
    </w:p>
    <w:p w:rsidR="00000000" w:rsidRDefault="00000000"/>
    <w:p w:rsidR="00000000" w:rsidRDefault="00000000">
      <w:r>
        <w:t>56.</w:t>
      </w:r>
      <w:r>
        <w:tab/>
        <w:t>В статье 140 Конституции Алжира говорится, что отправление правосудия основано на принципах законности и равноправия.  Оно одинаково для всех, доступно всем и находит свое воплощение в уважении положений закона".</w:t>
      </w:r>
    </w:p>
    <w:p w:rsidR="00000000" w:rsidRDefault="00000000"/>
    <w:p w:rsidR="00000000" w:rsidRDefault="00000000">
      <w:pPr>
        <w:pStyle w:val="12"/>
        <w:jc w:val="left"/>
        <w:rPr>
          <w:iCs/>
        </w:rPr>
      </w:pPr>
      <w:r>
        <w:rPr>
          <w:iCs/>
        </w:rPr>
        <w:tab/>
        <w:t>2.</w:t>
      </w:r>
      <w:r>
        <w:rPr>
          <w:iCs/>
        </w:rPr>
        <w:tab/>
        <w:t>Право на личную безопасность</w:t>
      </w:r>
    </w:p>
    <w:p w:rsidR="00000000" w:rsidRDefault="00000000"/>
    <w:p w:rsidR="00000000" w:rsidRDefault="00000000">
      <w:r>
        <w:t>57.</w:t>
      </w:r>
      <w:r>
        <w:tab/>
        <w:t xml:space="preserve">Статья 34 Конституции гласит, что "государство гарантирует неприкосновенность человеческой личности.  Запрещаются любые формы физического или нравственного насилия, как и унижение человеческого достоинства".  В статье 35 Конституции уточняется, что правонарушения, совершенные в отношении прав и свобод, а также физические или нравственные посягательства на неприкосновенность человеческой личности являются наказуемыми по закону".  Кроме того, в статье 47 Конституции предусмотрено, что никто не может быть подвергнут аресту или задержанию, кроме как в порядке, по причинам и в условиях, предусмотренных законом, и в соответствии с определенной в законе процедурой". </w:t>
      </w:r>
    </w:p>
    <w:p w:rsidR="00000000" w:rsidRDefault="00000000"/>
    <w:p w:rsidR="00000000" w:rsidRDefault="00000000">
      <w:r>
        <w:t>58.</w:t>
      </w:r>
      <w:r>
        <w:tab/>
        <w:t>И наконец, Уголовный кодекс предусматривает суровое наказание за применение жестокого обращения или актов пытки.  Пункт 3 статьи 110 Кодекса гласит, что "любое официальное или должностное лицо, применяющее пытки или дающее распоряжение об их применении в целях получения признаний, наказывается лишением свободы".  Таким образом, в отношении нарушителей может быть возбуждено уголовное преследование, в том числе в тех случаях, когда они совершают преступления или правонарушения в рамках исполнения их служебных обязанностей.</w:t>
      </w:r>
    </w:p>
    <w:p w:rsidR="00000000" w:rsidRDefault="00000000"/>
    <w:p w:rsidR="00000000" w:rsidRDefault="00000000">
      <w:r>
        <w:t>59.</w:t>
      </w:r>
      <w:r>
        <w:tab/>
        <w:t>Что касается режима содержания под стражей, то в соответствии со статьей 48 Конституции этот режим "подлежит судебному надзору".</w:t>
      </w:r>
    </w:p>
    <w:p w:rsidR="00000000" w:rsidRDefault="00000000"/>
    <w:p w:rsidR="00000000" w:rsidRDefault="00000000">
      <w:r>
        <w:t>60.</w:t>
      </w:r>
      <w:r>
        <w:tab/>
        <w:t>В отношении похищений, произвольных задержаний и незаконного лишения свободы статья 291 Уголовного кодекса гласит:</w:t>
      </w:r>
    </w:p>
    <w:p w:rsidR="00000000" w:rsidRDefault="00000000"/>
    <w:p w:rsidR="00000000" w:rsidRDefault="00000000">
      <w:pPr>
        <w:ind w:left="567" w:hanging="567"/>
      </w:pPr>
      <w:r>
        <w:tab/>
        <w:t>"Наказываются лишением свободы на срок от пяти до десяти лет те лица, которые без санкции официальной инстанции и исключая случаи, когда закон допускает или предписывает задержание, похищают, арестовывают, задерживают или лишают свободы какое</w:t>
      </w:r>
      <w:r>
        <w:noBreakHyphen/>
        <w:t>либо лицо.  Та же мера наказания применяется в отношении того, кто предоставляет место для незаконного задержания или лишения свободы.  Если продолжительность задержания или лишения свободы превышает один месяц, то выносится наказание в виде тюремного заключения на срок от 10 до 20 лет".</w:t>
      </w:r>
    </w:p>
    <w:p w:rsidR="00000000" w:rsidRDefault="00000000"/>
    <w:p w:rsidR="00000000" w:rsidRDefault="00000000">
      <w:pPr>
        <w:pStyle w:val="BodyText"/>
        <w:spacing w:line="288" w:lineRule="auto"/>
        <w:ind w:left="1134" w:hanging="1134"/>
      </w:pPr>
      <w:r>
        <w:tab/>
        <w:t>3.</w:t>
      </w:r>
      <w:r>
        <w:tab/>
        <w:t>Право участвовать в выборах и быть избранным и право доступа к государственной службе</w:t>
      </w:r>
    </w:p>
    <w:p w:rsidR="00000000" w:rsidRDefault="00000000">
      <w:pPr>
        <w:pStyle w:val="BodyText"/>
        <w:spacing w:line="288" w:lineRule="auto"/>
        <w:rPr>
          <w:i w:val="0"/>
          <w:iCs w:val="0"/>
        </w:rPr>
      </w:pPr>
    </w:p>
    <w:p w:rsidR="00000000" w:rsidRDefault="00000000">
      <w:r>
        <w:t>61.</w:t>
      </w:r>
      <w:r>
        <w:tab/>
        <w:t>Право принимать участие в руководстве государственными делами гарантируется Конституцией и Законом о выборах, которые закладывают демократическую и многопартийную основу политической системы Алжира.  Касаясь избирательных мандатов, статья 50 Основного закона предусматривает, что "любой гражданин, удовлетворяющий установленным в законе требованиям, вправе голосовать и быть избранным".</w:t>
      </w:r>
    </w:p>
    <w:p w:rsidR="00000000" w:rsidRDefault="00000000"/>
    <w:p w:rsidR="00000000" w:rsidRDefault="00000000">
      <w:r>
        <w:t>62.</w:t>
      </w:r>
      <w:r>
        <w:tab/>
        <w:t>Что касается равного доступа к государственной службе, то статья 51 Конституции гласит, что этот доступ "гарантируется всем гражданам".</w:t>
      </w:r>
    </w:p>
    <w:p w:rsidR="00000000" w:rsidRDefault="00000000"/>
    <w:p w:rsidR="00000000" w:rsidRDefault="00000000">
      <w:r>
        <w:t>63.</w:t>
      </w:r>
      <w:r>
        <w:tab/>
        <w:t>Новый Органический закон о выборах (№ 97</w:t>
      </w:r>
      <w:r>
        <w:noBreakHyphen/>
        <w:t>07 от 6 марта 1997 года) устанавливает общие правила проведения выборов:</w:t>
      </w:r>
    </w:p>
    <w:p w:rsidR="00000000" w:rsidRDefault="00000000"/>
    <w:p w:rsidR="00000000" w:rsidRDefault="00000000">
      <w:pPr>
        <w:ind w:left="1134" w:hanging="1134"/>
      </w:pPr>
      <w:r>
        <w:tab/>
        <w:t>-</w:t>
      </w:r>
      <w:r>
        <w:tab/>
        <w:t>правом голоса обладают все алжирцы, достигшие 18</w:t>
      </w:r>
      <w:r>
        <w:noBreakHyphen/>
        <w:t xml:space="preserve">летнего возраста (статья 5), </w:t>
      </w:r>
    </w:p>
    <w:p w:rsidR="00000000" w:rsidRDefault="00000000">
      <w:pPr>
        <w:ind w:left="1134" w:hanging="1134"/>
      </w:pPr>
    </w:p>
    <w:p w:rsidR="00000000" w:rsidRDefault="00000000">
      <w:r>
        <w:tab/>
        <w:t>-</w:t>
      </w:r>
      <w:r>
        <w:tab/>
        <w:t>голосование является личным и тайным (статьи 2 и 35),</w:t>
      </w:r>
    </w:p>
    <w:p w:rsidR="00000000" w:rsidRDefault="00000000"/>
    <w:p w:rsidR="00000000" w:rsidRDefault="00000000">
      <w:pPr>
        <w:ind w:left="1134" w:hanging="1134"/>
      </w:pPr>
      <w:r>
        <w:tab/>
        <w:t>-</w:t>
      </w:r>
      <w:r>
        <w:tab/>
        <w:t>кандидаты, достигшие 25</w:t>
      </w:r>
      <w:r>
        <w:noBreakHyphen/>
        <w:t>летнего возраста, могут быть избраны на выборах в местные органы власти, достигшие 28</w:t>
      </w:r>
      <w:r>
        <w:noBreakHyphen/>
        <w:t>летнего возраста </w:t>
      </w:r>
      <w:r>
        <w:noBreakHyphen/>
        <w:t xml:space="preserve"> на выборах в Национальное собрание и достигшие 40</w:t>
      </w:r>
      <w:r>
        <w:noBreakHyphen/>
        <w:t>летнего возраста </w:t>
      </w:r>
      <w:r>
        <w:noBreakHyphen/>
        <w:t xml:space="preserve"> на выборах в члены Совета нации и Президента Республики.</w:t>
      </w:r>
    </w:p>
    <w:p w:rsidR="00000000" w:rsidRDefault="00000000">
      <w:pPr>
        <w:ind w:left="1134" w:hanging="1134"/>
      </w:pPr>
    </w:p>
    <w:p w:rsidR="00000000" w:rsidRDefault="00000000">
      <w:pPr>
        <w:pStyle w:val="Heading7"/>
        <w:spacing w:line="288" w:lineRule="auto"/>
      </w:pPr>
      <w:r>
        <w:tab/>
        <w:t>4.</w:t>
      </w:r>
      <w:r>
        <w:tab/>
        <w:t>Право на свободу передвижения и выбор места жительства</w:t>
      </w:r>
    </w:p>
    <w:p w:rsidR="00000000" w:rsidRDefault="00000000">
      <w:pPr>
        <w:pStyle w:val="Heading7"/>
        <w:spacing w:line="288" w:lineRule="auto"/>
      </w:pPr>
    </w:p>
    <w:p w:rsidR="00000000" w:rsidRDefault="00000000">
      <w:r>
        <w:t>64.</w:t>
      </w:r>
      <w:r>
        <w:tab/>
        <w:t>В статье 44 Конституции от 28 ноября 1996 года провозглашается, что алжирские граждане "вправе свободно выбирать место их жительства и свободно передвигаться по территории страны".  Единственное закрепленное законное ограничение касается приостановления действия гражданских и политических прав по решению суда.</w:t>
      </w:r>
    </w:p>
    <w:p w:rsidR="00000000" w:rsidRDefault="00000000"/>
    <w:p w:rsidR="00000000" w:rsidRDefault="00000000">
      <w:pPr>
        <w:pStyle w:val="12"/>
        <w:keepNext/>
        <w:jc w:val="left"/>
        <w:rPr>
          <w:iCs/>
        </w:rPr>
      </w:pPr>
      <w:r>
        <w:rPr>
          <w:iCs/>
        </w:rPr>
        <w:tab/>
        <w:t>5.</w:t>
      </w:r>
      <w:r>
        <w:rPr>
          <w:iCs/>
        </w:rPr>
        <w:tab/>
        <w:t>Право покидать свою страну и возвращаться в нее</w:t>
      </w:r>
    </w:p>
    <w:p w:rsidR="00000000" w:rsidRDefault="00000000">
      <w:pPr>
        <w:pStyle w:val="12"/>
        <w:keepNext/>
        <w:rPr>
          <w:iCs/>
        </w:rPr>
      </w:pPr>
    </w:p>
    <w:p w:rsidR="00000000" w:rsidRDefault="00000000">
      <w:pPr>
        <w:keepNext/>
      </w:pPr>
      <w:r>
        <w:t>65.</w:t>
      </w:r>
      <w:r>
        <w:tab/>
        <w:t>Статья 44 Основного закона предусматривает, что право покидать страну и возвращаться в нее гарантируется всем гражданам.  Возможные ограничения этой свободы передвижения связаны с теми мерами, которые принимают иностранные государства, главным образом в отношении порядка получения виз для иммигрантов.</w:t>
      </w:r>
    </w:p>
    <w:p w:rsidR="00000000" w:rsidRDefault="00000000"/>
    <w:p w:rsidR="00000000" w:rsidRDefault="00000000">
      <w:pPr>
        <w:pStyle w:val="12"/>
        <w:jc w:val="left"/>
        <w:rPr>
          <w:iCs/>
        </w:rPr>
      </w:pPr>
      <w:r>
        <w:rPr>
          <w:iCs/>
        </w:rPr>
        <w:tab/>
        <w:t>6.</w:t>
      </w:r>
      <w:r>
        <w:rPr>
          <w:iCs/>
        </w:rPr>
        <w:tab/>
        <w:t>Право на гражданство</w:t>
      </w:r>
    </w:p>
    <w:p w:rsidR="00000000" w:rsidRDefault="00000000">
      <w:pPr>
        <w:pStyle w:val="12"/>
        <w:rPr>
          <w:iCs/>
        </w:rPr>
      </w:pPr>
    </w:p>
    <w:p w:rsidR="00000000" w:rsidRDefault="00000000">
      <w:r>
        <w:t>66.</w:t>
      </w:r>
      <w:r>
        <w:tab/>
        <w:t>В соответствии с Конституцией гражданство определяется на основе законодательства, как и условия его приобретения, сохранения, утраты и лишения.  Эти условия уточняются в Кодексе об алжирском гражданстве (Указ № 70</w:t>
      </w:r>
      <w:r>
        <w:noBreakHyphen/>
        <w:t>86 от 15 декабря 1970 года).  Подавший соответствующую просьбу иностранец может получить алжирское гражданство, если он удовлетворяет требованиям, определенным в законе.  Порядок лишения гражданства установлен в статьях 22</w:t>
      </w:r>
      <w:r>
        <w:noBreakHyphen/>
        <w:t>24 того же нормативного акта.  Решение о лишении гражданства может быть оспорено.  Кроме того, исключительной компетенцией рассматривать апелляции, касающиеся гражданства, обладают суды.</w:t>
      </w:r>
    </w:p>
    <w:p w:rsidR="00000000" w:rsidRDefault="00000000">
      <w:r>
        <w:br w:type="page"/>
      </w:r>
    </w:p>
    <w:p w:rsidR="00000000" w:rsidRDefault="00000000">
      <w:pPr>
        <w:pStyle w:val="12"/>
        <w:jc w:val="left"/>
        <w:rPr>
          <w:iCs/>
        </w:rPr>
      </w:pPr>
      <w:r>
        <w:rPr>
          <w:iCs/>
        </w:rPr>
        <w:tab/>
        <w:t>7.</w:t>
      </w:r>
      <w:r>
        <w:rPr>
          <w:iCs/>
        </w:rPr>
        <w:tab/>
        <w:t>Право на вступление в брак и на выбор супруга</w:t>
      </w:r>
    </w:p>
    <w:p w:rsidR="00000000" w:rsidRDefault="00000000">
      <w:pPr>
        <w:pStyle w:val="12"/>
        <w:rPr>
          <w:iCs/>
        </w:rPr>
      </w:pPr>
    </w:p>
    <w:p w:rsidR="00000000" w:rsidRDefault="00000000">
      <w:r>
        <w:t>67.</w:t>
      </w:r>
      <w:r>
        <w:tab/>
        <w:t>Праву на вступление в брак обеспечивается особая защита;  так, статья 58 Конституции предусматривает, что "семья пользуется защитой государства и общества".</w:t>
      </w:r>
    </w:p>
    <w:p w:rsidR="00000000" w:rsidRDefault="00000000"/>
    <w:p w:rsidR="00000000" w:rsidRDefault="00000000">
      <w:r>
        <w:t>68.</w:t>
      </w:r>
      <w:r>
        <w:tab/>
        <w:t>Отношения между членами семьи регулируются Законом № 84</w:t>
      </w:r>
      <w:r>
        <w:noBreakHyphen/>
        <w:t>11 от 9 июня 1984 года о введении в действие Семейного кодекса.  В соответствии со статьей 4 указанного Закона "брак является договором, заключенным между мужчиной и женщиной в установленной законом форме.  Его цель, в частности, заключается в создании семьи, основанной на любви, терпимости и взаимопомощи, в обеспечении моральной защиты супругов и в поддержании семейных уз".</w:t>
      </w:r>
    </w:p>
    <w:p w:rsidR="00000000" w:rsidRDefault="00000000"/>
    <w:p w:rsidR="00000000" w:rsidRDefault="00000000">
      <w:r>
        <w:t>69.</w:t>
      </w:r>
      <w:r>
        <w:tab/>
        <w:t>Согласие будущих супругов является одним из основополагающих элементов брака (статья 9), который может быть признан недействительным, если такого согласия нет или оно является фиктивным (статья 32 Семейного кодекса).  Согласие вытекает из просьбы одной стороны и из положительного ответа другой стороны, данного в любой форме, подтверждающей законность брака (статья 10).</w:t>
      </w:r>
    </w:p>
    <w:p w:rsidR="00000000" w:rsidRDefault="00000000"/>
    <w:p w:rsidR="00000000" w:rsidRDefault="00000000">
      <w:r>
        <w:t>70.</w:t>
      </w:r>
      <w:r>
        <w:tab/>
        <w:t>Что касается личного статуса, то правительство Алжира намерено вводить элементы недискриминации и равенства между мужчинами и женщинами постепенно, не допуская откатов назад.  Подобный подход основан на уже достигнутых женщинами завоеваниях, в частности в том, что касается права на образование и права на труд.</w:t>
      </w:r>
    </w:p>
    <w:p w:rsidR="00000000" w:rsidRDefault="00000000"/>
    <w:p w:rsidR="00000000" w:rsidRDefault="00000000">
      <w:pPr>
        <w:pStyle w:val="12"/>
        <w:jc w:val="left"/>
        <w:rPr>
          <w:iCs/>
        </w:rPr>
      </w:pPr>
      <w:r>
        <w:rPr>
          <w:iCs/>
        </w:rPr>
        <w:tab/>
        <w:t>8.</w:t>
      </w:r>
      <w:r>
        <w:rPr>
          <w:iCs/>
        </w:rPr>
        <w:tab/>
        <w:t>Право на владение имуществом</w:t>
      </w:r>
    </w:p>
    <w:p w:rsidR="00000000" w:rsidRDefault="00000000">
      <w:pPr>
        <w:pStyle w:val="12"/>
        <w:rPr>
          <w:iCs/>
        </w:rPr>
      </w:pPr>
    </w:p>
    <w:p w:rsidR="00000000" w:rsidRDefault="00000000">
      <w:r>
        <w:t>71.</w:t>
      </w:r>
      <w:r>
        <w:tab/>
        <w:t>Статья 52 Основного закона гарантирует право на владение имуществом.  Кроме того, в статьях 37 и 38 предусмотрено, что закон гарантирует "свободу заниматься торговой и промышленной деятельностью, которая осуществляется в рамках закона, а также свободу интеллектуального, художественного и научного творчества".</w:t>
      </w:r>
    </w:p>
    <w:p w:rsidR="00000000" w:rsidRDefault="00000000"/>
    <w:p w:rsidR="00000000" w:rsidRDefault="00000000">
      <w:pPr>
        <w:pStyle w:val="12"/>
        <w:jc w:val="left"/>
        <w:rPr>
          <w:iCs/>
        </w:rPr>
      </w:pPr>
      <w:r>
        <w:rPr>
          <w:iCs/>
        </w:rPr>
        <w:tab/>
        <w:t>9.</w:t>
      </w:r>
      <w:r>
        <w:rPr>
          <w:iCs/>
        </w:rPr>
        <w:tab/>
        <w:t>Право наследования</w:t>
      </w:r>
    </w:p>
    <w:p w:rsidR="00000000" w:rsidRDefault="00000000">
      <w:pPr>
        <w:pStyle w:val="12"/>
        <w:rPr>
          <w:iCs/>
        </w:rPr>
      </w:pPr>
    </w:p>
    <w:p w:rsidR="00000000" w:rsidRDefault="00000000">
      <w:r>
        <w:t>72.</w:t>
      </w:r>
      <w:r>
        <w:tab/>
        <w:t>В соответствии с пунктом 1 статьи 52 Основного закона право наследования гарантируется Конституцией.  Режим наследования определяется Семейным кодексом, который устанавливает право наследования на основе критериев родства и статуса супруга.</w:t>
      </w:r>
    </w:p>
    <w:p w:rsidR="00000000" w:rsidRDefault="00000000">
      <w:r>
        <w:br w:type="page"/>
      </w:r>
    </w:p>
    <w:p w:rsidR="00000000" w:rsidRDefault="00000000">
      <w:pPr>
        <w:pStyle w:val="12"/>
        <w:jc w:val="left"/>
        <w:rPr>
          <w:iCs/>
        </w:rPr>
      </w:pPr>
      <w:r>
        <w:rPr>
          <w:iCs/>
        </w:rPr>
        <w:tab/>
        <w:t>10.</w:t>
      </w:r>
      <w:r>
        <w:rPr>
          <w:iCs/>
        </w:rPr>
        <w:tab/>
        <w:t>Право на свободу мысли, совести и религии</w:t>
      </w:r>
    </w:p>
    <w:p w:rsidR="00000000" w:rsidRDefault="00000000">
      <w:pPr>
        <w:pStyle w:val="12"/>
        <w:rPr>
          <w:iCs/>
        </w:rPr>
      </w:pPr>
    </w:p>
    <w:p w:rsidR="00000000" w:rsidRDefault="00000000">
      <w:r>
        <w:t>73.</w:t>
      </w:r>
      <w:r>
        <w:tab/>
        <w:t xml:space="preserve">В соответствии со статьей 36 Конституции свобода совести неприкосновенна.  Власти уважают и обеспечивают защиту свободы вероисповедания и религии проживающих в Алжире общин иных конфессий.  Столичное </w:t>
      </w:r>
      <w:proofErr w:type="spellStart"/>
      <w:r>
        <w:t>архиепископство</w:t>
      </w:r>
      <w:proofErr w:type="spellEnd"/>
      <w:r>
        <w:t xml:space="preserve"> объединяет несколько епархий.  Алжирская протестанская церковь имеет свое представительство в столице страны.  Там же заседает Коллегия раввинов.  Две синагоги функционируют, соответственно, в Блиде и в столице страны.</w:t>
      </w:r>
    </w:p>
    <w:p w:rsidR="00000000" w:rsidRDefault="00000000"/>
    <w:p w:rsidR="00000000" w:rsidRDefault="00000000">
      <w:r>
        <w:t>74.</w:t>
      </w:r>
      <w:r>
        <w:tab/>
        <w:t>Статья 160/3 Уголовного кодекса предусматривает наказание лиц, кем бы они ни были, которые разрушают "предназначенные для отправления культа места", наносят им ущерб или оскверняют их;  а в соответствии со статьей 160/4 караются лица, наносящие ущерб или повреждения "памятникам, статуям, картинам и иным предметам, которые могут быть использованы в культурных целях".  Кроме того, статья 77 Закона от 3 апреля 1990 года об информационной деятельности предусматривает наказание "лиц, которые в письменной, звуковой, изобразительной, художественной или иной форме прямо или косвенно оскорбляют ислам и иные вероисповедания".</w:t>
      </w:r>
    </w:p>
    <w:p w:rsidR="00000000" w:rsidRDefault="00000000"/>
    <w:p w:rsidR="00000000" w:rsidRDefault="00000000">
      <w:r>
        <w:t>75.</w:t>
      </w:r>
      <w:r>
        <w:tab/>
        <w:t>Гарантируемая Конституцией и законодательством свобода совести подвергалась серьезным нападкам со стороны террористических уголовных элементов.  Законодательство не содержит упоминания о "правонарушении" или "преступлении", связанном с вероотступничеством, и не карает смену религии, но после активизации террористических элементов отдельные посягательства на свободу вероисповедания и совести участились, приняв различные формы, от устных оскорблений до покушений на жизнь граждан.</w:t>
      </w:r>
    </w:p>
    <w:p w:rsidR="00000000" w:rsidRDefault="00000000"/>
    <w:p w:rsidR="00000000" w:rsidRDefault="00000000">
      <w:r>
        <w:t>76.</w:t>
      </w:r>
      <w:r>
        <w:tab/>
        <w:t xml:space="preserve">Несмотря на защиту государственных органов, несколько исламских духовных лиц были убиты за отказ перейти на позиции интегристов.  Такой же была судьба ряда христианских </w:t>
      </w:r>
      <w:proofErr w:type="spellStart"/>
      <w:r>
        <w:t>священнослужтителей</w:t>
      </w:r>
      <w:proofErr w:type="spellEnd"/>
      <w:r>
        <w:t xml:space="preserve">, которых обвинили в том, что они участвуют в "крестовом походе, направленном на </w:t>
      </w:r>
      <w:proofErr w:type="spellStart"/>
      <w:r>
        <w:t>евангелизацию</w:t>
      </w:r>
      <w:proofErr w:type="spellEnd"/>
      <w:r>
        <w:t xml:space="preserve"> страны".  На непродолжительное время </w:t>
      </w:r>
      <w:proofErr w:type="spellStart"/>
      <w:r>
        <w:t>интегристы</w:t>
      </w:r>
      <w:proofErr w:type="spellEnd"/>
      <w:r>
        <w:t xml:space="preserve"> даже создали свою "полицию нравов" в ряде сельских и городских районов для борьбы с теми, кто либо по своим убеждениям, либо по своему поведению, либо даже по своей одежде не соответствует "нормам", которые они сами установили под влиянием теоретиков </w:t>
      </w:r>
      <w:proofErr w:type="spellStart"/>
      <w:r>
        <w:t>фундаментализма</w:t>
      </w:r>
      <w:proofErr w:type="spellEnd"/>
      <w:r>
        <w:t>.</w:t>
      </w:r>
    </w:p>
    <w:p w:rsidR="00000000" w:rsidRDefault="00000000">
      <w:r>
        <w:br w:type="page"/>
      </w:r>
    </w:p>
    <w:p w:rsidR="00000000" w:rsidRDefault="00000000">
      <w:pPr>
        <w:pStyle w:val="12"/>
        <w:jc w:val="left"/>
        <w:rPr>
          <w:iCs/>
        </w:rPr>
      </w:pPr>
      <w:r>
        <w:rPr>
          <w:iCs/>
        </w:rPr>
        <w:tab/>
        <w:t>11.</w:t>
      </w:r>
      <w:r>
        <w:rPr>
          <w:iCs/>
        </w:rPr>
        <w:tab/>
        <w:t>Право на свободу убеждений и на свободное выражение их</w:t>
      </w:r>
    </w:p>
    <w:p w:rsidR="00000000" w:rsidRDefault="00000000">
      <w:pPr>
        <w:pStyle w:val="12"/>
        <w:rPr>
          <w:iCs/>
        </w:rPr>
      </w:pPr>
    </w:p>
    <w:p w:rsidR="00000000" w:rsidRDefault="00000000">
      <w:r>
        <w:t>77.</w:t>
      </w:r>
      <w:r>
        <w:tab/>
        <w:t>Статьи 36 и 41 Основного закона гласят, что право на свободу убеждений неприкосновенно, и гарантируют право на свободное выражение мнений.  Эти основополагающие права могут находить свое конкретное выражение в участии человека в деятельности какой</w:t>
      </w:r>
      <w:r>
        <w:noBreakHyphen/>
        <w:t>либо ассоциации, политической партии или средств массовой информации.  Статьи 35 и 40 Закона № 90</w:t>
      </w:r>
      <w:r>
        <w:noBreakHyphen/>
        <w:t>07 от 3 апреля 1990 года о Кодексе информационной деятельности признают за журналистами, соответственно, "право доступа к источникам информации" и "право на отказ выполнять какие-либо распоряжения, касающиеся выпускаемого материала, помимо распоряжений ответственных сотрудников редакции", обязывая их, однако, "строго соблюдать нормы профессиональной этики", в частности, посредством "изложения полной и объективной информации, исправления любой оказавшейся неточной информации и отказа от пропаганды расизма, нетерпимости и насилия".</w:t>
      </w:r>
    </w:p>
    <w:p w:rsidR="00000000" w:rsidRDefault="00000000"/>
    <w:p w:rsidR="00000000" w:rsidRDefault="00000000">
      <w:r>
        <w:t>78.</w:t>
      </w:r>
      <w:r>
        <w:tab/>
        <w:t>Пресса, на которую с момента достижения независимости распространялась государственная монополия, приобрела значительную свободу благодаря принципам демократии, закрепленным в Основном законе Алжира.  Свобода печати, выступающая ключевым элементом права на свободу убеждений и их свободное выражение, обеспечила возможность для публичных прений и способствовала формированию общественного мнения, с которым сегодня нельзя не считаться.  Вследствие такого значительного прогресса печатные средства массовой информации выполняют авангардную роль в борьбе за свободу и демократические завоевания.</w:t>
      </w:r>
    </w:p>
    <w:p w:rsidR="00000000" w:rsidRDefault="00000000"/>
    <w:p w:rsidR="00000000" w:rsidRDefault="00000000">
      <w:r>
        <w:t>79.</w:t>
      </w:r>
      <w:r>
        <w:tab/>
        <w:t>В настоящее время частная пресса занимает преобладающее место в сфере информационной деятельности как по числу названий печатных изданий, так и по количеству продаваемых экземпляров (</w:t>
      </w:r>
      <w:proofErr w:type="spellStart"/>
      <w:r>
        <w:t>87%</w:t>
      </w:r>
      <w:proofErr w:type="spellEnd"/>
      <w:r>
        <w:t xml:space="preserve">).  Частный сектор охватывает 66% ежедневных изданий и 87% читательской аудитории, 84% еженедельников и </w:t>
      </w:r>
      <w:proofErr w:type="spellStart"/>
      <w:r>
        <w:t>83%</w:t>
      </w:r>
      <w:proofErr w:type="spellEnd"/>
      <w:r>
        <w:t> читательской аудитории, а также и 86% периодики и 52% читателей.</w:t>
      </w:r>
    </w:p>
    <w:p w:rsidR="00000000" w:rsidRDefault="00000000"/>
    <w:p w:rsidR="00000000" w:rsidRDefault="00000000">
      <w:r>
        <w:t>80.</w:t>
      </w:r>
      <w:r>
        <w:tab/>
        <w:t>Кроме того, в стране существуют один телевизионный канал постоянного круглосуточного вещания на всю территорию страны, один канал спутникового телевидения, предназначенный для проживающих за границей алжирцев, три канала национального радиовещания, один канал международного радиовещания, 16 местных радиостанций и три специальных (тематических) канала.</w:t>
      </w:r>
    </w:p>
    <w:p w:rsidR="00000000" w:rsidRDefault="00000000"/>
    <w:p w:rsidR="00000000" w:rsidRDefault="00000000">
      <w:r>
        <w:t>81.</w:t>
      </w:r>
      <w:r>
        <w:tab/>
        <w:t>Выпуск газет и периодических изданий осуществляется на свободной основе и регламентируется лишь одним требованием, предусматривающим подачу соответствующей заявки за 30 дней до появления первого номера;  в течение этого срока производятся регистрация названия и проверка достоверности информации.  Публикации не должны содержать никаких, даже рекламных, объявлений, разжигающих насилие или ненависть;  в случае нарушения этих положений "учреждения, органы или официально признанные ассоциации, занимающиеся вопросами прав человека и охраны детей, вправе предъявить гражданский иск" (статья 27).</w:t>
      </w:r>
    </w:p>
    <w:p w:rsidR="00000000" w:rsidRDefault="00000000"/>
    <w:p w:rsidR="00000000" w:rsidRDefault="00000000">
      <w:r>
        <w:t>82.</w:t>
      </w:r>
      <w:r>
        <w:tab/>
        <w:t>В целях обеспечения развития сектора печати и улучшения его финансового положения государственные власти инициировали также принятие Закона о рекламе, которой положил конец существовавший ранее в этой области государственной монополии.  Был учрежден Фонд помощи как государственным, так и частным органам печати.  Одна из главных целей этого Фонда заключается в обеспечении более широкого распространения газет и журналов на всей территории страны, включая отдаленные районы.</w:t>
      </w:r>
    </w:p>
    <w:p w:rsidR="00000000" w:rsidRDefault="00000000"/>
    <w:p w:rsidR="00000000" w:rsidRDefault="00000000">
      <w:pPr>
        <w:rPr>
          <w:i/>
          <w:iCs/>
        </w:rPr>
      </w:pPr>
      <w:r>
        <w:tab/>
      </w:r>
      <w:r>
        <w:rPr>
          <w:i/>
          <w:iCs/>
        </w:rPr>
        <w:t>12.</w:t>
      </w:r>
      <w:r>
        <w:rPr>
          <w:i/>
          <w:iCs/>
        </w:rPr>
        <w:tab/>
        <w:t>Право на свободу мирных собраний и ассоциаций</w:t>
      </w:r>
    </w:p>
    <w:p w:rsidR="00000000" w:rsidRDefault="00000000"/>
    <w:p w:rsidR="00000000" w:rsidRDefault="00000000">
      <w:r>
        <w:t>83.</w:t>
      </w:r>
      <w:r>
        <w:tab/>
        <w:t>Право на свободу мирных собраний признается в статье 41 пересмотренной Конституции:  "</w:t>
      </w:r>
      <w:r>
        <w:rPr>
          <w:i/>
          <w:iCs/>
        </w:rPr>
        <w:t xml:space="preserve">Свобода выражения мнений, ассоциаций и собраний гарантируется всем гражданам".  </w:t>
      </w:r>
      <w:r>
        <w:t>Порядок осуществления этого права определен в Законе № 89-28 от 31 декабря 1989 года о публичных собраниях и манифестациях.  Из положений этого Закона (статей 2-20) вытекает, что указанное право осуществляется в рамках гибкой процедуры, предусматривающей предварительное уведомление государственных органов (за три дня до проведения собраний и за пять дней до проведения манифестаций).</w:t>
      </w:r>
    </w:p>
    <w:p w:rsidR="00000000" w:rsidRDefault="00000000"/>
    <w:p w:rsidR="00000000" w:rsidRDefault="00000000">
      <w:r>
        <w:t>84.</w:t>
      </w:r>
      <w:r>
        <w:tab/>
        <w:t>Закон № 91-19 от 2 декабря 1991 года увеличил до восьми полных дней срок предварительного уведомления о проведении публичных собраний, которые впредь должны санкционироваться вали (префектом).  Любая манифестация, проводимая без разрешения или после ее запрещения, считается скоплением людей, о разгоне которого вправе принять решение министр внутренних дел или префект соответствующей территории.</w:t>
      </w:r>
    </w:p>
    <w:p w:rsidR="00000000" w:rsidRDefault="00000000"/>
    <w:p w:rsidR="00000000" w:rsidRDefault="00000000">
      <w:r>
        <w:t>85.</w:t>
      </w:r>
      <w:r>
        <w:tab/>
        <w:t>После политических партий профсоюзное движение является сегодня одним из наиболее динамичных факторов общественной, культурной и научной жизни.  Облегчение разрешительной процедуры, установленной Законом № 90</w:t>
      </w:r>
      <w:r>
        <w:noBreakHyphen/>
        <w:t>31 от 4 декабря 1990 года, касающимся упрощения регистрационных требований, повлекло за собой значительный рост числа ассоциаций.  Если в 1976</w:t>
      </w:r>
      <w:r>
        <w:noBreakHyphen/>
        <w:t>1988 годах, т.е. за 12 лет, было санкционировано создание лишь 98 национальных ассоциаций, то в 1989</w:t>
      </w:r>
      <w:r>
        <w:noBreakHyphen/>
        <w:t>1996 годах, т.е. за период чуть более шести лет, появилось 678 новых ассоциаций.  Было создано в общей сложности 776 национальных ассоциаций и 45 000 местных ассоциаций.</w:t>
      </w:r>
    </w:p>
    <w:p w:rsidR="00000000" w:rsidRDefault="00000000"/>
    <w:p w:rsidR="00000000" w:rsidRDefault="00000000">
      <w:r>
        <w:t>86.</w:t>
      </w:r>
      <w:r>
        <w:tab/>
        <w:t>Эти ассоциации можно классифицировать по следующим признакам, лежащим в основе их создания:</w:t>
      </w:r>
    </w:p>
    <w:p w:rsidR="00000000" w:rsidRDefault="00000000"/>
    <w:p w:rsidR="00000000" w:rsidRDefault="00000000">
      <w:pPr>
        <w:tabs>
          <w:tab w:val="clear" w:pos="567"/>
          <w:tab w:val="decimal" w:pos="709"/>
        </w:tabs>
      </w:pPr>
      <w:r>
        <w:tab/>
        <w:t>-</w:t>
      </w:r>
      <w:r>
        <w:tab/>
      </w:r>
      <w:proofErr w:type="spellStart"/>
      <w:r>
        <w:t>корпоратизм</w:t>
      </w:r>
      <w:proofErr w:type="spellEnd"/>
      <w:r>
        <w:t> – 256 ассоциаций;</w:t>
      </w:r>
    </w:p>
    <w:p w:rsidR="00000000" w:rsidRDefault="00000000">
      <w:pPr>
        <w:tabs>
          <w:tab w:val="clear" w:pos="567"/>
          <w:tab w:val="decimal" w:pos="709"/>
        </w:tabs>
      </w:pPr>
    </w:p>
    <w:p w:rsidR="00000000" w:rsidRDefault="00000000">
      <w:pPr>
        <w:tabs>
          <w:tab w:val="clear" w:pos="567"/>
          <w:tab w:val="decimal" w:pos="709"/>
        </w:tabs>
      </w:pPr>
      <w:r>
        <w:tab/>
        <w:t>-</w:t>
      </w:r>
      <w:r>
        <w:tab/>
        <w:t>развитие культуры – 168 ассоциаций;</w:t>
      </w:r>
    </w:p>
    <w:p w:rsidR="00000000" w:rsidRDefault="00000000">
      <w:pPr>
        <w:tabs>
          <w:tab w:val="clear" w:pos="567"/>
          <w:tab w:val="decimal" w:pos="709"/>
        </w:tabs>
      </w:pPr>
    </w:p>
    <w:p w:rsidR="00000000" w:rsidRDefault="00000000">
      <w:pPr>
        <w:tabs>
          <w:tab w:val="clear" w:pos="567"/>
          <w:tab w:val="decimal" w:pos="709"/>
        </w:tabs>
      </w:pPr>
      <w:r>
        <w:tab/>
        <w:t>-</w:t>
      </w:r>
      <w:r>
        <w:tab/>
        <w:t>научный прогресс – 408 ассоциаций;</w:t>
      </w:r>
    </w:p>
    <w:p w:rsidR="00000000" w:rsidRDefault="00000000">
      <w:pPr>
        <w:tabs>
          <w:tab w:val="clear" w:pos="567"/>
          <w:tab w:val="decimal" w:pos="709"/>
        </w:tabs>
      </w:pPr>
    </w:p>
    <w:p w:rsidR="00000000" w:rsidRDefault="00000000">
      <w:pPr>
        <w:tabs>
          <w:tab w:val="clear" w:pos="567"/>
          <w:tab w:val="decimal" w:pos="709"/>
        </w:tabs>
      </w:pPr>
      <w:r>
        <w:tab/>
        <w:t>-</w:t>
      </w:r>
      <w:r>
        <w:tab/>
        <w:t>деятельность, связанная с интересами детей и молодежи, – 46 ассоциаций;</w:t>
      </w:r>
    </w:p>
    <w:p w:rsidR="00000000" w:rsidRDefault="00000000">
      <w:pPr>
        <w:tabs>
          <w:tab w:val="clear" w:pos="567"/>
          <w:tab w:val="decimal" w:pos="709"/>
        </w:tabs>
      </w:pPr>
    </w:p>
    <w:p w:rsidR="00000000" w:rsidRDefault="00000000">
      <w:pPr>
        <w:tabs>
          <w:tab w:val="clear" w:pos="567"/>
          <w:tab w:val="decimal" w:pos="709"/>
        </w:tabs>
        <w:ind w:left="1134" w:hanging="1134"/>
      </w:pPr>
      <w:r>
        <w:tab/>
        <w:t>-</w:t>
      </w:r>
      <w:r>
        <w:tab/>
        <w:t>альтруистические соображения – 31 ассоциация (солидарность, оказание помощи, благотворительность, интересы инвалидов и недееспособных);</w:t>
      </w:r>
    </w:p>
    <w:p w:rsidR="00000000" w:rsidRDefault="00000000">
      <w:pPr>
        <w:tabs>
          <w:tab w:val="clear" w:pos="567"/>
          <w:tab w:val="decimal" w:pos="709"/>
        </w:tabs>
        <w:ind w:left="1134" w:hanging="1134"/>
      </w:pPr>
    </w:p>
    <w:p w:rsidR="00000000" w:rsidRDefault="00000000">
      <w:pPr>
        <w:tabs>
          <w:tab w:val="clear" w:pos="567"/>
          <w:tab w:val="decimal" w:pos="709"/>
        </w:tabs>
      </w:pPr>
      <w:r>
        <w:tab/>
        <w:t>-</w:t>
      </w:r>
      <w:r>
        <w:tab/>
        <w:t xml:space="preserve">укрепление дружбы, программы обмена и сотрудничества – 21 ассоциация. </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87.</w:t>
      </w:r>
      <w:r>
        <w:tab/>
        <w:t>Наряду с количественными аспектами, дающими общее представление о характере и направленности общественных движений, немаловажное значение имеют качественные аспекты, связанные, в частности, с конкретными сферами деятельности.  Некоторые ассоциации, пусть даже немногочисленные, имеют вес в обществе и оказывают весомое социально-политическое или чисто социальное влияние:  таковыми являются, например, ассоциации, занимающиеся вопросами культурного наследия, окружающей среды, защиты прав пользователей, потребителей.</w:t>
      </w:r>
    </w:p>
    <w:p w:rsidR="00000000" w:rsidRDefault="00000000"/>
    <w:p w:rsidR="00000000" w:rsidRDefault="00000000">
      <w:pPr>
        <w:pStyle w:val="16"/>
        <w:jc w:val="left"/>
        <w:rPr>
          <w:i/>
          <w:iCs/>
        </w:rPr>
      </w:pPr>
      <w:r>
        <w:tab/>
      </w:r>
      <w:r>
        <w:rPr>
          <w:i/>
          <w:iCs/>
        </w:rPr>
        <w:t>13.</w:t>
      </w:r>
      <w:r>
        <w:rPr>
          <w:i/>
          <w:iCs/>
        </w:rPr>
        <w:tab/>
        <w:t>Право на труд и на равное вознаграждение</w:t>
      </w:r>
    </w:p>
    <w:p w:rsidR="00000000" w:rsidRDefault="00000000"/>
    <w:p w:rsidR="00000000" w:rsidRDefault="00000000">
      <w:r>
        <w:t>88.</w:t>
      </w:r>
      <w:r>
        <w:tab/>
        <w:t>Право на труд было закреплено во всех конституциях независимого Алжира.  В статье 55 Основного закона от 28 ноября 1996 года, в частности, говорится, что:  "все граждане имеют право на труд.  Право на защиту, безопасность и гигиену труда гарантируется законом".</w:t>
      </w:r>
    </w:p>
    <w:p w:rsidR="00000000" w:rsidRDefault="00000000"/>
    <w:p w:rsidR="00000000" w:rsidRDefault="00000000">
      <w:r>
        <w:t>89.</w:t>
      </w:r>
      <w:r>
        <w:tab/>
        <w:t>Равенство прав гарантируется также Законом о трудоустройстве, заработной плате и развитии личности.  Такие меры способствовали существенному продвижению вперед в различных областях деятельности.  В отношении государственной службы в принятых по аналогии с типовым уставом государственной службы положениях законов и иных нормативных актов (Декрет 85-59 от 23 марта 1985 года) не устанавливается никакой дискриминации между гражданами.</w:t>
      </w:r>
    </w:p>
    <w:p w:rsidR="00000000" w:rsidRDefault="00000000"/>
    <w:p w:rsidR="00000000" w:rsidRDefault="00000000">
      <w:r>
        <w:t>90.</w:t>
      </w:r>
      <w:r>
        <w:tab/>
        <w:t xml:space="preserve">В Законе № 90-11 о трудовых отношениях перечислены основные права, которыми наделены работники (право на участие в коллективных переговорах, право на социальное страхование, право на здоровые и безопасные условия труда и охрану труда, право на отдых, право на забастовку и т.д.), и подтверждается право на защиту от дискриминации в области труда на основаниях иных, нежели способности и достоинства работника (статья 6).  В статье 17 говорится:  "любое положение коллективного договора или соглашения или трудового контракта, способное повлечь за собой любого рода дискриминацию в области труда по признаку возраста, пола, социального или семейного положения, семейных связей, политических взглядов и членства в профсоюзах, считается недействительным и не имеющим силы".  Наказания за такого рода дискриминацию предусмотрены в статьях 142 и 143 этого же Закона. </w:t>
      </w:r>
    </w:p>
    <w:p w:rsidR="00000000" w:rsidRDefault="00000000"/>
    <w:p w:rsidR="00000000" w:rsidRDefault="00000000">
      <w:r>
        <w:t>91.</w:t>
      </w:r>
      <w:r>
        <w:tab/>
        <w:t>В соответствии со статьями 29, 31, 33, 51 и 55 Конституции в алжирском законодательстве закреплен принцип равенства мужчин и женщин.  Этот принцип также распространяется на оплату труда, вследствие чего женщины получают за равный труд такую же заработную плату, как и мужчины.</w:t>
      </w:r>
      <w:r>
        <w:tab/>
      </w:r>
    </w:p>
    <w:p w:rsidR="00000000" w:rsidRDefault="00000000"/>
    <w:p w:rsidR="00000000" w:rsidRDefault="00000000">
      <w:r>
        <w:t>92.</w:t>
      </w:r>
      <w:r>
        <w:tab/>
        <w:t xml:space="preserve">Несмотря на экономические, социальные и культурные преграды, политика по поощрению школьного образования позволила постепенно уменьшить долю неграмотных женщин (с 81% в 1977 году до 56% в 1987 году и 49% в 1993 году) и открыть рынок рабочей силы для женщин (в 1977 году работали 5,9% всех женщин, в 1987 году - 8,1%, а в 1993 году - 10,1%).  Все больше девушек проходят профессиональное обучение:  в 1992 году они составляли 38,9% всех учащихся.  Как показало исследование, проведенное в 1990 году группой женщин из Сетифа (небольшого города, расположенного в центральной части страны)  относительно взаимосвязи между трудовой деятельностью и браком, 80% женщин желают продолжать работать после вступления в брак и причиной 40% разводов является отказ мужей разрешить их супругам работать.  Отмечается усиление этой тенденции на фоне качественной эволюции женской занятости:  в 1994 году </w:t>
      </w:r>
      <w:proofErr w:type="spellStart"/>
      <w:r>
        <w:t>34%</w:t>
      </w:r>
      <w:proofErr w:type="spellEnd"/>
      <w:r>
        <w:t xml:space="preserve"> работающих женщин были неграмотными, а в 1997 году доля таких женщин составляла лишь 12,5%.  Сейчас 67% работающих женщин имеют по крайней мере среднее образование против 19% мужчин.  54% этих женщин являются незамужними, а доля работающих женщин, являющихся вдовами или разведенными, составляет 16%.  В качестве примера можно привести тот факт, что по состоянию на 15 сентября 1995 года из общего числа 2 164 магистратов 498 были женщинами.  Эта эволюция отражает глубокие изменения в сознании.</w:t>
      </w:r>
    </w:p>
    <w:p w:rsidR="00000000" w:rsidRDefault="00000000"/>
    <w:p w:rsidR="00000000" w:rsidRDefault="00000000">
      <w:r>
        <w:t>93.</w:t>
      </w:r>
      <w:r>
        <w:tab/>
        <w:t>Идентичная эволюция отмечается и в другом ключевом секторе социального развития - в сфере школьного образования.  В настоящее время девочки составляют от 45% до 48% всех учащихся в учебных заведениях систем начального, неполного среднего, среднего и университетского образования.  В системе начального образования 43% от общего числа преподавателей составляют женщины (этот показатель достигает 82% в пяти наиболее крупных городах страны - Алжире, Оране, Константине, Аннабе и Сетифе), 45% - в системе неполного среднего образования (71% - в названных городах) и 33% - в системе среднего образования (61% - в названных городах).  Со временем, пусть даже не самыми быстрыми темпами, за этими изменениями неизбежно последует пересмотр нормативных положений.</w:t>
      </w:r>
    </w:p>
    <w:p w:rsidR="00000000" w:rsidRDefault="00000000"/>
    <w:p w:rsidR="00000000" w:rsidRDefault="00000000">
      <w:r>
        <w:t>94.</w:t>
      </w:r>
      <w:r>
        <w:tab/>
        <w:t xml:space="preserve">Статистические данные говорят о все большем смещении в пользу женщин соотношения мужчин и женщин, занятых в области медицины и фармацевтики.  В 1996 году женщины составляли 51% от общего числа лиц, работающих в этой сфере.  Что касается врачей, то в университетских клиниках женщины составляют 36%, среди врачей-специалистов - 46,7% и среди врачей-терапевтов - 48,6%.  Этот показатель среди хирургов-стоматологов равен 64,4%, а среди фармацевтов - 65,4%. </w:t>
      </w:r>
    </w:p>
    <w:p w:rsidR="00000000" w:rsidRDefault="00000000"/>
    <w:p w:rsidR="00000000" w:rsidRDefault="00000000">
      <w:r>
        <w:t>95.</w:t>
      </w:r>
      <w:r>
        <w:tab/>
        <w:t>В рамки такого движения в сторону постепенной эмансипации вписывается ратификация Алжиром Конвенции о ликвидации всех форм дискриминации в отношении женщин, ставшая предметом оживленного обсуждения в алжирском обществе, в рамках которого разные позиции отстаивали консервативные круги и круги, поддерживающие эмансипацию женщин.  Правительство выступало за присоединение к Конвенции с некоторыми оговорками - они, отметим, не касаются существа ее положений, - исходя из того, что присоединение к этой Конвенции и к другим аналогичным договорам следует использовать в качестве аргумента в пользу социальных и нормативных преобразований, которые, в свою очередь, приведут позднее к снятию этих оговорок.  Присоединение к Конвенции побудило правительство рассмотреть вопрос о внесении в Семейный кодекс поправок, которые будут представлены на рассмотрение плюралистического Национального собрания нынешнего созыва.</w:t>
      </w:r>
    </w:p>
    <w:p w:rsidR="00000000" w:rsidRDefault="00000000"/>
    <w:p w:rsidR="00000000" w:rsidRDefault="00000000">
      <w:pPr>
        <w:rPr>
          <w:i/>
          <w:iCs/>
        </w:rPr>
      </w:pPr>
      <w:r>
        <w:rPr>
          <w:i/>
          <w:iCs/>
        </w:rPr>
        <w:tab/>
        <w:t>14.</w:t>
      </w:r>
      <w:r>
        <w:rPr>
          <w:i/>
          <w:iCs/>
        </w:rPr>
        <w:tab/>
        <w:t xml:space="preserve">Право создавать профессиональные союзы и вступать в них </w:t>
      </w:r>
    </w:p>
    <w:p w:rsidR="00000000" w:rsidRDefault="00000000">
      <w:pPr>
        <w:rPr>
          <w:i/>
          <w:iCs/>
        </w:rPr>
      </w:pPr>
    </w:p>
    <w:p w:rsidR="00000000" w:rsidRDefault="00000000">
      <w:r>
        <w:t>96.</w:t>
      </w:r>
      <w:r>
        <w:tab/>
        <w:t>В соответствии со статьей 56 Основного закона  "право на участие в профсоюзной деятельности признается за всеми гражданами".  Этот принцип закреплен в Законе № 90</w:t>
      </w:r>
      <w:r>
        <w:noBreakHyphen/>
        <w:t xml:space="preserve">14, принятом 2 июня 1990 года, который был изменен и дополнен Законом № 91-30 от 21 декабря 1991 года и Указом № 96-12 от 6 июня 1996 года, где за лицами наемного труда, работающими в частном и государственном секторах, признается право образовывать свои независимые профсоюзные организации, не связанные с политическими партиями.  При этом следует уточнить, что в настоящее время Всеобщий союз алжирских трудящихся (ВСАТ) - первый профсоюз, созданный в Алжире в период освободительной войны - является самой крупной профессиональной организацией трудящихся в Алжире.  Это обусловлено в первую очередь тем фактом, что до перехода страны к рыночной экономике ВСАТ был единственным профсоюзом, действовавшим на предприятиях государственного сектора.  </w:t>
      </w:r>
    </w:p>
    <w:p w:rsidR="00000000" w:rsidRDefault="00000000"/>
    <w:p w:rsidR="00000000" w:rsidRDefault="00000000">
      <w:r>
        <w:rPr>
          <w:lang w:val="en-US"/>
        </w:rPr>
        <w:t>97.</w:t>
      </w:r>
      <w:r>
        <w:rPr>
          <w:lang w:val="en-US"/>
        </w:rPr>
        <w:tab/>
      </w:r>
      <w:r>
        <w:t>В настоящее время насчитывается 58 общенациональных организаций лиц наемного труда и 19 организаций работодателей, в том числе 2 в государственном секторе и 17 – в частном секторе.  В</w:t>
      </w:r>
      <w:r>
        <w:rPr>
          <w:lang w:val="en-US"/>
        </w:rPr>
        <w:t xml:space="preserve"> </w:t>
      </w:r>
      <w:r>
        <w:t xml:space="preserve">этой связи примечателен факт преобладания профсоюзов, действующих в государственном секторе:  здравоохранение </w:t>
      </w:r>
      <w:r>
        <w:noBreakHyphen/>
        <w:t xml:space="preserve"> девять профсоюзов;  социальное обеспечение </w:t>
      </w:r>
      <w:r>
        <w:noBreakHyphen/>
        <w:t xml:space="preserve"> девять профсоюзов;  транспорт </w:t>
      </w:r>
      <w:r>
        <w:noBreakHyphen/>
        <w:t xml:space="preserve"> семь профсоюзов;  образование </w:t>
      </w:r>
      <w:r>
        <w:noBreakHyphen/>
        <w:t xml:space="preserve"> шесть профсоюзов;  профессиональная подготовка </w:t>
      </w:r>
      <w:r>
        <w:noBreakHyphen/>
        <w:t xml:space="preserve"> шесть профсоюзов.  В то же время существует множество независимых профсоюзов, которые не представлены на национальном уровне.</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pPr>
      <w:r>
        <w:t>98.</w:t>
      </w:r>
      <w:r>
        <w:tab/>
        <w:t>Право на забастовку закреплено в Конституции и кодифицировано на основании закона, принятого парламентом.  Количество коллективных споров, случаев арбитражного разбирательства и социальных конфликтов, которые ежегодно возникали после упомянутой даты, наглядно свидетельствует об эффективности механизмов поощрения материальных и индивидуальных неимущественных прав различных профессиональных категорий или некоторых категорий трудящихся.  Таким образом, при провале коллективных переговоров объявление забастовки является законным правом, защита которого гарантируется Конституцией, если оно осуществляется в соответствии с действующим законодательством.  Это право является действенным и распространяется на все секторы, включая административные органы и структуры государства.</w:t>
      </w:r>
    </w:p>
    <w:p w:rsidR="00000000" w:rsidRDefault="00000000">
      <w:pPr>
        <w:pStyle w:val="FootnoteText"/>
        <w:tabs>
          <w:tab w:val="left" w:pos="3686"/>
          <w:tab w:val="left" w:pos="4536"/>
        </w:tabs>
        <w:spacing w:line="288" w:lineRule="auto"/>
      </w:pPr>
    </w:p>
    <w:p w:rsidR="00000000" w:rsidRDefault="00000000">
      <w:pPr>
        <w:rPr>
          <w:i/>
          <w:iCs/>
        </w:rPr>
      </w:pPr>
      <w:r>
        <w:tab/>
      </w:r>
      <w:r>
        <w:rPr>
          <w:i/>
          <w:iCs/>
        </w:rPr>
        <w:t>15.</w:t>
      </w:r>
      <w:r>
        <w:rPr>
          <w:i/>
          <w:iCs/>
        </w:rPr>
        <w:tab/>
        <w:t>Право на жилище</w:t>
      </w:r>
    </w:p>
    <w:p w:rsidR="00000000" w:rsidRDefault="00000000"/>
    <w:p w:rsidR="00000000" w:rsidRDefault="00000000">
      <w:r>
        <w:t>99.</w:t>
      </w:r>
      <w:r>
        <w:tab/>
        <w:t>Власти страны всегда уделяли большое внимание удовлетворению потребностей населения в жилье, хотя наращивание объема капиталовложений в жилищное строительство постоянно нивелировалось ростом численности населения.  Высокие темпы роста численности населения за три десятилетия, прошедшие со дня приобретения страной независимости, привели к тому, что в возрастной структуре значительна доля молодежи в возрасте до 30 лет, т.е. доля лиц, стремящихся получить жилье;  поэтому соотношение между потенциальными просителями жилья и объемом жилищного строительства остается стабильным.</w:t>
      </w:r>
    </w:p>
    <w:p w:rsidR="00000000" w:rsidRDefault="00000000"/>
    <w:p w:rsidR="00000000" w:rsidRDefault="00000000">
      <w:r>
        <w:t>100.</w:t>
      </w:r>
      <w:r>
        <w:tab/>
        <w:t>Для жилищного фонда, который в 1996 году составлял, согласно оценкам, более 3 млн. единиц жилья, население Алжира, насчитывающее порядка 29 млн. человек, растет быстрыми темпами, и в 2000 году достигнет отметки в 31 млн. человек.  Констатация этого факта заставила власти начиная с 1996 года задуматься об адекватности проводимой политики в области жилищного строительства и побудило их разработать стратегию, которая позволит построить к концу 2000 года 1,2 млн. единиц жилья.  Следуя курсом на диверсификацию предложения, способного удовлетворить максимум потребностей, государственные власти прилагают в настоящее время усилия для мобилизации всех потенциальных возможностей, не теряя, однако, из виду того, что определенная часть населения действительно нуждается в помощи.</w:t>
      </w:r>
    </w:p>
    <w:p w:rsidR="00000000" w:rsidRDefault="00000000"/>
    <w:p w:rsidR="00000000" w:rsidRDefault="00000000">
      <w:r>
        <w:t>101.</w:t>
      </w:r>
      <w:r>
        <w:tab/>
        <w:t>Помимо социального жилья, доступ к которому имеют наиболее нуждающиеся слои населения, действуют различные схемы, основанные на оказании помощи для приобретения жилья и учитывающие материальные возможности стремящихся получить жилье лиц:  либо в рамках бонификации процентов по ссудам, либо в форме оказания прямой помощи для строительства или приобретения жилья.  На всей территории страны граждане могут воспользоваться схемами, которые предусматривают различные виды субсидируемого жилья, самостоятельное строительство в сельских и городских районах, а также оказание комплекса риэлтовских услуг.</w:t>
      </w:r>
    </w:p>
    <w:p w:rsidR="00000000" w:rsidRDefault="00000000"/>
    <w:p w:rsidR="00000000" w:rsidRDefault="00000000">
      <w:r>
        <w:t>102.</w:t>
      </w:r>
      <w:r>
        <w:tab/>
        <w:t xml:space="preserve">Следует также отметить, что государственные власти постоянно уделяли приоритетное внимание улучшению комфортности жилищ посредством их подключения к системам электро-, </w:t>
      </w:r>
      <w:proofErr w:type="spellStart"/>
      <w:r>
        <w:t>газо</w:t>
      </w:r>
      <w:proofErr w:type="spellEnd"/>
      <w:r>
        <w:t>-, водоснабжения и канализации.  Принятые в этом направлении меры позволили обеспечить подключение:</w:t>
      </w:r>
    </w:p>
    <w:p w:rsidR="00000000" w:rsidRDefault="00000000"/>
    <w:p w:rsidR="00000000" w:rsidRDefault="00000000">
      <w:r>
        <w:tab/>
        <w:t>-</w:t>
      </w:r>
      <w:r>
        <w:tab/>
        <w:t>93,4% жилищ к системам электроснабжения против 72,7% в 1989 году;</w:t>
      </w:r>
    </w:p>
    <w:p w:rsidR="00000000" w:rsidRDefault="00000000"/>
    <w:p w:rsidR="00000000" w:rsidRDefault="00000000">
      <w:r>
        <w:tab/>
        <w:t>-</w:t>
      </w:r>
      <w:r>
        <w:tab/>
        <w:t>76,8% жилищ к системам снабжения питьевой водой против 58% в 1987 году;</w:t>
      </w:r>
    </w:p>
    <w:p w:rsidR="00000000" w:rsidRDefault="00000000"/>
    <w:p w:rsidR="00000000" w:rsidRDefault="00000000">
      <w:r>
        <w:tab/>
        <w:t>-</w:t>
      </w:r>
      <w:r>
        <w:tab/>
        <w:t>96,1% жилищ к системам канализации против 63% в 1987 году;</w:t>
      </w:r>
    </w:p>
    <w:p w:rsidR="00000000" w:rsidRDefault="00000000"/>
    <w:p w:rsidR="00000000" w:rsidRDefault="00000000">
      <w:r>
        <w:tab/>
        <w:t>-</w:t>
      </w:r>
      <w:r>
        <w:tab/>
        <w:t>54% жилищ к системам газоснабжения.</w:t>
      </w:r>
    </w:p>
    <w:p w:rsidR="00000000" w:rsidRDefault="00000000"/>
    <w:p w:rsidR="00000000" w:rsidRDefault="00000000">
      <w:pPr>
        <w:pStyle w:val="16"/>
        <w:ind w:left="1134" w:hanging="1134"/>
        <w:jc w:val="left"/>
        <w:rPr>
          <w:i/>
          <w:iCs/>
        </w:rPr>
      </w:pPr>
      <w:r>
        <w:tab/>
      </w:r>
      <w:r>
        <w:rPr>
          <w:i/>
          <w:iCs/>
        </w:rPr>
        <w:t>16.</w:t>
      </w:r>
      <w:r>
        <w:rPr>
          <w:i/>
          <w:iCs/>
        </w:rPr>
        <w:tab/>
        <w:t>Право на медицинскую помощь и социальную защиту</w:t>
      </w:r>
    </w:p>
    <w:p w:rsidR="00000000" w:rsidRDefault="00000000">
      <w:pPr>
        <w:pStyle w:val="16"/>
        <w:jc w:val="left"/>
      </w:pPr>
    </w:p>
    <w:p w:rsidR="00000000" w:rsidRDefault="00000000">
      <w:r>
        <w:t>103.</w:t>
      </w:r>
      <w:r>
        <w:tab/>
        <w:t xml:space="preserve">Право на охрану здоровья является конституционным правом (статья 54 Конституции).  Доступ к медицинским услугам обеспечивается населению без какой бы то ни было дискриминации.  Согласно оценкам, медицинским обслуживанием, носящим практически всеобъемлющий характер, охвачены 98% жителей страны.  Благодаря развитой системе здравоохранения абсолютное большинство жителей страны могут добраться менее чем за час до соответствующего медицинского учреждения.  </w:t>
      </w:r>
    </w:p>
    <w:p w:rsidR="00000000" w:rsidRDefault="00000000"/>
    <w:p w:rsidR="00000000" w:rsidRDefault="00000000">
      <w:r>
        <w:t>104.</w:t>
      </w:r>
      <w:r>
        <w:tab/>
        <w:t>Согласно данным, которые содержатся в разделе "Доступ к медицинским услугам" обследования уровня жизни, проведенного Национальным статистическим управлением в конце 1995 года, доля больных, обращавшихся за консультацией, была значительной и охватывала более трех четвертей населения.  Причем, как подтверждает таблица 1, женщины находились в благоприятном положении в плане доступа к медицинским услугам как в городских, так и в сельских районах.  Вместе с тем следует отметить небольшие различия между районами проживания.</w:t>
      </w:r>
    </w:p>
    <w:p w:rsidR="00000000" w:rsidRDefault="00000000"/>
    <w:p w:rsidR="00000000" w:rsidRDefault="00000000">
      <w:pPr>
        <w:pStyle w:val="11"/>
      </w:pPr>
      <w:r>
        <w:t>Таблица 1</w:t>
      </w:r>
    </w:p>
    <w:p w:rsidR="00000000" w:rsidRDefault="00000000">
      <w:pPr>
        <w:pStyle w:val="11"/>
      </w:pPr>
    </w:p>
    <w:p w:rsidR="00000000" w:rsidRDefault="00000000">
      <w:pPr>
        <w:pStyle w:val="11"/>
      </w:pPr>
      <w:r>
        <w:t>Доля больных, обращавшихся за консультацией</w:t>
      </w:r>
    </w:p>
    <w:p w:rsidR="00000000" w:rsidRDefault="00000000">
      <w:pPr>
        <w:pStyle w:val="16"/>
      </w:pPr>
      <w:r>
        <w:t>(</w:t>
      </w:r>
      <w:r>
        <w:rPr>
          <w:u w:val="single"/>
        </w:rPr>
        <w:t>в процентах</w:t>
      </w:r>
      <w:r>
        <w:t>)</w:t>
      </w:r>
    </w:p>
    <w:p w:rsidR="00000000" w:rsidRDefault="00000000">
      <w:pPr>
        <w:pStyle w:val="16"/>
        <w:shd w:val="clear" w:color="auto" w:fill="FFFFFF"/>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2124"/>
        <w:gridCol w:w="2392"/>
        <w:gridCol w:w="2392"/>
      </w:tblGrid>
      <w:tr w:rsidR="00000000">
        <w:tblPrEx>
          <w:tblCellMar>
            <w:top w:w="0" w:type="dxa"/>
            <w:bottom w:w="0" w:type="dxa"/>
          </w:tblCellMar>
        </w:tblPrEx>
        <w:tc>
          <w:tcPr>
            <w:tcW w:w="2553" w:type="dxa"/>
            <w:tcBorders>
              <w:top w:val="nil"/>
              <w:left w:val="nil"/>
              <w:bottom w:val="single" w:sz="4" w:space="0" w:color="auto"/>
            </w:tcBorders>
            <w:shd w:val="clear" w:color="auto" w:fill="FFFFFF"/>
            <w:vAlign w:val="center"/>
          </w:tcPr>
          <w:p w:rsidR="00000000" w:rsidRDefault="00000000">
            <w:pPr>
              <w:pStyle w:val="FootnoteText"/>
              <w:spacing w:after="40" w:line="360" w:lineRule="auto"/>
              <w:jc w:val="center"/>
            </w:pPr>
          </w:p>
        </w:tc>
        <w:tc>
          <w:tcPr>
            <w:tcW w:w="2124" w:type="dxa"/>
            <w:tcBorders>
              <w:bottom w:val="single" w:sz="4" w:space="0" w:color="auto"/>
            </w:tcBorders>
            <w:shd w:val="clear" w:color="auto" w:fill="FFFFFF"/>
            <w:vAlign w:val="center"/>
          </w:tcPr>
          <w:p w:rsidR="00000000" w:rsidRDefault="00000000">
            <w:pPr>
              <w:spacing w:after="40" w:line="360" w:lineRule="auto"/>
              <w:jc w:val="center"/>
            </w:pPr>
            <w:r>
              <w:t>Мужчины</w:t>
            </w:r>
          </w:p>
        </w:tc>
        <w:tc>
          <w:tcPr>
            <w:tcW w:w="2392" w:type="dxa"/>
            <w:tcBorders>
              <w:bottom w:val="single" w:sz="4" w:space="0" w:color="auto"/>
            </w:tcBorders>
            <w:shd w:val="clear" w:color="auto" w:fill="FFFFFF"/>
            <w:vAlign w:val="center"/>
          </w:tcPr>
          <w:p w:rsidR="00000000" w:rsidRDefault="00000000">
            <w:pPr>
              <w:spacing w:after="40" w:line="360" w:lineRule="auto"/>
              <w:jc w:val="center"/>
            </w:pPr>
            <w:r>
              <w:t>Женщины</w:t>
            </w:r>
          </w:p>
        </w:tc>
        <w:tc>
          <w:tcPr>
            <w:tcW w:w="2392" w:type="dxa"/>
            <w:tcBorders>
              <w:bottom w:val="single" w:sz="4" w:space="0" w:color="auto"/>
            </w:tcBorders>
            <w:shd w:val="clear" w:color="auto" w:fill="FFFFFF"/>
            <w:vAlign w:val="center"/>
          </w:tcPr>
          <w:p w:rsidR="00000000" w:rsidRDefault="00000000">
            <w:pPr>
              <w:spacing w:after="40" w:line="360" w:lineRule="auto"/>
              <w:jc w:val="center"/>
            </w:pPr>
            <w:r>
              <w:t>Всего</w:t>
            </w:r>
          </w:p>
        </w:tc>
      </w:tr>
      <w:tr w:rsidR="00000000">
        <w:tblPrEx>
          <w:tblCellMar>
            <w:top w:w="0" w:type="dxa"/>
            <w:bottom w:w="0" w:type="dxa"/>
          </w:tblCellMar>
        </w:tblPrEx>
        <w:tc>
          <w:tcPr>
            <w:tcW w:w="2553" w:type="dxa"/>
            <w:shd w:val="clear" w:color="auto" w:fill="FFFFFF"/>
            <w:vAlign w:val="center"/>
          </w:tcPr>
          <w:p w:rsidR="00000000" w:rsidRDefault="00000000">
            <w:pPr>
              <w:pStyle w:val="FootnoteText"/>
              <w:spacing w:after="40" w:line="360" w:lineRule="auto"/>
              <w:jc w:val="center"/>
            </w:pPr>
            <w:r>
              <w:t>Городское население</w:t>
            </w:r>
          </w:p>
        </w:tc>
        <w:tc>
          <w:tcPr>
            <w:tcW w:w="2124" w:type="dxa"/>
            <w:shd w:val="clear" w:color="auto" w:fill="FFFFFF"/>
            <w:vAlign w:val="center"/>
          </w:tcPr>
          <w:p w:rsidR="00000000" w:rsidRDefault="00000000">
            <w:pPr>
              <w:spacing w:after="40" w:line="360" w:lineRule="auto"/>
              <w:jc w:val="center"/>
            </w:pPr>
            <w:r>
              <w:t>81,1</w:t>
            </w:r>
          </w:p>
        </w:tc>
        <w:tc>
          <w:tcPr>
            <w:tcW w:w="2392" w:type="dxa"/>
            <w:shd w:val="clear" w:color="auto" w:fill="FFFFFF"/>
            <w:vAlign w:val="center"/>
          </w:tcPr>
          <w:p w:rsidR="00000000" w:rsidRDefault="00000000">
            <w:pPr>
              <w:spacing w:after="40" w:line="360" w:lineRule="auto"/>
              <w:jc w:val="center"/>
            </w:pPr>
            <w:r>
              <w:t>85,7</w:t>
            </w:r>
          </w:p>
        </w:tc>
        <w:tc>
          <w:tcPr>
            <w:tcW w:w="2392" w:type="dxa"/>
            <w:shd w:val="clear" w:color="auto" w:fill="FFFFFF"/>
            <w:vAlign w:val="center"/>
          </w:tcPr>
          <w:p w:rsidR="00000000" w:rsidRDefault="00000000">
            <w:pPr>
              <w:spacing w:after="40" w:line="360" w:lineRule="auto"/>
              <w:jc w:val="center"/>
            </w:pPr>
            <w:r>
              <w:t>83,1</w:t>
            </w:r>
          </w:p>
        </w:tc>
      </w:tr>
      <w:tr w:rsidR="00000000">
        <w:tblPrEx>
          <w:tblCellMar>
            <w:top w:w="0" w:type="dxa"/>
            <w:bottom w:w="0" w:type="dxa"/>
          </w:tblCellMar>
        </w:tblPrEx>
        <w:tc>
          <w:tcPr>
            <w:tcW w:w="2553" w:type="dxa"/>
            <w:shd w:val="clear" w:color="auto" w:fill="FFFFFF"/>
            <w:vAlign w:val="center"/>
          </w:tcPr>
          <w:p w:rsidR="00000000" w:rsidRDefault="00000000">
            <w:pPr>
              <w:spacing w:after="40" w:line="360" w:lineRule="auto"/>
              <w:jc w:val="center"/>
            </w:pPr>
            <w:r>
              <w:t>Сельское население</w:t>
            </w:r>
          </w:p>
        </w:tc>
        <w:tc>
          <w:tcPr>
            <w:tcW w:w="2124" w:type="dxa"/>
            <w:shd w:val="clear" w:color="auto" w:fill="FFFFFF"/>
            <w:vAlign w:val="center"/>
          </w:tcPr>
          <w:p w:rsidR="00000000" w:rsidRDefault="00000000">
            <w:pPr>
              <w:spacing w:after="40" w:line="360" w:lineRule="auto"/>
              <w:jc w:val="center"/>
            </w:pPr>
            <w:r>
              <w:t>72,4</w:t>
            </w:r>
          </w:p>
        </w:tc>
        <w:tc>
          <w:tcPr>
            <w:tcW w:w="2392" w:type="dxa"/>
            <w:shd w:val="clear" w:color="auto" w:fill="FFFFFF"/>
            <w:vAlign w:val="center"/>
          </w:tcPr>
          <w:p w:rsidR="00000000" w:rsidRDefault="00000000">
            <w:pPr>
              <w:spacing w:after="40" w:line="360" w:lineRule="auto"/>
              <w:jc w:val="center"/>
            </w:pPr>
            <w:r>
              <w:t>73,5</w:t>
            </w:r>
          </w:p>
        </w:tc>
        <w:tc>
          <w:tcPr>
            <w:tcW w:w="2392" w:type="dxa"/>
            <w:shd w:val="clear" w:color="auto" w:fill="FFFFFF"/>
            <w:vAlign w:val="center"/>
          </w:tcPr>
          <w:p w:rsidR="00000000" w:rsidRDefault="00000000">
            <w:pPr>
              <w:spacing w:after="40" w:line="360" w:lineRule="auto"/>
              <w:jc w:val="center"/>
            </w:pPr>
            <w:r>
              <w:t>72,9</w:t>
            </w:r>
          </w:p>
        </w:tc>
      </w:tr>
      <w:tr w:rsidR="00000000">
        <w:tblPrEx>
          <w:tblCellMar>
            <w:top w:w="0" w:type="dxa"/>
            <w:bottom w:w="0" w:type="dxa"/>
          </w:tblCellMar>
        </w:tblPrEx>
        <w:tc>
          <w:tcPr>
            <w:tcW w:w="2553" w:type="dxa"/>
            <w:shd w:val="clear" w:color="auto" w:fill="FFFFFF"/>
            <w:vAlign w:val="center"/>
          </w:tcPr>
          <w:p w:rsidR="00000000" w:rsidRDefault="00000000">
            <w:pPr>
              <w:spacing w:after="40" w:line="360" w:lineRule="auto"/>
              <w:jc w:val="center"/>
            </w:pPr>
            <w:r>
              <w:t>Всего</w:t>
            </w:r>
          </w:p>
        </w:tc>
        <w:tc>
          <w:tcPr>
            <w:tcW w:w="2124" w:type="dxa"/>
            <w:shd w:val="clear" w:color="auto" w:fill="FFFFFF"/>
            <w:vAlign w:val="center"/>
          </w:tcPr>
          <w:p w:rsidR="00000000" w:rsidRDefault="00000000">
            <w:pPr>
              <w:spacing w:after="40" w:line="360" w:lineRule="auto"/>
              <w:jc w:val="center"/>
            </w:pPr>
            <w:r>
              <w:t>76,4</w:t>
            </w:r>
          </w:p>
        </w:tc>
        <w:tc>
          <w:tcPr>
            <w:tcW w:w="2392" w:type="dxa"/>
            <w:shd w:val="clear" w:color="auto" w:fill="FFFFFF"/>
            <w:vAlign w:val="center"/>
          </w:tcPr>
          <w:p w:rsidR="00000000" w:rsidRDefault="00000000">
            <w:pPr>
              <w:spacing w:after="40" w:line="360" w:lineRule="auto"/>
              <w:jc w:val="center"/>
            </w:pPr>
            <w:r>
              <w:t>79,1</w:t>
            </w:r>
          </w:p>
        </w:tc>
        <w:tc>
          <w:tcPr>
            <w:tcW w:w="2392" w:type="dxa"/>
            <w:shd w:val="clear" w:color="auto" w:fill="FFFFFF"/>
            <w:vAlign w:val="center"/>
          </w:tcPr>
          <w:p w:rsidR="00000000" w:rsidRDefault="00000000">
            <w:pPr>
              <w:spacing w:after="40" w:line="360" w:lineRule="auto"/>
              <w:jc w:val="center"/>
            </w:pPr>
            <w:r>
              <w:t>77,9</w:t>
            </w:r>
          </w:p>
        </w:tc>
      </w:tr>
    </w:tbl>
    <w:p w:rsidR="00000000" w:rsidRDefault="00000000"/>
    <w:p w:rsidR="00000000" w:rsidRDefault="00000000"/>
    <w:p w:rsidR="00000000" w:rsidRDefault="00000000">
      <w:r>
        <w:t>Этому доступу способствует прогресс, достигнутый в развитии здравоохранения, о котором свидетельствуют следующие показатели (за 1997 год):</w:t>
      </w:r>
    </w:p>
    <w:p w:rsidR="00000000" w:rsidRDefault="00000000"/>
    <w:p w:rsidR="00000000" w:rsidRDefault="00000000">
      <w:r>
        <w:tab/>
        <w:t>-</w:t>
      </w:r>
      <w:r>
        <w:tab/>
        <w:t>1 врач на 1 123 жителя;</w:t>
      </w:r>
    </w:p>
    <w:p w:rsidR="00000000" w:rsidRDefault="00000000">
      <w:r>
        <w:tab/>
        <w:t>-</w:t>
      </w:r>
      <w:r>
        <w:tab/>
        <w:t>1 фармацевт на 7 818 жителей;</w:t>
      </w:r>
    </w:p>
    <w:p w:rsidR="00000000" w:rsidRDefault="00000000">
      <w:r>
        <w:tab/>
        <w:t>-</w:t>
      </w:r>
      <w:r>
        <w:tab/>
        <w:t>1 зубной врач</w:t>
      </w:r>
      <w:r>
        <w:noBreakHyphen/>
        <w:t>хирург на 4 033 жителей;</w:t>
      </w:r>
    </w:p>
    <w:p w:rsidR="00000000" w:rsidRDefault="00000000">
      <w:r>
        <w:tab/>
        <w:t>-</w:t>
      </w:r>
      <w:r>
        <w:tab/>
        <w:t>1 пункт базовой медицинской помощи на 5 000 жителей;</w:t>
      </w:r>
    </w:p>
    <w:p w:rsidR="00000000" w:rsidRDefault="00000000">
      <w:r>
        <w:tab/>
        <w:t>-</w:t>
      </w:r>
      <w:r>
        <w:tab/>
        <w:t>2,03 больничной койки на 1 000 жителей;</w:t>
      </w:r>
    </w:p>
    <w:p w:rsidR="00000000" w:rsidRDefault="00000000">
      <w:pPr>
        <w:ind w:left="1134" w:hanging="1134"/>
      </w:pPr>
      <w:r>
        <w:tab/>
        <w:t>-</w:t>
      </w:r>
      <w:r>
        <w:tab/>
        <w:t>1,5 койки в акушерско</w:t>
      </w:r>
      <w:r>
        <w:noBreakHyphen/>
        <w:t>гинекологических отделениях на 1 000 женщин фертильного возраста.</w:t>
      </w:r>
    </w:p>
    <w:p w:rsidR="00000000" w:rsidRDefault="00000000"/>
    <w:p w:rsidR="00000000" w:rsidRDefault="00000000">
      <w:r>
        <w:t>105.</w:t>
      </w:r>
      <w:r>
        <w:tab/>
        <w:t>Между тем государство добилось существенного расширения базовой медико</w:t>
      </w:r>
      <w:r>
        <w:noBreakHyphen/>
        <w:t>санитарной инфраструктуры и создало благоприятные условия для подготовки медицинского персонала.  В настоящее время в стране насчитывается большое число учреждений здравоохранения.  По данным за 1998 год в государственном секторе действовали 13 больничных университетских центров, 19 специализированных лечебных заведений, 177 районных больниц, 8 клиник, 433 государственных родильных дома, 1 144 центра здоровья, 4 222 процедурных кабинета.</w:t>
      </w:r>
    </w:p>
    <w:p w:rsidR="00000000" w:rsidRDefault="00000000"/>
    <w:p w:rsidR="00000000" w:rsidRDefault="00000000">
      <w:r>
        <w:t>106.</w:t>
      </w:r>
      <w:r>
        <w:tab/>
        <w:t>Что касается лиц, профессионально занятых в сфере здравоохранения, то среди них велика доля женщин.  Следует отметить, что в 1997 году в государственном секторе среди 10 640 терапевтов было 5 499 женщин, среди 3 488 врачей</w:t>
      </w:r>
      <w:r>
        <w:noBreakHyphen/>
        <w:t xml:space="preserve">специалистов </w:t>
      </w:r>
      <w:r>
        <w:noBreakHyphen/>
        <w:t xml:space="preserve"> 1 735 женщин и среди 5 467 врачей больничных университетских центров </w:t>
      </w:r>
      <w:r>
        <w:noBreakHyphen/>
        <w:t xml:space="preserve"> 2 418 женщин.  В частном секторе работали 8 195 врачей.  Таким образом, общая численность врачей составляет 27 790 человек.</w:t>
      </w:r>
    </w:p>
    <w:p w:rsidR="00000000" w:rsidRDefault="00000000"/>
    <w:p w:rsidR="00000000" w:rsidRDefault="00000000">
      <w:r>
        <w:t>107.</w:t>
      </w:r>
      <w:r>
        <w:tab/>
        <w:t>Доля государственного бюджета, выделяемая на нужды здравоохранения, наряду с образованием является одной из самых высоких.  Так, управленческие расходы в сфере образования составляют порядка 660 млн. долл., или 7% бюджета управленческих расходов государства.</w:t>
      </w:r>
    </w:p>
    <w:p w:rsidR="00000000" w:rsidRDefault="00000000"/>
    <w:p w:rsidR="00000000" w:rsidRDefault="00000000">
      <w:pPr>
        <w:pStyle w:val="Heading2"/>
      </w:pPr>
      <w:r>
        <w:t>Демографическая политика</w:t>
      </w:r>
    </w:p>
    <w:p w:rsidR="00000000" w:rsidRDefault="00000000">
      <w:pPr>
        <w:pStyle w:val="FootnoteText"/>
        <w:spacing w:line="288" w:lineRule="auto"/>
      </w:pPr>
    </w:p>
    <w:p w:rsidR="00000000" w:rsidRDefault="00000000">
      <w:r>
        <w:t>108.</w:t>
      </w:r>
      <w:r>
        <w:tab/>
        <w:t>В первые два десятилетия, последовавшие за достижением независимости, демографическая ситуация характеризовалась динамичными изменениями.  На протяжении 60</w:t>
      </w:r>
      <w:r>
        <w:noBreakHyphen/>
        <w:t>70</w:t>
      </w:r>
      <w:r>
        <w:noBreakHyphen/>
        <w:t xml:space="preserve">х годов и вплоть до 1985 года темпы роста численности населения превышали 3% в год.  Высокие темпы демографического роста, сохранявшиеся в этот период, привели к тому, что за 22 года с 1962 по 1985 год численность населения увеличилась на 10 млн. человек, т.е. в два раза.  С учетом трудностей, связанных с демографическим ростом, в области народонаселения была разработана и с 1983 года стала проводиться активная политика государственного регулирования. </w:t>
      </w:r>
    </w:p>
    <w:p w:rsidR="00000000" w:rsidRDefault="00000000"/>
    <w:p w:rsidR="00000000" w:rsidRDefault="00000000">
      <w:r>
        <w:t>109.</w:t>
      </w:r>
      <w:r>
        <w:tab/>
        <w:t>Замедление роста численности населения начало заметно ощущаться с конца 80</w:t>
      </w:r>
      <w:r>
        <w:noBreakHyphen/>
        <w:t>х годов.  Соответствующие темпы демографического роста, составлявшие 2,7% в 1987 году, снизились до 2,4% в 1990 году и 1,6% в 1997 году.  При таких показателях период удвоения численности народонаселения составляет порядка 43 лет, т.е. в два раза больше, чем в 60</w:t>
      </w:r>
      <w:r>
        <w:noBreakHyphen/>
        <w:t>70</w:t>
      </w:r>
      <w:r>
        <w:noBreakHyphen/>
        <w:t>е годы.  Понижательная демографическая тенденция по существу была вызвана сокращением коэффициента рождаемости, характеризовавшегося следующей динамикой:  50/1 000 в 1970 году, 39/1 000 в  1990 году и 22,5/1 000  в 1997 году.  Такое замедление роста численности населения одновременно обусловлено повышением брачного возраста и расширением практики предохранения от беременности.</w:t>
      </w:r>
    </w:p>
    <w:p w:rsidR="00000000" w:rsidRDefault="00000000"/>
    <w:p w:rsidR="00000000" w:rsidRDefault="00000000">
      <w:r>
        <w:rPr>
          <w:lang w:val="en-US"/>
        </w:rPr>
        <w:t>1</w:t>
      </w:r>
      <w:r>
        <w:t>10</w:t>
      </w:r>
      <w:r>
        <w:rPr>
          <w:lang w:val="en-US"/>
        </w:rPr>
        <w:t>.</w:t>
      </w:r>
      <w:r>
        <w:tab/>
        <w:t>Повышение брачного возраста, затрагивающее как городские, так и сельские районы, является новым показателем социального развития.  За период 1977</w:t>
      </w:r>
      <w:r>
        <w:noBreakHyphen/>
        <w:t>1992 годов средний возраст вступления в брак в сельской местности повысился с 10,8 года до 24,6 года.  Следствием этого стало сокращение числа случаев ранней беременности:  в 1996 году лишь 19 женщин из 1 000 рожали ребенка до достижения двадцатилетнего возраста (60 на 1 000 в 1980 году).</w:t>
      </w:r>
    </w:p>
    <w:p w:rsidR="00000000" w:rsidRDefault="00000000"/>
    <w:p w:rsidR="00000000" w:rsidRDefault="00000000">
      <w:r>
        <w:t>111.</w:t>
      </w:r>
      <w:r>
        <w:tab/>
        <w:t>Сопутствующим фактором снижения рождаемости является сокращение фертильности.  Коэффициент фертильности снизился с 7 детей на одну женщину в 1990 году до 3,68 в 1994 году и достиг 3,14 детей на одну женщину в 1997 году.  Следует отметить, что показатель, предполагающий обеспечение воспроизводства населения, составляет порядка 2,1 ребенка на одну женщину.  Алжир должен выйти на этот показатель примерно в 2010 году.</w:t>
      </w:r>
    </w:p>
    <w:p w:rsidR="00000000" w:rsidRDefault="00000000"/>
    <w:p w:rsidR="00000000" w:rsidRDefault="00000000">
      <w:r>
        <w:t>112.</w:t>
      </w:r>
      <w:r>
        <w:tab/>
        <w:t>Программы, осуществляемые в области народонаселения, направлены на улучшение доступа к услугам, касающимся репродуктивного здоровья, с уделением пристального внимания находящимся в неблагоприятном положении районам, а также на развитие информационно</w:t>
      </w:r>
      <w:r>
        <w:noBreakHyphen/>
        <w:t xml:space="preserve">просветительской деятельности и взаимодействия в интересах различных групп населения (молодежи, мужчин, сельских жителей и т.д.), увязку демографической политики с другими мерами социальной политики (обустройство территории, окружающая среда и улучшение положения женщин) и поощрение исследований в различных областях, связанных с народонаселением.  </w:t>
      </w:r>
    </w:p>
    <w:p w:rsidR="00000000" w:rsidRDefault="00000000"/>
    <w:p w:rsidR="00000000" w:rsidRDefault="00000000">
      <w:r>
        <w:t>113.</w:t>
      </w:r>
      <w:r>
        <w:tab/>
        <w:t xml:space="preserve">Программы действий в области репродуктивного здоровья, являющиеся краеугольным камнем демографической политики, разрабатываются совместно с другими министерствами, поскольку межсекторальный подход служит руководящим принципом национальной политики в области здравоохранения и народонаселения.  Этот принцип закреплен, в частности, в Хартии, которая была принята на Общенациональной конференции по проблемам здравоохранения в 1998 году и в которой установлены цели, принципы и стратегии деятельности в области здравоохранения на период до 2005 года.  С тем чтобы конкретизировать поставленные задачи, на национальном и местном уровнях разработаны согласованные программы действий. </w:t>
      </w:r>
    </w:p>
    <w:p w:rsidR="00000000" w:rsidRDefault="00000000"/>
    <w:p w:rsidR="00000000" w:rsidRDefault="00000000">
      <w:r>
        <w:t>114.</w:t>
      </w:r>
      <w:r>
        <w:tab/>
        <w:t xml:space="preserve">Например, в демографической области можно отметить создание в 1996 году Национального комитета по народонаселению.  Этот Комитет, объединяющий представителей 30 управлений различных министерств, национальных учреждений и ассоциаций, занимается разработкой, координацией, осуществлением, мониторингом и оценкой национальной политики в области народонаселения, в том числе по вопросам "репродуктивного здоровья и планирования семьи".  </w:t>
      </w:r>
    </w:p>
    <w:p w:rsidR="00000000" w:rsidRDefault="00000000"/>
    <w:p w:rsidR="00000000" w:rsidRDefault="00000000">
      <w:r>
        <w:t>115.</w:t>
      </w:r>
      <w:r>
        <w:tab/>
        <w:t xml:space="preserve">Важным фактором является участие различных ассоциаций в деятельности этих органов.  Кроме того, в процессе разработки и претворения в жизнь политики, касающейся здравоохранения и народонаселения, лучше учитываются потребности гражданского общества.  Наряду с этим в повседневную практику вошло участие с 1998 года в административных советах больничных учреждений представителей общественных организаций (ассоциаций пользователей, пациентов и т.д.). </w:t>
      </w:r>
    </w:p>
    <w:p w:rsidR="00000000" w:rsidRDefault="00000000"/>
    <w:p w:rsidR="00000000" w:rsidRDefault="00000000">
      <w:r>
        <w:t>116.</w:t>
      </w:r>
      <w:r>
        <w:tab/>
        <w:t>Межсекторальный подход также является эффективным решением на региональном уровне.  В 90</w:t>
      </w:r>
      <w:r>
        <w:noBreakHyphen/>
        <w:t>е годы произошла децентрализация программ охраны здоровья.  Так, постепенно были созданы 5 медико-санитарных районов.  Цель районирования заключается в том, чтобы адаптировать программы охраны здоровья к местным особенностям.  Для того чтобы обеспечить координацию осуществления программ охраны здоровья на региональном уровне, были образованы Региональные советы по здравоохранению.  Эти Советы объединяют представителей различных секторов (образования, охраны окружающей среды, национальной солидарности, трудовых отношений и социального обеспечения) и призваны выполнять функции посредничества и согласования в ходе разработки и осуществления децентрализованных программ охраны здоровья.</w:t>
      </w:r>
    </w:p>
    <w:p w:rsidR="00000000" w:rsidRDefault="00000000"/>
    <w:p w:rsidR="00000000" w:rsidRDefault="00000000">
      <w:r>
        <w:rPr>
          <w:u w:val="single"/>
        </w:rPr>
        <w:t>Репродуктивное здоровье и планирование семьи</w:t>
      </w:r>
    </w:p>
    <w:p w:rsidR="00000000" w:rsidRDefault="00000000"/>
    <w:p w:rsidR="00000000" w:rsidRDefault="00000000">
      <w:r>
        <w:t>117.</w:t>
      </w:r>
      <w:r>
        <w:tab/>
        <w:t>Планирование семьи, являющееся ключевым аспектом программ в области народонаселения, интегрировано в глобальную деятельность по охране репродуктивного здоровья, включающую безопасное материнство, профилактику болезней, передаваемых половым путем (БППП), лечение бесплодия и раковых заболеваний половых органов.  Меры планирования семьи также строятся на принципе добровольного участия и свободного выбора.  Национальная стратегия полностью исключает принуждение при принятии решений, касающихся деторождения.</w:t>
      </w:r>
    </w:p>
    <w:p w:rsidR="00000000" w:rsidRDefault="00000000"/>
    <w:p w:rsidR="00000000" w:rsidRDefault="00000000">
      <w:pPr>
        <w:pStyle w:val="11"/>
        <w:jc w:val="left"/>
        <w:rPr>
          <w:u w:val="none"/>
        </w:rPr>
      </w:pPr>
      <w:r>
        <w:rPr>
          <w:u w:val="none"/>
        </w:rPr>
        <w:t>118.</w:t>
      </w:r>
      <w:r>
        <w:rPr>
          <w:u w:val="none"/>
        </w:rPr>
        <w:tab/>
        <w:t>Расширение доступа к услугам в области репродуктивного здоровья/планирования семьи является одним из центральных элементов национальной политики, касающейся здравоохранения и народонаселения.  Так, в программе, принятой советом министров в марте 1997 года, поставлена задача добиться к концу десятилетия того, чтобы коэффициент частотности применения современных противозачаточных средств составлял </w:t>
      </w:r>
      <w:proofErr w:type="spellStart"/>
      <w:r>
        <w:rPr>
          <w:u w:val="none"/>
        </w:rPr>
        <w:t>60%</w:t>
      </w:r>
      <w:proofErr w:type="spellEnd"/>
      <w:r>
        <w:rPr>
          <w:u w:val="none"/>
        </w:rPr>
        <w:t xml:space="preserve">.  С тем чтобы облегчить доступ к услугам в области планирования семьи, в государственных учреждениях здравоохранения процедуры и средства, применяемые с целью предупреждения беременности, являются бесплатными для всех женщин без какой-либо дискриминации.  Предоставляемые в частном секторе услуги и средства, связанные с планированием семьи, возмещаются на </w:t>
      </w:r>
      <w:proofErr w:type="spellStart"/>
      <w:r>
        <w:rPr>
          <w:u w:val="none"/>
        </w:rPr>
        <w:t>100%</w:t>
      </w:r>
      <w:proofErr w:type="spellEnd"/>
      <w:r>
        <w:rPr>
          <w:u w:val="none"/>
        </w:rPr>
        <w:t>  за счет системы социального обеспечения.  Следует отметить, что практика применения противозачаточных средств распространяется независимо от районов проживания, о чем свидетельствуют данные, приведенные в таблице 2.</w:t>
      </w:r>
    </w:p>
    <w:p w:rsidR="00000000" w:rsidRDefault="00000000">
      <w:pPr>
        <w:pStyle w:val="11"/>
        <w:jc w:val="left"/>
        <w:rPr>
          <w:u w:val="none"/>
        </w:rPr>
      </w:pPr>
    </w:p>
    <w:p w:rsidR="00000000" w:rsidRDefault="00000000">
      <w:pPr>
        <w:pStyle w:val="11"/>
      </w:pPr>
      <w:r>
        <w:t>Таблица 2</w:t>
      </w:r>
    </w:p>
    <w:p w:rsidR="00000000" w:rsidRDefault="00000000">
      <w:pPr>
        <w:pStyle w:val="11"/>
        <w:jc w:val="left"/>
        <w:rPr>
          <w:u w:val="none"/>
        </w:rPr>
      </w:pPr>
    </w:p>
    <w:p w:rsidR="00000000" w:rsidRDefault="00000000">
      <w:pPr>
        <w:pStyle w:val="11"/>
      </w:pPr>
      <w:r>
        <w:t>Динамика изменения коэффициента частотности применения противозачаточных</w:t>
      </w:r>
    </w:p>
    <w:p w:rsidR="00000000" w:rsidRDefault="00000000">
      <w:pPr>
        <w:pStyle w:val="11"/>
      </w:pPr>
      <w:r>
        <w:t>средств в различных районах проживания населения</w:t>
      </w:r>
    </w:p>
    <w:p w:rsidR="00000000" w:rsidRDefault="00000000">
      <w:pPr>
        <w:pStyle w:val="11"/>
        <w:rPr>
          <w:u w:val="none"/>
        </w:rPr>
      </w:pPr>
      <w:r>
        <w:rPr>
          <w:u w:val="none"/>
        </w:rPr>
        <w:t>(</w:t>
      </w:r>
      <w:r>
        <w:t>% замужних женщин фертильного возраста</w:t>
      </w:r>
      <w:r>
        <w:rPr>
          <w:u w:val="none"/>
        </w:rPr>
        <w:t>)</w:t>
      </w:r>
    </w:p>
    <w:p w:rsidR="00000000" w:rsidRDefault="00000000">
      <w:pPr>
        <w:pStyle w:val="11"/>
        <w:rPr>
          <w:u w: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593"/>
        <w:gridCol w:w="1914"/>
        <w:gridCol w:w="1914"/>
        <w:gridCol w:w="1914"/>
      </w:tblGrid>
      <w:tr w:rsidR="00000000">
        <w:tblPrEx>
          <w:tblCellMar>
            <w:top w:w="0" w:type="dxa"/>
            <w:bottom w:w="0" w:type="dxa"/>
          </w:tblCellMar>
        </w:tblPrEx>
        <w:tc>
          <w:tcPr>
            <w:tcW w:w="2127" w:type="dxa"/>
            <w:tcBorders>
              <w:top w:val="nil"/>
              <w:left w:val="nil"/>
            </w:tcBorders>
            <w:shd w:val="clear" w:color="auto" w:fill="FFFFFF"/>
          </w:tcPr>
          <w:p w:rsidR="00000000" w:rsidRDefault="00000000">
            <w:pPr>
              <w:pStyle w:val="11"/>
              <w:spacing w:after="40" w:line="360" w:lineRule="auto"/>
              <w:jc w:val="left"/>
            </w:pPr>
          </w:p>
        </w:tc>
        <w:tc>
          <w:tcPr>
            <w:tcW w:w="1593" w:type="dxa"/>
            <w:shd w:val="clear" w:color="auto" w:fill="FFFFFF"/>
          </w:tcPr>
          <w:p w:rsidR="00000000" w:rsidRDefault="00000000">
            <w:pPr>
              <w:pStyle w:val="11"/>
              <w:spacing w:after="40" w:line="360" w:lineRule="auto"/>
              <w:rPr>
                <w:u w:val="none"/>
              </w:rPr>
            </w:pPr>
            <w:r>
              <w:rPr>
                <w:u w:val="none"/>
              </w:rPr>
              <w:t>1970 год</w:t>
            </w:r>
          </w:p>
        </w:tc>
        <w:tc>
          <w:tcPr>
            <w:tcW w:w="1914" w:type="dxa"/>
            <w:shd w:val="clear" w:color="auto" w:fill="FFFFFF"/>
          </w:tcPr>
          <w:p w:rsidR="00000000" w:rsidRDefault="00000000">
            <w:pPr>
              <w:pStyle w:val="11"/>
              <w:spacing w:after="40" w:line="360" w:lineRule="auto"/>
              <w:rPr>
                <w:u w:val="none"/>
              </w:rPr>
            </w:pPr>
            <w:r>
              <w:rPr>
                <w:u w:val="none"/>
              </w:rPr>
              <w:t>1986 год</w:t>
            </w:r>
          </w:p>
        </w:tc>
        <w:tc>
          <w:tcPr>
            <w:tcW w:w="1914" w:type="dxa"/>
            <w:shd w:val="clear" w:color="auto" w:fill="FFFFFF"/>
          </w:tcPr>
          <w:p w:rsidR="00000000" w:rsidRDefault="00000000">
            <w:pPr>
              <w:pStyle w:val="11"/>
              <w:spacing w:after="40" w:line="360" w:lineRule="auto"/>
              <w:rPr>
                <w:u w:val="none"/>
              </w:rPr>
            </w:pPr>
            <w:r>
              <w:rPr>
                <w:u w:val="none"/>
              </w:rPr>
              <w:t>1992 год</w:t>
            </w:r>
          </w:p>
        </w:tc>
        <w:tc>
          <w:tcPr>
            <w:tcW w:w="1914" w:type="dxa"/>
            <w:shd w:val="clear" w:color="auto" w:fill="FFFFFF"/>
          </w:tcPr>
          <w:p w:rsidR="00000000" w:rsidRDefault="00000000">
            <w:pPr>
              <w:pStyle w:val="11"/>
              <w:spacing w:after="40" w:line="360" w:lineRule="auto"/>
              <w:rPr>
                <w:u w:val="none"/>
              </w:rPr>
            </w:pPr>
            <w:r>
              <w:rPr>
                <w:u w:val="none"/>
              </w:rPr>
              <w:t>1995 год</w:t>
            </w:r>
          </w:p>
        </w:tc>
      </w:tr>
      <w:tr w:rsidR="00000000">
        <w:tblPrEx>
          <w:tblCellMar>
            <w:top w:w="0" w:type="dxa"/>
            <w:bottom w:w="0" w:type="dxa"/>
          </w:tblCellMar>
        </w:tblPrEx>
        <w:tc>
          <w:tcPr>
            <w:tcW w:w="2127" w:type="dxa"/>
          </w:tcPr>
          <w:p w:rsidR="00000000" w:rsidRDefault="00000000">
            <w:pPr>
              <w:pStyle w:val="11"/>
              <w:spacing w:after="40" w:line="360" w:lineRule="auto"/>
              <w:jc w:val="left"/>
              <w:rPr>
                <w:u w:val="none"/>
              </w:rPr>
            </w:pPr>
            <w:r>
              <w:rPr>
                <w:u w:val="none"/>
              </w:rPr>
              <w:t>Городские районы</w:t>
            </w:r>
          </w:p>
        </w:tc>
        <w:tc>
          <w:tcPr>
            <w:tcW w:w="1593" w:type="dxa"/>
          </w:tcPr>
          <w:p w:rsidR="00000000" w:rsidRDefault="00000000">
            <w:pPr>
              <w:pStyle w:val="11"/>
              <w:spacing w:after="40" w:line="360" w:lineRule="auto"/>
              <w:rPr>
                <w:u w:val="none"/>
              </w:rPr>
            </w:pPr>
            <w:r>
              <w:rPr>
                <w:u w:val="none"/>
              </w:rPr>
              <w:t>17,5</w:t>
            </w:r>
          </w:p>
        </w:tc>
        <w:tc>
          <w:tcPr>
            <w:tcW w:w="1914" w:type="dxa"/>
          </w:tcPr>
          <w:p w:rsidR="00000000" w:rsidRDefault="00000000">
            <w:pPr>
              <w:pStyle w:val="11"/>
              <w:spacing w:after="40" w:line="360" w:lineRule="auto"/>
              <w:rPr>
                <w:u w:val="none"/>
              </w:rPr>
            </w:pPr>
            <w:r>
              <w:rPr>
                <w:u w:val="none"/>
              </w:rPr>
              <w:t>38,6</w:t>
            </w:r>
          </w:p>
        </w:tc>
        <w:tc>
          <w:tcPr>
            <w:tcW w:w="1914" w:type="dxa"/>
          </w:tcPr>
          <w:p w:rsidR="00000000" w:rsidRDefault="00000000">
            <w:pPr>
              <w:pStyle w:val="11"/>
              <w:spacing w:after="40" w:line="360" w:lineRule="auto"/>
              <w:rPr>
                <w:u w:val="none"/>
              </w:rPr>
            </w:pPr>
            <w:r>
              <w:rPr>
                <w:u w:val="none"/>
              </w:rPr>
              <w:t>57,5</w:t>
            </w:r>
          </w:p>
        </w:tc>
        <w:tc>
          <w:tcPr>
            <w:tcW w:w="1914" w:type="dxa"/>
          </w:tcPr>
          <w:p w:rsidR="00000000" w:rsidRDefault="00000000">
            <w:pPr>
              <w:pStyle w:val="11"/>
              <w:spacing w:after="40" w:line="360" w:lineRule="auto"/>
              <w:rPr>
                <w:u w:val="none"/>
              </w:rPr>
            </w:pPr>
            <w:r>
              <w:rPr>
                <w:u w:val="none"/>
              </w:rPr>
              <w:t>57,2</w:t>
            </w:r>
          </w:p>
        </w:tc>
      </w:tr>
      <w:tr w:rsidR="00000000">
        <w:tblPrEx>
          <w:tblCellMar>
            <w:top w:w="0" w:type="dxa"/>
            <w:bottom w:w="0" w:type="dxa"/>
          </w:tblCellMar>
        </w:tblPrEx>
        <w:tc>
          <w:tcPr>
            <w:tcW w:w="2127" w:type="dxa"/>
          </w:tcPr>
          <w:p w:rsidR="00000000" w:rsidRDefault="00000000">
            <w:pPr>
              <w:pStyle w:val="11"/>
              <w:spacing w:after="40" w:line="360" w:lineRule="auto"/>
              <w:jc w:val="left"/>
              <w:rPr>
                <w:u w:val="none"/>
              </w:rPr>
            </w:pPr>
            <w:r>
              <w:rPr>
                <w:u w:val="none"/>
              </w:rPr>
              <w:t>Сельские районы</w:t>
            </w:r>
          </w:p>
        </w:tc>
        <w:tc>
          <w:tcPr>
            <w:tcW w:w="1593" w:type="dxa"/>
          </w:tcPr>
          <w:p w:rsidR="00000000" w:rsidRDefault="00000000">
            <w:pPr>
              <w:pStyle w:val="11"/>
              <w:spacing w:after="40" w:line="360" w:lineRule="auto"/>
              <w:rPr>
                <w:u w:val="none"/>
              </w:rPr>
            </w:pPr>
            <w:r>
              <w:rPr>
                <w:u w:val="none"/>
              </w:rPr>
              <w:t>4,0</w:t>
            </w:r>
          </w:p>
        </w:tc>
        <w:tc>
          <w:tcPr>
            <w:tcW w:w="1914" w:type="dxa"/>
          </w:tcPr>
          <w:p w:rsidR="00000000" w:rsidRDefault="00000000">
            <w:pPr>
              <w:pStyle w:val="11"/>
              <w:spacing w:after="40" w:line="360" w:lineRule="auto"/>
              <w:rPr>
                <w:u w:val="none"/>
              </w:rPr>
            </w:pPr>
            <w:r>
              <w:rPr>
                <w:u w:val="none"/>
              </w:rPr>
              <w:t>29,6</w:t>
            </w:r>
          </w:p>
        </w:tc>
        <w:tc>
          <w:tcPr>
            <w:tcW w:w="1914" w:type="dxa"/>
          </w:tcPr>
          <w:p w:rsidR="00000000" w:rsidRDefault="00000000">
            <w:pPr>
              <w:pStyle w:val="11"/>
              <w:spacing w:after="40" w:line="360" w:lineRule="auto"/>
              <w:rPr>
                <w:u w:val="none"/>
              </w:rPr>
            </w:pPr>
            <w:r>
              <w:rPr>
                <w:u w:val="none"/>
              </w:rPr>
              <w:t>44,1</w:t>
            </w:r>
          </w:p>
        </w:tc>
        <w:tc>
          <w:tcPr>
            <w:tcW w:w="1914" w:type="dxa"/>
          </w:tcPr>
          <w:p w:rsidR="00000000" w:rsidRDefault="00000000">
            <w:pPr>
              <w:pStyle w:val="11"/>
              <w:spacing w:after="40" w:line="360" w:lineRule="auto"/>
              <w:rPr>
                <w:u w:val="none"/>
              </w:rPr>
            </w:pPr>
            <w:r>
              <w:rPr>
                <w:u w:val="none"/>
              </w:rPr>
              <w:t>56,6</w:t>
            </w:r>
          </w:p>
        </w:tc>
      </w:tr>
    </w:tbl>
    <w:p w:rsidR="00000000" w:rsidRDefault="00000000"/>
    <w:p w:rsidR="00000000" w:rsidRDefault="00000000"/>
    <w:p w:rsidR="00000000" w:rsidRDefault="00000000">
      <w:pPr>
        <w:pStyle w:val="Heading2"/>
      </w:pPr>
      <w:r>
        <w:t>Социальная политика</w:t>
      </w:r>
    </w:p>
    <w:p w:rsidR="00000000" w:rsidRDefault="00000000"/>
    <w:p w:rsidR="00000000" w:rsidRDefault="00000000">
      <w:r>
        <w:t>119.</w:t>
      </w:r>
      <w:r>
        <w:tab/>
        <w:t xml:space="preserve">На социальные расходы приходится около </w:t>
      </w:r>
      <w:proofErr w:type="spellStart"/>
      <w:r>
        <w:t>22%</w:t>
      </w:r>
      <w:proofErr w:type="spellEnd"/>
      <w:r>
        <w:t xml:space="preserve"> всех бюджетных средств.  С 1992 года функционирует специальный механизм оказания помощи, в частности, социально уязвимым группам населения, который обеспечивает выплаты по линии социальной защиты, оказание социальной помощи, помещение в специализированные учреждения и предоставление ухода и возможности пользоваться транспортом.</w:t>
      </w:r>
    </w:p>
    <w:p w:rsidR="00000000" w:rsidRDefault="00000000"/>
    <w:p w:rsidR="00000000" w:rsidRDefault="00000000">
      <w:r>
        <w:t>120.</w:t>
      </w:r>
      <w:r>
        <w:tab/>
        <w:t xml:space="preserve">Выплаты по линии социальной защиты состоят из двух пособий, выплачиваемых из средств государственного бюджета с целью непосредственного увеличения доходов обездоленных лиц и семей.  Такими пособиями являются: </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rPr>
          <w:lang w:val="en-US"/>
        </w:rPr>
        <w:tab/>
        <w:t>a</w:t>
      </w:r>
      <w:r>
        <w:t>)</w:t>
      </w:r>
      <w:r>
        <w:tab/>
      </w:r>
      <w:r>
        <w:rPr>
          <w:i/>
          <w:iCs/>
        </w:rPr>
        <w:t>Фиксированное пособие, выплачиваемое в порядке солидарности (</w:t>
      </w:r>
      <w:proofErr w:type="spellStart"/>
      <w:r>
        <w:rPr>
          <w:i/>
          <w:iCs/>
        </w:rPr>
        <w:t>ФПС</w:t>
      </w:r>
      <w:proofErr w:type="spellEnd"/>
      <w:r>
        <w:rPr>
          <w:i/>
          <w:iCs/>
        </w:rPr>
        <w:t xml:space="preserve">), </w:t>
      </w:r>
      <w:r>
        <w:t>которое предоставляется престарелым и инвалидам, главам семей или одиночкам.  Расходы на выплату этого пособия в 1997 году увеличились до 4,536 млрд. динаров, что соответствует 75,6 млн. долл. США.  В 1998 году это пособие получали более 420 000 человек, в том числе 195 734 женщины;</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rPr>
          <w:lang w:val="en-US"/>
        </w:rPr>
        <w:tab/>
        <w:t>b</w:t>
      </w:r>
      <w:r>
        <w:t>)</w:t>
      </w:r>
      <w:r>
        <w:tab/>
      </w:r>
      <w:r>
        <w:rPr>
          <w:i/>
          <w:iCs/>
        </w:rPr>
        <w:t>Пособие за выполнение общественно-полезной работы (</w:t>
      </w:r>
      <w:proofErr w:type="spellStart"/>
      <w:r>
        <w:rPr>
          <w:i/>
          <w:iCs/>
        </w:rPr>
        <w:t>ПОПР</w:t>
      </w:r>
      <w:proofErr w:type="spellEnd"/>
      <w:r>
        <w:rPr>
          <w:i/>
          <w:iCs/>
        </w:rPr>
        <w:t>)</w:t>
      </w:r>
      <w:r>
        <w:t xml:space="preserve">, выплачиваемое лицам или главам семей, не имеющим дохода, которые взамен должны отработать 22 дня в месяц по восемь часов в день на общественно полезных работах, организуемых местными общинами.  На эту деятельность выделяются средства в размере 12 млрд. динаров, или 200 млн. долл. США.  Доля женщин в группе лиц, получающих данное пособие, составляет </w:t>
      </w:r>
      <w:proofErr w:type="spellStart"/>
      <w:r>
        <w:t>38,8%</w:t>
      </w:r>
      <w:proofErr w:type="spellEnd"/>
      <w:r>
        <w:t xml:space="preserve">.  Пособие за общественно полезный труд не только увеличивает доходы обездоленных групп населения, но и способствует улучшению условий жизни и окружающей среды, поскольку значительная часть лиц, относящихся к этой категории, проживает в </w:t>
      </w:r>
      <w:proofErr w:type="spellStart"/>
      <w:r>
        <w:t>анклавных</w:t>
      </w:r>
      <w:proofErr w:type="spellEnd"/>
      <w:r>
        <w:t xml:space="preserve"> бедных районах в плохих жилищных условиях.</w:t>
      </w:r>
    </w:p>
    <w:p w:rsidR="00000000" w:rsidRDefault="00000000"/>
    <w:p w:rsidR="00000000" w:rsidRDefault="00000000">
      <w:r>
        <w:t>121.</w:t>
      </w:r>
      <w:r>
        <w:tab/>
        <w:t>Социальная помощь заключается в финансовом участии государства в удовлетворении насущных потребностей обездоленных граждан.  Хотя никаких различий при оказании такой помощи не проводится, наибольшую пользу от нее получают женщины и девочки.  Она предназначается для детей, которым требуется помощь государственных служб, и детей, относящихся к уязвимым группам, а также для инвалидов и престарелых.  В 1997 году с этой целью было выделено 1,734 млрд. динаров, или 28,9 млн. долл. США.</w:t>
      </w:r>
    </w:p>
    <w:p w:rsidR="00000000" w:rsidRDefault="00000000"/>
    <w:p w:rsidR="00000000" w:rsidRDefault="00000000">
      <w:r>
        <w:t>122.</w:t>
      </w:r>
      <w:r>
        <w:tab/>
        <w:t>Меры по обеспечению ухода имеют особо важное значение для инвалидов и лиц, получающих пособия по линии социальной защиты и являющихся членами системы социального обеспечения.  Расходы на уплату взносов полностью покрываются государством.  В этой связи можно отметить следующее:</w:t>
      </w:r>
    </w:p>
    <w:p w:rsidR="00000000" w:rsidRDefault="00000000"/>
    <w:p w:rsidR="00000000" w:rsidRDefault="00000000">
      <w:r>
        <w:tab/>
      </w:r>
      <w:r>
        <w:rPr>
          <w:lang w:val="en-US"/>
        </w:rPr>
        <w:t>a</w:t>
      </w:r>
      <w:r>
        <w:t>)</w:t>
      </w:r>
      <w:r>
        <w:tab/>
        <w:t>Закон № 83</w:t>
      </w:r>
      <w:r>
        <w:noBreakHyphen/>
        <w:t xml:space="preserve">11 по вопросам социального страхования предусматривает принцип, согласно которому пользоваться услугами системы социального обеспечения может любой инвалид, не занимающийся никакой профессиональной деятельностью.  Таким образом, инвалиды охватываются системой социального страхования и имеют право на получение пособий в натуральном выражении.  Взнос в систему социального страхования за каждого инвалида равен </w:t>
      </w:r>
      <w:proofErr w:type="spellStart"/>
      <w:r>
        <w:t>5%</w:t>
      </w:r>
      <w:proofErr w:type="spellEnd"/>
      <w:r>
        <w:t xml:space="preserve"> от минимальной гарантированной заработной платы (</w:t>
      </w:r>
      <w:proofErr w:type="spellStart"/>
      <w:r>
        <w:t>МГЗП</w:t>
      </w:r>
      <w:proofErr w:type="spellEnd"/>
      <w:r>
        <w:t>) в стране.  В 1997 году сумма таких взносов равнялась 367,4 млн. динаров, или 6,12 млн. долл. США.;</w:t>
      </w:r>
    </w:p>
    <w:p w:rsidR="00000000" w:rsidRDefault="00000000">
      <w:pPr>
        <w:pStyle w:val="FootnoteText"/>
        <w:spacing w:line="288" w:lineRule="auto"/>
      </w:pPr>
    </w:p>
    <w:p w:rsidR="00000000" w:rsidRDefault="00000000">
      <w:pPr>
        <w:pStyle w:val="11"/>
        <w:jc w:val="left"/>
        <w:rPr>
          <w:u w:val="none"/>
        </w:rPr>
      </w:pPr>
      <w:r>
        <w:rPr>
          <w:u w:val="none"/>
        </w:rPr>
        <w:tab/>
      </w:r>
      <w:r>
        <w:rPr>
          <w:u w:val="none"/>
          <w:lang w:val="en-US"/>
        </w:rPr>
        <w:t>b</w:t>
      </w:r>
      <w:r>
        <w:rPr>
          <w:u w:val="none"/>
        </w:rPr>
        <w:t>)</w:t>
      </w:r>
      <w:r>
        <w:rPr>
          <w:u w:val="none"/>
        </w:rPr>
        <w:tab/>
        <w:t xml:space="preserve">Фонд социального развития финансирует взносы в систему социального страхования для лиц, имеющих право на получение помощи со стороны органов социальной защиты, в размере </w:t>
      </w:r>
      <w:proofErr w:type="spellStart"/>
      <w:r>
        <w:rPr>
          <w:u w:val="none"/>
        </w:rPr>
        <w:t>6%</w:t>
      </w:r>
      <w:proofErr w:type="spellEnd"/>
      <w:r>
        <w:rPr>
          <w:u w:val="none"/>
        </w:rPr>
        <w:t xml:space="preserve"> от минимальной гарантированной заработной платы в стране и, таким образом, на эти цели выделяется в общей сложности 2,15 млрд. динаров, или 35,83 млн. долл. США;</w:t>
      </w:r>
    </w:p>
    <w:p w:rsidR="00000000" w:rsidRDefault="00000000">
      <w:pPr>
        <w:rPr>
          <w:lang w:val="en-US"/>
        </w:rPr>
      </w:pPr>
    </w:p>
    <w:p w:rsidR="00000000" w:rsidRDefault="00000000">
      <w:r>
        <w:rPr>
          <w:lang w:val="en-US"/>
        </w:rPr>
        <w:tab/>
        <w:t>c)</w:t>
      </w:r>
      <w:r>
        <w:tab/>
        <w:t>Не охваченные социальным страхованием неимущие лица, которые страдают хроническими заболеваниями, бесплатно получают лекарства, требующиеся с учетом их состояния здоровья.  Кроме того, безвозмездно распространяются 73 лекарственных препарата, необходимых для лечения восьми заболеваний (рака, астмы, психических расстройств, эндометриоза, метаболизма, диабета и других).  Общий объем оказываемой таким образом помощи составляет 417 000 долл. США).</w:t>
      </w:r>
    </w:p>
    <w:p w:rsidR="00000000" w:rsidRDefault="00000000">
      <w:pPr>
        <w:ind w:left="1134" w:hanging="1134"/>
      </w:pPr>
    </w:p>
    <w:p w:rsidR="00000000" w:rsidRDefault="00000000">
      <w:r>
        <w:t>123.</w:t>
      </w:r>
      <w:r>
        <w:rPr>
          <w:lang w:val="en-US"/>
        </w:rPr>
        <w:tab/>
      </w:r>
      <w:r>
        <w:t>Если говорить о транспорте, то инвалиды, не имеющие дохода, пользуются льготным и/или бесплатным проездом на городском и междугородном железнодорожном и автомобильном транспорте.</w:t>
      </w:r>
    </w:p>
    <w:p w:rsidR="00000000" w:rsidRDefault="00000000">
      <w:pPr>
        <w:rPr>
          <w:lang w:val="en-US"/>
        </w:rPr>
      </w:pPr>
    </w:p>
    <w:p w:rsidR="00000000" w:rsidRDefault="00000000">
      <w:pPr>
        <w:rPr>
          <w:i/>
          <w:iCs/>
        </w:rPr>
      </w:pPr>
      <w:r>
        <w:rPr>
          <w:i/>
          <w:iCs/>
        </w:rPr>
        <w:tab/>
        <w:t>17.</w:t>
      </w:r>
      <w:r>
        <w:rPr>
          <w:i/>
          <w:iCs/>
        </w:rPr>
        <w:tab/>
        <w:t>Право на образование и профессиональную подготовку</w:t>
      </w:r>
    </w:p>
    <w:p w:rsidR="00000000" w:rsidRDefault="00000000">
      <w:pPr>
        <w:jc w:val="center"/>
        <w:rPr>
          <w:u w:val="single"/>
        </w:rPr>
      </w:pPr>
    </w:p>
    <w:p w:rsidR="00000000" w:rsidRDefault="00000000">
      <w:pPr>
        <w:pStyle w:val="FootnoteText"/>
        <w:spacing w:line="288" w:lineRule="auto"/>
      </w:pPr>
      <w:r>
        <w:t>124.</w:t>
      </w:r>
      <w:r>
        <w:tab/>
        <w:t>Доступ к образованию является правом, закрепленным в статье 53 Конституции, а также в указе "Об организации системы образования и профессионально-технического обучения" от 16 апреля 1976 года, в статьях 4-7 которого говорится о равном доступе к образованию, а также об обязательном  и бесплатном характере образования.</w:t>
      </w:r>
    </w:p>
    <w:p w:rsidR="00000000" w:rsidRDefault="00000000">
      <w:pPr>
        <w:pStyle w:val="FootnoteText"/>
        <w:spacing w:line="288" w:lineRule="auto"/>
      </w:pPr>
    </w:p>
    <w:p w:rsidR="00000000" w:rsidRDefault="00000000">
      <w:pPr>
        <w:pStyle w:val="FootnoteText"/>
        <w:spacing w:line="288" w:lineRule="auto"/>
      </w:pPr>
      <w:r>
        <w:t>125.</w:t>
      </w:r>
      <w:r>
        <w:tab/>
        <w:t>Одна из важнейших задач государственных властей заключается в том, чтобы обеспечить каждому молодому алжирцу и алжирке девятилетнее обязательное базовое образование.  В соответствии с указом от 15 апреля 1976 года это образование, получаемое в школах первой ступени "с самого начала открывает равные возможности перед всеми мальчиками и девочками в возрасте шести лет".  Соответствующее образование в Алжире всегда было обязательным.</w:t>
      </w:r>
    </w:p>
    <w:p w:rsidR="00000000" w:rsidRDefault="00000000">
      <w:pPr>
        <w:pStyle w:val="FootnoteText"/>
        <w:spacing w:line="288" w:lineRule="auto"/>
      </w:pPr>
    </w:p>
    <w:p w:rsidR="00000000" w:rsidRDefault="00000000">
      <w:r>
        <w:t>126.</w:t>
      </w:r>
      <w:r>
        <w:tab/>
        <w:t xml:space="preserve">В 1998/99 учебном году структура контингента учащихся школ в Алжире, составлявшего 7 435 858 человек, включая 3 521 237 девочек, была следующей:  </w:t>
      </w:r>
      <w:r>
        <w:rPr>
          <w:lang w:val="en-US"/>
        </w:rPr>
        <w:t>i</w:t>
      </w:r>
      <w:r>
        <w:t xml:space="preserve">)  образование первой ступени - 6 556 768 учащихся, включая 3 048 935 девочек;  </w:t>
      </w:r>
      <w:r>
        <w:rPr>
          <w:lang w:val="en-US"/>
        </w:rPr>
        <w:t>ii</w:t>
      </w:r>
      <w:r>
        <w:t>)</w:t>
      </w:r>
      <w:r>
        <w:rPr>
          <w:lang w:val="en-US"/>
        </w:rPr>
        <w:t>  </w:t>
      </w:r>
      <w:r>
        <w:t>полное среднее образование - 879 090 учащихся, включая 472 302 девочки.</w:t>
      </w:r>
    </w:p>
    <w:p w:rsidR="00000000" w:rsidRDefault="00000000"/>
    <w:p w:rsidR="00000000" w:rsidRDefault="00000000">
      <w:r>
        <w:t>1</w:t>
      </w:r>
      <w:r>
        <w:rPr>
          <w:lang w:val="en-US"/>
        </w:rPr>
        <w:t>27</w:t>
      </w:r>
      <w:r>
        <w:t>.</w:t>
      </w:r>
      <w:r>
        <w:tab/>
        <w:t xml:space="preserve">Если говорить в целом о кадровой ситуации, то можно отметить, что общая численность учителей составляет 323 710 человек, включая 148 404 женщины, по всем циклам образовательной подготовки;  насчитывается 1 998 кураторов, в том числе 88 женщин, по всем циклам образовательной подготовки;  общая численность административно-управленческого персонала школ разного профиля составляет 46 112 человек, включая 12 888 женщин.  </w:t>
      </w:r>
    </w:p>
    <w:p w:rsidR="00000000" w:rsidRDefault="00000000"/>
    <w:p w:rsidR="00000000" w:rsidRDefault="00000000">
      <w:r>
        <w:t>128.</w:t>
      </w:r>
      <w:r>
        <w:tab/>
        <w:t>С целью закрепления тенденции по расширению охвата девочек проект закона, касающегося системы образования, принятый правительством и представленный парламенту на утверждение, предусматривает в статье 7 санкции по отношению к любому родителю или опекуну, который препятствует посещению школы детьми в возрасте от шести до 16 лет.  Эта мера в большей степени затрагивает девочек, чем мальчиков.</w:t>
      </w:r>
    </w:p>
    <w:p w:rsidR="00000000" w:rsidRDefault="00000000"/>
    <w:p w:rsidR="00000000" w:rsidRDefault="00000000">
      <w:r>
        <w:t>129.</w:t>
      </w:r>
      <w:r>
        <w:tab/>
        <w:t>Если говорить о мерах, направленных на обеспечение соблюдения вышеуказанных положений и сокращение числа случаев отсева учащихся из школ, то они касаются территориального распределения учебных заведений, школьных столовых, интернатов, оказания материальной помощи учащимся и школьного транспорта.  В сфере территориального распределения учебных заведений предприняты значительные усилия с целью строительства соответствующей инфраструктуры, в частности в сельских районах, таким образом, чтобы детям было несложно добираться до школы.</w:t>
      </w:r>
    </w:p>
    <w:p w:rsidR="00000000" w:rsidRDefault="00000000"/>
    <w:p w:rsidR="00000000" w:rsidRDefault="00000000">
      <w:r>
        <w:t>130.</w:t>
      </w:r>
      <w:r>
        <w:tab/>
        <w:t>Следует отметить, что в 1997/98 учебном году было зарегистрировано 15 507 начальных школ, в том числе 6 518 в городских районах, 2 557 – в полугородских районах и 6 432 – в сельской местности.  На уровне неполного среднего образования действуют 3 224 учебных заведения или колледжа, в том числе 1 889 в городских районах, 658 – в полугородских районах и 667 – в сельской местности;  в 1960 году насчитывалось 380 неполных средних школ или колледжей.  И наконец, на уровне полного среднего образования функционируют 1 183 лицея, в том числе 898 – в городских районах, 198 – в полугородских районах и 87 – в сельской местности.  В 1960 году насчитывалось лишь 39 лицеев.</w:t>
      </w:r>
    </w:p>
    <w:p w:rsidR="00000000" w:rsidRDefault="00000000">
      <w:pPr>
        <w:pStyle w:val="FootnoteText"/>
        <w:spacing w:line="288" w:lineRule="auto"/>
      </w:pPr>
    </w:p>
    <w:p w:rsidR="00000000" w:rsidRDefault="00000000">
      <w:r>
        <w:t>131.</w:t>
      </w:r>
      <w:r>
        <w:tab/>
        <w:t>В 1997/98 году было зарегистрировано 4 142 школьных столовых, обслуживающих 561 311 учащихся.  В 1963/64 году их было 1 240.  Следует указать, что создание соответствующей инфраструктуры в очень отдаленных районах способствовало сближению школы с населением.</w:t>
      </w:r>
    </w:p>
    <w:p w:rsidR="00000000" w:rsidRDefault="00000000"/>
    <w:p w:rsidR="00000000" w:rsidRDefault="00000000">
      <w:r>
        <w:t>132.</w:t>
      </w:r>
      <w:r>
        <w:tab/>
        <w:t>На уровне начального образования действуют 27 интернатов, в которых обучаются 3 000 девочек и мальчиков в возрасте 6-12 лет, тогда как на уровне неполного среднего образования контингент учащихся интернатов составляет 23 350 человек.  По программе полного среднего образования обучается 53 048 учащихся.  Такие учебные заведения созданы для детей, проживающих в самых отдаленных районах, и в частности детей из семей, ведущих кочевой образ жизни в районе пустыни Сахары.  Они также предназначены для детей-сирот, которые не устроены в приемные семьи и которые находятся на полном государственном обеспечении.  Между тем два года назад из-за увеличения стоимости интернатского обучения отмечалось сокращение численности учащихся, особенно девочек.  В возникшей ситуации государство сразу же взяло на себя эти расходы, с тем чтобы они не служили причиной отказа от получения школьного образования.</w:t>
      </w:r>
    </w:p>
    <w:p w:rsidR="00000000" w:rsidRDefault="00000000"/>
    <w:p w:rsidR="00000000" w:rsidRDefault="00000000">
      <w:r>
        <w:t>133.</w:t>
      </w:r>
      <w:r>
        <w:tab/>
        <w:t xml:space="preserve">Что касается оказания материальной помощи школьникам, то следует отметить, что в 1997/98 году государство выделило 507 384 637 динаров для 1 545 589 малообеспеченных учащихся.  За счет этих средств детям выдавались школьные принадлежности и учебники, а также портфели, школьные фартуки и предметы одежды.  В соответствии с этой программой были также открыты школьные столовые для 1 548 000 учащихся в 16 провинциях южной части страны и Верхнего плато. </w:t>
      </w:r>
    </w:p>
    <w:p w:rsidR="00000000" w:rsidRDefault="00000000"/>
    <w:p w:rsidR="00000000" w:rsidRDefault="00000000">
      <w:r>
        <w:t>134.</w:t>
      </w:r>
      <w:r>
        <w:tab/>
        <w:t>Кроме того, следует отметить развитие системы школьного транспорта в значительном числе районов, и в частности в отдаленных районах.  Эта программа, разработанная в рамках государственных органов, предусматривает закупку 700 школьных автобусов для транспортировки школьников во всех провинциях.</w:t>
      </w:r>
    </w:p>
    <w:p w:rsidR="00000000" w:rsidRDefault="00000000"/>
    <w:p w:rsidR="00000000" w:rsidRDefault="00000000">
      <w:r>
        <w:t>135.</w:t>
      </w:r>
      <w:r>
        <w:tab/>
        <w:t>Доступ к высшим учебным заведениям открыт для всех.  Сфера высшего образования охватывает 30 университетских городков, включающих 13 университетов, 10 университетских центров, 4 медицинских института, 9 высших школ и целый ряд институтов, находящихся в ведении министерств технического профиля.  Численность преподавателей составляет 15 801 человек.</w:t>
      </w:r>
    </w:p>
    <w:p w:rsidR="00000000" w:rsidRDefault="00000000"/>
    <w:p w:rsidR="00000000" w:rsidRDefault="00000000">
      <w:r>
        <w:t>136.</w:t>
      </w:r>
      <w:r>
        <w:tab/>
        <w:t xml:space="preserve">Численность учащихся характеризуется следующей динамикой:  </w:t>
      </w:r>
      <w:r>
        <w:rPr>
          <w:lang w:val="en-US"/>
        </w:rPr>
        <w:t>i</w:t>
      </w:r>
      <w:r>
        <w:t xml:space="preserve">)  студенты:  241 600 в 1994 году, 286 000 в 1996 году, 339 500 в 1997 году, почти 400 000 к началу занятий в 1998/99 учебном году;  </w:t>
      </w:r>
      <w:r>
        <w:rPr>
          <w:lang w:val="en-US"/>
        </w:rPr>
        <w:t>ii</w:t>
      </w:r>
      <w:r>
        <w:t>)  аспиранты:  14 500 в 1994 году, 16 900 в 1996 году, 18 100 в 1997 году, почти 20 000 к началу занятий в 1998/99 учебном году.</w:t>
      </w:r>
    </w:p>
    <w:p w:rsidR="00000000" w:rsidRDefault="00000000"/>
    <w:p w:rsidR="00000000" w:rsidRDefault="00000000">
      <w:pPr>
        <w:pStyle w:val="11"/>
      </w:pPr>
      <w:r>
        <w:t>Таблица 3</w:t>
      </w:r>
    </w:p>
    <w:p w:rsidR="00000000" w:rsidRDefault="00000000">
      <w:pPr>
        <w:jc w:val="center"/>
        <w:rPr>
          <w:u w:val="single"/>
        </w:rPr>
      </w:pPr>
    </w:p>
    <w:p w:rsidR="00000000" w:rsidRDefault="00000000">
      <w:pPr>
        <w:jc w:val="center"/>
      </w:pPr>
      <w:r>
        <w:rPr>
          <w:u w:val="single"/>
        </w:rPr>
        <w:t>Сводные данные об учащихся высших учебных заведений в 1998/99 учебном году</w:t>
      </w:r>
      <w:r>
        <w:t>,</w:t>
      </w:r>
    </w:p>
    <w:p w:rsidR="00000000" w:rsidRDefault="00000000">
      <w:pPr>
        <w:jc w:val="center"/>
        <w:rPr>
          <w:u w:val="single"/>
        </w:rPr>
      </w:pPr>
      <w:r>
        <w:rPr>
          <w:u w:val="single"/>
        </w:rPr>
        <w:t>в разбивке по регионам и в целом по стране</w:t>
      </w:r>
    </w:p>
    <w:p w:rsidR="00000000" w:rsidRDefault="00000000">
      <w:pPr>
        <w:jc w:val="cente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04"/>
        <w:gridCol w:w="1249"/>
        <w:gridCol w:w="1444"/>
        <w:gridCol w:w="1134"/>
        <w:gridCol w:w="993"/>
        <w:gridCol w:w="1586"/>
      </w:tblGrid>
      <w:tr w:rsidR="00000000">
        <w:tblPrEx>
          <w:tblCellMar>
            <w:top w:w="0" w:type="dxa"/>
            <w:bottom w:w="0" w:type="dxa"/>
          </w:tblCellMar>
        </w:tblPrEx>
        <w:tc>
          <w:tcPr>
            <w:tcW w:w="3005" w:type="dxa"/>
            <w:tcBorders>
              <w:top w:val="nil"/>
              <w:left w:val="nil"/>
            </w:tcBorders>
          </w:tcPr>
          <w:p w:rsidR="00000000" w:rsidRDefault="00000000">
            <w:pPr>
              <w:pStyle w:val="FootnoteText"/>
              <w:jc w:val="center"/>
            </w:pPr>
          </w:p>
        </w:tc>
        <w:tc>
          <w:tcPr>
            <w:tcW w:w="1249" w:type="dxa"/>
          </w:tcPr>
          <w:p w:rsidR="00000000" w:rsidRDefault="00000000">
            <w:pPr>
              <w:spacing w:line="240" w:lineRule="auto"/>
              <w:jc w:val="center"/>
            </w:pPr>
            <w:r>
              <w:t>Восточный регион</w:t>
            </w:r>
          </w:p>
        </w:tc>
        <w:tc>
          <w:tcPr>
            <w:tcW w:w="1444" w:type="dxa"/>
          </w:tcPr>
          <w:p w:rsidR="00000000" w:rsidRDefault="00000000">
            <w:pPr>
              <w:spacing w:line="240" w:lineRule="auto"/>
              <w:jc w:val="center"/>
            </w:pPr>
            <w:r>
              <w:t>Центральный регион</w:t>
            </w:r>
          </w:p>
        </w:tc>
        <w:tc>
          <w:tcPr>
            <w:tcW w:w="1134" w:type="dxa"/>
          </w:tcPr>
          <w:p w:rsidR="00000000" w:rsidRDefault="00000000">
            <w:pPr>
              <w:spacing w:line="240" w:lineRule="auto"/>
              <w:jc w:val="center"/>
            </w:pPr>
            <w:r>
              <w:t>Западный регион</w:t>
            </w:r>
          </w:p>
        </w:tc>
        <w:tc>
          <w:tcPr>
            <w:tcW w:w="993" w:type="dxa"/>
          </w:tcPr>
          <w:p w:rsidR="00000000" w:rsidRDefault="00000000">
            <w:pPr>
              <w:pStyle w:val="16"/>
              <w:spacing w:line="240" w:lineRule="auto"/>
            </w:pPr>
            <w:r>
              <w:t>Всего по стране</w:t>
            </w:r>
          </w:p>
        </w:tc>
        <w:tc>
          <w:tcPr>
            <w:tcW w:w="1586" w:type="dxa"/>
          </w:tcPr>
          <w:p w:rsidR="00000000" w:rsidRDefault="00000000">
            <w:pPr>
              <w:spacing w:line="240" w:lineRule="auto"/>
              <w:jc w:val="center"/>
            </w:pPr>
            <w:r>
              <w:t>В % от количества учащихся</w:t>
            </w:r>
          </w:p>
        </w:tc>
      </w:tr>
      <w:tr w:rsidR="00000000">
        <w:tblPrEx>
          <w:tblCellMar>
            <w:top w:w="0" w:type="dxa"/>
            <w:bottom w:w="0" w:type="dxa"/>
          </w:tblCellMar>
        </w:tblPrEx>
        <w:tc>
          <w:tcPr>
            <w:tcW w:w="3005" w:type="dxa"/>
          </w:tcPr>
          <w:p w:rsidR="00000000" w:rsidRDefault="00000000">
            <w:r>
              <w:t>Учащиеся</w:t>
            </w:r>
          </w:p>
        </w:tc>
        <w:tc>
          <w:tcPr>
            <w:tcW w:w="1249" w:type="dxa"/>
          </w:tcPr>
          <w:p w:rsidR="00000000" w:rsidRDefault="00000000">
            <w:pPr>
              <w:jc w:val="right"/>
              <w:rPr>
                <w:lang w:val="en-US"/>
              </w:rPr>
            </w:pPr>
            <w:r>
              <w:rPr>
                <w:lang w:val="en-US"/>
              </w:rPr>
              <w:t>135 008</w:t>
            </w:r>
          </w:p>
        </w:tc>
        <w:tc>
          <w:tcPr>
            <w:tcW w:w="1444" w:type="dxa"/>
          </w:tcPr>
          <w:p w:rsidR="00000000" w:rsidRDefault="00000000">
            <w:pPr>
              <w:jc w:val="right"/>
              <w:rPr>
                <w:lang w:val="en-US"/>
              </w:rPr>
            </w:pPr>
            <w:r>
              <w:rPr>
                <w:lang w:val="en-US"/>
              </w:rPr>
              <w:t>156 116</w:t>
            </w:r>
          </w:p>
        </w:tc>
        <w:tc>
          <w:tcPr>
            <w:tcW w:w="1134" w:type="dxa"/>
          </w:tcPr>
          <w:p w:rsidR="00000000" w:rsidRDefault="00000000">
            <w:pPr>
              <w:jc w:val="right"/>
              <w:rPr>
                <w:lang w:val="en-US"/>
              </w:rPr>
            </w:pPr>
            <w:r>
              <w:rPr>
                <w:lang w:val="en-US"/>
              </w:rPr>
              <w:t>92 133</w:t>
            </w:r>
          </w:p>
        </w:tc>
        <w:tc>
          <w:tcPr>
            <w:tcW w:w="993" w:type="dxa"/>
          </w:tcPr>
          <w:p w:rsidR="00000000" w:rsidRDefault="00000000">
            <w:pPr>
              <w:jc w:val="right"/>
              <w:rPr>
                <w:lang w:val="en-US"/>
              </w:rPr>
            </w:pPr>
            <w:r>
              <w:rPr>
                <w:lang w:val="en-US"/>
              </w:rPr>
              <w:t>383 257</w:t>
            </w:r>
          </w:p>
        </w:tc>
        <w:tc>
          <w:tcPr>
            <w:tcW w:w="1586" w:type="dxa"/>
          </w:tcPr>
          <w:p w:rsidR="00000000" w:rsidRDefault="00000000"/>
        </w:tc>
      </w:tr>
      <w:tr w:rsidR="00000000">
        <w:tblPrEx>
          <w:tblCellMar>
            <w:top w:w="0" w:type="dxa"/>
            <w:bottom w:w="0" w:type="dxa"/>
          </w:tblCellMar>
        </w:tblPrEx>
        <w:tc>
          <w:tcPr>
            <w:tcW w:w="3005" w:type="dxa"/>
          </w:tcPr>
          <w:p w:rsidR="00000000" w:rsidRDefault="00000000">
            <w:r>
              <w:t>Резиденты</w:t>
            </w:r>
          </w:p>
        </w:tc>
        <w:tc>
          <w:tcPr>
            <w:tcW w:w="1249" w:type="dxa"/>
          </w:tcPr>
          <w:p w:rsidR="00000000" w:rsidRDefault="00000000">
            <w:pPr>
              <w:jc w:val="right"/>
              <w:rPr>
                <w:lang w:val="en-US"/>
              </w:rPr>
            </w:pPr>
            <w:r>
              <w:rPr>
                <w:lang w:val="en-US"/>
              </w:rPr>
              <w:t>78 228</w:t>
            </w:r>
          </w:p>
        </w:tc>
        <w:tc>
          <w:tcPr>
            <w:tcW w:w="1444" w:type="dxa"/>
          </w:tcPr>
          <w:p w:rsidR="00000000" w:rsidRDefault="00000000">
            <w:pPr>
              <w:jc w:val="right"/>
              <w:rPr>
                <w:lang w:val="en-US"/>
              </w:rPr>
            </w:pPr>
            <w:r>
              <w:rPr>
                <w:lang w:val="en-US"/>
              </w:rPr>
              <w:t>70 611</w:t>
            </w:r>
          </w:p>
        </w:tc>
        <w:tc>
          <w:tcPr>
            <w:tcW w:w="1134" w:type="dxa"/>
          </w:tcPr>
          <w:p w:rsidR="00000000" w:rsidRDefault="00000000">
            <w:pPr>
              <w:jc w:val="right"/>
              <w:rPr>
                <w:lang w:val="en-US"/>
              </w:rPr>
            </w:pPr>
            <w:r>
              <w:rPr>
                <w:lang w:val="en-US"/>
              </w:rPr>
              <w:t>44 153</w:t>
            </w:r>
          </w:p>
        </w:tc>
        <w:tc>
          <w:tcPr>
            <w:tcW w:w="993" w:type="dxa"/>
          </w:tcPr>
          <w:p w:rsidR="00000000" w:rsidRDefault="00000000">
            <w:pPr>
              <w:jc w:val="right"/>
              <w:rPr>
                <w:lang w:val="en-US"/>
              </w:rPr>
            </w:pPr>
            <w:r>
              <w:rPr>
                <w:lang w:val="en-US"/>
              </w:rPr>
              <w:t>192 992</w:t>
            </w:r>
          </w:p>
        </w:tc>
        <w:tc>
          <w:tcPr>
            <w:tcW w:w="1586" w:type="dxa"/>
          </w:tcPr>
          <w:p w:rsidR="00000000" w:rsidRDefault="00000000">
            <w:pPr>
              <w:pStyle w:val="16"/>
              <w:rPr>
                <w:lang w:val="en-US"/>
              </w:rPr>
            </w:pPr>
            <w:r>
              <w:rPr>
                <w:lang w:val="en-US"/>
              </w:rPr>
              <w:t>35,50</w:t>
            </w:r>
          </w:p>
        </w:tc>
      </w:tr>
      <w:tr w:rsidR="00000000">
        <w:tblPrEx>
          <w:tblCellMar>
            <w:top w:w="0" w:type="dxa"/>
            <w:bottom w:w="0" w:type="dxa"/>
          </w:tblCellMar>
        </w:tblPrEx>
        <w:tc>
          <w:tcPr>
            <w:tcW w:w="3005" w:type="dxa"/>
          </w:tcPr>
          <w:p w:rsidR="00000000" w:rsidRDefault="00000000">
            <w:r>
              <w:t>Стипендиаты</w:t>
            </w:r>
          </w:p>
        </w:tc>
        <w:tc>
          <w:tcPr>
            <w:tcW w:w="1249" w:type="dxa"/>
          </w:tcPr>
          <w:p w:rsidR="00000000" w:rsidRDefault="00000000">
            <w:pPr>
              <w:jc w:val="right"/>
              <w:rPr>
                <w:lang w:val="en-US"/>
              </w:rPr>
            </w:pPr>
            <w:r>
              <w:rPr>
                <w:lang w:val="en-US"/>
              </w:rPr>
              <w:t>119 721</w:t>
            </w:r>
          </w:p>
        </w:tc>
        <w:tc>
          <w:tcPr>
            <w:tcW w:w="1444" w:type="dxa"/>
          </w:tcPr>
          <w:p w:rsidR="00000000" w:rsidRDefault="00000000">
            <w:pPr>
              <w:jc w:val="right"/>
              <w:rPr>
                <w:lang w:val="en-US"/>
              </w:rPr>
            </w:pPr>
            <w:r>
              <w:rPr>
                <w:lang w:val="en-US"/>
              </w:rPr>
              <w:t>140 341</w:t>
            </w:r>
          </w:p>
        </w:tc>
        <w:tc>
          <w:tcPr>
            <w:tcW w:w="1134" w:type="dxa"/>
          </w:tcPr>
          <w:p w:rsidR="00000000" w:rsidRDefault="00000000">
            <w:pPr>
              <w:jc w:val="right"/>
              <w:rPr>
                <w:lang w:val="en-US"/>
              </w:rPr>
            </w:pPr>
            <w:r>
              <w:rPr>
                <w:lang w:val="en-US"/>
              </w:rPr>
              <w:t>76 632</w:t>
            </w:r>
          </w:p>
        </w:tc>
        <w:tc>
          <w:tcPr>
            <w:tcW w:w="993" w:type="dxa"/>
          </w:tcPr>
          <w:p w:rsidR="00000000" w:rsidRDefault="00000000">
            <w:pPr>
              <w:jc w:val="right"/>
              <w:rPr>
                <w:lang w:val="en-US"/>
              </w:rPr>
            </w:pPr>
            <w:r>
              <w:rPr>
                <w:lang w:val="en-US"/>
              </w:rPr>
              <w:t>336 694</w:t>
            </w:r>
          </w:p>
        </w:tc>
        <w:tc>
          <w:tcPr>
            <w:tcW w:w="1586" w:type="dxa"/>
          </w:tcPr>
          <w:p w:rsidR="00000000" w:rsidRDefault="00000000">
            <w:pPr>
              <w:jc w:val="center"/>
              <w:rPr>
                <w:lang w:val="en-US"/>
              </w:rPr>
            </w:pPr>
            <w:r>
              <w:rPr>
                <w:lang w:val="en-US"/>
              </w:rPr>
              <w:t>85,87</w:t>
            </w:r>
          </w:p>
        </w:tc>
      </w:tr>
      <w:tr w:rsidR="00000000">
        <w:tblPrEx>
          <w:tblCellMar>
            <w:top w:w="0" w:type="dxa"/>
            <w:bottom w:w="0" w:type="dxa"/>
          </w:tblCellMar>
        </w:tblPrEx>
        <w:tc>
          <w:tcPr>
            <w:tcW w:w="3005" w:type="dxa"/>
          </w:tcPr>
          <w:p w:rsidR="00000000" w:rsidRDefault="00000000">
            <w:r>
              <w:t>Пользующиеся транспортом</w:t>
            </w:r>
          </w:p>
        </w:tc>
        <w:tc>
          <w:tcPr>
            <w:tcW w:w="1249" w:type="dxa"/>
          </w:tcPr>
          <w:p w:rsidR="00000000" w:rsidRDefault="00000000">
            <w:pPr>
              <w:jc w:val="right"/>
              <w:rPr>
                <w:lang w:val="en-US"/>
              </w:rPr>
            </w:pPr>
            <w:r>
              <w:rPr>
                <w:lang w:val="en-US"/>
              </w:rPr>
              <w:t>75 411</w:t>
            </w:r>
          </w:p>
        </w:tc>
        <w:tc>
          <w:tcPr>
            <w:tcW w:w="1444" w:type="dxa"/>
          </w:tcPr>
          <w:p w:rsidR="00000000" w:rsidRDefault="00000000">
            <w:pPr>
              <w:jc w:val="right"/>
              <w:rPr>
                <w:lang w:val="en-US"/>
              </w:rPr>
            </w:pPr>
            <w:r>
              <w:rPr>
                <w:lang w:val="en-US"/>
              </w:rPr>
              <w:t>113 230</w:t>
            </w:r>
          </w:p>
        </w:tc>
        <w:tc>
          <w:tcPr>
            <w:tcW w:w="1134" w:type="dxa"/>
          </w:tcPr>
          <w:p w:rsidR="00000000" w:rsidRDefault="00000000">
            <w:pPr>
              <w:jc w:val="right"/>
              <w:rPr>
                <w:lang w:val="en-US"/>
              </w:rPr>
            </w:pPr>
            <w:r>
              <w:rPr>
                <w:lang w:val="en-US"/>
              </w:rPr>
              <w:t>34 994</w:t>
            </w:r>
          </w:p>
        </w:tc>
        <w:tc>
          <w:tcPr>
            <w:tcW w:w="993" w:type="dxa"/>
          </w:tcPr>
          <w:p w:rsidR="00000000" w:rsidRDefault="00000000">
            <w:pPr>
              <w:jc w:val="right"/>
              <w:rPr>
                <w:lang w:val="en-US"/>
              </w:rPr>
            </w:pPr>
            <w:r>
              <w:rPr>
                <w:lang w:val="en-US"/>
              </w:rPr>
              <w:t>223 653</w:t>
            </w:r>
          </w:p>
        </w:tc>
        <w:tc>
          <w:tcPr>
            <w:tcW w:w="1586" w:type="dxa"/>
          </w:tcPr>
          <w:p w:rsidR="00000000" w:rsidRDefault="00000000">
            <w:pPr>
              <w:jc w:val="center"/>
              <w:rPr>
                <w:lang w:val="en-US"/>
              </w:rPr>
            </w:pPr>
            <w:r>
              <w:rPr>
                <w:lang w:val="en-US"/>
              </w:rPr>
              <w:t>53,58</w:t>
            </w:r>
          </w:p>
        </w:tc>
      </w:tr>
      <w:tr w:rsidR="00000000">
        <w:tblPrEx>
          <w:tblCellMar>
            <w:top w:w="0" w:type="dxa"/>
            <w:bottom w:w="0" w:type="dxa"/>
          </w:tblCellMar>
        </w:tblPrEx>
        <w:tc>
          <w:tcPr>
            <w:tcW w:w="3005" w:type="dxa"/>
          </w:tcPr>
          <w:p w:rsidR="00000000" w:rsidRDefault="00000000">
            <w:r>
              <w:t>Пользующиеся столовой</w:t>
            </w:r>
          </w:p>
        </w:tc>
        <w:tc>
          <w:tcPr>
            <w:tcW w:w="1249" w:type="dxa"/>
          </w:tcPr>
          <w:p w:rsidR="00000000" w:rsidRDefault="00000000">
            <w:pPr>
              <w:jc w:val="right"/>
              <w:rPr>
                <w:lang w:val="en-US"/>
              </w:rPr>
            </w:pPr>
            <w:r>
              <w:rPr>
                <w:lang w:val="en-US"/>
              </w:rPr>
              <w:t>12 857</w:t>
            </w:r>
          </w:p>
        </w:tc>
        <w:tc>
          <w:tcPr>
            <w:tcW w:w="1444" w:type="dxa"/>
          </w:tcPr>
          <w:p w:rsidR="00000000" w:rsidRDefault="00000000">
            <w:pPr>
              <w:jc w:val="right"/>
              <w:rPr>
                <w:lang w:val="en-US"/>
              </w:rPr>
            </w:pPr>
            <w:r>
              <w:rPr>
                <w:lang w:val="en-US"/>
              </w:rPr>
              <w:t>134 169</w:t>
            </w:r>
          </w:p>
        </w:tc>
        <w:tc>
          <w:tcPr>
            <w:tcW w:w="1134" w:type="dxa"/>
          </w:tcPr>
          <w:p w:rsidR="00000000" w:rsidRDefault="00000000">
            <w:pPr>
              <w:jc w:val="right"/>
              <w:rPr>
                <w:lang w:val="en-US"/>
              </w:rPr>
            </w:pPr>
            <w:r>
              <w:rPr>
                <w:lang w:val="en-US"/>
              </w:rPr>
              <w:t>76 047</w:t>
            </w:r>
          </w:p>
        </w:tc>
        <w:tc>
          <w:tcPr>
            <w:tcW w:w="993" w:type="dxa"/>
          </w:tcPr>
          <w:p w:rsidR="00000000" w:rsidRDefault="00000000">
            <w:pPr>
              <w:jc w:val="right"/>
              <w:rPr>
                <w:lang w:val="en-US"/>
              </w:rPr>
            </w:pPr>
            <w:r>
              <w:rPr>
                <w:lang w:val="en-US"/>
              </w:rPr>
              <w:t>332 073</w:t>
            </w:r>
          </w:p>
        </w:tc>
        <w:tc>
          <w:tcPr>
            <w:tcW w:w="1586" w:type="dxa"/>
          </w:tcPr>
          <w:p w:rsidR="00000000" w:rsidRDefault="00000000">
            <w:pPr>
              <w:jc w:val="center"/>
              <w:rPr>
                <w:lang w:val="en-US"/>
              </w:rPr>
            </w:pPr>
            <w:r>
              <w:rPr>
                <w:lang w:val="en-US"/>
              </w:rPr>
              <w:t>64,86</w:t>
            </w:r>
          </w:p>
        </w:tc>
      </w:tr>
      <w:tr w:rsidR="00000000">
        <w:tblPrEx>
          <w:tblCellMar>
            <w:top w:w="0" w:type="dxa"/>
            <w:bottom w:w="0" w:type="dxa"/>
          </w:tblCellMar>
        </w:tblPrEx>
        <w:tc>
          <w:tcPr>
            <w:tcW w:w="3005" w:type="dxa"/>
          </w:tcPr>
          <w:p w:rsidR="00000000" w:rsidRDefault="00000000">
            <w:r>
              <w:t>Число получивших дипломы</w:t>
            </w:r>
          </w:p>
        </w:tc>
        <w:tc>
          <w:tcPr>
            <w:tcW w:w="1249" w:type="dxa"/>
          </w:tcPr>
          <w:p w:rsidR="00000000" w:rsidRDefault="00000000">
            <w:pPr>
              <w:jc w:val="right"/>
              <w:rPr>
                <w:lang w:val="en-US"/>
              </w:rPr>
            </w:pPr>
            <w:r>
              <w:rPr>
                <w:lang w:val="en-US"/>
              </w:rPr>
              <w:t>9 387</w:t>
            </w:r>
          </w:p>
        </w:tc>
        <w:tc>
          <w:tcPr>
            <w:tcW w:w="1444" w:type="dxa"/>
          </w:tcPr>
          <w:p w:rsidR="00000000" w:rsidRDefault="00000000">
            <w:pPr>
              <w:jc w:val="right"/>
              <w:rPr>
                <w:lang w:val="en-US"/>
              </w:rPr>
            </w:pPr>
            <w:r>
              <w:rPr>
                <w:lang w:val="en-US"/>
              </w:rPr>
              <w:t>8 473</w:t>
            </w:r>
          </w:p>
        </w:tc>
        <w:tc>
          <w:tcPr>
            <w:tcW w:w="1134" w:type="dxa"/>
          </w:tcPr>
          <w:p w:rsidR="00000000" w:rsidRDefault="00000000">
            <w:pPr>
              <w:jc w:val="right"/>
              <w:rPr>
                <w:lang w:val="en-US"/>
              </w:rPr>
            </w:pPr>
            <w:r>
              <w:rPr>
                <w:lang w:val="en-US"/>
              </w:rPr>
              <w:t>5 298</w:t>
            </w:r>
          </w:p>
        </w:tc>
        <w:tc>
          <w:tcPr>
            <w:tcW w:w="993" w:type="dxa"/>
          </w:tcPr>
          <w:p w:rsidR="00000000" w:rsidRDefault="00000000">
            <w:pPr>
              <w:jc w:val="right"/>
              <w:rPr>
                <w:lang w:val="en-US"/>
              </w:rPr>
            </w:pPr>
            <w:r>
              <w:rPr>
                <w:lang w:val="en-US"/>
              </w:rPr>
              <w:t>23 158</w:t>
            </w:r>
          </w:p>
        </w:tc>
        <w:tc>
          <w:tcPr>
            <w:tcW w:w="1586" w:type="dxa"/>
          </w:tcPr>
          <w:p w:rsidR="00000000" w:rsidRDefault="00000000"/>
        </w:tc>
      </w:tr>
      <w:tr w:rsidR="00000000">
        <w:tblPrEx>
          <w:tblCellMar>
            <w:top w:w="0" w:type="dxa"/>
            <w:bottom w:w="0" w:type="dxa"/>
          </w:tblCellMar>
        </w:tblPrEx>
        <w:tc>
          <w:tcPr>
            <w:tcW w:w="3005" w:type="dxa"/>
          </w:tcPr>
          <w:p w:rsidR="00000000" w:rsidRDefault="00000000">
            <w:r>
              <w:t>Число выделенных для транспортировки автобусов</w:t>
            </w:r>
          </w:p>
        </w:tc>
        <w:tc>
          <w:tcPr>
            <w:tcW w:w="1249" w:type="dxa"/>
          </w:tcPr>
          <w:p w:rsidR="00000000" w:rsidRDefault="00000000">
            <w:pPr>
              <w:jc w:val="right"/>
              <w:rPr>
                <w:lang w:val="en-US"/>
              </w:rPr>
            </w:pPr>
            <w:r>
              <w:rPr>
                <w:lang w:val="en-US"/>
              </w:rPr>
              <w:t>219</w:t>
            </w:r>
          </w:p>
        </w:tc>
        <w:tc>
          <w:tcPr>
            <w:tcW w:w="1444" w:type="dxa"/>
          </w:tcPr>
          <w:p w:rsidR="00000000" w:rsidRDefault="00000000">
            <w:pPr>
              <w:jc w:val="right"/>
              <w:rPr>
                <w:lang w:val="en-US"/>
              </w:rPr>
            </w:pPr>
            <w:r>
              <w:rPr>
                <w:lang w:val="en-US"/>
              </w:rPr>
              <w:t>193</w:t>
            </w:r>
          </w:p>
        </w:tc>
        <w:tc>
          <w:tcPr>
            <w:tcW w:w="1134" w:type="dxa"/>
          </w:tcPr>
          <w:p w:rsidR="00000000" w:rsidRDefault="00000000">
            <w:pPr>
              <w:jc w:val="right"/>
              <w:rPr>
                <w:lang w:val="en-US"/>
              </w:rPr>
            </w:pPr>
            <w:r>
              <w:rPr>
                <w:lang w:val="en-US"/>
              </w:rPr>
              <w:t>121</w:t>
            </w:r>
          </w:p>
        </w:tc>
        <w:tc>
          <w:tcPr>
            <w:tcW w:w="993" w:type="dxa"/>
          </w:tcPr>
          <w:p w:rsidR="00000000" w:rsidRDefault="00000000">
            <w:pPr>
              <w:jc w:val="right"/>
              <w:rPr>
                <w:lang w:val="en-US"/>
              </w:rPr>
            </w:pPr>
            <w:r>
              <w:rPr>
                <w:lang w:val="en-US"/>
              </w:rPr>
              <w:t>533</w:t>
            </w:r>
          </w:p>
        </w:tc>
        <w:tc>
          <w:tcPr>
            <w:tcW w:w="1586" w:type="dxa"/>
          </w:tcPr>
          <w:p w:rsidR="00000000" w:rsidRDefault="00000000"/>
        </w:tc>
      </w:tr>
    </w:tbl>
    <w:p w:rsidR="00000000" w:rsidRDefault="00000000">
      <w:pPr>
        <w:pStyle w:val="FootnoteText"/>
      </w:pPr>
    </w:p>
    <w:p w:rsidR="00000000" w:rsidRDefault="00000000">
      <w:pPr>
        <w:pStyle w:val="FootnoteText"/>
      </w:pPr>
      <w:r>
        <w:br w:type="page"/>
      </w:r>
    </w:p>
    <w:p w:rsidR="00000000" w:rsidRDefault="00000000">
      <w:pPr>
        <w:pStyle w:val="16"/>
        <w:spacing w:line="240" w:lineRule="auto"/>
        <w:jc w:val="left"/>
      </w:pPr>
      <w:r>
        <w:rPr>
          <w:i/>
          <w:iCs/>
        </w:rPr>
        <w:tab/>
        <w:t>18</w:t>
      </w:r>
      <w:r>
        <w:t>.</w:t>
      </w:r>
      <w:r>
        <w:tab/>
      </w:r>
      <w:r>
        <w:rPr>
          <w:i/>
          <w:iCs/>
        </w:rPr>
        <w:t>Право на равное участие в культурной жизни</w:t>
      </w:r>
    </w:p>
    <w:p w:rsidR="00000000" w:rsidRDefault="00000000">
      <w:pPr>
        <w:pStyle w:val="16"/>
        <w:spacing w:line="240" w:lineRule="auto"/>
      </w:pPr>
    </w:p>
    <w:p w:rsidR="00000000" w:rsidRDefault="00000000">
      <w:r>
        <w:t>137.</w:t>
      </w:r>
      <w:r>
        <w:tab/>
        <w:t>Наряду с мерами по обеспечению свободы печати и поощрению средств массовой информации прилагались усилия и в области культуры.  В стране действует сеть из 19 домов культуры, которые служат основой для поощрения, распространения и развития культуры на местном уровне.  Эти дома культуры расположены в следующих населенных пунктах:  Адраре, Аннабе, Сетифе, Батне, Тизи-Узу, Тлемсене, Уаргле, Медее, Тамангасте, Бискре, Эль-Уеде, Тиссемсилте, Оране, Константине, Лангуате, Ум Эль</w:t>
      </w:r>
      <w:r>
        <w:noBreakHyphen/>
        <w:t>Буаги, Сайде, Эль-Джельфе, Бордж-Бу-Арреридже.  В ближайшие месяцы, после того как будут открыты новые построенные пять домов культуры, их число возрастет.</w:t>
      </w:r>
    </w:p>
    <w:p w:rsidR="00000000" w:rsidRDefault="00000000"/>
    <w:p w:rsidR="00000000" w:rsidRDefault="00000000">
      <w:r>
        <w:t>138.</w:t>
      </w:r>
      <w:r>
        <w:tab/>
        <w:t>В целях обеспечения равного доступа к средствам культуры министерское управление по вопросам культуры организовало в пригородах столицы страны 12 передвижных библиотек, располагающих обширным фондом печатных и аудиовизуальных художественных произведений.  Аналогичное мероприятие будет проведено и в других районах, где нет библиотек.</w:t>
      </w:r>
    </w:p>
    <w:p w:rsidR="00000000" w:rsidRDefault="00000000"/>
    <w:p w:rsidR="00000000" w:rsidRDefault="00000000">
      <w:r>
        <w:t>139.</w:t>
      </w:r>
      <w:r>
        <w:tab/>
        <w:t>Поощрение культурной жизни осуществляется в рамках помощи, которую государственные власти оказывают 763 культурным ассоциациям, действующим на всей территории страны.</w:t>
      </w:r>
    </w:p>
    <w:p w:rsidR="00000000" w:rsidRDefault="00000000"/>
    <w:p w:rsidR="00000000" w:rsidRDefault="00000000">
      <w:pPr>
        <w:pStyle w:val="16"/>
        <w:ind w:left="1134" w:hanging="1134"/>
        <w:jc w:val="left"/>
        <w:rPr>
          <w:i/>
          <w:iCs/>
        </w:rPr>
      </w:pPr>
      <w:r>
        <w:tab/>
      </w:r>
      <w:r>
        <w:rPr>
          <w:i/>
          <w:iCs/>
        </w:rPr>
        <w:t>19.</w:t>
      </w:r>
      <w:r>
        <w:rPr>
          <w:i/>
          <w:iCs/>
        </w:rPr>
        <w:tab/>
        <w:t>Право на доступ к любым местам общественного пользования</w:t>
      </w:r>
    </w:p>
    <w:p w:rsidR="00000000" w:rsidRDefault="00000000">
      <w:pPr>
        <w:pStyle w:val="16"/>
        <w:ind w:left="1134" w:hanging="1134"/>
        <w:jc w:val="left"/>
      </w:pPr>
      <w:r>
        <w:rPr>
          <w:i/>
          <w:iCs/>
        </w:rPr>
        <w:tab/>
      </w:r>
      <w:r>
        <w:rPr>
          <w:i/>
          <w:iCs/>
        </w:rPr>
        <w:tab/>
        <w:t>без каких-либо ограничений</w:t>
      </w:r>
    </w:p>
    <w:p w:rsidR="00000000" w:rsidRDefault="00000000">
      <w:pPr>
        <w:pStyle w:val="FootnoteText"/>
      </w:pPr>
    </w:p>
    <w:p w:rsidR="00000000" w:rsidRDefault="00000000">
      <w:r>
        <w:t>140.</w:t>
      </w:r>
      <w:r>
        <w:tab/>
        <w:t>В алжирском законодательстве нет ни одного положения, которое ограничивало бы или каким-либо образом ущемляло иные основные свободы, помимо тех, которые провозглашены в Конституции.</w:t>
      </w:r>
    </w:p>
    <w:p w:rsidR="00000000" w:rsidRDefault="00000000">
      <w:pPr>
        <w:spacing w:line="240" w:lineRule="auto"/>
      </w:pPr>
    </w:p>
    <w:p w:rsidR="00000000" w:rsidRDefault="00000000">
      <w:pPr>
        <w:pStyle w:val="16"/>
        <w:spacing w:line="240" w:lineRule="auto"/>
        <w:rPr>
          <w:i/>
          <w:iCs/>
        </w:rPr>
      </w:pPr>
      <w:r>
        <w:rPr>
          <w:i/>
          <w:iCs/>
        </w:rPr>
        <w:t>Статья 6</w:t>
      </w:r>
    </w:p>
    <w:p w:rsidR="00000000" w:rsidRDefault="00000000">
      <w:pPr>
        <w:pStyle w:val="16"/>
        <w:spacing w:line="240" w:lineRule="auto"/>
      </w:pPr>
    </w:p>
    <w:p w:rsidR="00000000" w:rsidRDefault="00000000">
      <w:pPr>
        <w:pStyle w:val="11"/>
        <w:spacing w:line="240" w:lineRule="auto"/>
      </w:pPr>
      <w:r>
        <w:t>Право на защиту и получение возмещения со стороны судебных органов</w:t>
      </w:r>
    </w:p>
    <w:p w:rsidR="00000000" w:rsidRDefault="00000000">
      <w:pPr>
        <w:pStyle w:val="11"/>
        <w:spacing w:line="240" w:lineRule="auto"/>
      </w:pPr>
    </w:p>
    <w:p w:rsidR="00000000" w:rsidRDefault="00000000">
      <w:r>
        <w:t>141.</w:t>
      </w:r>
      <w:r>
        <w:tab/>
        <w:t>Статья 49 Конституции гласит, что "судебная ошибка влечет за собой предоставление возмещения государством.  Условия и порядок возмещения определяются законом".</w:t>
      </w:r>
    </w:p>
    <w:p w:rsidR="00000000" w:rsidRDefault="00000000"/>
    <w:p w:rsidR="00000000" w:rsidRDefault="00000000">
      <w:r>
        <w:t>142.</w:t>
      </w:r>
      <w:r>
        <w:tab/>
        <w:t xml:space="preserve">Кроме того, в соответствии со статьей 151 Конституции "признается право на защиту.  Оно гарантируется в сфере уголовного судопроизводства".  Эта гарантия действует на всех стадиях процедуры.  Соответственно, каждый обвиняемый имеет право присутствовать на рассмотрении его дела и осуществлять свою защиту самостоятельно или с помощью адвоката.  Однако здесь речь идет о "праве", признаваемом за обвиняемым лицом, а не об условии </w:t>
      </w:r>
      <w:r>
        <w:rPr>
          <w:lang w:val="en-US"/>
        </w:rPr>
        <w:t>sine qua non</w:t>
      </w:r>
      <w:r>
        <w:t xml:space="preserve"> судебного разбирательства.</w:t>
      </w:r>
    </w:p>
    <w:p w:rsidR="00000000" w:rsidRDefault="00000000"/>
    <w:p w:rsidR="00000000" w:rsidRDefault="00000000">
      <w:r>
        <w:t>143.</w:t>
      </w:r>
      <w:r>
        <w:tab/>
        <w:t>Любое лицо, упомянутое право которого было нарушено, может обратиться в компетентный судебный орган для получения надлежащей компенсации.  Характер этого обращения зависит от решения или действия, приведшего к нарушению или отрицанию его права.  Любое лицо, которое утверждает, что оно пострадало от того или иного правонарушения, может, подавая жалобу, заявить о предъявлении им гражданского иска компетентному следственному судье.  В делах административного характера любое частное лицо, которое считает себя ущемленным действиями государственного органа, может направить жалобу в вынесший решение или вышестоящий орган перед тем, как предъявить иск в судебном органе, компетентном рассматривать дела административного характера.  Речь идет о Верховном суде, который рассматривает:</w:t>
      </w:r>
    </w:p>
    <w:p w:rsidR="00000000" w:rsidRDefault="00000000"/>
    <w:p w:rsidR="00000000" w:rsidRDefault="00000000">
      <w:r>
        <w:tab/>
        <w:t>а)</w:t>
      </w:r>
      <w:r>
        <w:tab/>
        <w:t>ходатайства об отмене решений административных органов, превысивших свои полномочия (статья 231 Гражданско-процессуального кодекса);</w:t>
      </w:r>
    </w:p>
    <w:p w:rsidR="00000000" w:rsidRDefault="00000000"/>
    <w:p w:rsidR="00000000" w:rsidRDefault="00000000">
      <w:r>
        <w:tab/>
        <w:t>b)</w:t>
      </w:r>
      <w:r>
        <w:tab/>
        <w:t>ходатайства об отмене регламентарных или иных решений административных органов (пункт 2 статьи 274 того же Кодекса);</w:t>
      </w:r>
    </w:p>
    <w:p w:rsidR="00000000" w:rsidRDefault="00000000"/>
    <w:p w:rsidR="00000000" w:rsidRDefault="00000000">
      <w:r>
        <w:tab/>
        <w:t>с)</w:t>
      </w:r>
      <w:r>
        <w:tab/>
        <w:t>ходатайства о толковании или определении законности действий, споры по которым относятся к компетенции Верховного суда (пункт 2 статьи 274 того же Кодекса).</w:t>
      </w:r>
    </w:p>
    <w:p w:rsidR="00000000" w:rsidRDefault="00000000"/>
    <w:p w:rsidR="00000000" w:rsidRDefault="00000000">
      <w:r>
        <w:t>144.</w:t>
      </w:r>
      <w:r>
        <w:tab/>
        <w:t>Помимо предоставления всем лицам, считающим себя пострадавшими, возможности получить компенсацию по гражданским и уголовным делам, пункт 4 статьи 25, статья 531-бис и пункт 1 статьи 531-бис Закона № 86-05 от 4 марта 1994 года предусматривают, что любое осужденное лицо, признанное невиновным по решению Верховного суда, вправе получить самостоятельно или через посредство своих законных представителей возмещение морального и материального ущерба, понесенного в результате его осуждения.</w:t>
      </w:r>
    </w:p>
    <w:p w:rsidR="00000000" w:rsidRDefault="00000000">
      <w:pPr>
        <w:spacing w:line="240" w:lineRule="auto"/>
      </w:pPr>
    </w:p>
    <w:p w:rsidR="00000000" w:rsidRDefault="00000000">
      <w:pPr>
        <w:pStyle w:val="16"/>
        <w:spacing w:line="240" w:lineRule="auto"/>
        <w:rPr>
          <w:i/>
          <w:iCs/>
        </w:rPr>
      </w:pPr>
      <w:r>
        <w:rPr>
          <w:i/>
          <w:iCs/>
        </w:rPr>
        <w:t>Статья 7</w:t>
      </w:r>
    </w:p>
    <w:p w:rsidR="00000000" w:rsidRDefault="00000000">
      <w:pPr>
        <w:pStyle w:val="16"/>
        <w:spacing w:line="240" w:lineRule="auto"/>
        <w:jc w:val="left"/>
      </w:pPr>
    </w:p>
    <w:p w:rsidR="00000000" w:rsidRDefault="00000000">
      <w:pPr>
        <w:pStyle w:val="11"/>
        <w:spacing w:line="240" w:lineRule="auto"/>
      </w:pPr>
      <w:r>
        <w:t>Меры по поощрению взаимопонимания, терпимости и дружбы между нациями</w:t>
      </w:r>
    </w:p>
    <w:p w:rsidR="00000000" w:rsidRDefault="00000000">
      <w:pPr>
        <w:pStyle w:val="11"/>
        <w:spacing w:line="240" w:lineRule="auto"/>
      </w:pPr>
    </w:p>
    <w:p w:rsidR="00000000" w:rsidRDefault="00000000">
      <w:r>
        <w:t>145.</w:t>
      </w:r>
      <w:r>
        <w:tab/>
        <w:t>Алжир был одной из первых стран, которые осудили политику дискриминации и аппартеида.  Присоединяясь к международным конвенциям о борьбе против всех форм дискриминации, Алжир подтверждает свою приверженность идеалам свободы, гуманизма и солидарности.  Помимо Международной конвенции о ликвидации всех форм расовой дискриминации Алжир подписал:</w:t>
      </w:r>
    </w:p>
    <w:p w:rsidR="00000000" w:rsidRDefault="00000000">
      <w:pPr>
        <w:spacing w:line="240" w:lineRule="auto"/>
      </w:pPr>
    </w:p>
    <w:p w:rsidR="00000000" w:rsidRDefault="00000000">
      <w:pPr>
        <w:spacing w:line="240" w:lineRule="auto"/>
        <w:ind w:left="1134" w:hanging="1134"/>
      </w:pPr>
      <w:r>
        <w:tab/>
        <w:t>-</w:t>
      </w:r>
      <w:r>
        <w:tab/>
        <w:t>Конвенцию о борьбе с дискриминацией в области образования;</w:t>
      </w:r>
    </w:p>
    <w:p w:rsidR="00000000" w:rsidRDefault="00000000">
      <w:pPr>
        <w:spacing w:line="240" w:lineRule="auto"/>
        <w:ind w:left="1134" w:hanging="1134"/>
      </w:pPr>
    </w:p>
    <w:p w:rsidR="00000000" w:rsidRDefault="00000000">
      <w:pPr>
        <w:spacing w:line="240" w:lineRule="auto"/>
        <w:ind w:left="1134" w:hanging="1134"/>
      </w:pPr>
      <w:r>
        <w:tab/>
        <w:t>-</w:t>
      </w:r>
      <w:r>
        <w:tab/>
        <w:t>Конвенцию № 105 об упразднении принудительного труда;</w:t>
      </w:r>
    </w:p>
    <w:p w:rsidR="00000000" w:rsidRDefault="00000000">
      <w:pPr>
        <w:spacing w:line="240" w:lineRule="auto"/>
        <w:ind w:left="1134" w:hanging="1134"/>
      </w:pPr>
    </w:p>
    <w:p w:rsidR="00000000" w:rsidRDefault="00000000">
      <w:pPr>
        <w:ind w:left="1134" w:hanging="1134"/>
      </w:pPr>
      <w:r>
        <w:tab/>
        <w:t>-</w:t>
      </w:r>
      <w:r>
        <w:tab/>
        <w:t>Международную конвенцию № 111 о дискриминации в области труда и занятий;</w:t>
      </w:r>
    </w:p>
    <w:p w:rsidR="00000000" w:rsidRDefault="00000000">
      <w:pPr>
        <w:ind w:left="1134" w:hanging="1134"/>
      </w:pPr>
    </w:p>
    <w:p w:rsidR="00000000" w:rsidRDefault="00000000">
      <w:pPr>
        <w:ind w:left="1134" w:hanging="1134"/>
      </w:pPr>
      <w:r>
        <w:tab/>
        <w:t>-</w:t>
      </w:r>
      <w:r>
        <w:tab/>
        <w:t>Международную конвенцию о пресечении преступления апартеида и наказании за него;</w:t>
      </w:r>
    </w:p>
    <w:p w:rsidR="00000000" w:rsidRDefault="00000000">
      <w:pPr>
        <w:spacing w:line="240" w:lineRule="auto"/>
        <w:ind w:left="1134" w:hanging="1134"/>
      </w:pPr>
    </w:p>
    <w:p w:rsidR="00000000" w:rsidRDefault="00000000">
      <w:pPr>
        <w:spacing w:line="240" w:lineRule="auto"/>
        <w:ind w:left="1134" w:hanging="1134"/>
      </w:pPr>
      <w:r>
        <w:tab/>
        <w:t>-</w:t>
      </w:r>
      <w:r>
        <w:tab/>
        <w:t>Международную конвенцию против апартеида в спорте;</w:t>
      </w:r>
    </w:p>
    <w:p w:rsidR="00000000" w:rsidRDefault="00000000">
      <w:pPr>
        <w:spacing w:line="240" w:lineRule="auto"/>
        <w:ind w:left="1134" w:hanging="1134"/>
      </w:pPr>
    </w:p>
    <w:p w:rsidR="00000000" w:rsidRDefault="00000000">
      <w:pPr>
        <w:spacing w:line="240" w:lineRule="auto"/>
        <w:ind w:left="1134" w:hanging="1134"/>
      </w:pPr>
      <w:r>
        <w:tab/>
        <w:t>-</w:t>
      </w:r>
      <w:r>
        <w:tab/>
        <w:t>Конвенцию о ликвидации всех форм дискриминации в отношении женщин.</w:t>
      </w:r>
    </w:p>
    <w:p w:rsidR="00000000" w:rsidRDefault="00000000">
      <w:pPr>
        <w:spacing w:line="240" w:lineRule="auto"/>
        <w:ind w:left="1134" w:hanging="1134"/>
      </w:pPr>
    </w:p>
    <w:p w:rsidR="00000000" w:rsidRDefault="00000000">
      <w:r>
        <w:t>146.</w:t>
      </w:r>
      <w:r>
        <w:tab/>
        <w:t>Наилучшим свидетельством такой приверженности Алжира являются мероприятия и дни солидарности, организуемые по всей стране.  Праздничные церемонии проводятся также в День освобождения Африки, День солидарности с палестинским народом и в рамках встреч по случаю различных знаменательных дат, касающихся, например, защиты интересов ребенка и женщин.  Присоединение Алжира к упомянутым выше договорам стало убедительным свидетельством его безусловной поддержки борьбы с дискриминацией во всех ее проявлениях и формах.</w:t>
      </w:r>
    </w:p>
    <w:p w:rsidR="00000000" w:rsidRDefault="00000000"/>
    <w:p w:rsidR="00000000" w:rsidRDefault="00000000"/>
    <w:p w:rsidR="00000000" w:rsidRDefault="00000000">
      <w:pPr>
        <w:pStyle w:val="16"/>
      </w:pPr>
      <w:r>
        <w:t>-----</w:t>
      </w:r>
    </w:p>
    <w:p w:rsidR="00000000" w:rsidRDefault="00000000">
      <w:pPr>
        <w:pStyle w:val="11"/>
        <w:jc w:val="left"/>
        <w:rPr>
          <w:u w:val="none"/>
        </w:rP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CERD/C/362/Add.6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CERD/C/362/Add.6</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1134" w:hanging="1134"/>
      <w:outlineLvl w:val="6"/>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567" w:hanging="567"/>
    </w:pPr>
  </w:style>
  <w:style w:type="paragraph" w:styleId="BodyText">
    <w:name w:val="Body Text"/>
    <w:basedOn w:val="Normal"/>
    <w:semiHidden/>
    <w:pPr>
      <w:spacing w:line="720" w:lineRule="auto"/>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12542</Words>
  <Characters>71492</Characters>
  <Application>Microsoft Office Word</Application>
  <DocSecurity>4</DocSecurity>
  <Lines>595</Lines>
  <Paragraphs>142</Paragraphs>
  <ScaleCrop>false</ScaleCrop>
  <HeadingPairs>
    <vt:vector size="2" baseType="variant">
      <vt:variant>
        <vt:lpstr>Название</vt:lpstr>
      </vt:variant>
      <vt:variant>
        <vt:i4>1</vt:i4>
      </vt:variant>
    </vt:vector>
  </HeadingPairs>
  <TitlesOfParts>
    <vt:vector size="1" baseType="lpstr">
      <vt:lpstr>44793.01.doc</vt:lpstr>
    </vt:vector>
  </TitlesOfParts>
  <Company> </Company>
  <LinksUpToDate>false</LinksUpToDate>
  <CharactersWithSpaces>87797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0044793.doc</dc:title>
  <dc:subject>Grigoriev</dc:subject>
  <dc:creator>Катаева</dc:creator>
  <cp:keywords/>
  <dc:description/>
  <cp:lastModifiedBy>Любовь Катаева</cp:lastModifiedBy>
  <cp:revision>3</cp:revision>
  <cp:lastPrinted>2000-12-26T10:22:00Z</cp:lastPrinted>
  <dcterms:created xsi:type="dcterms:W3CDTF">2000-12-26T10:22:00Z</dcterms:created>
  <dcterms:modified xsi:type="dcterms:W3CDTF">2000-12-26T10:27:00Z</dcterms:modified>
</cp:coreProperties>
</file>