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42BBD10A" w14:textId="77777777" w:rsidTr="009D5F1A">
        <w:trPr>
          <w:trHeight w:hRule="exact" w:val="851"/>
        </w:trPr>
        <w:tc>
          <w:tcPr>
            <w:tcW w:w="1276" w:type="dxa"/>
            <w:tcBorders>
              <w:bottom w:val="single" w:sz="4" w:space="0" w:color="auto"/>
            </w:tcBorders>
          </w:tcPr>
          <w:p w14:paraId="7DCC149B" w14:textId="77777777" w:rsidR="00DC0149" w:rsidRPr="00DB58B5" w:rsidRDefault="00DC0149" w:rsidP="00C17133"/>
        </w:tc>
        <w:tc>
          <w:tcPr>
            <w:tcW w:w="2268" w:type="dxa"/>
            <w:tcBorders>
              <w:bottom w:val="single" w:sz="4" w:space="0" w:color="auto"/>
            </w:tcBorders>
            <w:vAlign w:val="bottom"/>
          </w:tcPr>
          <w:p w14:paraId="193F7E37"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3D9B9DB" w14:textId="13BBBD60" w:rsidR="00DC0149" w:rsidRPr="00DB58B5" w:rsidRDefault="00C17133" w:rsidP="00C17133">
            <w:pPr>
              <w:jc w:val="right"/>
            </w:pPr>
            <w:r w:rsidRPr="00C17133">
              <w:rPr>
                <w:sz w:val="40"/>
              </w:rPr>
              <w:t>CERD</w:t>
            </w:r>
            <w:r>
              <w:t>/C/BHR/Q/8-14</w:t>
            </w:r>
          </w:p>
        </w:tc>
      </w:tr>
      <w:tr w:rsidR="00DC0149" w:rsidRPr="00DB58B5" w14:paraId="33F31554" w14:textId="77777777" w:rsidTr="009D5F1A">
        <w:trPr>
          <w:trHeight w:hRule="exact" w:val="2835"/>
        </w:trPr>
        <w:tc>
          <w:tcPr>
            <w:tcW w:w="1276" w:type="dxa"/>
            <w:tcBorders>
              <w:top w:val="single" w:sz="4" w:space="0" w:color="auto"/>
              <w:bottom w:val="single" w:sz="12" w:space="0" w:color="auto"/>
            </w:tcBorders>
          </w:tcPr>
          <w:p w14:paraId="3A4F353D" w14:textId="77777777" w:rsidR="00DC0149" w:rsidRPr="00DB58B5" w:rsidRDefault="00DC0149" w:rsidP="009D5F1A">
            <w:pPr>
              <w:spacing w:before="120"/>
              <w:jc w:val="center"/>
            </w:pPr>
            <w:r>
              <w:rPr>
                <w:noProof/>
                <w:lang w:eastAsia="fr-CH"/>
              </w:rPr>
              <w:drawing>
                <wp:inline distT="0" distB="0" distL="0" distR="0" wp14:anchorId="3E7E0ED6" wp14:editId="050BEC7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BBA3F61" w14:textId="3AFF1648" w:rsidR="00DC0149" w:rsidRPr="00740562" w:rsidRDefault="00DC0149" w:rsidP="009D5F1A">
            <w:pPr>
              <w:spacing w:before="120" w:line="380" w:lineRule="exact"/>
              <w:rPr>
                <w:b/>
                <w:sz w:val="40"/>
                <w:szCs w:val="40"/>
              </w:rPr>
            </w:pPr>
            <w:r>
              <w:rPr>
                <w:b/>
                <w:sz w:val="34"/>
                <w:szCs w:val="34"/>
              </w:rPr>
              <w:t>Convention internationale sur</w:t>
            </w:r>
            <w:r w:rsidR="00C17133">
              <w:rPr>
                <w:b/>
                <w:sz w:val="34"/>
                <w:szCs w:val="34"/>
              </w:rPr>
              <w:t xml:space="preserve"> </w:t>
            </w:r>
            <w:r>
              <w:rPr>
                <w:b/>
                <w:sz w:val="34"/>
                <w:szCs w:val="34"/>
              </w:rPr>
              <w:br/>
              <w:t>l’élimination de toutes les formes</w:t>
            </w:r>
            <w:r w:rsidR="00C17133">
              <w:rPr>
                <w:b/>
                <w:sz w:val="34"/>
                <w:szCs w:val="34"/>
              </w:rPr>
              <w:t xml:space="preserve"> </w:t>
            </w:r>
            <w:r>
              <w:rPr>
                <w:b/>
                <w:sz w:val="34"/>
                <w:szCs w:val="34"/>
              </w:rPr>
              <w:br/>
              <w:t>de discrimination raciale</w:t>
            </w:r>
          </w:p>
        </w:tc>
        <w:tc>
          <w:tcPr>
            <w:tcW w:w="2835" w:type="dxa"/>
            <w:tcBorders>
              <w:top w:val="single" w:sz="4" w:space="0" w:color="auto"/>
              <w:bottom w:val="single" w:sz="12" w:space="0" w:color="auto"/>
            </w:tcBorders>
          </w:tcPr>
          <w:p w14:paraId="4A55F5BD" w14:textId="77777777" w:rsidR="00DC0149" w:rsidRDefault="00C17133" w:rsidP="009D5F1A">
            <w:pPr>
              <w:spacing w:before="240"/>
            </w:pPr>
            <w:r>
              <w:t>Distr. générale</w:t>
            </w:r>
          </w:p>
          <w:p w14:paraId="7176623A" w14:textId="035C5281" w:rsidR="00C17133" w:rsidRDefault="00C17133" w:rsidP="00C17133">
            <w:pPr>
              <w:spacing w:line="240" w:lineRule="exact"/>
            </w:pPr>
            <w:r>
              <w:t>28 septembre 2021</w:t>
            </w:r>
          </w:p>
          <w:p w14:paraId="0613AABE" w14:textId="77777777" w:rsidR="00C17133" w:rsidRDefault="00C17133" w:rsidP="00C17133">
            <w:pPr>
              <w:spacing w:line="240" w:lineRule="exact"/>
            </w:pPr>
            <w:r>
              <w:t>Français</w:t>
            </w:r>
          </w:p>
          <w:p w14:paraId="1F0A89A0" w14:textId="77777777" w:rsidR="00C17133" w:rsidRDefault="00C17133" w:rsidP="00C17133">
            <w:pPr>
              <w:spacing w:line="240" w:lineRule="exact"/>
            </w:pPr>
            <w:r>
              <w:t>Original : anglais</w:t>
            </w:r>
          </w:p>
          <w:p w14:paraId="031E1407" w14:textId="1FB19554" w:rsidR="00C17133" w:rsidRPr="00DB58B5" w:rsidRDefault="00C17133" w:rsidP="00C17133">
            <w:pPr>
              <w:spacing w:line="240" w:lineRule="exact"/>
            </w:pPr>
            <w:r>
              <w:t xml:space="preserve">Anglais, </w:t>
            </w:r>
            <w:r w:rsidR="00CF4FD2">
              <w:t xml:space="preserve">arabe, </w:t>
            </w:r>
            <w:r>
              <w:t>espagnol et</w:t>
            </w:r>
            <w:r w:rsidR="004119E1">
              <w:t> </w:t>
            </w:r>
            <w:r>
              <w:t>français seulement</w:t>
            </w:r>
          </w:p>
        </w:tc>
      </w:tr>
    </w:tbl>
    <w:p w14:paraId="0F86079F" w14:textId="77777777" w:rsidR="00623CA8" w:rsidRDefault="00623CA8" w:rsidP="00623CA8">
      <w:pPr>
        <w:spacing w:before="120"/>
        <w:rPr>
          <w:b/>
          <w:sz w:val="24"/>
          <w:szCs w:val="24"/>
        </w:rPr>
      </w:pPr>
      <w:r w:rsidRPr="00C56102">
        <w:rPr>
          <w:b/>
          <w:sz w:val="24"/>
          <w:szCs w:val="24"/>
        </w:rPr>
        <w:t>Comité pour l’élimination de la discrimination raciale</w:t>
      </w:r>
    </w:p>
    <w:p w14:paraId="6CB6470B" w14:textId="4AFAF31A" w:rsidR="00C17133" w:rsidRPr="001720CA" w:rsidRDefault="00C17133" w:rsidP="00780585">
      <w:pPr>
        <w:rPr>
          <w:b/>
          <w:lang w:val="fr-FR"/>
        </w:rPr>
      </w:pPr>
      <w:r>
        <w:rPr>
          <w:b/>
          <w:lang w:val="fr-FR"/>
        </w:rPr>
        <w:t>105</w:t>
      </w:r>
      <w:r w:rsidRPr="00C17133">
        <w:rPr>
          <w:b/>
          <w:vertAlign w:val="superscript"/>
          <w:lang w:val="fr-FR"/>
        </w:rPr>
        <w:t>e</w:t>
      </w:r>
      <w:r>
        <w:rPr>
          <w:b/>
          <w:lang w:val="fr-FR"/>
        </w:rPr>
        <w:t> </w:t>
      </w:r>
      <w:r w:rsidRPr="001720CA">
        <w:rPr>
          <w:b/>
          <w:lang w:val="fr-FR"/>
        </w:rPr>
        <w:t>session</w:t>
      </w:r>
    </w:p>
    <w:p w14:paraId="27D06416" w14:textId="775AADEF" w:rsidR="00C17133" w:rsidRPr="001720CA" w:rsidRDefault="00C17133" w:rsidP="00780585">
      <w:pPr>
        <w:rPr>
          <w:lang w:val="fr-FR"/>
        </w:rPr>
      </w:pPr>
      <w:r>
        <w:rPr>
          <w:lang w:val="fr-FR"/>
        </w:rPr>
        <w:t>15 novembre-3 décembre 2021</w:t>
      </w:r>
    </w:p>
    <w:p w14:paraId="009C79D6" w14:textId="17DEDFC3" w:rsidR="00C17133" w:rsidRPr="001720CA" w:rsidRDefault="00C17133" w:rsidP="00780585">
      <w:pPr>
        <w:rPr>
          <w:lang w:val="fr-FR"/>
        </w:rPr>
      </w:pPr>
      <w:r w:rsidRPr="001720CA">
        <w:rPr>
          <w:lang w:val="fr-FR"/>
        </w:rPr>
        <w:t>Point</w:t>
      </w:r>
      <w:r>
        <w:rPr>
          <w:lang w:val="fr-FR"/>
        </w:rPr>
        <w:t> 4</w:t>
      </w:r>
      <w:r w:rsidRPr="001720CA">
        <w:rPr>
          <w:lang w:val="fr-FR"/>
        </w:rPr>
        <w:t xml:space="preserve"> de l’ordre du jour provisoire</w:t>
      </w:r>
    </w:p>
    <w:p w14:paraId="0DFAB20E" w14:textId="5B49901D" w:rsidR="00C17133" w:rsidRPr="001720CA" w:rsidRDefault="00C17133" w:rsidP="00780585">
      <w:pPr>
        <w:rPr>
          <w:b/>
          <w:lang w:val="fr-FR"/>
        </w:rPr>
      </w:pPr>
      <w:r w:rsidRPr="001720CA">
        <w:rPr>
          <w:b/>
          <w:lang w:val="fr-FR"/>
        </w:rPr>
        <w:t xml:space="preserve">Examen des rapports, observations et renseignements soumis </w:t>
      </w:r>
      <w:r w:rsidRPr="001720CA">
        <w:rPr>
          <w:b/>
          <w:lang w:val="fr-FR"/>
        </w:rPr>
        <w:br/>
        <w:t>par les États parties en application de l’article</w:t>
      </w:r>
      <w:r>
        <w:rPr>
          <w:b/>
          <w:lang w:val="fr-FR"/>
        </w:rPr>
        <w:t> </w:t>
      </w:r>
      <w:r w:rsidRPr="001720CA">
        <w:rPr>
          <w:b/>
          <w:lang w:val="fr-FR"/>
        </w:rPr>
        <w:t>9 de la Convention</w:t>
      </w:r>
    </w:p>
    <w:p w14:paraId="658D761C" w14:textId="2A96A708" w:rsidR="00C17133" w:rsidRPr="001720CA" w:rsidRDefault="00C17133" w:rsidP="00780585">
      <w:pPr>
        <w:pStyle w:val="HChG"/>
        <w:rPr>
          <w:lang w:val="fr-FR"/>
        </w:rPr>
      </w:pPr>
      <w:r w:rsidRPr="001720CA">
        <w:rPr>
          <w:lang w:val="fr-FR"/>
        </w:rPr>
        <w:tab/>
      </w:r>
      <w:r w:rsidRPr="001720CA">
        <w:rPr>
          <w:lang w:val="fr-FR"/>
        </w:rPr>
        <w:tab/>
      </w:r>
      <w:r>
        <w:rPr>
          <w:bCs/>
          <w:lang w:val="fr-FR"/>
        </w:rPr>
        <w:t>Liste de thèmes concernant le rapport de Bahreïn valant huitième à quatorzième rapports périodiques</w:t>
      </w:r>
    </w:p>
    <w:p w14:paraId="7EF91042" w14:textId="545CA9E9" w:rsidR="00C17133" w:rsidRPr="00876A0B" w:rsidRDefault="00C17133" w:rsidP="00780585">
      <w:pPr>
        <w:pStyle w:val="H1G"/>
        <w:rPr>
          <w:lang w:val="fr-FR"/>
        </w:rPr>
      </w:pPr>
      <w:r w:rsidRPr="00876A0B">
        <w:rPr>
          <w:lang w:val="fr-FR"/>
        </w:rPr>
        <w:tab/>
      </w:r>
      <w:r w:rsidRPr="00876A0B">
        <w:rPr>
          <w:lang w:val="fr-FR"/>
        </w:rPr>
        <w:tab/>
      </w:r>
      <w:r>
        <w:rPr>
          <w:lang w:val="fr-FR"/>
        </w:rPr>
        <w:t>Note du Rapporteur de pays</w:t>
      </w:r>
      <w:r w:rsidR="00CF4FD2" w:rsidRPr="00CF4FD2">
        <w:rPr>
          <w:rStyle w:val="Appelnotedebasdep"/>
          <w:b w:val="0"/>
          <w:bCs/>
          <w:sz w:val="20"/>
          <w:vertAlign w:val="baseline"/>
        </w:rPr>
        <w:footnoteReference w:customMarkFollows="1" w:id="2"/>
        <w:t>*</w:t>
      </w:r>
    </w:p>
    <w:p w14:paraId="3D657E3B" w14:textId="5FA0E8CF" w:rsidR="00C17133" w:rsidRPr="002E58DB" w:rsidRDefault="00C17133" w:rsidP="00C17133">
      <w:pPr>
        <w:pStyle w:val="SingleTxtG"/>
        <w:rPr>
          <w:lang w:val="fr-FR"/>
        </w:rPr>
      </w:pPr>
      <w:r>
        <w:rPr>
          <w:lang w:val="fr-FR"/>
        </w:rPr>
        <w:t>1.</w:t>
      </w:r>
      <w:r>
        <w:rPr>
          <w:lang w:val="fr-FR"/>
        </w:rPr>
        <w:tab/>
      </w:r>
      <w:r>
        <w:rPr>
          <w:lang w:val="fr-FR"/>
        </w:rPr>
        <w:t>À sa soixante-seizième session (A/65/18, par.</w:t>
      </w:r>
      <w:r>
        <w:rPr>
          <w:lang w:val="fr-FR"/>
        </w:rPr>
        <w:t> </w:t>
      </w:r>
      <w:r>
        <w:rPr>
          <w:lang w:val="fr-FR"/>
        </w:rPr>
        <w:t xml:space="preserve">85), le Comité pour l’élimination de la discrimination raciale a décidé que le rapporteur de pays ferait parvenir à l’État partie concerné une courte liste de thèmes en vue de guider et de structurer le dialogue entre la délégation de l’État partie et le Comité pendant l’examen du rapport de l’État partie. </w:t>
      </w:r>
      <w:r w:rsidRPr="002E58DB">
        <w:rPr>
          <w:lang w:val="fr-FR"/>
        </w:rPr>
        <w:t>On</w:t>
      </w:r>
      <w:r>
        <w:rPr>
          <w:lang w:val="fr-FR"/>
        </w:rPr>
        <w:t> </w:t>
      </w:r>
      <w:r w:rsidRPr="002E58DB">
        <w:rPr>
          <w:lang w:val="fr-FR"/>
        </w:rPr>
        <w:t>trouvera ci-après une liste de thèmes non exhaustive, d</w:t>
      </w:r>
      <w:r>
        <w:rPr>
          <w:lang w:val="fr-FR"/>
        </w:rPr>
        <w:t>’</w:t>
      </w:r>
      <w:r w:rsidRPr="002E58DB">
        <w:rPr>
          <w:lang w:val="fr-FR"/>
        </w:rPr>
        <w:t>autres questions pouvant être traitées au cours du dialogue</w:t>
      </w:r>
      <w:r>
        <w:rPr>
          <w:lang w:val="fr-FR"/>
        </w:rPr>
        <w:t>. Cette liste n’appelle pas de réponses écrites.</w:t>
      </w:r>
    </w:p>
    <w:p w14:paraId="79A87F96" w14:textId="2D1C7B40" w:rsidR="00C17133" w:rsidRPr="006B297F" w:rsidRDefault="00C17133" w:rsidP="00C17133">
      <w:pPr>
        <w:pStyle w:val="H23G"/>
        <w:rPr>
          <w:lang w:val="fr-FR"/>
        </w:rPr>
      </w:pPr>
      <w:r>
        <w:rPr>
          <w:lang w:val="fr-FR"/>
        </w:rPr>
        <w:tab/>
      </w:r>
      <w:r>
        <w:rPr>
          <w:lang w:val="fr-FR"/>
        </w:rPr>
        <w:tab/>
        <w:t>La Convention dans le droit interne et le cadre institutionnel et stratégique régissant sa mise en œuvre (art.</w:t>
      </w:r>
      <w:r>
        <w:rPr>
          <w:lang w:val="fr-FR"/>
        </w:rPr>
        <w:t> </w:t>
      </w:r>
      <w:r>
        <w:rPr>
          <w:lang w:val="fr-FR"/>
        </w:rPr>
        <w:t>1</w:t>
      </w:r>
      <w:r w:rsidRPr="00056560">
        <w:rPr>
          <w:vertAlign w:val="superscript"/>
          <w:lang w:val="fr-FR"/>
        </w:rPr>
        <w:t>er</w:t>
      </w:r>
      <w:r>
        <w:rPr>
          <w:lang w:val="fr-FR"/>
        </w:rPr>
        <w:t>, 2 et 4)</w:t>
      </w:r>
    </w:p>
    <w:p w14:paraId="50339BBF" w14:textId="21FAB1F9" w:rsidR="00C17133" w:rsidRPr="006B297F" w:rsidRDefault="00C17133" w:rsidP="00C17133">
      <w:pPr>
        <w:pStyle w:val="SingleTxtG"/>
        <w:rPr>
          <w:lang w:val="fr-FR"/>
        </w:rPr>
      </w:pPr>
      <w:r>
        <w:rPr>
          <w:lang w:val="fr-FR"/>
        </w:rPr>
        <w:t>2.</w:t>
      </w:r>
      <w:r>
        <w:rPr>
          <w:lang w:val="fr-FR"/>
        </w:rPr>
        <w:tab/>
      </w:r>
      <w:r>
        <w:rPr>
          <w:lang w:val="fr-FR"/>
        </w:rPr>
        <w:t>Exemples d’affaires dans lesquelles les juridictions nationales se sont appuyées sur la Convention</w:t>
      </w:r>
      <w:r w:rsidR="00CF4FD2">
        <w:rPr>
          <w:lang w:val="fr-FR"/>
        </w:rPr>
        <w:t> </w:t>
      </w:r>
      <w:r>
        <w:rPr>
          <w:lang w:val="fr-FR"/>
        </w:rPr>
        <w:t xml:space="preserve">; informations actualisées sur les mesures prises pour faire mieux connaître la </w:t>
      </w:r>
      <w:r w:rsidRPr="00C17133">
        <w:rPr>
          <w:spacing w:val="-2"/>
          <w:lang w:val="fr-FR"/>
        </w:rPr>
        <w:t>Convention auprès de la population, et sur les effets de ces mesures (CERD/C/BHR/QPR/8</w:t>
      </w:r>
      <w:r w:rsidRPr="00C17133">
        <w:rPr>
          <w:spacing w:val="-2"/>
          <w:lang w:val="fr-FR"/>
        </w:rPr>
        <w:t>-</w:t>
      </w:r>
      <w:r w:rsidRPr="00C17133">
        <w:rPr>
          <w:spacing w:val="-2"/>
          <w:lang w:val="fr-FR"/>
        </w:rPr>
        <w:t>14,</w:t>
      </w:r>
      <w:r>
        <w:rPr>
          <w:lang w:val="fr-FR"/>
        </w:rPr>
        <w:t xml:space="preserve"> par.</w:t>
      </w:r>
      <w:r>
        <w:rPr>
          <w:lang w:val="fr-FR"/>
        </w:rPr>
        <w:t> </w:t>
      </w:r>
      <w:r>
        <w:rPr>
          <w:lang w:val="fr-FR"/>
        </w:rPr>
        <w:t>2</w:t>
      </w:r>
      <w:r>
        <w:rPr>
          <w:lang w:val="fr-FR"/>
        </w:rPr>
        <w:t> </w:t>
      </w:r>
      <w:r>
        <w:rPr>
          <w:lang w:val="fr-FR"/>
        </w:rPr>
        <w:t>; CERD/C/BHR/8-14, par.</w:t>
      </w:r>
      <w:r>
        <w:rPr>
          <w:lang w:val="fr-FR"/>
        </w:rPr>
        <w:t> </w:t>
      </w:r>
      <w:r>
        <w:rPr>
          <w:lang w:val="fr-FR"/>
        </w:rPr>
        <w:t>2 à 8).</w:t>
      </w:r>
    </w:p>
    <w:p w14:paraId="66EACAC5" w14:textId="5381CD67" w:rsidR="00C17133" w:rsidRPr="00C17133" w:rsidRDefault="00C17133" w:rsidP="00C17133">
      <w:pPr>
        <w:pStyle w:val="SingleTxtG"/>
        <w:rPr>
          <w:spacing w:val="-1"/>
          <w:lang w:val="fr-FR"/>
        </w:rPr>
      </w:pPr>
      <w:r w:rsidRPr="00C17133">
        <w:rPr>
          <w:spacing w:val="-1"/>
          <w:lang w:val="fr-FR"/>
        </w:rPr>
        <w:t>3.</w:t>
      </w:r>
      <w:r w:rsidRPr="00C17133">
        <w:rPr>
          <w:spacing w:val="-1"/>
          <w:lang w:val="fr-FR"/>
        </w:rPr>
        <w:tab/>
      </w:r>
      <w:r w:rsidRPr="00C17133">
        <w:rPr>
          <w:spacing w:val="-1"/>
          <w:lang w:val="fr-FR"/>
        </w:rPr>
        <w:t>Renseignements sur la composition ethnique de la population de l’État partie, y</w:t>
      </w:r>
      <w:r w:rsidRPr="00C17133">
        <w:rPr>
          <w:spacing w:val="-1"/>
          <w:lang w:val="fr-FR"/>
        </w:rPr>
        <w:t> </w:t>
      </w:r>
      <w:r w:rsidRPr="00C17133">
        <w:rPr>
          <w:spacing w:val="-1"/>
          <w:lang w:val="fr-FR"/>
        </w:rPr>
        <w:t>compris sur les non-ressortissants, dont les demandeurs d’asile, les réfugiés, les personnes apatrides et les migrants (CERD/C/BHR/QPR/8-14, par.</w:t>
      </w:r>
      <w:r w:rsidRPr="00C17133">
        <w:rPr>
          <w:spacing w:val="-1"/>
          <w:lang w:val="fr-FR"/>
        </w:rPr>
        <w:t> </w:t>
      </w:r>
      <w:r w:rsidRPr="00C17133">
        <w:rPr>
          <w:spacing w:val="-1"/>
          <w:lang w:val="fr-FR"/>
        </w:rPr>
        <w:t>3</w:t>
      </w:r>
      <w:r w:rsidRPr="00C17133">
        <w:rPr>
          <w:spacing w:val="-1"/>
          <w:lang w:val="fr-FR"/>
        </w:rPr>
        <w:t> </w:t>
      </w:r>
      <w:r w:rsidRPr="00C17133">
        <w:rPr>
          <w:spacing w:val="-1"/>
          <w:lang w:val="fr-FR"/>
        </w:rPr>
        <w:t>; CERD/C/BHR/8-14, par.</w:t>
      </w:r>
      <w:r w:rsidRPr="00C17133">
        <w:rPr>
          <w:spacing w:val="-1"/>
          <w:lang w:val="fr-FR"/>
        </w:rPr>
        <w:t> </w:t>
      </w:r>
      <w:r w:rsidRPr="00C17133">
        <w:rPr>
          <w:spacing w:val="-1"/>
          <w:lang w:val="fr-FR"/>
        </w:rPr>
        <w:t>9 et 10).</w:t>
      </w:r>
    </w:p>
    <w:p w14:paraId="5871E658" w14:textId="4AC374C4" w:rsidR="00C17133" w:rsidRPr="006B297F" w:rsidRDefault="00C17133" w:rsidP="00C17133">
      <w:pPr>
        <w:pStyle w:val="SingleTxtG"/>
        <w:rPr>
          <w:lang w:val="fr-FR"/>
        </w:rPr>
      </w:pPr>
      <w:r>
        <w:rPr>
          <w:lang w:val="fr-FR"/>
        </w:rPr>
        <w:t>4.</w:t>
      </w:r>
      <w:r>
        <w:rPr>
          <w:lang w:val="fr-FR"/>
        </w:rPr>
        <w:tab/>
      </w:r>
      <w:r>
        <w:rPr>
          <w:lang w:val="fr-FR"/>
        </w:rPr>
        <w:t>Informations actualisées sur l’état d’avancement du projet de loi contre la discrimination, la haine et le sectarisme, annexé à la note n</w:t>
      </w:r>
      <w:r w:rsidRPr="00C17133">
        <w:rPr>
          <w:vertAlign w:val="superscript"/>
          <w:lang w:val="fr-FR"/>
        </w:rPr>
        <w:t>o</w:t>
      </w:r>
      <w:r>
        <w:rPr>
          <w:lang w:val="fr-FR"/>
        </w:rPr>
        <w:t> </w:t>
      </w:r>
      <w:r>
        <w:rPr>
          <w:lang w:val="fr-FR"/>
        </w:rPr>
        <w:t>118/604/215 adressée au Vice</w:t>
      </w:r>
      <w:r>
        <w:rPr>
          <w:lang w:val="fr-FR"/>
        </w:rPr>
        <w:noBreakHyphen/>
      </w:r>
      <w:r>
        <w:rPr>
          <w:lang w:val="fr-FR"/>
        </w:rPr>
        <w:t>Premier Ministre le 11</w:t>
      </w:r>
      <w:r>
        <w:rPr>
          <w:lang w:val="fr-FR"/>
        </w:rPr>
        <w:t> </w:t>
      </w:r>
      <w:r>
        <w:rPr>
          <w:lang w:val="fr-FR"/>
        </w:rPr>
        <w:t xml:space="preserve">novembre 2015, et sur les mesures prises pour faire figurer la discrimination </w:t>
      </w:r>
      <w:r w:rsidRPr="00667440">
        <w:rPr>
          <w:lang w:val="fr-FR"/>
        </w:rPr>
        <w:t xml:space="preserve">raciale directe et indirecte, </w:t>
      </w:r>
      <w:r>
        <w:rPr>
          <w:lang w:val="fr-FR"/>
        </w:rPr>
        <w:t>fondée sur tous les motifs visés à l’article premier (par.</w:t>
      </w:r>
      <w:r>
        <w:rPr>
          <w:lang w:val="fr-FR"/>
        </w:rPr>
        <w:t> </w:t>
      </w:r>
      <w:r>
        <w:rPr>
          <w:lang w:val="fr-FR"/>
        </w:rPr>
        <w:t>1) de la Convention, dans le projet de loi contre la discrimination (CERD/C/BHR/QPR/8-14, par.</w:t>
      </w:r>
      <w:r>
        <w:rPr>
          <w:lang w:val="fr-FR"/>
        </w:rPr>
        <w:t> </w:t>
      </w:r>
      <w:r>
        <w:rPr>
          <w:lang w:val="fr-FR"/>
        </w:rPr>
        <w:t>4</w:t>
      </w:r>
      <w:r>
        <w:rPr>
          <w:lang w:val="fr-FR"/>
        </w:rPr>
        <w:t> </w:t>
      </w:r>
      <w:r>
        <w:rPr>
          <w:lang w:val="fr-FR"/>
        </w:rPr>
        <w:t>; CERD/C/BHR/8-14, par.</w:t>
      </w:r>
      <w:r>
        <w:rPr>
          <w:lang w:val="fr-FR"/>
        </w:rPr>
        <w:t> </w:t>
      </w:r>
      <w:r>
        <w:rPr>
          <w:lang w:val="fr-FR"/>
        </w:rPr>
        <w:t>11 et 12).</w:t>
      </w:r>
    </w:p>
    <w:p w14:paraId="249EA4B3" w14:textId="3A7C5728" w:rsidR="00C17133" w:rsidRPr="006B297F" w:rsidRDefault="00C17133" w:rsidP="00C17133">
      <w:pPr>
        <w:pStyle w:val="SingleTxtG"/>
        <w:rPr>
          <w:lang w:val="fr-FR"/>
        </w:rPr>
      </w:pPr>
      <w:r>
        <w:rPr>
          <w:lang w:val="fr-FR"/>
        </w:rPr>
        <w:t>5.</w:t>
      </w:r>
      <w:r>
        <w:rPr>
          <w:lang w:val="fr-FR"/>
        </w:rPr>
        <w:tab/>
      </w:r>
      <w:r w:rsidRPr="00B179C3">
        <w:rPr>
          <w:lang w:val="fr-FR"/>
        </w:rPr>
        <w:t>Informations actualisées</w:t>
      </w:r>
      <w:r>
        <w:rPr>
          <w:lang w:val="fr-FR"/>
        </w:rPr>
        <w:t xml:space="preserve"> sur les plaintes pour discrimination raciale que des particuliers</w:t>
      </w:r>
      <w:r w:rsidRPr="00FC3835">
        <w:rPr>
          <w:lang w:val="fr-FR"/>
        </w:rPr>
        <w:t xml:space="preserve"> </w:t>
      </w:r>
      <w:r>
        <w:rPr>
          <w:lang w:val="fr-FR"/>
        </w:rPr>
        <w:t>ont déposées auprès de l’Institut national des droits de l’homme, et sur leur issue (CERD/C/BHR/QPR/8-14, par.</w:t>
      </w:r>
      <w:r>
        <w:rPr>
          <w:lang w:val="fr-FR"/>
        </w:rPr>
        <w:t> </w:t>
      </w:r>
      <w:r>
        <w:rPr>
          <w:lang w:val="fr-FR"/>
        </w:rPr>
        <w:t>6</w:t>
      </w:r>
      <w:r>
        <w:rPr>
          <w:lang w:val="fr-FR"/>
        </w:rPr>
        <w:t> </w:t>
      </w:r>
      <w:r>
        <w:rPr>
          <w:lang w:val="fr-FR"/>
        </w:rPr>
        <w:t>; CERD/C/BHR/8-14, par.</w:t>
      </w:r>
      <w:r>
        <w:rPr>
          <w:lang w:val="fr-FR"/>
        </w:rPr>
        <w:t> </w:t>
      </w:r>
      <w:r>
        <w:rPr>
          <w:lang w:val="fr-FR"/>
        </w:rPr>
        <w:t>42 à 45).</w:t>
      </w:r>
    </w:p>
    <w:p w14:paraId="75211BA0" w14:textId="3E3CE70D" w:rsidR="00C17133" w:rsidRPr="006B297F" w:rsidRDefault="00C17133" w:rsidP="00C17133">
      <w:pPr>
        <w:pStyle w:val="SingleTxtG"/>
        <w:rPr>
          <w:lang w:val="fr-FR"/>
        </w:rPr>
      </w:pPr>
      <w:r>
        <w:rPr>
          <w:lang w:val="fr-FR"/>
        </w:rPr>
        <w:t>6.</w:t>
      </w:r>
      <w:r>
        <w:rPr>
          <w:lang w:val="fr-FR"/>
        </w:rPr>
        <w:tab/>
      </w:r>
      <w:r>
        <w:rPr>
          <w:lang w:val="fr-FR"/>
        </w:rPr>
        <w:t>Informations sur les mesures spéciales prises en faveur des groupes et des individus protégés par la Convention, et sur les effets de ces mesures (CERD/C/BHR/QPR/8-14, par.</w:t>
      </w:r>
      <w:r>
        <w:rPr>
          <w:lang w:val="fr-FR"/>
        </w:rPr>
        <w:t> </w:t>
      </w:r>
      <w:r>
        <w:rPr>
          <w:lang w:val="fr-FR"/>
        </w:rPr>
        <w:t>7)</w:t>
      </w:r>
      <w:r>
        <w:rPr>
          <w:lang w:val="fr-FR"/>
        </w:rPr>
        <w:t> </w:t>
      </w:r>
      <w:r>
        <w:rPr>
          <w:lang w:val="fr-FR"/>
        </w:rPr>
        <w:t>; CERD/C/BHR/8-14, par.</w:t>
      </w:r>
      <w:r>
        <w:rPr>
          <w:lang w:val="fr-FR"/>
        </w:rPr>
        <w:t> </w:t>
      </w:r>
      <w:r>
        <w:rPr>
          <w:lang w:val="fr-FR"/>
        </w:rPr>
        <w:t>46 à 48).</w:t>
      </w:r>
    </w:p>
    <w:p w14:paraId="122DB699" w14:textId="13BCE8ED" w:rsidR="00C17133" w:rsidRPr="006B297F" w:rsidRDefault="00C17133" w:rsidP="00C17133">
      <w:pPr>
        <w:pStyle w:val="SingleTxtG"/>
        <w:rPr>
          <w:lang w:val="fr-FR"/>
        </w:rPr>
      </w:pPr>
      <w:r w:rsidRPr="00C17133">
        <w:rPr>
          <w:spacing w:val="-3"/>
          <w:lang w:val="fr-FR"/>
        </w:rPr>
        <w:lastRenderedPageBreak/>
        <w:t>7.</w:t>
      </w:r>
      <w:r w:rsidRPr="00C17133">
        <w:rPr>
          <w:spacing w:val="-3"/>
          <w:lang w:val="fr-FR"/>
        </w:rPr>
        <w:tab/>
      </w:r>
      <w:r w:rsidRPr="00C17133">
        <w:rPr>
          <w:spacing w:val="-3"/>
          <w:lang w:val="fr-FR"/>
        </w:rPr>
        <w:t>Mesures prises pour faire en sorte que la société civile et les défenseurs des droits de l’homme puissent lutter sans entrave contre la discrimination raciale (CERD/C/BHR/QPR/8-14,</w:t>
      </w:r>
      <w:r>
        <w:rPr>
          <w:lang w:val="fr-FR"/>
        </w:rPr>
        <w:t xml:space="preserve"> par.</w:t>
      </w:r>
      <w:r>
        <w:rPr>
          <w:lang w:val="fr-FR"/>
        </w:rPr>
        <w:t> </w:t>
      </w:r>
      <w:r>
        <w:rPr>
          <w:lang w:val="fr-FR"/>
        </w:rPr>
        <w:t>8</w:t>
      </w:r>
      <w:r>
        <w:rPr>
          <w:lang w:val="fr-FR"/>
        </w:rPr>
        <w:t> </w:t>
      </w:r>
      <w:r>
        <w:rPr>
          <w:lang w:val="fr-FR"/>
        </w:rPr>
        <w:t>; CERD/C/BHR/8-14, par.</w:t>
      </w:r>
      <w:r>
        <w:rPr>
          <w:lang w:val="fr-FR"/>
        </w:rPr>
        <w:t> </w:t>
      </w:r>
      <w:r>
        <w:rPr>
          <w:lang w:val="fr-FR"/>
        </w:rPr>
        <w:t>46 à 48).</w:t>
      </w:r>
    </w:p>
    <w:p w14:paraId="7EC2CD97" w14:textId="7FC068BD" w:rsidR="00C17133" w:rsidRPr="00911B99" w:rsidRDefault="00C17133" w:rsidP="00C17133">
      <w:pPr>
        <w:pStyle w:val="SingleTxtG"/>
        <w:rPr>
          <w:lang w:val="fr-FR"/>
        </w:rPr>
      </w:pPr>
      <w:r>
        <w:rPr>
          <w:lang w:val="fr-FR"/>
        </w:rPr>
        <w:t>8.</w:t>
      </w:r>
      <w:r>
        <w:rPr>
          <w:lang w:val="fr-FR"/>
        </w:rPr>
        <w:tab/>
      </w:r>
      <w:r>
        <w:rPr>
          <w:lang w:val="fr-FR"/>
        </w:rPr>
        <w:t>Exemples de cas dans lesquels les motifs raciaux constituent une circonstance aggravante en droit pénal interne (CERD/C/BHR/QPR/8-14, par.</w:t>
      </w:r>
      <w:r>
        <w:rPr>
          <w:lang w:val="fr-FR"/>
        </w:rPr>
        <w:t> </w:t>
      </w:r>
      <w:r>
        <w:rPr>
          <w:lang w:val="fr-FR"/>
        </w:rPr>
        <w:t>11</w:t>
      </w:r>
      <w:r>
        <w:rPr>
          <w:lang w:val="fr-FR"/>
        </w:rPr>
        <w:t> </w:t>
      </w:r>
      <w:r>
        <w:rPr>
          <w:lang w:val="fr-FR"/>
        </w:rPr>
        <w:t>; CERD/C/BHR/8-14, par.</w:t>
      </w:r>
      <w:r>
        <w:rPr>
          <w:lang w:val="fr-FR"/>
        </w:rPr>
        <w:t> </w:t>
      </w:r>
      <w:r>
        <w:rPr>
          <w:lang w:val="fr-FR"/>
        </w:rPr>
        <w:t>60).</w:t>
      </w:r>
    </w:p>
    <w:p w14:paraId="12561B09" w14:textId="298A6E02" w:rsidR="00C17133" w:rsidRPr="006B297F" w:rsidRDefault="00C17133" w:rsidP="00C17133">
      <w:pPr>
        <w:pStyle w:val="SingleTxtG"/>
        <w:rPr>
          <w:lang w:val="fr-FR"/>
        </w:rPr>
      </w:pPr>
      <w:r>
        <w:rPr>
          <w:lang w:val="fr-FR"/>
        </w:rPr>
        <w:t>9.</w:t>
      </w:r>
      <w:r>
        <w:rPr>
          <w:lang w:val="fr-FR"/>
        </w:rPr>
        <w:tab/>
      </w:r>
      <w:r>
        <w:rPr>
          <w:lang w:val="fr-FR"/>
        </w:rPr>
        <w:t>Informations à jour sur des affaires relatives à des actes de discrimination raciale ou des décisions prises par les juridictions nationales dans de telles affaires, en particulier s’agissant des infractions visées à l’article</w:t>
      </w:r>
      <w:r>
        <w:rPr>
          <w:lang w:val="fr-FR"/>
        </w:rPr>
        <w:t> </w:t>
      </w:r>
      <w:r>
        <w:rPr>
          <w:lang w:val="fr-FR"/>
        </w:rPr>
        <w:t>4</w:t>
      </w:r>
      <w:r>
        <w:rPr>
          <w:lang w:val="fr-FR"/>
        </w:rPr>
        <w:t> </w:t>
      </w:r>
      <w:r>
        <w:rPr>
          <w:lang w:val="fr-FR"/>
        </w:rPr>
        <w:t>a) et b) de la Convention</w:t>
      </w:r>
      <w:r w:rsidR="00CF4FD2">
        <w:rPr>
          <w:lang w:val="fr-FR"/>
        </w:rPr>
        <w:t> </w:t>
      </w:r>
      <w:r>
        <w:rPr>
          <w:lang w:val="fr-FR"/>
        </w:rPr>
        <w:t>; données statistiques ventilées par sexe, âge et origine nationale</w:t>
      </w:r>
      <w:r w:rsidRPr="00D42998">
        <w:rPr>
          <w:lang w:val="fr-FR"/>
        </w:rPr>
        <w:t xml:space="preserve"> </w:t>
      </w:r>
      <w:r>
        <w:rPr>
          <w:lang w:val="fr-FR"/>
        </w:rPr>
        <w:t xml:space="preserve">ou ethnique, relatives aux plaintes déposées, y compris auprès de la police, de l’Institut national des droits de l’homme, du Bureau de l’Ombudsman et de l’Unité spéciale d’enquête, et données statistiques semblables relatives aux </w:t>
      </w:r>
      <w:r w:rsidRPr="006B297F">
        <w:rPr>
          <w:lang w:val="fr-FR"/>
        </w:rPr>
        <w:t xml:space="preserve">poursuites engagées et </w:t>
      </w:r>
      <w:r>
        <w:rPr>
          <w:lang w:val="fr-FR"/>
        </w:rPr>
        <w:t>aux</w:t>
      </w:r>
      <w:r w:rsidRPr="006B297F">
        <w:rPr>
          <w:lang w:val="fr-FR"/>
        </w:rPr>
        <w:t xml:space="preserve"> peines prononcées pour des actes proscrits par l</w:t>
      </w:r>
      <w:r>
        <w:rPr>
          <w:lang w:val="fr-FR"/>
        </w:rPr>
        <w:t>’</w:t>
      </w:r>
      <w:r w:rsidRPr="006B297F">
        <w:rPr>
          <w:lang w:val="fr-FR"/>
        </w:rPr>
        <w:t>article</w:t>
      </w:r>
      <w:r>
        <w:rPr>
          <w:lang w:val="fr-FR"/>
        </w:rPr>
        <w:t> </w:t>
      </w:r>
      <w:r w:rsidRPr="006B297F">
        <w:rPr>
          <w:lang w:val="fr-FR"/>
        </w:rPr>
        <w:t xml:space="preserve">4 de la Convention, et </w:t>
      </w:r>
      <w:r>
        <w:rPr>
          <w:lang w:val="fr-FR"/>
        </w:rPr>
        <w:t>à la</w:t>
      </w:r>
      <w:r w:rsidRPr="006B297F">
        <w:rPr>
          <w:lang w:val="fr-FR"/>
        </w:rPr>
        <w:t xml:space="preserve"> réparation accordée aux victimes</w:t>
      </w:r>
      <w:r>
        <w:rPr>
          <w:lang w:val="fr-FR"/>
        </w:rPr>
        <w:t xml:space="preserve"> (CERD/C/BHR/QPR/8-14, par.</w:t>
      </w:r>
      <w:r>
        <w:rPr>
          <w:lang w:val="fr-FR"/>
        </w:rPr>
        <w:t> </w:t>
      </w:r>
      <w:r>
        <w:rPr>
          <w:lang w:val="fr-FR"/>
        </w:rPr>
        <w:t>12</w:t>
      </w:r>
      <w:r>
        <w:rPr>
          <w:lang w:val="fr-FR"/>
        </w:rPr>
        <w:t> </w:t>
      </w:r>
      <w:r>
        <w:rPr>
          <w:lang w:val="fr-FR"/>
        </w:rPr>
        <w:t>; CERD/C/BHR/8-14, par.</w:t>
      </w:r>
      <w:r>
        <w:rPr>
          <w:lang w:val="fr-FR"/>
        </w:rPr>
        <w:t> </w:t>
      </w:r>
      <w:r>
        <w:rPr>
          <w:lang w:val="fr-FR"/>
        </w:rPr>
        <w:t>61 à 63).</w:t>
      </w:r>
    </w:p>
    <w:p w14:paraId="0C57E171" w14:textId="0AFBFC10" w:rsidR="00C17133" w:rsidRPr="006B297F" w:rsidRDefault="00C17133" w:rsidP="00C17133">
      <w:pPr>
        <w:pStyle w:val="H23G"/>
        <w:rPr>
          <w:lang w:val="fr-FR"/>
        </w:rPr>
      </w:pPr>
      <w:r>
        <w:rPr>
          <w:lang w:val="fr-FR"/>
        </w:rPr>
        <w:tab/>
      </w:r>
      <w:r>
        <w:rPr>
          <w:lang w:val="fr-FR"/>
        </w:rPr>
        <w:tab/>
        <w:t>Situation des minorités ethniques (art.</w:t>
      </w:r>
      <w:r>
        <w:rPr>
          <w:lang w:val="fr-FR"/>
        </w:rPr>
        <w:t> </w:t>
      </w:r>
      <w:r>
        <w:rPr>
          <w:lang w:val="fr-FR"/>
        </w:rPr>
        <w:t>5)</w:t>
      </w:r>
    </w:p>
    <w:p w14:paraId="2270763B" w14:textId="2A2B0F74" w:rsidR="00C17133" w:rsidRPr="00355B5A" w:rsidRDefault="00C17133" w:rsidP="00C17133">
      <w:pPr>
        <w:pStyle w:val="SingleTxtG"/>
        <w:rPr>
          <w:lang w:val="fr-FR"/>
        </w:rPr>
      </w:pPr>
      <w:r>
        <w:rPr>
          <w:lang w:val="fr-FR"/>
        </w:rPr>
        <w:t>10.</w:t>
      </w:r>
      <w:r>
        <w:rPr>
          <w:lang w:val="fr-FR"/>
        </w:rPr>
        <w:tab/>
      </w:r>
      <w:r>
        <w:rPr>
          <w:lang w:val="fr-FR"/>
        </w:rPr>
        <w:t>Informations complémentaires détaillées sur l’exercice des droits énoncés à l’article</w:t>
      </w:r>
      <w:r>
        <w:rPr>
          <w:lang w:val="fr-FR"/>
        </w:rPr>
        <w:t> </w:t>
      </w:r>
      <w:r>
        <w:rPr>
          <w:lang w:val="fr-FR"/>
        </w:rPr>
        <w:t xml:space="preserve">5 de la Convention par les membres de minorités ethniques ou ethnoreligieuses, par les </w:t>
      </w:r>
      <w:r w:rsidRPr="00C17133">
        <w:rPr>
          <w:spacing w:val="-2"/>
          <w:lang w:val="fr-FR"/>
        </w:rPr>
        <w:t>migrants et par les non-ressortissants (CERD/C/BHR/QPR/8-14, par.</w:t>
      </w:r>
      <w:r w:rsidRPr="00C17133">
        <w:rPr>
          <w:spacing w:val="-2"/>
          <w:lang w:val="fr-FR"/>
        </w:rPr>
        <w:t> </w:t>
      </w:r>
      <w:r w:rsidRPr="00C17133">
        <w:rPr>
          <w:spacing w:val="-2"/>
          <w:lang w:val="fr-FR"/>
        </w:rPr>
        <w:t>13</w:t>
      </w:r>
      <w:r w:rsidRPr="00C17133">
        <w:rPr>
          <w:spacing w:val="-2"/>
          <w:lang w:val="fr-FR"/>
        </w:rPr>
        <w:t> </w:t>
      </w:r>
      <w:r w:rsidRPr="00C17133">
        <w:rPr>
          <w:spacing w:val="-2"/>
          <w:lang w:val="fr-FR"/>
        </w:rPr>
        <w:t>; CERD/C/BHR/8-14,</w:t>
      </w:r>
      <w:r>
        <w:rPr>
          <w:lang w:val="fr-FR"/>
        </w:rPr>
        <w:t xml:space="preserve"> par.</w:t>
      </w:r>
      <w:r>
        <w:rPr>
          <w:lang w:val="fr-FR"/>
        </w:rPr>
        <w:t> </w:t>
      </w:r>
      <w:r>
        <w:rPr>
          <w:lang w:val="fr-FR"/>
        </w:rPr>
        <w:t>64 à 66).</w:t>
      </w:r>
    </w:p>
    <w:p w14:paraId="4F748887" w14:textId="61A21489" w:rsidR="00C17133" w:rsidRPr="006B297F" w:rsidRDefault="00C17133" w:rsidP="00C17133">
      <w:pPr>
        <w:pStyle w:val="SingleTxtG"/>
        <w:rPr>
          <w:lang w:val="fr-FR"/>
        </w:rPr>
      </w:pPr>
      <w:r>
        <w:rPr>
          <w:lang w:val="fr-FR"/>
        </w:rPr>
        <w:t>11.</w:t>
      </w:r>
      <w:r>
        <w:rPr>
          <w:lang w:val="fr-FR"/>
        </w:rPr>
        <w:tab/>
      </w:r>
      <w:r>
        <w:rPr>
          <w:lang w:val="fr-FR"/>
        </w:rPr>
        <w:t>Informations concernant l’effet des modifications apportées à la loi sur la nationalité et au Code de la famille, promulguées dans la loi n</w:t>
      </w:r>
      <w:r w:rsidRPr="00C17133">
        <w:rPr>
          <w:vertAlign w:val="superscript"/>
          <w:lang w:val="fr-FR"/>
        </w:rPr>
        <w:t>o</w:t>
      </w:r>
      <w:r>
        <w:rPr>
          <w:lang w:val="fr-FR"/>
        </w:rPr>
        <w:t> </w:t>
      </w:r>
      <w:r>
        <w:rPr>
          <w:lang w:val="fr-FR"/>
        </w:rPr>
        <w:t>19 du 19</w:t>
      </w:r>
      <w:r>
        <w:rPr>
          <w:lang w:val="fr-FR"/>
        </w:rPr>
        <w:t> </w:t>
      </w:r>
      <w:r>
        <w:rPr>
          <w:lang w:val="fr-FR"/>
        </w:rPr>
        <w:t>juillet 2017, sur les enfants de Bahreïniennes mariées à des non</w:t>
      </w:r>
      <w:r w:rsidR="00CF4FD2">
        <w:rPr>
          <w:lang w:val="fr-FR"/>
        </w:rPr>
        <w:t xml:space="preserve"> </w:t>
      </w:r>
      <w:r>
        <w:rPr>
          <w:lang w:val="fr-FR"/>
        </w:rPr>
        <w:t>Bahreïniens (CERD/C/BHR/QPR/8-14, par.</w:t>
      </w:r>
      <w:r>
        <w:rPr>
          <w:lang w:val="fr-FR"/>
        </w:rPr>
        <w:t> </w:t>
      </w:r>
      <w:r>
        <w:rPr>
          <w:lang w:val="fr-FR"/>
        </w:rPr>
        <w:t>14</w:t>
      </w:r>
      <w:r>
        <w:rPr>
          <w:lang w:val="fr-FR"/>
        </w:rPr>
        <w:t> </w:t>
      </w:r>
      <w:r>
        <w:rPr>
          <w:lang w:val="fr-FR"/>
        </w:rPr>
        <w:t>; CERD/C/BHR/8-14, par.</w:t>
      </w:r>
      <w:r>
        <w:rPr>
          <w:lang w:val="fr-FR"/>
        </w:rPr>
        <w:t> </w:t>
      </w:r>
      <w:r>
        <w:rPr>
          <w:lang w:val="fr-FR"/>
        </w:rPr>
        <w:t>69 et 70).</w:t>
      </w:r>
    </w:p>
    <w:p w14:paraId="44A68DBE" w14:textId="31F9D0D2" w:rsidR="00C17133" w:rsidRPr="006B297F" w:rsidRDefault="00C17133" w:rsidP="00C17133">
      <w:pPr>
        <w:pStyle w:val="SingleTxtG"/>
        <w:rPr>
          <w:lang w:val="fr-FR"/>
        </w:rPr>
      </w:pPr>
      <w:r>
        <w:rPr>
          <w:lang w:val="fr-FR"/>
        </w:rPr>
        <w:t>12.</w:t>
      </w:r>
      <w:r>
        <w:rPr>
          <w:lang w:val="fr-FR"/>
        </w:rPr>
        <w:tab/>
      </w:r>
      <w:r>
        <w:rPr>
          <w:lang w:val="fr-FR"/>
        </w:rPr>
        <w:t>Informations sur la naturalisation des Bidouns (CERD/C/BHR/QPR/8-14, par.</w:t>
      </w:r>
      <w:r>
        <w:rPr>
          <w:lang w:val="fr-FR"/>
        </w:rPr>
        <w:t> </w:t>
      </w:r>
      <w:r>
        <w:rPr>
          <w:lang w:val="fr-FR"/>
        </w:rPr>
        <w:t>15</w:t>
      </w:r>
      <w:r>
        <w:rPr>
          <w:lang w:val="fr-FR"/>
        </w:rPr>
        <w:t> </w:t>
      </w:r>
      <w:r>
        <w:rPr>
          <w:lang w:val="fr-FR"/>
        </w:rPr>
        <w:t>; CERD/C/BHR/8-14, par.</w:t>
      </w:r>
      <w:r>
        <w:rPr>
          <w:lang w:val="fr-FR"/>
        </w:rPr>
        <w:t> </w:t>
      </w:r>
      <w:r>
        <w:rPr>
          <w:lang w:val="fr-FR"/>
        </w:rPr>
        <w:t>92).</w:t>
      </w:r>
    </w:p>
    <w:p w14:paraId="19B22F45" w14:textId="3933FE48" w:rsidR="00984B29" w:rsidRDefault="00C17133" w:rsidP="00C17133">
      <w:pPr>
        <w:pStyle w:val="SingleTxtG"/>
        <w:rPr>
          <w:lang w:val="fr-FR"/>
        </w:rPr>
      </w:pPr>
      <w:r>
        <w:rPr>
          <w:lang w:val="fr-FR"/>
        </w:rPr>
        <w:t>13.</w:t>
      </w:r>
      <w:r>
        <w:rPr>
          <w:lang w:val="fr-FR"/>
        </w:rPr>
        <w:tab/>
      </w:r>
      <w:r>
        <w:rPr>
          <w:lang w:val="fr-FR"/>
        </w:rPr>
        <w:t>Informations actualisées sur les initiatives éducatives visant à combattre les préjugés, à accroître la tolérance et à améliorer la coexistence, notamment dans les écoles (CERD/C/BHR/QPR/8-14, par.</w:t>
      </w:r>
      <w:r>
        <w:rPr>
          <w:lang w:val="fr-FR"/>
        </w:rPr>
        <w:t> </w:t>
      </w:r>
      <w:r>
        <w:rPr>
          <w:lang w:val="fr-FR"/>
        </w:rPr>
        <w:t>18</w:t>
      </w:r>
      <w:r>
        <w:rPr>
          <w:lang w:val="fr-FR"/>
        </w:rPr>
        <w:t> </w:t>
      </w:r>
      <w:r>
        <w:rPr>
          <w:lang w:val="fr-FR"/>
        </w:rPr>
        <w:t>; CERD/C/BHR/8-14, par.</w:t>
      </w:r>
      <w:r>
        <w:rPr>
          <w:lang w:val="fr-FR"/>
        </w:rPr>
        <w:t> </w:t>
      </w:r>
      <w:r>
        <w:rPr>
          <w:lang w:val="fr-FR"/>
        </w:rPr>
        <w:t>95 à 106).</w:t>
      </w:r>
    </w:p>
    <w:p w14:paraId="1A3EBB0B" w14:textId="739A67DD" w:rsidR="00C17133" w:rsidRPr="00C17133" w:rsidRDefault="00C17133" w:rsidP="00C17133">
      <w:pPr>
        <w:pStyle w:val="SingleTxtG"/>
        <w:spacing w:before="240" w:after="0"/>
        <w:jc w:val="center"/>
        <w:rPr>
          <w:u w:val="single"/>
        </w:rPr>
      </w:pPr>
      <w:r>
        <w:rPr>
          <w:u w:val="single"/>
        </w:rPr>
        <w:tab/>
      </w:r>
      <w:r>
        <w:rPr>
          <w:u w:val="single"/>
        </w:rPr>
        <w:tab/>
      </w:r>
      <w:r>
        <w:rPr>
          <w:u w:val="single"/>
        </w:rPr>
        <w:tab/>
      </w:r>
    </w:p>
    <w:sectPr w:rsidR="00C17133" w:rsidRPr="00C17133" w:rsidSect="00C1713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EB3734" w14:textId="77777777" w:rsidR="00F00918" w:rsidRDefault="00F00918" w:rsidP="00F95C08">
      <w:pPr>
        <w:spacing w:line="240" w:lineRule="auto"/>
      </w:pPr>
    </w:p>
  </w:endnote>
  <w:endnote w:type="continuationSeparator" w:id="0">
    <w:p w14:paraId="3E06A408" w14:textId="77777777" w:rsidR="00F00918" w:rsidRPr="00AC3823" w:rsidRDefault="00F00918" w:rsidP="00AC3823">
      <w:pPr>
        <w:pStyle w:val="Pieddepage"/>
      </w:pPr>
    </w:p>
  </w:endnote>
  <w:endnote w:type="continuationNotice" w:id="1">
    <w:p w14:paraId="795CB348" w14:textId="77777777" w:rsidR="00F00918" w:rsidRDefault="00F0091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2B5487" w14:textId="5A9C645B" w:rsidR="00C17133" w:rsidRPr="00C17133" w:rsidRDefault="00C17133" w:rsidP="00C17133">
    <w:pPr>
      <w:pStyle w:val="Pieddepage"/>
      <w:tabs>
        <w:tab w:val="right" w:pos="9638"/>
      </w:tabs>
    </w:pPr>
    <w:r w:rsidRPr="00C17133">
      <w:rPr>
        <w:b/>
        <w:sz w:val="18"/>
      </w:rPr>
      <w:fldChar w:fldCharType="begin"/>
    </w:r>
    <w:r w:rsidRPr="00C17133">
      <w:rPr>
        <w:b/>
        <w:sz w:val="18"/>
      </w:rPr>
      <w:instrText xml:space="preserve"> PAGE  \* MERGEFORMAT </w:instrText>
    </w:r>
    <w:r w:rsidRPr="00C17133">
      <w:rPr>
        <w:b/>
        <w:sz w:val="18"/>
      </w:rPr>
      <w:fldChar w:fldCharType="separate"/>
    </w:r>
    <w:r w:rsidRPr="00C17133">
      <w:rPr>
        <w:b/>
        <w:noProof/>
        <w:sz w:val="18"/>
      </w:rPr>
      <w:t>2</w:t>
    </w:r>
    <w:r w:rsidRPr="00C17133">
      <w:rPr>
        <w:b/>
        <w:sz w:val="18"/>
      </w:rPr>
      <w:fldChar w:fldCharType="end"/>
    </w:r>
    <w:r>
      <w:rPr>
        <w:b/>
        <w:sz w:val="18"/>
      </w:rPr>
      <w:tab/>
    </w:r>
    <w:r>
      <w:t>GE.21-13731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2ECC3E" w14:textId="60F31BA2" w:rsidR="00C17133" w:rsidRPr="00C17133" w:rsidRDefault="00C17133" w:rsidP="00C17133">
    <w:pPr>
      <w:pStyle w:val="Pieddepage"/>
      <w:tabs>
        <w:tab w:val="right" w:pos="9638"/>
      </w:tabs>
      <w:rPr>
        <w:b/>
        <w:sz w:val="18"/>
      </w:rPr>
    </w:pPr>
    <w:r>
      <w:t>GE.21-13731</w:t>
    </w:r>
    <w:r>
      <w:tab/>
    </w:r>
    <w:r w:rsidRPr="00C17133">
      <w:rPr>
        <w:b/>
        <w:sz w:val="18"/>
      </w:rPr>
      <w:fldChar w:fldCharType="begin"/>
    </w:r>
    <w:r w:rsidRPr="00C17133">
      <w:rPr>
        <w:b/>
        <w:sz w:val="18"/>
      </w:rPr>
      <w:instrText xml:space="preserve"> PAGE  \* MERGEFORMAT </w:instrText>
    </w:r>
    <w:r w:rsidRPr="00C17133">
      <w:rPr>
        <w:b/>
        <w:sz w:val="18"/>
      </w:rPr>
      <w:fldChar w:fldCharType="separate"/>
    </w:r>
    <w:r w:rsidRPr="00C17133">
      <w:rPr>
        <w:b/>
        <w:noProof/>
        <w:sz w:val="18"/>
      </w:rPr>
      <w:t>3</w:t>
    </w:r>
    <w:r w:rsidRPr="00C1713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DBBD11" w14:textId="05AE0ACC" w:rsidR="00984B29" w:rsidRPr="00C17133" w:rsidRDefault="00C17133" w:rsidP="00C17133">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4CA8D6D8" wp14:editId="27F56E9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21-13731  (F)</w:t>
    </w:r>
    <w:r>
      <w:rPr>
        <w:noProof/>
        <w:sz w:val="20"/>
      </w:rPr>
      <w:drawing>
        <wp:anchor distT="0" distB="0" distL="114300" distR="114300" simplePos="0" relativeHeight="251660288" behindDoc="0" locked="0" layoutInCell="1" allowOverlap="1" wp14:anchorId="7D11480C" wp14:editId="277B2F7D">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201021    201021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7AE746" w14:textId="77777777" w:rsidR="00F00918" w:rsidRPr="00AC3823" w:rsidRDefault="00F00918" w:rsidP="00AC3823">
      <w:pPr>
        <w:pStyle w:val="Pieddepage"/>
        <w:tabs>
          <w:tab w:val="right" w:pos="2155"/>
        </w:tabs>
        <w:spacing w:after="80" w:line="240" w:lineRule="atLeast"/>
        <w:ind w:left="680"/>
        <w:rPr>
          <w:u w:val="single"/>
        </w:rPr>
      </w:pPr>
      <w:r>
        <w:rPr>
          <w:u w:val="single"/>
        </w:rPr>
        <w:tab/>
      </w:r>
    </w:p>
  </w:footnote>
  <w:footnote w:type="continuationSeparator" w:id="0">
    <w:p w14:paraId="78645254" w14:textId="77777777" w:rsidR="00F00918" w:rsidRPr="00AC3823" w:rsidRDefault="00F00918" w:rsidP="00AC3823">
      <w:pPr>
        <w:pStyle w:val="Pieddepage"/>
        <w:tabs>
          <w:tab w:val="right" w:pos="2155"/>
        </w:tabs>
        <w:spacing w:after="80" w:line="240" w:lineRule="atLeast"/>
        <w:ind w:left="680"/>
        <w:rPr>
          <w:u w:val="single"/>
        </w:rPr>
      </w:pPr>
      <w:r>
        <w:rPr>
          <w:u w:val="single"/>
        </w:rPr>
        <w:tab/>
      </w:r>
    </w:p>
  </w:footnote>
  <w:footnote w:type="continuationNotice" w:id="1">
    <w:p w14:paraId="02432469" w14:textId="77777777" w:rsidR="00F00918" w:rsidRPr="00AC3823" w:rsidRDefault="00F00918">
      <w:pPr>
        <w:spacing w:line="240" w:lineRule="auto"/>
        <w:rPr>
          <w:sz w:val="2"/>
          <w:szCs w:val="2"/>
        </w:rPr>
      </w:pPr>
    </w:p>
  </w:footnote>
  <w:footnote w:id="2">
    <w:p w14:paraId="01EF201F" w14:textId="0A6E121E" w:rsidR="00CF4FD2" w:rsidRPr="00CF4FD2" w:rsidRDefault="00CF4FD2">
      <w:pPr>
        <w:pStyle w:val="Notedebasdepage"/>
      </w:pPr>
      <w:r>
        <w:rPr>
          <w:rStyle w:val="Appelnotedebasdep"/>
        </w:rPr>
        <w:tab/>
      </w:r>
      <w:r w:rsidRPr="00CF4FD2">
        <w:rPr>
          <w:rStyle w:val="Appelnotedebasdep"/>
          <w:sz w:val="20"/>
          <w:vertAlign w:val="baseline"/>
        </w:rPr>
        <w:t>*</w:t>
      </w:r>
      <w:r>
        <w:rPr>
          <w:rStyle w:val="Appelnotedebasdep"/>
          <w:sz w:val="20"/>
          <w:vertAlign w:val="baseline"/>
        </w:rPr>
        <w:tab/>
      </w:r>
      <w:r>
        <w:rPr>
          <w:lang w:val="fr-FR"/>
        </w:rPr>
        <w:t>Il a été convenu que le présent document serait publié après la date normale de publication en raison de circonstances indépendantes de la volonté du soumetteur.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FC936A" w14:textId="6013BACC" w:rsidR="00C17133" w:rsidRPr="00C17133" w:rsidRDefault="00C17133">
    <w:pPr>
      <w:pStyle w:val="En-tte"/>
    </w:pPr>
    <w:fldSimple w:instr=" TITLE  \* MERGEFORMAT ">
      <w:r w:rsidR="004119E1">
        <w:t>CERD/C/BHR/Q/8-14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B51FB5" w14:textId="35E0F453" w:rsidR="00C17133" w:rsidRPr="00C17133" w:rsidRDefault="00C17133" w:rsidP="00C17133">
    <w:pPr>
      <w:pStyle w:val="En-tte"/>
      <w:jc w:val="right"/>
    </w:pPr>
    <w:fldSimple w:instr=" TITLE  \* MERGEFORMAT ">
      <w:r w:rsidR="004119E1">
        <w:t>CERD/C/BHR/Q/8-14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918"/>
    <w:rsid w:val="00017F94"/>
    <w:rsid w:val="00023842"/>
    <w:rsid w:val="000334F9"/>
    <w:rsid w:val="0007796D"/>
    <w:rsid w:val="000B7790"/>
    <w:rsid w:val="00111F2F"/>
    <w:rsid w:val="0014365E"/>
    <w:rsid w:val="00176178"/>
    <w:rsid w:val="001F525A"/>
    <w:rsid w:val="00215BEC"/>
    <w:rsid w:val="00223272"/>
    <w:rsid w:val="0024779E"/>
    <w:rsid w:val="00262657"/>
    <w:rsid w:val="003E18C1"/>
    <w:rsid w:val="004119E1"/>
    <w:rsid w:val="00446FE5"/>
    <w:rsid w:val="00452396"/>
    <w:rsid w:val="004A0763"/>
    <w:rsid w:val="004F094E"/>
    <w:rsid w:val="005505B7"/>
    <w:rsid w:val="00573BE5"/>
    <w:rsid w:val="00586ED3"/>
    <w:rsid w:val="00596AA9"/>
    <w:rsid w:val="00623CA8"/>
    <w:rsid w:val="006E0451"/>
    <w:rsid w:val="00712E6E"/>
    <w:rsid w:val="0071601D"/>
    <w:rsid w:val="00727013"/>
    <w:rsid w:val="00780585"/>
    <w:rsid w:val="00783E9F"/>
    <w:rsid w:val="007A62E6"/>
    <w:rsid w:val="0080684C"/>
    <w:rsid w:val="00871C75"/>
    <w:rsid w:val="008776DC"/>
    <w:rsid w:val="009705C8"/>
    <w:rsid w:val="00984B29"/>
    <w:rsid w:val="009D5F1A"/>
    <w:rsid w:val="00A30353"/>
    <w:rsid w:val="00AC3823"/>
    <w:rsid w:val="00AE323C"/>
    <w:rsid w:val="00B00181"/>
    <w:rsid w:val="00B765F7"/>
    <w:rsid w:val="00BA0CA9"/>
    <w:rsid w:val="00BB0B66"/>
    <w:rsid w:val="00BB19C3"/>
    <w:rsid w:val="00C02897"/>
    <w:rsid w:val="00C17133"/>
    <w:rsid w:val="00C46A79"/>
    <w:rsid w:val="00CF4FD2"/>
    <w:rsid w:val="00D3439C"/>
    <w:rsid w:val="00DB1831"/>
    <w:rsid w:val="00DC0149"/>
    <w:rsid w:val="00DD3BFD"/>
    <w:rsid w:val="00DF6678"/>
    <w:rsid w:val="00F0091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9F760F5"/>
  <w15:docId w15:val="{8587AC83-C04E-4F5C-A941-423B3CD93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2</Pages>
  <Words>744</Words>
  <Characters>4204</Characters>
  <Application>Microsoft Office Word</Application>
  <DocSecurity>0</DocSecurity>
  <Lines>79</Lines>
  <Paragraphs>35</Paragraphs>
  <ScaleCrop>false</ScaleCrop>
  <HeadingPairs>
    <vt:vector size="2" baseType="variant">
      <vt:variant>
        <vt:lpstr>Titre</vt:lpstr>
      </vt:variant>
      <vt:variant>
        <vt:i4>1</vt:i4>
      </vt:variant>
    </vt:vector>
  </HeadingPairs>
  <TitlesOfParts>
    <vt:vector size="1" baseType="lpstr">
      <vt:lpstr>CERD/C/BHR/Q/8-14</vt:lpstr>
    </vt:vector>
  </TitlesOfParts>
  <Company>DCM</Company>
  <LinksUpToDate>false</LinksUpToDate>
  <CharactersWithSpaces>4913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CERD/C/BHR/Q/8-14</dc:title>
  <dc:subject/>
  <dc:creator>Marie DESCHAMPS</dc:creator>
  <cp:keywords/>
  <cp:lastModifiedBy>Marie DESCHAMPS</cp:lastModifiedBy>
  <cp:revision>2</cp:revision>
  <cp:lastPrinted>2014-05-14T10:59:00Z</cp:lastPrinted>
  <dcterms:created xsi:type="dcterms:W3CDTF">2021-10-20T06:41:00Z</dcterms:created>
  <dcterms:modified xsi:type="dcterms:W3CDTF">2021-10-20T06:41:00Z</dcterms:modified>
</cp:coreProperties>
</file>