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02B00" w:rsidP="00202B00">
            <w:pPr>
              <w:spacing w:after="20"/>
              <w:jc w:val="right"/>
            </w:pPr>
            <w:r w:rsidRPr="00202B00">
              <w:rPr>
                <w:sz w:val="40"/>
              </w:rPr>
              <w:t>CEDAW</w:t>
            </w:r>
            <w:r>
              <w:t>/C/KWT/Q/3-4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202B00" w:rsidRDefault="00202B00" w:rsidP="00202B00">
            <w:pPr>
              <w:spacing w:before="240"/>
            </w:pPr>
            <w:r>
              <w:t>Distr. general</w:t>
            </w:r>
          </w:p>
          <w:p w:rsidR="00202B00" w:rsidRDefault="00202B00" w:rsidP="00202B00">
            <w:r>
              <w:t>8 de marzo de 2011</w:t>
            </w:r>
          </w:p>
          <w:p w:rsidR="00202B00" w:rsidRDefault="00202B00" w:rsidP="00202B00">
            <w:r>
              <w:t>Español</w:t>
            </w:r>
          </w:p>
          <w:p w:rsidR="002D5AAC" w:rsidRDefault="00202B00" w:rsidP="00202B00">
            <w:r>
              <w:t>Original: inglés</w:t>
            </w:r>
          </w:p>
        </w:tc>
      </w:tr>
    </w:tbl>
    <w:p w:rsidR="00202B00" w:rsidRPr="005F2F8A" w:rsidRDefault="00202B00" w:rsidP="00202B00">
      <w:pPr>
        <w:spacing w:before="120"/>
        <w:rPr>
          <w:b/>
          <w:sz w:val="24"/>
          <w:szCs w:val="24"/>
        </w:rPr>
      </w:pPr>
      <w:r w:rsidRPr="005F2F8A">
        <w:rPr>
          <w:b/>
          <w:sz w:val="24"/>
          <w:szCs w:val="24"/>
        </w:rPr>
        <w:t>Comité para la E</w:t>
      </w:r>
      <w:r>
        <w:rPr>
          <w:b/>
          <w:sz w:val="24"/>
          <w:szCs w:val="24"/>
        </w:rPr>
        <w:t>liminación de la Discriminación</w:t>
      </w:r>
      <w:r>
        <w:rPr>
          <w:b/>
          <w:sz w:val="24"/>
          <w:szCs w:val="24"/>
        </w:rPr>
        <w:br/>
      </w:r>
      <w:r w:rsidRPr="005F2F8A">
        <w:rPr>
          <w:b/>
          <w:sz w:val="24"/>
          <w:szCs w:val="24"/>
        </w:rPr>
        <w:t>contra la Mujer</w:t>
      </w:r>
    </w:p>
    <w:p w:rsidR="00202B00" w:rsidRPr="00543E75" w:rsidRDefault="00BA2F3E" w:rsidP="00202B00">
      <w:pPr>
        <w:rPr>
          <w:b/>
        </w:rPr>
      </w:pPr>
      <w:r>
        <w:rPr>
          <w:b/>
        </w:rPr>
        <w:t>50</w:t>
      </w:r>
      <w:r w:rsidR="00202B00" w:rsidRPr="00543E75">
        <w:rPr>
          <w:b/>
        </w:rPr>
        <w:t>º período de sesiones</w:t>
      </w:r>
    </w:p>
    <w:p w:rsidR="00202B00" w:rsidRPr="00D544EB" w:rsidRDefault="00202B00" w:rsidP="00202B00">
      <w:pPr>
        <w:spacing w:after="240"/>
      </w:pPr>
      <w:r w:rsidRPr="00D544EB">
        <w:t>3 a 21 de octubre de 2011</w:t>
      </w:r>
    </w:p>
    <w:p w:rsidR="00202B00" w:rsidRPr="00D544EB" w:rsidRDefault="00202B00" w:rsidP="00202B00">
      <w:pPr>
        <w:pStyle w:val="HChG"/>
      </w:pPr>
      <w:r>
        <w:tab/>
      </w:r>
      <w:r>
        <w:tab/>
      </w:r>
      <w:r w:rsidRPr="00D544EB">
        <w:t>Lista de cuestiones y preg</w:t>
      </w:r>
      <w:r>
        <w:t>untas en relación con el</w:t>
      </w:r>
      <w:r>
        <w:br/>
        <w:t xml:space="preserve">examen </w:t>
      </w:r>
      <w:r w:rsidRPr="00D544EB">
        <w:t xml:space="preserve">de los informes </w:t>
      </w:r>
      <w:r>
        <w:t>periódicos</w:t>
      </w:r>
    </w:p>
    <w:p w:rsidR="00202B00" w:rsidRPr="00D544EB" w:rsidRDefault="00202B00" w:rsidP="00202B00">
      <w:pPr>
        <w:pStyle w:val="H1G"/>
      </w:pPr>
      <w:r>
        <w:tab/>
      </w:r>
      <w:r>
        <w:tab/>
      </w:r>
      <w:r w:rsidRPr="00D544EB">
        <w:t>Kuwait</w:t>
      </w:r>
    </w:p>
    <w:p w:rsidR="00202B00" w:rsidRPr="00D544EB" w:rsidRDefault="00202B00" w:rsidP="00202B00">
      <w:pPr>
        <w:pStyle w:val="SingleTxtG"/>
      </w:pPr>
      <w:r>
        <w:tab/>
      </w:r>
      <w:r w:rsidRPr="00D544EB">
        <w:t>El grupo de trabajo anterior al período de sesiones examinó los informes periódicos tercero y cuarto co</w:t>
      </w:r>
      <w:r>
        <w:t>mbinados de Kuwait (CEDAW/C/KWT</w:t>
      </w:r>
      <w:r w:rsidRPr="00D544EB">
        <w:t>/3-4).</w:t>
      </w:r>
    </w:p>
    <w:p w:rsidR="00202B00" w:rsidRPr="00D544EB" w:rsidRDefault="00202B00" w:rsidP="00202B00">
      <w:pPr>
        <w:pStyle w:val="H23G"/>
      </w:pPr>
      <w:r>
        <w:tab/>
      </w:r>
      <w:r>
        <w:tab/>
      </w:r>
      <w:r w:rsidRPr="00D544EB">
        <w:t>Generalidades</w:t>
      </w:r>
    </w:p>
    <w:p w:rsidR="00202B00" w:rsidRPr="00D544EB" w:rsidRDefault="00202B00" w:rsidP="00202B00">
      <w:pPr>
        <w:pStyle w:val="SingleTxtG"/>
      </w:pPr>
      <w:r>
        <w:t>1.</w:t>
      </w:r>
      <w:r>
        <w:tab/>
      </w:r>
      <w:r w:rsidRPr="00D544EB">
        <w:t xml:space="preserve">Sírvanse proporcionar información sobre el proceso de preparación de los informes periódicos tercero y cuarto combinados. En particular, sírvanse indicar si se consultó a las </w:t>
      </w:r>
      <w:r w:rsidRPr="00AE19ED">
        <w:rPr>
          <w:spacing w:val="-2"/>
        </w:rPr>
        <w:t>organizaciones no gubernamentales (ONG), según lo recomendado por el Comité (CEDAW/</w:t>
      </w:r>
      <w:r>
        <w:rPr>
          <w:spacing w:val="-2"/>
        </w:rPr>
        <w:t>C/</w:t>
      </w:r>
      <w:r w:rsidRPr="00D544EB">
        <w:t xml:space="preserve">KWT/CO/2, párr. 80), y si el Gobierno presentó su informe a la Asamblea Nacional. </w:t>
      </w:r>
    </w:p>
    <w:p w:rsidR="00202B00" w:rsidRPr="00D544EB" w:rsidRDefault="00202B00" w:rsidP="00202B00">
      <w:pPr>
        <w:pStyle w:val="H23G"/>
      </w:pPr>
      <w:r>
        <w:tab/>
      </w:r>
      <w:r>
        <w:tab/>
      </w:r>
      <w:r w:rsidRPr="00D544EB">
        <w:t xml:space="preserve">Estatuto jurídico de la Convención y marco legislativo e institucional </w:t>
      </w:r>
    </w:p>
    <w:p w:rsidR="00202B00" w:rsidRDefault="00202B00" w:rsidP="00202B00">
      <w:pPr>
        <w:pStyle w:val="SingleTxtG"/>
      </w:pPr>
      <w:r w:rsidRPr="00D544EB">
        <w:t>2</w:t>
      </w:r>
      <w:r>
        <w:t>.</w:t>
      </w:r>
      <w:r>
        <w:tab/>
      </w:r>
      <w:r w:rsidRPr="00D544EB">
        <w:t>En sus anteriores observaciones finales (CEDAW/C/KWT/CO/2, párr. 81), el Comité recomendó al Estado parte que ratificase el Protocolo Facultativo de la Convención. En este sentido, sírvanse explicar por qué el Estado parte no ha aceptado las recomendaciones similares que se le habían formulado en el examen periódico universal de Kuwait</w:t>
      </w:r>
      <w:r>
        <w:rPr>
          <w:rStyle w:val="FootnoteReference"/>
        </w:rPr>
        <w:footnoteReference w:id="1"/>
      </w:r>
      <w:r w:rsidRPr="00D544EB">
        <w:t xml:space="preserve">. </w:t>
      </w:r>
    </w:p>
    <w:p w:rsidR="00202B00" w:rsidRDefault="00202B00" w:rsidP="00202B00">
      <w:pPr>
        <w:pStyle w:val="SingleTxtG"/>
      </w:pPr>
      <w:r>
        <w:t>3.</w:t>
      </w:r>
      <w:r>
        <w:tab/>
      </w:r>
      <w:r w:rsidRPr="00D544EB">
        <w:t xml:space="preserve">Con respecto al artículo 4 de la Constitución, sírvanse explicar el fundamento jurídico o de otro tipo para excluir a las mujeres de la sucesión hereditaria del Emir. </w:t>
      </w:r>
    </w:p>
    <w:p w:rsidR="00202B00" w:rsidRDefault="00202B00" w:rsidP="00202B00">
      <w:pPr>
        <w:pStyle w:val="SingleTxtG"/>
      </w:pPr>
      <w:r>
        <w:t>4.</w:t>
      </w:r>
      <w:r>
        <w:tab/>
      </w:r>
      <w:r w:rsidRPr="00D544EB">
        <w:t>En consonancia con las recomendaciones anteriores del Comité (CEDAW/</w:t>
      </w:r>
      <w:r>
        <w:br/>
      </w:r>
      <w:r w:rsidRPr="00D544EB">
        <w:t>C/KWT/CO/2, párr. 63), sírvanse proporcionar información detallada sobre la formación impartida a jueces, abogados, fiscales, policía y otros agentes del orden sobre el carácter jurídicamente vinculante y la aplicabilidad directa de la Convención, así como sobre las medidas para mejorar el conocimiento de la Convención entre la ciudadanía</w:t>
      </w:r>
      <w:r>
        <w:t xml:space="preserve">. </w:t>
      </w:r>
    </w:p>
    <w:p w:rsidR="00202B00" w:rsidRDefault="00202B00" w:rsidP="00202B00">
      <w:pPr>
        <w:pStyle w:val="SingleTxtG"/>
        <w:keepNext/>
        <w:keepLines/>
      </w:pPr>
      <w:r>
        <w:t>5.</w:t>
      </w:r>
      <w:r>
        <w:tab/>
      </w:r>
      <w:r w:rsidRPr="00D544EB">
        <w:t xml:space="preserve">Sírvanse proporcionar información sobre el número de </w:t>
      </w:r>
      <w:r>
        <w:t>denuncias</w:t>
      </w:r>
      <w:r w:rsidRPr="00D544EB">
        <w:t xml:space="preserve"> por vulneraciones de derechos humanos interpuestas por mujeres ante el Comité Superior de Derechos Humanos (párr</w:t>
      </w:r>
      <w:r>
        <w:t>afo</w:t>
      </w:r>
      <w:r w:rsidRPr="00D544EB">
        <w:t xml:space="preserve"> 29 del in</w:t>
      </w:r>
      <w:r>
        <w:t>forme) y los tribunales (párr</w:t>
      </w:r>
      <w:r w:rsidRPr="00D544EB">
        <w:t>s</w:t>
      </w:r>
      <w:r>
        <w:t>.</w:t>
      </w:r>
      <w:r w:rsidRPr="00D544EB">
        <w:t xml:space="preserve"> 52 y 58), los tipos de presuntas violaciones y sus resultados. </w:t>
      </w:r>
    </w:p>
    <w:p w:rsidR="00202B00" w:rsidRDefault="00202B00" w:rsidP="00202B00">
      <w:pPr>
        <w:pStyle w:val="SingleTxtG"/>
      </w:pPr>
      <w:r>
        <w:t>6.</w:t>
      </w:r>
      <w:r>
        <w:tab/>
      </w:r>
      <w:r w:rsidRPr="00D544EB">
        <w:t>Sírvanse indicar también si el Estado parte ha adoptado medidas concretas para establecer una institución nacional independiente de derechos humanos de conformidad con los Principios de París (resolución 48/134 de la Asamblea General de 20 de dici</w:t>
      </w:r>
      <w:r>
        <w:t>embre de </w:t>
      </w:r>
      <w:r w:rsidRPr="00D544EB">
        <w:t>1993, anexo), en consonancia con el compromiso que voluntariamente contrajo en el examen periódico universal</w:t>
      </w:r>
      <w:r>
        <w:rPr>
          <w:rStyle w:val="FootnoteReference"/>
        </w:rPr>
        <w:footnoteReference w:id="2"/>
      </w:r>
      <w:r w:rsidRPr="00D544EB">
        <w:t xml:space="preserve">. </w:t>
      </w:r>
    </w:p>
    <w:p w:rsidR="00202B00" w:rsidRDefault="00202B00" w:rsidP="00202B00">
      <w:pPr>
        <w:pStyle w:val="SingleTxtG"/>
      </w:pPr>
      <w:r w:rsidRPr="00D544EB">
        <w:t>7.</w:t>
      </w:r>
      <w:r>
        <w:tab/>
      </w:r>
      <w:r w:rsidRPr="00D544EB">
        <w:t>Sírvanse indicar si el Estado parte está adoptando medidas para incorporar en su legislación nacional la definición de discriminación contra la muje</w:t>
      </w:r>
      <w:r>
        <w:t>r que figura en el artículo </w:t>
      </w:r>
      <w:r w:rsidRPr="00D544EB">
        <w:t>1 de la Convención, según lo recomendado por el Co</w:t>
      </w:r>
      <w:r>
        <w:t xml:space="preserve">mité (CEDAW/C/KWT/CO/2, párr. </w:t>
      </w:r>
      <w:r w:rsidRPr="00D544EB">
        <w:t xml:space="preserve">65). ¿Se están tomando medidas para </w:t>
      </w:r>
      <w:r>
        <w:t>aprobar</w:t>
      </w:r>
      <w:r w:rsidRPr="00D544EB">
        <w:t xml:space="preserve"> un plan nacional de acción y una legislación general exhaustiva en materia de igualdad de género, en consonancia con los compromisos que voluntariamente contrajo el Estado </w:t>
      </w:r>
      <w:r>
        <w:t>p</w:t>
      </w:r>
      <w:r w:rsidRPr="00D544EB">
        <w:t>arte en el examen periódico universal?</w:t>
      </w:r>
      <w:r>
        <w:rPr>
          <w:rStyle w:val="FootnoteReference"/>
        </w:rPr>
        <w:footnoteReference w:id="3"/>
      </w:r>
      <w:r w:rsidRPr="00D544EB">
        <w:t xml:space="preserve"> </w:t>
      </w:r>
    </w:p>
    <w:p w:rsidR="00202B00" w:rsidRDefault="00202B00" w:rsidP="00202B00">
      <w:pPr>
        <w:pStyle w:val="H23G"/>
      </w:pPr>
      <w:r>
        <w:tab/>
      </w:r>
      <w:r>
        <w:tab/>
      </w:r>
      <w:r w:rsidRPr="00D544EB">
        <w:t xml:space="preserve">Estereotipos </w:t>
      </w:r>
    </w:p>
    <w:p w:rsidR="00202B00" w:rsidRDefault="00202B00" w:rsidP="00202B00">
      <w:pPr>
        <w:pStyle w:val="SingleTxtG"/>
      </w:pPr>
      <w:r w:rsidRPr="00D544EB">
        <w:t xml:space="preserve">8. ¿Qué medidas se han adoptado para aplicar la recomendación del Comité (CEDAW/C/KWT/CO/2, párr. 71) de que se redoblasen los esfuerzos de sensibilización para mejorar la comprensión de la igualdad de género en todos los estamentos sociales a fin de eliminar los estereotipos tradicionales sobre el </w:t>
      </w:r>
      <w:r>
        <w:t>papel</w:t>
      </w:r>
      <w:r w:rsidRPr="00D544EB">
        <w:t xml:space="preserve"> y las responsabilidades de la mujer y el hombre en el seno de la familia y la sociedad,</w:t>
      </w:r>
      <w:r>
        <w:t xml:space="preserve"> excesivamente centrada en el papel de madre de la mujer? </w:t>
      </w:r>
      <w:r w:rsidRPr="00D544EB">
        <w:t xml:space="preserve">En particular, sírvanse especificar qué medidas se están tomando para alentar a los hombres a asumir más activamente las responsabilidades familiares y domésticas y para promover una imagen económica y socialmente activa de la mujer. Al respecto </w:t>
      </w:r>
      <w:r>
        <w:t>d</w:t>
      </w:r>
      <w:r w:rsidRPr="00D544EB">
        <w:t xml:space="preserve">escríbase el papel del departamento de promoción de la familia del Ministerio de Habices (fundaciones religiosas) y Asuntos Islámicos (párrafo 92 del informe). </w:t>
      </w:r>
    </w:p>
    <w:p w:rsidR="00202B00" w:rsidRDefault="00202B00" w:rsidP="00202B00">
      <w:pPr>
        <w:pStyle w:val="H23G"/>
      </w:pPr>
      <w:r>
        <w:tab/>
      </w:r>
      <w:r>
        <w:tab/>
      </w:r>
      <w:r w:rsidRPr="00D544EB">
        <w:t xml:space="preserve">Violencia contra la mujer </w:t>
      </w:r>
    </w:p>
    <w:p w:rsidR="00202B00" w:rsidRDefault="00202B00" w:rsidP="00202B00">
      <w:pPr>
        <w:pStyle w:val="SingleTxtG"/>
      </w:pPr>
      <w:r>
        <w:t>9.</w:t>
      </w:r>
      <w:r>
        <w:tab/>
      </w:r>
      <w:r w:rsidRPr="00D544EB">
        <w:t xml:space="preserve">Sírvanse indicar las medidas adoptadas por el Estado parte para tipificar como delito la violación conyugal, aprobar disposiciones penales </w:t>
      </w:r>
      <w:r>
        <w:t xml:space="preserve">específicas </w:t>
      </w:r>
      <w:r w:rsidRPr="00D544EB">
        <w:t>sobre la violencia doméstica y alentar a las mujeres víctimas a denunciar los incidentes de violencia doméstica y sexual ante la policía y</w:t>
      </w:r>
      <w:r>
        <w:t xml:space="preserve"> para ofrecer, entre otras cosas</w:t>
      </w:r>
      <w:r w:rsidRPr="00D544EB">
        <w:t>, asistencia jurídica, médica y psicológica y acog</w:t>
      </w:r>
      <w:r>
        <w:t>ida</w:t>
      </w:r>
      <w:r w:rsidRPr="00D544EB">
        <w:t xml:space="preserve"> temporal </w:t>
      </w:r>
      <w:r>
        <w:t xml:space="preserve">adecuada </w:t>
      </w:r>
      <w:r w:rsidRPr="00D544EB">
        <w:t xml:space="preserve">en </w:t>
      </w:r>
      <w:r>
        <w:t>refugios</w:t>
      </w:r>
      <w:r w:rsidRPr="00D544EB">
        <w:t xml:space="preserve"> a las víctimas. Sírvanse proporcionar datos estadísticos sobre el número de casos de violencia doméstica y sexual denunciados, el número de investigaciones y proces</w:t>
      </w:r>
      <w:r>
        <w:t>amient</w:t>
      </w:r>
      <w:r w:rsidRPr="00D544EB">
        <w:t>os penales, las cond</w:t>
      </w:r>
      <w:r>
        <w:t xml:space="preserve">enas impuestas a los autores y </w:t>
      </w:r>
      <w:r w:rsidRPr="00D544EB">
        <w:t>la</w:t>
      </w:r>
      <w:r>
        <w:t>s</w:t>
      </w:r>
      <w:r w:rsidRPr="00D544EB">
        <w:t xml:space="preserve"> indemnizaci</w:t>
      </w:r>
      <w:r>
        <w:t>ones</w:t>
      </w:r>
      <w:r w:rsidRPr="00D544EB">
        <w:t xml:space="preserve"> concedida</w:t>
      </w:r>
      <w:r>
        <w:t>s</w:t>
      </w:r>
      <w:r w:rsidRPr="00D544EB">
        <w:t xml:space="preserve"> a las víctimas</w:t>
      </w:r>
      <w:r>
        <w:t>, en su caso,</w:t>
      </w:r>
      <w:r w:rsidRPr="00D544EB">
        <w:t xml:space="preserve"> desde 2005, </w:t>
      </w:r>
      <w:r>
        <w:t xml:space="preserve">desglosados por sexo, edad, </w:t>
      </w:r>
      <w:r w:rsidRPr="00D544EB">
        <w:t>nacionalidad y relación entre la víctima y el autor</w:t>
      </w:r>
      <w:r>
        <w:rPr>
          <w:rStyle w:val="FootnoteReference"/>
        </w:rPr>
        <w:footnoteReference w:id="4"/>
      </w:r>
      <w:r w:rsidRPr="00D544EB">
        <w:t xml:space="preserve">. Sírvanse indicar también las medidas adoptadas </w:t>
      </w:r>
      <w:r>
        <w:t>con miras a</w:t>
      </w:r>
      <w:r w:rsidRPr="00D544EB">
        <w:t xml:space="preserve"> capacitar a jueces, fiscales y </w:t>
      </w:r>
      <w:r>
        <w:t>agentes de policía</w:t>
      </w:r>
      <w:r w:rsidRPr="00D544EB">
        <w:t xml:space="preserve"> para actuar correctamente ante este tipo de situaciones y sensibilizar a la opinión pública sobre el carácter delictivo de esos actos (CEDAW/C/KWT/CO/2, párr. 79). </w:t>
      </w:r>
    </w:p>
    <w:p w:rsidR="00202B00" w:rsidRDefault="00202B00" w:rsidP="00202B00">
      <w:pPr>
        <w:pStyle w:val="SingleTxtG"/>
      </w:pPr>
      <w:r>
        <w:t>10.</w:t>
      </w:r>
      <w:r>
        <w:tab/>
      </w:r>
      <w:r w:rsidRPr="00D544EB">
        <w:t xml:space="preserve">¿Qué medidas está adoptando el Estado </w:t>
      </w:r>
      <w:r>
        <w:t>p</w:t>
      </w:r>
      <w:r w:rsidRPr="00D544EB">
        <w:t>arte para aliviar la</w:t>
      </w:r>
      <w:r>
        <w:t>s disposiciones relativas a la</w:t>
      </w:r>
      <w:r w:rsidRPr="00D544EB">
        <w:t xml:space="preserve"> carga de la prueba de las mujeres víctimas de violencia doméstica </w:t>
      </w:r>
      <w:r>
        <w:t>que presentan</w:t>
      </w:r>
      <w:r w:rsidRPr="00D544EB">
        <w:t xml:space="preserve"> una demanda de divorcio por lesiones resultantes de maltratos, que en la actualidad </w:t>
      </w:r>
      <w:r>
        <w:t>requier</w:t>
      </w:r>
      <w:r w:rsidRPr="00D544EB">
        <w:t xml:space="preserve">e la declaración </w:t>
      </w:r>
      <w:r>
        <w:t xml:space="preserve">de </w:t>
      </w:r>
      <w:r w:rsidRPr="00D544EB">
        <w:t xml:space="preserve">dos testigos varones o </w:t>
      </w:r>
      <w:r>
        <w:t xml:space="preserve">de </w:t>
      </w:r>
      <w:r w:rsidRPr="00D544EB">
        <w:t>un varón y dos mujeres para dar fe de las lesiones? ¿Cuál es la definición jurídica de lesiones en este contexto? ¿Pueden acogerse a la asistencia jurídica gratuita la</w:t>
      </w:r>
      <w:r>
        <w:t>s mujeres no nacionales que pida</w:t>
      </w:r>
      <w:r w:rsidRPr="00D544EB">
        <w:t xml:space="preserve">n el divorcio de un hombre de Kuwait por motivos de violencia doméstica? </w:t>
      </w:r>
    </w:p>
    <w:p w:rsidR="00202B00" w:rsidRDefault="00202B00" w:rsidP="00202B00">
      <w:pPr>
        <w:pStyle w:val="SingleTxtG"/>
      </w:pPr>
      <w:r w:rsidRPr="00D544EB">
        <w:t>11.</w:t>
      </w:r>
      <w:r>
        <w:tab/>
      </w:r>
      <w:r w:rsidRPr="00D544EB">
        <w:t xml:space="preserve">Sírvanse indicar si el Estado parte considera la posibilidad de aumentar las penas previstas para los delitos de honor, que en la actualidad están tipificados como faltas. </w:t>
      </w:r>
    </w:p>
    <w:p w:rsidR="00202B00" w:rsidRDefault="00202B00" w:rsidP="00202B00">
      <w:pPr>
        <w:pStyle w:val="H23G"/>
      </w:pPr>
      <w:r>
        <w:tab/>
      </w:r>
      <w:r>
        <w:tab/>
      </w:r>
      <w:r w:rsidRPr="00D544EB">
        <w:t xml:space="preserve">Trata de mujeres y explotación de la prostitución femenina </w:t>
      </w:r>
    </w:p>
    <w:p w:rsidR="00202B00" w:rsidRDefault="00202B00" w:rsidP="00202B00">
      <w:pPr>
        <w:pStyle w:val="SingleTxtG"/>
      </w:pPr>
      <w:r>
        <w:t>12.</w:t>
      </w:r>
      <w:r>
        <w:tab/>
      </w:r>
      <w:r w:rsidRPr="00D544EB">
        <w:t>Sírvanse proporcionar información sobre las medidas adoptadas para a</w:t>
      </w:r>
      <w:r>
        <w:t>prob</w:t>
      </w:r>
      <w:r w:rsidRPr="00D544EB">
        <w:t xml:space="preserve">ar legislación que tipifique </w:t>
      </w:r>
      <w:r>
        <w:t xml:space="preserve">específicamente </w:t>
      </w:r>
      <w:r w:rsidRPr="00D544EB">
        <w:t xml:space="preserve">como delito la trata de seres humanos, en particular de mujeres y niñas, permita enjuiciar a los autores de delitos relacionados con la trata de personas, </w:t>
      </w:r>
      <w:r>
        <w:t>revis</w:t>
      </w:r>
      <w:r w:rsidRPr="00D544EB">
        <w:t xml:space="preserve">e la indulgente política de penas, despenalice a las víctimas y les proporcione una residencia o un refugio temporal y asistencia </w:t>
      </w:r>
      <w:r>
        <w:t xml:space="preserve">social (párrafos 65 a </w:t>
      </w:r>
      <w:r w:rsidRPr="00D544EB">
        <w:t xml:space="preserve">68 del informe). ¿Qué medidas se están tomando para proteger a las mujeres y las niñas  víctimas de la trata de los empleadores que abusan de ellas, </w:t>
      </w:r>
      <w:r>
        <w:t>reteniendo sus pasaportes o vulner</w:t>
      </w:r>
      <w:r w:rsidRPr="00D544EB">
        <w:t xml:space="preserve">ando de </w:t>
      </w:r>
      <w:r>
        <w:t xml:space="preserve">algún </w:t>
      </w:r>
      <w:r w:rsidRPr="00D544EB">
        <w:t>otr</w:t>
      </w:r>
      <w:r>
        <w:t>o</w:t>
      </w:r>
      <w:r w:rsidRPr="00D544EB">
        <w:t xml:space="preserve"> m</w:t>
      </w:r>
      <w:r>
        <w:t xml:space="preserve">odo </w:t>
      </w:r>
      <w:r w:rsidRPr="00D544EB">
        <w:t xml:space="preserve">sus derechos o restringiendo su libertad de </w:t>
      </w:r>
      <w:r>
        <w:t>circulación</w:t>
      </w:r>
      <w:r w:rsidRPr="00D544EB">
        <w:t xml:space="preserve">? </w:t>
      </w:r>
    </w:p>
    <w:p w:rsidR="00202B00" w:rsidRDefault="00202B00" w:rsidP="00202B00">
      <w:pPr>
        <w:pStyle w:val="SingleTxtG"/>
      </w:pPr>
      <w:r>
        <w:t>13.</w:t>
      </w:r>
      <w:r>
        <w:tab/>
      </w:r>
      <w:r w:rsidRPr="00D544EB">
        <w:t xml:space="preserve">Sírvanse indicar si el Estado parte considera la posibilidad de revisar el </w:t>
      </w:r>
      <w:r>
        <w:t xml:space="preserve">rígido </w:t>
      </w:r>
      <w:r w:rsidRPr="00D544EB">
        <w:t xml:space="preserve">criterio </w:t>
      </w:r>
      <w:r>
        <w:t>de prueba aplicado</w:t>
      </w:r>
      <w:r w:rsidRPr="00D544EB">
        <w:t xml:space="preserve"> por los tribunales y la Brigada  de Investigación Criminal para determinar si las mujeres se ven obligadas a ejercer la prostitución contra su voluntad, es decir, pruebas de medidas coercitivas, como puertas cerradas a llave y ventanas enrejadas. ¿Se concede el permiso de residencia y se </w:t>
      </w:r>
      <w:r>
        <w:t xml:space="preserve">ofrece </w:t>
      </w:r>
      <w:r w:rsidRPr="00D544EB">
        <w:t>rehabilitación social a la</w:t>
      </w:r>
      <w:r>
        <w:t>s</w:t>
      </w:r>
      <w:r w:rsidRPr="00D544EB">
        <w:t xml:space="preserve"> mujer</w:t>
      </w:r>
      <w:r>
        <w:t>es</w:t>
      </w:r>
      <w:r w:rsidRPr="00D544EB">
        <w:t xml:space="preserve"> víctima</w:t>
      </w:r>
      <w:r>
        <w:t>s</w:t>
      </w:r>
      <w:r w:rsidRPr="00D544EB">
        <w:t xml:space="preserve"> de </w:t>
      </w:r>
      <w:r>
        <w:t xml:space="preserve">la </w:t>
      </w:r>
      <w:r w:rsidRPr="00D544EB">
        <w:t>prostitución forzada que no s</w:t>
      </w:r>
      <w:r>
        <w:t>on</w:t>
      </w:r>
      <w:r w:rsidRPr="00D544EB">
        <w:t xml:space="preserve"> nacional</w:t>
      </w:r>
      <w:r>
        <w:t>es</w:t>
      </w:r>
      <w:r w:rsidRPr="00D544EB">
        <w:t xml:space="preserve"> del país? </w:t>
      </w:r>
    </w:p>
    <w:p w:rsidR="00202B00" w:rsidRDefault="00202B00" w:rsidP="00202B00">
      <w:pPr>
        <w:pStyle w:val="H23G"/>
      </w:pPr>
      <w:r>
        <w:tab/>
      </w:r>
      <w:r>
        <w:tab/>
      </w:r>
      <w:r w:rsidRPr="00D544EB">
        <w:t xml:space="preserve">Participación en la vida política y pública y la toma de decisiones </w:t>
      </w:r>
    </w:p>
    <w:p w:rsidR="00202B00" w:rsidRDefault="00202B00" w:rsidP="00202B00">
      <w:pPr>
        <w:pStyle w:val="SingleTxtG"/>
      </w:pPr>
      <w:r>
        <w:t>14.</w:t>
      </w:r>
      <w:r>
        <w:tab/>
      </w:r>
      <w:r w:rsidRPr="00D544EB">
        <w:t>¿Qué medidas, en particular medidas especiales de carácter temporal, de c</w:t>
      </w:r>
      <w:r>
        <w:t xml:space="preserve">onformidad con el </w:t>
      </w:r>
      <w:r w:rsidRPr="00D544EB">
        <w:t>artículo 4</w:t>
      </w:r>
      <w:r>
        <w:t>, párrafo 1,</w:t>
      </w:r>
      <w:r w:rsidRPr="00D544EB">
        <w:t xml:space="preserve"> de la Convención, está adopta</w:t>
      </w:r>
      <w:r>
        <w:t xml:space="preserve">ndo o tiene previsto adoptar </w:t>
      </w:r>
      <w:r w:rsidRPr="00D544EB">
        <w:t>el Estado parte para aumentar el número de mujeres en cargos públicos de elección popular y de designación, como diputadas de la Asamblea Nacional, ministras, juezas y embajadoras (párrafos 69, 72 y 75 del informe; CEDAW/C/KWT/CO/2, párr</w:t>
      </w:r>
      <w:r>
        <w:t>.</w:t>
      </w:r>
      <w:r w:rsidRPr="00D544EB">
        <w:t xml:space="preserve"> 75)? ¿Qué medidas se están adoptando para hacer cumplir la ley que prohíbe las primarias tribales para las elecciones a la Asamblea Nacional en los casos en que la mujer </w:t>
      </w:r>
      <w:r>
        <w:t xml:space="preserve">quede excluida de </w:t>
      </w:r>
      <w:r w:rsidRPr="00D544EB">
        <w:t xml:space="preserve">esas primarias? </w:t>
      </w:r>
    </w:p>
    <w:p w:rsidR="00202B00" w:rsidRDefault="00202B00" w:rsidP="00202B00">
      <w:pPr>
        <w:pStyle w:val="SingleTxtG"/>
      </w:pPr>
      <w:r>
        <w:t>15.</w:t>
      </w:r>
      <w:r>
        <w:tab/>
      </w:r>
      <w:r w:rsidRPr="00D544EB">
        <w:t xml:space="preserve">Sírvanse proporcionar información sobre el número </w:t>
      </w:r>
      <w:r>
        <w:t xml:space="preserve">de </w:t>
      </w:r>
      <w:r w:rsidRPr="00D544EB">
        <w:t>ONG</w:t>
      </w:r>
      <w:r>
        <w:t>,</w:t>
      </w:r>
      <w:r w:rsidRPr="00D544EB">
        <w:t xml:space="preserve"> autorizadas y no autorizadas</w:t>
      </w:r>
      <w:r>
        <w:t>,</w:t>
      </w:r>
      <w:r w:rsidRPr="00D544EB">
        <w:t xml:space="preserve"> de mujeres que promueven la igualdad de derechos y oportunidades entre mujeres y hombres, e indicar si alguna </w:t>
      </w:r>
      <w:r>
        <w:t>de esas ONG ha sido autorizada</w:t>
      </w:r>
      <w:r w:rsidRPr="00D544EB">
        <w:t xml:space="preserve"> d</w:t>
      </w:r>
      <w:r>
        <w:t xml:space="preserve">esde el año 2004 (párrafos 71 y </w:t>
      </w:r>
      <w:r w:rsidRPr="00D544EB">
        <w:t xml:space="preserve">74 del informe). ¿Qué medidas se están adoptando para </w:t>
      </w:r>
      <w:r>
        <w:t>asegurar la financiación adecuada</w:t>
      </w:r>
      <w:r w:rsidRPr="00D544EB">
        <w:t xml:space="preserve"> y </w:t>
      </w:r>
      <w:r>
        <w:t xml:space="preserve">el </w:t>
      </w:r>
      <w:r w:rsidRPr="00D544EB">
        <w:t>reconoc</w:t>
      </w:r>
      <w:r>
        <w:t>imiento jurídico</w:t>
      </w:r>
      <w:r w:rsidRPr="00D544EB">
        <w:t xml:space="preserve"> de las ONG que no están autorizadas? </w:t>
      </w:r>
    </w:p>
    <w:p w:rsidR="00202B00" w:rsidRDefault="00202B00" w:rsidP="00202B00">
      <w:pPr>
        <w:pStyle w:val="SingleTxtG"/>
      </w:pPr>
      <w:r>
        <w:t>16.</w:t>
      </w:r>
      <w:r>
        <w:tab/>
      </w:r>
      <w:r w:rsidRPr="00D544EB">
        <w:t xml:space="preserve">Sírvanse proporcionar información sobre las </w:t>
      </w:r>
      <w:r>
        <w:t>oportun</w:t>
      </w:r>
      <w:r w:rsidRPr="00D544EB">
        <w:t xml:space="preserve">idades </w:t>
      </w:r>
      <w:r>
        <w:t>qu</w:t>
      </w:r>
      <w:r w:rsidRPr="00D544EB">
        <w:t xml:space="preserve">e </w:t>
      </w:r>
      <w:r>
        <w:t xml:space="preserve">tiene </w:t>
      </w:r>
      <w:r w:rsidRPr="00D544EB">
        <w:t xml:space="preserve">la mujer para participar en reuniones públicas </w:t>
      </w:r>
      <w:r w:rsidRPr="00610BCC">
        <w:rPr>
          <w:i/>
        </w:rPr>
        <w:t>("diwaniyas")</w:t>
      </w:r>
      <w:r w:rsidRPr="00D544EB">
        <w:t xml:space="preserve"> </w:t>
      </w:r>
      <w:r>
        <w:t>a fin de</w:t>
      </w:r>
      <w:r w:rsidRPr="00D544EB">
        <w:t xml:space="preserve"> debatir </w:t>
      </w:r>
      <w:r>
        <w:t xml:space="preserve">acerca </w:t>
      </w:r>
      <w:r w:rsidRPr="00D544EB">
        <w:t xml:space="preserve">de los derechos y el adelanto de la mujer. </w:t>
      </w:r>
    </w:p>
    <w:p w:rsidR="00202B00" w:rsidRPr="00D544EB" w:rsidRDefault="00202B00" w:rsidP="00202B00">
      <w:pPr>
        <w:pStyle w:val="H23G"/>
      </w:pPr>
      <w:r>
        <w:tab/>
      </w:r>
      <w:r>
        <w:tab/>
      </w:r>
      <w:r w:rsidRPr="00D544EB">
        <w:t>Igualdad de derechos en materia de nacionalidad</w:t>
      </w:r>
    </w:p>
    <w:p w:rsidR="00202B00" w:rsidRDefault="00202B00" w:rsidP="00202B00">
      <w:pPr>
        <w:pStyle w:val="SingleTxtG"/>
      </w:pPr>
      <w:r w:rsidRPr="00D544EB">
        <w:t>17.</w:t>
      </w:r>
      <w:r>
        <w:tab/>
      </w:r>
      <w:r w:rsidRPr="00D544EB">
        <w:t xml:space="preserve">Sírvanse indicar si el Estado parte </w:t>
      </w:r>
      <w:r>
        <w:t xml:space="preserve">está </w:t>
      </w:r>
      <w:r w:rsidRPr="00D544EB">
        <w:t>considera</w:t>
      </w:r>
      <w:r>
        <w:t>ndo</w:t>
      </w:r>
      <w:r w:rsidRPr="00D544EB">
        <w:t xml:space="preserve"> la posibilidad de reti</w:t>
      </w:r>
      <w:r>
        <w:t xml:space="preserve">rar su reserva al </w:t>
      </w:r>
      <w:r w:rsidRPr="00D544EB">
        <w:t>ar</w:t>
      </w:r>
      <w:r>
        <w:t xml:space="preserve">tículo 9, párrafo 2, </w:t>
      </w:r>
      <w:r w:rsidRPr="00D544EB">
        <w:t>de la Convención, a fin de garantizar que las mujeres kuwaitíes casadas con hombres que no s</w:t>
      </w:r>
      <w:r>
        <w:t>ea</w:t>
      </w:r>
      <w:r w:rsidRPr="00D544EB">
        <w:t>n nacionales puedan transmitir automáticamente su nacionalidad a sus hijos y no sólo en de</w:t>
      </w:r>
      <w:r>
        <w:t>terminadas circunstancias (párrafo</w:t>
      </w:r>
      <w:r w:rsidRPr="00D544EB">
        <w:t xml:space="preserve"> 76 del informe). ¿Qué medidas se están adoptando para modificar o derogar otras disposiciones discriminatorias de la Ley sobre la nacionalidad Nº 15/1959 </w:t>
      </w:r>
      <w:r>
        <w:t xml:space="preserve">relativas a la </w:t>
      </w:r>
      <w:r w:rsidRPr="00D544EB">
        <w:t xml:space="preserve">adquisición, </w:t>
      </w:r>
      <w:r>
        <w:t xml:space="preserve">el </w:t>
      </w:r>
      <w:r w:rsidRPr="00D544EB">
        <w:t xml:space="preserve">cambio y </w:t>
      </w:r>
      <w:r>
        <w:t xml:space="preserve">la </w:t>
      </w:r>
      <w:r w:rsidRPr="00D544EB">
        <w:t>conservación de la nacionalidad, con arreglo a la recomendación del Comité (CEDAW/C/KWT/CO/2, párr. 67)? ¿Qué medidas se están instrumentando para garantizar la igualdad de condiciones para adquirir la nacionalidad entre la</w:t>
      </w:r>
      <w:r>
        <w:t>s</w:t>
      </w:r>
      <w:r w:rsidRPr="00D544EB">
        <w:t xml:space="preserve"> mujer</w:t>
      </w:r>
      <w:r>
        <w:t>es</w:t>
      </w:r>
      <w:r w:rsidRPr="00D544EB">
        <w:t xml:space="preserve"> y </w:t>
      </w:r>
      <w:r>
        <w:t>los</w:t>
      </w:r>
      <w:r w:rsidRPr="00D544EB">
        <w:t xml:space="preserve"> hombre</w:t>
      </w:r>
      <w:r>
        <w:t>s</w:t>
      </w:r>
      <w:r w:rsidRPr="00D544EB">
        <w:t xml:space="preserve"> que no son nacionales casados con kuwaitíes? </w:t>
      </w:r>
    </w:p>
    <w:p w:rsidR="00202B00" w:rsidRDefault="00202B00" w:rsidP="00202B00">
      <w:pPr>
        <w:pStyle w:val="H23G"/>
      </w:pPr>
      <w:r>
        <w:tab/>
      </w:r>
      <w:r>
        <w:tab/>
      </w:r>
      <w:r w:rsidRPr="00D544EB">
        <w:t xml:space="preserve">Educación </w:t>
      </w:r>
    </w:p>
    <w:p w:rsidR="00202B00" w:rsidRPr="00D544EB" w:rsidRDefault="00202B00" w:rsidP="00202B00">
      <w:pPr>
        <w:pStyle w:val="SingleTxtG"/>
      </w:pPr>
      <w:r>
        <w:t>18.</w:t>
      </w:r>
      <w:r>
        <w:tab/>
      </w:r>
      <w:r w:rsidRPr="00D544EB">
        <w:t>Sírvanse indicar si la educación sobre salud sexual y reproductiva y los correspondientes derechos figuran en los planes de estudios oficiales.</w:t>
      </w:r>
    </w:p>
    <w:p w:rsidR="00202B00" w:rsidRDefault="00202B00" w:rsidP="00202B00">
      <w:pPr>
        <w:pStyle w:val="SingleTxtG"/>
      </w:pPr>
      <w:r w:rsidRPr="00D544EB">
        <w:t>19.</w:t>
      </w:r>
      <w:r>
        <w:tab/>
      </w:r>
      <w:r w:rsidRPr="00D544EB">
        <w:t>Sírvanse proporcionar información sobre el número de mujeres matriculadas en las universidades, así como sobre el número de profesoras (párr</w:t>
      </w:r>
      <w:r>
        <w:t>afo</w:t>
      </w:r>
      <w:r w:rsidRPr="00D544EB">
        <w:t xml:space="preserve"> 42 del informe), desglosada por niveles de enseñanza y materias impartidas, así como de catedráticas universitarias.</w:t>
      </w:r>
    </w:p>
    <w:p w:rsidR="00202B00" w:rsidRDefault="00202B00" w:rsidP="00202B00">
      <w:pPr>
        <w:pStyle w:val="SingleTxtG"/>
      </w:pPr>
      <w:r>
        <w:t>20.</w:t>
      </w:r>
      <w:r>
        <w:tab/>
      </w:r>
      <w:r w:rsidRPr="00D544EB">
        <w:t xml:space="preserve">Sírvanse aclarar si las mujeres pueden o no acceder a la formación profesional en todas las esferas </w:t>
      </w:r>
      <w:r>
        <w:t>labor</w:t>
      </w:r>
      <w:r w:rsidRPr="00D544EB">
        <w:t>ales, incluidas las no tradicionales (párr</w:t>
      </w:r>
      <w:r>
        <w:t>afo</w:t>
      </w:r>
      <w:r w:rsidRPr="00D544EB">
        <w:t xml:space="preserve"> 81 del informe), así como proporcionar datos </w:t>
      </w:r>
      <w:r>
        <w:t>desglosados sobre</w:t>
      </w:r>
      <w:r w:rsidRPr="00D544EB">
        <w:t xml:space="preserve"> el número de mujeres y niñas que cursan estudios de formación profesional. </w:t>
      </w:r>
    </w:p>
    <w:p w:rsidR="00202B00" w:rsidRDefault="00202B00" w:rsidP="00202B00">
      <w:pPr>
        <w:pStyle w:val="H23G"/>
      </w:pPr>
      <w:r>
        <w:tab/>
      </w:r>
      <w:r>
        <w:tab/>
      </w:r>
      <w:r w:rsidRPr="00D544EB">
        <w:t xml:space="preserve">Empleo </w:t>
      </w:r>
    </w:p>
    <w:p w:rsidR="00202B00" w:rsidRDefault="00202B00" w:rsidP="00202B00">
      <w:pPr>
        <w:pStyle w:val="SingleTxtG"/>
      </w:pPr>
      <w:r>
        <w:t>21.</w:t>
      </w:r>
      <w:r>
        <w:tab/>
      </w:r>
      <w:r w:rsidRPr="00D544EB">
        <w:t>Sírvanse proporcionar información sobre medidas, en</w:t>
      </w:r>
      <w:r>
        <w:t xml:space="preserve">tre otras, </w:t>
      </w:r>
      <w:r w:rsidRPr="00D544EB">
        <w:t xml:space="preserve">medidas especiales </w:t>
      </w:r>
      <w:r>
        <w:t xml:space="preserve">de carácter temporal, </w:t>
      </w:r>
      <w:r w:rsidRPr="00D544EB">
        <w:t xml:space="preserve">tomadas por el Estado parte para promover el acceso de las mujeres al empleo, en </w:t>
      </w:r>
      <w:r>
        <w:t>particular</w:t>
      </w:r>
      <w:r w:rsidRPr="00D544EB">
        <w:t xml:space="preserve"> a los puestos que co</w:t>
      </w:r>
      <w:r>
        <w:t xml:space="preserve">nlleven </w:t>
      </w:r>
      <w:r w:rsidRPr="00D544EB">
        <w:t xml:space="preserve">la </w:t>
      </w:r>
      <w:r>
        <w:t xml:space="preserve">adopción de </w:t>
      </w:r>
      <w:r w:rsidRPr="00D544EB">
        <w:t>decisiones, incl</w:t>
      </w:r>
      <w:r>
        <w:t>uido el sector privado (párrafo</w:t>
      </w:r>
      <w:r w:rsidRPr="00D544EB">
        <w:t xml:space="preserve"> 83 del informe), y para poner fin a la segregación vertical y horizontal en el mercado de trabajo. Sírvanse indicar si existen o no diferencias salariales entre hombres y mujeres en el sector público o privado, así como explicar </w:t>
      </w:r>
      <w:r>
        <w:t>cualquier medida adoptada</w:t>
      </w:r>
      <w:r w:rsidRPr="00D544EB">
        <w:t xml:space="preserve"> para reducir esas diferencias (CEDAW/C/KWT/CO/2, párr. 73). </w:t>
      </w:r>
    </w:p>
    <w:p w:rsidR="00202B00" w:rsidRDefault="00202B00" w:rsidP="00202B00">
      <w:pPr>
        <w:pStyle w:val="SingleTxtG"/>
      </w:pPr>
      <w:r>
        <w:t>22.</w:t>
      </w:r>
      <w:r>
        <w:tab/>
      </w:r>
      <w:r w:rsidRPr="00D544EB">
        <w:t xml:space="preserve">Sírvanse proporcionar información sobre medidas adoptadas para luchar contra las condiciones de explotación laboral de las mujeres y las niñas que no son nacionales empleadas como trabajadoras domésticas, en particular, sobre </w:t>
      </w:r>
      <w:r>
        <w:t>medidas para protegerla</w:t>
      </w:r>
      <w:r w:rsidRPr="00D544EB">
        <w:t xml:space="preserve">s de la violencia y los abusos de sus empleadores y garantizar sus derechos a un salario mínimo adecuado, al tiempo libre y el descanso, a condiciones de trabajo seguras, a la libertad de sindicación y de negociación colectiva y </w:t>
      </w:r>
      <w:r>
        <w:t xml:space="preserve">a </w:t>
      </w:r>
      <w:r w:rsidRPr="00D544EB">
        <w:t xml:space="preserve">la libertad de cambiar de empleador sin tener que solicitar el permiso de sus </w:t>
      </w:r>
      <w:r>
        <w:t>patrocinadores originales (párrafo</w:t>
      </w:r>
      <w:r w:rsidRPr="00D544EB">
        <w:t xml:space="preserve"> 64 del inform</w:t>
      </w:r>
      <w:r>
        <w:t>e; CEDAW/C/</w:t>
      </w:r>
      <w:r>
        <w:br/>
        <w:t>KWT/CO/2, párr. 77)</w:t>
      </w:r>
      <w:r>
        <w:rPr>
          <w:rStyle w:val="FootnoteReference"/>
        </w:rPr>
        <w:footnoteReference w:id="5"/>
      </w:r>
      <w:r w:rsidRPr="00D544EB">
        <w:t xml:space="preserve">. </w:t>
      </w:r>
    </w:p>
    <w:p w:rsidR="00202B00" w:rsidRDefault="00202B00" w:rsidP="00202B00">
      <w:pPr>
        <w:pStyle w:val="SingleTxtG"/>
      </w:pPr>
      <w:r>
        <w:t>23.</w:t>
      </w:r>
      <w:r>
        <w:tab/>
      </w:r>
      <w:r w:rsidRPr="00D544EB">
        <w:t xml:space="preserve">¿Considera el Estado parte la posibilidad de adoptar disposiciones legislativas específicas en materia de acoso sexual en el lugar de trabajo? </w:t>
      </w:r>
    </w:p>
    <w:p w:rsidR="00202B00" w:rsidRDefault="00202B00" w:rsidP="00202B00">
      <w:pPr>
        <w:pStyle w:val="H23G"/>
      </w:pPr>
      <w:r>
        <w:tab/>
      </w:r>
      <w:r>
        <w:tab/>
      </w:r>
      <w:r w:rsidRPr="00D544EB">
        <w:t xml:space="preserve">Salud </w:t>
      </w:r>
    </w:p>
    <w:p w:rsidR="00202B00" w:rsidRDefault="00202B00" w:rsidP="00202B00">
      <w:pPr>
        <w:pStyle w:val="SingleTxtG"/>
      </w:pPr>
      <w:r>
        <w:t>24.</w:t>
      </w:r>
      <w:r>
        <w:tab/>
      </w:r>
      <w:r w:rsidRPr="00D544EB">
        <w:t xml:space="preserve">Sírvanse indicar si el Estado Parte ha tomado medidas para modificar su legislación </w:t>
      </w:r>
      <w:r>
        <w:t>sobr</w:t>
      </w:r>
      <w:r w:rsidRPr="00D544EB">
        <w:t xml:space="preserve">e </w:t>
      </w:r>
      <w:r>
        <w:t xml:space="preserve">el </w:t>
      </w:r>
      <w:r w:rsidRPr="00D544EB">
        <w:t>aborto</w:t>
      </w:r>
      <w:r>
        <w:t>,</w:t>
      </w:r>
      <w:r w:rsidRPr="00D544EB">
        <w:t xml:space="preserve"> con miras a ampliar los supuestos en los que se pueda practicar legalmente, además del riesgo para la vida de la madre, la violación o la recomendación médica o social. ¿Qué medidas concretas se han adoptado para instrumentar programa</w:t>
      </w:r>
      <w:r>
        <w:t>s</w:t>
      </w:r>
      <w:r w:rsidRPr="00D544EB">
        <w:t xml:space="preserve"> de salud sexual y reproductiva, </w:t>
      </w:r>
      <w:r>
        <w:t xml:space="preserve">incluido </w:t>
      </w:r>
      <w:r w:rsidRPr="00D544EB">
        <w:t xml:space="preserve">un programa público de planificación de la familia? </w:t>
      </w:r>
    </w:p>
    <w:p w:rsidR="00202B00" w:rsidRDefault="00202B00" w:rsidP="00202B00">
      <w:pPr>
        <w:pStyle w:val="H23G"/>
      </w:pPr>
      <w:r>
        <w:tab/>
      </w:r>
      <w:r>
        <w:tab/>
      </w:r>
      <w:r w:rsidRPr="00D544EB">
        <w:t xml:space="preserve">Grupos desfavorecidos de mujeres </w:t>
      </w:r>
    </w:p>
    <w:p w:rsidR="00202B00" w:rsidRDefault="00202B00" w:rsidP="00202B00">
      <w:pPr>
        <w:pStyle w:val="SingleTxtG"/>
      </w:pPr>
      <w:r>
        <w:t>25.</w:t>
      </w:r>
      <w:r>
        <w:tab/>
      </w:r>
      <w:r w:rsidRPr="00D544EB">
        <w:t>Sírvanse indicar si el Estado parte está adoptando todas las medidas, en</w:t>
      </w:r>
      <w:r>
        <w:t xml:space="preserve">tre otras, </w:t>
      </w:r>
      <w:r w:rsidRPr="00D544EB">
        <w:t xml:space="preserve">medidas especiales </w:t>
      </w:r>
      <w:r>
        <w:t xml:space="preserve">de carácter temporal, </w:t>
      </w:r>
      <w:r w:rsidRPr="00D544EB">
        <w:t xml:space="preserve">para garantizar a las mujeres y las niñas apátridas </w:t>
      </w:r>
      <w:r w:rsidRPr="005C72F5">
        <w:rPr>
          <w:i/>
        </w:rPr>
        <w:t>(bidoon)</w:t>
      </w:r>
      <w:r w:rsidRPr="00D544EB">
        <w:t xml:space="preserve"> la gratuidad de la educación, la </w:t>
      </w:r>
      <w:r>
        <w:t xml:space="preserve">atención de la </w:t>
      </w:r>
      <w:r w:rsidRPr="00D544EB">
        <w:t>salud y los ce</w:t>
      </w:r>
      <w:r>
        <w:t xml:space="preserve">rtificados de nacimiento (párrafos 7, </w:t>
      </w:r>
      <w:r w:rsidRPr="00D544EB">
        <w:t xml:space="preserve">8 y 24 del informe). </w:t>
      </w:r>
    </w:p>
    <w:p w:rsidR="00202B00" w:rsidRDefault="00202B00" w:rsidP="00202B00">
      <w:pPr>
        <w:pStyle w:val="SingleTxtG"/>
        <w:keepNext/>
        <w:keepLines/>
      </w:pPr>
      <w:r w:rsidRPr="00D544EB">
        <w:t>26.</w:t>
      </w:r>
      <w:r>
        <w:tab/>
      </w:r>
      <w:r w:rsidRPr="00D544EB">
        <w:t xml:space="preserve">¿Qué medidas concretas, incluidas medidas especiales </w:t>
      </w:r>
      <w:r>
        <w:t>de carácter temporal</w:t>
      </w:r>
      <w:r w:rsidRPr="00D544EB">
        <w:t xml:space="preserve">, está tomando el Estado parte para promover el acceso de las mujeres y las niñas con discapacidad a la educación general (párrafo 8 del informe), el empleo y las actividades culturales? </w:t>
      </w:r>
    </w:p>
    <w:p w:rsidR="00202B00" w:rsidRDefault="00202B00" w:rsidP="00202B00">
      <w:pPr>
        <w:pStyle w:val="SingleTxtG"/>
      </w:pPr>
      <w:r>
        <w:t>27.</w:t>
      </w:r>
      <w:r>
        <w:tab/>
      </w:r>
      <w:r w:rsidRPr="00D544EB">
        <w:t xml:space="preserve">Sírvanse proporcionar información sobre las medidas adoptadas o previstas para regularizar la situación de los refugiados registrados bajo el mandato del ACNUR, a fin de facilitarles el ejercicio de derechos básicos, </w:t>
      </w:r>
      <w:r>
        <w:t xml:space="preserve">incluida la educación y la atención de la salud a </w:t>
      </w:r>
      <w:r w:rsidRPr="00D544EB">
        <w:t xml:space="preserve">las mujeres y niñas refugiadas. Al respecto, sírvanse indicar si el Estado parte considera la posibilidad de adherirse a la </w:t>
      </w:r>
      <w:bookmarkStart w:id="0" w:name="hit1"/>
      <w:bookmarkEnd w:id="0"/>
      <w:r w:rsidRPr="00D544EB">
        <w:t xml:space="preserve">Convención </w:t>
      </w:r>
      <w:bookmarkStart w:id="1" w:name="hit2"/>
      <w:bookmarkEnd w:id="1"/>
      <w:r w:rsidRPr="00D544EB">
        <w:t xml:space="preserve">sobre </w:t>
      </w:r>
      <w:bookmarkStart w:id="2" w:name="hit3"/>
      <w:bookmarkEnd w:id="2"/>
      <w:r w:rsidRPr="00D544EB">
        <w:t xml:space="preserve">el </w:t>
      </w:r>
      <w:bookmarkStart w:id="3" w:name="hit4"/>
      <w:bookmarkEnd w:id="3"/>
      <w:r w:rsidRPr="00D544EB">
        <w:t xml:space="preserve">Estatuto </w:t>
      </w:r>
      <w:bookmarkStart w:id="4" w:name="hit5"/>
      <w:bookmarkEnd w:id="4"/>
      <w:r w:rsidRPr="00D544EB">
        <w:t xml:space="preserve">de </w:t>
      </w:r>
      <w:bookmarkStart w:id="5" w:name="hit6"/>
      <w:bookmarkEnd w:id="5"/>
      <w:r w:rsidRPr="00D544EB">
        <w:t xml:space="preserve">los </w:t>
      </w:r>
      <w:bookmarkStart w:id="6" w:name="hit_last"/>
      <w:bookmarkEnd w:id="6"/>
      <w:r w:rsidRPr="00D544EB">
        <w:t xml:space="preserve">Refugiados de 1951 y su Protocolo de 1967. </w:t>
      </w:r>
    </w:p>
    <w:p w:rsidR="00202B00" w:rsidRDefault="00202B00" w:rsidP="00202B00">
      <w:pPr>
        <w:pStyle w:val="H23G"/>
      </w:pPr>
      <w:r>
        <w:tab/>
      </w:r>
      <w:r>
        <w:tab/>
      </w:r>
      <w:r w:rsidRPr="00D544EB">
        <w:t xml:space="preserve">Igualdad ante la ley </w:t>
      </w:r>
    </w:p>
    <w:p w:rsidR="00202B00" w:rsidRDefault="00202B00" w:rsidP="00202B00">
      <w:pPr>
        <w:pStyle w:val="SingleTxtG"/>
      </w:pPr>
      <w:r>
        <w:t>28.</w:t>
      </w:r>
      <w:r>
        <w:tab/>
      </w:r>
      <w:r w:rsidRPr="00D544EB">
        <w:t xml:space="preserve">¿Qué medidas está adoptando el Estado parte para garantizar que la declaración de la mujer tenga el mismo peso que la del hombre en los procedimientos instruidos ante los tribunales de familia, donde la declaración de un hombre equivale a la de dos mujeres? </w:t>
      </w:r>
    </w:p>
    <w:p w:rsidR="00202B00" w:rsidRDefault="00202B00" w:rsidP="00202B00">
      <w:pPr>
        <w:pStyle w:val="H23G"/>
      </w:pPr>
      <w:r>
        <w:tab/>
      </w:r>
      <w:r>
        <w:tab/>
      </w:r>
      <w:r w:rsidRPr="00D544EB">
        <w:t xml:space="preserve">Matrimonio y la familia </w:t>
      </w:r>
    </w:p>
    <w:p w:rsidR="00202B00" w:rsidRDefault="00202B00" w:rsidP="00202B00">
      <w:pPr>
        <w:pStyle w:val="SingleTxtG"/>
      </w:pPr>
      <w:r>
        <w:t>29.</w:t>
      </w:r>
      <w:r>
        <w:tab/>
      </w:r>
      <w:r w:rsidRPr="00D544EB">
        <w:t xml:space="preserve">¿Qué medidas está adoptando el Estado parte para que las disposiciones discriminatorias de la Ley </w:t>
      </w:r>
      <w:r>
        <w:t xml:space="preserve">que regula los derechos de la persona </w:t>
      </w:r>
      <w:r w:rsidRPr="00D544EB">
        <w:t>se ajusten a la Convención, en</w:t>
      </w:r>
      <w:r>
        <w:t xml:space="preserve">tre otras cosas en lo que se refiere a </w:t>
      </w:r>
      <w:r w:rsidRPr="00D544EB">
        <w:t>la prohibición de que las mujeres musulmanas contra</w:t>
      </w:r>
      <w:r>
        <w:t>igan</w:t>
      </w:r>
      <w:r w:rsidRPr="00D544EB">
        <w:t xml:space="preserve"> matrimonio con hombres no musulmanes, las restricciones del derecho de la mujer al divorcio </w:t>
      </w:r>
      <w:r>
        <w:t>(véase el párrafo 112 del informe</w:t>
      </w:r>
      <w:r w:rsidRPr="00D544EB">
        <w:t xml:space="preserve">), así como </w:t>
      </w:r>
      <w:r>
        <w:t>e</w:t>
      </w:r>
      <w:r w:rsidRPr="00D544EB">
        <w:t>l</w:t>
      </w:r>
      <w:r>
        <w:t xml:space="preserve"> derecho</w:t>
      </w:r>
      <w:r w:rsidRPr="00D544EB">
        <w:t xml:space="preserve"> de </w:t>
      </w:r>
      <w:r>
        <w:t xml:space="preserve">sucesión </w:t>
      </w:r>
      <w:r w:rsidRPr="00D544EB">
        <w:t>de las suníes, que deben compartir los bienes de su marido</w:t>
      </w:r>
      <w:r>
        <w:t>, al fallecimiento de éste,</w:t>
      </w:r>
      <w:r w:rsidRPr="00D544EB">
        <w:t xml:space="preserve"> con sus familiares varones, y la posibilidad de que el marido pueda solicitar que se prohíba viajar a sus esposa</w:t>
      </w:r>
      <w:r>
        <w:t xml:space="preserve">s (CEDAW/C/KWT/CO/2 , párrs. 66 y </w:t>
      </w:r>
      <w:r w:rsidRPr="00D544EB">
        <w:t xml:space="preserve">67)? </w:t>
      </w:r>
    </w:p>
    <w:p w:rsidR="00202B00" w:rsidRDefault="00202B00" w:rsidP="00202B00">
      <w:pPr>
        <w:pStyle w:val="SingleTxtG"/>
      </w:pPr>
      <w:r>
        <w:t>30.</w:t>
      </w:r>
      <w:r>
        <w:tab/>
      </w:r>
      <w:r w:rsidRPr="00D544EB">
        <w:t xml:space="preserve">Sírvanse indicar si el Estado parte considera la posibilidad de retirar su reserva al </w:t>
      </w:r>
      <w:r>
        <w:t xml:space="preserve">párrafo 1 </w:t>
      </w:r>
      <w:r w:rsidRPr="00D544EB">
        <w:t xml:space="preserve">f) del artículo 16 de la Convención, con arreglo a lo recomendado por el Comité (CEDAW/C/KWT/CO/2, párr. 61). </w:t>
      </w:r>
    </w:p>
    <w:p w:rsidR="00202B00" w:rsidRDefault="00202B00" w:rsidP="00202B00">
      <w:pPr>
        <w:pStyle w:val="SingleTxtG"/>
      </w:pPr>
      <w:r w:rsidRPr="00D544EB">
        <w:t>31</w:t>
      </w:r>
      <w:r>
        <w:tab/>
      </w:r>
      <w:r w:rsidRPr="00D544EB">
        <w:t xml:space="preserve">Sírvanse indicar si el Estado parte está adoptando medidas para elevar la edad mínima para contraer matrimonio de la mujer y el varón de los 15 y 17 años, respectivamente (párrafo 110 del informe), a los 18 años, según lo recomendado por el Comité. ¿Qué medidas se están tomando para impedir los matrimonios a edades incluso más tempranas en los grupos tribales? </w:t>
      </w:r>
    </w:p>
    <w:p w:rsidR="00202B00" w:rsidRDefault="00202B00" w:rsidP="00202B00">
      <w:pPr>
        <w:pStyle w:val="H23G"/>
      </w:pPr>
      <w:r>
        <w:tab/>
      </w:r>
      <w:r>
        <w:tab/>
      </w:r>
      <w:r w:rsidRPr="00D544EB">
        <w:t>Enmienda al artículo 20</w:t>
      </w:r>
      <w:r>
        <w:t>, párrafo 1,</w:t>
      </w:r>
      <w:r w:rsidRPr="00D544EB">
        <w:t xml:space="preserve"> de la Convención </w:t>
      </w:r>
    </w:p>
    <w:p w:rsidR="00202B00" w:rsidRDefault="00202B00" w:rsidP="00202B00">
      <w:pPr>
        <w:pStyle w:val="SingleTxtG"/>
      </w:pPr>
      <w:r w:rsidRPr="00D544EB">
        <w:t>32.</w:t>
      </w:r>
      <w:r>
        <w:tab/>
      </w:r>
      <w:r w:rsidRPr="00D544EB">
        <w:t>Sírvanse explicar los progresos realizados para aceptar la enmienda al artículo 20</w:t>
      </w:r>
      <w:r>
        <w:t>, párrafo 1,</w:t>
      </w:r>
      <w:r w:rsidRPr="00D544EB">
        <w:t xml:space="preserve"> de</w:t>
      </w:r>
      <w:r>
        <w:t xml:space="preserve"> </w:t>
      </w:r>
      <w:r w:rsidRPr="00D544EB">
        <w:t>l</w:t>
      </w:r>
      <w:r>
        <w:t>a</w:t>
      </w:r>
      <w:r w:rsidRPr="00D544EB">
        <w:t xml:space="preserve"> Conven</w:t>
      </w:r>
      <w:r>
        <w:t>ción</w:t>
      </w:r>
      <w:r w:rsidRPr="00D544EB">
        <w:t xml:space="preserve"> relativo al período de reuniones del Comité. </w:t>
      </w:r>
    </w:p>
    <w:p w:rsidR="00202B00" w:rsidRPr="00A70ABD" w:rsidRDefault="00202B00" w:rsidP="00202B00">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202B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C2A" w:rsidRDefault="00A47C2A">
      <w:r>
        <w:separator/>
      </w:r>
    </w:p>
  </w:endnote>
  <w:endnote w:type="continuationSeparator" w:id="0">
    <w:p w:rsidR="00A47C2A" w:rsidRDefault="00A47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B00" w:rsidRPr="00202B00" w:rsidRDefault="00202B00" w:rsidP="00202B00">
    <w:pPr>
      <w:pStyle w:val="Footer"/>
      <w:tabs>
        <w:tab w:val="right" w:pos="9598"/>
      </w:tabs>
    </w:pPr>
    <w:r w:rsidRPr="00202B00">
      <w:rPr>
        <w:b/>
        <w:sz w:val="18"/>
      </w:rPr>
      <w:fldChar w:fldCharType="begin"/>
    </w:r>
    <w:r w:rsidRPr="00202B00">
      <w:rPr>
        <w:b/>
        <w:sz w:val="18"/>
      </w:rPr>
      <w:instrText xml:space="preserve"> PAGE  \* MERGEFORMAT </w:instrText>
    </w:r>
    <w:r w:rsidRPr="00202B00">
      <w:rPr>
        <w:b/>
        <w:sz w:val="18"/>
      </w:rPr>
      <w:fldChar w:fldCharType="separate"/>
    </w:r>
    <w:r w:rsidR="00470AD2">
      <w:rPr>
        <w:b/>
        <w:noProof/>
        <w:sz w:val="18"/>
      </w:rPr>
      <w:t>4</w:t>
    </w:r>
    <w:r w:rsidRPr="00202B00">
      <w:rPr>
        <w:b/>
        <w:sz w:val="18"/>
      </w:rPr>
      <w:fldChar w:fldCharType="end"/>
    </w:r>
    <w:r>
      <w:rPr>
        <w:b/>
        <w:sz w:val="18"/>
      </w:rPr>
      <w:tab/>
    </w:r>
    <w:r>
      <w:t>GE.11-41488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B00" w:rsidRPr="00202B00" w:rsidRDefault="00202B00" w:rsidP="00202B00">
    <w:pPr>
      <w:pStyle w:val="Footer"/>
      <w:tabs>
        <w:tab w:val="right" w:pos="9598"/>
      </w:tabs>
      <w:rPr>
        <w:b/>
        <w:sz w:val="18"/>
      </w:rPr>
    </w:pPr>
    <w:r>
      <w:t>GE.11-41488</w:t>
    </w:r>
    <w:r>
      <w:tab/>
    </w:r>
    <w:r w:rsidRPr="00202B00">
      <w:rPr>
        <w:b/>
        <w:sz w:val="18"/>
      </w:rPr>
      <w:fldChar w:fldCharType="begin"/>
    </w:r>
    <w:r w:rsidRPr="00202B00">
      <w:rPr>
        <w:b/>
        <w:sz w:val="18"/>
      </w:rPr>
      <w:instrText xml:space="preserve"> PAGE  \* MERGEFORMAT </w:instrText>
    </w:r>
    <w:r w:rsidRPr="00202B00">
      <w:rPr>
        <w:b/>
        <w:sz w:val="18"/>
      </w:rPr>
      <w:fldChar w:fldCharType="separate"/>
    </w:r>
    <w:r w:rsidR="00470AD2">
      <w:rPr>
        <w:b/>
        <w:noProof/>
        <w:sz w:val="18"/>
      </w:rPr>
      <w:t>5</w:t>
    </w:r>
    <w:r w:rsidRPr="00202B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D22" w:rsidRDefault="00202B00">
    <w:r>
      <w:t>GE.11-41488</w:t>
    </w:r>
    <w:r w:rsidR="00624D2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220311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C2A" w:rsidRPr="001075E9" w:rsidRDefault="00A47C2A" w:rsidP="001075E9">
      <w:pPr>
        <w:tabs>
          <w:tab w:val="right" w:pos="2155"/>
        </w:tabs>
        <w:spacing w:after="80" w:line="240" w:lineRule="auto"/>
        <w:ind w:left="680"/>
        <w:rPr>
          <w:u w:val="single"/>
        </w:rPr>
      </w:pPr>
      <w:r>
        <w:rPr>
          <w:u w:val="single"/>
        </w:rPr>
        <w:tab/>
      </w:r>
    </w:p>
  </w:footnote>
  <w:footnote w:type="continuationSeparator" w:id="0">
    <w:p w:rsidR="00A47C2A" w:rsidRDefault="00A47C2A" w:rsidP="001B04E7">
      <w:pPr>
        <w:tabs>
          <w:tab w:val="right" w:pos="2155"/>
        </w:tabs>
        <w:spacing w:after="80" w:line="240" w:lineRule="auto"/>
        <w:ind w:left="680"/>
        <w:rPr>
          <w:u w:val="single"/>
        </w:rPr>
      </w:pPr>
      <w:r>
        <w:rPr>
          <w:u w:val="single"/>
        </w:rPr>
        <w:tab/>
      </w:r>
    </w:p>
  </w:footnote>
  <w:footnote w:id="1">
    <w:p w:rsidR="00202B00" w:rsidRDefault="00202B00" w:rsidP="00202B00">
      <w:pPr>
        <w:pStyle w:val="FootnoteText"/>
      </w:pPr>
      <w:r>
        <w:tab/>
      </w:r>
      <w:r>
        <w:rPr>
          <w:rStyle w:val="FootnoteReference"/>
        </w:rPr>
        <w:footnoteRef/>
      </w:r>
      <w:r>
        <w:tab/>
        <w:t xml:space="preserve">Informe del Grupo de Trabajo sobre el Examen </w:t>
      </w:r>
      <w:r w:rsidRPr="00AA4703">
        <w:t>Periódico Universal</w:t>
      </w:r>
      <w:r w:rsidRPr="00AA4703">
        <w:rPr>
          <w:spacing w:val="-2"/>
        </w:rPr>
        <w:t xml:space="preserve">: </w:t>
      </w:r>
      <w:r w:rsidRPr="00AA4703">
        <w:t>Kuwait (</w:t>
      </w:r>
      <w:r w:rsidRPr="00AA4703">
        <w:rPr>
          <w:spacing w:val="-2"/>
        </w:rPr>
        <w:t>A/HRC/15/15), párr. 80.</w:t>
      </w:r>
    </w:p>
  </w:footnote>
  <w:footnote w:id="2">
    <w:p w:rsidR="00202B00" w:rsidRDefault="00202B00" w:rsidP="00202B00">
      <w:pPr>
        <w:pStyle w:val="FootnoteText"/>
      </w:pPr>
      <w:r>
        <w:tab/>
      </w:r>
      <w:r>
        <w:rPr>
          <w:rStyle w:val="FootnoteReference"/>
        </w:rPr>
        <w:footnoteRef/>
      </w:r>
      <w:r>
        <w:tab/>
        <w:t>Ibíd, párrs. 79.13 y 79.17 a 79.20.</w:t>
      </w:r>
    </w:p>
  </w:footnote>
  <w:footnote w:id="3">
    <w:p w:rsidR="00202B00" w:rsidRDefault="00202B00" w:rsidP="00202B00">
      <w:pPr>
        <w:pStyle w:val="FootnoteText"/>
      </w:pPr>
      <w:r>
        <w:tab/>
      </w:r>
      <w:r>
        <w:rPr>
          <w:rStyle w:val="FootnoteReference"/>
        </w:rPr>
        <w:footnoteRef/>
      </w:r>
      <w:r>
        <w:tab/>
        <w:t>Ibíd, párrs. 79.4 y 79.45. Véase también Opiniones sobre las conclusiones y/o recomendaciones, compromisos voluntarios y respuestas presentadas por el Estado examinado (A/HRC/15/15/Add.1), párr. 82.14.</w:t>
      </w:r>
    </w:p>
  </w:footnote>
  <w:footnote w:id="4">
    <w:p w:rsidR="00202B00" w:rsidRDefault="00202B00" w:rsidP="00202B00">
      <w:pPr>
        <w:pStyle w:val="FootnoteText"/>
      </w:pPr>
      <w:r>
        <w:tab/>
      </w:r>
      <w:r>
        <w:rPr>
          <w:rStyle w:val="FootnoteReference"/>
        </w:rPr>
        <w:footnoteRef/>
      </w:r>
      <w:r>
        <w:tab/>
        <w:t xml:space="preserve">Informe del Grupo de Trabajo sobre el Examen </w:t>
      </w:r>
      <w:r w:rsidRPr="00AA4703">
        <w:t>Periódico Universal</w:t>
      </w:r>
      <w:r w:rsidRPr="00D248B6">
        <w:t xml:space="preserve">: </w:t>
      </w:r>
      <w:r w:rsidRPr="00AA4703">
        <w:t>Kuwait (</w:t>
      </w:r>
      <w:r w:rsidRPr="00D248B6">
        <w:t>A/HRC/15/15), párrs. 79.7 y 79.56.</w:t>
      </w:r>
    </w:p>
  </w:footnote>
  <w:footnote w:id="5">
    <w:p w:rsidR="00202B00" w:rsidRDefault="00202B00" w:rsidP="00202B00">
      <w:pPr>
        <w:pStyle w:val="FootnoteText"/>
      </w:pPr>
      <w:r>
        <w:tab/>
      </w:r>
      <w:r>
        <w:rPr>
          <w:rStyle w:val="FootnoteReference"/>
        </w:rPr>
        <w:footnoteRef/>
      </w:r>
      <w:r>
        <w:tab/>
        <w:t>Véase también Opiniones sobre las conclusiones y/o recomendaciones, compromisos voluntarios y respuestas presentadas por el Estado examinado (A/HRC/15/15/Add.1), párrs. 82.12 a 82.19.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B00" w:rsidRPr="00202B00" w:rsidRDefault="00202B00" w:rsidP="00202B00">
    <w:pPr>
      <w:pStyle w:val="Header"/>
    </w:pPr>
    <w:r w:rsidRPr="00202B00">
      <w:t>CEDAW/C/KWT/Q/3-4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B00" w:rsidRPr="00202B00" w:rsidRDefault="00202B00" w:rsidP="00202B00">
    <w:pPr>
      <w:pStyle w:val="Header"/>
      <w:jc w:val="right"/>
    </w:pPr>
    <w:r w:rsidRPr="00202B00">
      <w:t>CEDAW/C/KWT/Q/3-4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D22"/>
    <w:rsid w:val="00001656"/>
    <w:rsid w:val="00006BB9"/>
    <w:rsid w:val="000B57E7"/>
    <w:rsid w:val="000D144A"/>
    <w:rsid w:val="000F09DF"/>
    <w:rsid w:val="000F61B2"/>
    <w:rsid w:val="001075E9"/>
    <w:rsid w:val="00155C74"/>
    <w:rsid w:val="00160FF7"/>
    <w:rsid w:val="00180183"/>
    <w:rsid w:val="0018060E"/>
    <w:rsid w:val="00196389"/>
    <w:rsid w:val="001B04E7"/>
    <w:rsid w:val="001C7A89"/>
    <w:rsid w:val="001F78A8"/>
    <w:rsid w:val="00202B00"/>
    <w:rsid w:val="0022765D"/>
    <w:rsid w:val="0028026A"/>
    <w:rsid w:val="002A2EFC"/>
    <w:rsid w:val="002C0E18"/>
    <w:rsid w:val="002C33BB"/>
    <w:rsid w:val="002D5AAC"/>
    <w:rsid w:val="00301299"/>
    <w:rsid w:val="00322004"/>
    <w:rsid w:val="003402C2"/>
    <w:rsid w:val="00365860"/>
    <w:rsid w:val="00381C24"/>
    <w:rsid w:val="003958D0"/>
    <w:rsid w:val="003E3860"/>
    <w:rsid w:val="0041418E"/>
    <w:rsid w:val="00454E07"/>
    <w:rsid w:val="0047036F"/>
    <w:rsid w:val="00470AD2"/>
    <w:rsid w:val="004C7964"/>
    <w:rsid w:val="0050108D"/>
    <w:rsid w:val="005600ED"/>
    <w:rsid w:val="00561C11"/>
    <w:rsid w:val="00572E19"/>
    <w:rsid w:val="005F0B42"/>
    <w:rsid w:val="00624D22"/>
    <w:rsid w:val="00655A21"/>
    <w:rsid w:val="006808A9"/>
    <w:rsid w:val="006928EB"/>
    <w:rsid w:val="006A4CE0"/>
    <w:rsid w:val="006B5350"/>
    <w:rsid w:val="006C1A4E"/>
    <w:rsid w:val="006F35EE"/>
    <w:rsid w:val="007021FF"/>
    <w:rsid w:val="007076CB"/>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47C2A"/>
    <w:rsid w:val="00A6214A"/>
    <w:rsid w:val="00A917B3"/>
    <w:rsid w:val="00AB4B51"/>
    <w:rsid w:val="00AC5B8D"/>
    <w:rsid w:val="00B10CC7"/>
    <w:rsid w:val="00B45F9C"/>
    <w:rsid w:val="00B52259"/>
    <w:rsid w:val="00B62458"/>
    <w:rsid w:val="00BA2F3E"/>
    <w:rsid w:val="00BD33EE"/>
    <w:rsid w:val="00BE10C4"/>
    <w:rsid w:val="00C3381F"/>
    <w:rsid w:val="00C60F0C"/>
    <w:rsid w:val="00C805C9"/>
    <w:rsid w:val="00CA1679"/>
    <w:rsid w:val="00CF4750"/>
    <w:rsid w:val="00CF480B"/>
    <w:rsid w:val="00D90138"/>
    <w:rsid w:val="00D90D44"/>
    <w:rsid w:val="00DC4C3F"/>
    <w:rsid w:val="00DF29B2"/>
    <w:rsid w:val="00E14BCD"/>
    <w:rsid w:val="00E36F25"/>
    <w:rsid w:val="00E73F76"/>
    <w:rsid w:val="00EE4E94"/>
    <w:rsid w:val="00EF1360"/>
    <w:rsid w:val="00EF3220"/>
    <w:rsid w:val="00F10730"/>
    <w:rsid w:val="00F617E7"/>
    <w:rsid w:val="00F94155"/>
    <w:rsid w:val="00FB7BC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2262</Words>
  <Characters>12443</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CEDAW/C/KWT/Q/3-4  -  11-41488</vt:lpstr>
    </vt:vector>
  </TitlesOfParts>
  <Company/>
  <LinksUpToDate>false</LinksUpToDate>
  <CharactersWithSpaces>14676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CEDAW/C/KWT/Q/3-4  -  11-41488</dc:title>
  <dc:subject>FINAL</dc:subject>
  <dc:creator>Luz María Urquizu</dc:creator>
  <cp:keywords/>
  <dc:description/>
  <cp:lastModifiedBy>Traductor</cp:lastModifiedBy>
  <cp:revision>2</cp:revision>
  <cp:lastPrinted>2008-01-16T09:37:00Z</cp:lastPrinted>
  <dcterms:created xsi:type="dcterms:W3CDTF">2011-03-25T15:11:00Z</dcterms:created>
  <dcterms:modified xsi:type="dcterms:W3CDTF">2011-03-25T15:11:00Z</dcterms:modified>
</cp:coreProperties>
</file>