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347E8C3E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0E323B9" w14:textId="77777777" w:rsidR="002D5AAC" w:rsidRDefault="002D5AAC" w:rsidP="00325DE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4DE5A88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5143E394" w14:textId="0D714272" w:rsidR="002D5AAC" w:rsidRDefault="00325DEC" w:rsidP="00325DEC">
            <w:pPr>
              <w:jc w:val="right"/>
            </w:pPr>
            <w:r w:rsidRPr="00325DEC">
              <w:rPr>
                <w:sz w:val="40"/>
              </w:rPr>
              <w:t>CERD</w:t>
            </w:r>
            <w:r>
              <w:t>/C/SMR/Q/1</w:t>
            </w:r>
          </w:p>
        </w:tc>
      </w:tr>
      <w:tr w:rsidR="002D5AAC" w14:paraId="3FC60545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5D6FA71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19F41B2" wp14:editId="35A82C7F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52ABAC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69B67D80" w14:textId="77777777" w:rsidR="002D5AAC" w:rsidRDefault="00325DEC" w:rsidP="00213632">
            <w:pPr>
              <w:spacing w:before="240"/>
            </w:pPr>
            <w:r>
              <w:t>Distr. general</w:t>
            </w:r>
          </w:p>
          <w:p w14:paraId="3BB87D07" w14:textId="77777777" w:rsidR="00325DEC" w:rsidRDefault="00325DEC" w:rsidP="00325DEC">
            <w:pPr>
              <w:spacing w:line="240" w:lineRule="exact"/>
            </w:pPr>
            <w:r>
              <w:t>14 de febrero de 2024</w:t>
            </w:r>
          </w:p>
          <w:p w14:paraId="0AD5B4FF" w14:textId="77777777" w:rsidR="00325DEC" w:rsidRDefault="00325DEC" w:rsidP="00325DEC">
            <w:pPr>
              <w:spacing w:line="240" w:lineRule="exact"/>
            </w:pPr>
            <w:r>
              <w:t>Español</w:t>
            </w:r>
          </w:p>
          <w:p w14:paraId="23B5D37A" w14:textId="77777777" w:rsidR="00325DEC" w:rsidRDefault="00325DEC" w:rsidP="00325DEC">
            <w:pPr>
              <w:spacing w:line="240" w:lineRule="exact"/>
            </w:pPr>
            <w:r>
              <w:t>Original: francés</w:t>
            </w:r>
          </w:p>
          <w:p w14:paraId="2590D19C" w14:textId="71575BA5" w:rsidR="00325DEC" w:rsidRDefault="00325DEC" w:rsidP="00325DEC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0B325DBC" w14:textId="77777777" w:rsidR="00325DEC" w:rsidRPr="00325DEC" w:rsidRDefault="00325DEC" w:rsidP="00325DEC">
      <w:pPr>
        <w:spacing w:before="120" w:line="240" w:lineRule="auto"/>
        <w:rPr>
          <w:b/>
          <w:sz w:val="24"/>
          <w:szCs w:val="24"/>
        </w:rPr>
      </w:pPr>
      <w:r w:rsidRPr="00325DEC">
        <w:rPr>
          <w:b/>
          <w:bCs/>
          <w:sz w:val="24"/>
          <w:szCs w:val="24"/>
        </w:rPr>
        <w:t>Comité para la Eliminación de la Discriminación Racial</w:t>
      </w:r>
    </w:p>
    <w:p w14:paraId="2642A780" w14:textId="77777777" w:rsidR="00325DEC" w:rsidRPr="00325DEC" w:rsidRDefault="00325DEC" w:rsidP="00325DEC">
      <w:pPr>
        <w:spacing w:line="240" w:lineRule="auto"/>
        <w:rPr>
          <w:b/>
        </w:rPr>
      </w:pPr>
      <w:r w:rsidRPr="00325DEC">
        <w:rPr>
          <w:b/>
          <w:bCs/>
        </w:rPr>
        <w:t>112º período de sesiones</w:t>
      </w:r>
    </w:p>
    <w:p w14:paraId="6620A7CC" w14:textId="77777777" w:rsidR="00325DEC" w:rsidRPr="00325DEC" w:rsidRDefault="00325DEC" w:rsidP="00325DEC">
      <w:pPr>
        <w:spacing w:line="240" w:lineRule="auto"/>
      </w:pPr>
      <w:r w:rsidRPr="00325DEC">
        <w:t>8 a 26 de abril de 2024</w:t>
      </w:r>
    </w:p>
    <w:p w14:paraId="0DD23632" w14:textId="77777777" w:rsidR="00325DEC" w:rsidRPr="00325DEC" w:rsidRDefault="00325DEC" w:rsidP="00325DEC">
      <w:pPr>
        <w:spacing w:line="240" w:lineRule="auto"/>
      </w:pPr>
      <w:r w:rsidRPr="00325DEC">
        <w:t>Tema 6 del programa provisional</w:t>
      </w:r>
    </w:p>
    <w:p w14:paraId="322511F5" w14:textId="77777777" w:rsidR="00325DEC" w:rsidRDefault="00325DEC" w:rsidP="00325DEC">
      <w:pPr>
        <w:spacing w:line="240" w:lineRule="auto"/>
        <w:rPr>
          <w:b/>
          <w:bCs/>
        </w:rPr>
      </w:pPr>
      <w:r w:rsidRPr="00325DEC">
        <w:rPr>
          <w:b/>
          <w:bCs/>
        </w:rPr>
        <w:t xml:space="preserve">Examen de los informes, las observaciones y la información presentados </w:t>
      </w:r>
    </w:p>
    <w:p w14:paraId="5475E405" w14:textId="6FE4A89A" w:rsidR="00325DEC" w:rsidRPr="00325DEC" w:rsidRDefault="00325DEC" w:rsidP="00325DEC">
      <w:pPr>
        <w:spacing w:line="240" w:lineRule="auto"/>
        <w:rPr>
          <w:b/>
          <w:bCs/>
        </w:rPr>
      </w:pPr>
      <w:r w:rsidRPr="00325DEC">
        <w:rPr>
          <w:b/>
          <w:bCs/>
        </w:rPr>
        <w:t>por los Estados partes en virtud del artículo 9 de la Convención</w:t>
      </w:r>
    </w:p>
    <w:p w14:paraId="49B97513" w14:textId="532EC124" w:rsidR="00325DEC" w:rsidRPr="00325DEC" w:rsidRDefault="00325DEC" w:rsidP="00325DEC">
      <w:pPr>
        <w:pStyle w:val="HChG"/>
      </w:pPr>
      <w:r>
        <w:tab/>
      </w:r>
      <w:r w:rsidRPr="00325DEC">
        <w:tab/>
        <w:t>Lista de temas relativa al informe inicial de San Marino</w:t>
      </w:r>
    </w:p>
    <w:p w14:paraId="6ACD2AE6" w14:textId="43B45373" w:rsidR="00325DEC" w:rsidRPr="00325DEC" w:rsidRDefault="00325DEC" w:rsidP="00325DEC">
      <w:pPr>
        <w:pStyle w:val="H1G"/>
      </w:pPr>
      <w:r>
        <w:tab/>
      </w:r>
      <w:r w:rsidRPr="00325DEC">
        <w:tab/>
        <w:t>Nota del Relator para el país</w:t>
      </w:r>
    </w:p>
    <w:p w14:paraId="5BF3A0F4" w14:textId="4F720581" w:rsidR="00325DEC" w:rsidRPr="00325DEC" w:rsidRDefault="00325DEC" w:rsidP="00325DEC">
      <w:pPr>
        <w:pStyle w:val="SingleTxtG"/>
      </w:pPr>
      <w:r w:rsidRPr="00325DEC">
        <w:t>1.</w:t>
      </w:r>
      <w:r w:rsidRPr="00325DEC">
        <w:tab/>
        <w:t>El Comité para la Eliminación de la Discriminación Racial decidió en su 76º período de sesiones</w:t>
      </w:r>
      <w:r>
        <w:rPr>
          <w:rStyle w:val="Refdenotaalpie"/>
        </w:rPr>
        <w:footnoteReference w:id="1"/>
      </w:r>
      <w:r w:rsidRPr="00325DEC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2C72A3F5" w14:textId="0C8C1CFC" w:rsidR="00325DEC" w:rsidRPr="00325DEC" w:rsidRDefault="00325DEC" w:rsidP="00325DEC">
      <w:pPr>
        <w:pStyle w:val="H23G"/>
      </w:pPr>
      <w:r>
        <w:tab/>
      </w:r>
      <w:r w:rsidRPr="00325DEC">
        <w:tab/>
        <w:t>Estadísticas</w:t>
      </w:r>
      <w:bookmarkStart w:id="0" w:name="_Hlk158125388"/>
    </w:p>
    <w:p w14:paraId="4508B662" w14:textId="3FAAD570" w:rsidR="00325DEC" w:rsidRPr="00325DEC" w:rsidRDefault="00325DEC" w:rsidP="00325DEC">
      <w:pPr>
        <w:pStyle w:val="SingleTxtG"/>
      </w:pPr>
      <w:r w:rsidRPr="00325DEC">
        <w:t>2.</w:t>
      </w:r>
      <w:r w:rsidRPr="00325DEC">
        <w:tab/>
        <w:t>Estadísticas sobre la composición demográfica de la población, desglosadas por origen nacional o étnico, idiomas hablados y situación</w:t>
      </w:r>
      <w:r>
        <w:rPr>
          <w:rStyle w:val="Refdenotaalpie"/>
        </w:rPr>
        <w:footnoteReference w:id="2"/>
      </w:r>
      <w:r w:rsidRPr="00325DEC">
        <w:t>. Indicadores económicos y sociales desglosados por sexo, edad y origen nacional o étnico, de los distintos grupos que viven en el territorio del Estado parte.</w:t>
      </w:r>
    </w:p>
    <w:bookmarkEnd w:id="0"/>
    <w:p w14:paraId="7A49B945" w14:textId="4F650B41" w:rsidR="00325DEC" w:rsidRPr="00325DEC" w:rsidRDefault="00325DEC" w:rsidP="00325DEC">
      <w:pPr>
        <w:pStyle w:val="H23G"/>
      </w:pPr>
      <w:r>
        <w:tab/>
      </w:r>
      <w:r w:rsidRPr="00325DEC">
        <w:tab/>
        <w:t>La Convención en el derecho interno y el marco institucional y normativo para</w:t>
      </w:r>
      <w:r>
        <w:t> </w:t>
      </w:r>
      <w:r w:rsidRPr="00325DEC">
        <w:t>su</w:t>
      </w:r>
      <w:r>
        <w:t> </w:t>
      </w:r>
      <w:r w:rsidRPr="00325DEC">
        <w:t>aplicación (arts. 1, 2, 3, 4 y 6)</w:t>
      </w:r>
    </w:p>
    <w:p w14:paraId="79558CF1" w14:textId="642415CB" w:rsidR="00325DEC" w:rsidRPr="00325DEC" w:rsidRDefault="00325DEC" w:rsidP="00325DEC">
      <w:pPr>
        <w:pStyle w:val="SingleTxtG"/>
      </w:pPr>
      <w:bookmarkStart w:id="1" w:name="_Hlk158460165"/>
      <w:r w:rsidRPr="00325DEC">
        <w:t>3.</w:t>
      </w:r>
      <w:r w:rsidRPr="00325DEC">
        <w:tab/>
        <w:t>Adopción de una definición exhaustiva de discriminación racial acorde con el artículo 1 de la Convención en la legislación del Estado parte. Conformidad con la Convención del artículo 4 de la Declaración de Derechos de los Ciudadanos y los Principios Fundamentales del Ordenamiento Jurídico de San Marino</w:t>
      </w:r>
      <w:r>
        <w:rPr>
          <w:rStyle w:val="Refdenotaalpie"/>
        </w:rPr>
        <w:footnoteReference w:id="3"/>
      </w:r>
      <w:r w:rsidRPr="00325DEC">
        <w:t>.</w:t>
      </w:r>
    </w:p>
    <w:bookmarkEnd w:id="1"/>
    <w:p w14:paraId="620CE393" w14:textId="09B38D1C" w:rsidR="00325DEC" w:rsidRPr="00325DEC" w:rsidRDefault="00325DEC" w:rsidP="00325DEC">
      <w:pPr>
        <w:pStyle w:val="SingleTxtG"/>
      </w:pPr>
      <w:r w:rsidRPr="00325DEC">
        <w:t>4.</w:t>
      </w:r>
      <w:r w:rsidRPr="00325DEC">
        <w:tab/>
        <w:t>Medidas adoptadas a fin de crear un órgano con competencias específicas para vigilar y combatir el racismo, la discriminación racial, la xenofobia y la intolerancia</w:t>
      </w:r>
      <w:r>
        <w:rPr>
          <w:rStyle w:val="Refdenotaalpie"/>
        </w:rPr>
        <w:footnoteReference w:id="4"/>
      </w:r>
      <w:r w:rsidRPr="00325DEC">
        <w:t>.</w:t>
      </w:r>
    </w:p>
    <w:p w14:paraId="23835924" w14:textId="2F5B33E4" w:rsidR="00325DEC" w:rsidRPr="00325DEC" w:rsidRDefault="00325DEC" w:rsidP="00325DEC">
      <w:pPr>
        <w:pStyle w:val="SingleTxtG"/>
      </w:pPr>
      <w:r w:rsidRPr="00325DEC">
        <w:t>5.</w:t>
      </w:r>
      <w:r w:rsidRPr="00325DEC">
        <w:tab/>
        <w:t xml:space="preserve">Información y datos estadísticos, desglosados por origen nacional o étnico de las presuntas víctimas, sobre las denuncias por discriminación racial, discurso de odio y delitos de odio racista presentadas ante los tribunales nacionales u otras instituciones competentes, el número de investigaciones, enjuiciamientos y condenas, y las reparaciones otorgadas a las víctimas. Medidas adoptadas para facilitar la presentación de denuncias por discriminación racial. Información sobre los requisitos para acceder a la asistencia jurídica proporcionada o cofinanciada por el Estado parte, y sobre el número de personas que han recurrido a ella para </w:t>
      </w:r>
      <w:r w:rsidRPr="00325DEC">
        <w:lastRenderedPageBreak/>
        <w:t>presentar una denuncia por discriminación racial. Medidas adoptadas para informar a la población en general acerca de los derechos que les reconoce la Convención, así como de los mecanismos de denuncia y los recursos legales de los que disponen</w:t>
      </w:r>
      <w:r>
        <w:rPr>
          <w:rStyle w:val="Refdenotaalpie"/>
        </w:rPr>
        <w:footnoteReference w:id="5"/>
      </w:r>
      <w:r w:rsidRPr="00325DEC">
        <w:t>. Medidas destinadas a capacitar a jueces, fiscales, abogados y demás profesionales de la justicia sobre las disposiciones de la Convención. Medidas adoptadas para que los procedimientos de selección, nombramiento, suspensión y destitución de jueces prevean salvaguardias adecuadas contra las influencias de naturaleza política en esos procesos, y progresos realizados a ese respecto.</w:t>
      </w:r>
    </w:p>
    <w:p w14:paraId="00FF92A6" w14:textId="746AAE35" w:rsidR="00325DEC" w:rsidRPr="00325DEC" w:rsidRDefault="00325DEC" w:rsidP="00325DEC">
      <w:pPr>
        <w:pStyle w:val="SingleTxtG"/>
      </w:pPr>
      <w:r w:rsidRPr="00325DEC">
        <w:t>6.</w:t>
      </w:r>
      <w:r w:rsidRPr="00325DEC">
        <w:tab/>
        <w:t>Medidas adoptadas para establecer una institución nacional de derechos humanos independiente y efectiva, de conformidad con los principios relativos al estatuto de las instituciones nacionales de promoción y protección de los derechos humanos (Principios de</w:t>
      </w:r>
      <w:r>
        <w:t> </w:t>
      </w:r>
      <w:r w:rsidRPr="00325DEC">
        <w:t>París)</w:t>
      </w:r>
      <w:r>
        <w:rPr>
          <w:rStyle w:val="Refdenotaalpie"/>
        </w:rPr>
        <w:footnoteReference w:id="6"/>
      </w:r>
      <w:r w:rsidRPr="00325DEC">
        <w:t>.</w:t>
      </w:r>
    </w:p>
    <w:p w14:paraId="67A9923D" w14:textId="77777777" w:rsidR="00325DEC" w:rsidRPr="00325DEC" w:rsidRDefault="00325DEC" w:rsidP="00325DEC">
      <w:pPr>
        <w:pStyle w:val="SingleTxtG"/>
      </w:pPr>
      <w:r w:rsidRPr="00325DEC">
        <w:t>7.</w:t>
      </w:r>
      <w:r w:rsidRPr="00325DEC">
        <w:tab/>
        <w:t>Medidas adoptadas o previstas para aprobar un plan de acción nacional contra el racismo. Información sobre las medidas tomadas y el programa de actividades organizadas en el Estado parte en el marco del Decenio Internacional de los Afrodescendientes, y sobre la participación de grupos y personas afrodescendientes en el diseño, la aplicación y el seguimiento de esas iniciativas.</w:t>
      </w:r>
    </w:p>
    <w:p w14:paraId="6F5C273E" w14:textId="05F2B0B5" w:rsidR="00325DEC" w:rsidRPr="00325DEC" w:rsidRDefault="00325DEC" w:rsidP="00325DEC">
      <w:pPr>
        <w:pStyle w:val="H23G"/>
      </w:pPr>
      <w:r>
        <w:tab/>
      </w:r>
      <w:r w:rsidRPr="00325DEC">
        <w:tab/>
        <w:t xml:space="preserve">Discurso de odio racista, incitación al odio racial y delitos de odio racista </w:t>
      </w:r>
      <w:r>
        <w:br/>
      </w:r>
      <w:r w:rsidRPr="00325DEC">
        <w:t>(arts. 2, 4 y 6)</w:t>
      </w:r>
    </w:p>
    <w:p w14:paraId="3D5A6F35" w14:textId="77777777" w:rsidR="00325DEC" w:rsidRPr="00325DEC" w:rsidRDefault="00325DEC" w:rsidP="00325DEC">
      <w:pPr>
        <w:pStyle w:val="SingleTxtG"/>
      </w:pPr>
      <w:r w:rsidRPr="00325DEC">
        <w:t>8.</w:t>
      </w:r>
      <w:r w:rsidRPr="00325DEC">
        <w:tab/>
        <w:t xml:space="preserve">Medidas adoptadas para que las definiciones de discurso de odio racista, incitación al odio racial y delito de odio racista que figuran en el Código Penal, incluidos los artículos 90 y 179 </w:t>
      </w:r>
      <w:r w:rsidRPr="00325DEC">
        <w:rPr>
          <w:i/>
        </w:rPr>
        <w:t>bis</w:t>
      </w:r>
      <w:r w:rsidRPr="00325DEC">
        <w:t>, y en las demás leyes pertinentes, sean plenamente conformes con el artículo 4 de la Convención y abarquen todos los motivos de discriminación enumerados en el artículo 1 de la Convención.</w:t>
      </w:r>
    </w:p>
    <w:p w14:paraId="51691D7E" w14:textId="64E435DE" w:rsidR="00325DEC" w:rsidRPr="00325DEC" w:rsidRDefault="00325DEC" w:rsidP="00325DEC">
      <w:pPr>
        <w:pStyle w:val="SingleTxtG"/>
      </w:pPr>
      <w:r w:rsidRPr="00325DEC">
        <w:t>9.</w:t>
      </w:r>
      <w:r w:rsidRPr="00325DEC">
        <w:tab/>
        <w:t>Estadísticas sobre los actos o incidentes denunciados y registrados de violencia racista, discurso de odio y delito de odio, con indicación del número de denuncias, su naturaleza y las medidas adoptadas al respecto. Medidas destinadas a establecer un mecanismo de recopilación de datos en este ámbito. Estadísticas sobre el número de casos en los que se invocaron el artículo 4 de la Declaración de Derechos de los Ciudadanos y Principios Fundamentales del Ordenamiento Jurídico de San Marino y los artículos 90 y 179</w:t>
      </w:r>
      <w:r>
        <w:t> </w:t>
      </w:r>
      <w:r w:rsidRPr="00325DEC">
        <w:rPr>
          <w:i/>
        </w:rPr>
        <w:t>bis</w:t>
      </w:r>
      <w:r w:rsidRPr="00325DEC">
        <w:t xml:space="preserve"> del Código Penal en relación con el discurso de odio y la violencia racista. Estadísticas relativas al número de investigaciones realizadas, los enjuiciamientos iniciados y las condenas dictadas, la naturaleza de las penas impuestas, y las medidas de reparación concedidas y la protección ofrecida a las víctimas</w:t>
      </w:r>
      <w:r>
        <w:rPr>
          <w:rStyle w:val="Refdenotaalpie"/>
        </w:rPr>
        <w:footnoteReference w:id="7"/>
      </w:r>
      <w:r w:rsidRPr="00325DEC">
        <w:t>.</w:t>
      </w:r>
    </w:p>
    <w:p w14:paraId="489D516D" w14:textId="77777777" w:rsidR="00325DEC" w:rsidRPr="00325DEC" w:rsidRDefault="00325DEC" w:rsidP="00325DEC">
      <w:pPr>
        <w:pStyle w:val="SingleTxtG"/>
      </w:pPr>
      <w:r w:rsidRPr="00325DEC">
        <w:t>10.</w:t>
      </w:r>
      <w:r w:rsidRPr="00325DEC">
        <w:tab/>
        <w:t>Medidas concretas adoptadas o previstas para combatir el discurso de odio racista, en particular en el discurso político, en los medios de comunicación y en Internet.</w:t>
      </w:r>
    </w:p>
    <w:p w14:paraId="56499697" w14:textId="77777777" w:rsidR="00325DEC" w:rsidRPr="00325DEC" w:rsidRDefault="00325DEC" w:rsidP="00325DEC">
      <w:pPr>
        <w:pStyle w:val="SingleTxtG"/>
      </w:pPr>
      <w:r w:rsidRPr="00325DEC">
        <w:t>11.</w:t>
      </w:r>
      <w:r w:rsidRPr="00325DEC">
        <w:tab/>
        <w:t>Información sobre las medidas adoptadas o previstas para que los policías y otros agentes del orden no incurran en actos de discriminación racial, incluidos actos de violencia por motivos raciales y prácticas constitutivas de perfilamiento racial.</w:t>
      </w:r>
    </w:p>
    <w:p w14:paraId="60231072" w14:textId="21F380AF" w:rsidR="00325DEC" w:rsidRPr="00325DEC" w:rsidRDefault="00325DEC" w:rsidP="00325DEC">
      <w:pPr>
        <w:pStyle w:val="H23G"/>
      </w:pPr>
      <w:r>
        <w:tab/>
      </w:r>
      <w:r w:rsidRPr="00325DEC">
        <w:tab/>
        <w:t>Situación de los no ciudadanos (arts. 1, 2, 5 y 6)</w:t>
      </w:r>
    </w:p>
    <w:p w14:paraId="3C3ACD57" w14:textId="77777777" w:rsidR="00325DEC" w:rsidRPr="00325DEC" w:rsidRDefault="00325DEC" w:rsidP="00325DEC">
      <w:pPr>
        <w:pStyle w:val="SingleTxtG"/>
      </w:pPr>
      <w:r w:rsidRPr="00325DEC">
        <w:t>12.</w:t>
      </w:r>
      <w:r w:rsidRPr="00325DEC">
        <w:tab/>
        <w:t>Información sobre la promulgación de leyes sobre solicitantes de asilo y refugiados conformes con las normas internacionales. Información sobre los procedimientos de determinación de la condición de refugiado de los solicitantes de asilo.</w:t>
      </w:r>
    </w:p>
    <w:p w14:paraId="36E459F9" w14:textId="77777777" w:rsidR="00325DEC" w:rsidRPr="00325DEC" w:rsidRDefault="00325DEC" w:rsidP="00325DEC">
      <w:pPr>
        <w:pStyle w:val="SingleTxtG"/>
      </w:pPr>
      <w:r w:rsidRPr="00325DEC">
        <w:t>13.</w:t>
      </w:r>
      <w:r w:rsidRPr="00325DEC">
        <w:tab/>
        <w:t xml:space="preserve">Medidas adoptadas para reforzar la protección que reciben los no ciudadanos en el Estado parte, en particular las medidas en vigor para prevenir y combatir la explotación y la violencia que sufren los trabajadores migratorios, en especial los </w:t>
      </w:r>
      <w:r w:rsidRPr="00325DEC">
        <w:rPr>
          <w:i/>
          <w:iCs/>
        </w:rPr>
        <w:t>badanti</w:t>
      </w:r>
      <w:r w:rsidRPr="00325DEC">
        <w:t xml:space="preserve"> (cuidadores a domicilio), a manos de sus empleadores. Información sobre la protección efectiva de los no ciudadanos en el disfrute de sus derechos económicos, sociales y culturales.</w:t>
      </w:r>
    </w:p>
    <w:p w14:paraId="715C775A" w14:textId="77777777" w:rsidR="00325DEC" w:rsidRPr="00325DEC" w:rsidRDefault="00325DEC" w:rsidP="00E930A3">
      <w:pPr>
        <w:pStyle w:val="SingleTxtG"/>
      </w:pPr>
      <w:r w:rsidRPr="00325DEC">
        <w:lastRenderedPageBreak/>
        <w:t>14.</w:t>
      </w:r>
      <w:r w:rsidRPr="00325DEC">
        <w:tab/>
        <w:t>Medidas para prevenir la apatridia, incluidas las destinadas a facilitar la naturalización y proteger a los apátridas. Estadísticas actualizadas sobre los apátridas y las personas en riesgo de apatridia.</w:t>
      </w:r>
    </w:p>
    <w:p w14:paraId="035BA5FE" w14:textId="77777777" w:rsidR="00325DEC" w:rsidRPr="00325DEC" w:rsidRDefault="00325DEC" w:rsidP="00E930A3">
      <w:pPr>
        <w:pStyle w:val="SingleTxtG"/>
      </w:pPr>
      <w:r w:rsidRPr="00325DEC">
        <w:t>15.</w:t>
      </w:r>
      <w:r w:rsidRPr="00325DEC">
        <w:tab/>
        <w:t>Medidas legislativas o normativas para combatir la trata de personas con fines de trabajo forzoso, de explotación sexual y de esclavitud doméstica. Información sobre las denuncias, investigaciones, enjuiciamientos, condenas, sanciones y medidas de reparación y rehabilitación ofrecidas a las víctimas. Medidas adoptadas para que los profesionales de la justicia, los agentes del orden, la policía de fronteras, los trabajadores sociales y los trabajadores de la salud puedan identificar mejor a las víctimas de la trata y prestarles la protección y asistencia adecuadas. Medidas para que las víctimas de la trata no sean enjuiciadas o deportadas por actos directamente derivados de su situación de víctimas de la trata. Información sobre las denuncias presentadas, las investigaciones abiertas, los enjuiciamientos iniciados, las condenas y sentencias dictadas y las medidas de reparación y rehabilitación otorgadas a las víctimas.</w:t>
      </w:r>
    </w:p>
    <w:p w14:paraId="6DFBC322" w14:textId="15046DC9" w:rsidR="00325DEC" w:rsidRPr="00325DEC" w:rsidRDefault="00E930A3" w:rsidP="00E930A3">
      <w:pPr>
        <w:pStyle w:val="H23G"/>
      </w:pPr>
      <w:r>
        <w:tab/>
      </w:r>
      <w:r w:rsidR="00325DEC" w:rsidRPr="00325DEC">
        <w:tab/>
        <w:t>Educación para combatir los prejuicios y promover la comprensión (art. 7)</w:t>
      </w:r>
    </w:p>
    <w:p w14:paraId="6E79E297" w14:textId="77777777" w:rsidR="00325DEC" w:rsidRPr="00325DEC" w:rsidRDefault="00325DEC" w:rsidP="00E930A3">
      <w:pPr>
        <w:pStyle w:val="SingleTxtG"/>
      </w:pPr>
      <w:r w:rsidRPr="00325DEC">
        <w:t>16.</w:t>
      </w:r>
      <w:r w:rsidRPr="00325DEC">
        <w:tab/>
        <w:t>Medidas adoptadas para promover la educación en derechos humanos, concretamente sobre las cuestiones de discriminación racial, en todos los programas escolares y en la formación docente, así como información sobre los efectos de esas medidas. Información relativa a las iniciativas de promoción de la concordia y la tolerancia entre los distintos grupos étnicos que viven en el territorio del Estado parte. Medidas destinadas a sensibilizar a la población en general, a los funcionarios públicos, a los miembros de las fuerzas del orden y a las autoridades judiciales sobre la importancia de la diversidad cultural y la tolerancia.</w:t>
      </w:r>
    </w:p>
    <w:p w14:paraId="7ECE2004" w14:textId="6FFE0EC6" w:rsidR="00381C24" w:rsidRPr="00E930A3" w:rsidRDefault="00E930A3" w:rsidP="00E930A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930A3" w:rsidSect="00325DE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4EC34" w14:textId="77777777" w:rsidR="00B41CB4" w:rsidRPr="00D43FF0" w:rsidRDefault="00B41CB4" w:rsidP="00D43FF0">
      <w:pPr>
        <w:pStyle w:val="Piedepgina"/>
      </w:pPr>
    </w:p>
  </w:endnote>
  <w:endnote w:type="continuationSeparator" w:id="0">
    <w:p w14:paraId="3C8EB481" w14:textId="77777777" w:rsidR="00B41CB4" w:rsidRPr="00D43FF0" w:rsidRDefault="00B41CB4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3250C" w14:textId="7817DE5D" w:rsidR="00325DEC" w:rsidRPr="00325DEC" w:rsidRDefault="00325DEC" w:rsidP="00325DEC">
    <w:pPr>
      <w:pStyle w:val="Piedepgina"/>
      <w:tabs>
        <w:tab w:val="right" w:pos="9638"/>
      </w:tabs>
    </w:pPr>
    <w:r w:rsidRPr="00325DEC">
      <w:rPr>
        <w:b/>
        <w:sz w:val="18"/>
      </w:rPr>
      <w:fldChar w:fldCharType="begin"/>
    </w:r>
    <w:r w:rsidRPr="00325DEC">
      <w:rPr>
        <w:b/>
        <w:sz w:val="18"/>
      </w:rPr>
      <w:instrText xml:space="preserve"> PAGE  \* MERGEFORMAT </w:instrText>
    </w:r>
    <w:r w:rsidRPr="00325DEC">
      <w:rPr>
        <w:b/>
        <w:sz w:val="18"/>
      </w:rPr>
      <w:fldChar w:fldCharType="separate"/>
    </w:r>
    <w:r w:rsidRPr="00325DEC">
      <w:rPr>
        <w:b/>
        <w:noProof/>
        <w:sz w:val="18"/>
      </w:rPr>
      <w:t>2</w:t>
    </w:r>
    <w:r w:rsidRPr="00325DEC">
      <w:rPr>
        <w:b/>
        <w:sz w:val="18"/>
      </w:rPr>
      <w:fldChar w:fldCharType="end"/>
    </w:r>
    <w:r>
      <w:rPr>
        <w:b/>
        <w:sz w:val="18"/>
      </w:rPr>
      <w:tab/>
    </w:r>
    <w:r>
      <w:t>GE.24-02601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25EF" w14:textId="0749E90D" w:rsidR="00325DEC" w:rsidRPr="00325DEC" w:rsidRDefault="00325DEC" w:rsidP="00325DEC">
    <w:pPr>
      <w:pStyle w:val="Piedepgina"/>
      <w:tabs>
        <w:tab w:val="right" w:pos="9638"/>
      </w:tabs>
      <w:rPr>
        <w:b/>
        <w:sz w:val="18"/>
      </w:rPr>
    </w:pPr>
    <w:r>
      <w:t>GE.24-02601</w:t>
    </w:r>
    <w:r>
      <w:tab/>
    </w:r>
    <w:r w:rsidRPr="00325DEC">
      <w:rPr>
        <w:b/>
        <w:sz w:val="18"/>
      </w:rPr>
      <w:fldChar w:fldCharType="begin"/>
    </w:r>
    <w:r w:rsidRPr="00325DEC">
      <w:rPr>
        <w:b/>
        <w:sz w:val="18"/>
      </w:rPr>
      <w:instrText xml:space="preserve"> PAGE  \* MERGEFORMAT </w:instrText>
    </w:r>
    <w:r w:rsidRPr="00325DEC">
      <w:rPr>
        <w:b/>
        <w:sz w:val="18"/>
      </w:rPr>
      <w:fldChar w:fldCharType="separate"/>
    </w:r>
    <w:r w:rsidRPr="00325DEC">
      <w:rPr>
        <w:b/>
        <w:noProof/>
        <w:sz w:val="18"/>
      </w:rPr>
      <w:t>3</w:t>
    </w:r>
    <w:r w:rsidRPr="00325DE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D7BDC" w14:textId="0710C3AD" w:rsidR="00C63C2A" w:rsidRPr="00325DEC" w:rsidRDefault="00325DEC" w:rsidP="00325DE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38B7FCD3" wp14:editId="20926DF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24-02601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A5BE53A" wp14:editId="075C8CC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180324    180324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FCE05" w14:textId="77777777" w:rsidR="00B41CB4" w:rsidRPr="001075E9" w:rsidRDefault="00B41C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4B4D74" w14:textId="77777777" w:rsidR="00B41CB4" w:rsidRDefault="00B41CB4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9956506" w14:textId="3F2962A2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" w:history="1">
        <w:r w:rsidRPr="00325DEC">
          <w:rPr>
            <w:rStyle w:val="Hipervnculo"/>
          </w:rPr>
          <w:t>A/65/18</w:t>
        </w:r>
      </w:hyperlink>
      <w:r w:rsidRPr="00325DEC">
        <w:t>, párr. 85.</w:t>
      </w:r>
    </w:p>
  </w:footnote>
  <w:footnote w:id="2">
    <w:p w14:paraId="092DA82C" w14:textId="36588D73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2" w:history="1">
        <w:r w:rsidRPr="00325DEC">
          <w:rPr>
            <w:rStyle w:val="Hipervnculo"/>
          </w:rPr>
          <w:t>CERD/C/SMR/1</w:t>
        </w:r>
      </w:hyperlink>
      <w:r w:rsidRPr="00325DEC">
        <w:t>, párrs. 1 a 3.</w:t>
      </w:r>
    </w:p>
  </w:footnote>
  <w:footnote w:id="3">
    <w:p w14:paraId="737657B0" w14:textId="4839223E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25DEC">
        <w:rPr>
          <w:i/>
        </w:rPr>
        <w:t>Ibid.</w:t>
      </w:r>
      <w:r w:rsidRPr="00325DEC">
        <w:t>, párrs. 4 y 5.</w:t>
      </w:r>
    </w:p>
  </w:footnote>
  <w:footnote w:id="4">
    <w:p w14:paraId="59CB822A" w14:textId="0F3F52DA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25DEC">
        <w:rPr>
          <w:i/>
        </w:rPr>
        <w:t>Ibid.</w:t>
      </w:r>
      <w:r w:rsidRPr="00325DEC">
        <w:t>, párr. 11.</w:t>
      </w:r>
    </w:p>
  </w:footnote>
  <w:footnote w:id="5">
    <w:p w14:paraId="2B3D1028" w14:textId="793BB2B5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25DEC">
        <w:rPr>
          <w:i/>
        </w:rPr>
        <w:t>Ibid.</w:t>
      </w:r>
      <w:r w:rsidRPr="00325DEC">
        <w:t>, párr. 8.</w:t>
      </w:r>
    </w:p>
  </w:footnote>
  <w:footnote w:id="6">
    <w:p w14:paraId="01F8E021" w14:textId="0F23A100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25DEC">
        <w:rPr>
          <w:i/>
        </w:rPr>
        <w:t>Ibid.</w:t>
      </w:r>
      <w:r w:rsidRPr="00325DEC">
        <w:t>, párr. 10.</w:t>
      </w:r>
    </w:p>
  </w:footnote>
  <w:footnote w:id="7">
    <w:p w14:paraId="15CB6F21" w14:textId="7F5F894F" w:rsidR="00325DEC" w:rsidRDefault="00325DEC" w:rsidP="00325DEC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25DEC">
        <w:rPr>
          <w:i/>
        </w:rPr>
        <w:t>Ibid.</w:t>
      </w:r>
      <w:r w:rsidRPr="00325DEC">
        <w:t>, párrs. 18 y 19.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BE47" w14:textId="75C01392" w:rsidR="00325DEC" w:rsidRPr="00325DEC" w:rsidRDefault="005E5910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CERD/C/SMR/Q/1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D162A" w14:textId="1176ECCA" w:rsidR="00325DEC" w:rsidRPr="00325DEC" w:rsidRDefault="005E5910" w:rsidP="00325DE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CERD/C/SMR/Q/1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605238397">
    <w:abstractNumId w:val="14"/>
  </w:num>
  <w:num w:numId="2" w16cid:durableId="728772914">
    <w:abstractNumId w:val="11"/>
  </w:num>
  <w:num w:numId="3" w16cid:durableId="141192218">
    <w:abstractNumId w:val="16"/>
  </w:num>
  <w:num w:numId="4" w16cid:durableId="97605369">
    <w:abstractNumId w:val="15"/>
  </w:num>
  <w:num w:numId="5" w16cid:durableId="1969627351">
    <w:abstractNumId w:val="13"/>
  </w:num>
  <w:num w:numId="6" w16cid:durableId="416904028">
    <w:abstractNumId w:val="8"/>
  </w:num>
  <w:num w:numId="7" w16cid:durableId="1714231787">
    <w:abstractNumId w:val="3"/>
  </w:num>
  <w:num w:numId="8" w16cid:durableId="964117235">
    <w:abstractNumId w:val="2"/>
  </w:num>
  <w:num w:numId="9" w16cid:durableId="625745898">
    <w:abstractNumId w:val="1"/>
  </w:num>
  <w:num w:numId="10" w16cid:durableId="1447120146">
    <w:abstractNumId w:val="0"/>
  </w:num>
  <w:num w:numId="11" w16cid:durableId="1370909130">
    <w:abstractNumId w:val="9"/>
  </w:num>
  <w:num w:numId="12" w16cid:durableId="315572475">
    <w:abstractNumId w:val="7"/>
  </w:num>
  <w:num w:numId="13" w16cid:durableId="93013931">
    <w:abstractNumId w:val="6"/>
  </w:num>
  <w:num w:numId="14" w16cid:durableId="1293823964">
    <w:abstractNumId w:val="5"/>
  </w:num>
  <w:num w:numId="15" w16cid:durableId="1886484961">
    <w:abstractNumId w:val="4"/>
  </w:num>
  <w:num w:numId="16" w16cid:durableId="1047921210">
    <w:abstractNumId w:val="10"/>
  </w:num>
  <w:num w:numId="17" w16cid:durableId="1103843838">
    <w:abstractNumId w:val="14"/>
  </w:num>
  <w:num w:numId="18" w16cid:durableId="883565025">
    <w:abstractNumId w:val="11"/>
  </w:num>
  <w:num w:numId="19" w16cid:durableId="1009678482">
    <w:abstractNumId w:val="10"/>
  </w:num>
  <w:num w:numId="20" w16cid:durableId="702707608">
    <w:abstractNumId w:val="16"/>
  </w:num>
  <w:num w:numId="21" w16cid:durableId="1633557213">
    <w:abstractNumId w:val="15"/>
  </w:num>
  <w:num w:numId="22" w16cid:durableId="167183830">
    <w:abstractNumId w:val="12"/>
  </w:num>
  <w:num w:numId="23" w16cid:durableId="230510870">
    <w:abstractNumId w:val="12"/>
  </w:num>
  <w:num w:numId="24" w16cid:durableId="2711247">
    <w:abstractNumId w:val="13"/>
  </w:num>
  <w:num w:numId="25" w16cid:durableId="1794441317">
    <w:abstractNumId w:val="9"/>
  </w:num>
  <w:num w:numId="26" w16cid:durableId="1568608393">
    <w:abstractNumId w:val="7"/>
  </w:num>
  <w:num w:numId="27" w16cid:durableId="986280349">
    <w:abstractNumId w:val="6"/>
  </w:num>
  <w:num w:numId="28" w16cid:durableId="475490219">
    <w:abstractNumId w:val="5"/>
  </w:num>
  <w:num w:numId="29" w16cid:durableId="1861773003">
    <w:abstractNumId w:val="4"/>
  </w:num>
  <w:num w:numId="30" w16cid:durableId="1852136094">
    <w:abstractNumId w:val="8"/>
  </w:num>
  <w:num w:numId="31" w16cid:durableId="1071808472">
    <w:abstractNumId w:val="3"/>
  </w:num>
  <w:num w:numId="32" w16cid:durableId="709720884">
    <w:abstractNumId w:val="2"/>
  </w:num>
  <w:num w:numId="33" w16cid:durableId="669142723">
    <w:abstractNumId w:val="1"/>
  </w:num>
  <w:num w:numId="34" w16cid:durableId="802190660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9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CB4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25DEC"/>
    <w:rsid w:val="003402C2"/>
    <w:rsid w:val="00381C24"/>
    <w:rsid w:val="00394934"/>
    <w:rsid w:val="003958D0"/>
    <w:rsid w:val="004031F0"/>
    <w:rsid w:val="00454E07"/>
    <w:rsid w:val="00471CB3"/>
    <w:rsid w:val="004B5CEF"/>
    <w:rsid w:val="0050108D"/>
    <w:rsid w:val="0051740C"/>
    <w:rsid w:val="00572E19"/>
    <w:rsid w:val="005E5910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23EE4"/>
    <w:rsid w:val="00951972"/>
    <w:rsid w:val="00954E65"/>
    <w:rsid w:val="009B46DA"/>
    <w:rsid w:val="009F3E98"/>
    <w:rsid w:val="00A17DFD"/>
    <w:rsid w:val="00A414EF"/>
    <w:rsid w:val="00A4674B"/>
    <w:rsid w:val="00A917B3"/>
    <w:rsid w:val="00AB4B51"/>
    <w:rsid w:val="00B066FC"/>
    <w:rsid w:val="00B10CC7"/>
    <w:rsid w:val="00B41CB4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11BA7"/>
    <w:rsid w:val="00D43FF0"/>
    <w:rsid w:val="00D90138"/>
    <w:rsid w:val="00DA26B8"/>
    <w:rsid w:val="00DD4E25"/>
    <w:rsid w:val="00E05C6B"/>
    <w:rsid w:val="00E2656E"/>
    <w:rsid w:val="00E73F76"/>
    <w:rsid w:val="00E930A3"/>
    <w:rsid w:val="00EA31D8"/>
    <w:rsid w:val="00EA5579"/>
    <w:rsid w:val="00EF1360"/>
    <w:rsid w:val="00EF3220"/>
    <w:rsid w:val="00EF7198"/>
    <w:rsid w:val="00F41883"/>
    <w:rsid w:val="00F45524"/>
    <w:rsid w:val="00F84DC0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EF49C"/>
  <w15:docId w15:val="{57394339-7DF5-4F0B-81EA-AB4D7625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325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es/CERD/C/SMR/1" TargetMode="External"/><Relationship Id="rId1" Type="http://schemas.openxmlformats.org/officeDocument/2006/relationships/hyperlink" Target="https://undocs.org/es/A/65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1087</Words>
  <Characters>7218</Characters>
  <Application>Microsoft Office Word</Application>
  <DocSecurity>0</DocSecurity>
  <Lines>656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CERD/C/SMR/Q/1</vt:lpstr>
    </vt:vector>
  </TitlesOfParts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CERD/C/SMR/Q/1</dc:title>
  <dc:subject/>
  <dc:creator>Luz Maria URQUIZU MARROQUIN</dc:creator>
  <cp:keywords/>
  <cp:lastModifiedBy>Luz Urquizu Marroquin</cp:lastModifiedBy>
  <cp:revision>3</cp:revision>
  <cp:lastPrinted>2024-03-18T15:43:00Z</cp:lastPrinted>
  <dcterms:created xsi:type="dcterms:W3CDTF">2024-03-18T15:43:00Z</dcterms:created>
  <dcterms:modified xsi:type="dcterms:W3CDTF">2024-03-18T15:44:00Z</dcterms:modified>
</cp:coreProperties>
</file>