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3715090D" w14:textId="77777777" w:rsidTr="00B61DB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49552261" w14:textId="77777777" w:rsidR="002D5AAC" w:rsidRDefault="002D5AAC" w:rsidP="00B61DB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214C2EC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5186AFD9" w14:textId="17FFBEA5" w:rsidR="002D5AAC" w:rsidRDefault="00B61DB7" w:rsidP="00B61DB7">
            <w:pPr>
              <w:jc w:val="right"/>
            </w:pPr>
            <w:r w:rsidRPr="00B61DB7">
              <w:rPr>
                <w:sz w:val="40"/>
              </w:rPr>
              <w:t>CERD</w:t>
            </w:r>
            <w:r>
              <w:t>/C/AZE/Q/10-12</w:t>
            </w:r>
          </w:p>
        </w:tc>
      </w:tr>
      <w:tr w:rsidR="002D5AAC" w14:paraId="45304B3F" w14:textId="77777777" w:rsidTr="00B61DB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3D08FCCF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30E0923C" wp14:editId="3256D486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D756CF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8F9C3CF" w14:textId="77777777" w:rsidR="002D5AAC" w:rsidRDefault="00B61DB7" w:rsidP="00213632">
            <w:pPr>
              <w:spacing w:before="240"/>
            </w:pPr>
            <w:r>
              <w:t>Distr. general</w:t>
            </w:r>
          </w:p>
          <w:p w14:paraId="49AFB1CE" w14:textId="77777777" w:rsidR="00B61DB7" w:rsidRDefault="00B61DB7" w:rsidP="00B61DB7">
            <w:pPr>
              <w:spacing w:line="240" w:lineRule="exact"/>
            </w:pPr>
            <w:r>
              <w:t>23 de junio de 2022</w:t>
            </w:r>
          </w:p>
          <w:p w14:paraId="260696A7" w14:textId="77777777" w:rsidR="00B61DB7" w:rsidRDefault="00B61DB7" w:rsidP="00B61DB7">
            <w:pPr>
              <w:spacing w:line="240" w:lineRule="exact"/>
            </w:pPr>
            <w:r>
              <w:t>Español</w:t>
            </w:r>
          </w:p>
          <w:p w14:paraId="2A4D0C4A" w14:textId="77777777" w:rsidR="00B61DB7" w:rsidRDefault="00B61DB7" w:rsidP="00B61DB7">
            <w:pPr>
              <w:spacing w:line="240" w:lineRule="exact"/>
            </w:pPr>
            <w:r>
              <w:t>Original: inglés</w:t>
            </w:r>
          </w:p>
          <w:p w14:paraId="0C2A133A" w14:textId="389AC851" w:rsidR="00095AD0" w:rsidRDefault="00095AD0" w:rsidP="00B61DB7">
            <w:pPr>
              <w:spacing w:line="240" w:lineRule="exact"/>
            </w:pPr>
            <w:r>
              <w:t>Español, francés, inglés y ruso únicamente</w:t>
            </w:r>
          </w:p>
        </w:tc>
      </w:tr>
    </w:tbl>
    <w:p w14:paraId="68C38C0C" w14:textId="66C4E1C1" w:rsidR="00B61DB7" w:rsidRPr="00095AD0" w:rsidRDefault="00B61DB7" w:rsidP="00B61DB7">
      <w:pPr>
        <w:spacing w:before="120"/>
        <w:rPr>
          <w:sz w:val="24"/>
          <w:szCs w:val="24"/>
        </w:rPr>
      </w:pPr>
      <w:r w:rsidRPr="00095AD0">
        <w:rPr>
          <w:b/>
          <w:bCs/>
          <w:sz w:val="24"/>
          <w:szCs w:val="24"/>
        </w:rPr>
        <w:t>Comité para la Eliminación de la Discriminación Racial</w:t>
      </w:r>
    </w:p>
    <w:p w14:paraId="46751EF1" w14:textId="77777777" w:rsidR="00B61DB7" w:rsidRPr="00B61DB7" w:rsidRDefault="00B61DB7" w:rsidP="00B61DB7">
      <w:pPr>
        <w:spacing w:line="240" w:lineRule="auto"/>
        <w:rPr>
          <w:b/>
        </w:rPr>
      </w:pPr>
      <w:r w:rsidRPr="00B61DB7">
        <w:rPr>
          <w:b/>
          <w:bCs/>
        </w:rPr>
        <w:t>107º período de sesiones</w:t>
      </w:r>
    </w:p>
    <w:p w14:paraId="1630EBC7" w14:textId="77777777" w:rsidR="00B61DB7" w:rsidRPr="00B61DB7" w:rsidRDefault="00B61DB7" w:rsidP="00B61DB7">
      <w:pPr>
        <w:spacing w:line="240" w:lineRule="auto"/>
      </w:pPr>
      <w:r w:rsidRPr="00B61DB7">
        <w:t>8 a 30 de agosto de 2022</w:t>
      </w:r>
    </w:p>
    <w:p w14:paraId="6DD1FE2B" w14:textId="77777777" w:rsidR="00B61DB7" w:rsidRPr="00B61DB7" w:rsidRDefault="00B61DB7" w:rsidP="00B61DB7">
      <w:pPr>
        <w:spacing w:line="240" w:lineRule="auto"/>
      </w:pPr>
      <w:r w:rsidRPr="00B61DB7">
        <w:t>Tema 4 del programa provisional</w:t>
      </w:r>
    </w:p>
    <w:p w14:paraId="14BFD590" w14:textId="2BF981CF" w:rsidR="00B61DB7" w:rsidRPr="00B61DB7" w:rsidRDefault="00B61DB7" w:rsidP="00B61DB7">
      <w:pPr>
        <w:spacing w:line="240" w:lineRule="auto"/>
        <w:rPr>
          <w:b/>
          <w:bCs/>
        </w:rPr>
      </w:pPr>
      <w:r w:rsidRPr="00B61DB7">
        <w:rPr>
          <w:b/>
          <w:bCs/>
        </w:rPr>
        <w:t xml:space="preserve">Examen de los informes, las observaciones y la información </w:t>
      </w:r>
      <w:r>
        <w:rPr>
          <w:b/>
          <w:bCs/>
        </w:rPr>
        <w:br/>
      </w:r>
      <w:r w:rsidRPr="00B61DB7">
        <w:rPr>
          <w:b/>
          <w:bCs/>
        </w:rPr>
        <w:t>presentados</w:t>
      </w:r>
      <w:r>
        <w:rPr>
          <w:b/>
          <w:bCs/>
        </w:rPr>
        <w:t xml:space="preserve"> </w:t>
      </w:r>
      <w:r w:rsidRPr="00B61DB7">
        <w:rPr>
          <w:b/>
          <w:bCs/>
        </w:rPr>
        <w:t xml:space="preserve">por los Estados partes en virtud del artículo 9 </w:t>
      </w:r>
      <w:r>
        <w:rPr>
          <w:b/>
          <w:bCs/>
        </w:rPr>
        <w:br/>
      </w:r>
      <w:r w:rsidRPr="00B61DB7">
        <w:rPr>
          <w:b/>
          <w:bCs/>
        </w:rPr>
        <w:t>de la Convención</w:t>
      </w:r>
    </w:p>
    <w:p w14:paraId="1E70B00F" w14:textId="0D9C3A1E" w:rsidR="00B61DB7" w:rsidRPr="00B61DB7" w:rsidRDefault="00B61DB7" w:rsidP="00B61DB7">
      <w:pPr>
        <w:pStyle w:val="HChG"/>
      </w:pPr>
      <w:r>
        <w:tab/>
      </w:r>
      <w:r w:rsidRPr="00B61DB7">
        <w:tab/>
        <w:t xml:space="preserve">Lista de temas relativa a los informes periódicos </w:t>
      </w:r>
      <w:r w:rsidR="00095AD0">
        <w:br/>
      </w:r>
      <w:r w:rsidRPr="00B61DB7">
        <w:t>10º a 12º combinados de Azerbaiyán</w:t>
      </w:r>
    </w:p>
    <w:p w14:paraId="0682F6DD" w14:textId="06232207" w:rsidR="00B61DB7" w:rsidRDefault="00B61DB7" w:rsidP="00B61DB7">
      <w:pPr>
        <w:pStyle w:val="H1G"/>
      </w:pPr>
      <w:r w:rsidRPr="00B61DB7">
        <w:tab/>
      </w:r>
      <w:r>
        <w:tab/>
      </w:r>
      <w:r w:rsidRPr="007253F3">
        <w:t>Not</w:t>
      </w:r>
      <w:r w:rsidR="00835E1B">
        <w:t>a</w:t>
      </w:r>
      <w:r w:rsidRPr="007253F3">
        <w:t xml:space="preserve"> del Relator para el país</w:t>
      </w:r>
    </w:p>
    <w:p w14:paraId="6CAF2EB2" w14:textId="77777777" w:rsidR="00B61DB7" w:rsidRPr="00B61DB7" w:rsidRDefault="00B61DB7" w:rsidP="00B61DB7">
      <w:pPr>
        <w:pStyle w:val="SingleTxtG"/>
      </w:pPr>
      <w:r w:rsidRPr="00B61DB7">
        <w:t>1.</w:t>
      </w:r>
      <w:r w:rsidRPr="00B61DB7">
        <w:tab/>
        <w:t>El Comité para la Eliminación de la Discriminación Racial decidió en su 76º período de sesiones</w:t>
      </w:r>
      <w:r w:rsidRPr="00B61DB7">
        <w:rPr>
          <w:rStyle w:val="Refdenotaalpie"/>
        </w:rPr>
        <w:footnoteReference w:id="1"/>
      </w:r>
      <w:r w:rsidRPr="00B61DB7">
        <w:t xml:space="preserve">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179F4100" w14:textId="231886BE" w:rsidR="00B61DB7" w:rsidRPr="00B61DB7" w:rsidRDefault="00B61DB7" w:rsidP="00B61DB7">
      <w:pPr>
        <w:pStyle w:val="H23G"/>
      </w:pPr>
      <w:r w:rsidRPr="00B61DB7">
        <w:tab/>
      </w:r>
      <w:r>
        <w:tab/>
      </w:r>
      <w:r w:rsidRPr="00B61DB7">
        <w:t>Datos estadísticos</w:t>
      </w:r>
    </w:p>
    <w:p w14:paraId="538D6ADA" w14:textId="77777777" w:rsidR="00B61DB7" w:rsidRPr="00B61DB7" w:rsidRDefault="00B61DB7" w:rsidP="00B61DB7">
      <w:pPr>
        <w:pStyle w:val="SingleTxtG"/>
      </w:pPr>
      <w:r w:rsidRPr="00B61DB7">
        <w:t>2.</w:t>
      </w:r>
      <w:r w:rsidRPr="00B61DB7">
        <w:tab/>
        <w:t>Datos estadísticos sobre la composición demográfica de la población, desglosados por origen étnico, así como sobre los migrantes, refugiados, solicitantes de asilo, apátridas y desplazados internos. Indicadores económicos y sociales sobre diversos grupos que viven en su territorio, desglosados por origen nacional o étnico, género y edad</w:t>
      </w:r>
      <w:r w:rsidRPr="00B61DB7">
        <w:rPr>
          <w:rStyle w:val="Refdenotaalpie"/>
        </w:rPr>
        <w:footnoteReference w:id="2"/>
      </w:r>
      <w:r w:rsidRPr="00B61DB7">
        <w:t>.</w:t>
      </w:r>
    </w:p>
    <w:p w14:paraId="7348FC77" w14:textId="3DA5FA4E" w:rsidR="00B61DB7" w:rsidRPr="00B61DB7" w:rsidRDefault="00B61DB7" w:rsidP="00B61DB7">
      <w:pPr>
        <w:pStyle w:val="H23G"/>
      </w:pPr>
      <w:r>
        <w:tab/>
      </w:r>
      <w:r w:rsidRPr="00B61DB7">
        <w:tab/>
        <w:t xml:space="preserve">La Convención en el derecho interno y el marco institucional y normativo </w:t>
      </w:r>
      <w:r>
        <w:br/>
      </w:r>
      <w:r w:rsidRPr="00B61DB7">
        <w:t xml:space="preserve">para su aplicación (arts. 1, 2, 4, 6 y 7) </w:t>
      </w:r>
    </w:p>
    <w:p w14:paraId="520A682D" w14:textId="77777777" w:rsidR="00B61DB7" w:rsidRPr="00B61DB7" w:rsidRDefault="00B61DB7" w:rsidP="00B61DB7">
      <w:pPr>
        <w:pStyle w:val="SingleTxtG"/>
      </w:pPr>
      <w:r w:rsidRPr="00B61DB7">
        <w:t>3.</w:t>
      </w:r>
      <w:r w:rsidRPr="00B61DB7">
        <w:tab/>
        <w:t>Medidas adoptadas para elaborar y aprobar una ley integral contra la discriminación, que contenga las definiciones de discriminación directa e indirecta. Medidas para adoptar una estrategia global y un plan de acción nacional para combatir el racismo, la discriminación racial y la intolerancia</w:t>
      </w:r>
      <w:r w:rsidRPr="00B61DB7">
        <w:rPr>
          <w:rStyle w:val="Refdenotaalpie"/>
        </w:rPr>
        <w:footnoteReference w:id="3"/>
      </w:r>
      <w:r w:rsidRPr="00B61DB7">
        <w:t>.</w:t>
      </w:r>
    </w:p>
    <w:p w14:paraId="744B656E" w14:textId="44AD5904" w:rsidR="00B61DB7" w:rsidRPr="00B61DB7" w:rsidRDefault="00B61DB7" w:rsidP="00B61DB7">
      <w:pPr>
        <w:pStyle w:val="SingleTxtG"/>
      </w:pPr>
      <w:r w:rsidRPr="00B61DB7">
        <w:t>4.</w:t>
      </w:r>
      <w:r w:rsidRPr="00B61DB7">
        <w:tab/>
        <w:t>Medidas adoptadas para modificar su legislación con miras a permitir la aprobación y aplicación de medidas especiales con el fin de asegurar el adecuado progreso de los grupos minoritarios desfavorecidos, de conformidad con el artículo 1, párrafo 4, y el artículo 2, párrafo 2, de la Convención</w:t>
      </w:r>
      <w:r w:rsidRPr="00B61DB7">
        <w:rPr>
          <w:rStyle w:val="Refdenotaalpie"/>
        </w:rPr>
        <w:footnoteReference w:id="4"/>
      </w:r>
      <w:r w:rsidRPr="00B61DB7">
        <w:t>.</w:t>
      </w:r>
    </w:p>
    <w:p w14:paraId="0B7F1A0F" w14:textId="77777777" w:rsidR="00B61DB7" w:rsidRPr="00B61DB7" w:rsidRDefault="00B61DB7" w:rsidP="00B61DB7">
      <w:pPr>
        <w:pStyle w:val="SingleTxtG"/>
      </w:pPr>
      <w:r w:rsidRPr="00B61DB7">
        <w:t>5.</w:t>
      </w:r>
      <w:r w:rsidRPr="00B61DB7">
        <w:tab/>
        <w:t xml:space="preserve">Datos estadísticos y detalles sobre las denuncias registradas ante los tribunales o cualquier institución nacional por actos de discriminación racial, discursos de odio racista y delitos de odio racista, entre ellos, los que tengan lugar en Internet y en los medios de </w:t>
      </w:r>
      <w:r w:rsidRPr="00B61DB7">
        <w:lastRenderedPageBreak/>
        <w:t>comunicación, y sobre la cantidad de investigaciones, enjuiciamientos y condenas de los autores</w:t>
      </w:r>
      <w:r w:rsidRPr="00B61DB7">
        <w:rPr>
          <w:rStyle w:val="Refdenotaalpie"/>
        </w:rPr>
        <w:footnoteReference w:id="5"/>
      </w:r>
      <w:r w:rsidRPr="00B61DB7">
        <w:t>.</w:t>
      </w:r>
    </w:p>
    <w:p w14:paraId="261776E9" w14:textId="77777777" w:rsidR="00B61DB7" w:rsidRPr="00B61DB7" w:rsidRDefault="00B61DB7" w:rsidP="00B61DB7">
      <w:pPr>
        <w:pStyle w:val="SingleTxtG"/>
      </w:pPr>
      <w:r w:rsidRPr="00B61DB7">
        <w:t>6.</w:t>
      </w:r>
      <w:r w:rsidRPr="00B61DB7">
        <w:tab/>
        <w:t>Medidas para facilitar la presentación de denuncias por actos de discriminación racial, y actividades de sensibilización sobre los derechos en virtud de la Convención y los recursos disponibles, tanto judiciales como extrajudiciales. Medidas para fortalecer los servicios de asistencia letrada y prestar asistencia a fin de facilitar la interposición de una acción judicial en casos de discriminación racial</w:t>
      </w:r>
      <w:r w:rsidRPr="00B61DB7">
        <w:rPr>
          <w:rStyle w:val="Refdenotaalpie"/>
        </w:rPr>
        <w:footnoteReference w:id="6"/>
      </w:r>
      <w:r w:rsidRPr="00B61DB7">
        <w:t>.</w:t>
      </w:r>
    </w:p>
    <w:p w14:paraId="6D398ABB" w14:textId="77777777" w:rsidR="00B61DB7" w:rsidRPr="00B61DB7" w:rsidRDefault="00B61DB7" w:rsidP="00B61DB7">
      <w:pPr>
        <w:pStyle w:val="SingleTxtG"/>
      </w:pPr>
      <w:r w:rsidRPr="00B61DB7">
        <w:t>7.</w:t>
      </w:r>
      <w:r w:rsidRPr="00B61DB7">
        <w:tab/>
        <w:t>Medidas adoptadas para garantizar que las organizaciones de la sociedad civil, los defensores de los derechos humanos y los periodistas, incluidos los que trabajan en el ámbito de los derechos de las minorías étnicas, puedan llevar a cabo su trabajo de forma eficaz y sin intimidación</w:t>
      </w:r>
      <w:r w:rsidRPr="00B61DB7">
        <w:rPr>
          <w:rStyle w:val="Refdenotaalpie"/>
        </w:rPr>
        <w:footnoteReference w:id="7"/>
      </w:r>
      <w:r w:rsidRPr="00B61DB7">
        <w:t>.</w:t>
      </w:r>
    </w:p>
    <w:p w14:paraId="538C09B7" w14:textId="77777777" w:rsidR="00B61DB7" w:rsidRPr="00B61DB7" w:rsidRDefault="00B61DB7" w:rsidP="00B61DB7">
      <w:pPr>
        <w:pStyle w:val="SingleTxtG"/>
      </w:pPr>
      <w:r w:rsidRPr="00B61DB7">
        <w:t>8.</w:t>
      </w:r>
      <w:r w:rsidRPr="00B61DB7">
        <w:tab/>
        <w:t>Medidas para reforzar el mandato del Comisionado de Derechos Humanos (Ombudsman) con miras a promover efectivamente los derechos humanos y supervisar y evaluar los avances en la aplicación de la Convención de forma independiente y transparente, garantizando al mismo tiempo los recursos financieros y humanos adecuados para llevar a cabo su mandato</w:t>
      </w:r>
      <w:r w:rsidRPr="00B61DB7">
        <w:rPr>
          <w:rStyle w:val="Refdenotaalpie"/>
        </w:rPr>
        <w:footnoteReference w:id="8"/>
      </w:r>
      <w:r w:rsidRPr="00B61DB7">
        <w:t>.</w:t>
      </w:r>
    </w:p>
    <w:p w14:paraId="3E5D8CF8" w14:textId="0BFB9771" w:rsidR="00B61DB7" w:rsidRPr="00B61DB7" w:rsidRDefault="00B61DB7" w:rsidP="00B61DB7">
      <w:pPr>
        <w:pStyle w:val="H23G"/>
      </w:pPr>
      <w:r>
        <w:tab/>
      </w:r>
      <w:r w:rsidRPr="00B61DB7">
        <w:tab/>
        <w:t xml:space="preserve">Discurso de odio racista, incitación al odio racial y delitos de odio racista </w:t>
      </w:r>
      <w:r>
        <w:br/>
      </w:r>
      <w:r w:rsidRPr="00B61DB7">
        <w:t>(arts. 2, 4 y 6)</w:t>
      </w:r>
    </w:p>
    <w:p w14:paraId="25F5D79E" w14:textId="493CBDA7" w:rsidR="00B61DB7" w:rsidRPr="00B61DB7" w:rsidRDefault="00B61DB7" w:rsidP="00B61DB7">
      <w:pPr>
        <w:pStyle w:val="SingleTxtG"/>
      </w:pPr>
      <w:r w:rsidRPr="00B61DB7">
        <w:t>9.</w:t>
      </w:r>
      <w:r w:rsidRPr="00B61DB7">
        <w:tab/>
        <w:t>Medidas para garantizar que las disposiciones del Código Penal y otra legislación pertinente sobre el discurso de odio racista, la incitación al odio racial y los delitos de odio racista se ajusten plenamente al artículo 4 de la Convención</w:t>
      </w:r>
      <w:r w:rsidRPr="00B61DB7">
        <w:rPr>
          <w:rStyle w:val="Refdenotaalpie"/>
        </w:rPr>
        <w:footnoteReference w:id="9"/>
      </w:r>
      <w:r w:rsidRPr="00B61DB7">
        <w:t>.</w:t>
      </w:r>
    </w:p>
    <w:p w14:paraId="635D93D9" w14:textId="3A448948" w:rsidR="00B61DB7" w:rsidRPr="00B61DB7" w:rsidRDefault="00B61DB7" w:rsidP="00B61DB7">
      <w:pPr>
        <w:pStyle w:val="SingleTxtG"/>
      </w:pPr>
      <w:r w:rsidRPr="00B61DB7">
        <w:t>10.</w:t>
      </w:r>
      <w:r w:rsidRPr="00B61DB7">
        <w:tab/>
        <w:t>Medidas concretas adoptadas o previstas para combatir el discurso de odio racista, en particular en el discurso político, en los medios de comunicación y en Internet. Información sobre las medidas adoptadas para garantizar que las disposiciones del Código Penal, en particular el artículo 283, encaminadas a vigilar y combatir el discurso racista, no se utilicen de forma que den lugar a ninguna injerencia innecesaria o desproporcionada en la libertad de expresión, en particular de quienes defienden los derechos de las minorías</w:t>
      </w:r>
      <w:r w:rsidRPr="00B61DB7">
        <w:rPr>
          <w:rStyle w:val="Refdenotaalpie"/>
        </w:rPr>
        <w:footnoteReference w:id="10"/>
      </w:r>
      <w:r w:rsidRPr="00B61DB7">
        <w:t>.</w:t>
      </w:r>
    </w:p>
    <w:p w14:paraId="17FDE8AA" w14:textId="4DED7462" w:rsidR="00B61DB7" w:rsidRPr="00B61DB7" w:rsidRDefault="00B61DB7" w:rsidP="00B61DB7">
      <w:pPr>
        <w:pStyle w:val="H23G"/>
      </w:pPr>
      <w:r w:rsidRPr="00B61DB7">
        <w:tab/>
      </w:r>
      <w:r>
        <w:tab/>
      </w:r>
      <w:r w:rsidRPr="00B61DB7">
        <w:t>Situación de los grupos étnicos (arts. 2, 5 y 7)</w:t>
      </w:r>
    </w:p>
    <w:p w14:paraId="02D38CC4" w14:textId="72537249" w:rsidR="00B61DB7" w:rsidRPr="00B61DB7" w:rsidRDefault="00B61DB7" w:rsidP="00B61DB7">
      <w:pPr>
        <w:pStyle w:val="SingleTxtG"/>
      </w:pPr>
      <w:r w:rsidRPr="00B61DB7">
        <w:t>11.</w:t>
      </w:r>
      <w:r w:rsidRPr="00B61DB7">
        <w:tab/>
        <w:t>Información sobre el marco legislativo relativo a los derechos de las personas pertenecientes a grupos étnicos minoritarios destinado a garantizar su capacidad para disfrutar plenamente y sin discriminación de todos los derechos amparados por la Convención. Medidas adoptadas para establecer instrumentos eficaces de consulta y diálogo con los grupos étnicos minoritarios a fin de que sus opiniones y preocupaciones se tengan en cuenta en los debates sobre las cuestiones que les afectan</w:t>
      </w:r>
      <w:r w:rsidRPr="00B61DB7">
        <w:rPr>
          <w:rStyle w:val="Refdenotaalpie"/>
        </w:rPr>
        <w:footnoteReference w:id="11"/>
      </w:r>
      <w:r w:rsidRPr="00B61DB7">
        <w:t>.</w:t>
      </w:r>
    </w:p>
    <w:p w14:paraId="08CBE7DD" w14:textId="06544047" w:rsidR="00B61DB7" w:rsidRPr="00B61DB7" w:rsidRDefault="00B61DB7" w:rsidP="00B61DB7">
      <w:pPr>
        <w:pStyle w:val="SingleTxtG"/>
      </w:pPr>
      <w:r w:rsidRPr="00B61DB7">
        <w:t>12.</w:t>
      </w:r>
      <w:r w:rsidRPr="00B61DB7">
        <w:tab/>
        <w:t>Medidas adoptadas para garantizar la participación y representación efectivas de los grupos étnicos minoritarios en la vida pública y política, incluidas las instituciones del Estado y la administración a todos los niveles. Información sobre la adopción y aplicación de medidas especiales para garantizar el disfrute por esos grupos de los derechos económicos, sociales y culturales.</w:t>
      </w:r>
    </w:p>
    <w:p w14:paraId="118AC6A8" w14:textId="2996C57F" w:rsidR="00B61DB7" w:rsidRPr="00B61DB7" w:rsidRDefault="00B61DB7" w:rsidP="00B61DB7">
      <w:pPr>
        <w:pStyle w:val="H23G"/>
      </w:pPr>
      <w:r w:rsidRPr="00B61DB7">
        <w:tab/>
      </w:r>
      <w:r>
        <w:tab/>
      </w:r>
      <w:r w:rsidRPr="00B61DB7">
        <w:t>Situación de los solicitantes de asilo, los refugiados y los apátridas (arts. 2 y 5)</w:t>
      </w:r>
    </w:p>
    <w:p w14:paraId="13F3DC70" w14:textId="69328AAE" w:rsidR="00B61DB7" w:rsidRPr="00B61DB7" w:rsidRDefault="00B61DB7" w:rsidP="00B61DB7">
      <w:pPr>
        <w:pStyle w:val="SingleTxtG"/>
      </w:pPr>
      <w:r w:rsidRPr="00B61DB7">
        <w:t>13.</w:t>
      </w:r>
      <w:r w:rsidRPr="00B61DB7">
        <w:tab/>
        <w:t xml:space="preserve">Medidas para prevenir la apatridia y proteger de ella a las personas, incluida información sobre el procedimiento para la determinación de la condición de apátrida, y datos estadísticos actualizados sobre los apátridas y las personas que corren el riesgo de apatridia, con indicación de su origen étnico. Información sobre las medidas adicionales para abordar </w:t>
      </w:r>
      <w:r w:rsidRPr="00B61DB7">
        <w:lastRenderedPageBreak/>
        <w:t>los obstáculos a la inscripción de los nacimientos y la apatridia infantil al momento de nacer, en consonancia con la decisión del Consejo de Ministros de 21 de julio de 2017</w:t>
      </w:r>
      <w:r w:rsidRPr="00B61DB7">
        <w:rPr>
          <w:rStyle w:val="Refdenotaalpie"/>
        </w:rPr>
        <w:footnoteReference w:id="12"/>
      </w:r>
      <w:r w:rsidRPr="00B61DB7">
        <w:t>.</w:t>
      </w:r>
    </w:p>
    <w:p w14:paraId="0D5C6EDF" w14:textId="52FF1977" w:rsidR="00B61DB7" w:rsidRPr="00B61DB7" w:rsidRDefault="00B61DB7" w:rsidP="00B61DB7">
      <w:pPr>
        <w:pStyle w:val="SingleTxtG"/>
      </w:pPr>
      <w:r w:rsidRPr="00B61DB7">
        <w:t>14.</w:t>
      </w:r>
      <w:r w:rsidRPr="00B61DB7">
        <w:tab/>
        <w:t>Información sobre los marcos legislativos y políticos relativos a los solicitantes de asilo, los refugiados y los desplazados internos, y sobre las medidas para garantizar el acceso a la educación, el empleo y los servicios de salud sin discriminación a todas las personas bajo la jurisdicción del Estado parte.</w:t>
      </w:r>
    </w:p>
    <w:p w14:paraId="2E16295B" w14:textId="43D09E90" w:rsidR="00B61DB7" w:rsidRPr="00B61DB7" w:rsidRDefault="00B61DB7" w:rsidP="00B61DB7">
      <w:pPr>
        <w:pStyle w:val="SingleTxtG"/>
      </w:pPr>
      <w:r w:rsidRPr="00B61DB7">
        <w:t>15.</w:t>
      </w:r>
      <w:r w:rsidRPr="00B61DB7">
        <w:tab/>
        <w:t>Información sobre la situación de los migrantes, en particular los que entraron en el</w:t>
      </w:r>
      <w:r w:rsidR="00095AD0">
        <w:t> </w:t>
      </w:r>
      <w:r w:rsidRPr="00B61DB7">
        <w:t>Estado parte de forma irregular, y sobre las medidas adoptadas para mejorar la protección de sus derechos humanos, en particular contra la detención arbitraria y la devolución. Medidas para sustituir el permiso de trabajo de los trabajadores migrantes por un permiso de residencia o un sistema alternativo para prevenir y combatir la explotación y los abusos de los trabajadores migrantes por sus empleadores, e información sobre las medidas para combatir dicha explotación y abusos. Información sobre las medidas para facilitar que las víctimas presenten denuncias, y datos estadísticos sobre las denuncias registradas y sobre el número de investigaciones, enjuiciamientos y condenas de los autores. Información actualizada sobre las medidas para que los trabajadores migrantes y sus familias gocen de igualdad de acceso a la educación y la sanidad</w:t>
      </w:r>
      <w:r w:rsidRPr="00B61DB7">
        <w:rPr>
          <w:rStyle w:val="Refdenotaalpie"/>
        </w:rPr>
        <w:footnoteReference w:id="13"/>
      </w:r>
      <w:r w:rsidRPr="00B61DB7">
        <w:t>.</w:t>
      </w:r>
    </w:p>
    <w:p w14:paraId="233D5D11" w14:textId="355FDC05" w:rsidR="00B61DB7" w:rsidRPr="00B61DB7" w:rsidRDefault="00B61DB7" w:rsidP="00B61DB7">
      <w:pPr>
        <w:pStyle w:val="SingleTxtG"/>
      </w:pPr>
      <w:r w:rsidRPr="00B61DB7">
        <w:t>16.</w:t>
      </w:r>
      <w:r w:rsidRPr="00B61DB7">
        <w:tab/>
        <w:t>Información sobre las medidas concretas adoptadas para prevenir y combatir la trata de personas, en particular sobre su impacto.</w:t>
      </w:r>
    </w:p>
    <w:p w14:paraId="04281E92" w14:textId="77777777" w:rsidR="00B61DB7" w:rsidRPr="00095AD0" w:rsidRDefault="00B61DB7" w:rsidP="00B61DB7">
      <w:pPr>
        <w:pStyle w:val="SingleTxtG"/>
        <w:rPr>
          <w:spacing w:val="1"/>
        </w:rPr>
      </w:pPr>
      <w:r w:rsidRPr="00095AD0">
        <w:rPr>
          <w:spacing w:val="1"/>
        </w:rPr>
        <w:t>17.</w:t>
      </w:r>
      <w:r w:rsidRPr="00095AD0">
        <w:rPr>
          <w:spacing w:val="1"/>
        </w:rPr>
        <w:tab/>
        <w:t>Información sobre las repercusiones de la pandemia de la enfermedad por coronavirus (COVID-19) en las personas más vulnerables a la discriminación y en los diferentes grupos protegidos por la Convención, como los grupos étnicos minoritarios y los no ciudadanos. Medidas adoptadas para: a) proteger a esas personas de los efectos de la pandemia de COVID-19; b) protegerlas frente a actos discriminatorios y combatir el discurso de odio y la estigmatización vinculados a la pandemia de COVID-19; y c) mitigar el impacto socioeconómico de la pandemia de COVID-19 en esas personas y esos grupos.</w:t>
      </w:r>
    </w:p>
    <w:p w14:paraId="12298A84" w14:textId="1DC8EE80" w:rsidR="00B61DB7" w:rsidRPr="00B61DB7" w:rsidRDefault="00B61DB7" w:rsidP="00B61DB7">
      <w:pPr>
        <w:pStyle w:val="H23G"/>
      </w:pPr>
      <w:r w:rsidRPr="00B61DB7">
        <w:tab/>
      </w:r>
      <w:r>
        <w:tab/>
      </w:r>
      <w:r w:rsidRPr="00B61DB7">
        <w:t xml:space="preserve">Situación de los grupos étnicos minoritarios en la región de Nagorno-Karabaj </w:t>
      </w:r>
      <w:r>
        <w:br/>
      </w:r>
      <w:r w:rsidRPr="00B61DB7">
        <w:t>(arts. 2 y 5)</w:t>
      </w:r>
    </w:p>
    <w:p w14:paraId="5EB3A003" w14:textId="39888043" w:rsidR="00B61DB7" w:rsidRPr="00B61DB7" w:rsidRDefault="00B61DB7" w:rsidP="00B61DB7">
      <w:pPr>
        <w:pStyle w:val="SingleTxtG"/>
      </w:pPr>
      <w:r w:rsidRPr="00B61DB7">
        <w:t>18.</w:t>
      </w:r>
      <w:r w:rsidRPr="00B61DB7">
        <w:tab/>
        <w:t>Medidas para investigar, sin demora y de manera imparcial, todas las violaciones de los derechos humanos cometidas, en particular contra los grupos étnicos minoritarios, en las zonas afectadas por el conflicto de Nagorno-Karabaj, que estalló el 27 de septiembre de 2020 y finalizó el 9 de noviembre de 2020 tras el acuerdo de alto el fuego, a fin de hacer que los autores rindan cuentas y proporcionar a las víctimas una reparación y un recurso efectivos</w:t>
      </w:r>
      <w:r w:rsidRPr="00B61DB7">
        <w:rPr>
          <w:rStyle w:val="Refdenotaalpie"/>
        </w:rPr>
        <w:footnoteReference w:id="14"/>
      </w:r>
      <w:r w:rsidRPr="00B61DB7">
        <w:t>. Medidas adoptadas para promover y garantizar una solución pacífica y una paz sostenible en la región de Nagorno-Karabaj.</w:t>
      </w:r>
    </w:p>
    <w:p w14:paraId="2C0E822C" w14:textId="77777777" w:rsidR="00B61DB7" w:rsidRPr="00B61DB7" w:rsidRDefault="00B61DB7" w:rsidP="00B61DB7">
      <w:pPr>
        <w:pStyle w:val="SingleTxtG"/>
      </w:pPr>
      <w:r w:rsidRPr="00B61DB7">
        <w:t>19.</w:t>
      </w:r>
      <w:r w:rsidRPr="00B61DB7">
        <w:tab/>
        <w:t>Medidas para garantizar que el grupo minoritario de etnia armenia en la región de Nagorno-Karabaj disfrute de los derechos sociales y económicos, en particular a la salud, la vivienda adecuada, la educación y la protección social. Datos estadísticos sobre las personas que se han convertido en refugiados y desplazados internos como consecuencia del conflicto, y medidas para crear condiciones seguras para su retorno.</w:t>
      </w:r>
    </w:p>
    <w:p w14:paraId="43A4A382" w14:textId="77777777" w:rsidR="00B61DB7" w:rsidRPr="00B61DB7" w:rsidRDefault="00B61DB7" w:rsidP="00B61DB7">
      <w:pPr>
        <w:pStyle w:val="SingleTxtG"/>
      </w:pPr>
      <w:r w:rsidRPr="00B61DB7">
        <w:t>20.</w:t>
      </w:r>
      <w:r w:rsidRPr="00B61DB7">
        <w:tab/>
        <w:t>Información sobre los instrumentos existentes de consulta y diálogo con las minorías étnicas para que sus opiniones y preocupaciones se tengan en cuenta en los debates sobre las cuestiones que les afectan</w:t>
      </w:r>
      <w:r w:rsidRPr="00B61DB7">
        <w:rPr>
          <w:rStyle w:val="Refdenotaalpie"/>
        </w:rPr>
        <w:footnoteReference w:id="15"/>
      </w:r>
      <w:r w:rsidRPr="00B61DB7">
        <w:t>.</w:t>
      </w:r>
    </w:p>
    <w:p w14:paraId="1E217DAF" w14:textId="026E6C67" w:rsidR="00B61DB7" w:rsidRPr="00B61DB7" w:rsidRDefault="00B61DB7" w:rsidP="00B61DB7">
      <w:pPr>
        <w:pStyle w:val="H23G"/>
      </w:pPr>
      <w:r w:rsidRPr="00B61DB7">
        <w:tab/>
      </w:r>
      <w:r>
        <w:tab/>
      </w:r>
      <w:r w:rsidRPr="00B61DB7">
        <w:t xml:space="preserve">Educación en materia de derechos humanos para combatir los prejuicios </w:t>
      </w:r>
      <w:r>
        <w:br/>
      </w:r>
      <w:r w:rsidRPr="00B61DB7">
        <w:t>y la intolerancia (art. 7)</w:t>
      </w:r>
    </w:p>
    <w:p w14:paraId="348E4ED9" w14:textId="41955286" w:rsidR="00381C24" w:rsidRDefault="00B61DB7" w:rsidP="00B61DB7">
      <w:pPr>
        <w:pStyle w:val="SingleTxtG"/>
      </w:pPr>
      <w:r w:rsidRPr="007253F3">
        <w:t>21.</w:t>
      </w:r>
      <w:r w:rsidRPr="007253F3">
        <w:tab/>
        <w:t xml:space="preserve">Información sobre las medidas adoptadas para promover la educación en derechos humanos, también sobre la discriminación racial, en todos los planes de estudios y programas universitarios y en la formación de los docentes, así como información sobre los efectos de </w:t>
      </w:r>
      <w:r w:rsidRPr="007253F3">
        <w:lastRenderedPageBreak/>
        <w:t>esas medidas. Información actualizada sobre las actividades del Centro Internacional de Bakú para el Multiculturalismo</w:t>
      </w:r>
      <w:r w:rsidRPr="007253F3">
        <w:rPr>
          <w:rStyle w:val="Refdenotaalpie"/>
        </w:rPr>
        <w:footnoteReference w:id="16"/>
      </w:r>
      <w:r w:rsidRPr="007253F3">
        <w:t>. Medidas adoptadas para sensibilizar a la población en general, a los funcionarios, a las fuerzas del orden y a las autoridades judiciales sobre la importancia de la diversidad cultural, la tolerancia y el entendimiento interétnico.</w:t>
      </w:r>
    </w:p>
    <w:p w14:paraId="188BBDD7" w14:textId="43FEAECE" w:rsidR="00B61DB7" w:rsidRPr="00B61DB7" w:rsidRDefault="00B61DB7" w:rsidP="00B61DB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61DB7" w:rsidRPr="00B61DB7" w:rsidSect="00B61DB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0D049" w14:textId="77777777" w:rsidR="00C33D3E" w:rsidRPr="00D43FF0" w:rsidRDefault="00C33D3E" w:rsidP="00D43FF0">
      <w:pPr>
        <w:pStyle w:val="Piedepgina"/>
      </w:pPr>
    </w:p>
  </w:endnote>
  <w:endnote w:type="continuationSeparator" w:id="0">
    <w:p w14:paraId="677DA71A" w14:textId="77777777" w:rsidR="00C33D3E" w:rsidRPr="00D43FF0" w:rsidRDefault="00C33D3E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C20C5" w14:textId="2776D058" w:rsidR="00B61DB7" w:rsidRPr="00B61DB7" w:rsidRDefault="00B61DB7" w:rsidP="00B61DB7">
    <w:pPr>
      <w:pStyle w:val="Piedepgina"/>
      <w:tabs>
        <w:tab w:val="right" w:pos="9638"/>
      </w:tabs>
    </w:pPr>
    <w:r w:rsidRPr="00B61DB7">
      <w:rPr>
        <w:b/>
        <w:sz w:val="18"/>
      </w:rPr>
      <w:fldChar w:fldCharType="begin"/>
    </w:r>
    <w:r w:rsidRPr="00B61DB7">
      <w:rPr>
        <w:b/>
        <w:sz w:val="18"/>
      </w:rPr>
      <w:instrText xml:space="preserve"> PAGE  \* MERGEFORMAT </w:instrText>
    </w:r>
    <w:r w:rsidRPr="00B61DB7">
      <w:rPr>
        <w:b/>
        <w:sz w:val="18"/>
      </w:rPr>
      <w:fldChar w:fldCharType="separate"/>
    </w:r>
    <w:r w:rsidRPr="00B61DB7">
      <w:rPr>
        <w:b/>
        <w:noProof/>
        <w:sz w:val="18"/>
      </w:rPr>
      <w:t>2</w:t>
    </w:r>
    <w:r w:rsidRPr="00B61DB7">
      <w:rPr>
        <w:b/>
        <w:sz w:val="18"/>
      </w:rPr>
      <w:fldChar w:fldCharType="end"/>
    </w:r>
    <w:r>
      <w:rPr>
        <w:b/>
        <w:sz w:val="18"/>
      </w:rPr>
      <w:tab/>
    </w:r>
    <w:r>
      <w:t>GE.22-09901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039D" w14:textId="01F7EE31" w:rsidR="00B61DB7" w:rsidRPr="00B61DB7" w:rsidRDefault="00B61DB7" w:rsidP="00B61DB7">
    <w:pPr>
      <w:pStyle w:val="Piedepgina"/>
      <w:tabs>
        <w:tab w:val="right" w:pos="9638"/>
      </w:tabs>
      <w:rPr>
        <w:b/>
        <w:sz w:val="18"/>
      </w:rPr>
    </w:pPr>
    <w:r>
      <w:t>GE.22-09901</w:t>
    </w:r>
    <w:r>
      <w:tab/>
    </w:r>
    <w:r w:rsidRPr="00B61DB7">
      <w:rPr>
        <w:b/>
        <w:sz w:val="18"/>
      </w:rPr>
      <w:fldChar w:fldCharType="begin"/>
    </w:r>
    <w:r w:rsidRPr="00B61DB7">
      <w:rPr>
        <w:b/>
        <w:sz w:val="18"/>
      </w:rPr>
      <w:instrText xml:space="preserve"> PAGE  \* MERGEFORMAT </w:instrText>
    </w:r>
    <w:r w:rsidRPr="00B61DB7">
      <w:rPr>
        <w:b/>
        <w:sz w:val="18"/>
      </w:rPr>
      <w:fldChar w:fldCharType="separate"/>
    </w:r>
    <w:r w:rsidRPr="00B61DB7">
      <w:rPr>
        <w:b/>
        <w:noProof/>
        <w:sz w:val="18"/>
      </w:rPr>
      <w:t>3</w:t>
    </w:r>
    <w:r w:rsidRPr="00B61DB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FD246" w14:textId="43289588" w:rsidR="00C63C2A" w:rsidRPr="00B61DB7" w:rsidRDefault="00B61DB7" w:rsidP="00B61DB7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72132FBA" wp14:editId="5AEB24AB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22-09901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3774F5C" wp14:editId="493CD50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270622    290622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3F285" w14:textId="77777777" w:rsidR="00C33D3E" w:rsidRPr="001075E9" w:rsidRDefault="00C33D3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E55284E" w14:textId="77777777" w:rsidR="00C33D3E" w:rsidRDefault="00C33D3E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373A836" w14:textId="1037E246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1" w:history="1">
        <w:r w:rsidRPr="00F9435C">
          <w:rPr>
            <w:rStyle w:val="Hipervnculo"/>
          </w:rPr>
          <w:t>A/65/18</w:t>
        </w:r>
      </w:hyperlink>
      <w:r w:rsidRPr="00B61DB7">
        <w:t xml:space="preserve">, párr. 85. </w:t>
      </w:r>
    </w:p>
  </w:footnote>
  <w:footnote w:id="2">
    <w:p w14:paraId="67091900" w14:textId="00428EC6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2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párr. 24; y </w:t>
      </w:r>
      <w:hyperlink r:id="rId3" w:history="1">
        <w:r w:rsidRPr="00F9435C">
          <w:rPr>
            <w:rStyle w:val="Hipervnculo"/>
          </w:rPr>
          <w:t>CERD/C/AZE/10-12</w:t>
        </w:r>
      </w:hyperlink>
      <w:r w:rsidRPr="00B61DB7">
        <w:t>, párrs. 116 a 126.</w:t>
      </w:r>
    </w:p>
  </w:footnote>
  <w:footnote w:id="3">
    <w:p w14:paraId="6310F8BA" w14:textId="0EC63088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4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párr. 22; y </w:t>
      </w:r>
      <w:hyperlink r:id="rId5" w:history="1">
        <w:r w:rsidRPr="00F9435C">
          <w:rPr>
            <w:rStyle w:val="Hipervnculo"/>
          </w:rPr>
          <w:t>CERD/C/AZE/10-12</w:t>
        </w:r>
      </w:hyperlink>
      <w:r w:rsidRPr="00B61DB7">
        <w:t>, párrs. 101 a 115.</w:t>
      </w:r>
    </w:p>
  </w:footnote>
  <w:footnote w:id="4">
    <w:p w14:paraId="1D22EEB5" w14:textId="1D076B59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6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párr. 8; y </w:t>
      </w:r>
      <w:hyperlink r:id="rId7" w:history="1">
        <w:r w:rsidRPr="00F9435C">
          <w:rPr>
            <w:rStyle w:val="Hipervnculo"/>
          </w:rPr>
          <w:t>CERD/C/AZE/10-12</w:t>
        </w:r>
      </w:hyperlink>
      <w:r w:rsidRPr="00B61DB7">
        <w:t>, párrs. 34 y 35.</w:t>
      </w:r>
    </w:p>
  </w:footnote>
  <w:footnote w:id="5">
    <w:p w14:paraId="602C6840" w14:textId="6C86AAD3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8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párr. 20; y </w:t>
      </w:r>
      <w:hyperlink r:id="rId9" w:history="1">
        <w:r w:rsidRPr="00F9435C">
          <w:rPr>
            <w:rStyle w:val="Hipervnculo"/>
          </w:rPr>
          <w:t>CERD/C/AZE/10-12</w:t>
        </w:r>
      </w:hyperlink>
      <w:r w:rsidRPr="00B61DB7">
        <w:t>, párrs. 97 y 98.</w:t>
      </w:r>
    </w:p>
  </w:footnote>
  <w:footnote w:id="6">
    <w:p w14:paraId="22A83891" w14:textId="0D460F13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10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párrs. 18 y 20; y </w:t>
      </w:r>
      <w:hyperlink r:id="rId11" w:history="1">
        <w:r w:rsidRPr="00F9435C">
          <w:rPr>
            <w:rStyle w:val="Hipervnculo"/>
          </w:rPr>
          <w:t>CERD/C/AZE/10-12</w:t>
        </w:r>
      </w:hyperlink>
      <w:r w:rsidRPr="00B61DB7">
        <w:t>, párrs. 71 a 76, 88, 89 y 96.</w:t>
      </w:r>
    </w:p>
  </w:footnote>
  <w:footnote w:id="7">
    <w:p w14:paraId="2A8ED9EF" w14:textId="16F10324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12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párrs. 10 y 36; y </w:t>
      </w:r>
      <w:hyperlink r:id="rId13" w:history="1">
        <w:r w:rsidRPr="00F9435C">
          <w:rPr>
            <w:rStyle w:val="Hipervnculo"/>
          </w:rPr>
          <w:t>CERD/C/AZE/10-12</w:t>
        </w:r>
      </w:hyperlink>
      <w:r w:rsidRPr="00B61DB7">
        <w:t>, párrs. 161 a 168.</w:t>
      </w:r>
    </w:p>
  </w:footnote>
  <w:footnote w:id="8">
    <w:p w14:paraId="454B75B3" w14:textId="37124C67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14" w:history="1">
        <w:r w:rsidRPr="00F9435C">
          <w:rPr>
            <w:rStyle w:val="Hipervnculo"/>
          </w:rPr>
          <w:t>CERD/C/AZE/CO/7-9</w:t>
        </w:r>
      </w:hyperlink>
      <w:r w:rsidRPr="00B61DB7">
        <w:t>, párr. 26.</w:t>
      </w:r>
    </w:p>
  </w:footnote>
  <w:footnote w:id="9">
    <w:p w14:paraId="7AEF1FA0" w14:textId="5409DA77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r w:rsidRPr="00B61DB7">
        <w:rPr>
          <w:i/>
          <w:iCs/>
        </w:rPr>
        <w:t>Ibid.</w:t>
      </w:r>
      <w:r w:rsidRPr="00B61DB7">
        <w:t xml:space="preserve">, párrs. 12 y 20; y </w:t>
      </w:r>
      <w:hyperlink r:id="rId15" w:history="1">
        <w:r w:rsidRPr="00F9435C">
          <w:rPr>
            <w:rStyle w:val="Hipervnculo"/>
          </w:rPr>
          <w:t>CERD/C/AZE/10-12</w:t>
        </w:r>
      </w:hyperlink>
      <w:r w:rsidRPr="00B61DB7">
        <w:t>, párrs. 51 a 60.</w:t>
      </w:r>
    </w:p>
  </w:footnote>
  <w:footnote w:id="10">
    <w:p w14:paraId="429D47E4" w14:textId="6E7DB770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16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párr. 14; y </w:t>
      </w:r>
      <w:hyperlink r:id="rId17" w:history="1">
        <w:r w:rsidRPr="00F9435C">
          <w:rPr>
            <w:rStyle w:val="Hipervnculo"/>
          </w:rPr>
          <w:t>CERD/C/AZE/10-12</w:t>
        </w:r>
      </w:hyperlink>
      <w:r w:rsidRPr="00B61DB7">
        <w:t>, párrs. 61 a 66.</w:t>
      </w:r>
    </w:p>
  </w:footnote>
  <w:footnote w:id="11">
    <w:p w14:paraId="26DBDEF4" w14:textId="766CE271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18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párrs. 24 y 26; y </w:t>
      </w:r>
      <w:hyperlink r:id="rId19" w:history="1">
        <w:r w:rsidRPr="00F9435C">
          <w:rPr>
            <w:rStyle w:val="Hipervnculo"/>
          </w:rPr>
          <w:t>CERD/C/AZE/10-12</w:t>
        </w:r>
      </w:hyperlink>
      <w:r w:rsidRPr="00B61DB7">
        <w:t>, párrs. 116 a 132.</w:t>
      </w:r>
    </w:p>
  </w:footnote>
  <w:footnote w:id="12">
    <w:p w14:paraId="5C050A69" w14:textId="62ADF599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20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párr. 32; y </w:t>
      </w:r>
      <w:hyperlink r:id="rId21" w:history="1">
        <w:r w:rsidRPr="00F9435C">
          <w:rPr>
            <w:rStyle w:val="Hipervnculo"/>
          </w:rPr>
          <w:t>CERD/C/AZE/10-12</w:t>
        </w:r>
      </w:hyperlink>
      <w:r w:rsidRPr="00B61DB7">
        <w:t>, párrs. 145 a 152.</w:t>
      </w:r>
    </w:p>
  </w:footnote>
  <w:footnote w:id="13">
    <w:p w14:paraId="486D3AD5" w14:textId="7BF133D3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22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párr. 34; y </w:t>
      </w:r>
      <w:hyperlink r:id="rId23" w:history="1">
        <w:r w:rsidRPr="00F9435C">
          <w:rPr>
            <w:rStyle w:val="Hipervnculo"/>
          </w:rPr>
          <w:t>CERD/C/AZE/10-12</w:t>
        </w:r>
      </w:hyperlink>
      <w:r w:rsidRPr="00B61DB7">
        <w:t>, párrs. 153 a 160.</w:t>
      </w:r>
    </w:p>
  </w:footnote>
  <w:footnote w:id="14">
    <w:p w14:paraId="2176CB4E" w14:textId="6F5E11D9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24" w:history="1">
        <w:r w:rsidRPr="00F9435C">
          <w:rPr>
            <w:rStyle w:val="Hipervnculo"/>
          </w:rPr>
          <w:t>CERD/C/AZE/10-12</w:t>
        </w:r>
      </w:hyperlink>
      <w:r w:rsidRPr="00B61DB7">
        <w:t>, párrs. 7 a 19.</w:t>
      </w:r>
    </w:p>
  </w:footnote>
  <w:footnote w:id="15">
    <w:p w14:paraId="65624594" w14:textId="4AA78417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25" w:history="1">
        <w:r w:rsidRPr="00F9435C">
          <w:rPr>
            <w:rStyle w:val="Hipervnculo"/>
          </w:rPr>
          <w:t>CERD/C/AZE/CO/7-9</w:t>
        </w:r>
      </w:hyperlink>
      <w:r w:rsidRPr="00B61DB7">
        <w:t xml:space="preserve">, párr. 26; y </w:t>
      </w:r>
      <w:hyperlink r:id="rId26" w:history="1">
        <w:r w:rsidRPr="00F9435C">
          <w:rPr>
            <w:rStyle w:val="Hipervnculo"/>
          </w:rPr>
          <w:t>CERD/C/AZE/10-12</w:t>
        </w:r>
      </w:hyperlink>
      <w:r w:rsidRPr="00B61DB7">
        <w:t>, párrs. 127 a 132.</w:t>
      </w:r>
    </w:p>
  </w:footnote>
  <w:footnote w:id="16">
    <w:p w14:paraId="06141B3B" w14:textId="17834A9D" w:rsidR="00B61DB7" w:rsidRPr="00B61DB7" w:rsidRDefault="00B61DB7" w:rsidP="00B61DB7">
      <w:pPr>
        <w:pStyle w:val="Textonotapie"/>
      </w:pPr>
      <w:r w:rsidRPr="00B61DB7">
        <w:tab/>
      </w:r>
      <w:r w:rsidRPr="00B61DB7">
        <w:rPr>
          <w:rStyle w:val="Refdenotaalpie"/>
        </w:rPr>
        <w:footnoteRef/>
      </w:r>
      <w:r w:rsidRPr="00B61DB7">
        <w:tab/>
      </w:r>
      <w:hyperlink r:id="rId27" w:history="1">
        <w:r w:rsidRPr="00F9435C">
          <w:rPr>
            <w:rStyle w:val="Hipervnculo"/>
          </w:rPr>
          <w:t>CERD/C/AZE/10-12</w:t>
        </w:r>
      </w:hyperlink>
      <w:r w:rsidRPr="00B61DB7">
        <w:t>, párrs. 127 a 132 y 169 a 178.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1717D" w14:textId="4F78A7FC" w:rsidR="00B61DB7" w:rsidRPr="00B61DB7" w:rsidRDefault="008461E4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CERD/C/AZE/Q/10-12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BFFB" w14:textId="14A16F4F" w:rsidR="00B61DB7" w:rsidRPr="00B61DB7" w:rsidRDefault="008461E4" w:rsidP="00B61DB7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CERD/C/AZE/Q/10-12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F90A6D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EA7D2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2F29952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6E80BC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7C6F1D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FBC466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C464AE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29BD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004653A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036265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BD503430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0DFA7D3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 w:numId="35">
    <w:abstractNumId w:val="14"/>
  </w:num>
  <w:num w:numId="36">
    <w:abstractNumId w:val="11"/>
  </w:num>
  <w:num w:numId="37">
    <w:abstractNumId w:val="10"/>
  </w:num>
  <w:num w:numId="38">
    <w:abstractNumId w:val="16"/>
  </w:num>
  <w:num w:numId="39">
    <w:abstractNumId w:val="15"/>
  </w:num>
  <w:num w:numId="40">
    <w:abstractNumId w:val="13"/>
  </w:num>
  <w:num w:numId="41">
    <w:abstractNumId w:val="8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 w:numId="46">
    <w:abstractNumId w:val="9"/>
  </w:num>
  <w:num w:numId="47">
    <w:abstractNumId w:val="7"/>
  </w:num>
  <w:num w:numId="48">
    <w:abstractNumId w:val="6"/>
  </w:num>
  <w:num w:numId="49">
    <w:abstractNumId w:val="5"/>
  </w:num>
  <w:num w:numId="50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D3E"/>
    <w:rsid w:val="00006BB9"/>
    <w:rsid w:val="000107A1"/>
    <w:rsid w:val="0002339D"/>
    <w:rsid w:val="00036733"/>
    <w:rsid w:val="00095AD0"/>
    <w:rsid w:val="000B57E7"/>
    <w:rsid w:val="000F09DF"/>
    <w:rsid w:val="000F5804"/>
    <w:rsid w:val="000F61B2"/>
    <w:rsid w:val="00100EA7"/>
    <w:rsid w:val="00103A93"/>
    <w:rsid w:val="001075E9"/>
    <w:rsid w:val="00113B12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B5CEF"/>
    <w:rsid w:val="0050108D"/>
    <w:rsid w:val="0051740C"/>
    <w:rsid w:val="00572E19"/>
    <w:rsid w:val="005A51B2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7F6465"/>
    <w:rsid w:val="00834B71"/>
    <w:rsid w:val="00835E1B"/>
    <w:rsid w:val="008461E4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1DB7"/>
    <w:rsid w:val="00B62458"/>
    <w:rsid w:val="00B778C8"/>
    <w:rsid w:val="00BA3587"/>
    <w:rsid w:val="00BB36EA"/>
    <w:rsid w:val="00BD33EE"/>
    <w:rsid w:val="00C33D3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9435C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B17279"/>
  <w15:docId w15:val="{2230594C-F7D3-4142-8CE8-DB89732D3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DB7"/>
    <w:pPr>
      <w:spacing w:line="240" w:lineRule="atLeast"/>
    </w:pPr>
    <w:rPr>
      <w:rFonts w:eastAsiaTheme="minorEastAsia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B61DB7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B61DB7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B61DB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B61DB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B61DB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B61DB7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B61DB7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B61DB7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B61DB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B61DB7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B61DB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B61DB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B61DB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B61DB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B61DB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61DB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qFormat/>
    <w:rsid w:val="00B61DB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B61DB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B61DB7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61DB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61DB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B61DB7"/>
    <w:rPr>
      <w:sz w:val="16"/>
    </w:rPr>
  </w:style>
  <w:style w:type="paragraph" w:customStyle="1" w:styleId="XLargeG">
    <w:name w:val="__XLarge_G"/>
    <w:basedOn w:val="Normal"/>
    <w:next w:val="Normal"/>
    <w:rsid w:val="00B61DB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B61DB7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B61DB7"/>
    <w:pPr>
      <w:numPr>
        <w:numId w:val="3"/>
      </w:numPr>
    </w:pPr>
  </w:style>
  <w:style w:type="numbering" w:styleId="1ai">
    <w:name w:val="Outline List 1"/>
    <w:basedOn w:val="Sinlista"/>
    <w:rsid w:val="00B61DB7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B61DB7"/>
  </w:style>
  <w:style w:type="numbering" w:styleId="ArtculoSeccin">
    <w:name w:val="Outline List 3"/>
    <w:basedOn w:val="Sinlista"/>
    <w:rsid w:val="00B61DB7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B61DB7"/>
    <w:pPr>
      <w:ind w:left="4252"/>
    </w:pPr>
  </w:style>
  <w:style w:type="character" w:styleId="CitaHTML">
    <w:name w:val="HTML Cite"/>
    <w:semiHidden/>
    <w:rsid w:val="00B61DB7"/>
    <w:rPr>
      <w:i/>
      <w:iCs/>
    </w:rPr>
  </w:style>
  <w:style w:type="character" w:styleId="CdigoHTML">
    <w:name w:val="HTML Code"/>
    <w:semiHidden/>
    <w:rsid w:val="00B61DB7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B61DB7"/>
    <w:pPr>
      <w:spacing w:after="120"/>
      <w:ind w:left="283"/>
    </w:pPr>
  </w:style>
  <w:style w:type="paragraph" w:styleId="Continuarlista2">
    <w:name w:val="List Continue 2"/>
    <w:basedOn w:val="Normal"/>
    <w:semiHidden/>
    <w:rsid w:val="00B61DB7"/>
    <w:pPr>
      <w:spacing w:after="120"/>
      <w:ind w:left="566"/>
    </w:pPr>
  </w:style>
  <w:style w:type="paragraph" w:styleId="Continuarlista3">
    <w:name w:val="List Continue 3"/>
    <w:basedOn w:val="Normal"/>
    <w:semiHidden/>
    <w:rsid w:val="00B61DB7"/>
    <w:pPr>
      <w:spacing w:after="120"/>
      <w:ind w:left="849"/>
    </w:pPr>
  </w:style>
  <w:style w:type="paragraph" w:styleId="Continuarlista4">
    <w:name w:val="List Continue 4"/>
    <w:basedOn w:val="Normal"/>
    <w:semiHidden/>
    <w:rsid w:val="00B61DB7"/>
    <w:pPr>
      <w:spacing w:after="120"/>
      <w:ind w:left="1132"/>
    </w:pPr>
  </w:style>
  <w:style w:type="paragraph" w:styleId="Continuarlista5">
    <w:name w:val="List Continue 5"/>
    <w:basedOn w:val="Normal"/>
    <w:semiHidden/>
    <w:rsid w:val="00B61DB7"/>
    <w:pPr>
      <w:spacing w:after="120"/>
      <w:ind w:left="1415"/>
    </w:pPr>
  </w:style>
  <w:style w:type="character" w:styleId="DefinicinHTML">
    <w:name w:val="HTML Definition"/>
    <w:semiHidden/>
    <w:rsid w:val="00B61DB7"/>
    <w:rPr>
      <w:i/>
      <w:iCs/>
    </w:rPr>
  </w:style>
  <w:style w:type="paragraph" w:styleId="DireccinHTML">
    <w:name w:val="HTML Address"/>
    <w:basedOn w:val="Normal"/>
    <w:link w:val="DireccinHTMLCar"/>
    <w:semiHidden/>
    <w:rsid w:val="00B61DB7"/>
    <w:rPr>
      <w:i/>
      <w:iCs/>
    </w:rPr>
  </w:style>
  <w:style w:type="paragraph" w:styleId="Direccinsobre">
    <w:name w:val="envelope address"/>
    <w:basedOn w:val="Normal"/>
    <w:semiHidden/>
    <w:rsid w:val="00B61DB7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B61DB7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B61DB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B61DB7"/>
  </w:style>
  <w:style w:type="character" w:styleId="nfasis">
    <w:name w:val="Emphasis"/>
    <w:semiHidden/>
    <w:rsid w:val="00B61DB7"/>
    <w:rPr>
      <w:i/>
      <w:iCs/>
    </w:rPr>
  </w:style>
  <w:style w:type="paragraph" w:styleId="Fecha">
    <w:name w:val="Date"/>
    <w:basedOn w:val="Normal"/>
    <w:next w:val="Normal"/>
    <w:link w:val="FechaCar"/>
    <w:semiHidden/>
    <w:rsid w:val="00B61DB7"/>
  </w:style>
  <w:style w:type="paragraph" w:styleId="Firma">
    <w:name w:val="Signature"/>
    <w:basedOn w:val="Normal"/>
    <w:link w:val="FirmaCar"/>
    <w:semiHidden/>
    <w:rsid w:val="00B61DB7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B61DB7"/>
  </w:style>
  <w:style w:type="character" w:styleId="Hipervnculo">
    <w:name w:val="Hyperlink"/>
    <w:rsid w:val="00B61DB7"/>
    <w:rPr>
      <w:color w:val="0000FF"/>
      <w:u w:val="none"/>
    </w:rPr>
  </w:style>
  <w:style w:type="character" w:styleId="Hipervnculovisitado">
    <w:name w:val="FollowedHyperlink"/>
    <w:rsid w:val="00B61DB7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B61DB7"/>
    <w:rPr>
      <w:rFonts w:ascii="Courier New" w:hAnsi="Courier New" w:cs="Courier New"/>
    </w:rPr>
  </w:style>
  <w:style w:type="paragraph" w:styleId="Lista">
    <w:name w:val="List"/>
    <w:basedOn w:val="Normal"/>
    <w:semiHidden/>
    <w:rsid w:val="00B61DB7"/>
    <w:pPr>
      <w:ind w:left="283" w:hanging="283"/>
    </w:pPr>
  </w:style>
  <w:style w:type="paragraph" w:styleId="Lista2">
    <w:name w:val="List 2"/>
    <w:basedOn w:val="Normal"/>
    <w:semiHidden/>
    <w:rsid w:val="00B61DB7"/>
    <w:pPr>
      <w:ind w:left="566" w:hanging="283"/>
    </w:pPr>
  </w:style>
  <w:style w:type="paragraph" w:styleId="Lista3">
    <w:name w:val="List 3"/>
    <w:basedOn w:val="Normal"/>
    <w:semiHidden/>
    <w:rsid w:val="00B61DB7"/>
    <w:pPr>
      <w:ind w:left="849" w:hanging="283"/>
    </w:pPr>
  </w:style>
  <w:style w:type="paragraph" w:styleId="Lista4">
    <w:name w:val="List 4"/>
    <w:basedOn w:val="Normal"/>
    <w:semiHidden/>
    <w:rsid w:val="00B61DB7"/>
    <w:pPr>
      <w:ind w:left="1132" w:hanging="283"/>
    </w:pPr>
  </w:style>
  <w:style w:type="paragraph" w:styleId="Lista5">
    <w:name w:val="List 5"/>
    <w:basedOn w:val="Normal"/>
    <w:semiHidden/>
    <w:rsid w:val="00B61DB7"/>
    <w:pPr>
      <w:ind w:left="1415" w:hanging="283"/>
    </w:pPr>
  </w:style>
  <w:style w:type="paragraph" w:styleId="Listaconnmeros">
    <w:name w:val="List Number"/>
    <w:basedOn w:val="Normal"/>
    <w:semiHidden/>
    <w:rsid w:val="00B61DB7"/>
    <w:pPr>
      <w:numPr>
        <w:numId w:val="41"/>
      </w:numPr>
    </w:pPr>
  </w:style>
  <w:style w:type="paragraph" w:styleId="Listaconnmeros2">
    <w:name w:val="List Number 2"/>
    <w:basedOn w:val="Normal"/>
    <w:semiHidden/>
    <w:rsid w:val="00B61DB7"/>
    <w:pPr>
      <w:numPr>
        <w:numId w:val="42"/>
      </w:numPr>
    </w:pPr>
  </w:style>
  <w:style w:type="paragraph" w:styleId="Listaconnmeros3">
    <w:name w:val="List Number 3"/>
    <w:basedOn w:val="Normal"/>
    <w:semiHidden/>
    <w:rsid w:val="00B61DB7"/>
    <w:pPr>
      <w:numPr>
        <w:numId w:val="43"/>
      </w:numPr>
    </w:pPr>
  </w:style>
  <w:style w:type="paragraph" w:styleId="Listaconnmeros4">
    <w:name w:val="List Number 4"/>
    <w:basedOn w:val="Normal"/>
    <w:semiHidden/>
    <w:rsid w:val="00B61DB7"/>
    <w:pPr>
      <w:numPr>
        <w:numId w:val="44"/>
      </w:numPr>
    </w:pPr>
  </w:style>
  <w:style w:type="paragraph" w:styleId="Listaconnmeros5">
    <w:name w:val="List Number 5"/>
    <w:basedOn w:val="Normal"/>
    <w:semiHidden/>
    <w:rsid w:val="00B61DB7"/>
    <w:pPr>
      <w:numPr>
        <w:numId w:val="45"/>
      </w:numPr>
    </w:pPr>
  </w:style>
  <w:style w:type="paragraph" w:styleId="Listaconvietas">
    <w:name w:val="List Bullet"/>
    <w:basedOn w:val="Normal"/>
    <w:semiHidden/>
    <w:rsid w:val="00B61DB7"/>
    <w:pPr>
      <w:numPr>
        <w:numId w:val="46"/>
      </w:numPr>
    </w:pPr>
  </w:style>
  <w:style w:type="paragraph" w:styleId="Listaconvietas2">
    <w:name w:val="List Bullet 2"/>
    <w:basedOn w:val="Normal"/>
    <w:semiHidden/>
    <w:rsid w:val="00B61DB7"/>
    <w:pPr>
      <w:numPr>
        <w:numId w:val="47"/>
      </w:numPr>
    </w:pPr>
  </w:style>
  <w:style w:type="paragraph" w:styleId="Listaconvietas3">
    <w:name w:val="List Bullet 3"/>
    <w:basedOn w:val="Normal"/>
    <w:semiHidden/>
    <w:rsid w:val="00B61DB7"/>
    <w:pPr>
      <w:numPr>
        <w:numId w:val="48"/>
      </w:numPr>
    </w:pPr>
  </w:style>
  <w:style w:type="paragraph" w:styleId="Listaconvietas4">
    <w:name w:val="List Bullet 4"/>
    <w:basedOn w:val="Normal"/>
    <w:semiHidden/>
    <w:rsid w:val="00B61DB7"/>
    <w:pPr>
      <w:numPr>
        <w:numId w:val="49"/>
      </w:numPr>
    </w:pPr>
  </w:style>
  <w:style w:type="paragraph" w:styleId="Listaconvietas5">
    <w:name w:val="List Bullet 5"/>
    <w:basedOn w:val="Normal"/>
    <w:semiHidden/>
    <w:rsid w:val="00B61DB7"/>
    <w:pPr>
      <w:numPr>
        <w:numId w:val="50"/>
      </w:numPr>
    </w:pPr>
  </w:style>
  <w:style w:type="character" w:styleId="MquinadeescribirHTML">
    <w:name w:val="HTML Typewriter"/>
    <w:semiHidden/>
    <w:rsid w:val="00B61DB7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B61DB7"/>
    <w:rPr>
      <w:sz w:val="24"/>
      <w:szCs w:val="24"/>
    </w:rPr>
  </w:style>
  <w:style w:type="character" w:styleId="Nmerodelnea">
    <w:name w:val="line number"/>
    <w:basedOn w:val="Fuentedeprrafopredeter"/>
    <w:semiHidden/>
    <w:rsid w:val="00B61DB7"/>
  </w:style>
  <w:style w:type="character" w:styleId="Nmerodepgina">
    <w:name w:val="page number"/>
    <w:aliases w:val="7_G"/>
    <w:qFormat/>
    <w:rsid w:val="00B61DB7"/>
    <w:rPr>
      <w:b/>
      <w:sz w:val="18"/>
    </w:rPr>
  </w:style>
  <w:style w:type="character" w:styleId="Refdenotaalfinal">
    <w:name w:val="endnote reference"/>
    <w:aliases w:val="1_G"/>
    <w:qFormat/>
    <w:rsid w:val="00B61DB7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B61DB7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B61DB7"/>
  </w:style>
  <w:style w:type="paragraph" w:styleId="Sangra2detindependiente">
    <w:name w:val="Body Text Indent 2"/>
    <w:basedOn w:val="Normal"/>
    <w:link w:val="Sangra2detindependienteCar"/>
    <w:semiHidden/>
    <w:rsid w:val="00B61DB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B61DB7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B61DB7"/>
    <w:pPr>
      <w:spacing w:after="120"/>
      <w:ind w:left="283"/>
    </w:pPr>
  </w:style>
  <w:style w:type="paragraph" w:styleId="Sangranormal">
    <w:name w:val="Normal Indent"/>
    <w:basedOn w:val="Normal"/>
    <w:semiHidden/>
    <w:rsid w:val="00B61DB7"/>
    <w:pPr>
      <w:ind w:left="567"/>
    </w:pPr>
  </w:style>
  <w:style w:type="paragraph" w:styleId="Subttulo">
    <w:name w:val="Subtitle"/>
    <w:basedOn w:val="Normal"/>
    <w:link w:val="SubttuloCar"/>
    <w:semiHidden/>
    <w:rsid w:val="00B61DB7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B61DB7"/>
    <w:pPr>
      <w:spacing w:line="240" w:lineRule="atLeast"/>
    </w:pPr>
    <w:rPr>
      <w:rFonts w:eastAsiaTheme="minorEastAsia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B61DB7"/>
    <w:pPr>
      <w:spacing w:line="240" w:lineRule="atLeast"/>
    </w:pPr>
    <w:rPr>
      <w:rFonts w:eastAsiaTheme="minorEastAsia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B61DB7"/>
    <w:pPr>
      <w:spacing w:line="240" w:lineRule="atLeast"/>
    </w:pPr>
    <w:rPr>
      <w:rFonts w:eastAsiaTheme="minorEastAsia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B61DB7"/>
    <w:pPr>
      <w:spacing w:line="240" w:lineRule="atLeast"/>
    </w:pPr>
    <w:rPr>
      <w:rFonts w:eastAsiaTheme="minorEastAsia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B61DB7"/>
    <w:pPr>
      <w:spacing w:line="240" w:lineRule="atLeast"/>
    </w:pPr>
    <w:rPr>
      <w:rFonts w:eastAsiaTheme="minorEastAsia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B61DB7"/>
    <w:pPr>
      <w:spacing w:line="240" w:lineRule="atLeast"/>
    </w:pPr>
    <w:rPr>
      <w:rFonts w:eastAsiaTheme="minorEastAsia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B61DB7"/>
    <w:pPr>
      <w:spacing w:line="240" w:lineRule="atLeast"/>
    </w:pPr>
    <w:rPr>
      <w:rFonts w:eastAsiaTheme="minorEastAsia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B61DB7"/>
    <w:pPr>
      <w:spacing w:line="240" w:lineRule="atLeast"/>
    </w:pPr>
    <w:rPr>
      <w:rFonts w:eastAsiaTheme="minorEastAsia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B61DB7"/>
    <w:pPr>
      <w:spacing w:line="240" w:lineRule="atLeast"/>
    </w:pPr>
    <w:rPr>
      <w:rFonts w:eastAsiaTheme="minorEastAsia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B61DB7"/>
    <w:pPr>
      <w:spacing w:line="240" w:lineRule="atLeast"/>
    </w:pPr>
    <w:rPr>
      <w:rFonts w:eastAsiaTheme="minorEastAsia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B61DB7"/>
    <w:pPr>
      <w:spacing w:line="240" w:lineRule="atLeast"/>
    </w:pPr>
    <w:rPr>
      <w:rFonts w:eastAsiaTheme="minorEastAsia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B61DB7"/>
    <w:pPr>
      <w:spacing w:line="240" w:lineRule="atLeast"/>
    </w:pPr>
    <w:rPr>
      <w:rFonts w:eastAsiaTheme="minorEastAsia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B61DB7"/>
    <w:pPr>
      <w:spacing w:line="240" w:lineRule="atLeast"/>
    </w:pPr>
    <w:rPr>
      <w:rFonts w:eastAsiaTheme="minorEastAsia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B61DB7"/>
    <w:pPr>
      <w:spacing w:line="240" w:lineRule="atLeast"/>
    </w:pPr>
    <w:rPr>
      <w:rFonts w:eastAsiaTheme="minorEastAsia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B61DB7"/>
    <w:pPr>
      <w:spacing w:line="240" w:lineRule="atLeast"/>
    </w:pPr>
    <w:rPr>
      <w:rFonts w:eastAsiaTheme="minorEastAsia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B61DB7"/>
    <w:pPr>
      <w:spacing w:line="240" w:lineRule="atLeast"/>
    </w:pPr>
    <w:rPr>
      <w:rFonts w:eastAsiaTheme="minorEastAsia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B61DB7"/>
    <w:pPr>
      <w:spacing w:line="240" w:lineRule="atLeast"/>
    </w:pPr>
    <w:rPr>
      <w:rFonts w:eastAsiaTheme="minorEastAsia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B61DB7"/>
    <w:pPr>
      <w:spacing w:line="240" w:lineRule="atLeast"/>
    </w:pPr>
    <w:rPr>
      <w:rFonts w:eastAsiaTheme="minorEastAsia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B61DB7"/>
    <w:pPr>
      <w:spacing w:line="240" w:lineRule="atLeast"/>
    </w:pPr>
    <w:rPr>
      <w:rFonts w:eastAsiaTheme="minorEastAsia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B61DB7"/>
    <w:pPr>
      <w:spacing w:line="240" w:lineRule="atLeast"/>
    </w:pPr>
    <w:rPr>
      <w:rFonts w:eastAsiaTheme="minorEastAsia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B61DB7"/>
    <w:pPr>
      <w:spacing w:line="240" w:lineRule="atLeast"/>
    </w:pPr>
    <w:rPr>
      <w:rFonts w:eastAsiaTheme="minorEastAsia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B61DB7"/>
    <w:pPr>
      <w:spacing w:line="240" w:lineRule="atLeast"/>
    </w:pPr>
    <w:rPr>
      <w:rFonts w:eastAsiaTheme="minorEastAsia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B61DB7"/>
    <w:pPr>
      <w:spacing w:line="240" w:lineRule="atLeast"/>
    </w:pPr>
    <w:rPr>
      <w:rFonts w:eastAsiaTheme="minorEastAsia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B61DB7"/>
    <w:pPr>
      <w:spacing w:line="240" w:lineRule="atLeast"/>
    </w:pPr>
    <w:rPr>
      <w:rFonts w:eastAsiaTheme="minorEastAsia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B61DB7"/>
    <w:pPr>
      <w:spacing w:line="240" w:lineRule="atLeast"/>
    </w:pPr>
    <w:rPr>
      <w:rFonts w:eastAsiaTheme="minorEastAsia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B61DB7"/>
    <w:pPr>
      <w:spacing w:line="240" w:lineRule="atLeast"/>
    </w:pPr>
    <w:rPr>
      <w:rFonts w:eastAsiaTheme="minorEastAsia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B61DB7"/>
    <w:pPr>
      <w:spacing w:line="240" w:lineRule="atLeast"/>
    </w:pPr>
    <w:rPr>
      <w:rFonts w:eastAsiaTheme="minorEastAsia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B61DB7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B61DB7"/>
    <w:pPr>
      <w:spacing w:after="120"/>
      <w:ind w:left="1440" w:right="1440"/>
    </w:pPr>
  </w:style>
  <w:style w:type="character" w:styleId="Textoennegrita">
    <w:name w:val="Strong"/>
    <w:semiHidden/>
    <w:rsid w:val="00B61DB7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B61DB7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B61DB7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B61DB7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B61DB7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B61DB7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B61DB7"/>
  </w:style>
  <w:style w:type="paragraph" w:styleId="Textosinformato">
    <w:name w:val="Plain Text"/>
    <w:basedOn w:val="Normal"/>
    <w:link w:val="TextosinformatoCar"/>
    <w:semiHidden/>
    <w:rsid w:val="00B61DB7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B61DB7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B61DB7"/>
    <w:rPr>
      <w:i/>
      <w:iCs/>
    </w:rPr>
  </w:style>
  <w:style w:type="paragraph" w:customStyle="1" w:styleId="Bullet1G">
    <w:name w:val="_Bullet 1_G"/>
    <w:basedOn w:val="Normal"/>
    <w:qFormat/>
    <w:rsid w:val="00B61DB7"/>
    <w:pPr>
      <w:numPr>
        <w:numId w:val="35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B61DB7"/>
    <w:pPr>
      <w:numPr>
        <w:numId w:val="36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qFormat/>
    <w:rsid w:val="00B61DB7"/>
    <w:pPr>
      <w:numPr>
        <w:numId w:val="37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rsid w:val="007F6465"/>
    <w:rPr>
      <w:rFonts w:eastAsiaTheme="minorEastAsia"/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rFonts w:eastAsiaTheme="minorEastAsia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rFonts w:eastAsiaTheme="minorEastAsia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rFonts w:eastAsiaTheme="minorEastAsia"/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rFonts w:eastAsiaTheme="minorEastAsia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rFonts w:eastAsiaTheme="minorEastAsia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rFonts w:eastAsiaTheme="minorEastAsia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rFonts w:eastAsiaTheme="minorEastAsia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rFonts w:eastAsiaTheme="minorEastAsia"/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rFonts w:eastAsiaTheme="minorEastAsia"/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rFonts w:eastAsiaTheme="minorEastAsia"/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rFonts w:eastAsiaTheme="minorEastAsia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7F6465"/>
    <w:rPr>
      <w:rFonts w:eastAsiaTheme="minorEastAsia"/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7F6465"/>
    <w:rPr>
      <w:rFonts w:eastAsiaTheme="minorEastAsia"/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7F6465"/>
    <w:rPr>
      <w:rFonts w:eastAsiaTheme="minorEastAsia"/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rsid w:val="007F6465"/>
    <w:rPr>
      <w:rFonts w:eastAsiaTheme="minorEastAsia"/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rsid w:val="00B61DB7"/>
    <w:rPr>
      <w:rFonts w:eastAsiaTheme="minorEastAsia"/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rFonts w:eastAsiaTheme="minorEastAsia"/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eastAsiaTheme="minorEastAsia" w:hAnsi="Courier New" w:cs="Courier New"/>
      <w:lang w:val="es-ES" w:eastAsia="es-ES"/>
    </w:rPr>
  </w:style>
  <w:style w:type="character" w:styleId="nfasisintenso">
    <w:name w:val="Intense Emphasis"/>
    <w:uiPriority w:val="21"/>
    <w:rsid w:val="00B61DB7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B61DB7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B61DB7"/>
    <w:rPr>
      <w:rFonts w:eastAsiaTheme="minorEastAsia"/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eastAsiaTheme="minorEastAsia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rFonts w:eastAsiaTheme="minorEastAsia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eastAsiaTheme="minorEastAsia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rFonts w:eastAsiaTheme="minorEastAsia"/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rFonts w:eastAsiaTheme="minorEastAsia"/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eastAsiaTheme="minorEastAsia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eastAsiaTheme="minorEastAsia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customStyle="1" w:styleId="FinalLine">
    <w:name w:val="Final Line"/>
    <w:basedOn w:val="SingleTxtG"/>
    <w:qFormat/>
    <w:rsid w:val="00B61DB7"/>
    <w:pPr>
      <w:jc w:val="center"/>
    </w:pPr>
    <w:rPr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943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sp/CERD/C/AZE/CO/7-9" TargetMode="External"/><Relationship Id="rId13" Type="http://schemas.openxmlformats.org/officeDocument/2006/relationships/hyperlink" Target="http://undocs.org/sp/CERD/C/AZE/10-12" TargetMode="External"/><Relationship Id="rId18" Type="http://schemas.openxmlformats.org/officeDocument/2006/relationships/hyperlink" Target="http://undocs.org/sp/CERD/C/AZE/CO/7-9" TargetMode="External"/><Relationship Id="rId26" Type="http://schemas.openxmlformats.org/officeDocument/2006/relationships/hyperlink" Target="http://undocs.org/sp/CERD/C/AZE/10-12" TargetMode="External"/><Relationship Id="rId3" Type="http://schemas.openxmlformats.org/officeDocument/2006/relationships/hyperlink" Target="http://undocs.org/sp/CERD/C/AZE/10-12" TargetMode="External"/><Relationship Id="rId21" Type="http://schemas.openxmlformats.org/officeDocument/2006/relationships/hyperlink" Target="http://undocs.org/sp/CERD/C/AZE/10-12" TargetMode="External"/><Relationship Id="rId7" Type="http://schemas.openxmlformats.org/officeDocument/2006/relationships/hyperlink" Target="http://undocs.org/sp/CERD/C/AZE/10-12" TargetMode="External"/><Relationship Id="rId12" Type="http://schemas.openxmlformats.org/officeDocument/2006/relationships/hyperlink" Target="http://undocs.org/sp/CERD/C/AZE/CO/7-9" TargetMode="External"/><Relationship Id="rId17" Type="http://schemas.openxmlformats.org/officeDocument/2006/relationships/hyperlink" Target="http://undocs.org/sp/CERD/C/AZE/10-12" TargetMode="External"/><Relationship Id="rId25" Type="http://schemas.openxmlformats.org/officeDocument/2006/relationships/hyperlink" Target="http://undocs.org/sp/CERD/C/AZE/CO/7-9" TargetMode="External"/><Relationship Id="rId2" Type="http://schemas.openxmlformats.org/officeDocument/2006/relationships/hyperlink" Target="http://undocs.org/sp/CERD/C/AZE/CO/7-9" TargetMode="External"/><Relationship Id="rId16" Type="http://schemas.openxmlformats.org/officeDocument/2006/relationships/hyperlink" Target="http://undocs.org/sp/CERD/C/AZE/CO/7-9" TargetMode="External"/><Relationship Id="rId20" Type="http://schemas.openxmlformats.org/officeDocument/2006/relationships/hyperlink" Target="http://undocs.org/sp/CERD/C/AZE/CO/7-9" TargetMode="External"/><Relationship Id="rId1" Type="http://schemas.openxmlformats.org/officeDocument/2006/relationships/hyperlink" Target="http://undocs.org/sp/A/65/18" TargetMode="External"/><Relationship Id="rId6" Type="http://schemas.openxmlformats.org/officeDocument/2006/relationships/hyperlink" Target="http://undocs.org/sp/CERD/C/AZE/CO/7-9" TargetMode="External"/><Relationship Id="rId11" Type="http://schemas.openxmlformats.org/officeDocument/2006/relationships/hyperlink" Target="http://undocs.org/sp/CERD/C/AZE/10-12" TargetMode="External"/><Relationship Id="rId24" Type="http://schemas.openxmlformats.org/officeDocument/2006/relationships/hyperlink" Target="http://undocs.org/sp/CERD/C/AZE/10-12" TargetMode="External"/><Relationship Id="rId5" Type="http://schemas.openxmlformats.org/officeDocument/2006/relationships/hyperlink" Target="http://undocs.org/sp/CERD/C/AZE/10-12" TargetMode="External"/><Relationship Id="rId15" Type="http://schemas.openxmlformats.org/officeDocument/2006/relationships/hyperlink" Target="http://undocs.org/sp/CERD/C/AZE/10-12" TargetMode="External"/><Relationship Id="rId23" Type="http://schemas.openxmlformats.org/officeDocument/2006/relationships/hyperlink" Target="http://undocs.org/sp/CERD/C/AZE/10-12" TargetMode="External"/><Relationship Id="rId10" Type="http://schemas.openxmlformats.org/officeDocument/2006/relationships/hyperlink" Target="http://undocs.org/sp/CERD/C/AZE/CO/7-9" TargetMode="External"/><Relationship Id="rId19" Type="http://schemas.openxmlformats.org/officeDocument/2006/relationships/hyperlink" Target="http://undocs.org/sp/CERD/C/AZE/10-12" TargetMode="External"/><Relationship Id="rId4" Type="http://schemas.openxmlformats.org/officeDocument/2006/relationships/hyperlink" Target="http://undocs.org/sp/CERD/C/AZE/CO/7-9" TargetMode="External"/><Relationship Id="rId9" Type="http://schemas.openxmlformats.org/officeDocument/2006/relationships/hyperlink" Target="http://undocs.org/sp/CERD/C/AZE/10-12" TargetMode="External"/><Relationship Id="rId14" Type="http://schemas.openxmlformats.org/officeDocument/2006/relationships/hyperlink" Target="http://undocs.org/sp/CERD/C/AZE/CO/7-9" TargetMode="External"/><Relationship Id="rId22" Type="http://schemas.openxmlformats.org/officeDocument/2006/relationships/hyperlink" Target="http://undocs.org/sp/CERD/C/AZE/CO/7-9" TargetMode="External"/><Relationship Id="rId27" Type="http://schemas.openxmlformats.org/officeDocument/2006/relationships/hyperlink" Target="http://undocs.org/sp/CERD/C/AZE/10-1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60EC3-75AE-4CF0-84F3-08CE9240C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1513</Words>
  <Characters>8626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10119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CERD/C/AZE/Q/10-12</dc:title>
  <dc:subject/>
  <dc:creator>Marcel GONZALEZ-PEREZ</dc:creator>
  <cp:keywords/>
  <cp:lastModifiedBy>Luz Urquizu Marroquin</cp:lastModifiedBy>
  <cp:revision>3</cp:revision>
  <cp:lastPrinted>2022-06-29T08:11:00Z</cp:lastPrinted>
  <dcterms:created xsi:type="dcterms:W3CDTF">2022-06-29T08:11:00Z</dcterms:created>
  <dcterms:modified xsi:type="dcterms:W3CDTF">2022-06-29T08:11:00Z</dcterms:modified>
</cp:coreProperties>
</file>