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DC4" w:rsidRDefault="00816DC4" w:rsidP="00816DC4">
      <w:pPr>
        <w:spacing w:line="60" w:lineRule="exact"/>
        <w:sectPr w:rsidR="00816DC4" w:rsidSect="00816DC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1 Size =1Lang = C"/>
            <w10:wrap anchorx="page" anchory="page"/>
          </v:shape>
        </w:pict>
      </w:r>
      <w:commentRangeEnd w:id="0"/>
      <w:r>
        <w:rPr>
          <w:rStyle w:val="CommentReference"/>
        </w:rPr>
        <w:commentReference w:id="0"/>
      </w:r>
    </w:p>
    <w:p w:rsidR="00816DC4" w:rsidRDefault="00816DC4" w:rsidP="00816DC4">
      <w:pPr>
        <w:spacing w:line="60" w:lineRule="exact"/>
        <w:rPr>
          <w:rFonts w:hint="eastAsia"/>
        </w:rPr>
      </w:pPr>
    </w:p>
    <w:p w:rsidR="00EB75CC" w:rsidRDefault="00EB75CC" w:rsidP="00AD6E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EB75CC" w:rsidRDefault="00EB75CC" w:rsidP="00AD6E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第五十五届会议</w:t>
      </w:r>
    </w:p>
    <w:p w:rsidR="00EB75CC" w:rsidRDefault="00EB75CC" w:rsidP="00AD6E7C">
      <w:pPr>
        <w:pStyle w:val="SingleTxt"/>
        <w:spacing w:after="60"/>
        <w:ind w:left="0"/>
        <w:rPr>
          <w:rFonts w:hint="eastAsia"/>
        </w:rPr>
      </w:pPr>
      <w:r>
        <w:rPr>
          <w:rFonts w:hint="eastAsia"/>
        </w:rPr>
        <w:t>2013年7月8日至26日</w:t>
      </w:r>
    </w:p>
    <w:p w:rsidR="00EB75CC" w:rsidRDefault="00EB75CC" w:rsidP="00AD6E7C">
      <w:pPr>
        <w:pStyle w:val="SingleTxt"/>
        <w:spacing w:after="60"/>
        <w:ind w:left="0"/>
        <w:rPr>
          <w:rFonts w:hint="eastAsia"/>
        </w:rPr>
      </w:pPr>
      <w:r>
        <w:rPr>
          <w:rFonts w:hint="eastAsia"/>
        </w:rPr>
        <w:t>临时议程项目2</w:t>
      </w:r>
    </w:p>
    <w:p w:rsidR="00EB75CC" w:rsidRDefault="00EB75CC" w:rsidP="00AD6E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通过议程和安排工作</w:t>
      </w:r>
    </w:p>
    <w:p w:rsidR="00EB75CC" w:rsidRPr="00EB75CC" w:rsidRDefault="00EB75CC" w:rsidP="00EB75CC">
      <w:pPr>
        <w:pStyle w:val="SingleTxt"/>
        <w:spacing w:after="0" w:line="120" w:lineRule="exact"/>
        <w:ind w:left="0"/>
        <w:rPr>
          <w:rFonts w:hint="eastAsia"/>
          <w:sz w:val="10"/>
        </w:rPr>
      </w:pPr>
    </w:p>
    <w:p w:rsidR="00EB75CC" w:rsidRPr="00EB75CC" w:rsidRDefault="00EB75CC" w:rsidP="00EB75CC">
      <w:pPr>
        <w:pStyle w:val="SingleTxt"/>
        <w:spacing w:after="0" w:line="120" w:lineRule="exact"/>
        <w:ind w:left="0"/>
        <w:rPr>
          <w:rFonts w:hint="eastAsia"/>
          <w:sz w:val="10"/>
        </w:rPr>
      </w:pPr>
    </w:p>
    <w:p w:rsidR="00EB75CC" w:rsidRPr="00EB75CC" w:rsidRDefault="00EB75CC" w:rsidP="00EB75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B75CC" w:rsidRDefault="00EB75CC" w:rsidP="00EB75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临时议程</w:t>
      </w:r>
    </w:p>
    <w:p w:rsidR="00EB75CC" w:rsidRPr="00EB75CC" w:rsidRDefault="00EB75CC" w:rsidP="00EB75CC">
      <w:pPr>
        <w:pStyle w:val="SingleTxt"/>
        <w:spacing w:after="0" w:line="120" w:lineRule="exact"/>
        <w:rPr>
          <w:rFonts w:hint="eastAsia"/>
          <w:sz w:val="10"/>
        </w:rPr>
      </w:pP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1.</w:t>
      </w:r>
      <w:r>
        <w:rPr>
          <w:rFonts w:hint="eastAsia"/>
        </w:rPr>
        <w:tab/>
        <w:t>会议开幕。</w:t>
      </w:r>
    </w:p>
    <w:p w:rsidR="00EB75CC" w:rsidRDefault="00EB75CC" w:rsidP="00EB75CC">
      <w:pPr>
        <w:pStyle w:val="SingleTxt"/>
        <w:rPr>
          <w:rFonts w:hint="eastAsia"/>
        </w:rPr>
      </w:pPr>
      <w:r>
        <w:rPr>
          <w:rFonts w:hint="eastAsia"/>
        </w:rPr>
        <w:t>2.</w:t>
      </w:r>
      <w:r>
        <w:rPr>
          <w:rFonts w:hint="eastAsia"/>
        </w:rPr>
        <w:tab/>
        <w:t>通过议程和安排工作。</w:t>
      </w:r>
    </w:p>
    <w:p w:rsidR="00EB75CC" w:rsidRDefault="00EB75CC" w:rsidP="00EB75CC">
      <w:pPr>
        <w:pStyle w:val="SingleTxt"/>
        <w:rPr>
          <w:rFonts w:hint="eastAsia"/>
        </w:rPr>
      </w:pPr>
      <w:r>
        <w:rPr>
          <w:rFonts w:hint="eastAsia"/>
        </w:rPr>
        <w:t>3.</w:t>
      </w:r>
      <w:r>
        <w:rPr>
          <w:rFonts w:hint="eastAsia"/>
        </w:rPr>
        <w:tab/>
        <w:t>主席关于委员会在第五十四届和第五十五届会议之间的活动情况报告。</w:t>
      </w:r>
    </w:p>
    <w:p w:rsidR="00EB75CC" w:rsidRDefault="00EB75CC" w:rsidP="00EB75CC">
      <w:pPr>
        <w:pStyle w:val="SingleTxt"/>
        <w:rPr>
          <w:rFonts w:hint="eastAsia"/>
        </w:rPr>
      </w:pPr>
      <w:r>
        <w:rPr>
          <w:rFonts w:hint="eastAsia"/>
        </w:rPr>
        <w:t>4.</w:t>
      </w:r>
      <w:r>
        <w:rPr>
          <w:rFonts w:hint="eastAsia"/>
        </w:rPr>
        <w:tab/>
        <w:t>审议缔约国根据《消除对妇女一切形式歧视公约》第18条提交的报告。</w:t>
      </w:r>
    </w:p>
    <w:p w:rsidR="00EB75CC" w:rsidRDefault="00EB75CC" w:rsidP="00EB75CC">
      <w:pPr>
        <w:pStyle w:val="SingleTxt"/>
        <w:ind w:left="1661" w:hanging="397"/>
        <w:rPr>
          <w:rFonts w:hint="eastAsia"/>
        </w:rPr>
      </w:pPr>
      <w:r>
        <w:rPr>
          <w:rFonts w:hint="eastAsia"/>
        </w:rPr>
        <w:t>5.</w:t>
      </w:r>
      <w:r>
        <w:rPr>
          <w:rFonts w:hint="eastAsia"/>
        </w:rPr>
        <w:tab/>
        <w:t>审议缔约国根据《消除对妇女一切形式歧视公约》第18条提交的报告之后的后续行动。</w:t>
      </w:r>
    </w:p>
    <w:p w:rsidR="00EB75CC" w:rsidRDefault="00EB75CC" w:rsidP="00EB75CC">
      <w:pPr>
        <w:pStyle w:val="SingleTxt"/>
        <w:rPr>
          <w:rFonts w:hint="eastAsia"/>
        </w:rPr>
      </w:pPr>
      <w:r>
        <w:rPr>
          <w:rFonts w:hint="eastAsia"/>
        </w:rPr>
        <w:t>6.</w:t>
      </w:r>
      <w:r>
        <w:rPr>
          <w:rFonts w:hint="eastAsia"/>
        </w:rPr>
        <w:tab/>
        <w:t>《消除对妇女一切形式歧视公约》第21条和第22条的执行情况。</w:t>
      </w:r>
    </w:p>
    <w:p w:rsidR="00EB75CC" w:rsidRDefault="00EB75CC" w:rsidP="00EB75CC">
      <w:pPr>
        <w:pStyle w:val="SingleTxt"/>
        <w:rPr>
          <w:rFonts w:hint="eastAsia"/>
        </w:rPr>
      </w:pPr>
      <w:r>
        <w:rPr>
          <w:rFonts w:hint="eastAsia"/>
        </w:rPr>
        <w:t>7.</w:t>
      </w:r>
      <w:r>
        <w:rPr>
          <w:rFonts w:hint="eastAsia"/>
        </w:rPr>
        <w:tab/>
        <w:t>加快委员会工作的方式和方法。</w:t>
      </w:r>
    </w:p>
    <w:p w:rsidR="00EB75CC" w:rsidRDefault="00EB75CC" w:rsidP="00EB75CC">
      <w:pPr>
        <w:pStyle w:val="SingleTxt"/>
        <w:rPr>
          <w:rFonts w:hint="eastAsia"/>
        </w:rPr>
      </w:pPr>
      <w:r>
        <w:rPr>
          <w:rFonts w:hint="eastAsia"/>
        </w:rPr>
        <w:t>8.</w:t>
      </w:r>
      <w:r>
        <w:rPr>
          <w:rFonts w:hint="eastAsia"/>
        </w:rPr>
        <w:tab/>
        <w:t>委员会根据《消除对妇女一切形式歧视公约任择议定书》开展的活动。</w:t>
      </w:r>
    </w:p>
    <w:p w:rsidR="00EB75CC" w:rsidRDefault="00EB75CC" w:rsidP="00EB75CC">
      <w:pPr>
        <w:pStyle w:val="SingleTxt"/>
        <w:rPr>
          <w:rFonts w:hint="eastAsia"/>
        </w:rPr>
      </w:pPr>
      <w:r>
        <w:rPr>
          <w:rFonts w:hint="eastAsia"/>
        </w:rPr>
        <w:t>9.</w:t>
      </w:r>
      <w:r>
        <w:rPr>
          <w:rFonts w:hint="eastAsia"/>
        </w:rPr>
        <w:tab/>
        <w:t>委员会第五十六届会议临时议程。</w:t>
      </w:r>
    </w:p>
    <w:p w:rsidR="00EB75CC" w:rsidRDefault="00EB75CC" w:rsidP="00EB75CC">
      <w:pPr>
        <w:pStyle w:val="SingleTxt"/>
        <w:rPr>
          <w:rFonts w:hint="eastAsia"/>
        </w:rPr>
      </w:pPr>
      <w:r>
        <w:rPr>
          <w:rFonts w:hint="eastAsia"/>
        </w:rPr>
        <w:t>10.</w:t>
      </w:r>
      <w:r>
        <w:rPr>
          <w:rFonts w:hint="eastAsia"/>
        </w:rPr>
        <w:tab/>
        <w:t>通过委员会第五十五届会议报告。</w:t>
      </w:r>
    </w:p>
    <w:p w:rsidR="00EB75CC" w:rsidRPr="00EB75CC" w:rsidRDefault="00EB75CC" w:rsidP="00EB75CC">
      <w:pPr>
        <w:pStyle w:val="SingleTxt"/>
        <w:spacing w:after="0" w:line="120" w:lineRule="exact"/>
        <w:rPr>
          <w:rFonts w:hint="eastAsia"/>
          <w:sz w:val="10"/>
        </w:rPr>
      </w:pPr>
    </w:p>
    <w:p w:rsidR="00EB75CC" w:rsidRDefault="00EB75CC" w:rsidP="00EB75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说明</w:t>
      </w:r>
    </w:p>
    <w:p w:rsidR="00EB75CC" w:rsidRPr="00EB75CC" w:rsidRDefault="00EB75CC" w:rsidP="00EB75CC">
      <w:pPr>
        <w:pStyle w:val="SingleTxt"/>
        <w:spacing w:after="0" w:line="120" w:lineRule="exact"/>
        <w:rPr>
          <w:rFonts w:hint="eastAsia"/>
          <w:sz w:val="10"/>
        </w:rPr>
      </w:pP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w:t>
      </w:r>
      <w:r>
        <w:rPr>
          <w:rFonts w:hint="eastAsia"/>
        </w:rPr>
        <w:tab/>
        <w:t>会议开幕</w:t>
      </w: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ab/>
        <w:t>消除对妇女歧视委员会第五十五届会议将由委员会主席主持开幕。</w:t>
      </w: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w:t>
      </w:r>
      <w:r>
        <w:rPr>
          <w:rFonts w:hint="eastAsia"/>
        </w:rPr>
        <w:tab/>
        <w:t>通过议程和安排工作</w:t>
      </w: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ab/>
        <w:t>议事规则第9条规定，任何一届会议临时议程上的第一个实质性项目应为通过议程。第7条规定，每届会议临时议程应由秘书长按照《公约》第17条至第22条的相关规定，与委员会主席协商拟订。</w:t>
      </w:r>
    </w:p>
    <w:p w:rsidR="00EB75CC" w:rsidRDefault="00EB75CC" w:rsidP="00EB75CC">
      <w:pPr>
        <w:pStyle w:val="SingleTxt"/>
        <w:rPr>
          <w:rFonts w:hint="eastAsia"/>
        </w:rPr>
      </w:pPr>
      <w:r>
        <w:rPr>
          <w:rFonts w:hint="eastAsia"/>
        </w:rPr>
        <w:tab/>
        <w:t>委员会第五十四届会议核可了第五十五届会议的临时议程。</w:t>
      </w: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3.</w:t>
      </w:r>
      <w:r>
        <w:rPr>
          <w:rFonts w:hint="eastAsia"/>
        </w:rPr>
        <w:tab/>
        <w:t>主席关于委员会在第五十四届和第五十五届会议之间的活动情况报告</w:t>
      </w: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ab/>
        <w:t>在项目3下，主席将向委员会简要介绍上一届会议以来涉及委员会工作的活动和事件。</w:t>
      </w:r>
    </w:p>
    <w:p w:rsidR="00EB75CC" w:rsidRPr="00EB75CC" w:rsidRDefault="00EB75CC" w:rsidP="00EB75CC">
      <w:pPr>
        <w:pStyle w:val="SingleTxt"/>
        <w:rPr>
          <w:rFonts w:ascii="SimHei" w:eastAsia="SimHei" w:hint="eastAsia"/>
        </w:rPr>
      </w:pPr>
      <w:r w:rsidRPr="00EB75CC">
        <w:rPr>
          <w:rFonts w:ascii="SimHei" w:eastAsia="SimHei" w:hint="eastAsia"/>
        </w:rPr>
        <w:t>文件</w:t>
      </w:r>
    </w:p>
    <w:p w:rsidR="00EB75CC" w:rsidRDefault="00EB75CC" w:rsidP="00EB75CC">
      <w:pPr>
        <w:pStyle w:val="SingleTxt"/>
        <w:rPr>
          <w:rFonts w:hint="eastAsia"/>
        </w:rPr>
      </w:pPr>
      <w:r>
        <w:rPr>
          <w:rFonts w:hint="eastAsia"/>
        </w:rPr>
        <w:t>临时议程和说明(CEDAW/C/55/1)</w:t>
      </w: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4.</w:t>
      </w:r>
      <w:r>
        <w:rPr>
          <w:rFonts w:hint="eastAsia"/>
        </w:rPr>
        <w:tab/>
        <w:t>审议缔约国根据《消除对妇女一切形式歧视公约》第18条提交的报告</w:t>
      </w: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ab/>
        <w:t>《公约》第18条规定，《公约》缔约国应就本国实行《公约》各项规定所采取的立法、司法、行政或其他措施，以及在这方面取得的其他进展，向秘书长提交报告，供委员会审议。报告应在《公约》对本国生效后一年内提出，之后应至少每四年提交一次，以及在委员会要求时提交。</w:t>
      </w:r>
    </w:p>
    <w:p w:rsidR="00EB75CC" w:rsidRDefault="00EB75CC" w:rsidP="00EB75CC">
      <w:pPr>
        <w:pStyle w:val="SingleTxt"/>
        <w:rPr>
          <w:rFonts w:hint="eastAsia"/>
        </w:rPr>
      </w:pPr>
      <w:r>
        <w:rPr>
          <w:rFonts w:hint="eastAsia"/>
        </w:rPr>
        <w:tab/>
        <w:t>委员会排定第五十五届会议审议以下国家的报告：阿富汗、波斯尼亚和黑塞哥维那、佛得角、古巴、刚果民主共和国、多米尼加共和国、塞尔维亚和大不列颠及北爱尔兰联合王国。</w:t>
      </w:r>
    </w:p>
    <w:p w:rsidR="00EB75CC" w:rsidRDefault="00EB75CC" w:rsidP="00EB75CC">
      <w:pPr>
        <w:pStyle w:val="SingleTxt"/>
        <w:rPr>
          <w:rFonts w:hint="eastAsia"/>
        </w:rPr>
      </w:pPr>
      <w:r>
        <w:rPr>
          <w:rFonts w:hint="eastAsia"/>
        </w:rPr>
        <w:tab/>
        <w:t>议事规则第51条规定，缔约国代表应出席委员会审查本国报告的会议，参加就本国报告进行的讨论并回答问题。</w:t>
      </w:r>
    </w:p>
    <w:p w:rsidR="00EB75CC" w:rsidRDefault="00EB75CC" w:rsidP="00EB75CC">
      <w:pPr>
        <w:pStyle w:val="SingleTxt"/>
        <w:rPr>
          <w:rFonts w:hint="eastAsia"/>
        </w:rPr>
      </w:pPr>
      <w:r>
        <w:rPr>
          <w:rFonts w:hint="eastAsia"/>
        </w:rPr>
        <w:tab/>
        <w:t>议事规则第49条规定秘书长在每届会议上将未收到缔约国根据《公约》第18条须提交的任何报告的情况通知委员会。秘书长还向委员会提供《公约》缔约国已提交的报告清单以及《公约》缔约国已提交但委员会尚未审议的报告清单。</w:t>
      </w:r>
    </w:p>
    <w:p w:rsidR="00EB75CC" w:rsidRDefault="00EB75CC" w:rsidP="00EB75CC">
      <w:pPr>
        <w:pStyle w:val="SingleTxt"/>
        <w:rPr>
          <w:rFonts w:hint="eastAsia"/>
        </w:rPr>
      </w:pPr>
      <w:r>
        <w:rPr>
          <w:rFonts w:hint="eastAsia"/>
        </w:rPr>
        <w:tab/>
        <w:t>委员会第五十五届会议将备有关于缔约国根据《公约》第18条提交逾期报告情况的报告。</w:t>
      </w:r>
    </w:p>
    <w:p w:rsidR="00EB75CC" w:rsidRDefault="00EB75CC" w:rsidP="00EB75CC">
      <w:pPr>
        <w:pStyle w:val="SingleTxt"/>
        <w:rPr>
          <w:rFonts w:hint="eastAsia"/>
        </w:rPr>
      </w:pPr>
      <w:r>
        <w:rPr>
          <w:rFonts w:hint="eastAsia"/>
        </w:rPr>
        <w:tab/>
        <w:t>每届会议召开之前举行委员会会前工作组会议，拟订与报告有关的议题和问题清单，在审议缔约国报告的会议举行之前送交报告待审国。第五十五届会议的会前工作组于2012年10月22日至25日在日内瓦举行会议。应指出由于10月26日是联合国法定假日，会前工作组举行了四天会议。委员会将收到会前工作组的报告(CEDAW/C/PSWG/55/1)，以及缔约国对工作组所拟定的议题和问题清单作出的答复。</w:t>
      </w:r>
    </w:p>
    <w:p w:rsidR="00EB75CC" w:rsidRDefault="00EB75CC" w:rsidP="00EB75CC">
      <w:pPr>
        <w:pStyle w:val="SingleTxt"/>
        <w:rPr>
          <w:rFonts w:ascii="Times New Roman" w:eastAsia="SimHei"/>
        </w:rPr>
      </w:pPr>
    </w:p>
    <w:p w:rsidR="00EB75CC" w:rsidRPr="00EB75CC" w:rsidRDefault="00EB75CC" w:rsidP="00EB75CC">
      <w:pPr>
        <w:pStyle w:val="SingleTxt"/>
        <w:rPr>
          <w:rFonts w:ascii="SimHei" w:eastAsia="SimHei" w:hint="eastAsia"/>
        </w:rPr>
      </w:pPr>
      <w:r w:rsidRPr="00EB75CC">
        <w:rPr>
          <w:rFonts w:ascii="SimHei" w:eastAsia="SimHei" w:hint="eastAsia"/>
        </w:rPr>
        <w:t>文件</w:t>
      </w:r>
    </w:p>
    <w:p w:rsidR="00EB75CC" w:rsidRDefault="00EB75CC" w:rsidP="00EB75C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报告</w:t>
      </w: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阿富汗的初次和第二次合并定期报告(CEDAW/C/AFG/1-2)</w:t>
      </w:r>
    </w:p>
    <w:p w:rsidR="00EB75CC" w:rsidRDefault="00EB75CC" w:rsidP="00EB75CC">
      <w:pPr>
        <w:pStyle w:val="SingleTxt"/>
        <w:rPr>
          <w:rFonts w:hint="eastAsia"/>
        </w:rPr>
      </w:pPr>
      <w:r>
        <w:rPr>
          <w:rFonts w:hint="eastAsia"/>
        </w:rPr>
        <w:t>波斯尼亚和黑塞哥维那的第四和第五次合并定期报告(CEDAW/C/BIH/4-5)</w:t>
      </w:r>
    </w:p>
    <w:p w:rsidR="00EB75CC" w:rsidRDefault="00EB75CC" w:rsidP="00EB75CC">
      <w:pPr>
        <w:pStyle w:val="SingleTxt"/>
        <w:rPr>
          <w:rFonts w:hint="eastAsia"/>
        </w:rPr>
      </w:pPr>
      <w:r>
        <w:rPr>
          <w:rFonts w:hint="eastAsia"/>
        </w:rPr>
        <w:t>佛得角的第七和第八次合并定期报告(CEDAW/C/CPV/7-8)</w:t>
      </w:r>
    </w:p>
    <w:p w:rsidR="00EB75CC" w:rsidRDefault="00EB75CC" w:rsidP="00EB75CC">
      <w:pPr>
        <w:pStyle w:val="SingleTxt"/>
        <w:rPr>
          <w:rFonts w:hint="eastAsia"/>
        </w:rPr>
      </w:pPr>
      <w:r>
        <w:rPr>
          <w:rFonts w:hint="eastAsia"/>
        </w:rPr>
        <w:t>古巴的第七和第八次合并定期报告(CEDAW/C/CUB/7-8)</w:t>
      </w:r>
    </w:p>
    <w:p w:rsidR="00EB75CC" w:rsidRDefault="00EB75CC" w:rsidP="00EB75CC">
      <w:pPr>
        <w:pStyle w:val="SingleTxt"/>
        <w:rPr>
          <w:rFonts w:hint="eastAsia"/>
        </w:rPr>
      </w:pPr>
      <w:r>
        <w:rPr>
          <w:rFonts w:hint="eastAsia"/>
        </w:rPr>
        <w:t>刚果民主共和国的第六和第七次合并定期报告(CEDAW/C/COD/6-7)</w:t>
      </w:r>
    </w:p>
    <w:p w:rsidR="00EB75CC" w:rsidRDefault="00EB75CC" w:rsidP="00EB75CC">
      <w:pPr>
        <w:pStyle w:val="SingleTxt"/>
        <w:rPr>
          <w:rFonts w:hint="eastAsia"/>
        </w:rPr>
      </w:pPr>
      <w:r>
        <w:rPr>
          <w:rFonts w:hint="eastAsia"/>
        </w:rPr>
        <w:t>多米尼加共和国的第六和第七次合并定期报告(CEDAW/C/DOM/6-7)</w:t>
      </w:r>
    </w:p>
    <w:p w:rsidR="00EB75CC" w:rsidRDefault="00EB75CC" w:rsidP="00EB75CC">
      <w:pPr>
        <w:pStyle w:val="SingleTxt"/>
        <w:rPr>
          <w:rFonts w:hint="eastAsia"/>
        </w:rPr>
      </w:pPr>
      <w:r>
        <w:rPr>
          <w:rFonts w:hint="eastAsia"/>
        </w:rPr>
        <w:t>塞尔维亚的第二和第三次合并定期报告(CEDAW/C/SRB/2-3)</w:t>
      </w:r>
    </w:p>
    <w:p w:rsidR="00EB75CC" w:rsidRDefault="00EB75CC" w:rsidP="00EB75CC">
      <w:pPr>
        <w:pStyle w:val="SingleTxt"/>
        <w:rPr>
          <w:rFonts w:hint="eastAsia"/>
        </w:rPr>
      </w:pPr>
      <w:r>
        <w:rPr>
          <w:rFonts w:hint="eastAsia"/>
        </w:rPr>
        <w:t>大不列颠及北爱尔兰联合王国的第七次定期报告(CEDAW/C/GBR/7和Add.1和2)</w:t>
      </w:r>
    </w:p>
    <w:p w:rsidR="00EB75CC" w:rsidRPr="00EB75CC" w:rsidRDefault="00EB75CC" w:rsidP="00EB75CC">
      <w:pPr>
        <w:pStyle w:val="SingleTxt"/>
        <w:rPr>
          <w:rFonts w:ascii="KaiTi_GB2312" w:eastAsia="KaiTi_GB2312" w:hint="eastAsia"/>
        </w:rPr>
      </w:pPr>
      <w:r w:rsidRPr="00EB75CC">
        <w:rPr>
          <w:rFonts w:ascii="KaiTi_GB2312" w:eastAsia="KaiTi_GB2312" w:hint="eastAsia"/>
        </w:rPr>
        <w:t>议题和问题清单</w:t>
      </w:r>
    </w:p>
    <w:p w:rsidR="00EB75CC" w:rsidRDefault="00EB75CC" w:rsidP="00EB75CC">
      <w:pPr>
        <w:pStyle w:val="SingleTxt"/>
        <w:rPr>
          <w:rFonts w:hint="eastAsia"/>
        </w:rPr>
      </w:pPr>
      <w:r>
        <w:rPr>
          <w:rFonts w:hint="eastAsia"/>
        </w:rPr>
        <w:t>阿富汗(CEDAW/C/AFG/Q/1-2)</w:t>
      </w:r>
    </w:p>
    <w:p w:rsidR="00EB75CC" w:rsidRDefault="00EB75CC" w:rsidP="00EB75CC">
      <w:pPr>
        <w:pStyle w:val="SingleTxt"/>
        <w:rPr>
          <w:rFonts w:hint="eastAsia"/>
        </w:rPr>
      </w:pPr>
      <w:r>
        <w:rPr>
          <w:rFonts w:hint="eastAsia"/>
        </w:rPr>
        <w:t>波斯尼亚和黑塞哥维那(CEDAW/C/BIH/Q/4-5)</w:t>
      </w:r>
    </w:p>
    <w:p w:rsidR="00EB75CC" w:rsidRDefault="00EB75CC" w:rsidP="00EB75CC">
      <w:pPr>
        <w:pStyle w:val="SingleTxt"/>
        <w:rPr>
          <w:rFonts w:hint="eastAsia"/>
        </w:rPr>
      </w:pPr>
      <w:r>
        <w:rPr>
          <w:rFonts w:hint="eastAsia"/>
        </w:rPr>
        <w:t>佛得角(CEDAW/C/CPV/Q/7-8)</w:t>
      </w:r>
    </w:p>
    <w:p w:rsidR="00EB75CC" w:rsidRDefault="00EB75CC" w:rsidP="00EB75CC">
      <w:pPr>
        <w:pStyle w:val="SingleTxt"/>
        <w:rPr>
          <w:rFonts w:hint="eastAsia"/>
        </w:rPr>
      </w:pPr>
      <w:r>
        <w:rPr>
          <w:rFonts w:hint="eastAsia"/>
        </w:rPr>
        <w:t>古巴(CEDAW/C/CUB/Q/7-8)</w:t>
      </w:r>
    </w:p>
    <w:p w:rsidR="00EB75CC" w:rsidRDefault="00EB75CC" w:rsidP="00EB75CC">
      <w:pPr>
        <w:pStyle w:val="SingleTxt"/>
        <w:rPr>
          <w:rFonts w:hint="eastAsia"/>
        </w:rPr>
      </w:pPr>
      <w:r>
        <w:rPr>
          <w:rFonts w:hint="eastAsia"/>
        </w:rPr>
        <w:t>刚果民主共和国(CEDAW/C/COD/Q/6-7)</w:t>
      </w:r>
    </w:p>
    <w:p w:rsidR="00EB75CC" w:rsidRDefault="00EB75CC" w:rsidP="00EB75CC">
      <w:pPr>
        <w:pStyle w:val="SingleTxt"/>
        <w:rPr>
          <w:rFonts w:hint="eastAsia"/>
        </w:rPr>
      </w:pPr>
      <w:r>
        <w:rPr>
          <w:rFonts w:hint="eastAsia"/>
        </w:rPr>
        <w:t>多米尼加共和国(CEDAW/C/DOM/Q/6-7)</w:t>
      </w:r>
    </w:p>
    <w:p w:rsidR="00EB75CC" w:rsidRDefault="00EB75CC" w:rsidP="00EB75CC">
      <w:pPr>
        <w:pStyle w:val="SingleTxt"/>
        <w:rPr>
          <w:rFonts w:hint="eastAsia"/>
        </w:rPr>
      </w:pPr>
      <w:r>
        <w:rPr>
          <w:rFonts w:hint="eastAsia"/>
        </w:rPr>
        <w:t>塞尔维亚(CEDAW/C/SRB/Q/2-3)</w:t>
      </w:r>
    </w:p>
    <w:p w:rsidR="00EB75CC" w:rsidRDefault="00EB75CC" w:rsidP="00EB75CC">
      <w:pPr>
        <w:pStyle w:val="SingleTxt"/>
        <w:rPr>
          <w:rFonts w:hint="eastAsia"/>
        </w:rPr>
      </w:pPr>
      <w:r>
        <w:rPr>
          <w:rFonts w:hint="eastAsia"/>
        </w:rPr>
        <w:t>联合王国(CEDAW/C/GBR/Q/7)</w:t>
      </w:r>
    </w:p>
    <w:p w:rsidR="00EB75CC" w:rsidRPr="00EB75CC" w:rsidRDefault="00EB75CC" w:rsidP="00EB75CC">
      <w:pPr>
        <w:pStyle w:val="SingleTxt"/>
        <w:rPr>
          <w:rFonts w:ascii="KaiTi_GB2312" w:eastAsia="KaiTi_GB2312" w:hint="eastAsia"/>
        </w:rPr>
      </w:pPr>
      <w:r w:rsidRPr="00EB75CC">
        <w:rPr>
          <w:rFonts w:ascii="KaiTi_GB2312" w:eastAsia="KaiTi_GB2312" w:hint="eastAsia"/>
        </w:rPr>
        <w:t>对议题和问题清单的答复</w:t>
      </w:r>
    </w:p>
    <w:p w:rsidR="00EB75CC" w:rsidRDefault="00EB75CC" w:rsidP="00EB75CC">
      <w:pPr>
        <w:pStyle w:val="SingleTxt"/>
        <w:rPr>
          <w:rFonts w:hint="eastAsia"/>
        </w:rPr>
      </w:pPr>
      <w:r>
        <w:rPr>
          <w:rFonts w:hint="eastAsia"/>
        </w:rPr>
        <w:t>阿富汗(CEDAW/C/AFG/Q/1-2/Add.1)</w:t>
      </w:r>
    </w:p>
    <w:p w:rsidR="00EB75CC" w:rsidRDefault="00EB75CC" w:rsidP="00EB75CC">
      <w:pPr>
        <w:pStyle w:val="SingleTxt"/>
        <w:rPr>
          <w:rFonts w:hint="eastAsia"/>
        </w:rPr>
      </w:pPr>
      <w:r>
        <w:rPr>
          <w:rFonts w:hint="eastAsia"/>
        </w:rPr>
        <w:t>波斯尼亚和黑塞哥维那(CEDAW/C/BIH/Q/4-5/Add.1)</w:t>
      </w:r>
    </w:p>
    <w:p w:rsidR="00EB75CC" w:rsidRDefault="00EB75CC" w:rsidP="00EB75CC">
      <w:pPr>
        <w:pStyle w:val="SingleTxt"/>
        <w:rPr>
          <w:rFonts w:hint="eastAsia"/>
        </w:rPr>
      </w:pPr>
      <w:r>
        <w:rPr>
          <w:rFonts w:hint="eastAsia"/>
        </w:rPr>
        <w:t>佛得角(CEDAW/C/CPV/Q/7-8/Add.1)</w:t>
      </w:r>
    </w:p>
    <w:p w:rsidR="00EB75CC" w:rsidRDefault="00EB75CC" w:rsidP="00EB75CC">
      <w:pPr>
        <w:pStyle w:val="SingleTxt"/>
        <w:rPr>
          <w:rFonts w:hint="eastAsia"/>
        </w:rPr>
      </w:pPr>
      <w:r>
        <w:rPr>
          <w:rFonts w:hint="eastAsia"/>
        </w:rPr>
        <w:t>古巴(CEDAW/C/CUB/Q/7-8/Add.1)</w:t>
      </w:r>
    </w:p>
    <w:p w:rsidR="00EB75CC" w:rsidRDefault="00EB75CC" w:rsidP="00EB75CC">
      <w:pPr>
        <w:pStyle w:val="SingleTxt"/>
        <w:rPr>
          <w:rFonts w:hint="eastAsia"/>
        </w:rPr>
      </w:pPr>
      <w:r>
        <w:rPr>
          <w:rFonts w:hint="eastAsia"/>
        </w:rPr>
        <w:t>刚果民主共和国(CEDAW/C/COD/Q/6-7/Add.1)</w:t>
      </w:r>
    </w:p>
    <w:p w:rsidR="00EB75CC" w:rsidRDefault="00EB75CC" w:rsidP="00EB75CC">
      <w:pPr>
        <w:pStyle w:val="SingleTxt"/>
        <w:rPr>
          <w:rFonts w:hint="eastAsia"/>
        </w:rPr>
      </w:pPr>
      <w:r>
        <w:rPr>
          <w:rFonts w:hint="eastAsia"/>
        </w:rPr>
        <w:t>多米尼加共和国(CEDAW/C/DOM/Q/6-7/Add.1)</w:t>
      </w:r>
    </w:p>
    <w:p w:rsidR="00EB75CC" w:rsidRDefault="00EB75CC" w:rsidP="00EB75CC">
      <w:pPr>
        <w:pStyle w:val="SingleTxt"/>
        <w:rPr>
          <w:rFonts w:hint="eastAsia"/>
        </w:rPr>
      </w:pPr>
      <w:r>
        <w:rPr>
          <w:rFonts w:hint="eastAsia"/>
        </w:rPr>
        <w:t>塞尔维亚(CEDAW/C/SRB/Q/2-3/Add.1)</w:t>
      </w:r>
    </w:p>
    <w:p w:rsidR="00EB75CC" w:rsidRDefault="00EB75CC" w:rsidP="00EB75CC">
      <w:pPr>
        <w:pStyle w:val="SingleTxt"/>
        <w:rPr>
          <w:rFonts w:hint="eastAsia"/>
        </w:rPr>
      </w:pPr>
      <w:r>
        <w:rPr>
          <w:rFonts w:hint="eastAsia"/>
        </w:rPr>
        <w:t>联合王国(CEDAW/C/GBR/Q/7/Add.1)</w:t>
      </w: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5.</w:t>
      </w:r>
      <w:r>
        <w:rPr>
          <w:rFonts w:hint="eastAsia"/>
        </w:rPr>
        <w:tab/>
        <w:t>审议缔约国根据《消除对妇女一切形式歧视公约》第18条提交的报告之后的后续行动</w:t>
      </w: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ab/>
        <w:t>委员会第四十七届会议决定，在议程上增加一个项目——“审议缔约国根据《消除对妇女一切形式歧视公约》第18条提交的报告之后的后续行动”。</w:t>
      </w:r>
    </w:p>
    <w:p w:rsidR="00EB75CC" w:rsidRDefault="00EB75CC" w:rsidP="00EB75CC">
      <w:pPr>
        <w:pStyle w:val="SingleTxt"/>
        <w:rPr>
          <w:rFonts w:hint="eastAsia"/>
        </w:rPr>
      </w:pPr>
      <w:r>
        <w:rPr>
          <w:rFonts w:hint="eastAsia"/>
        </w:rPr>
        <w:tab/>
        <w:t>委员会将讨论结论性意见后续行动的有关事宜。</w:t>
      </w: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6.</w:t>
      </w:r>
      <w:r>
        <w:rPr>
          <w:rFonts w:hint="eastAsia"/>
        </w:rPr>
        <w:tab/>
        <w:t>《消除对妇女一切形式歧视公约》第21条和第22条的执行情况</w:t>
      </w: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ab/>
        <w:t>《公约》第21条规定，委员会可根据对所收到的缔约国报告和资料的审查结果，提出意见和一般性建议。该条还规定，这些意见和一般性建议应连同缔约国可能提出的评论，载入委员会提交大会的报告。</w:t>
      </w:r>
    </w:p>
    <w:p w:rsidR="00EB75CC" w:rsidRDefault="00EB75CC" w:rsidP="00EB75CC">
      <w:pPr>
        <w:pStyle w:val="SingleTxt"/>
        <w:rPr>
          <w:rFonts w:hint="eastAsia"/>
        </w:rPr>
      </w:pPr>
      <w:r>
        <w:rPr>
          <w:rFonts w:hint="eastAsia"/>
        </w:rPr>
        <w:tab/>
        <w:t>《公约》第22条规定，各专门机构对属于其工作范围内的《公约》各项规定，有权派代表出席关于其执行情况的审议。委员会可邀请各专门机构就在这些领域对《公约》的执行情况提出报告。</w:t>
      </w:r>
    </w:p>
    <w:p w:rsidR="00EB75CC" w:rsidRPr="00EB75CC" w:rsidRDefault="00EB75CC" w:rsidP="00EB75CC">
      <w:pPr>
        <w:pStyle w:val="SingleTxt"/>
        <w:rPr>
          <w:rFonts w:ascii="SimHei" w:eastAsia="SimHei" w:hint="eastAsia"/>
        </w:rPr>
      </w:pPr>
      <w:r w:rsidRPr="00EB75CC">
        <w:rPr>
          <w:rFonts w:ascii="SimHei" w:eastAsia="SimHei" w:hint="eastAsia"/>
        </w:rPr>
        <w:t>文件</w:t>
      </w:r>
    </w:p>
    <w:p w:rsidR="00EB75CC" w:rsidRDefault="00EB75CC" w:rsidP="00EB75CC">
      <w:pPr>
        <w:pStyle w:val="SingleTxt"/>
        <w:rPr>
          <w:rFonts w:hint="eastAsia"/>
        </w:rPr>
      </w:pPr>
      <w:r>
        <w:rPr>
          <w:rFonts w:hint="eastAsia"/>
        </w:rPr>
        <w:tab/>
        <w:t>联合国各专门机构提交的关于在其工作范围各领域执行《公约》情况的报告。</w:t>
      </w: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7.</w:t>
      </w:r>
      <w:r>
        <w:rPr>
          <w:rFonts w:hint="eastAsia"/>
        </w:rPr>
        <w:tab/>
        <w:t>加快委员会工作的方式和方法</w:t>
      </w: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ab/>
        <w:t>委员会将讨论与委员会工作方法有关的事项。</w:t>
      </w: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8.</w:t>
      </w:r>
      <w:r>
        <w:rPr>
          <w:rFonts w:hint="eastAsia"/>
        </w:rPr>
        <w:tab/>
        <w:t>委员会根据《消除对妇女一切形式歧视公约任择议定书》开展的活动</w:t>
      </w:r>
    </w:p>
    <w:p w:rsidR="00EB75CC" w:rsidRPr="00EB75CC" w:rsidRDefault="00EB75CC" w:rsidP="00EB75CC">
      <w:pPr>
        <w:pStyle w:val="SingleTxt"/>
        <w:spacing w:after="0" w:line="120" w:lineRule="exact"/>
        <w:rPr>
          <w:rFonts w:hint="eastAsia"/>
          <w:sz w:val="10"/>
        </w:rPr>
      </w:pPr>
    </w:p>
    <w:p w:rsidR="00EB75CC" w:rsidRDefault="00EB75CC" w:rsidP="00EB75CC">
      <w:pPr>
        <w:pStyle w:val="SingleTxt"/>
        <w:rPr>
          <w:rFonts w:hint="eastAsia"/>
        </w:rPr>
      </w:pPr>
      <w:r>
        <w:rPr>
          <w:rFonts w:hint="eastAsia"/>
        </w:rPr>
        <w:tab/>
        <w:t>《任择议定书》来文工作组第二十六届会议将于2013年7月4日和5日在日内瓦举行。</w:t>
      </w:r>
    </w:p>
    <w:p w:rsidR="00EB75CC" w:rsidRDefault="00EB75CC" w:rsidP="00EB75CC">
      <w:pPr>
        <w:pStyle w:val="SingleTxt"/>
        <w:rPr>
          <w:rFonts w:hint="eastAsia"/>
        </w:rPr>
      </w:pPr>
      <w:r>
        <w:rPr>
          <w:rFonts w:hint="eastAsia"/>
        </w:rPr>
        <w:tab/>
        <w:t>委员会第五十五届会议将继续根据《公约任择议定书》第2条和第8条执行任务。</w:t>
      </w: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9.</w:t>
      </w:r>
      <w:r>
        <w:rPr>
          <w:rFonts w:hint="eastAsia"/>
        </w:rPr>
        <w:tab/>
        <w:t>委员会第五十六届会议临时议程</w:t>
      </w:r>
    </w:p>
    <w:p w:rsidR="00EB75CC" w:rsidRPr="00EB75CC" w:rsidRDefault="00EB75CC" w:rsidP="00EB75CC">
      <w:pPr>
        <w:pStyle w:val="SingleTxt"/>
        <w:spacing w:after="0" w:line="120" w:lineRule="exact"/>
        <w:rPr>
          <w:rFonts w:hint="eastAsia"/>
          <w:sz w:val="10"/>
        </w:rPr>
      </w:pPr>
    </w:p>
    <w:p w:rsidR="00EB75CC" w:rsidRPr="00AD6E7C" w:rsidRDefault="00EB75CC" w:rsidP="00EB75CC">
      <w:pPr>
        <w:pStyle w:val="SingleTxt"/>
        <w:rPr>
          <w:rFonts w:ascii="SimHei" w:eastAsia="SimHei" w:hint="eastAsia"/>
        </w:rPr>
      </w:pPr>
      <w:r w:rsidRPr="00AD6E7C">
        <w:rPr>
          <w:rFonts w:ascii="SimHei" w:eastAsia="SimHei" w:hint="eastAsia"/>
        </w:rPr>
        <w:t>文件</w:t>
      </w:r>
    </w:p>
    <w:p w:rsidR="00EB75CC" w:rsidRDefault="00EB75CC" w:rsidP="00EB75CC">
      <w:pPr>
        <w:pStyle w:val="SingleTxt"/>
        <w:rPr>
          <w:rFonts w:hint="eastAsia"/>
        </w:rPr>
      </w:pPr>
      <w:r>
        <w:rPr>
          <w:rFonts w:hint="eastAsia"/>
        </w:rPr>
        <w:t>第五十六届会议临时议程(CEDAW/C/56/1)</w:t>
      </w:r>
      <w:r w:rsidR="00AD6E7C">
        <w:rPr>
          <w:rFonts w:hint="eastAsia"/>
        </w:rPr>
        <w:t>。</w:t>
      </w:r>
    </w:p>
    <w:p w:rsidR="00EB75CC" w:rsidRDefault="00EB75CC" w:rsidP="00EB7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10.</w:t>
      </w:r>
      <w:r>
        <w:rPr>
          <w:rFonts w:hint="eastAsia"/>
        </w:rPr>
        <w:tab/>
        <w:t>通过委员会第五十五届会议报告</w:t>
      </w:r>
    </w:p>
    <w:p w:rsidR="00EA31C3" w:rsidRPr="00EB75CC" w:rsidRDefault="00EB75CC" w:rsidP="00EB75CC">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EB75CC" w:rsidSect="00816DC4">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3-04-17T15:39:00Z" w:initials="Start">
    <w:p w:rsidR="00AD6E7C" w:rsidRDefault="00AD6E7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NO&gt;&gt;N1328571C&lt;&lt;ODS JOB NO&gt;&gt;</w:t>
      </w:r>
    </w:p>
    <w:p w:rsidR="00AD6E7C" w:rsidRDefault="00AD6E7C">
      <w:pPr>
        <w:pStyle w:val="CommentText"/>
      </w:pPr>
      <w:r>
        <w:t>&lt;&lt;ODS DOC SYMBOL1&gt;&gt;CEDAW/C/55/1&lt;&lt;ODS DOC SYMBOL1&gt;&gt;</w:t>
      </w:r>
    </w:p>
    <w:p w:rsidR="00AD6E7C" w:rsidRDefault="00AD6E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A60" w:rsidRDefault="00761A60">
      <w:r>
        <w:separator/>
      </w:r>
    </w:p>
  </w:endnote>
  <w:endnote w:type="continuationSeparator" w:id="0">
    <w:p w:rsidR="00761A60" w:rsidRDefault="00761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6E7C" w:rsidTr="00816DC4">
      <w:tblPrEx>
        <w:tblCellMar>
          <w:top w:w="0" w:type="dxa"/>
          <w:bottom w:w="0" w:type="dxa"/>
        </w:tblCellMar>
      </w:tblPrEx>
      <w:tc>
        <w:tcPr>
          <w:tcW w:w="5033" w:type="dxa"/>
          <w:shd w:val="clear" w:color="auto" w:fill="auto"/>
        </w:tcPr>
        <w:p w:rsidR="00AD6E7C" w:rsidRPr="00816DC4" w:rsidRDefault="00AD6E7C" w:rsidP="00816D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13-28571 (C)</w:t>
          </w:r>
          <w:r>
            <w:rPr>
              <w:b w:val="0"/>
              <w:w w:val="103"/>
              <w:sz w:val="14"/>
            </w:rPr>
            <w:fldChar w:fldCharType="end"/>
          </w:r>
        </w:p>
      </w:tc>
      <w:tc>
        <w:tcPr>
          <w:tcW w:w="5033" w:type="dxa"/>
          <w:shd w:val="clear" w:color="auto" w:fill="auto"/>
        </w:tcPr>
        <w:p w:rsidR="00AD6E7C" w:rsidRPr="00816DC4" w:rsidRDefault="00AD6E7C" w:rsidP="00816DC4">
          <w:pPr>
            <w:pStyle w:val="Footer"/>
            <w:jc w:val="left"/>
            <w:rPr>
              <w:w w:val="103"/>
            </w:rPr>
          </w:pPr>
          <w:r>
            <w:rPr>
              <w:w w:val="103"/>
            </w:rPr>
            <w:fldChar w:fldCharType="begin"/>
          </w:r>
          <w:r>
            <w:rPr>
              <w:w w:val="103"/>
            </w:rPr>
            <w:instrText xml:space="preserve"> PAGE  \* MERGEFORMAT </w:instrText>
          </w:r>
          <w:r>
            <w:rPr>
              <w:w w:val="103"/>
            </w:rPr>
            <w:fldChar w:fldCharType="separate"/>
          </w:r>
          <w:r w:rsidR="008F5A2F">
            <w:rPr>
              <w:w w:val="103"/>
            </w:rPr>
            <w:t>4</w:t>
          </w:r>
          <w:r>
            <w:rPr>
              <w:w w:val="103"/>
            </w:rPr>
            <w:fldChar w:fldCharType="end"/>
          </w:r>
        </w:p>
      </w:tc>
    </w:tr>
  </w:tbl>
  <w:p w:rsidR="00AD6E7C" w:rsidRPr="00816DC4" w:rsidRDefault="00AD6E7C" w:rsidP="00816D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6E7C" w:rsidTr="00816DC4">
      <w:tblPrEx>
        <w:tblCellMar>
          <w:top w:w="0" w:type="dxa"/>
          <w:bottom w:w="0" w:type="dxa"/>
        </w:tblCellMar>
      </w:tblPrEx>
      <w:tc>
        <w:tcPr>
          <w:tcW w:w="5033" w:type="dxa"/>
          <w:shd w:val="clear" w:color="auto" w:fill="auto"/>
        </w:tcPr>
        <w:p w:rsidR="00AD6E7C" w:rsidRPr="00816DC4" w:rsidRDefault="00AD6E7C" w:rsidP="00816DC4">
          <w:pPr>
            <w:pStyle w:val="Footer"/>
            <w:jc w:val="right"/>
          </w:pPr>
          <w:r>
            <w:fldChar w:fldCharType="begin"/>
          </w:r>
          <w:r>
            <w:instrText xml:space="preserve"> PAGE  \* MERGEFORMAT </w:instrText>
          </w:r>
          <w:r>
            <w:fldChar w:fldCharType="separate"/>
          </w:r>
          <w:r w:rsidR="008F5A2F">
            <w:t>3</w:t>
          </w:r>
          <w:r>
            <w:fldChar w:fldCharType="end"/>
          </w:r>
        </w:p>
      </w:tc>
      <w:tc>
        <w:tcPr>
          <w:tcW w:w="5033" w:type="dxa"/>
          <w:shd w:val="clear" w:color="auto" w:fill="auto"/>
        </w:tcPr>
        <w:p w:rsidR="00AD6E7C" w:rsidRPr="00816DC4" w:rsidRDefault="00AD6E7C" w:rsidP="00816DC4">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13-28571 (C)</w:t>
          </w:r>
          <w:r>
            <w:rPr>
              <w:b w:val="0"/>
              <w:w w:val="103"/>
              <w:sz w:val="14"/>
            </w:rPr>
            <w:fldChar w:fldCharType="end"/>
          </w:r>
        </w:p>
      </w:tc>
    </w:tr>
  </w:tbl>
  <w:p w:rsidR="00AD6E7C" w:rsidRPr="00816DC4" w:rsidRDefault="00AD6E7C" w:rsidP="00816D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AD6E7C" w:rsidTr="00816DC4">
      <w:tblPrEx>
        <w:tblCellMar>
          <w:top w:w="0" w:type="dxa"/>
          <w:bottom w:w="0" w:type="dxa"/>
        </w:tblCellMar>
      </w:tblPrEx>
      <w:tc>
        <w:tcPr>
          <w:tcW w:w="5033" w:type="dxa"/>
        </w:tcPr>
        <w:p w:rsidR="00AD6E7C" w:rsidRDefault="00AD6E7C" w:rsidP="00816DC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13-28571 (C)</w:t>
          </w:r>
          <w:r>
            <w:rPr>
              <w:b w:val="0"/>
              <w:sz w:val="21"/>
            </w:rPr>
            <w:fldChar w:fldCharType="end"/>
          </w:r>
          <w:r>
            <w:rPr>
              <w:b w:val="0"/>
              <w:sz w:val="21"/>
            </w:rPr>
            <w:t xml:space="preserve">    170413    </w:t>
          </w:r>
          <w:r>
            <w:rPr>
              <w:rFonts w:hint="eastAsia"/>
              <w:b w:val="0"/>
              <w:sz w:val="21"/>
            </w:rPr>
            <w:t>25</w:t>
          </w:r>
          <w:r>
            <w:rPr>
              <w:b w:val="0"/>
              <w:sz w:val="21"/>
            </w:rPr>
            <w:t>0413</w:t>
          </w:r>
        </w:p>
        <w:p w:rsidR="00AD6E7C" w:rsidRPr="00816DC4" w:rsidRDefault="00AD6E7C" w:rsidP="00816DC4">
          <w:pPr>
            <w:spacing w:before="80" w:line="210" w:lineRule="exact"/>
            <w:rPr>
              <w:rFonts w:ascii="Barcode 3 of 9 by request" w:hAnsi="Barcode 3 of 9 by request"/>
              <w:sz w:val="24"/>
            </w:rPr>
          </w:pPr>
          <w:r>
            <w:rPr>
              <w:rFonts w:ascii="Barcode 3 of 9 by request" w:hAnsi="Barcode 3 of 9 by request"/>
              <w:sz w:val="24"/>
            </w:rPr>
            <w:t>*1328571C*</w:t>
          </w:r>
        </w:p>
      </w:tc>
      <w:tc>
        <w:tcPr>
          <w:tcW w:w="3686" w:type="dxa"/>
        </w:tcPr>
        <w:p w:rsidR="00AD6E7C" w:rsidRDefault="00AD6E7C" w:rsidP="00816DC4">
          <w:pPr>
            <w:pStyle w:val="Footer"/>
            <w:jc w:val="right"/>
            <w:rPr>
              <w:b w:val="0"/>
              <w:sz w:val="21"/>
            </w:rPr>
          </w:pPr>
          <w:r w:rsidRPr="00816DC4">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AD6E7C" w:rsidRPr="00816DC4" w:rsidRDefault="00AD6E7C" w:rsidP="00816DC4">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A60" w:rsidRDefault="00761A60">
      <w:r>
        <w:separator/>
      </w:r>
    </w:p>
  </w:footnote>
  <w:footnote w:type="continuationSeparator" w:id="0">
    <w:p w:rsidR="00761A60" w:rsidRDefault="00761A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D6E7C" w:rsidTr="00816DC4">
      <w:tblPrEx>
        <w:tblCellMar>
          <w:top w:w="0" w:type="dxa"/>
          <w:bottom w:w="0" w:type="dxa"/>
        </w:tblCellMar>
      </w:tblPrEx>
      <w:trPr>
        <w:trHeight w:hRule="exact" w:val="864"/>
      </w:trPr>
      <w:tc>
        <w:tcPr>
          <w:tcW w:w="4838" w:type="dxa"/>
          <w:shd w:val="clear" w:color="auto" w:fill="auto"/>
          <w:vAlign w:val="bottom"/>
        </w:tcPr>
        <w:p w:rsidR="00AD6E7C" w:rsidRPr="00816DC4" w:rsidRDefault="00AD6E7C" w:rsidP="00816DC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 xml:space="preserve">CEDAW/C/55/1 </w:t>
          </w:r>
          <w:r>
            <w:rPr>
              <w:b/>
              <w:sz w:val="17"/>
            </w:rPr>
            <w:fldChar w:fldCharType="end"/>
          </w:r>
        </w:p>
      </w:tc>
      <w:tc>
        <w:tcPr>
          <w:tcW w:w="5033" w:type="dxa"/>
          <w:shd w:val="clear" w:color="auto" w:fill="auto"/>
          <w:vAlign w:val="bottom"/>
        </w:tcPr>
        <w:p w:rsidR="00AD6E7C" w:rsidRDefault="00AD6E7C" w:rsidP="00816DC4">
          <w:pPr>
            <w:pStyle w:val="Header"/>
          </w:pPr>
        </w:p>
      </w:tc>
    </w:tr>
  </w:tbl>
  <w:p w:rsidR="00AD6E7C" w:rsidRPr="00816DC4" w:rsidRDefault="00AD6E7C" w:rsidP="00816D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D6E7C" w:rsidTr="00816DC4">
      <w:tblPrEx>
        <w:tblCellMar>
          <w:top w:w="0" w:type="dxa"/>
          <w:bottom w:w="0" w:type="dxa"/>
        </w:tblCellMar>
      </w:tblPrEx>
      <w:trPr>
        <w:trHeight w:hRule="exact" w:val="864"/>
      </w:trPr>
      <w:tc>
        <w:tcPr>
          <w:tcW w:w="4838" w:type="dxa"/>
          <w:shd w:val="clear" w:color="auto" w:fill="auto"/>
          <w:vAlign w:val="bottom"/>
        </w:tcPr>
        <w:p w:rsidR="00AD6E7C" w:rsidRDefault="00AD6E7C" w:rsidP="00816DC4">
          <w:pPr>
            <w:pStyle w:val="Header"/>
          </w:pPr>
        </w:p>
      </w:tc>
      <w:tc>
        <w:tcPr>
          <w:tcW w:w="5033" w:type="dxa"/>
          <w:shd w:val="clear" w:color="auto" w:fill="auto"/>
          <w:vAlign w:val="bottom"/>
        </w:tcPr>
        <w:p w:rsidR="00AD6E7C" w:rsidRPr="00816DC4" w:rsidRDefault="00AD6E7C" w:rsidP="00816DC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 xml:space="preserve">CEDAW/C/55/1 </w:t>
          </w:r>
          <w:r>
            <w:rPr>
              <w:b/>
              <w:sz w:val="17"/>
            </w:rPr>
            <w:fldChar w:fldCharType="end"/>
          </w:r>
        </w:p>
      </w:tc>
    </w:tr>
  </w:tbl>
  <w:p w:rsidR="00AD6E7C" w:rsidRPr="00816DC4" w:rsidRDefault="00AD6E7C" w:rsidP="00816D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D6E7C" w:rsidTr="00816DC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D6E7C" w:rsidRDefault="00AD6E7C" w:rsidP="00816DC4">
          <w:pPr>
            <w:pStyle w:val="Header"/>
            <w:spacing w:after="120"/>
          </w:pPr>
        </w:p>
      </w:tc>
      <w:tc>
        <w:tcPr>
          <w:tcW w:w="1872" w:type="dxa"/>
          <w:tcBorders>
            <w:bottom w:val="single" w:sz="4" w:space="0" w:color="auto"/>
          </w:tcBorders>
          <w:shd w:val="clear" w:color="auto" w:fill="auto"/>
          <w:vAlign w:val="bottom"/>
        </w:tcPr>
        <w:p w:rsidR="00AD6E7C" w:rsidRPr="00816DC4" w:rsidRDefault="00AD6E7C" w:rsidP="00816DC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D6E7C" w:rsidRDefault="00AD6E7C" w:rsidP="00816DC4">
          <w:pPr>
            <w:pStyle w:val="Header"/>
            <w:spacing w:after="120"/>
          </w:pPr>
        </w:p>
      </w:tc>
      <w:tc>
        <w:tcPr>
          <w:tcW w:w="6523" w:type="dxa"/>
          <w:gridSpan w:val="3"/>
          <w:tcBorders>
            <w:bottom w:val="single" w:sz="4" w:space="0" w:color="auto"/>
          </w:tcBorders>
          <w:shd w:val="clear" w:color="auto" w:fill="auto"/>
          <w:vAlign w:val="bottom"/>
        </w:tcPr>
        <w:p w:rsidR="00AD6E7C" w:rsidRPr="00816DC4" w:rsidRDefault="00AD6E7C" w:rsidP="00816DC4">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/C/55/1 </w:t>
          </w:r>
        </w:p>
      </w:tc>
    </w:tr>
    <w:tr w:rsidR="00AD6E7C" w:rsidRPr="00816DC4" w:rsidTr="00816DC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D6E7C" w:rsidRDefault="00AD6E7C" w:rsidP="00816DC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D6E7C" w:rsidRPr="00816DC4" w:rsidRDefault="00AD6E7C" w:rsidP="00816DC4">
          <w:pPr>
            <w:pStyle w:val="Header"/>
            <w:spacing w:before="109"/>
            <w:ind w:left="-72"/>
          </w:pPr>
        </w:p>
      </w:tc>
      <w:tc>
        <w:tcPr>
          <w:tcW w:w="5227" w:type="dxa"/>
          <w:gridSpan w:val="3"/>
          <w:tcBorders>
            <w:top w:val="single" w:sz="4" w:space="0" w:color="auto"/>
            <w:bottom w:val="single" w:sz="12" w:space="0" w:color="auto"/>
          </w:tcBorders>
          <w:shd w:val="clear" w:color="auto" w:fill="auto"/>
        </w:tcPr>
        <w:p w:rsidR="00AD6E7C" w:rsidRPr="00816DC4" w:rsidRDefault="00AD6E7C" w:rsidP="00816DC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D6E7C" w:rsidRPr="00816DC4" w:rsidRDefault="00AD6E7C" w:rsidP="00816DC4">
          <w:pPr>
            <w:pStyle w:val="Header"/>
            <w:spacing w:before="109"/>
          </w:pPr>
        </w:p>
      </w:tc>
      <w:tc>
        <w:tcPr>
          <w:tcW w:w="3180" w:type="dxa"/>
          <w:gridSpan w:val="2"/>
          <w:tcBorders>
            <w:top w:val="single" w:sz="4" w:space="0" w:color="auto"/>
            <w:bottom w:val="single" w:sz="12" w:space="0" w:color="auto"/>
          </w:tcBorders>
          <w:shd w:val="clear" w:color="auto" w:fill="auto"/>
        </w:tcPr>
        <w:p w:rsidR="00AD6E7C" w:rsidRDefault="00AD6E7C" w:rsidP="00816DC4">
          <w:pPr>
            <w:spacing w:before="240" w:line="240" w:lineRule="exact"/>
            <w:rPr>
              <w:rFonts w:ascii="Times New Roman"/>
            </w:rPr>
          </w:pPr>
          <w:r>
            <w:rPr>
              <w:rFonts w:ascii="Times New Roman"/>
            </w:rPr>
            <w:t>Distr.: General</w:t>
          </w:r>
        </w:p>
        <w:p w:rsidR="00AD6E7C" w:rsidRDefault="00AD6E7C" w:rsidP="00816DC4">
          <w:pPr>
            <w:spacing w:line="240" w:lineRule="exact"/>
            <w:rPr>
              <w:rFonts w:ascii="Times New Roman"/>
            </w:rPr>
          </w:pPr>
          <w:r>
            <w:rPr>
              <w:rFonts w:ascii="Times New Roman"/>
            </w:rPr>
            <w:t>9 April 2013</w:t>
          </w:r>
        </w:p>
        <w:p w:rsidR="00AD6E7C" w:rsidRDefault="00AD6E7C" w:rsidP="00816DC4">
          <w:pPr>
            <w:spacing w:line="240" w:lineRule="exact"/>
            <w:rPr>
              <w:rFonts w:ascii="Times New Roman"/>
            </w:rPr>
          </w:pPr>
          <w:r>
            <w:rPr>
              <w:rFonts w:ascii="Times New Roman"/>
            </w:rPr>
            <w:t>Chinese</w:t>
          </w:r>
        </w:p>
        <w:p w:rsidR="00AD6E7C" w:rsidRPr="00816DC4" w:rsidRDefault="00AD6E7C" w:rsidP="00816DC4">
          <w:pPr>
            <w:spacing w:line="240" w:lineRule="exact"/>
            <w:rPr>
              <w:rFonts w:ascii="Times New Roman"/>
            </w:rPr>
          </w:pPr>
          <w:r>
            <w:rPr>
              <w:rFonts w:ascii="Times New Roman"/>
            </w:rPr>
            <w:t>Original: English</w:t>
          </w:r>
        </w:p>
      </w:tc>
    </w:tr>
  </w:tbl>
  <w:p w:rsidR="00AD6E7C" w:rsidRPr="00816DC4" w:rsidRDefault="00AD6E7C" w:rsidP="00816DC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328571*"/>
    <w:docVar w:name="CreationDt" w:val="17/04/2013 15:07:18"/>
    <w:docVar w:name="DocCategory" w:val="Doc"/>
    <w:docVar w:name="DocType" w:val="Final"/>
    <w:docVar w:name="FooterJN" w:val="13-28571 (C)"/>
    <w:docVar w:name="jobn" w:val="13-28571 (C)"/>
    <w:docVar w:name="jobnDT" w:val="13-28571 (C)   170413"/>
    <w:docVar w:name="jobnDTDT" w:val="13-28571 (C)   170413   170413"/>
    <w:docVar w:name="JobNo" w:val="1328571C"/>
    <w:docVar w:name="OandT" w:val="jia"/>
    <w:docVar w:name="sss1" w:val="CEDAW/C/55/1 "/>
    <w:docVar w:name="sss2" w:val="-"/>
    <w:docVar w:name="Symbol1" w:val="CEDAW/C/55/1 "/>
    <w:docVar w:name="Symbol2" w:val="-"/>
  </w:docVars>
  <w:rsids>
    <w:rsidRoot w:val="0084608C"/>
    <w:rsid w:val="0000347C"/>
    <w:rsid w:val="000125BC"/>
    <w:rsid w:val="0001645E"/>
    <w:rsid w:val="00021A2B"/>
    <w:rsid w:val="00036AA2"/>
    <w:rsid w:val="00037B39"/>
    <w:rsid w:val="00044CA4"/>
    <w:rsid w:val="00044EE9"/>
    <w:rsid w:val="00045EFE"/>
    <w:rsid w:val="0007337D"/>
    <w:rsid w:val="000758DF"/>
    <w:rsid w:val="00076EB8"/>
    <w:rsid w:val="00077AEE"/>
    <w:rsid w:val="00082CCB"/>
    <w:rsid w:val="00083CAB"/>
    <w:rsid w:val="0009059F"/>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42413"/>
    <w:rsid w:val="0015066B"/>
    <w:rsid w:val="00150D3A"/>
    <w:rsid w:val="00151772"/>
    <w:rsid w:val="00153D29"/>
    <w:rsid w:val="00161E69"/>
    <w:rsid w:val="00161F54"/>
    <w:rsid w:val="00170FBE"/>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4A9"/>
    <w:rsid w:val="00331221"/>
    <w:rsid w:val="0033339E"/>
    <w:rsid w:val="00346223"/>
    <w:rsid w:val="00363610"/>
    <w:rsid w:val="003649EE"/>
    <w:rsid w:val="00371BC6"/>
    <w:rsid w:val="00373A15"/>
    <w:rsid w:val="00383ACA"/>
    <w:rsid w:val="00384CB1"/>
    <w:rsid w:val="00394A02"/>
    <w:rsid w:val="003966E8"/>
    <w:rsid w:val="003C7B20"/>
    <w:rsid w:val="003D075F"/>
    <w:rsid w:val="003E4565"/>
    <w:rsid w:val="003E673F"/>
    <w:rsid w:val="003E748F"/>
    <w:rsid w:val="003E7612"/>
    <w:rsid w:val="00414423"/>
    <w:rsid w:val="00433853"/>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A175A"/>
    <w:rsid w:val="005B7338"/>
    <w:rsid w:val="005C02AB"/>
    <w:rsid w:val="005C5FC3"/>
    <w:rsid w:val="005D0F04"/>
    <w:rsid w:val="005F12F0"/>
    <w:rsid w:val="005F1AAD"/>
    <w:rsid w:val="005F3273"/>
    <w:rsid w:val="005F34A3"/>
    <w:rsid w:val="00610CF2"/>
    <w:rsid w:val="006328DE"/>
    <w:rsid w:val="006353DE"/>
    <w:rsid w:val="006479F1"/>
    <w:rsid w:val="00650BEE"/>
    <w:rsid w:val="006520FA"/>
    <w:rsid w:val="0065377D"/>
    <w:rsid w:val="00666F57"/>
    <w:rsid w:val="006740A7"/>
    <w:rsid w:val="006767D5"/>
    <w:rsid w:val="00691524"/>
    <w:rsid w:val="006926DF"/>
    <w:rsid w:val="006A654B"/>
    <w:rsid w:val="006C156C"/>
    <w:rsid w:val="006C4BB3"/>
    <w:rsid w:val="006E2924"/>
    <w:rsid w:val="006E7A26"/>
    <w:rsid w:val="006F04EF"/>
    <w:rsid w:val="006F2B3D"/>
    <w:rsid w:val="007052CC"/>
    <w:rsid w:val="00706BEB"/>
    <w:rsid w:val="007319E0"/>
    <w:rsid w:val="007345AA"/>
    <w:rsid w:val="00737B00"/>
    <w:rsid w:val="0075155C"/>
    <w:rsid w:val="00753A05"/>
    <w:rsid w:val="00757193"/>
    <w:rsid w:val="00761190"/>
    <w:rsid w:val="00761A60"/>
    <w:rsid w:val="00776537"/>
    <w:rsid w:val="00783A25"/>
    <w:rsid w:val="007877F4"/>
    <w:rsid w:val="007C74B9"/>
    <w:rsid w:val="007E1B5E"/>
    <w:rsid w:val="007E6253"/>
    <w:rsid w:val="007F2278"/>
    <w:rsid w:val="00803014"/>
    <w:rsid w:val="00805783"/>
    <w:rsid w:val="00806F57"/>
    <w:rsid w:val="00806F90"/>
    <w:rsid w:val="00816DC4"/>
    <w:rsid w:val="008246FC"/>
    <w:rsid w:val="00824C19"/>
    <w:rsid w:val="00826250"/>
    <w:rsid w:val="0083056F"/>
    <w:rsid w:val="008378D1"/>
    <w:rsid w:val="0084608C"/>
    <w:rsid w:val="00846462"/>
    <w:rsid w:val="00860742"/>
    <w:rsid w:val="0086691F"/>
    <w:rsid w:val="00880E36"/>
    <w:rsid w:val="00883DB0"/>
    <w:rsid w:val="00884C8F"/>
    <w:rsid w:val="00896D38"/>
    <w:rsid w:val="008A0216"/>
    <w:rsid w:val="008C3296"/>
    <w:rsid w:val="008C3413"/>
    <w:rsid w:val="008E2D03"/>
    <w:rsid w:val="008E7BDF"/>
    <w:rsid w:val="008F2BB5"/>
    <w:rsid w:val="008F425D"/>
    <w:rsid w:val="008F5472"/>
    <w:rsid w:val="008F5A2F"/>
    <w:rsid w:val="008F5D0F"/>
    <w:rsid w:val="009122E0"/>
    <w:rsid w:val="00913351"/>
    <w:rsid w:val="0096193C"/>
    <w:rsid w:val="009769E1"/>
    <w:rsid w:val="00977E0D"/>
    <w:rsid w:val="00982D5C"/>
    <w:rsid w:val="00986132"/>
    <w:rsid w:val="00986C04"/>
    <w:rsid w:val="009A11E3"/>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5B73"/>
    <w:rsid w:val="00A37345"/>
    <w:rsid w:val="00A40AAE"/>
    <w:rsid w:val="00A40EA9"/>
    <w:rsid w:val="00A4532A"/>
    <w:rsid w:val="00A5206D"/>
    <w:rsid w:val="00A72E47"/>
    <w:rsid w:val="00A90956"/>
    <w:rsid w:val="00A95404"/>
    <w:rsid w:val="00A968C5"/>
    <w:rsid w:val="00AA3C28"/>
    <w:rsid w:val="00AA759D"/>
    <w:rsid w:val="00AB2786"/>
    <w:rsid w:val="00AB54A4"/>
    <w:rsid w:val="00AD4308"/>
    <w:rsid w:val="00AD6E7C"/>
    <w:rsid w:val="00AF2A33"/>
    <w:rsid w:val="00B03EFA"/>
    <w:rsid w:val="00B309DD"/>
    <w:rsid w:val="00B36621"/>
    <w:rsid w:val="00B36D64"/>
    <w:rsid w:val="00B41B48"/>
    <w:rsid w:val="00B55E1D"/>
    <w:rsid w:val="00B56194"/>
    <w:rsid w:val="00B60F41"/>
    <w:rsid w:val="00B61A34"/>
    <w:rsid w:val="00B64E8E"/>
    <w:rsid w:val="00B65E8B"/>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B2B1E"/>
    <w:rsid w:val="00CC3E8B"/>
    <w:rsid w:val="00CC4E84"/>
    <w:rsid w:val="00CD5641"/>
    <w:rsid w:val="00CE64A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5B72"/>
    <w:rsid w:val="00E37EEB"/>
    <w:rsid w:val="00E710FB"/>
    <w:rsid w:val="00E806D9"/>
    <w:rsid w:val="00E82CA2"/>
    <w:rsid w:val="00E94E5A"/>
    <w:rsid w:val="00E95594"/>
    <w:rsid w:val="00EA31C3"/>
    <w:rsid w:val="00EB33AC"/>
    <w:rsid w:val="00EB75CC"/>
    <w:rsid w:val="00EC669D"/>
    <w:rsid w:val="00EC6F21"/>
    <w:rsid w:val="00EE0913"/>
    <w:rsid w:val="00F01440"/>
    <w:rsid w:val="00F020E7"/>
    <w:rsid w:val="00F03676"/>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SingleTx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1</Pages>
  <Words>393</Words>
  <Characters>2246</Characters>
  <Application>Microsoft Office Word</Application>
  <DocSecurity>4</DocSecurity>
  <Lines>18</Lines>
  <Paragraphs>5</Paragraphs>
  <ScaleCrop>false</ScaleCrop>
  <Company>United Nations</Company>
  <LinksUpToDate>false</LinksUpToDate>
  <CharactersWithSpaces>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CTPU User</cp:lastModifiedBy>
  <cp:revision>19</cp:revision>
  <cp:lastPrinted>2013-04-17T14:39:00Z</cp:lastPrinted>
  <dcterms:created xsi:type="dcterms:W3CDTF">2013-04-17T14:06:00Z</dcterms:created>
  <dcterms:modified xsi:type="dcterms:W3CDTF">2013-04-17T16:50:00Z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1328571</vt:lpwstr>
  </property>
  <property fmtid="{D5CDD505-2E9C-101B-9397-08002B2CF9AE}" pid="3" name="Symbol1">
    <vt:lpwstr>CEDAW/C/55/1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