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739F4" w14:textId="77777777" w:rsidR="00FD0B9B" w:rsidRDefault="00FD0B9B" w:rsidP="00FD0B9B">
      <w:pPr>
        <w:spacing w:line="60" w:lineRule="exact"/>
        <w:rPr>
          <w:color w:val="010000"/>
          <w:sz w:val="2"/>
        </w:rPr>
        <w:sectPr w:rsidR="00FD0B9B" w:rsidSect="0097164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046D64F8" w14:textId="28DF805C" w:rsidR="00971646" w:rsidRDefault="00971646" w:rsidP="0097164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71646">
        <w:t>Комитет по ликвидации дискриминации</w:t>
      </w:r>
      <w:r>
        <w:br/>
      </w:r>
      <w:r w:rsidRPr="00971646">
        <w:t>в отношении женщин</w:t>
      </w:r>
    </w:p>
    <w:p w14:paraId="4594F0BB" w14:textId="7DE40248" w:rsidR="00971646" w:rsidRPr="00971646" w:rsidRDefault="00971646" w:rsidP="00971646">
      <w:pPr>
        <w:pStyle w:val="SingleTxt"/>
        <w:spacing w:after="0" w:line="120" w:lineRule="exact"/>
        <w:rPr>
          <w:sz w:val="10"/>
        </w:rPr>
      </w:pPr>
    </w:p>
    <w:p w14:paraId="2F3887E2" w14:textId="26C1A92B" w:rsidR="00971646" w:rsidRPr="00971646" w:rsidRDefault="00971646" w:rsidP="00971646">
      <w:pPr>
        <w:pStyle w:val="SingleTxt"/>
        <w:spacing w:after="0" w:line="120" w:lineRule="exact"/>
        <w:rPr>
          <w:sz w:val="10"/>
        </w:rPr>
      </w:pPr>
    </w:p>
    <w:p w14:paraId="6E8395B5" w14:textId="49133EB5" w:rsidR="00971646" w:rsidRPr="00971646" w:rsidRDefault="00971646" w:rsidP="00971646">
      <w:pPr>
        <w:pStyle w:val="SingleTxt"/>
        <w:spacing w:after="0" w:line="120" w:lineRule="exact"/>
        <w:rPr>
          <w:sz w:val="10"/>
        </w:rPr>
      </w:pPr>
    </w:p>
    <w:p w14:paraId="73C72115" w14:textId="6F4E255B" w:rsidR="00971646" w:rsidRDefault="00971646" w:rsidP="00971646">
      <w:pPr>
        <w:pStyle w:val="TitleHCH"/>
        <w:ind w:right="1380"/>
      </w:pPr>
      <w:r w:rsidRPr="00971646">
        <w:tab/>
      </w:r>
      <w:r w:rsidRPr="00971646">
        <w:tab/>
        <w:t>Информация, полученная от Туркменистана, о</w:t>
      </w:r>
      <w:r>
        <w:rPr>
          <w:lang w:val="en-US"/>
        </w:rPr>
        <w:t> </w:t>
      </w:r>
      <w:r w:rsidRPr="00971646">
        <w:t>последующей деятельности по выполнению рекомендаций, содержащихся в заключительных замечаниях по его пятому периодическому докладу</w:t>
      </w:r>
      <w:r w:rsidRPr="00971646">
        <w:rPr>
          <w:b w:val="0"/>
          <w:sz w:val="20"/>
        </w:rPr>
        <w:footnoteReference w:customMarkFollows="1" w:id="1"/>
        <w:t>*</w:t>
      </w:r>
    </w:p>
    <w:p w14:paraId="5F90EC32" w14:textId="55C213DA" w:rsidR="00971646" w:rsidRPr="00971646" w:rsidRDefault="00971646" w:rsidP="00971646">
      <w:pPr>
        <w:pStyle w:val="SingleTxt"/>
        <w:spacing w:after="0" w:line="120" w:lineRule="exact"/>
        <w:rPr>
          <w:sz w:val="10"/>
        </w:rPr>
      </w:pPr>
    </w:p>
    <w:p w14:paraId="11807C4C" w14:textId="092D2AE2" w:rsidR="00971646" w:rsidRPr="00971646" w:rsidRDefault="00971646" w:rsidP="00971646">
      <w:pPr>
        <w:pStyle w:val="SingleTxt"/>
        <w:spacing w:after="0" w:line="120" w:lineRule="exact"/>
        <w:rPr>
          <w:sz w:val="10"/>
        </w:rPr>
      </w:pPr>
    </w:p>
    <w:p w14:paraId="394D1C2A" w14:textId="77777777" w:rsidR="00971646" w:rsidRPr="00DF7F59" w:rsidRDefault="00971646" w:rsidP="00971646">
      <w:pPr>
        <w:pStyle w:val="SingleTxt"/>
        <w:jc w:val="right"/>
      </w:pPr>
      <w:r w:rsidRPr="00DF7F59">
        <w:t>[</w:t>
      </w:r>
      <w:r w:rsidRPr="00971646">
        <w:t>Дата получения</w:t>
      </w:r>
      <w:r w:rsidRPr="00DF7F59">
        <w:t xml:space="preserve">: 20 </w:t>
      </w:r>
      <w:r w:rsidRPr="00971646">
        <w:t>июля</w:t>
      </w:r>
      <w:r w:rsidRPr="00DF7F59">
        <w:t xml:space="preserve"> 2020</w:t>
      </w:r>
      <w:r w:rsidRPr="00971646">
        <w:t xml:space="preserve"> года</w:t>
      </w:r>
      <w:r w:rsidRPr="00DF7F59">
        <w:t>]</w:t>
      </w:r>
    </w:p>
    <w:p w14:paraId="2FBB35F1" w14:textId="214C0C69" w:rsidR="00971646" w:rsidRPr="00DF7F59" w:rsidRDefault="00971646">
      <w:pPr>
        <w:spacing w:after="200" w:line="276" w:lineRule="auto"/>
      </w:pPr>
      <w:r w:rsidRPr="00DF7F59">
        <w:br w:type="page"/>
      </w:r>
    </w:p>
    <w:p w14:paraId="096CE2E6" w14:textId="1627C8B5" w:rsidR="005A3B44" w:rsidRPr="005A3B44" w:rsidRDefault="005A3B44" w:rsidP="005A3B44">
      <w:pPr>
        <w:pStyle w:val="SingleTxt"/>
      </w:pPr>
      <w:r w:rsidRPr="005A3B44">
        <w:lastRenderedPageBreak/>
        <w:t>1.</w:t>
      </w:r>
      <w:r w:rsidRPr="005A3B44">
        <w:tab/>
        <w:t>В соответствии с пунктом 59 Заключительных рекомендаций Комитета по ликвидации дискриминации в отношении женщин представляем информацию о шагах, предпринятых для выполнения замечаний, содержащихся в пунктах</w:t>
      </w:r>
      <w:r>
        <w:rPr>
          <w:lang w:val="en-US"/>
        </w:rPr>
        <w:t> </w:t>
      </w:r>
      <w:r w:rsidRPr="005A3B44">
        <w:t>23</w:t>
      </w:r>
      <w:r>
        <w:rPr>
          <w:lang w:val="en-US"/>
        </w:rPr>
        <w:t> </w:t>
      </w:r>
      <w:r w:rsidRPr="005A3B44">
        <w:t xml:space="preserve">а), с), 29 а), 35 а) в течение двух лет. </w:t>
      </w:r>
    </w:p>
    <w:p w14:paraId="31494482" w14:textId="5F094FAE" w:rsidR="005A3B44" w:rsidRPr="00DF7F59" w:rsidRDefault="005A3B44" w:rsidP="00DF7F59">
      <w:pPr>
        <w:pStyle w:val="SingleTxt"/>
        <w:rPr>
          <w:b/>
          <w:bCs/>
        </w:rPr>
      </w:pPr>
      <w:r w:rsidRPr="00DF7F59">
        <w:rPr>
          <w:b/>
          <w:bCs/>
        </w:rPr>
        <w:t>Пункт 23.</w:t>
      </w:r>
      <w:r w:rsidRPr="00DF7F59">
        <w:rPr>
          <w:b/>
          <w:bCs/>
        </w:rPr>
        <w:tab/>
        <w:t>Комитет обращает внимание государства-участника на его прямое обязательство безотлагательно и всеми надлежащими средствами стремиться к проведению политики ликвидации дискриминации в отношении женщин, в том числе гендерного насилия. Ссылаясь на свою общую рекомендацию № 35 (2017) о гендерном насилии в отношении женщин, обновляющую общую рекомендацию № 19, Комитет рекомендует государству-участнику:</w:t>
      </w:r>
    </w:p>
    <w:p w14:paraId="62D5F67B" w14:textId="23FAE06D" w:rsidR="005A3B44" w:rsidRPr="00DF7F59" w:rsidRDefault="00DF7F59" w:rsidP="00DF7F59">
      <w:pPr>
        <w:pStyle w:val="SingleTxt"/>
        <w:rPr>
          <w:b/>
          <w:bCs/>
        </w:rPr>
      </w:pPr>
      <w:r w:rsidRPr="00DF7F59">
        <w:rPr>
          <w:b/>
          <w:bCs/>
        </w:rPr>
        <w:tab/>
      </w:r>
      <w:r w:rsidR="005A3B44" w:rsidRPr="00DF7F59">
        <w:rPr>
          <w:b/>
          <w:bCs/>
        </w:rPr>
        <w:t>а)</w:t>
      </w:r>
      <w:r w:rsidR="005A3B44" w:rsidRPr="00DF7F59">
        <w:rPr>
          <w:b/>
          <w:bCs/>
        </w:rPr>
        <w:tab/>
        <w:t>безотлагательно завершить обследование по вопросу о распространенности гендерного насилия в отношении женщин и обеспечить, чтобы оно охватывало женщин, проживающих в сельской местности, женщин-инвалидов, пожилых женщин, женщин, принадлежащих к группам меньшинств, и женщин, состоящих в полигамных или гражданских браках;</w:t>
      </w:r>
    </w:p>
    <w:p w14:paraId="455DC2EC" w14:textId="6A8074AF" w:rsidR="005A3B44" w:rsidRPr="00DF7F59" w:rsidRDefault="005A3B44" w:rsidP="00DF7F59">
      <w:pPr>
        <w:pStyle w:val="SingleTxt"/>
        <w:rPr>
          <w:b/>
          <w:bCs/>
        </w:rPr>
      </w:pPr>
      <w:r w:rsidRPr="00DF7F59">
        <w:rPr>
          <w:b/>
          <w:bCs/>
        </w:rPr>
        <w:tab/>
      </w:r>
      <w:r w:rsidRPr="00DF7F59">
        <w:rPr>
          <w:b/>
          <w:bCs/>
          <w:lang w:val="en-GB"/>
        </w:rPr>
        <w:t>c</w:t>
      </w:r>
      <w:r w:rsidRPr="00DF7F59">
        <w:rPr>
          <w:b/>
          <w:bCs/>
        </w:rPr>
        <w:t>)</w:t>
      </w:r>
      <w:r w:rsidRPr="00DF7F59">
        <w:rPr>
          <w:b/>
          <w:bCs/>
        </w:rPr>
        <w:tab/>
        <w:t>разработать на основе результатов вышеупомянутого опроса и при участии женщин всеобъемлющую стратегию для искоренения всех форм гендерного насилия в отношении женщин, включающую подход, ориентированный на защиту интересов жертв, который признает женщин в качестве правообладателей, содействует их организации и самостоятельности и учитывает особое положение женщин, страдающих от перекрестных форм дискриминации.</w:t>
      </w:r>
    </w:p>
    <w:p w14:paraId="390BA356" w14:textId="1C1E0536" w:rsidR="005A3B44" w:rsidRPr="005A3B44" w:rsidRDefault="005A3B44" w:rsidP="005A3B44">
      <w:pPr>
        <w:pStyle w:val="SingleTxt"/>
      </w:pPr>
      <w:r w:rsidRPr="005A3B44">
        <w:t>2.</w:t>
      </w:r>
      <w:r w:rsidRPr="005A3B44">
        <w:tab/>
        <w:t xml:space="preserve">Одной из задач НПД по гендерному равенству в Туркменистане на 2015–2020 годы является анализ законодательства Туркменистана на предмет возможного принятия законодательства, криминализирующего гендерное насилие, проведение обследования о распространении, причинах и последствиях всех форм насилия в отношении женщин, включая домашнее насилие. </w:t>
      </w:r>
    </w:p>
    <w:p w14:paraId="0E85FEA6" w14:textId="77777777" w:rsidR="005A3B44" w:rsidRPr="005A3B44" w:rsidRDefault="005A3B44" w:rsidP="005A3B44">
      <w:pPr>
        <w:pStyle w:val="SingleTxt"/>
      </w:pPr>
      <w:r w:rsidRPr="005A3B44">
        <w:t>3.</w:t>
      </w:r>
      <w:r w:rsidRPr="005A3B44">
        <w:tab/>
        <w:t xml:space="preserve">В соответствии с Законом Туркменистана «О государственных гарантиях обеспечения равных прав и равных возможностей женщин и мужчин» государство гарантирует обеспечение равных прав женщин и мужчин на защиту от посягательств сексуального характера, их похищения и торговли ими. Лица, совершившие такие действия несут уголовную ответственность, предусмотренную Уголовным кодексом Туркменистана. </w:t>
      </w:r>
    </w:p>
    <w:p w14:paraId="4586E911" w14:textId="77777777" w:rsidR="005A3B44" w:rsidRPr="005A3B44" w:rsidRDefault="005A3B44" w:rsidP="005A3B44">
      <w:pPr>
        <w:pStyle w:val="SingleTxt"/>
      </w:pPr>
      <w:r w:rsidRPr="005A3B44">
        <w:t>4.</w:t>
      </w:r>
      <w:r w:rsidRPr="005A3B44">
        <w:tab/>
        <w:t>Эта законодательная норма является основанием для реализации международных норм, отражающего указанные вопросы, а также для дальнейшей законотворческой работы в предотвращении насилия в отношении женщин в любых ее формах.</w:t>
      </w:r>
    </w:p>
    <w:p w14:paraId="63A804F2" w14:textId="77777777" w:rsidR="005A3B44" w:rsidRPr="005A3B44" w:rsidRDefault="005A3B44" w:rsidP="005A3B44">
      <w:pPr>
        <w:pStyle w:val="SingleTxt"/>
      </w:pPr>
      <w:r w:rsidRPr="005A3B44">
        <w:t>5.</w:t>
      </w:r>
      <w:r w:rsidRPr="005A3B44">
        <w:tab/>
        <w:t>В Уголовном кодексе Туркменистана криминализированы противоправные действия, совершаемые в быту. Диспозиции соответствующих норм предусматривают ответственность за противоправные деяния, направленные на унижение чести и достоинства личности, жестокое обращение, причинение различного рода телесных повреждений, в том числе в отношении женщин.</w:t>
      </w:r>
    </w:p>
    <w:p w14:paraId="0DFE8753" w14:textId="77777777" w:rsidR="005A3B44" w:rsidRPr="005A3B44" w:rsidRDefault="005A3B44" w:rsidP="005A3B44">
      <w:pPr>
        <w:pStyle w:val="SingleTxt"/>
      </w:pPr>
      <w:r w:rsidRPr="005A3B44">
        <w:t>6.</w:t>
      </w:r>
      <w:r w:rsidRPr="005A3B44">
        <w:tab/>
        <w:t>В 2018 году был проведен совместный Парламентом Туркменистана и ЮНФПА анализ национального законодательства на предмет его соответствия международно-правовым документам в области гендерного равенства. В октябре 2018 года состоялось обсуждение результатов анализа с участием депутатов и специалистов Парламента. Одним из основных выводов проведенного анализа была рекомендация рассмотрения вопроса совершенствования законодательства в области гендерного насилия.</w:t>
      </w:r>
      <w:r>
        <w:t xml:space="preserve"> </w:t>
      </w:r>
    </w:p>
    <w:p w14:paraId="0C9BA5E0" w14:textId="1B7260F6" w:rsidR="005A3B44" w:rsidRPr="005A3B44" w:rsidRDefault="005A3B44" w:rsidP="005A3B44">
      <w:pPr>
        <w:pStyle w:val="SingleTxt"/>
      </w:pPr>
      <w:r w:rsidRPr="005A3B44">
        <w:lastRenderedPageBreak/>
        <w:t>7.</w:t>
      </w:r>
      <w:r w:rsidRPr="005A3B44">
        <w:tab/>
        <w:t xml:space="preserve">В рамках изучения вопроса по профилактике гендерного насилия, Межведомственная комиссия по обеспечению выполнения международных обязательств Туркменистана в области прав человека и международного гуманитарного права, и ее Рабочая группа ознакомились с концепцией межведомственного реагирования на гендерное насилие при содействии ЮНФПА в Туркменистане. В настоящее время осуществляется разработка стандартных оперативных процедур (СОП) для работников здравоохранения, полиции и социальных услуг. Данные СОП призваны обеспечить услуги пострадавшим от домашнего насилия женщинам и девочкам на основе соблюдения прав человека, уважения интересов пострадавших, конфиденциальности информации и этических норм. </w:t>
      </w:r>
    </w:p>
    <w:p w14:paraId="77F4999C" w14:textId="77777777" w:rsidR="005A3B44" w:rsidRPr="005A3B44" w:rsidRDefault="005A3B44" w:rsidP="005A3B44">
      <w:pPr>
        <w:pStyle w:val="SingleTxt"/>
      </w:pPr>
      <w:r w:rsidRPr="005A3B44">
        <w:t>8.</w:t>
      </w:r>
      <w:r w:rsidRPr="005A3B44">
        <w:tab/>
        <w:t>В процессе изучения вопроса домашнего насилия в отношении женщин была проведена большая подготовительная работа по проведению обследования по здоровью и положению женщины в семье, включая ознакомление с законодательством зарубежных стран в области домашнего насилия. Создана специальная Рабочая группа экспертов по проведению обследования из представителей Министерства здравоохранения и медицинской промышленности Туркменистана, Министерства внутренних дел Туркменистана, Министерства труда и социальной защиты населения Туркменистана, Государственного комитета Туркменистана по статистике, Института государства, права и демократии Туркменистана и Союза женщин Туркменистана. Данная экспертная группа осуществляет не только работу, связанную с проведением обследования, но и также все национальные действия, связанные с вопросом гендерного насилия в отношении женщин. В частности, вышеназванные СОПы проходят через экспертную оценку данной группы. Планируется продолжить функционирование данной Рабочей группы и после завершения обследования как основного национального механизма по координации, инициированию и осуществлению действий по предотвращению и профилактики гендерного насилия в отношении женщин. Для обеспечения устойчивости данного механизма проводится активная работа по повышению потенциала членов Рабочей группы посредством фокусных тренингов, семинаров и поездок по обмену опытом в зарубежные страны.</w:t>
      </w:r>
      <w:r>
        <w:t xml:space="preserve"> </w:t>
      </w:r>
    </w:p>
    <w:p w14:paraId="10EAD44A" w14:textId="5F2D6DD6" w:rsidR="005A3B44" w:rsidRPr="005A3B44" w:rsidRDefault="005A3B44" w:rsidP="005A3B44">
      <w:pPr>
        <w:pStyle w:val="SingleTxt"/>
      </w:pPr>
      <w:r w:rsidRPr="005A3B44">
        <w:t>9.</w:t>
      </w:r>
      <w:r w:rsidRPr="005A3B44">
        <w:tab/>
        <w:t xml:space="preserve">В настоящее время, в рамках реализации Национального плана действий по гендерному равенству в Туркменистане на 2015–2020 годы продолжается работа по проведению обследование о здоровье и положении женщин в семье. С 25 февраля по 1 апреля 2020 года в г. Ашхабаде и 5 велатах (областях) были проведены полевые работы по сбору данных. Эта работа была проведена под руководством, четкой координацией и мониторингом Рабочей группы по обследованию при технической поддержке Представительства Фонда ООН в области народонаселения в Туркменистане. Собранные данные введены в специально разработанную компьютерную программу на основе </w:t>
      </w:r>
      <w:r w:rsidRPr="005A3B44">
        <w:rPr>
          <w:lang w:val="en-GB"/>
        </w:rPr>
        <w:t>SPSS</w:t>
      </w:r>
      <w:r w:rsidRPr="005A3B44">
        <w:t xml:space="preserve"> (Статистический пакет для общественных наук) версии 25 в целях проведения обработки микроданных обследования и обработаны. Подготовлены тематические выходные таблицы с учетом международных рекомендаций по формированию статистических данных по насилию в отношении женщин. В ближайшее время начнется работа по анализу полученных данных и написание отчета. Данная работа будет проведена силами Рабочей группы по обследованию при техническом содействии ЮНФПА. Согласно дорожной карте по проведению обследования планируется завершить подготовку отчета по обследованию в октябре 2020 года и затем представить результаты для членов Межведомственной комиссии по обеспечению международных обязательств Туркменистана в области прав человека и гуманитарного права.</w:t>
      </w:r>
      <w:r>
        <w:t xml:space="preserve"> </w:t>
      </w:r>
    </w:p>
    <w:p w14:paraId="155C6F87" w14:textId="77777777" w:rsidR="005A3B44" w:rsidRPr="005A3B44" w:rsidRDefault="005A3B44" w:rsidP="005A3B44">
      <w:pPr>
        <w:pStyle w:val="SingleTxt"/>
      </w:pPr>
      <w:r w:rsidRPr="005A3B44">
        <w:t>10.</w:t>
      </w:r>
      <w:r w:rsidRPr="005A3B44">
        <w:tab/>
        <w:t xml:space="preserve">По итогам обследования будут выявлены уровень распространенности и коренные причины данного социального явления, в зависимости от полученных результатов подготовлены предложения по внесению изменений и дополнений </w:t>
      </w:r>
      <w:r w:rsidRPr="005A3B44">
        <w:lastRenderedPageBreak/>
        <w:t>в действующее национальное законодательство или обоснован вопрос о целесообразности разработки законопроекта в области домашнего насилия.</w:t>
      </w:r>
      <w:r>
        <w:t xml:space="preserve"> </w:t>
      </w:r>
    </w:p>
    <w:p w14:paraId="67B28F20" w14:textId="5BC8EDD0" w:rsidR="005A3B44" w:rsidRPr="005A3B44" w:rsidRDefault="005A3B44" w:rsidP="005A3B44">
      <w:pPr>
        <w:pStyle w:val="SingleTxt"/>
      </w:pPr>
      <w:r w:rsidRPr="005A3B44">
        <w:t>11.</w:t>
      </w:r>
      <w:r w:rsidRPr="005A3B44">
        <w:tab/>
        <w:t>В соответствии с Планом законотворческой деятельности Парламента Туркменистана на 2018–2022 годы, в целях усиления прав и защиты законных интересов женщин, укрепления семьи и создания благоприятных условий для семейных отношений запланирована разработка проекта Закона Туркменистана «О профилактике насилия в отношении женщин в семейно-бытовых отношениях».</w:t>
      </w:r>
    </w:p>
    <w:p w14:paraId="482999F6" w14:textId="5D095B87" w:rsidR="005A3B44" w:rsidRPr="00DF7F59" w:rsidRDefault="005A3B44" w:rsidP="00DF7F59">
      <w:pPr>
        <w:pStyle w:val="SingleTxt"/>
        <w:rPr>
          <w:b/>
          <w:bCs/>
        </w:rPr>
      </w:pPr>
      <w:r w:rsidRPr="00DF7F59">
        <w:rPr>
          <w:b/>
          <w:bCs/>
        </w:rPr>
        <w:t>Пункт 29.</w:t>
      </w:r>
      <w:r w:rsidRPr="00DF7F59">
        <w:rPr>
          <w:b/>
          <w:bCs/>
        </w:rPr>
        <w:tab/>
        <w:t>Комитет обращает внимание на важную роль независимых организаций гражданского общества в поощрении, контроле за соблюдением и укреплении прав женщин в государстве-участнике и рекомендует государству-участнику:</w:t>
      </w:r>
    </w:p>
    <w:p w14:paraId="7F045C50" w14:textId="4B0930D8" w:rsidR="005A3B44" w:rsidRPr="00DF7F59" w:rsidRDefault="005A3B44" w:rsidP="00DF7F59">
      <w:pPr>
        <w:pStyle w:val="SingleTxt"/>
        <w:rPr>
          <w:b/>
          <w:bCs/>
        </w:rPr>
      </w:pPr>
      <w:r w:rsidRPr="00DF7F59">
        <w:rPr>
          <w:b/>
          <w:bCs/>
        </w:rPr>
        <w:tab/>
        <w:t>а)</w:t>
      </w:r>
      <w:r w:rsidRPr="00DF7F59">
        <w:rPr>
          <w:b/>
          <w:bCs/>
        </w:rPr>
        <w:tab/>
        <w:t xml:space="preserve">упростить требования к регистрации организаций гражданского общества и обеспечить недопущение чрезмерных ограничений в отношении их деятельности. </w:t>
      </w:r>
    </w:p>
    <w:p w14:paraId="6556631E" w14:textId="77777777" w:rsidR="005A3B44" w:rsidRPr="005A3B44" w:rsidRDefault="005A3B44" w:rsidP="005A3B44">
      <w:pPr>
        <w:pStyle w:val="SingleTxt"/>
      </w:pPr>
      <w:r w:rsidRPr="005A3B44">
        <w:t>12.</w:t>
      </w:r>
      <w:r w:rsidRPr="005A3B44">
        <w:tab/>
        <w:t xml:space="preserve">Конституцией Туркменистана гарантируется право граждан создавать политические партии и иные общественные объединения, действующие в пределах Конституции и законов. </w:t>
      </w:r>
    </w:p>
    <w:p w14:paraId="3E25720E" w14:textId="4BC945D1" w:rsidR="005A3B44" w:rsidRPr="005A3B44" w:rsidRDefault="005A3B44" w:rsidP="005A3B44">
      <w:pPr>
        <w:pStyle w:val="SingleTxt"/>
      </w:pPr>
      <w:r w:rsidRPr="005A3B44">
        <w:t>13.</w:t>
      </w:r>
      <w:r w:rsidRPr="005A3B44">
        <w:tab/>
        <w:t>Конституционные права граждан на создание общественных объединений реализуется Законом Туркменистана «Об общественных объединениях» (2014</w:t>
      </w:r>
      <w:r>
        <w:rPr>
          <w:lang w:val="en-US"/>
        </w:rPr>
        <w:t> </w:t>
      </w:r>
      <w:r w:rsidRPr="005A3B44">
        <w:t xml:space="preserve">г.). В нём гражданам гарантируется право создавать по своему выбору общественные объединения без предварительного разрешения органов государственной власти и местного самоуправления, а также право вступать в такие общественные объединения при условии соблюдения положений их уставов. Решение об отказе в регистрации общественного объединения может быть обжаловано в суд. В Законе гарантированы права общественных объединений свободно распространять информацию о своей деятельности; проводить собрания, митинги, демонстрации в порядке, установленном законодательством Туркменистана; учреждать средства массовой информации и осуществлять издательскую деятельность в соответствии с законодательством Туркменистана; представлять и защищать свои права, права и законные интересы своих членов и участников в органах государственной власти и местного самоуправления. </w:t>
      </w:r>
    </w:p>
    <w:p w14:paraId="3D955C1A" w14:textId="12E54C7E" w:rsidR="005A3B44" w:rsidRPr="005A3B44" w:rsidRDefault="005A3B44" w:rsidP="005A3B44">
      <w:pPr>
        <w:pStyle w:val="SingleTxt"/>
      </w:pPr>
      <w:r w:rsidRPr="005A3B44">
        <w:t>14.</w:t>
      </w:r>
      <w:r w:rsidRPr="005A3B44">
        <w:tab/>
        <w:t xml:space="preserve">С учётом реализации задач по дальнейшему реформированию законодательства Туркменистана, обеспечивающего неукоснительное выполнение международных обязательств и соблюдение международно-правовых стандартов по правам человека </w:t>
      </w:r>
      <w:proofErr w:type="gramStart"/>
      <w:r w:rsidRPr="005A3B44">
        <w:t>в национальное законодательство</w:t>
      </w:r>
      <w:proofErr w:type="gramEnd"/>
      <w:r w:rsidRPr="005A3B44">
        <w:t xml:space="preserve"> последовательно имплементируется нормы международного права. </w:t>
      </w:r>
      <w:bookmarkStart w:id="1" w:name="_GoBack"/>
      <w:bookmarkEnd w:id="1"/>
      <w:r w:rsidRPr="005A3B44">
        <w:t>В результате проведённой работы Меджлисом Туркменистана разработан проект Закона Туркменистана «О внесении изменений и дополнений в Закон Туркменистана «Об общественных объединениях». В проекте Закона изложение положений об ограничениях, связанных с созданием и деятельностью</w:t>
      </w:r>
      <w:r>
        <w:t xml:space="preserve"> </w:t>
      </w:r>
      <w:r w:rsidRPr="005A3B44">
        <w:t>общественных объединений приведены в соответствие с положениями Конституции Туркменистана. Также усовершенствованы нормы Закона о требованиях к количеству учредителей международных общественных объединений, об учредителях и членах, порядка регистрации, обязанностях и собственности общественных объединений. Данный проект в настоящее время находится на аналитическом рассмотрении в экспертно-консультативном отделе Меджлиса и его обсуждение планируется на ближайшей сессии Меджлиса.</w:t>
      </w:r>
    </w:p>
    <w:p w14:paraId="34B32268" w14:textId="77777777" w:rsidR="00DF7F59" w:rsidRDefault="00DF7F59">
      <w:pPr>
        <w:spacing w:after="200" w:line="276" w:lineRule="auto"/>
        <w:rPr>
          <w:b/>
        </w:rPr>
      </w:pPr>
      <w:r>
        <w:rPr>
          <w:b/>
        </w:rPr>
        <w:br w:type="page"/>
      </w:r>
    </w:p>
    <w:p w14:paraId="25FB2332" w14:textId="573BB217" w:rsidR="005A3B44" w:rsidRPr="005A3B44" w:rsidRDefault="005A3B44" w:rsidP="005A3B44">
      <w:pPr>
        <w:pStyle w:val="SingleTxt"/>
        <w:tabs>
          <w:tab w:val="clear" w:pos="2693"/>
          <w:tab w:val="left" w:pos="2970"/>
        </w:tabs>
        <w:rPr>
          <w:b/>
        </w:rPr>
      </w:pPr>
      <w:r w:rsidRPr="005A3B44">
        <w:rPr>
          <w:b/>
        </w:rPr>
        <w:lastRenderedPageBreak/>
        <w:t>Пункт 35.</w:t>
      </w:r>
      <w:r w:rsidRPr="005A3B44">
        <w:rPr>
          <w:b/>
        </w:rPr>
        <w:tab/>
        <w:t>Комитет рекомендует государству-участнику:</w:t>
      </w:r>
    </w:p>
    <w:p w14:paraId="4B93B444" w14:textId="282C130B" w:rsidR="005A3B44" w:rsidRPr="00DF7F59" w:rsidRDefault="005A3B44" w:rsidP="00DF7F59">
      <w:pPr>
        <w:pStyle w:val="SingleTxt"/>
        <w:rPr>
          <w:b/>
          <w:bCs/>
        </w:rPr>
      </w:pPr>
      <w:r w:rsidRPr="00DF7F59">
        <w:rPr>
          <w:b/>
          <w:bCs/>
        </w:rPr>
        <w:tab/>
        <w:t>а)</w:t>
      </w:r>
      <w:r w:rsidRPr="00DF7F59">
        <w:rPr>
          <w:b/>
          <w:bCs/>
        </w:rPr>
        <w:tab/>
        <w:t xml:space="preserve">провести исследование в целях оценки последствий реформ в области образования для ликвидации профессиональной сегрегации и достижения фактического равенства женщин и мужчин на рынке труда, с тем чтобы установить конкретные и фундаментальные факторы, не позволяющие женщинам в полной мере пользоваться системой бесплатного образования для приобретения необходимых навыков, выбирать нетрадиционные профессии и получать доступ к официальной занятости, в том числе в более высоко оплачиваемых секторах, где традиционно доминируют мужчины. </w:t>
      </w:r>
    </w:p>
    <w:p w14:paraId="49C0C200" w14:textId="7BE8F80D" w:rsidR="005A3B44" w:rsidRPr="005A3B44" w:rsidRDefault="005A3B44" w:rsidP="005A3B44">
      <w:pPr>
        <w:pStyle w:val="SingleTxt"/>
      </w:pPr>
      <w:r w:rsidRPr="005A3B44">
        <w:t>15.</w:t>
      </w:r>
      <w:r w:rsidRPr="005A3B44">
        <w:tab/>
        <w:t>Законом Туркменистана «Об образовании» и типовыми положениями об образовательных учреждениях соответствующих типов (общеобразовательных и профессиональных) гражданам гарантируется возможность получения образования независимо от принадлежности к тому или иному полу.</w:t>
      </w:r>
    </w:p>
    <w:p w14:paraId="02DF4622" w14:textId="2916FEB1" w:rsidR="005A3B44" w:rsidRPr="005A3B44" w:rsidRDefault="005A3B44" w:rsidP="005A3B44">
      <w:pPr>
        <w:pStyle w:val="SingleTxt"/>
      </w:pPr>
      <w:r w:rsidRPr="005A3B44">
        <w:t>16.</w:t>
      </w:r>
      <w:r w:rsidRPr="005A3B44">
        <w:tab/>
        <w:t>В системе образования Туркменистана, начиная с её школьной ступени, ведётся планомерная работа по созданию равного интереса у мальчиков и девочек на все специальности. В учебные программы, в учебники и другую учебную литературу вводятся материалы, предусматривающие искоренение стереотипов, акцентируя внимание на равных возможностях девочек и мальчиков в выборе профессии, в том числе на имеющихся примерах освоения женщинами сложных технических профессий и специальностей, а мужчинами</w:t>
      </w:r>
      <w:r>
        <w:rPr>
          <w:lang w:val="en-US"/>
        </w:rPr>
        <w:t> </w:t>
      </w:r>
      <w:r w:rsidRPr="005A3B44">
        <w:t>–– освоения тонких гуманитарных наук.</w:t>
      </w:r>
    </w:p>
    <w:p w14:paraId="4A922872" w14:textId="77777777" w:rsidR="005A3B44" w:rsidRPr="005A3B44" w:rsidRDefault="005A3B44" w:rsidP="005A3B44">
      <w:pPr>
        <w:pStyle w:val="SingleTxt"/>
      </w:pPr>
      <w:r w:rsidRPr="005A3B44">
        <w:t>17.</w:t>
      </w:r>
      <w:r w:rsidRPr="005A3B44">
        <w:tab/>
        <w:t xml:space="preserve">Девочки и мальчики пользуются равными правами во время обучения в образовательных учреждениях, получают равное образование по государственным образовательным стандартам, дополнительное образование по интересам, одинаково бесплатно пользуются учебниками и учебной литературой, они в равной мере пользуются социальной защитой, обеспечиваются стипендиями и местами в общежитиях и в интернатах. </w:t>
      </w:r>
    </w:p>
    <w:p w14:paraId="642669B1" w14:textId="77777777" w:rsidR="005A3B44" w:rsidRPr="005A3B44" w:rsidRDefault="005A3B44" w:rsidP="005A3B44">
      <w:pPr>
        <w:pStyle w:val="SingleTxt"/>
      </w:pPr>
      <w:r w:rsidRPr="005A3B44">
        <w:t>18.</w:t>
      </w:r>
      <w:r w:rsidRPr="005A3B44">
        <w:tab/>
        <w:t xml:space="preserve">Для лиц, своевременно по каким-либо причинам не освоивших полностью программу общего среднего образования, существует система получения общего среднего образования через систему экстернат, Положение о котором утверждено в новой редакции в 2015 году. Прием на обучение через систему экстерната также не ограничивает граждан по признакам пола. </w:t>
      </w:r>
    </w:p>
    <w:p w14:paraId="30B198B3" w14:textId="599DD602" w:rsidR="005A3B44" w:rsidRPr="005A3B44" w:rsidRDefault="005A3B44" w:rsidP="005A3B44">
      <w:pPr>
        <w:pStyle w:val="SingleTxt"/>
      </w:pPr>
      <w:r w:rsidRPr="005A3B44">
        <w:t>19.</w:t>
      </w:r>
      <w:r w:rsidRPr="005A3B44">
        <w:tab/>
        <w:t>В целях эффективного исполнения Программы совершенствования сферы трудовой занятости и создания новых рабочих мест в Туркменистане на 2015–2020 годы, утверждённой постановлением Президента Туркменистана, приказом министра труда и социальной защиты населения Туркменистана утверждён Порядок организации профессиональной подготовки, переподготовки, повышения квалификации лиц, ищущих работу, и повышения их конкурентоспособности на рынке труда. В соответствии с положениями данного Порядка лица, ищущие работу, направляются отделами труда и занятости велаятов и г. Ашхабада в соответствующие профессиональные учебные учреждения для их обучения по профессиям и специальностям, востребованным предприятиями, организациями и учреждениями.</w:t>
      </w:r>
      <w:r>
        <w:t xml:space="preserve"> </w:t>
      </w:r>
      <w:r w:rsidRPr="005A3B44">
        <w:t>Направление в образовательные учреждения и обучение в них производятся по желанию граждан вне зависимости от принадлежности их к тому или иному полу.</w:t>
      </w:r>
    </w:p>
    <w:p w14:paraId="283BC5FF" w14:textId="77777777" w:rsidR="005A3B44" w:rsidRPr="005A3B44" w:rsidRDefault="005A3B44" w:rsidP="005A3B44">
      <w:pPr>
        <w:pStyle w:val="SingleTxt"/>
      </w:pPr>
      <w:r w:rsidRPr="005A3B44">
        <w:t>20.</w:t>
      </w:r>
      <w:r w:rsidRPr="005A3B44">
        <w:tab/>
        <w:t xml:space="preserve">В настоящее время система профессионального образования в Туркменистане включает три типа учебных учреждений - начальные, средние и высшие профессиональные школы. Многие современные отрасли экономики по видам деятельности (ресторанный бизнес и гостиничное дело, сфера обслуживания, водители и ремонт автомобилей и т.д.) сегодня не нуждаются в высококвалифицированных специалистах с высшим образованием, однако требуют </w:t>
      </w:r>
      <w:r w:rsidRPr="005A3B44">
        <w:lastRenderedPageBreak/>
        <w:t>определенных профессиональных навыков. Таких работников готовят начальные профессиональные школы, находящиеся в подчинении соответствующих отраслевых министерств и ведомств, которые сами определяют масштабы обучения в соответствии с потребностями подведомственных им предприятий.</w:t>
      </w:r>
    </w:p>
    <w:p w14:paraId="18279F9B" w14:textId="77777777" w:rsidR="005A3B44" w:rsidRPr="005A3B44" w:rsidRDefault="005A3B44" w:rsidP="005A3B44">
      <w:pPr>
        <w:pStyle w:val="SingleTxt"/>
      </w:pPr>
      <w:r w:rsidRPr="005A3B44">
        <w:t>21.</w:t>
      </w:r>
      <w:r w:rsidRPr="005A3B44">
        <w:tab/>
        <w:t xml:space="preserve">Гендерной особенностью состава учащихся в системе начального профессионального образования является преобладание среди обучающихся мужчин, что во многом связано с более широким составом рабочих профессий, по которым ведется подготовка юношей в данном типе образовательных учреждений. Так, в 2019 году от общего числа поступивших в начальные профессиональные учебные учреждения девушки составляли 17,5%, в 2015 году этот показатель составлял 20,5%. </w:t>
      </w:r>
    </w:p>
    <w:p w14:paraId="4322BA3A" w14:textId="77777777" w:rsidR="005A3B44" w:rsidRPr="005A3B44" w:rsidRDefault="005A3B44" w:rsidP="005A3B44">
      <w:pPr>
        <w:pStyle w:val="SingleTxt"/>
      </w:pPr>
      <w:r w:rsidRPr="005A3B44">
        <w:t>22.</w:t>
      </w:r>
      <w:r w:rsidRPr="005A3B44">
        <w:tab/>
        <w:t xml:space="preserve">Иная ситуация наблюдается в системе среднего профессионального образования, где доля обучающихся женщин составляет более 60%. В то время как в 2015 году этот показатель составлял около 55%. </w:t>
      </w:r>
    </w:p>
    <w:p w14:paraId="264F1066" w14:textId="77777777" w:rsidR="005A3B44" w:rsidRPr="005A3B44" w:rsidRDefault="005A3B44" w:rsidP="005A3B44">
      <w:pPr>
        <w:pStyle w:val="SingleTxt"/>
      </w:pPr>
      <w:r w:rsidRPr="005A3B44">
        <w:t>23.</w:t>
      </w:r>
      <w:r w:rsidRPr="005A3B44">
        <w:tab/>
        <w:t>В высшем профессиональном образовании также отмечается сокращение диспропорции в распределении мужчин и женщин. Так, в 2019 году от общего числа поступивших в высшие профессиональные учебные учреждения девушки составляли 42,4%, в то время как в 2015 году этот показатель составлял 34,9%.</w:t>
      </w:r>
    </w:p>
    <w:p w14:paraId="4234DDEA" w14:textId="77777777" w:rsidR="005A3B44" w:rsidRPr="005A3B44" w:rsidRDefault="005A3B44" w:rsidP="005A3B44">
      <w:pPr>
        <w:pStyle w:val="SingleTxt"/>
      </w:pPr>
      <w:r w:rsidRPr="005A3B44">
        <w:t>24.</w:t>
      </w:r>
      <w:r w:rsidRPr="005A3B44">
        <w:tab/>
        <w:t xml:space="preserve">Каждый год профессиональные учебные учреждения всех ступеней (начальной, средней и высшей) проводят дни «открытых дверей», где пропагандируется право на получение любой специальности и профессии, как мальчиков, так и девочек. </w:t>
      </w:r>
    </w:p>
    <w:p w14:paraId="01323114" w14:textId="77777777" w:rsidR="005A3B44" w:rsidRPr="005A3B44" w:rsidRDefault="005A3B44" w:rsidP="005A3B44">
      <w:pPr>
        <w:pStyle w:val="SingleTxt"/>
      </w:pPr>
      <w:r w:rsidRPr="005A3B44">
        <w:t>25.</w:t>
      </w:r>
      <w:r w:rsidRPr="005A3B44">
        <w:tab/>
        <w:t>Во всех образовательных учреждениях профессионального образования имеется равный доступ для представителей обоих полов к изучению научных и технических дисциплин. Образовательными учреждениями всемерно поддерживается и одобряется равное увлечение молодежи наукой и техникой, спортом. Как юноши, так и девушки принимают активное участие в олимпиадах, конкурсах, других интеллектуальных мероприятиях различных направлений, как технических, так и гуманитарных. Публикация в средствах массовой информации о достижениях в указанных мероприятиях тоже является одним из средств ориентации девушек на выбор направлений занятий.</w:t>
      </w:r>
    </w:p>
    <w:p w14:paraId="7D918249" w14:textId="77777777" w:rsidR="005A3B44" w:rsidRPr="005A3B44" w:rsidRDefault="005A3B44" w:rsidP="005A3B44">
      <w:pPr>
        <w:pStyle w:val="SingleTxt"/>
      </w:pPr>
      <w:r w:rsidRPr="005A3B44">
        <w:t>26.</w:t>
      </w:r>
      <w:r w:rsidRPr="005A3B44">
        <w:tab/>
        <w:t xml:space="preserve">В профессиональных учебных учреждениях девушки всё активнее приобретают навыки в новых перспективных областях, таких как технологические, физико-математические науки, а также в области цифровых технологий. </w:t>
      </w:r>
    </w:p>
    <w:p w14:paraId="5240294C" w14:textId="0EEE348C" w:rsidR="005A3B44" w:rsidRPr="005A3B44" w:rsidRDefault="005A3B44" w:rsidP="005A3B44">
      <w:pPr>
        <w:pStyle w:val="SingleTxt"/>
      </w:pPr>
      <w:r w:rsidRPr="005A3B44">
        <w:t>27.</w:t>
      </w:r>
      <w:r w:rsidRPr="005A3B44">
        <w:tab/>
        <w:t>Осуществляются мероприятия для привлечения большего числа учителей</w:t>
      </w:r>
      <w:r w:rsidR="00D0766E">
        <w:rPr>
          <w:lang w:val="en-US"/>
        </w:rPr>
        <w:t> </w:t>
      </w:r>
      <w:r w:rsidR="00D0766E" w:rsidRPr="00D0766E">
        <w:t>––</w:t>
      </w:r>
      <w:r w:rsidRPr="005A3B44">
        <w:t xml:space="preserve"> мужчин в общеобразовательные учебные учреждения (школы). Так, в соответствии с Законами Туркменистана «О воинской обязанности и военной службе» и «Об образовании» граждане мужского пола, имеющие высшее педагогическое образование и работающие по направлению государственного органа на педагогической должности в общеобразовательном учебном учреждении в сельской местности, имеют право на получение отсрочки от призыва на военную службу на период работы в образовательных учреждениях.</w:t>
      </w:r>
    </w:p>
    <w:p w14:paraId="027D3AE1" w14:textId="77777777" w:rsidR="005A3B44" w:rsidRPr="005A3B44" w:rsidRDefault="005A3B44" w:rsidP="005A3B44">
      <w:pPr>
        <w:pStyle w:val="SingleTxt"/>
      </w:pPr>
      <w:r w:rsidRPr="005A3B44">
        <w:t>28.</w:t>
      </w:r>
      <w:r w:rsidRPr="005A3B44">
        <w:tab/>
        <w:t>Степень участия женщин в трудовой деятельности отражает уровень их экономической активности.</w:t>
      </w:r>
    </w:p>
    <w:p w14:paraId="19487D4B" w14:textId="77777777" w:rsidR="005A3B44" w:rsidRPr="005A3B44" w:rsidRDefault="005A3B44" w:rsidP="005A3B44">
      <w:pPr>
        <w:pStyle w:val="SingleTxt"/>
      </w:pPr>
      <w:r w:rsidRPr="005A3B44">
        <w:t>29.</w:t>
      </w:r>
      <w:r w:rsidRPr="005A3B44">
        <w:tab/>
        <w:t xml:space="preserve">Из числа зарегистрированных в органах по трудоустройству населения в 2019г. женщины составляли 30,7%, в 2015 году этот показатель составлял 29%. От общей численности зарегистрированных женщин в 2019 году их трудоустроено 88,7%. </w:t>
      </w:r>
    </w:p>
    <w:p w14:paraId="0CFB5887" w14:textId="383FD532" w:rsidR="005A3B44" w:rsidRPr="005A3B44" w:rsidRDefault="005A3B44" w:rsidP="005A3B44">
      <w:pPr>
        <w:pStyle w:val="SingleTxt"/>
      </w:pPr>
      <w:r w:rsidRPr="005A3B44">
        <w:lastRenderedPageBreak/>
        <w:t>30.</w:t>
      </w:r>
      <w:r w:rsidRPr="005A3B44">
        <w:tab/>
        <w:t>В 2019 году в численности экономически активного населения женщины составляли 43,4%, в численности населения, занятого в экономике,</w:t>
      </w:r>
      <w:r w:rsidR="00D0766E">
        <w:rPr>
          <w:lang w:val="en-US"/>
        </w:rPr>
        <w:t> </w:t>
      </w:r>
      <w:r w:rsidR="00D0766E" w:rsidRPr="00D0766E">
        <w:t>––</w:t>
      </w:r>
      <w:r w:rsidRPr="005A3B44">
        <w:t xml:space="preserve"> 45,8%.</w:t>
      </w:r>
    </w:p>
    <w:p w14:paraId="217FF8F4" w14:textId="77777777" w:rsidR="005A3B44" w:rsidRPr="005A3B44" w:rsidRDefault="005A3B44" w:rsidP="005A3B44">
      <w:pPr>
        <w:pStyle w:val="SingleTxt"/>
      </w:pPr>
      <w:r w:rsidRPr="005A3B44">
        <w:t>31.</w:t>
      </w:r>
      <w:r w:rsidRPr="005A3B44">
        <w:tab/>
        <w:t>В 2015 году эти показатели составляли, соответственно, 42,6% и 44,9%.</w:t>
      </w:r>
    </w:p>
    <w:p w14:paraId="457E6E2D" w14:textId="77777777" w:rsidR="005A3B44" w:rsidRPr="005A3B44" w:rsidRDefault="005A3B44" w:rsidP="005A3B44">
      <w:pPr>
        <w:pStyle w:val="SingleTxt"/>
      </w:pPr>
      <w:r w:rsidRPr="005A3B44">
        <w:t>32.</w:t>
      </w:r>
      <w:r w:rsidRPr="005A3B44">
        <w:tab/>
        <w:t>Статья 49 Конституции Туркменистана лица, работающие по найму, имеют право на вознаграждение, соответствующее количеству и качеству труда. Размер этого вознаграждения не может быть менее размера минимальной заработной платы, установленного государством.</w:t>
      </w:r>
    </w:p>
    <w:p w14:paraId="1E557D68" w14:textId="625ED824" w:rsidR="005A3B44" w:rsidRPr="005A3B44" w:rsidRDefault="005A3B44" w:rsidP="005A3B44">
      <w:pPr>
        <w:pStyle w:val="SingleTxt"/>
      </w:pPr>
      <w:r w:rsidRPr="005A3B44">
        <w:t>33.</w:t>
      </w:r>
      <w:r w:rsidRPr="005A3B44">
        <w:tab/>
        <w:t>Законом Туркменистана «О государственных гарантиях обеспечения равных прав и равных возможностей женщин и мужчин» женщинам и мужчинам гарантируется равное вознаграждение за труд равной ценности, а также равный подход к оценке качества работы в соответствии с трудовым законодательством</w:t>
      </w:r>
      <w:r>
        <w:t xml:space="preserve"> </w:t>
      </w:r>
      <w:r w:rsidRPr="005A3B44">
        <w:t>Туркменистана.</w:t>
      </w:r>
    </w:p>
    <w:p w14:paraId="50B8B614" w14:textId="77777777" w:rsidR="005A3B44" w:rsidRPr="005A3B44" w:rsidRDefault="005A3B44" w:rsidP="005A3B44">
      <w:pPr>
        <w:pStyle w:val="SingleTxt"/>
      </w:pPr>
      <w:r w:rsidRPr="005A3B44">
        <w:t>34.</w:t>
      </w:r>
      <w:r w:rsidRPr="005A3B44">
        <w:tab/>
        <w:t>В соответствии с Трудовым кодексом Туркменистана работодатель, независимо от своего финансового состояния, обязан оплатить работнику выполненную им работу в соответствии с установленными условиями и сроками оплаты труда, и обеспечивать работникам равную оплату за труд равной ценности.</w:t>
      </w:r>
    </w:p>
    <w:p w14:paraId="592DF90D" w14:textId="77777777" w:rsidR="005A3B44" w:rsidRPr="005A3B44" w:rsidRDefault="005A3B44" w:rsidP="005A3B44">
      <w:pPr>
        <w:pStyle w:val="SingleTxt"/>
      </w:pPr>
      <w:r w:rsidRPr="005A3B44">
        <w:t>35.</w:t>
      </w:r>
      <w:r w:rsidRPr="005A3B44">
        <w:tab/>
        <w:t>При этом размер оплаты труда, гарантируемый работодателем, не может быть ниже минимальной заработной платы, установленной законодательством Туркменистана. Ежегодно Указом Президента Туркменистана утверждается минимальный размер заработной платы, который является ориентиром для установления тарифных ставок и должностных окладов работников.</w:t>
      </w:r>
    </w:p>
    <w:p w14:paraId="53B8551E" w14:textId="77777777" w:rsidR="005A3B44" w:rsidRPr="005A3B44" w:rsidRDefault="005A3B44" w:rsidP="005A3B44">
      <w:pPr>
        <w:pStyle w:val="SingleTxt"/>
      </w:pPr>
      <w:r w:rsidRPr="005A3B44">
        <w:t>36.</w:t>
      </w:r>
      <w:r w:rsidRPr="005A3B44">
        <w:tab/>
        <w:t>Принцип равной оплаты за труд равной ценности является не формальным, а применяется в социально-правовой практике. Т.е. размер и виды вознаграждения за труд определяются не на основе принадлежности работника к тому или иному полу, а на основе объективной оценки выполняемой работы. Практическими мерами реализации данного принципа являются: система квалификации работ и их оплата с учетом объективной оценки; применение различных форм оплаты труда, поощрений, вознаграждений и других дополнительных выплат и льгот, которые должны быть предусмотрены в коллективных договорах; недопущение ситуации, при которой при выполнении работы равной ценности применялась иная система оплаты труда.</w:t>
      </w:r>
    </w:p>
    <w:p w14:paraId="61A6413B" w14:textId="77777777" w:rsidR="005A3B44" w:rsidRPr="005A3B44" w:rsidRDefault="005A3B44" w:rsidP="005A3B44">
      <w:pPr>
        <w:pStyle w:val="SingleTxt"/>
      </w:pPr>
      <w:r w:rsidRPr="005A3B44">
        <w:t>37.</w:t>
      </w:r>
      <w:r w:rsidRPr="005A3B44">
        <w:tab/>
        <w:t xml:space="preserve">В Туркменистане отмечается достаточно высокий уровень заработной платы женщин. Так, в 2019 году в целом по экономике Туркменистана заработная плата женщин была на 13,7% ниже зарплаты мужчин. </w:t>
      </w:r>
    </w:p>
    <w:p w14:paraId="42214C66" w14:textId="77777777" w:rsidR="005A3B44" w:rsidRPr="005A3B44" w:rsidRDefault="005A3B44" w:rsidP="005A3B44">
      <w:pPr>
        <w:pStyle w:val="SingleTxt"/>
      </w:pPr>
      <w:r w:rsidRPr="005A3B44">
        <w:t>38.</w:t>
      </w:r>
      <w:r w:rsidRPr="005A3B44">
        <w:tab/>
        <w:t>Однако, как и в других странах существуют определенные различия в среднем уровне доходов мужчин и женщин в отдельных отраслях экономики. Это во многом обусловлено как количеством отработанного времени, так и ограничениями работы в особых условиях труда.</w:t>
      </w:r>
    </w:p>
    <w:p w14:paraId="127CC856" w14:textId="77777777" w:rsidR="005A3B44" w:rsidRPr="005A3B44" w:rsidRDefault="005A3B44" w:rsidP="005A3B44">
      <w:pPr>
        <w:pStyle w:val="SingleTxt"/>
      </w:pPr>
      <w:r w:rsidRPr="005A3B44">
        <w:t>39.</w:t>
      </w:r>
      <w:r w:rsidRPr="005A3B44">
        <w:tab/>
        <w:t>Наибольший удельный вес занятых женщин сосредоточен в таких видах экономической деятельности как обрабатывающая промышленность (лёгкая, пищевая), здравоохранение и социальное обслуживание населения, образование, искусство, развлечения и отдых. В то время как мужчины больше сосредоточены на предприятиях горнодобывающей промышленности, по разработке карьеров, обеспечению электроэнергией, газом, паром и кондиционированным воздухом, строительства, транспорта, т.е. в производствах, связанных с непрерывным производством и особыми условиями труда, предусматривающими установление различных доплат и надбавок к тарифным ставкам (окладам).</w:t>
      </w:r>
    </w:p>
    <w:p w14:paraId="581E5891" w14:textId="77777777" w:rsidR="005A3B44" w:rsidRPr="005A3B44" w:rsidRDefault="005A3B44" w:rsidP="005A3B44">
      <w:pPr>
        <w:pStyle w:val="SingleTxt"/>
      </w:pPr>
      <w:r w:rsidRPr="005A3B44">
        <w:t>40.</w:t>
      </w:r>
      <w:r w:rsidRPr="005A3B44">
        <w:tab/>
        <w:t xml:space="preserve">Трудовое законодательство Туркменистана предусматривает привлечение работников к сверхурочным работам, в выходные, нерабочие праздничные и </w:t>
      </w:r>
      <w:r w:rsidRPr="005A3B44">
        <w:lastRenderedPageBreak/>
        <w:t>памятные дни только с их согласия. При этом женщины чаще мужчин пользуются правом отказаться от привлечения к указанным видам работ. Однако при занятии женщин равноценным с мужчинами трудом действует принцип равного вознаграждения за труд равной ценности.</w:t>
      </w:r>
    </w:p>
    <w:p w14:paraId="7D84DA74" w14:textId="0E7B2239" w:rsidR="00FD0B9B" w:rsidRPr="005A3B44" w:rsidRDefault="005A3B44" w:rsidP="005A3B44">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4DCABF7" wp14:editId="67EFE7D9">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A554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FD0B9B" w:rsidRPr="005A3B44" w:rsidSect="0097164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22T11:22:00Z" w:initials="Start">
    <w:p w14:paraId="6FDA2376" w14:textId="77777777" w:rsidR="00FD0B9B" w:rsidRPr="00971646" w:rsidRDefault="00FD0B9B">
      <w:pPr>
        <w:pStyle w:val="CommentText"/>
        <w:rPr>
          <w:lang w:val="en-US"/>
        </w:rPr>
      </w:pPr>
      <w:r>
        <w:fldChar w:fldCharType="begin"/>
      </w:r>
      <w:r w:rsidRPr="00971646">
        <w:rPr>
          <w:rStyle w:val="CommentReference"/>
          <w:lang w:val="en-US"/>
        </w:rPr>
        <w:instrText xml:space="preserve"> </w:instrText>
      </w:r>
      <w:r w:rsidRPr="00971646">
        <w:rPr>
          <w:lang w:val="en-US"/>
        </w:rPr>
        <w:instrText>PAGE \# "'Page: '#'</w:instrText>
      </w:r>
      <w:r w:rsidRPr="00971646">
        <w:rPr>
          <w:lang w:val="en-US"/>
        </w:rPr>
        <w:br/>
        <w:instrText>'"</w:instrText>
      </w:r>
      <w:r w:rsidRPr="00971646">
        <w:rPr>
          <w:rStyle w:val="CommentReference"/>
          <w:lang w:val="en-US"/>
        </w:rPr>
        <w:instrText xml:space="preserve"> </w:instrText>
      </w:r>
      <w:r>
        <w:fldChar w:fldCharType="end"/>
      </w:r>
      <w:r>
        <w:rPr>
          <w:rStyle w:val="CommentReference"/>
        </w:rPr>
        <w:annotationRef/>
      </w:r>
      <w:r w:rsidRPr="00971646">
        <w:rPr>
          <w:lang w:val="en-US"/>
        </w:rPr>
        <w:t>&lt;&lt;ODS JOB NO&gt;&gt;N2028022R&lt;&lt;ODS JOB NO&gt;&gt;</w:t>
      </w:r>
    </w:p>
    <w:p w14:paraId="79B9A6D8" w14:textId="77777777" w:rsidR="00FD0B9B" w:rsidRDefault="00FD0B9B">
      <w:pPr>
        <w:pStyle w:val="CommentText"/>
      </w:pPr>
      <w:r>
        <w:t>&lt;&lt;ODS DOC SYMBOL1&gt;&gt;CEDAW/C/TKM/FCO/5&lt;&lt;ODS DOC SYMBOL1&gt;&gt;</w:t>
      </w:r>
    </w:p>
    <w:p w14:paraId="1D26E765" w14:textId="6242A181" w:rsidR="00FD0B9B" w:rsidRDefault="00FD0B9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26E76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26E765" w16cid:durableId="23673E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B86BC" w14:textId="77777777" w:rsidR="00432646" w:rsidRDefault="00432646" w:rsidP="001824A1">
      <w:pPr>
        <w:spacing w:line="240" w:lineRule="auto"/>
      </w:pPr>
      <w:r>
        <w:separator/>
      </w:r>
    </w:p>
  </w:endnote>
  <w:endnote w:type="continuationSeparator" w:id="0">
    <w:p w14:paraId="5DC2E537" w14:textId="77777777" w:rsidR="00432646" w:rsidRDefault="00432646"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D0B9B" w14:paraId="0E67A18B" w14:textId="77777777" w:rsidTr="00FD0B9B">
      <w:tc>
        <w:tcPr>
          <w:tcW w:w="4920" w:type="dxa"/>
          <w:shd w:val="clear" w:color="auto" w:fill="auto"/>
          <w:vAlign w:val="bottom"/>
        </w:tcPr>
        <w:p w14:paraId="40630046" w14:textId="3CFD9484" w:rsidR="00FD0B9B" w:rsidRPr="00FD0B9B" w:rsidRDefault="00FD0B9B" w:rsidP="00FD0B9B">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432646">
            <w:fldChar w:fldCharType="begin"/>
          </w:r>
          <w:r w:rsidR="00432646">
            <w:instrText xml:space="preserve"> NUMPAGES  \* Arabic  \* MERGEFORMAT </w:instrText>
          </w:r>
          <w:r w:rsidR="00432646">
            <w:fldChar w:fldCharType="separate"/>
          </w:r>
          <w:r>
            <w:rPr>
              <w:noProof/>
            </w:rPr>
            <w:t>4</w:t>
          </w:r>
          <w:r w:rsidR="00432646">
            <w:rPr>
              <w:noProof/>
            </w:rPr>
            <w:fldChar w:fldCharType="end"/>
          </w:r>
        </w:p>
      </w:tc>
      <w:tc>
        <w:tcPr>
          <w:tcW w:w="4920" w:type="dxa"/>
          <w:shd w:val="clear" w:color="auto" w:fill="auto"/>
          <w:vAlign w:val="bottom"/>
        </w:tcPr>
        <w:p w14:paraId="310E588B" w14:textId="6479E7C8" w:rsidR="00FD0B9B" w:rsidRPr="00FD0B9B" w:rsidRDefault="00FD0B9B" w:rsidP="00FD0B9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80614">
            <w:rPr>
              <w:b w:val="0"/>
              <w:color w:val="000000"/>
              <w:sz w:val="14"/>
            </w:rPr>
            <w:t>20-13910</w:t>
          </w:r>
          <w:r>
            <w:rPr>
              <w:b w:val="0"/>
              <w:color w:val="000000"/>
              <w:sz w:val="14"/>
            </w:rPr>
            <w:fldChar w:fldCharType="end"/>
          </w:r>
        </w:p>
      </w:tc>
    </w:tr>
  </w:tbl>
  <w:p w14:paraId="655CA9A9" w14:textId="77777777" w:rsidR="00FD0B9B" w:rsidRPr="00FD0B9B" w:rsidRDefault="00FD0B9B" w:rsidP="00FD0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D0B9B" w14:paraId="708A0F98" w14:textId="77777777" w:rsidTr="00FD0B9B">
      <w:tc>
        <w:tcPr>
          <w:tcW w:w="4920" w:type="dxa"/>
          <w:shd w:val="clear" w:color="auto" w:fill="auto"/>
          <w:vAlign w:val="bottom"/>
        </w:tcPr>
        <w:p w14:paraId="3AB3D5AA" w14:textId="12E76E1F" w:rsidR="00FD0B9B" w:rsidRPr="00FD0B9B" w:rsidRDefault="00FD0B9B" w:rsidP="00FD0B9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80614">
            <w:rPr>
              <w:b w:val="0"/>
              <w:color w:val="000000"/>
              <w:sz w:val="14"/>
            </w:rPr>
            <w:t>20-13910</w:t>
          </w:r>
          <w:r>
            <w:rPr>
              <w:b w:val="0"/>
              <w:color w:val="000000"/>
              <w:sz w:val="14"/>
            </w:rPr>
            <w:fldChar w:fldCharType="end"/>
          </w:r>
        </w:p>
      </w:tc>
      <w:tc>
        <w:tcPr>
          <w:tcW w:w="4920" w:type="dxa"/>
          <w:shd w:val="clear" w:color="auto" w:fill="auto"/>
          <w:vAlign w:val="bottom"/>
        </w:tcPr>
        <w:p w14:paraId="2018BFFD" w14:textId="1A7FFABE" w:rsidR="00FD0B9B" w:rsidRPr="00FD0B9B" w:rsidRDefault="00FD0B9B" w:rsidP="00FD0B9B">
          <w:pPr>
            <w:pStyle w:val="Footer"/>
            <w:jc w:val="right"/>
          </w:pPr>
          <w:r>
            <w:fldChar w:fldCharType="begin"/>
          </w:r>
          <w:r>
            <w:instrText xml:space="preserve"> PAGE  \* Arabic  \* MERGEFORMAT </w:instrText>
          </w:r>
          <w:r>
            <w:fldChar w:fldCharType="separate"/>
          </w:r>
          <w:r>
            <w:rPr>
              <w:noProof/>
            </w:rPr>
            <w:t>2</w:t>
          </w:r>
          <w:r>
            <w:fldChar w:fldCharType="end"/>
          </w:r>
          <w:r>
            <w:t>/</w:t>
          </w:r>
          <w:r w:rsidR="00432646">
            <w:fldChar w:fldCharType="begin"/>
          </w:r>
          <w:r w:rsidR="00432646">
            <w:instrText xml:space="preserve"> NUMPAGES  \* Arabic  \* MERGEFORMAT </w:instrText>
          </w:r>
          <w:r w:rsidR="00432646">
            <w:fldChar w:fldCharType="separate"/>
          </w:r>
          <w:r>
            <w:rPr>
              <w:noProof/>
            </w:rPr>
            <w:t>4</w:t>
          </w:r>
          <w:r w:rsidR="00432646">
            <w:rPr>
              <w:noProof/>
            </w:rPr>
            <w:fldChar w:fldCharType="end"/>
          </w:r>
        </w:p>
      </w:tc>
    </w:tr>
  </w:tbl>
  <w:p w14:paraId="56D92F12" w14:textId="77777777" w:rsidR="00FD0B9B" w:rsidRPr="00FD0B9B" w:rsidRDefault="00FD0B9B" w:rsidP="00FD0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FD0B9B" w14:paraId="06FBEAA7" w14:textId="77777777" w:rsidTr="00FD0B9B">
      <w:tc>
        <w:tcPr>
          <w:tcW w:w="3830" w:type="dxa"/>
        </w:tcPr>
        <w:p w14:paraId="1A0C05BF" w14:textId="15519B2E" w:rsidR="00FD0B9B" w:rsidRDefault="00FD0B9B" w:rsidP="00FD0B9B">
          <w:pPr>
            <w:pStyle w:val="ReleaseDate"/>
            <w:rPr>
              <w:color w:val="010000"/>
            </w:rPr>
          </w:pPr>
          <w:r>
            <w:rPr>
              <w:noProof/>
            </w:rPr>
            <w:drawing>
              <wp:anchor distT="0" distB="0" distL="114300" distR="114300" simplePos="0" relativeHeight="251658240" behindDoc="0" locked="0" layoutInCell="1" allowOverlap="1" wp14:anchorId="17F29B83" wp14:editId="757124FC">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TKM/FCO/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FCO/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20-13910 (</w:t>
          </w:r>
          <w:proofErr w:type="gramStart"/>
          <w:r>
            <w:t>R)</w:t>
          </w:r>
          <w:r>
            <w:rPr>
              <w:color w:val="010000"/>
            </w:rPr>
            <w:t xml:space="preserve">   </w:t>
          </w:r>
          <w:proofErr w:type="gramEnd"/>
          <w:r>
            <w:rPr>
              <w:color w:val="010000"/>
            </w:rPr>
            <w:t xml:space="preserve"> 221020    221020</w:t>
          </w:r>
        </w:p>
        <w:p w14:paraId="38C6762F" w14:textId="5A452090" w:rsidR="00FD0B9B" w:rsidRPr="00FD0B9B" w:rsidRDefault="00FD0B9B" w:rsidP="00FD0B9B">
          <w:pPr>
            <w:spacing w:before="80" w:line="210" w:lineRule="exact"/>
            <w:rPr>
              <w:rFonts w:ascii="Barcode 3 of 9 by request" w:hAnsi="Barcode 3 of 9 by request"/>
              <w:w w:val="100"/>
              <w:sz w:val="24"/>
            </w:rPr>
          </w:pPr>
          <w:r>
            <w:rPr>
              <w:rFonts w:ascii="Barcode 3 of 9 by request" w:hAnsi="Barcode 3 of 9 by request"/>
              <w:b/>
              <w:w w:val="100"/>
              <w:sz w:val="24"/>
            </w:rPr>
            <w:t>*2013910*</w:t>
          </w:r>
        </w:p>
      </w:tc>
      <w:tc>
        <w:tcPr>
          <w:tcW w:w="4920" w:type="dxa"/>
        </w:tcPr>
        <w:p w14:paraId="30B0BAD2" w14:textId="6060AB34" w:rsidR="00FD0B9B" w:rsidRDefault="00FD0B9B" w:rsidP="00FD0B9B">
          <w:pPr>
            <w:pStyle w:val="Footer"/>
            <w:spacing w:line="240" w:lineRule="atLeast"/>
            <w:jc w:val="right"/>
            <w:rPr>
              <w:b w:val="0"/>
              <w:sz w:val="20"/>
            </w:rPr>
          </w:pPr>
          <w:r>
            <w:rPr>
              <w:b w:val="0"/>
              <w:noProof/>
              <w:sz w:val="20"/>
            </w:rPr>
            <w:drawing>
              <wp:inline distT="0" distB="0" distL="0" distR="0" wp14:anchorId="7794CDFE" wp14:editId="3FF9F1E7">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0BCD4412" w14:textId="77777777" w:rsidR="00FD0B9B" w:rsidRPr="00FD0B9B" w:rsidRDefault="00FD0B9B" w:rsidP="00FD0B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8B8F4" w14:textId="77777777" w:rsidR="00432646" w:rsidRPr="00971646" w:rsidRDefault="00432646" w:rsidP="00971646">
      <w:pPr>
        <w:pStyle w:val="Footer"/>
        <w:spacing w:after="80"/>
        <w:ind w:left="792"/>
      </w:pPr>
      <w:r w:rsidRPr="00971646">
        <w:t>__________________</w:t>
      </w:r>
    </w:p>
  </w:footnote>
  <w:footnote w:type="continuationSeparator" w:id="0">
    <w:p w14:paraId="7CD531E8" w14:textId="77777777" w:rsidR="00432646" w:rsidRPr="00971646" w:rsidRDefault="00432646" w:rsidP="00971646">
      <w:pPr>
        <w:pStyle w:val="Footer"/>
        <w:spacing w:after="80"/>
        <w:ind w:left="792"/>
      </w:pPr>
      <w:r w:rsidRPr="00971646">
        <w:t>__________________</w:t>
      </w:r>
    </w:p>
  </w:footnote>
  <w:footnote w:id="1">
    <w:p w14:paraId="5E3E42B6" w14:textId="77777777" w:rsidR="00971646" w:rsidRPr="00B74D7C" w:rsidRDefault="00971646" w:rsidP="00971646">
      <w:pPr>
        <w:pStyle w:val="FootnoteText"/>
        <w:tabs>
          <w:tab w:val="right" w:pos="1195"/>
          <w:tab w:val="left" w:pos="1267"/>
          <w:tab w:val="left" w:pos="1742"/>
          <w:tab w:val="left" w:pos="2218"/>
          <w:tab w:val="left" w:pos="2693"/>
        </w:tabs>
        <w:ind w:left="1267" w:right="1260" w:hanging="432"/>
      </w:pPr>
      <w:r w:rsidRPr="00B74D7C">
        <w:tab/>
      </w:r>
      <w:r w:rsidRPr="00B74D7C">
        <w:rPr>
          <w:rStyle w:val="FootnoteReference"/>
          <w:sz w:val="20"/>
          <w:vertAlign w:val="baseline"/>
        </w:rPr>
        <w:t>*</w:t>
      </w:r>
      <w:r w:rsidRPr="00B74D7C">
        <w:rPr>
          <w:sz w:val="20"/>
        </w:rPr>
        <w:tab/>
      </w:r>
      <w:r w:rsidRPr="00EB1CDE">
        <w:t>Настоящий документ выпускается без официального редактирования</w:t>
      </w:r>
      <w:r w:rsidRPr="00B74D7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0B9B" w14:paraId="660F9E3D" w14:textId="77777777" w:rsidTr="00FD0B9B">
      <w:trPr>
        <w:trHeight w:hRule="exact" w:val="864"/>
      </w:trPr>
      <w:tc>
        <w:tcPr>
          <w:tcW w:w="4920" w:type="dxa"/>
          <w:shd w:val="clear" w:color="auto" w:fill="auto"/>
          <w:vAlign w:val="bottom"/>
        </w:tcPr>
        <w:p w14:paraId="0141216B" w14:textId="75812C83" w:rsidR="00FD0B9B" w:rsidRPr="00FD0B9B" w:rsidRDefault="00FD0B9B" w:rsidP="00FD0B9B">
          <w:pPr>
            <w:pStyle w:val="Header"/>
            <w:spacing w:after="80"/>
            <w:rPr>
              <w:b/>
            </w:rPr>
          </w:pPr>
          <w:r>
            <w:rPr>
              <w:b/>
            </w:rPr>
            <w:fldChar w:fldCharType="begin"/>
          </w:r>
          <w:r>
            <w:rPr>
              <w:b/>
            </w:rPr>
            <w:instrText xml:space="preserve"> DOCVARIABLE "sss1" \* MERGEFORMAT </w:instrText>
          </w:r>
          <w:r>
            <w:rPr>
              <w:b/>
            </w:rPr>
            <w:fldChar w:fldCharType="separate"/>
          </w:r>
          <w:r w:rsidR="00A80614">
            <w:rPr>
              <w:b/>
            </w:rPr>
            <w:t>CEDAW/C/TKM/FCO/5</w:t>
          </w:r>
          <w:r>
            <w:rPr>
              <w:b/>
            </w:rPr>
            <w:fldChar w:fldCharType="end"/>
          </w:r>
        </w:p>
      </w:tc>
      <w:tc>
        <w:tcPr>
          <w:tcW w:w="4920" w:type="dxa"/>
          <w:shd w:val="clear" w:color="auto" w:fill="auto"/>
          <w:vAlign w:val="bottom"/>
        </w:tcPr>
        <w:p w14:paraId="3AABA617" w14:textId="77777777" w:rsidR="00FD0B9B" w:rsidRDefault="00FD0B9B" w:rsidP="00FD0B9B">
          <w:pPr>
            <w:pStyle w:val="Header"/>
          </w:pPr>
        </w:p>
      </w:tc>
    </w:tr>
  </w:tbl>
  <w:p w14:paraId="3BE8FDBA" w14:textId="77777777" w:rsidR="00FD0B9B" w:rsidRPr="00FD0B9B" w:rsidRDefault="00FD0B9B" w:rsidP="00FD0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0B9B" w14:paraId="0151DED9" w14:textId="77777777" w:rsidTr="00FD0B9B">
      <w:trPr>
        <w:trHeight w:hRule="exact" w:val="864"/>
      </w:trPr>
      <w:tc>
        <w:tcPr>
          <w:tcW w:w="4920" w:type="dxa"/>
          <w:shd w:val="clear" w:color="auto" w:fill="auto"/>
          <w:vAlign w:val="bottom"/>
        </w:tcPr>
        <w:p w14:paraId="3E9847E4" w14:textId="77777777" w:rsidR="00FD0B9B" w:rsidRDefault="00FD0B9B" w:rsidP="00FD0B9B">
          <w:pPr>
            <w:pStyle w:val="Header"/>
          </w:pPr>
        </w:p>
      </w:tc>
      <w:tc>
        <w:tcPr>
          <w:tcW w:w="4920" w:type="dxa"/>
          <w:shd w:val="clear" w:color="auto" w:fill="auto"/>
          <w:vAlign w:val="bottom"/>
        </w:tcPr>
        <w:p w14:paraId="730AD31C" w14:textId="413DCD38" w:rsidR="00FD0B9B" w:rsidRPr="00FD0B9B" w:rsidRDefault="00FD0B9B" w:rsidP="00FD0B9B">
          <w:pPr>
            <w:pStyle w:val="Header"/>
            <w:spacing w:after="80"/>
            <w:jc w:val="right"/>
            <w:rPr>
              <w:b/>
            </w:rPr>
          </w:pPr>
          <w:r>
            <w:rPr>
              <w:b/>
            </w:rPr>
            <w:fldChar w:fldCharType="begin"/>
          </w:r>
          <w:r>
            <w:rPr>
              <w:b/>
            </w:rPr>
            <w:instrText xml:space="preserve"> DOCVARIABLE "sss1" \* MERGEFORMAT </w:instrText>
          </w:r>
          <w:r>
            <w:rPr>
              <w:b/>
            </w:rPr>
            <w:fldChar w:fldCharType="separate"/>
          </w:r>
          <w:r w:rsidR="00A80614">
            <w:rPr>
              <w:b/>
            </w:rPr>
            <w:t>CEDAW/C/TKM/FCO/5</w:t>
          </w:r>
          <w:r>
            <w:rPr>
              <w:b/>
            </w:rPr>
            <w:fldChar w:fldCharType="end"/>
          </w:r>
        </w:p>
      </w:tc>
    </w:tr>
  </w:tbl>
  <w:p w14:paraId="5DF1529D" w14:textId="77777777" w:rsidR="00FD0B9B" w:rsidRPr="00FD0B9B" w:rsidRDefault="00FD0B9B" w:rsidP="00FD0B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FD0B9B" w14:paraId="0DB97E53" w14:textId="77777777" w:rsidTr="00FD0B9B">
      <w:trPr>
        <w:trHeight w:hRule="exact" w:val="864"/>
      </w:trPr>
      <w:tc>
        <w:tcPr>
          <w:tcW w:w="4421" w:type="dxa"/>
          <w:gridSpan w:val="2"/>
          <w:tcBorders>
            <w:bottom w:val="single" w:sz="4" w:space="0" w:color="auto"/>
          </w:tcBorders>
          <w:shd w:val="clear" w:color="auto" w:fill="auto"/>
          <w:vAlign w:val="bottom"/>
        </w:tcPr>
        <w:p w14:paraId="21CAB013" w14:textId="5CCED49E" w:rsidR="00FD0B9B" w:rsidRPr="00FD0B9B" w:rsidRDefault="00FD0B9B" w:rsidP="00FD0B9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77D194F4" w14:textId="77777777" w:rsidR="00FD0B9B" w:rsidRDefault="00FD0B9B" w:rsidP="00FD0B9B">
          <w:pPr>
            <w:pStyle w:val="Header"/>
            <w:spacing w:after="120"/>
          </w:pPr>
        </w:p>
      </w:tc>
      <w:tc>
        <w:tcPr>
          <w:tcW w:w="5198" w:type="dxa"/>
          <w:gridSpan w:val="4"/>
          <w:tcBorders>
            <w:bottom w:val="single" w:sz="4" w:space="0" w:color="auto"/>
          </w:tcBorders>
          <w:shd w:val="clear" w:color="auto" w:fill="auto"/>
          <w:vAlign w:val="bottom"/>
        </w:tcPr>
        <w:p w14:paraId="3E4C3C7E" w14:textId="237AF03C" w:rsidR="00FD0B9B" w:rsidRPr="00FD0B9B" w:rsidRDefault="00FD0B9B" w:rsidP="00FD0B9B">
          <w:pPr>
            <w:pStyle w:val="Header"/>
            <w:spacing w:after="20"/>
            <w:jc w:val="right"/>
            <w:rPr>
              <w:sz w:val="20"/>
            </w:rPr>
          </w:pPr>
          <w:r>
            <w:rPr>
              <w:sz w:val="40"/>
            </w:rPr>
            <w:t>CEDAW</w:t>
          </w:r>
          <w:r>
            <w:rPr>
              <w:sz w:val="20"/>
            </w:rPr>
            <w:t>/C/TKM/FCO/5</w:t>
          </w:r>
        </w:p>
      </w:tc>
    </w:tr>
    <w:tr w:rsidR="00FD0B9B" w:rsidRPr="00FD0B9B" w14:paraId="49E364F4" w14:textId="77777777" w:rsidTr="00FD0B9B">
      <w:trPr>
        <w:gridAfter w:val="1"/>
        <w:wAfter w:w="15" w:type="dxa"/>
        <w:trHeight w:hRule="exact" w:val="2880"/>
      </w:trPr>
      <w:tc>
        <w:tcPr>
          <w:tcW w:w="1267" w:type="dxa"/>
          <w:tcBorders>
            <w:top w:val="single" w:sz="4" w:space="0" w:color="auto"/>
            <w:bottom w:val="single" w:sz="12" w:space="0" w:color="auto"/>
          </w:tcBorders>
          <w:shd w:val="clear" w:color="auto" w:fill="auto"/>
        </w:tcPr>
        <w:p w14:paraId="202FF3BF" w14:textId="5C56452C" w:rsidR="00FD0B9B" w:rsidRPr="00FD0B9B" w:rsidRDefault="00FD0B9B" w:rsidP="00FD0B9B">
          <w:pPr>
            <w:pStyle w:val="Header"/>
            <w:spacing w:before="120"/>
            <w:jc w:val="center"/>
          </w:pPr>
          <w:r>
            <w:rPr>
              <w:noProof/>
            </w:rPr>
            <w:drawing>
              <wp:inline distT="0" distB="0" distL="0" distR="0" wp14:anchorId="74A89BEC" wp14:editId="2214BD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A6A5B3" w14:textId="10C59B3D" w:rsidR="00FD0B9B" w:rsidRPr="00FD0B9B" w:rsidRDefault="00FD0B9B" w:rsidP="00FD0B9B">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162FB087" w14:textId="77777777" w:rsidR="00FD0B9B" w:rsidRPr="00FD0B9B" w:rsidRDefault="00FD0B9B" w:rsidP="00FD0B9B">
          <w:pPr>
            <w:pStyle w:val="Header"/>
            <w:spacing w:before="109"/>
          </w:pPr>
        </w:p>
      </w:tc>
      <w:tc>
        <w:tcPr>
          <w:tcW w:w="3110" w:type="dxa"/>
          <w:tcBorders>
            <w:top w:val="single" w:sz="4" w:space="0" w:color="auto"/>
            <w:bottom w:val="single" w:sz="12" w:space="0" w:color="auto"/>
          </w:tcBorders>
          <w:shd w:val="clear" w:color="auto" w:fill="auto"/>
        </w:tcPr>
        <w:p w14:paraId="16532610" w14:textId="77777777" w:rsidR="00FD0B9B" w:rsidRPr="00971646" w:rsidRDefault="00FD0B9B" w:rsidP="00FD0B9B">
          <w:pPr>
            <w:pStyle w:val="Distribution"/>
            <w:rPr>
              <w:color w:val="000000"/>
              <w:lang w:val="en-US"/>
            </w:rPr>
          </w:pPr>
          <w:r w:rsidRPr="00971646">
            <w:rPr>
              <w:color w:val="000000"/>
              <w:lang w:val="en-US"/>
            </w:rPr>
            <w:t>Distr.: General</w:t>
          </w:r>
        </w:p>
        <w:p w14:paraId="242247F3" w14:textId="77777777" w:rsidR="00FD0B9B" w:rsidRPr="00971646" w:rsidRDefault="00FD0B9B" w:rsidP="00FD0B9B">
          <w:pPr>
            <w:pStyle w:val="Publication"/>
            <w:rPr>
              <w:color w:val="000000"/>
              <w:lang w:val="en-US"/>
            </w:rPr>
          </w:pPr>
          <w:r w:rsidRPr="00971646">
            <w:rPr>
              <w:color w:val="000000"/>
              <w:lang w:val="en-US"/>
            </w:rPr>
            <w:t>21 October 2020</w:t>
          </w:r>
        </w:p>
        <w:p w14:paraId="006A961E" w14:textId="77777777" w:rsidR="00FD0B9B" w:rsidRPr="00971646" w:rsidRDefault="00FD0B9B" w:rsidP="00FD0B9B">
          <w:pPr>
            <w:rPr>
              <w:color w:val="000000"/>
              <w:lang w:val="en-US"/>
            </w:rPr>
          </w:pPr>
          <w:r w:rsidRPr="00971646">
            <w:rPr>
              <w:color w:val="000000"/>
              <w:lang w:val="en-US"/>
            </w:rPr>
            <w:t>Russian</w:t>
          </w:r>
        </w:p>
        <w:p w14:paraId="065B2007" w14:textId="77777777" w:rsidR="00FD0B9B" w:rsidRPr="00971646" w:rsidRDefault="00FD0B9B" w:rsidP="00FD0B9B">
          <w:pPr>
            <w:pStyle w:val="Original"/>
            <w:rPr>
              <w:color w:val="000000"/>
              <w:lang w:val="en-US"/>
            </w:rPr>
          </w:pPr>
          <w:r w:rsidRPr="00971646">
            <w:rPr>
              <w:color w:val="000000"/>
              <w:lang w:val="en-US"/>
            </w:rPr>
            <w:t>Original: English/French/Russian/</w:t>
          </w:r>
        </w:p>
        <w:p w14:paraId="658604CB" w14:textId="087B442D" w:rsidR="00FD0B9B" w:rsidRPr="00971646" w:rsidRDefault="00FD0B9B" w:rsidP="00FD0B9B">
          <w:pPr>
            <w:pStyle w:val="Original"/>
            <w:rPr>
              <w:color w:val="000000"/>
              <w:lang w:val="en-US"/>
            </w:rPr>
          </w:pPr>
          <w:r>
            <w:rPr>
              <w:color w:val="000000"/>
            </w:rPr>
            <w:t>Spanish</w:t>
          </w:r>
          <w:r w:rsidR="00971646">
            <w:rPr>
              <w:color w:val="000000"/>
              <w:lang w:val="en-US"/>
            </w:rPr>
            <w:t xml:space="preserve"> only</w:t>
          </w:r>
        </w:p>
        <w:p w14:paraId="3E93DF1E" w14:textId="1D37174F" w:rsidR="00FD0B9B" w:rsidRPr="00FD0B9B" w:rsidRDefault="00FD0B9B" w:rsidP="00FD0B9B"/>
      </w:tc>
    </w:tr>
  </w:tbl>
  <w:p w14:paraId="6C334F24" w14:textId="77777777" w:rsidR="00FD0B9B" w:rsidRPr="00FD0B9B" w:rsidRDefault="00FD0B9B" w:rsidP="00FD0B9B">
    <w:pPr>
      <w:pStyle w:val="Header"/>
      <w:spacing w:line="20" w:lineRule="exac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10*"/>
    <w:docVar w:name="CreationDt" w:val="10/22/2020 11:22 AM"/>
    <w:docVar w:name="DocCategory" w:val="Doc"/>
    <w:docVar w:name="DocType" w:val="Final"/>
    <w:docVar w:name="DutyStation" w:val="New York"/>
    <w:docVar w:name="FooterJN" w:val="20-13910"/>
    <w:docVar w:name="jobn" w:val="20-13910 (R)"/>
    <w:docVar w:name="jobnDT" w:val="20-13910 (R)   221020"/>
    <w:docVar w:name="jobnDTDT" w:val="20-13910 (R)   221020   221020"/>
    <w:docVar w:name="JobNo" w:val="2013910R"/>
    <w:docVar w:name="JobNo2" w:val="2028022R"/>
    <w:docVar w:name="LocalDrive" w:val="-1"/>
    <w:docVar w:name="OandT" w:val=" "/>
    <w:docVar w:name="sss1" w:val="CEDAW/C/TKM/FCO/5"/>
    <w:docVar w:name="sss2" w:val="-"/>
    <w:docVar w:name="Symbol1" w:val="CEDAW/C/TKM/FCO/5"/>
    <w:docVar w:name="Symbol2" w:val="-"/>
  </w:docVars>
  <w:rsids>
    <w:rsidRoot w:val="00A115B6"/>
    <w:rsid w:val="00003F8C"/>
    <w:rsid w:val="00004C44"/>
    <w:rsid w:val="00005E89"/>
    <w:rsid w:val="00015EBA"/>
    <w:rsid w:val="00020101"/>
    <w:rsid w:val="00026F4C"/>
    <w:rsid w:val="00057473"/>
    <w:rsid w:val="00057EA7"/>
    <w:rsid w:val="00060B10"/>
    <w:rsid w:val="00060F82"/>
    <w:rsid w:val="000721DC"/>
    <w:rsid w:val="00075E94"/>
    <w:rsid w:val="00081710"/>
    <w:rsid w:val="000A1A1B"/>
    <w:rsid w:val="000B0F8C"/>
    <w:rsid w:val="000F5A72"/>
    <w:rsid w:val="0010192A"/>
    <w:rsid w:val="00111648"/>
    <w:rsid w:val="001119DE"/>
    <w:rsid w:val="0013087A"/>
    <w:rsid w:val="00150574"/>
    <w:rsid w:val="0015433D"/>
    <w:rsid w:val="001824A1"/>
    <w:rsid w:val="001B0786"/>
    <w:rsid w:val="001D7B04"/>
    <w:rsid w:val="001F427A"/>
    <w:rsid w:val="001F7371"/>
    <w:rsid w:val="00200D52"/>
    <w:rsid w:val="00204EF2"/>
    <w:rsid w:val="00210332"/>
    <w:rsid w:val="00210AF4"/>
    <w:rsid w:val="00210EC3"/>
    <w:rsid w:val="00215A7D"/>
    <w:rsid w:val="0022186E"/>
    <w:rsid w:val="002550F0"/>
    <w:rsid w:val="002553EF"/>
    <w:rsid w:val="002611A1"/>
    <w:rsid w:val="0026551B"/>
    <w:rsid w:val="002A727D"/>
    <w:rsid w:val="002B01C8"/>
    <w:rsid w:val="002C54CF"/>
    <w:rsid w:val="002D2C61"/>
    <w:rsid w:val="002E36EC"/>
    <w:rsid w:val="002F4047"/>
    <w:rsid w:val="003039BD"/>
    <w:rsid w:val="00312FED"/>
    <w:rsid w:val="00315EB0"/>
    <w:rsid w:val="003218EF"/>
    <w:rsid w:val="00323373"/>
    <w:rsid w:val="003256B4"/>
    <w:rsid w:val="00337A12"/>
    <w:rsid w:val="003428C2"/>
    <w:rsid w:val="00355D98"/>
    <w:rsid w:val="0037033D"/>
    <w:rsid w:val="00375222"/>
    <w:rsid w:val="003807EF"/>
    <w:rsid w:val="0038495D"/>
    <w:rsid w:val="00394CE2"/>
    <w:rsid w:val="003A4339"/>
    <w:rsid w:val="003F267E"/>
    <w:rsid w:val="003F7347"/>
    <w:rsid w:val="00411A45"/>
    <w:rsid w:val="0041367A"/>
    <w:rsid w:val="0042356D"/>
    <w:rsid w:val="004240B1"/>
    <w:rsid w:val="00425EC7"/>
    <w:rsid w:val="00425FDE"/>
    <w:rsid w:val="004266DA"/>
    <w:rsid w:val="004275D7"/>
    <w:rsid w:val="004279A5"/>
    <w:rsid w:val="00431502"/>
    <w:rsid w:val="00432646"/>
    <w:rsid w:val="00432AC6"/>
    <w:rsid w:val="0043385C"/>
    <w:rsid w:val="004731F9"/>
    <w:rsid w:val="004774BC"/>
    <w:rsid w:val="00484BDD"/>
    <w:rsid w:val="00491C85"/>
    <w:rsid w:val="004A3536"/>
    <w:rsid w:val="004C2844"/>
    <w:rsid w:val="004C2C9C"/>
    <w:rsid w:val="004C3311"/>
    <w:rsid w:val="004D05C7"/>
    <w:rsid w:val="004D17EC"/>
    <w:rsid w:val="004F08DE"/>
    <w:rsid w:val="00525099"/>
    <w:rsid w:val="00542D6F"/>
    <w:rsid w:val="00552407"/>
    <w:rsid w:val="005644C2"/>
    <w:rsid w:val="00571999"/>
    <w:rsid w:val="00571CC0"/>
    <w:rsid w:val="00573CDD"/>
    <w:rsid w:val="00592919"/>
    <w:rsid w:val="00593611"/>
    <w:rsid w:val="005A2266"/>
    <w:rsid w:val="005A3B44"/>
    <w:rsid w:val="005B27EA"/>
    <w:rsid w:val="005B58D8"/>
    <w:rsid w:val="005C293B"/>
    <w:rsid w:val="005D1FB0"/>
    <w:rsid w:val="005D7FD7"/>
    <w:rsid w:val="00605D17"/>
    <w:rsid w:val="006201CD"/>
    <w:rsid w:val="00631540"/>
    <w:rsid w:val="00635C39"/>
    <w:rsid w:val="00643F79"/>
    <w:rsid w:val="00655F4F"/>
    <w:rsid w:val="00657856"/>
    <w:rsid w:val="006766A7"/>
    <w:rsid w:val="00676CA5"/>
    <w:rsid w:val="006A43B3"/>
    <w:rsid w:val="006B0972"/>
    <w:rsid w:val="006D4969"/>
    <w:rsid w:val="006E5CA5"/>
    <w:rsid w:val="006F1065"/>
    <w:rsid w:val="006F22AE"/>
    <w:rsid w:val="006F36B4"/>
    <w:rsid w:val="007014F5"/>
    <w:rsid w:val="00705A84"/>
    <w:rsid w:val="00725E54"/>
    <w:rsid w:val="00726630"/>
    <w:rsid w:val="00734595"/>
    <w:rsid w:val="007367D3"/>
    <w:rsid w:val="0073748E"/>
    <w:rsid w:val="0075460C"/>
    <w:rsid w:val="00781B8B"/>
    <w:rsid w:val="00793FB0"/>
    <w:rsid w:val="007B4A8D"/>
    <w:rsid w:val="007B55CD"/>
    <w:rsid w:val="007B78A6"/>
    <w:rsid w:val="007D2E54"/>
    <w:rsid w:val="007D3308"/>
    <w:rsid w:val="007D3604"/>
    <w:rsid w:val="007E066C"/>
    <w:rsid w:val="0080025F"/>
    <w:rsid w:val="00814E1F"/>
    <w:rsid w:val="008208FF"/>
    <w:rsid w:val="008335CA"/>
    <w:rsid w:val="0083640B"/>
    <w:rsid w:val="00837B6A"/>
    <w:rsid w:val="00840363"/>
    <w:rsid w:val="00843551"/>
    <w:rsid w:val="008444E2"/>
    <w:rsid w:val="00855FDF"/>
    <w:rsid w:val="00863A3E"/>
    <w:rsid w:val="00882D1C"/>
    <w:rsid w:val="00896337"/>
    <w:rsid w:val="00897192"/>
    <w:rsid w:val="008A350A"/>
    <w:rsid w:val="008B21ED"/>
    <w:rsid w:val="008B3EC4"/>
    <w:rsid w:val="008B4A4B"/>
    <w:rsid w:val="008C57D9"/>
    <w:rsid w:val="008D44C6"/>
    <w:rsid w:val="008D6576"/>
    <w:rsid w:val="008D6A70"/>
    <w:rsid w:val="008D7164"/>
    <w:rsid w:val="008E0493"/>
    <w:rsid w:val="008E3D70"/>
    <w:rsid w:val="008F6B83"/>
    <w:rsid w:val="00900B46"/>
    <w:rsid w:val="00907F36"/>
    <w:rsid w:val="0092447C"/>
    <w:rsid w:val="0094044F"/>
    <w:rsid w:val="00941523"/>
    <w:rsid w:val="009535B7"/>
    <w:rsid w:val="009617B8"/>
    <w:rsid w:val="0096420F"/>
    <w:rsid w:val="009707EE"/>
    <w:rsid w:val="00971646"/>
    <w:rsid w:val="00972652"/>
    <w:rsid w:val="009A1A35"/>
    <w:rsid w:val="009A4566"/>
    <w:rsid w:val="009C153C"/>
    <w:rsid w:val="009D5859"/>
    <w:rsid w:val="009E0860"/>
    <w:rsid w:val="009E5929"/>
    <w:rsid w:val="009F059F"/>
    <w:rsid w:val="009F077A"/>
    <w:rsid w:val="009F4036"/>
    <w:rsid w:val="009F55A8"/>
    <w:rsid w:val="009F5A56"/>
    <w:rsid w:val="00A115B6"/>
    <w:rsid w:val="00A27C6C"/>
    <w:rsid w:val="00A33C5F"/>
    <w:rsid w:val="00A355FA"/>
    <w:rsid w:val="00A417DB"/>
    <w:rsid w:val="00A45346"/>
    <w:rsid w:val="00A57A2C"/>
    <w:rsid w:val="00A57ABA"/>
    <w:rsid w:val="00A62F58"/>
    <w:rsid w:val="00A72FF5"/>
    <w:rsid w:val="00A80614"/>
    <w:rsid w:val="00A81499"/>
    <w:rsid w:val="00A83BB6"/>
    <w:rsid w:val="00A90503"/>
    <w:rsid w:val="00AA0CE4"/>
    <w:rsid w:val="00AA1C2F"/>
    <w:rsid w:val="00AB1E36"/>
    <w:rsid w:val="00AC5C40"/>
    <w:rsid w:val="00AD03B2"/>
    <w:rsid w:val="00B044ED"/>
    <w:rsid w:val="00B046BA"/>
    <w:rsid w:val="00B116F2"/>
    <w:rsid w:val="00B1175A"/>
    <w:rsid w:val="00B306AF"/>
    <w:rsid w:val="00B3525C"/>
    <w:rsid w:val="00B406D7"/>
    <w:rsid w:val="00B535EE"/>
    <w:rsid w:val="00B57CA1"/>
    <w:rsid w:val="00B745E4"/>
    <w:rsid w:val="00B75DC1"/>
    <w:rsid w:val="00B83C1C"/>
    <w:rsid w:val="00B95088"/>
    <w:rsid w:val="00B95A96"/>
    <w:rsid w:val="00B9738A"/>
    <w:rsid w:val="00BB3073"/>
    <w:rsid w:val="00BC18D1"/>
    <w:rsid w:val="00BD5581"/>
    <w:rsid w:val="00BD6F52"/>
    <w:rsid w:val="00BF2A3D"/>
    <w:rsid w:val="00BF46EB"/>
    <w:rsid w:val="00C06BC2"/>
    <w:rsid w:val="00C120FF"/>
    <w:rsid w:val="00C158D9"/>
    <w:rsid w:val="00C23096"/>
    <w:rsid w:val="00C26FCC"/>
    <w:rsid w:val="00C311AC"/>
    <w:rsid w:val="00C33CDF"/>
    <w:rsid w:val="00C33F65"/>
    <w:rsid w:val="00C40780"/>
    <w:rsid w:val="00C41769"/>
    <w:rsid w:val="00C450D4"/>
    <w:rsid w:val="00C45C26"/>
    <w:rsid w:val="00C54064"/>
    <w:rsid w:val="00C71CD0"/>
    <w:rsid w:val="00C77CD9"/>
    <w:rsid w:val="00C92B98"/>
    <w:rsid w:val="00C961B9"/>
    <w:rsid w:val="00CA48E3"/>
    <w:rsid w:val="00CA4BB0"/>
    <w:rsid w:val="00D0766E"/>
    <w:rsid w:val="00D11AF9"/>
    <w:rsid w:val="00D35EBB"/>
    <w:rsid w:val="00D57FC0"/>
    <w:rsid w:val="00D637F3"/>
    <w:rsid w:val="00D760D3"/>
    <w:rsid w:val="00D8160A"/>
    <w:rsid w:val="00D82575"/>
    <w:rsid w:val="00D82BC5"/>
    <w:rsid w:val="00D96F14"/>
    <w:rsid w:val="00DA5B0F"/>
    <w:rsid w:val="00DD6989"/>
    <w:rsid w:val="00DF78D1"/>
    <w:rsid w:val="00DF7F59"/>
    <w:rsid w:val="00E03929"/>
    <w:rsid w:val="00E10D88"/>
    <w:rsid w:val="00E144A8"/>
    <w:rsid w:val="00E1712A"/>
    <w:rsid w:val="00E2055C"/>
    <w:rsid w:val="00E25037"/>
    <w:rsid w:val="00E31387"/>
    <w:rsid w:val="00E416C7"/>
    <w:rsid w:val="00E476F3"/>
    <w:rsid w:val="00E51978"/>
    <w:rsid w:val="00E63352"/>
    <w:rsid w:val="00E720E8"/>
    <w:rsid w:val="00E739F9"/>
    <w:rsid w:val="00E7414B"/>
    <w:rsid w:val="00E8102A"/>
    <w:rsid w:val="00E82A67"/>
    <w:rsid w:val="00EB0790"/>
    <w:rsid w:val="00EB6108"/>
    <w:rsid w:val="00EC2A36"/>
    <w:rsid w:val="00EC318A"/>
    <w:rsid w:val="00EC3E74"/>
    <w:rsid w:val="00EC4F92"/>
    <w:rsid w:val="00EC5F3B"/>
    <w:rsid w:val="00ED2767"/>
    <w:rsid w:val="00ED295F"/>
    <w:rsid w:val="00ED31CE"/>
    <w:rsid w:val="00EE09F7"/>
    <w:rsid w:val="00EE13DA"/>
    <w:rsid w:val="00EF1631"/>
    <w:rsid w:val="00F140D2"/>
    <w:rsid w:val="00F164E9"/>
    <w:rsid w:val="00F17F80"/>
    <w:rsid w:val="00F2422B"/>
    <w:rsid w:val="00F25CE3"/>
    <w:rsid w:val="00F3729F"/>
    <w:rsid w:val="00F45CE4"/>
    <w:rsid w:val="00F52EB5"/>
    <w:rsid w:val="00F63321"/>
    <w:rsid w:val="00F72A8B"/>
    <w:rsid w:val="00F81CC1"/>
    <w:rsid w:val="00F9702C"/>
    <w:rsid w:val="00FB1E56"/>
    <w:rsid w:val="00FB50BE"/>
    <w:rsid w:val="00FB731E"/>
    <w:rsid w:val="00FB73F8"/>
    <w:rsid w:val="00FC0E2E"/>
    <w:rsid w:val="00FC2FD3"/>
    <w:rsid w:val="00FD0B9B"/>
    <w:rsid w:val="00FE7F7A"/>
    <w:rsid w:val="00FF39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ABA50C"/>
  <w15:chartTrackingRefBased/>
  <w15:docId w15:val="{0AA54D43-A0E9-4385-9774-2545D2B9D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F6B83"/>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8F6B83"/>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F6B83"/>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F6B83"/>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F6B83"/>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8F6B83"/>
    <w:pPr>
      <w:suppressAutoHyphens/>
      <w:spacing w:line="270" w:lineRule="exact"/>
      <w:outlineLvl w:val="0"/>
    </w:pPr>
    <w:rPr>
      <w:b/>
      <w:sz w:val="24"/>
    </w:rPr>
  </w:style>
  <w:style w:type="paragraph" w:customStyle="1" w:styleId="HCh">
    <w:name w:val="_ H _Ch"/>
    <w:basedOn w:val="H1"/>
    <w:next w:val="Normal"/>
    <w:qFormat/>
    <w:rsid w:val="008F6B83"/>
    <w:pPr>
      <w:keepNext/>
      <w:keepLines/>
      <w:spacing w:line="300" w:lineRule="exact"/>
    </w:pPr>
    <w:rPr>
      <w:spacing w:val="-2"/>
      <w:sz w:val="28"/>
    </w:rPr>
  </w:style>
  <w:style w:type="paragraph" w:customStyle="1" w:styleId="H23">
    <w:name w:val="_ H_2/3"/>
    <w:basedOn w:val="H1"/>
    <w:next w:val="Normal"/>
    <w:qFormat/>
    <w:rsid w:val="008F6B83"/>
    <w:pPr>
      <w:keepNext/>
      <w:keepLines/>
      <w:spacing w:line="240" w:lineRule="exact"/>
      <w:outlineLvl w:val="1"/>
    </w:pPr>
    <w:rPr>
      <w:spacing w:val="2"/>
      <w:sz w:val="20"/>
    </w:rPr>
  </w:style>
  <w:style w:type="paragraph" w:customStyle="1" w:styleId="H4">
    <w:name w:val="_ H_4"/>
    <w:basedOn w:val="Normal"/>
    <w:next w:val="Normal"/>
    <w:qFormat/>
    <w:rsid w:val="008F6B83"/>
    <w:pPr>
      <w:keepNext/>
      <w:keepLines/>
      <w:tabs>
        <w:tab w:val="right" w:pos="360"/>
      </w:tabs>
      <w:suppressAutoHyphens/>
      <w:outlineLvl w:val="3"/>
    </w:pPr>
    <w:rPr>
      <w:i/>
      <w:spacing w:val="3"/>
    </w:rPr>
  </w:style>
  <w:style w:type="paragraph" w:customStyle="1" w:styleId="H56">
    <w:name w:val="_ H_5/6"/>
    <w:basedOn w:val="Normal"/>
    <w:next w:val="Normal"/>
    <w:qFormat/>
    <w:rsid w:val="008F6B83"/>
    <w:pPr>
      <w:keepNext/>
      <w:keepLines/>
      <w:tabs>
        <w:tab w:val="right" w:pos="360"/>
      </w:tabs>
      <w:suppressAutoHyphens/>
      <w:ind w:left="1267" w:right="1267" w:hanging="1267"/>
      <w:outlineLvl w:val="4"/>
    </w:pPr>
  </w:style>
  <w:style w:type="paragraph" w:customStyle="1" w:styleId="DualTxt">
    <w:name w:val="__Dual Txt"/>
    <w:basedOn w:val="Normal"/>
    <w:qFormat/>
    <w:rsid w:val="008F6B8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F6B8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F6B83"/>
    <w:pPr>
      <w:spacing w:line="540" w:lineRule="exact"/>
    </w:pPr>
    <w:rPr>
      <w:spacing w:val="-8"/>
      <w:w w:val="96"/>
      <w:sz w:val="57"/>
    </w:rPr>
  </w:style>
  <w:style w:type="paragraph" w:customStyle="1" w:styleId="SS">
    <w:name w:val="__S_S"/>
    <w:basedOn w:val="SM"/>
    <w:next w:val="Normal"/>
    <w:qFormat/>
    <w:rsid w:val="008F6B83"/>
    <w:pPr>
      <w:spacing w:line="300" w:lineRule="exact"/>
      <w:ind w:left="1264" w:right="1264"/>
    </w:pPr>
    <w:rPr>
      <w:sz w:val="28"/>
    </w:rPr>
  </w:style>
  <w:style w:type="paragraph" w:customStyle="1" w:styleId="SingleTxt">
    <w:name w:val="__Single Txt"/>
    <w:basedOn w:val="Normal"/>
    <w:qFormat/>
    <w:rsid w:val="008F6B8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F6B83"/>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F6B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F6B83"/>
    <w:pPr>
      <w:keepNext/>
      <w:keepLines/>
      <w:spacing w:line="240" w:lineRule="exact"/>
      <w:ind w:right="5040"/>
      <w:outlineLvl w:val="1"/>
    </w:pPr>
    <w:rPr>
      <w:spacing w:val="2"/>
      <w:sz w:val="20"/>
    </w:rPr>
  </w:style>
  <w:style w:type="paragraph" w:customStyle="1" w:styleId="Bullet1">
    <w:name w:val="Bullet 1"/>
    <w:basedOn w:val="Normal"/>
    <w:qFormat/>
    <w:rsid w:val="008F6B83"/>
    <w:pPr>
      <w:numPr>
        <w:numId w:val="28"/>
      </w:numPr>
      <w:spacing w:after="120"/>
      <w:ind w:right="1267"/>
      <w:jc w:val="both"/>
    </w:pPr>
  </w:style>
  <w:style w:type="paragraph" w:customStyle="1" w:styleId="Bullet2">
    <w:name w:val="Bullet 2"/>
    <w:basedOn w:val="Normal"/>
    <w:qFormat/>
    <w:rsid w:val="008F6B83"/>
    <w:pPr>
      <w:numPr>
        <w:numId w:val="29"/>
      </w:numPr>
      <w:spacing w:after="120"/>
      <w:ind w:right="1267"/>
      <w:jc w:val="both"/>
    </w:pPr>
  </w:style>
  <w:style w:type="paragraph" w:customStyle="1" w:styleId="Bullet3">
    <w:name w:val="Bullet 3"/>
    <w:basedOn w:val="SingleTxt"/>
    <w:qFormat/>
    <w:rsid w:val="008F6B83"/>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F6B83"/>
    <w:pPr>
      <w:spacing w:before="240"/>
    </w:pPr>
    <w:rPr>
      <w:szCs w:val="20"/>
    </w:rPr>
  </w:style>
  <w:style w:type="character" w:styleId="EndnoteReference">
    <w:name w:val="endnote reference"/>
    <w:basedOn w:val="DefaultParagraphFont"/>
    <w:uiPriority w:val="1"/>
    <w:semiHidden/>
    <w:rsid w:val="008F6B8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F6B83"/>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F6B83"/>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8F6B83"/>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F6B83"/>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8F6B8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8F6B83"/>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8F6B83"/>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8F6B83"/>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F6B83"/>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8F6B83"/>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8F6B83"/>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F6B83"/>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F6B83"/>
    <w:pPr>
      <w:spacing w:after="120"/>
      <w:ind w:left="360"/>
      <w:contextualSpacing/>
    </w:pPr>
  </w:style>
  <w:style w:type="paragraph" w:styleId="ListContinue2">
    <w:name w:val="List Continue 2"/>
    <w:basedOn w:val="Normal"/>
    <w:next w:val="Normal"/>
    <w:uiPriority w:val="99"/>
    <w:rsid w:val="008F6B83"/>
    <w:pPr>
      <w:numPr>
        <w:numId w:val="31"/>
      </w:numPr>
      <w:tabs>
        <w:tab w:val="left" w:pos="792"/>
      </w:tabs>
      <w:spacing w:after="120"/>
    </w:pPr>
  </w:style>
  <w:style w:type="paragraph" w:styleId="ListNumber">
    <w:name w:val="List Number"/>
    <w:basedOn w:val="H1"/>
    <w:next w:val="Normal"/>
    <w:uiPriority w:val="99"/>
    <w:rsid w:val="008F6B83"/>
    <w:pPr>
      <w:numPr>
        <w:numId w:val="32"/>
      </w:numPr>
      <w:contextualSpacing/>
    </w:pPr>
  </w:style>
  <w:style w:type="paragraph" w:styleId="ListNumber2">
    <w:name w:val="List Number 2"/>
    <w:basedOn w:val="H23"/>
    <w:next w:val="Normal"/>
    <w:uiPriority w:val="99"/>
    <w:rsid w:val="008F6B83"/>
    <w:pPr>
      <w:numPr>
        <w:numId w:val="33"/>
      </w:numPr>
      <w:tabs>
        <w:tab w:val="left" w:pos="648"/>
      </w:tabs>
      <w:contextualSpacing/>
    </w:pPr>
  </w:style>
  <w:style w:type="paragraph" w:styleId="ListNumber3">
    <w:name w:val="List Number 3"/>
    <w:basedOn w:val="H23"/>
    <w:next w:val="Normal"/>
    <w:uiPriority w:val="99"/>
    <w:rsid w:val="008F6B83"/>
    <w:pPr>
      <w:numPr>
        <w:numId w:val="34"/>
      </w:numPr>
      <w:tabs>
        <w:tab w:val="left" w:pos="922"/>
      </w:tabs>
      <w:contextualSpacing/>
    </w:pPr>
  </w:style>
  <w:style w:type="paragraph" w:styleId="ListNumber4">
    <w:name w:val="List Number 4"/>
    <w:basedOn w:val="Normal"/>
    <w:uiPriority w:val="99"/>
    <w:rsid w:val="008F6B83"/>
    <w:pPr>
      <w:keepNext/>
      <w:keepLines/>
      <w:numPr>
        <w:numId w:val="35"/>
      </w:numPr>
      <w:tabs>
        <w:tab w:val="left" w:pos="1210"/>
      </w:tabs>
      <w:suppressAutoHyphens/>
      <w:contextualSpacing/>
      <w:outlineLvl w:val="3"/>
    </w:pPr>
    <w:rPr>
      <w:i/>
      <w:spacing w:val="3"/>
    </w:rPr>
  </w:style>
  <w:style w:type="paragraph" w:styleId="ListNumber5">
    <w:name w:val="List Number 5"/>
    <w:basedOn w:val="Normal"/>
    <w:next w:val="Normal"/>
    <w:uiPriority w:val="99"/>
    <w:rsid w:val="008F6B83"/>
    <w:pPr>
      <w:numPr>
        <w:numId w:val="36"/>
      </w:numPr>
      <w:tabs>
        <w:tab w:val="left" w:pos="1498"/>
      </w:tabs>
      <w:contextualSpacing/>
    </w:pPr>
  </w:style>
  <w:style w:type="paragraph" w:styleId="NoSpacing">
    <w:name w:val="No Spacing"/>
    <w:uiPriority w:val="1"/>
    <w:rsid w:val="008F6B83"/>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F6B83"/>
    <w:rPr>
      <w:szCs w:val="20"/>
    </w:rPr>
  </w:style>
  <w:style w:type="paragraph" w:customStyle="1" w:styleId="Publication">
    <w:name w:val="Publication"/>
    <w:basedOn w:val="Normal"/>
    <w:next w:val="Normal"/>
    <w:qFormat/>
    <w:rsid w:val="008F6B83"/>
  </w:style>
  <w:style w:type="paragraph" w:customStyle="1" w:styleId="ReleaseDate">
    <w:name w:val="ReleaseDate"/>
    <w:basedOn w:val="Normal"/>
    <w:next w:val="Normal"/>
    <w:qFormat/>
    <w:rsid w:val="008F6B83"/>
    <w:rPr>
      <w:szCs w:val="20"/>
    </w:rPr>
  </w:style>
  <w:style w:type="paragraph" w:customStyle="1" w:styleId="Small">
    <w:name w:val="Small"/>
    <w:basedOn w:val="Normal"/>
    <w:next w:val="Normal"/>
    <w:qFormat/>
    <w:rsid w:val="008F6B83"/>
    <w:pPr>
      <w:tabs>
        <w:tab w:val="right" w:pos="9965"/>
      </w:tabs>
      <w:spacing w:line="210" w:lineRule="exact"/>
    </w:pPr>
    <w:rPr>
      <w:spacing w:val="5"/>
      <w:w w:val="104"/>
      <w:sz w:val="17"/>
    </w:rPr>
  </w:style>
  <w:style w:type="paragraph" w:customStyle="1" w:styleId="SmallX">
    <w:name w:val="SmallX"/>
    <w:basedOn w:val="Small"/>
    <w:next w:val="Normal"/>
    <w:qFormat/>
    <w:rsid w:val="008F6B83"/>
    <w:pPr>
      <w:spacing w:line="180" w:lineRule="exact"/>
      <w:jc w:val="right"/>
    </w:pPr>
    <w:rPr>
      <w:spacing w:val="6"/>
      <w:w w:val="106"/>
      <w:sz w:val="14"/>
    </w:rPr>
  </w:style>
  <w:style w:type="paragraph" w:customStyle="1" w:styleId="TitleHCH">
    <w:name w:val="Title_H_CH"/>
    <w:basedOn w:val="H1"/>
    <w:next w:val="Normal"/>
    <w:qFormat/>
    <w:rsid w:val="008F6B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F6B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F6B83"/>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204EF2"/>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C961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FD0B9B"/>
    <w:rPr>
      <w:sz w:val="16"/>
      <w:szCs w:val="16"/>
    </w:rPr>
  </w:style>
  <w:style w:type="paragraph" w:styleId="CommentText">
    <w:name w:val="annotation text"/>
    <w:basedOn w:val="Normal"/>
    <w:link w:val="CommentTextChar"/>
    <w:uiPriority w:val="99"/>
    <w:semiHidden/>
    <w:unhideWhenUsed/>
    <w:rsid w:val="00FD0B9B"/>
    <w:pPr>
      <w:spacing w:line="240" w:lineRule="auto"/>
    </w:pPr>
    <w:rPr>
      <w:szCs w:val="20"/>
    </w:rPr>
  </w:style>
  <w:style w:type="character" w:customStyle="1" w:styleId="CommentTextChar">
    <w:name w:val="Comment Text Char"/>
    <w:basedOn w:val="DefaultParagraphFont"/>
    <w:link w:val="CommentText"/>
    <w:uiPriority w:val="99"/>
    <w:semiHidden/>
    <w:rsid w:val="00FD0B9B"/>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FD0B9B"/>
    <w:rPr>
      <w:b/>
      <w:bCs/>
    </w:rPr>
  </w:style>
  <w:style w:type="character" w:customStyle="1" w:styleId="CommentSubjectChar">
    <w:name w:val="Comment Subject Char"/>
    <w:basedOn w:val="CommentTextChar"/>
    <w:link w:val="CommentSubject"/>
    <w:uiPriority w:val="99"/>
    <w:semiHidden/>
    <w:rsid w:val="00FD0B9B"/>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3066</Words>
  <Characters>17478</Characters>
  <Application>Microsoft Office Word</Application>
  <DocSecurity>0</DocSecurity>
  <Lines>145</Lines>
  <Paragraphs>41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Комитет по ликвидации дискриминации в отношении женщин</vt:lpstr>
      <vt:lpstr>Информация, полученная от Туркменистана, о последующей деятельности по выполне</vt:lpstr>
    </vt:vector>
  </TitlesOfParts>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Russian Text Processing</dc:creator>
  <cp:keywords/>
  <dc:description/>
  <cp:lastModifiedBy>Irina Galitchskaia</cp:lastModifiedBy>
  <cp:revision>6</cp:revision>
  <cp:lastPrinted>2020-11-24T13:15:00Z</cp:lastPrinted>
  <dcterms:created xsi:type="dcterms:W3CDTF">2020-10-22T15:36:00Z</dcterms:created>
  <dcterms:modified xsi:type="dcterms:W3CDTF">2020-11-24T13:16:00Z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2013910R</vt:lpwstr>
  </property>
  <property fmtid="{D5CDD505-2E9C-101B-9397-08002B2CF9AE}" pid="3" name="ODSRefJobNo">
    <vt:lpwstr>2028022R</vt:lpwstr>
  </property>
  <property fmtid="{D5CDD505-2E9C-101B-9397-08002B2CF9AE}" pid="4" name="Symbol1">
    <vt:lpwstr>CEDAW/C/TKM/FCO/5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Информация, полученная от Туркменистана, о последующей деятельности по выполнению рекомендаций, содержащихся в заключительных замечаниях по его пятому периодическому докладу*_x000d_</vt:lpwstr>
  </property>
</Properties>
</file>