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0DFCF509" w14:textId="77777777" w:rsidTr="00C6457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B546CA4" w14:textId="77777777" w:rsidR="002D5AAC" w:rsidRPr="0056415C" w:rsidRDefault="002D5AAC" w:rsidP="000F355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sutil"/>
                <w:i w:val="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0D89363" w14:textId="77777777" w:rsidR="002D5AAC" w:rsidRPr="00BD33EE" w:rsidRDefault="00BD33EE" w:rsidP="00C6457C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4F9B2590" w14:textId="29234C27" w:rsidR="002D5AAC" w:rsidRDefault="000F3558" w:rsidP="000F3558">
            <w:pPr>
              <w:jc w:val="right"/>
            </w:pPr>
            <w:r w:rsidRPr="000F3558">
              <w:rPr>
                <w:sz w:val="40"/>
              </w:rPr>
              <w:t>CRPD</w:t>
            </w:r>
            <w:r>
              <w:t>/C/ISL/Q/1</w:t>
            </w:r>
          </w:p>
        </w:tc>
      </w:tr>
      <w:tr w:rsidR="002D5AAC" w14:paraId="7964D648" w14:textId="77777777" w:rsidTr="00C6457C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C510714" w14:textId="77777777" w:rsidR="002D5AAC" w:rsidRDefault="00952284" w:rsidP="00C6457C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5C2B04E" wp14:editId="78F281E4">
                  <wp:extent cx="714375" cy="590550"/>
                  <wp:effectExtent l="0" t="0" r="0" b="0"/>
                  <wp:docPr id="1" name="Imagen 1" descr="Naciones Unidas Logo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895592" w14:textId="77777777" w:rsidR="002D5AAC" w:rsidRPr="007967DF" w:rsidRDefault="000221D5" w:rsidP="00C6457C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 xml:space="preserve">Convención sobre los </w:t>
            </w:r>
            <w:r w:rsidR="009D2588">
              <w:rPr>
                <w:b/>
                <w:sz w:val="34"/>
                <w:szCs w:val="34"/>
              </w:rPr>
              <w:t>Derechos</w:t>
            </w:r>
            <w:r>
              <w:rPr>
                <w:b/>
                <w:sz w:val="34"/>
                <w:szCs w:val="34"/>
              </w:rPr>
              <w:br/>
              <w:t xml:space="preserve">de las </w:t>
            </w:r>
            <w:r w:rsidR="009D2588">
              <w:rPr>
                <w:b/>
                <w:sz w:val="34"/>
                <w:szCs w:val="34"/>
              </w:rPr>
              <w:t xml:space="preserve">Personas </w:t>
            </w:r>
            <w:r>
              <w:rPr>
                <w:b/>
                <w:sz w:val="34"/>
                <w:szCs w:val="34"/>
              </w:rPr>
              <w:t xml:space="preserve">con </w:t>
            </w:r>
            <w:r w:rsidR="009D2588">
              <w:rPr>
                <w:b/>
                <w:sz w:val="34"/>
                <w:szCs w:val="34"/>
              </w:rPr>
              <w:t>Discapacidad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7C9D009A" w14:textId="77777777" w:rsidR="002D5AAC" w:rsidRDefault="000F3558" w:rsidP="00C6457C">
            <w:pPr>
              <w:spacing w:before="240"/>
            </w:pPr>
            <w:r>
              <w:t>Distr. general</w:t>
            </w:r>
          </w:p>
          <w:p w14:paraId="75DF1956" w14:textId="77777777" w:rsidR="000F3558" w:rsidRDefault="000F3558" w:rsidP="000F3558">
            <w:pPr>
              <w:spacing w:line="240" w:lineRule="exact"/>
            </w:pPr>
            <w:r>
              <w:t>27 de abril de 2026</w:t>
            </w:r>
          </w:p>
          <w:p w14:paraId="5CA93AF5" w14:textId="77777777" w:rsidR="000F3558" w:rsidRDefault="000F3558" w:rsidP="000F3558">
            <w:pPr>
              <w:spacing w:line="240" w:lineRule="exact"/>
            </w:pPr>
            <w:r>
              <w:t>Español</w:t>
            </w:r>
          </w:p>
          <w:p w14:paraId="0230E0DA" w14:textId="77777777" w:rsidR="000F3558" w:rsidRDefault="000F3558" w:rsidP="000F3558">
            <w:pPr>
              <w:spacing w:line="240" w:lineRule="exact"/>
            </w:pPr>
            <w:r>
              <w:t>Original: inglés</w:t>
            </w:r>
          </w:p>
          <w:p w14:paraId="2EA48A92" w14:textId="1E04B428" w:rsidR="00B018CB" w:rsidRDefault="00B018CB" w:rsidP="000F3558">
            <w:pPr>
              <w:spacing w:line="240" w:lineRule="exact"/>
            </w:pPr>
            <w:r>
              <w:t>Árabe, español, francés e inglés únicamente</w:t>
            </w:r>
          </w:p>
        </w:tc>
      </w:tr>
    </w:tbl>
    <w:p w14:paraId="18CF29E5" w14:textId="77777777" w:rsidR="000F3558" w:rsidRPr="000F3558" w:rsidRDefault="000F3558" w:rsidP="000F3558">
      <w:pPr>
        <w:spacing w:before="120" w:line="240" w:lineRule="auto"/>
        <w:rPr>
          <w:b/>
          <w:bCs/>
          <w:sz w:val="24"/>
          <w:szCs w:val="24"/>
          <w:lang w:val="es-ES_tradnl"/>
        </w:rPr>
      </w:pPr>
      <w:r w:rsidRPr="000F3558">
        <w:rPr>
          <w:b/>
          <w:bCs/>
          <w:sz w:val="24"/>
          <w:szCs w:val="24"/>
          <w:lang w:val="es-ES_tradnl"/>
        </w:rPr>
        <w:t>Comité sobre los Derechos de las Personas con Discapacidad</w:t>
      </w:r>
    </w:p>
    <w:p w14:paraId="5E870158" w14:textId="2DF2BB6C" w:rsidR="000F3558" w:rsidRPr="000F3558" w:rsidRDefault="000F3558" w:rsidP="000F3558">
      <w:pPr>
        <w:pStyle w:val="HCh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Lista de cuestiones relativa al informe inicial de Islandia</w:t>
      </w:r>
      <w:r w:rsidRPr="000F3558">
        <w:rPr>
          <w:rStyle w:val="Refdenotaalpie"/>
          <w:b w:val="0"/>
          <w:bCs/>
          <w:sz w:val="20"/>
          <w:vertAlign w:val="baseline"/>
          <w:lang w:val="es-ES_tradnl"/>
        </w:rPr>
        <w:footnoteReference w:customMarkFollows="1" w:id="1"/>
        <w:t>*</w:t>
      </w:r>
    </w:p>
    <w:p w14:paraId="7C4B6DEC" w14:textId="540CEC9C" w:rsidR="000F3558" w:rsidRPr="000F3558" w:rsidRDefault="000F3558" w:rsidP="000F3558">
      <w:pPr>
        <w:pStyle w:val="H1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A.</w:t>
      </w:r>
      <w:r w:rsidRPr="000F3558">
        <w:rPr>
          <w:lang w:val="es-ES_tradnl"/>
        </w:rPr>
        <w:tab/>
        <w:t>Propósito y obligaciones generales (arts. 1 a 4)</w:t>
      </w:r>
    </w:p>
    <w:p w14:paraId="74C4F895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1.</w:t>
      </w:r>
      <w:r w:rsidRPr="000F3558">
        <w:rPr>
          <w:lang w:val="es-ES_tradnl"/>
        </w:rPr>
        <w:tab/>
        <w:t>Faciliten información actualizada sobre:</w:t>
      </w:r>
    </w:p>
    <w:p w14:paraId="43816417" w14:textId="74411184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Los mecanismos existentes para velar por que las personas con discapacidad, a través de las organizaciones que las representan, estén implicadas en los procesos de toma de decisiones legislativas y políticas;</w:t>
      </w:r>
    </w:p>
    <w:p w14:paraId="55E998DA" w14:textId="7F49FCF2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revisiones constitucionales y legislativas emprendidas o previstas para armonizar la legislación nacional con las disposiciones de la Convención;</w:t>
      </w:r>
    </w:p>
    <w:p w14:paraId="7D99BC82" w14:textId="5479C3D4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El plan nacional para aplicar la Convención durante el período 2024-2027, incluyendo indicadores de resultado, mecanismos de seguimiento y una evaluación de su aplicación;</w:t>
      </w:r>
    </w:p>
    <w:p w14:paraId="0DE1B4DA" w14:textId="423F1962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El estado de tramitación del proyecto de ley sobre la incorporación de la Convención aprobado por el Althingi (Parlamento islandés) en 2019</w:t>
      </w:r>
      <w:r w:rsidRPr="000F3558">
        <w:rPr>
          <w:rStyle w:val="Refdenotaalpie"/>
        </w:rPr>
        <w:footnoteReference w:id="2"/>
      </w:r>
      <w:r w:rsidRPr="000F3558">
        <w:rPr>
          <w:lang w:val="es-ES_tradnl"/>
        </w:rPr>
        <w:t>, indicando si la Convención se ha invocado en resoluciones judiciales, decisiones administrativas o interpretaciones jurídicas;</w:t>
      </w:r>
    </w:p>
    <w:p w14:paraId="26E3B8C8" w14:textId="09BDA08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e)</w:t>
      </w:r>
      <w:r w:rsidRPr="000F3558">
        <w:rPr>
          <w:lang w:val="es-ES_tradnl"/>
        </w:rPr>
        <w:tab/>
        <w:t>Las medidas adoptadas o previstas para atribuir la responsabilidad de las cuestiones relacionadas con la Convención al ministerio encargado de todos los demás tratados de derechos humanos;</w:t>
      </w:r>
    </w:p>
    <w:p w14:paraId="0934A33B" w14:textId="4AC4A31A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f)</w:t>
      </w:r>
      <w:r w:rsidRPr="000F3558">
        <w:rPr>
          <w:lang w:val="es-ES_tradnl"/>
        </w:rPr>
        <w:tab/>
        <w:t>Las medidas adoptadas para garantizar un enfoque unificado entre el Estado y los municipios que permita que la Convención se aplique de manera uniforme a escala nacional;</w:t>
      </w:r>
    </w:p>
    <w:p w14:paraId="4366C85A" w14:textId="74B1F588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g)</w:t>
      </w:r>
      <w:r w:rsidRPr="000F3558">
        <w:rPr>
          <w:lang w:val="es-ES_tradnl"/>
        </w:rPr>
        <w:tab/>
        <w:t>Las medidas adoptadas para ratificar el Protocolo Facultativo de la Convención.</w:t>
      </w:r>
    </w:p>
    <w:p w14:paraId="59210E31" w14:textId="6A25617B" w:rsidR="000F3558" w:rsidRPr="000F3558" w:rsidRDefault="000F3558" w:rsidP="000F3558">
      <w:pPr>
        <w:pStyle w:val="H1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B.</w:t>
      </w:r>
      <w:r w:rsidRPr="000F3558">
        <w:rPr>
          <w:lang w:val="es-ES_tradnl"/>
        </w:rPr>
        <w:tab/>
        <w:t>Derechos específicos (arts. 5 a 30)</w:t>
      </w:r>
    </w:p>
    <w:p w14:paraId="642A6469" w14:textId="6F3FF0FF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Igualdad y no discriminación (art. 5)</w:t>
      </w:r>
    </w:p>
    <w:p w14:paraId="495AFE97" w14:textId="030D559C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2.</w:t>
      </w:r>
      <w:r w:rsidRPr="000F3558">
        <w:rPr>
          <w:lang w:val="es-ES_tradnl"/>
        </w:rPr>
        <w:tab/>
        <w:t>Faciliten información sobre:</w:t>
      </w:r>
    </w:p>
    <w:p w14:paraId="42E5B6A7" w14:textId="3199F599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adoptadas para incluir la discapacidad entre los motivos de discriminación prohibidos que figuran en el artículo 65 de la Constitución y en los demás instrumentos legislativos nacionales pertinentes</w:t>
      </w:r>
      <w:r w:rsidRPr="000F3558">
        <w:rPr>
          <w:rStyle w:val="Refdenotaalpie"/>
        </w:rPr>
        <w:footnoteReference w:id="3"/>
      </w:r>
      <w:r w:rsidRPr="000F3558">
        <w:rPr>
          <w:lang w:val="es-ES_tradnl"/>
        </w:rPr>
        <w:t xml:space="preserve">; </w:t>
      </w:r>
    </w:p>
    <w:p w14:paraId="019D0FAB" w14:textId="5F0CB4B1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lastRenderedPageBreak/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leyes relativas a la igualdad de trato</w:t>
      </w:r>
      <w:r w:rsidRPr="000F3558">
        <w:rPr>
          <w:rStyle w:val="Refdenotaalpie"/>
          <w:lang w:val="es-ES_tradnl"/>
        </w:rPr>
        <w:footnoteReference w:id="4"/>
      </w:r>
      <w:r w:rsidRPr="000F3558">
        <w:rPr>
          <w:lang w:val="es-ES_tradnl"/>
        </w:rPr>
        <w:t>, indicando si abarcan todas las formas de discriminación por motivos de discapacidad, incluida la denegación de ajustes razonables y la discriminación interseccional;</w:t>
      </w:r>
    </w:p>
    <w:p w14:paraId="016ED549" w14:textId="057CD05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adoptadas para integrar plenamente la discapacidad como cuestión transversal en todas las estrategias nacionales en materia de igualdad, incluida la igualdad de género, y para abordar de forma sistemática la discriminación interseccional en las políticas públicas, los planes de acción y los marcos presupuestarios, incluyendo ejemplos pertinentes de estrategias nacionales, planes de acción, asignaciones presupuestarias y seguimiento de la aplicación que integren explícitamente la discapacidad;</w:t>
      </w:r>
    </w:p>
    <w:p w14:paraId="13F913E9" w14:textId="2051F5AC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Las medidas adoptadas para reforzar las competencias del Comité de Denuncias sobre Cuestiones de Igualdad, como facultarlo para llevar a cabo investigaciones de oficio y ofrecer recursos jurídicamente exigibles, para garantizar una reparación accesible y efectiva a las personas con discapacidad y para organizar programas comunitarios encaminados a dar a conocer mejor la legislación de lucha contra la discriminación y el proceso de presentación de denuncias.</w:t>
      </w:r>
    </w:p>
    <w:p w14:paraId="557D8E12" w14:textId="034A8D52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Mujeres con discapacidad (art. 6)</w:t>
      </w:r>
    </w:p>
    <w:p w14:paraId="4CC0317A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3.</w:t>
      </w:r>
      <w:r w:rsidRPr="000F3558">
        <w:rPr>
          <w:lang w:val="es-ES_tradnl"/>
        </w:rPr>
        <w:tab/>
        <w:t>Faciliten información sobre:</w:t>
      </w:r>
    </w:p>
    <w:p w14:paraId="0436EAE4" w14:textId="5E1C415A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encaminadas a velar por que la Ley núm. 150/2020 de Igualdad de Condición y de Derechos con Independencia del Género se aplique a la situación específica de las mujeres y niñas con discapacidad;</w:t>
      </w:r>
    </w:p>
    <w:p w14:paraId="49DDF0F0" w14:textId="7D040D3C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adoptadas, incluidas las de acción afirmativa, para asegurar la participación efectiva de las mujeres con discapacidad y de las organizaciones que las representan en la adopción de decisiones sobre leyes y reglamentos destinados a abordar las cuestiones de discapacidad y de género, y en su evaluación y seguimiento, así como en la elaboración, la aplicación y el seguimiento de programas relacionados con la igualdad de género;</w:t>
      </w:r>
    </w:p>
    <w:p w14:paraId="6271054C" w14:textId="1F7CAB17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adoptadas o previstas para elaborar e implementar indicadores que reflejen la situación específica de las mujeres con discapacidad, de conformidad con el artículo 6 de la Convención y las metas pertinentes en materia de igualdad de género de los Objetivos de Desarrollo Sostenible, incluyendo información sobre los marcos de indicadores, las herramientas de recopilación de datos y el desglose de los datos por género y discapacidad, así como su utilización en la labor pública de seguimiento y presentación de informes.</w:t>
      </w:r>
    </w:p>
    <w:p w14:paraId="24E513D8" w14:textId="0CBC413D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Niños y niñas con discapacidad (art. 7)</w:t>
      </w:r>
    </w:p>
    <w:p w14:paraId="03371A24" w14:textId="2D1F7743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4.</w:t>
      </w:r>
      <w:r w:rsidRPr="000F3558">
        <w:rPr>
          <w:lang w:val="es-ES_tradnl"/>
        </w:rPr>
        <w:tab/>
        <w:t>Faciliten información sobre:</w:t>
      </w:r>
    </w:p>
    <w:p w14:paraId="73F2944B" w14:textId="2B2EFE5D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 aplicación de la Ley núm. 86/2021 de Integración de Servicios en Favor del Bienestar de los Niños —indicando si se han creado el foro oficial de consulta y los consejos regionales</w:t>
      </w:r>
      <w:r w:rsidRPr="000F3558">
        <w:rPr>
          <w:rStyle w:val="Refdenotaalpie"/>
          <w:lang w:val="es-ES_tradnl"/>
        </w:rPr>
        <w:footnoteReference w:id="5"/>
      </w:r>
      <w:r w:rsidRPr="000F3558">
        <w:rPr>
          <w:lang w:val="es-ES_tradnl"/>
        </w:rPr>
        <w:t>—, la evaluación de la aplicación del Plan de Acción para la Protección de la Infancia (2019-2022)</w:t>
      </w:r>
      <w:r w:rsidRPr="000F3558">
        <w:rPr>
          <w:rStyle w:val="Refdenotaalpie"/>
          <w:lang w:val="es-ES_tradnl"/>
        </w:rPr>
        <w:footnoteReference w:id="6"/>
      </w:r>
      <w:r w:rsidRPr="000F3558">
        <w:rPr>
          <w:lang w:val="es-ES_tradnl"/>
        </w:rPr>
        <w:t xml:space="preserve"> y las medidas previstas en la ley y en el plan de acción dirigidas específicamente a los niños y niñas con discapacidad;</w:t>
      </w:r>
    </w:p>
    <w:p w14:paraId="3C2FEA73" w14:textId="34CD8EB0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adoptadas para evaluar y hacer frente a los efectos de la reestructuración ministerial sobre la supervisión y la aplicación de los derechos de los niños y niñas con discapacidad, en particular en lo que respecta al reparto de competencias entre los ministerios que se encargan de cuestiones relacionadas con la infancia, la educación y los asuntos sociales, así como detalles sobre la cartografía de las competencias institucionales, incluidos los mecanismos de coordinación y las estructuras de rendición de cuentas;</w:t>
      </w:r>
    </w:p>
    <w:p w14:paraId="1542093C" w14:textId="04B1D1E2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 xml:space="preserve">Las medidas de protección establecidas para que las decisiones que afectan a los niños y niñas con discapacidad no se basen únicamente en diagnósticos médicos, sino que </w:t>
      </w:r>
      <w:r w:rsidRPr="000F3558">
        <w:rPr>
          <w:lang w:val="es-ES_tradnl"/>
        </w:rPr>
        <w:lastRenderedPageBreak/>
        <w:t>reflejen la evolución de sus capacidades, sus derechos, su voluntad y sus preferencias, incluyendo ejemplos de herramientas de evaluación basadas en los derechos humanos, marcos de planificación individualizada y protocolos de formación del personal utilizados en la práctica;</w:t>
      </w:r>
    </w:p>
    <w:p w14:paraId="2168F2E7" w14:textId="732F2191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Las medidas adoptadas para que los niños y niñas con discapacidad participen en la aplicación de las siguientes recomendaciones formuladas al Estado Parte por el Comité de los Derechos del Niño, a saber: que modifique la Ley núm. 70/2007 de la Juventud para prever el establecimiento de consejos de jóvenes en todos los municipios y precisar las funciones, responsabilidades y mandatos de estos consejos, en consonancia con la resolución parlamentaria “Islandia amiga de los niños”, y que vele por que todos los niños puedan expresar su opinión y ser escuchados en todas las decisiones que los afecten, en particular en los tribunales y en los procedimientos civiles, así como en las decisiones relativas a la custodia, el contacto y el asilo, y apruebe las modificaciones legislativas pertinentes para que se escuche y se tenga en cuenta la opinión de los niños en dichas decisiones</w:t>
      </w:r>
      <w:r w:rsidRPr="000F3558">
        <w:rPr>
          <w:rStyle w:val="Refdenotaalpie"/>
          <w:lang w:val="es-ES_tradnl"/>
        </w:rPr>
        <w:footnoteReference w:id="7"/>
      </w:r>
      <w:r w:rsidRPr="000F3558">
        <w:rPr>
          <w:lang w:val="es-ES_tradnl"/>
        </w:rPr>
        <w:t>;</w:t>
      </w:r>
    </w:p>
    <w:p w14:paraId="523B52EC" w14:textId="7227B015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e)</w:t>
      </w:r>
      <w:r w:rsidRPr="000F3558">
        <w:rPr>
          <w:lang w:val="es-ES_tradnl"/>
        </w:rPr>
        <w:tab/>
        <w:t>Las medidas adoptadas para monitorear y tramitar las denuncias, las violaciones de derechos o las deficiencias en la prestación de servicios que afecten a los niños con discapacidad, así como para ofrecer mecanismos de denuncia adaptados a los niños.</w:t>
      </w:r>
    </w:p>
    <w:p w14:paraId="48E8FAC1" w14:textId="779B11EF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Toma de conciencia (art. 8)</w:t>
      </w:r>
    </w:p>
    <w:p w14:paraId="2CE8A1D8" w14:textId="130BE4DB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5.</w:t>
      </w:r>
      <w:r w:rsidRPr="000F3558">
        <w:rPr>
          <w:lang w:val="es-ES_tradnl"/>
        </w:rPr>
        <w:tab/>
        <w:t>Faciliten información actualizada sobre:</w:t>
      </w:r>
    </w:p>
    <w:p w14:paraId="7395AC3D" w14:textId="4A574FBE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adoptadas para que las iniciativas destinadas a dar a conocer las normas y principios de la Convención se integren en todos los sectores, incluidos el sector público, la educación, los medios de comunicación, la salud, el empleo y la justicia, así como en las prácticas de contratación pública, los contenidos de los planes de estudios, los materiales de formación para los agentes del orden y las directrices sanitarias sobre las pruebas de cribado prenatal;</w:t>
      </w:r>
    </w:p>
    <w:p w14:paraId="4FFD9905" w14:textId="129B0FF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Los mecanismos de regulación o de apoyo existentes para asegurar una representación inclusiva y respetuosa de las personas con discapacidad en los medios de comunicación públicos y privados, incluidos códigos de ética, directrices para periodistas, materiales de formación y el seguimiento por parte de los organismos reguladores de los medios de comunicación o los organismos de radiodifusión;</w:t>
      </w:r>
    </w:p>
    <w:p w14:paraId="4EE42E35" w14:textId="61C0CF7F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 manera en que se incluye sistemáticamente a las personas con discapacidad, a través de las organizaciones que las representan, en las campañas de concienciación del Estado Parte.</w:t>
      </w:r>
    </w:p>
    <w:p w14:paraId="22CD757B" w14:textId="3E2E4C4A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Accesibilidad (art. 9)</w:t>
      </w:r>
    </w:p>
    <w:p w14:paraId="3F20BB70" w14:textId="113195F1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6.</w:t>
      </w:r>
      <w:r w:rsidRPr="000F3558">
        <w:rPr>
          <w:lang w:val="es-ES_tradnl"/>
        </w:rPr>
        <w:tab/>
        <w:t>Faciliten información actualizada sobre:</w:t>
      </w:r>
    </w:p>
    <w:p w14:paraId="65C383AA" w14:textId="3651F6F9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adoptadas para garantizar una aplicación coherente y exigible de las normas y reglamentos de accesibilidad en el entorno construido en todos los municipios, incluidos los situados en zonas rurales;</w:t>
      </w:r>
    </w:p>
    <w:p w14:paraId="189EF1A5" w14:textId="144E1B20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adoptadas para transponer al ordenamiento interno la Directiva</w:t>
      </w:r>
      <w:r>
        <w:rPr>
          <w:lang w:val="es-ES_tradnl"/>
        </w:rPr>
        <w:t> </w:t>
      </w:r>
      <w:r w:rsidRPr="000F3558">
        <w:rPr>
          <w:lang w:val="es-ES_tradnl"/>
        </w:rPr>
        <w:t>(UE) 2016/2102 del Parlamento Europeo y del Consejo, de 26 de octubre de 2016, sobre la accesibilidad de los sitios web y aplicaciones para dispositivos móviles de los organismos del sector público;</w:t>
      </w:r>
    </w:p>
    <w:p w14:paraId="24A8F519" w14:textId="13734945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El ministerio o los ministerios competentes en materia de inclusión digital y las medidas adoptadas para subsanar la falta de accesibilidad de los procesos de gobierno electrónico, en particular la identificación electrónica;</w:t>
      </w:r>
    </w:p>
    <w:p w14:paraId="00CF95BB" w14:textId="48CEA575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Las medidas adoptadas para garantizar la igualdad de acceso al transporte público en todo el Estado Parte, como disponer de vehículos, sistemas de información y métodos de reserva accesibles, así como la disponibilidad de servicios públicos y de paratránsito accesibles.</w:t>
      </w:r>
    </w:p>
    <w:p w14:paraId="36AFCBA6" w14:textId="511242C9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lastRenderedPageBreak/>
        <w:tab/>
      </w:r>
      <w:r w:rsidRPr="000F3558">
        <w:rPr>
          <w:lang w:val="es-ES_tradnl"/>
        </w:rPr>
        <w:tab/>
        <w:t>Derecho a la vida (art. 10)</w:t>
      </w:r>
    </w:p>
    <w:p w14:paraId="1124794C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7.</w:t>
      </w:r>
      <w:r w:rsidRPr="000F3558">
        <w:rPr>
          <w:lang w:val="es-ES_tradnl"/>
        </w:rPr>
        <w:tab/>
        <w:t>Faciliten información sobre las medidas legislativas y de políticas destinadas a investigar, documentar y notificar los fallecimientos de personas con discapacidad en entornos institucionales, incluidos los centros residenciales y psiquiátricos, con el fin de detectar casos de negligencia sistémica y deficiencias en la prestación de servicios, así como de recopilar datos desglosados sobre las tasas de mortalidad y la esperanza de vida para llevar un seguimiento de las desigualdades.</w:t>
      </w:r>
    </w:p>
    <w:p w14:paraId="3F4E1D52" w14:textId="02733290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Situaciones de riesgo y emergencias humanitarias (art. 11)</w:t>
      </w:r>
    </w:p>
    <w:p w14:paraId="32C79BEC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8.</w:t>
      </w:r>
      <w:r w:rsidRPr="000F3558">
        <w:rPr>
          <w:lang w:val="es-ES_tradnl"/>
        </w:rPr>
        <w:tab/>
        <w:t>Faciliten información actualizada sobre:</w:t>
      </w:r>
    </w:p>
    <w:p w14:paraId="2EB56B00" w14:textId="397EC10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 elaboración de la nueva política en materia de protección civil y seguridad</w:t>
      </w:r>
      <w:r w:rsidRPr="000F3558">
        <w:rPr>
          <w:rStyle w:val="Refdenotaalpie"/>
          <w:lang w:val="es-ES_tradnl"/>
        </w:rPr>
        <w:footnoteReference w:id="8"/>
      </w:r>
      <w:r w:rsidRPr="000F3558">
        <w:rPr>
          <w:lang w:val="es-ES_tradnl"/>
        </w:rPr>
        <w:t>, indicando si es inclusiva de las personas con discapacidad, y las medidas para garantizar la accesibilidad del número de teléfono de emergencias 112, los campamentos, los refugios, el agua limpia y el saneamiento, así como el suministro de ayudas técnicas en el marco de la gestión de emergencias —entre otros contextos, durante las evacuaciones— a las personas con discapacidad, en particular las mujeres, niños, niñas y personas mayores con discapacidad;</w:t>
      </w:r>
    </w:p>
    <w:p w14:paraId="00D6B6AC" w14:textId="4EC0A2F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Los mecanismos para que las personas con discapacidad sean consultadas estrechamente y participen activamente, a través de las organizaciones que las representan, en la elaboración y aplicación de la política de protección civil y los marcos de respuesta a emergencias.</w:t>
      </w:r>
    </w:p>
    <w:p w14:paraId="482A8587" w14:textId="631199EE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Igual reconocimiento como persona ante la ley (art. 12)</w:t>
      </w:r>
    </w:p>
    <w:p w14:paraId="225169DB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9.</w:t>
      </w:r>
      <w:r w:rsidRPr="000F3558">
        <w:rPr>
          <w:lang w:val="es-ES_tradnl"/>
        </w:rPr>
        <w:tab/>
        <w:t>Faciliten información actualizada sobre:</w:t>
      </w:r>
    </w:p>
    <w:p w14:paraId="2856C563" w14:textId="354B2C68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El estado de tramitación del proyecto de ley que debía presentarse ante el Althingi a más tardar a finales de 2020, basado en una auditoría de la Ley núm. 71/1997 de Capacidad Jurídica realizada por una comisión parlamentaria</w:t>
      </w:r>
      <w:r w:rsidRPr="000F3558">
        <w:rPr>
          <w:rStyle w:val="Refdenotaalpie"/>
          <w:lang w:val="es-ES_tradnl"/>
        </w:rPr>
        <w:footnoteReference w:id="9"/>
      </w:r>
      <w:r w:rsidRPr="000F3558">
        <w:rPr>
          <w:lang w:val="es-ES_tradnl"/>
        </w:rPr>
        <w:t>; las medidas adoptadas para revisar otras leyes en virtud de las cuales se pueda limitar o denegar la capacidad jurídica, como el Código Penal General (Ley núm. 19/1940) y la Ley núm. 74/1997 de Derechos del Paciente; y las medidas encaminadas a reemplazar los sistemas de sustitución en la adopción de decisiones por sistemas de apoyo que respeten la autonomía, la voluntad y las preferencias de las personas con discapacidad en todas las esferas de la vida, incluido el acceso a los servicios financieros y la gestión de los bienes;</w:t>
      </w:r>
    </w:p>
    <w:p w14:paraId="23DF1DBD" w14:textId="1FF36FA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Los mecanismos establecidos para que los portavoces personales y otros proveedores de apoyo previstos en la Ley núm. 88/2011 de Protección de los Derechos de las Personas con Discapacidad cumplan la norma establecida en la Convención relativa al respeto de la voluntad y las preferencias de las personas con discapacidad, en lugar del respeto de su interés superior, así como información sobre los marcos regulatorios y las directrices de procedimiento que rigen la actuación de los portavoces, incluidos el material de formación, las estructuras de supervisión, los mecanismos de denuncia y las evaluaciones que se hayan realizado;</w:t>
      </w:r>
    </w:p>
    <w:p w14:paraId="4184AD08" w14:textId="590FBD73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 manera en que el Estado Parte vigila y regula el uso de modalidades informales de sustitución en la adopción de decisiones por parte de los proveedores de servicios, en particular en los hogares colectivos o en los entornos residenciales con apoyo, en los que los miembros del personal actúan en nombre de los residentes sin autoridad jurídica formal, así como las inspecciones, los criterios reglamentarios o los casos registrados en los que se hayan revisado o impugnado dichas prácticas;</w:t>
      </w:r>
    </w:p>
    <w:p w14:paraId="19EEEFCA" w14:textId="4BE3C5CF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Las medidas adoptadas para evitar que la falta de accesibilidad de la identificación electrónica y otras herramientas de autenticación digital para las personas con discapacidad haga que sea necesario recurrir a la sustitución en la adopción de decisiones.</w:t>
      </w:r>
    </w:p>
    <w:p w14:paraId="7E71D0BA" w14:textId="1955A156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lastRenderedPageBreak/>
        <w:tab/>
      </w:r>
      <w:r w:rsidRPr="000F3558">
        <w:rPr>
          <w:lang w:val="es-ES_tradnl"/>
        </w:rPr>
        <w:tab/>
        <w:t>Acceso a la justicia (art. 13)</w:t>
      </w:r>
    </w:p>
    <w:p w14:paraId="6F61602F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10.</w:t>
      </w:r>
      <w:r w:rsidRPr="000F3558">
        <w:rPr>
          <w:lang w:val="es-ES_tradnl"/>
        </w:rPr>
        <w:tab/>
        <w:t>Faciliten información actualizada sobre:</w:t>
      </w:r>
    </w:p>
    <w:p w14:paraId="05B3EB95" w14:textId="2345654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adoptadas para que las personas con discapacidad tengan a su disposición de forma sistemática ajustes de procedimiento y ajustes adaptados a su edad en todas las fases de los procedimientos judiciales;</w:t>
      </w:r>
    </w:p>
    <w:p w14:paraId="62615405" w14:textId="491D8127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encaminadas a identificar y combatir las formas múltiples e interseccionales de desventaja en el sistema judicial, con el fin de garantizar el acceso a la justicia para todas las personas, en particular para las mujeres con discapacidad que son víctimas de violencia de género;</w:t>
      </w:r>
    </w:p>
    <w:p w14:paraId="4AE13A0E" w14:textId="0BF09E72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destinadas a impartir formación a los agentes de policía, fiscales, jueces y demás personal del sistema judicial sobre los derechos de las personas con discapacidad, entre otras cosas sobre la accesibilidad de la comunicación, la no discriminación y los ajustes de procedimiento;</w:t>
      </w:r>
    </w:p>
    <w:p w14:paraId="3D7CF6B0" w14:textId="28FB36C2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 xml:space="preserve">La asignación de “adultos de apoyo” </w:t>
      </w:r>
      <w:r w:rsidRPr="000F3558">
        <w:rPr>
          <w:i/>
          <w:lang w:val="es-ES_tradnl"/>
        </w:rPr>
        <w:t>(</w:t>
      </w:r>
      <w:r w:rsidRPr="000F3558">
        <w:rPr>
          <w:i/>
          <w:iCs/>
          <w:lang w:val="es-ES_tradnl"/>
        </w:rPr>
        <w:t>hæfur stuðningsaðili</w:t>
      </w:r>
      <w:r w:rsidRPr="000F3558">
        <w:rPr>
          <w:i/>
          <w:lang w:val="es-ES_tradnl"/>
        </w:rPr>
        <w:t>)</w:t>
      </w:r>
      <w:r w:rsidRPr="000F3558">
        <w:rPr>
          <w:lang w:val="es-ES_tradnl"/>
        </w:rPr>
        <w:t xml:space="preserve"> a las personas con discapacidad en virtud del Código de Procedimiento Penal (Ley núm. 88/2008), incluyendo información sobre los criterios que deben reunir, sus responsabilidades y su nombramiento.</w:t>
      </w:r>
    </w:p>
    <w:p w14:paraId="7E10A257" w14:textId="1FA82069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Libertad y seguridad de la persona (art. 14)</w:t>
      </w:r>
    </w:p>
    <w:p w14:paraId="5F30CCBA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11.</w:t>
      </w:r>
      <w:r w:rsidRPr="000F3558">
        <w:rPr>
          <w:lang w:val="es-ES_tradnl"/>
        </w:rPr>
        <w:tab/>
        <w:t>Faciliten información actualizada sobre:</w:t>
      </w:r>
    </w:p>
    <w:p w14:paraId="6E2AF5C7" w14:textId="0FF02B59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adoptadas para revisar, modificar o derogar la legislación vigente que permite privar a una persona de su libertad por motivos relacionados con una deficiencia o para someterla a un tratamiento obligatorio, entre otros contextos en lo que respecta a la salud mental y la capacidad jurídica;</w:t>
      </w:r>
    </w:p>
    <w:p w14:paraId="0123B6F4" w14:textId="0BBBA896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legislativas y de políticas para revisar las disposiciones que regulan la “enajenación mental”, la incapacidad para ser juzgado y la privación de libertad por motivos de seguridad, que permiten mantener a personas con discapacidad recluidas de forma indefinida sin garantías procesales;</w:t>
      </w:r>
    </w:p>
    <w:p w14:paraId="522E523B" w14:textId="79714F08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encaminadas a subsanar el hecho de que los presos con discapacidad no tengan acceso a la libertad condicional en igualdad de condiciones con los demás reclusos y permanezcan en prisión tras haber cumplido su condena debido a la falta de recursos adecuados en la comunidad.</w:t>
      </w:r>
    </w:p>
    <w:p w14:paraId="561585FD" w14:textId="39192392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Protección contra la tortura y otros tratos o penas crueles, inhumanos o</w:t>
      </w:r>
      <w:r>
        <w:rPr>
          <w:lang w:val="es-ES_tradnl"/>
        </w:rPr>
        <w:t> </w:t>
      </w:r>
      <w:r w:rsidRPr="000F3558">
        <w:rPr>
          <w:lang w:val="es-ES_tradnl"/>
        </w:rPr>
        <w:t>degradantes</w:t>
      </w:r>
      <w:r>
        <w:rPr>
          <w:lang w:val="es-ES_tradnl"/>
        </w:rPr>
        <w:t> </w:t>
      </w:r>
      <w:r w:rsidRPr="000F3558">
        <w:rPr>
          <w:lang w:val="es-ES_tradnl"/>
        </w:rPr>
        <w:t>(art. 15)</w:t>
      </w:r>
    </w:p>
    <w:p w14:paraId="12C21713" w14:textId="0AF1E29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12.</w:t>
      </w:r>
      <w:r w:rsidRPr="000F3558">
        <w:rPr>
          <w:lang w:val="es-ES_tradnl"/>
        </w:rPr>
        <w:tab/>
        <w:t>Faciliten información actualizada sobre:</w:t>
      </w:r>
    </w:p>
    <w:p w14:paraId="3AFBF76A" w14:textId="31FFFDC5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El estado de tramitación del proyecto de ley para modificar la Ley</w:t>
      </w:r>
      <w:r>
        <w:rPr>
          <w:lang w:val="es-ES_tradnl"/>
        </w:rPr>
        <w:t> </w:t>
      </w:r>
      <w:r w:rsidRPr="000F3558">
        <w:rPr>
          <w:lang w:val="es-ES_tradnl"/>
        </w:rPr>
        <w:t>núm.</w:t>
      </w:r>
      <w:r>
        <w:rPr>
          <w:lang w:val="es-ES_tradnl"/>
        </w:rPr>
        <w:t> </w:t>
      </w:r>
      <w:r w:rsidRPr="000F3558">
        <w:rPr>
          <w:lang w:val="es-ES_tradnl"/>
        </w:rPr>
        <w:t>47/2010 con el fin de que se conceda una indemnización a los niños y niñas con discapacidad que hayan sido víctimas de tratos inhumanos o degradantes en instituciones</w:t>
      </w:r>
      <w:r w:rsidRPr="000F3558">
        <w:rPr>
          <w:rStyle w:val="Refdenotaalpie"/>
          <w:lang w:val="es-ES_tradnl"/>
        </w:rPr>
        <w:footnoteReference w:id="10"/>
      </w:r>
      <w:r w:rsidRPr="000F3558">
        <w:rPr>
          <w:lang w:val="es-ES_tradnl"/>
        </w:rPr>
        <w:t>;</w:t>
      </w:r>
    </w:p>
    <w:p w14:paraId="6F4F6A3B" w14:textId="44B73F90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adoptadas para hacer frente a la imposición generalizada de la reclusión en régimen de aislamiento a menores y adultos con discapacidad en prisión preventiva;</w:t>
      </w:r>
    </w:p>
    <w:p w14:paraId="54AB59A3" w14:textId="450E5EB7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adoptadas para proteger a los menores y adultos con discapacidad frente a prácticas perjudiciales, como el uso de medidas restrictivas, técnicas conductuales aversivas, la coacción y el tratamiento forzado en centros psiquiátricos, centros de asistencia social, centros residenciales y entornos escolares;</w:t>
      </w:r>
    </w:p>
    <w:p w14:paraId="4C9A93F6" w14:textId="53545F6E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 xml:space="preserve">El ámbito de actuación, el mandato y los mecanismos de denuncia del mecanismo nacional de prevención, indicando si incluye la supervisión, el seguimiento y la presentación de informes sobre prácticas perjudiciales contra las personas con discapacidad, </w:t>
      </w:r>
      <w:r w:rsidRPr="000F3558">
        <w:rPr>
          <w:lang w:val="es-ES_tradnl"/>
        </w:rPr>
        <w:lastRenderedPageBreak/>
        <w:t>tales como el tratamiento forzoso, las prácticas restrictivas y la privación de libertad por motivos relacionados con una deficiencia.</w:t>
      </w:r>
    </w:p>
    <w:p w14:paraId="612B24B9" w14:textId="6AF4FE0F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Protección contra la explotación, la violencia y el abuso (art. 16)</w:t>
      </w:r>
    </w:p>
    <w:p w14:paraId="4F2CBDAC" w14:textId="53C38653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13.</w:t>
      </w:r>
      <w:r w:rsidRPr="000F3558">
        <w:rPr>
          <w:lang w:val="es-ES_tradnl"/>
        </w:rPr>
        <w:tab/>
        <w:t>Faciliten información actualizada sobre:</w:t>
      </w:r>
    </w:p>
    <w:p w14:paraId="027561FB" w14:textId="0F05082E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 fase en la que se encuentra la revisión de la legislación vigente para proteger a las personas con discapacidad de la explotación, la violencia y el abuso, así como el resultado de la evaluación del plan de acción sobre medidas contra la violencia y sus consecuencias para 2019-2022, compuesto de 28 partes, indicando si el plan de acción adopta un enfoque interseccional y se ha prorrogado más allá de 2022</w:t>
      </w:r>
      <w:r w:rsidRPr="000F3558">
        <w:rPr>
          <w:rStyle w:val="Refdenotaalpie"/>
          <w:lang w:val="es-ES_tradnl"/>
        </w:rPr>
        <w:footnoteReference w:id="11"/>
      </w:r>
      <w:r w:rsidRPr="000F3558">
        <w:rPr>
          <w:lang w:val="es-ES_tradnl"/>
        </w:rPr>
        <w:t>;</w:t>
      </w:r>
    </w:p>
    <w:p w14:paraId="6C3C7C46" w14:textId="53BD21B0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encaminadas a prevenir y dar respuesta a todas las formas de explotación, violencia y abuso contra las personas con discapacidad, incluido el establecimiento de mecanismos de denuncia que tengan en cuenta el género y la edad, así como de servicios accesibles de asistencia y apoyo a las víctimas, y la recopilación de datos desglosados;</w:t>
      </w:r>
    </w:p>
    <w:p w14:paraId="67787C12" w14:textId="19C22F5C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adoptadas para aplicar las siguientes recomendaciones formuladas al Estado Parte por el Comité para la Eliminación de la Discriminación contra la Mujer: que apruebe una ley integral sobre todas las formas de violencia de género contra la mujer, en particular sobre la violencia doméstica; establezca mecanismos de identificación; apruebe una resolución parlamentaria para combatir la violencia de género, incluidas la violencia sexual y doméstica, cometida contra las mujeres y las niñas, prestándose especial atención, entre otras personas, a las mujeres y niñas con discapacidad; garantice el cumplimiento por parte de todos los departamentos policiales de las instrucciones de la Directora de la Fiscalía sobre el tratamiento y la investigación de delitos sexuales cuya víctima sea una persona con discapacidad; y garantice que las mujeres y las niñas con discapacidad víctimas de la violencia de género tengan un acceso adecuado a servicios de apoyo a las víctimas y a centros de acogida</w:t>
      </w:r>
      <w:r w:rsidRPr="000F3558">
        <w:rPr>
          <w:rStyle w:val="Refdenotaalpie"/>
          <w:lang w:val="es-ES_tradnl"/>
        </w:rPr>
        <w:footnoteReference w:id="12"/>
      </w:r>
      <w:r w:rsidRPr="000F3558">
        <w:rPr>
          <w:lang w:val="es-ES_tradnl"/>
        </w:rPr>
        <w:t>.</w:t>
      </w:r>
    </w:p>
    <w:p w14:paraId="143CAC03" w14:textId="499FAEC5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Protección de la integridad personal (art. 17)</w:t>
      </w:r>
    </w:p>
    <w:p w14:paraId="769FB106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14.</w:t>
      </w:r>
      <w:r w:rsidRPr="000F3558">
        <w:rPr>
          <w:lang w:val="es-ES_tradnl"/>
        </w:rPr>
        <w:tab/>
        <w:t>Faciliten información sobre:</w:t>
      </w:r>
    </w:p>
    <w:p w14:paraId="67572D63" w14:textId="0E0086F3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legislativas y de políticas destinadas a proteger a las mujeres y niñas con discapacidad frente a la esterilización, el uso de métodos anticonceptivos y el aborto sin su consentimiento libre, previo e informado, y el acceso adecuado a los servicios e información en materia de salud sexual y reproductiva en formatos accesibles, entre otras cuestiones sobre la planificación familiar y la protección frente a los abusos sexuales;</w:t>
      </w:r>
    </w:p>
    <w:p w14:paraId="167512B2" w14:textId="4545C16A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legislativas y de políticas destinadas a proteger a los niños intersexuales frente a intervenciones que, desde un punto de vista médico, sean innecesarias y se puedan aplazar, sin excepción alguna.</w:t>
      </w:r>
    </w:p>
    <w:p w14:paraId="245B0770" w14:textId="2019CEA2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Libertad de desplazamiento y nacionalidad (art. 18)</w:t>
      </w:r>
    </w:p>
    <w:p w14:paraId="5339262F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15.</w:t>
      </w:r>
      <w:r w:rsidRPr="000F3558">
        <w:rPr>
          <w:lang w:val="es-ES_tradnl"/>
        </w:rPr>
        <w:tab/>
        <w:t>Faciliten información sobre:</w:t>
      </w:r>
    </w:p>
    <w:p w14:paraId="527AB263" w14:textId="1918EF80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adoptadas para que las personas con discapacidad puedan obtener documentos nacionales de identidad y tener acceso a métodos de autenticación digital y documentos de viaje de forma autónoma y en igualdad de condiciones con las demás personas;</w:t>
      </w:r>
    </w:p>
    <w:p w14:paraId="481A6D96" w14:textId="3AEEC0A5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El impacto que tienen las modificaciones del artículo 33 de la Ley</w:t>
      </w:r>
      <w:r>
        <w:rPr>
          <w:lang w:val="es-ES_tradnl"/>
        </w:rPr>
        <w:t> </w:t>
      </w:r>
      <w:r w:rsidRPr="000F3558">
        <w:rPr>
          <w:lang w:val="es-ES_tradnl"/>
        </w:rPr>
        <w:t>núm.</w:t>
      </w:r>
      <w:r>
        <w:rPr>
          <w:lang w:val="es-ES_tradnl"/>
        </w:rPr>
        <w:t> </w:t>
      </w:r>
      <w:r w:rsidRPr="000F3558">
        <w:rPr>
          <w:lang w:val="es-ES_tradnl"/>
        </w:rPr>
        <w:t xml:space="preserve">80/2016 de Extranjería en los solicitantes de asilo y refugiados con discapacidad, las medidas destinadas a velar por que los procedimientos de migración, asilo y obtención de la nacionalidad sean accesibles e inclusivos para las personas con discapacidad, incluidos los </w:t>
      </w:r>
      <w:r w:rsidRPr="000F3558">
        <w:rPr>
          <w:lang w:val="es-ES_tradnl"/>
        </w:rPr>
        <w:lastRenderedPageBreak/>
        <w:t>niños con discapacidad, y por que las evaluaciones de la “vulnerabilidad” permitan identificar una discapacidad y prestarle a la persona el apoyo correspondiente.</w:t>
      </w:r>
    </w:p>
    <w:p w14:paraId="38EAE35E" w14:textId="7007C1B3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Derecho a vivir de forma independiente y a ser incluido en la comunidad (art. 19)</w:t>
      </w:r>
    </w:p>
    <w:p w14:paraId="262158C1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16.</w:t>
      </w:r>
      <w:r w:rsidRPr="000F3558">
        <w:rPr>
          <w:lang w:val="es-ES_tradnl"/>
        </w:rPr>
        <w:tab/>
        <w:t>Faciliten información sobre:</w:t>
      </w:r>
    </w:p>
    <w:p w14:paraId="6856A227" w14:textId="749EF566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El ámbito de aplicación y los requisitos para disfrutar de los servicios contemplados en la Ley núm. 38/2018 de Servicios para Personas con Discapacidad con Necesidades de Apoyo a Largo Plazo y en la Ley núm. 40/1991 de Servicios Sociales de las Administraciones Locales, y cómo se combinan para ofrecer un enfoque coordinado con respecto a dichos servicios, entre otros contextos en los municipios rurales y pequeños, con el fin de garantizar la participación y la inclusión en la sociedad;</w:t>
      </w:r>
    </w:p>
    <w:p w14:paraId="5E979B4A" w14:textId="1139302F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encaminadas a aprobar una estrategia de desinstitucionalización con el fin de eliminar progresivamente el internamiento en instituciones, hacer frente a la grave falta de viviendas adecuadas y accesibles en todo el Estado Parte y subsanar las desigualdades en el acceso a los servicios de apoyo comunitarios, en particular en las zonas rurales y los municipios pequeños;</w:t>
      </w:r>
    </w:p>
    <w:p w14:paraId="792D6003" w14:textId="59FA44BA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encaminadas a resolver las controversias administrativas y la inacción entre el Estado y los municipios que dan lugar a largos tiempos de espera y a disparidades regionales en materia de apoyo y asistencia;</w:t>
      </w:r>
    </w:p>
    <w:p w14:paraId="5CC95623" w14:textId="712B829D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Las medidas destinadas a mejorar el acceso a la asistencia personal controlada por el usuario, en particular para las personas con discapacidad intelectual y/o psicosocial, y a subsanar las diferencias en cuanto a los requisitos que se han de reunir y la aplicación entre los distintos municipios.</w:t>
      </w:r>
    </w:p>
    <w:p w14:paraId="32FA7114" w14:textId="2D3EA238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Movilidad personal (art. 20)</w:t>
      </w:r>
    </w:p>
    <w:p w14:paraId="4CD0E97A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17.</w:t>
      </w:r>
      <w:r w:rsidRPr="000F3558">
        <w:rPr>
          <w:lang w:val="es-ES_tradnl"/>
        </w:rPr>
        <w:tab/>
        <w:t>Faciliten información actualizada sobre:</w:t>
      </w:r>
    </w:p>
    <w:p w14:paraId="0599C5AA" w14:textId="56E20872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destinadas a garantizar la calidad y la distribución equitativa de las ayudas para la movilidad, los dispositivos, las tecnologías de apoyo y las formas de asistencia humana o animal e intermediarios en todo el Estado Parte, y el resultado de la revisión iniciada en 2019 de la definición del término “ayuda técnica”</w:t>
      </w:r>
      <w:r w:rsidRPr="000F3558">
        <w:rPr>
          <w:rStyle w:val="Refdenotaalpie"/>
          <w:lang w:val="es-ES_tradnl"/>
        </w:rPr>
        <w:footnoteReference w:id="13"/>
      </w:r>
      <w:r w:rsidRPr="000F3558">
        <w:rPr>
          <w:lang w:val="es-ES_tradnl"/>
        </w:rPr>
        <w:t>;</w:t>
      </w:r>
    </w:p>
    <w:p w14:paraId="7740C426" w14:textId="386AEFE8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Los programas de formación en materia de movilidad y tecnología de apoyo destinados al personal especializado que trabaja con personas con discapacidad, especialmente en zonas rurales y regiones periféricas.</w:t>
      </w:r>
    </w:p>
    <w:p w14:paraId="0AB1EB41" w14:textId="79825FBC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Libertad de expresión y de opinión y acceso a la información (art. 21)</w:t>
      </w:r>
    </w:p>
    <w:p w14:paraId="669AE36B" w14:textId="199FA1F1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18.</w:t>
      </w:r>
      <w:r w:rsidRPr="000F3558">
        <w:rPr>
          <w:lang w:val="es-ES_tradnl"/>
        </w:rPr>
        <w:tab/>
        <w:t>Faciliten información actualizada sobre:</w:t>
      </w:r>
    </w:p>
    <w:p w14:paraId="5F1372A9" w14:textId="5183B9E8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encaminadas a facilitar a las personas con discapacidad información dirigida al público en general, en un plazo de tiempo razonable y sin costo adicional, en formatos y tecnologías accesibles;</w:t>
      </w:r>
    </w:p>
    <w:p w14:paraId="0822A1BA" w14:textId="522F70D0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encaminadas a velar por que los procesos de elaboración de políticas, consulta y toma de decisiones del sector público utilicen formatos de comunicación accesibles, incluidos la interpretación en lengua de señas, la lectura fácil y los medios aumentativos y alternativos de comunicación.</w:t>
      </w:r>
    </w:p>
    <w:p w14:paraId="33A3185D" w14:textId="03D67BD6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Respeto</w:t>
      </w:r>
      <w:r>
        <w:rPr>
          <w:lang w:val="es-ES_tradnl"/>
        </w:rPr>
        <w:t xml:space="preserve"> </w:t>
      </w:r>
      <w:r w:rsidRPr="000F3558">
        <w:rPr>
          <w:lang w:val="es-ES_tradnl"/>
        </w:rPr>
        <w:t>de la</w:t>
      </w:r>
      <w:r>
        <w:rPr>
          <w:lang w:val="es-ES_tradnl"/>
        </w:rPr>
        <w:t xml:space="preserve"> </w:t>
      </w:r>
      <w:r w:rsidRPr="000F3558">
        <w:rPr>
          <w:lang w:val="es-ES_tradnl"/>
        </w:rPr>
        <w:t>privacidad (art. 22)</w:t>
      </w:r>
    </w:p>
    <w:p w14:paraId="12EA7FAE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19.</w:t>
      </w:r>
      <w:r w:rsidRPr="000F3558">
        <w:rPr>
          <w:lang w:val="es-ES_tradnl"/>
        </w:rPr>
        <w:tab/>
        <w:t xml:space="preserve">Faciliten información actualizada sobre los recursos jurídicos y los mecanismos de seguimiento de que disponen las personas con discapacidad cuyo derecho a la intimidad haya sido vulnerado, en particular en los casos de transferencia no autorizada de datos o de violación de la confidencialidad en el seno de las instituciones públicas, así como sobre las </w:t>
      </w:r>
      <w:r w:rsidRPr="000F3558">
        <w:rPr>
          <w:lang w:val="es-ES_tradnl"/>
        </w:rPr>
        <w:lastRenderedPageBreak/>
        <w:t>medidas adoptadas para que las personas que viven o se encuentran en instituciones estén protegidas contra cualquier injerencia arbitraria o ilegal en su intimidad y su correspondencia.</w:t>
      </w:r>
    </w:p>
    <w:p w14:paraId="4930EC29" w14:textId="683D78E1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Respeto del hogar y de la familia (art. 23)</w:t>
      </w:r>
    </w:p>
    <w:p w14:paraId="74E0B257" w14:textId="19535078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20.</w:t>
      </w:r>
      <w:r w:rsidRPr="000F3558">
        <w:rPr>
          <w:lang w:val="es-ES_tradnl"/>
        </w:rPr>
        <w:tab/>
        <w:t>Faciliten información sobre:</w:t>
      </w:r>
    </w:p>
    <w:p w14:paraId="6B269E73" w14:textId="2C42C152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encaminadas a eliminar los obstáculos jurídicos y administrativos en las evaluaciones del bienestar de los niños que consideran la discapacidad como un factor de riesgo, lo que da lugar a una intervención estatal desproporcionada y al hecho de que se separe a niños de sus padres con discapacidad;</w:t>
      </w:r>
    </w:p>
    <w:p w14:paraId="4399A2E1" w14:textId="17FF2355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adoptadas para proporcionar a los padres con discapacidad y a los padres de niños con discapacidad unos servicios y apoyo adecuados y apropiados con el fin de evitar que los niños sean separados de su familia;</w:t>
      </w:r>
    </w:p>
    <w:p w14:paraId="780A6A60" w14:textId="31FB44BA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destinadas a poner fin a la discriminación contra las personas con discapacidad, en particular las personas con discapacidad intelectual y/o psicosocial, en todos los asuntos relacionados con el matrimonio, la familia, la paternidad o maternidad y las relaciones, y a garantizar los derechos de estas personas en igualdad de condiciones con las demás;</w:t>
      </w:r>
    </w:p>
    <w:p w14:paraId="429FE082" w14:textId="0F886D0A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Las medidas destinadas a proporcionar información, servicios y apoyo integrales en una etapa temprana a los niños con discapacidad y sus familias.</w:t>
      </w:r>
    </w:p>
    <w:p w14:paraId="0A74A9FB" w14:textId="47AFE7DD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Educación (art. 24)</w:t>
      </w:r>
    </w:p>
    <w:p w14:paraId="38A9B1FD" w14:textId="425ED5A3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21.</w:t>
      </w:r>
      <w:r w:rsidRPr="000F3558">
        <w:rPr>
          <w:lang w:val="es-ES_tradnl"/>
        </w:rPr>
        <w:tab/>
        <w:t>Faciliten información sobre:</w:t>
      </w:r>
    </w:p>
    <w:p w14:paraId="611E0C67" w14:textId="4B36AB93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Los progresos realizados en la aplicación de la Ley núm. 91/2008 de la Enseñanza Obligatoria y de las políticas de educación inclusiva, incluidas las medidas para pasar de itinerarios educativos segregados —como los centros y clases de educación especial— a entornos pedagógicos inclusivos, también en las zonas rurales y en las regiones periféricas;</w:t>
      </w:r>
    </w:p>
    <w:p w14:paraId="58CEAEEC" w14:textId="0B610CAF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encaminadas a garantizar la disponibilidad de apoyo individualizado —como asistencia personal, tecnologías de apoyo y material didáctico adaptado— para los alumnos con discapacidad que asisten a centros ordinarios;</w:t>
      </w:r>
    </w:p>
    <w:p w14:paraId="0C1975F8" w14:textId="253046B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destinadas a facilitar itinerarios y transiciones inclusivas desde la enseñanza obligatoria al segundo ciclo de la educación secundaria, la formación profesional y la educación superior, así como las medidas encaminadas a evitar que los alumnos con discapacidad se vean limitados a programas de formación profesional de alcance reducido o a programas que no conduzcan a la obtención de un título.</w:t>
      </w:r>
    </w:p>
    <w:p w14:paraId="47CF6397" w14:textId="15D8AE79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Salud (art. 25)</w:t>
      </w:r>
    </w:p>
    <w:p w14:paraId="7A2C700B" w14:textId="34AA1A92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22.</w:t>
      </w:r>
      <w:r w:rsidRPr="000F3558">
        <w:rPr>
          <w:lang w:val="es-ES_tradnl"/>
        </w:rPr>
        <w:tab/>
        <w:t>Faciliten:</w:t>
      </w:r>
    </w:p>
    <w:p w14:paraId="15D34E2F" w14:textId="7CCA18DE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Información sobre las medidas destinadas a garantizar la igualdad de acceso a servicios de salud de calidad, asequibles y accesibles, entre otros lugares en zonas rurales y regiones periféricas, tales como medidas para que los profesionales sanitarios reciban formación en materia de derechos de las personas con discapacidad y consentimiento informado, estrategias de comunicación y enfoques centrados en la persona;</w:t>
      </w:r>
    </w:p>
    <w:p w14:paraId="666B2209" w14:textId="702907F0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Información sobre las medidas destinadas a desarrollar, entre otros lugares en zonas rurales y regiones periféricas, unos servicios y un apoyo en materia de salud mental comunitarios y no coercitivos que tengan en cuenta el género y la edad y que respeten la voluntad, las preferencias, la dignidad y los derechos de las personas con discapacidad;</w:t>
      </w:r>
    </w:p>
    <w:p w14:paraId="37059F9E" w14:textId="712275CD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Datos desglosados sobre el acceso a la asistencia sanitaria y los resultados en materia de salud de los menores y adultos con discapacidad, en particular los plazos de espera para acceder a servicios de salud mental;</w:t>
      </w:r>
    </w:p>
    <w:p w14:paraId="6DC93CE6" w14:textId="520E1DCD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lastRenderedPageBreak/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Información sobre las medidas adoptadas para prestar servicios de salud sexual y reproductiva inclusivos de manera uniforme en todo el Estado Parte, con el fin de evitar que se produzcan intervenciones paternalistas hacia las mujeres y niñas con discapacidad.</w:t>
      </w:r>
    </w:p>
    <w:p w14:paraId="5C322EDA" w14:textId="029A23B5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Habilitación y rehabilitación (art. 26)</w:t>
      </w:r>
    </w:p>
    <w:p w14:paraId="0C3C3F3C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23.</w:t>
      </w:r>
      <w:r w:rsidRPr="000F3558">
        <w:rPr>
          <w:lang w:val="es-ES_tradnl"/>
        </w:rPr>
        <w:tab/>
        <w:t>Faciliten información sobre las medidas encaminadas a elaborar una estrategia nacional unificada en materia de habilitación y rehabilitación con el fin de establecer un marco intersectorial integral y coordinado que garantice la disponibilidad y la continuidad de estos servicios en todo el Estado Parte, independientemente de la ubicación geográfica, el tipo de deficiencia o la edad.</w:t>
      </w:r>
    </w:p>
    <w:p w14:paraId="7E5292B2" w14:textId="567C6271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Trabajo y empleo (art. 27)</w:t>
      </w:r>
    </w:p>
    <w:p w14:paraId="40D2B5D1" w14:textId="7CD971DF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24.</w:t>
      </w:r>
      <w:r w:rsidRPr="000F3558">
        <w:rPr>
          <w:lang w:val="es-ES_tradnl"/>
        </w:rPr>
        <w:tab/>
        <w:t>Faciliten información actualizada sobre:</w:t>
      </w:r>
    </w:p>
    <w:p w14:paraId="6E95F634" w14:textId="3CF27CA3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encaminadas a aplicar las siguientes recomendaciones formuladas al Estado Parte por el Comité de Derechos Económicos, Sociales y Culturales: que aumente las oportunidades de empleo de las personas con discapacidad, entre otras cosas ofreciendo incentivos eficaces a los empleadores para que promuevan el empleo de dichas personas y les presten apoyo cuando sea necesario para ofrecer ajustes razonables y que evalúe el impacto de la pandemia de enfermedad por coronavirus (COVID-19) y del aumento del uso de la inteligencia artificial en el mercado de trabajo, centrándose especialmente en su repercusión sobre el empleo de las personas con discapacidad</w:t>
      </w:r>
      <w:r w:rsidRPr="000F3558">
        <w:rPr>
          <w:rStyle w:val="Refdenotaalpie"/>
          <w:lang w:val="es-ES_tradnl"/>
        </w:rPr>
        <w:footnoteReference w:id="14"/>
      </w:r>
      <w:r w:rsidRPr="000F3558">
        <w:rPr>
          <w:lang w:val="es-ES_tradnl"/>
        </w:rPr>
        <w:t>;</w:t>
      </w:r>
    </w:p>
    <w:p w14:paraId="0A131C95" w14:textId="3DA4402C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encaminadas a garantizar oportunidades de empleo y de promoción profesional para las personas con discapacidad en el mercado laboral, incluida asistencia para buscar, obtener, mantener y recuperar un empleo, así como las medidas destinadas a subsanar las desventajas específicas a las que se enfrentan las mujeres con discapacidad a la hora de obtener y conservar un empleo;</w:t>
      </w:r>
    </w:p>
    <w:p w14:paraId="1A3C44FE" w14:textId="613EB259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encaminadas a desarrollar iniciativas relacionadas con el empleo por cuenta propia, el emprendimiento, las cooperativas, la innovación impulsada por los usuarios y los modelos de negocio basados en la colaboración entre pares y dotarlas de recursos.</w:t>
      </w:r>
    </w:p>
    <w:p w14:paraId="152F74FB" w14:textId="48B0D7C7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Nivel de vida adecuado y protección social (art. 28)</w:t>
      </w:r>
    </w:p>
    <w:p w14:paraId="58A77735" w14:textId="4352BE24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25.</w:t>
      </w:r>
      <w:r w:rsidRPr="000F3558">
        <w:rPr>
          <w:lang w:val="es-ES_tradnl"/>
        </w:rPr>
        <w:tab/>
        <w:t>Faciliten información sobre:</w:t>
      </w:r>
    </w:p>
    <w:p w14:paraId="2B9504AC" w14:textId="5855448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 implementación de los cambios introducidos en los sistemas de seguridad social, asistencia social y seguro social que han entrado en vigor desde septiembre de 2025 y su repercusión sobre las personas con discapacidad;</w:t>
      </w:r>
    </w:p>
    <w:p w14:paraId="0EE0FADA" w14:textId="5A335DB0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destinadas a eliminar los requisitos de evaluación medicalizados y repetitivos para acceder a prestaciones, ayudas y servicios;</w:t>
      </w:r>
    </w:p>
    <w:p w14:paraId="680431CB" w14:textId="6EE29B2C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estrategias de mitigación de la pobreza entre los colectivos con mayor riesgo de caer en ella, incluidas las personas con discapacidad, y las medidas destinadas a incrementar la pensión de jubilación y las prestaciones por desempleo y por discapacidad;</w:t>
      </w:r>
    </w:p>
    <w:p w14:paraId="03F72638" w14:textId="5BA6E7FA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Las medidas encaminadas a facilitar el acceso a una vivienda accesible y asequible, entre otras formas tratando de reducir los largos tiempos de espera y las disparidades regionales y de paliar la falta de supervisión de las viviendas inadecuadas para las personas con discapacidad y la falta de seguimiento a nivel nacional de las normas de accesibilidad.</w:t>
      </w:r>
    </w:p>
    <w:p w14:paraId="3B81F448" w14:textId="2D1E3C2F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lastRenderedPageBreak/>
        <w:tab/>
      </w:r>
      <w:r w:rsidRPr="000F3558">
        <w:rPr>
          <w:lang w:val="es-ES_tradnl"/>
        </w:rPr>
        <w:tab/>
        <w:t>Participación en la vida política y pública (art. 29)</w:t>
      </w:r>
    </w:p>
    <w:p w14:paraId="03854201" w14:textId="7BF7B328" w:rsidR="000F3558" w:rsidRPr="000F3558" w:rsidRDefault="000F3558" w:rsidP="000F3558">
      <w:pPr>
        <w:pStyle w:val="SingleTxtG"/>
        <w:keepNext/>
        <w:keepLines/>
        <w:rPr>
          <w:lang w:val="es-ES_tradnl"/>
        </w:rPr>
      </w:pPr>
      <w:r w:rsidRPr="000F3558">
        <w:rPr>
          <w:lang w:val="es-ES_tradnl"/>
        </w:rPr>
        <w:t>26.</w:t>
      </w:r>
      <w:r w:rsidRPr="000F3558">
        <w:rPr>
          <w:lang w:val="es-ES_tradnl"/>
        </w:rPr>
        <w:tab/>
        <w:t>Faciliten información sobre:</w:t>
      </w:r>
    </w:p>
    <w:p w14:paraId="2A41DDA8" w14:textId="68A10ECC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El estado de tramitación y las repercusiones del proyecto de ley para modificar la ley electoral</w:t>
      </w:r>
      <w:r w:rsidRPr="000F3558">
        <w:rPr>
          <w:rStyle w:val="Refdenotaalpie"/>
          <w:lang w:val="es-ES_tradnl"/>
        </w:rPr>
        <w:footnoteReference w:id="15"/>
      </w:r>
      <w:r w:rsidRPr="000F3558">
        <w:rPr>
          <w:lang w:val="es-ES_tradnl"/>
        </w:rPr>
        <w:t>;</w:t>
      </w:r>
    </w:p>
    <w:p w14:paraId="3BE13FD6" w14:textId="2FAF7519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encaminadas a establecer un marco nacional de políticas y seguimiento destinado a eliminar las barreras a la accesibilidad en todos los municipios, incluida la falta de accesibilidad de las opciones de voto digital y a distancia, y a velar por que los procedimientos, las instalaciones y los materiales electorales sean adecuados, accesibles y fáciles de usar;</w:t>
      </w:r>
    </w:p>
    <w:p w14:paraId="4B5ACB5C" w14:textId="792C15B9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destinadas a velar por que todas las personas bajo tutela conserven su derecho de voto y a evitar que, en la práctica, se les impida votar debido a valoraciones sobre su capacidad para comprender el proceso y expresar su voluntad y sus preferencias;</w:t>
      </w:r>
    </w:p>
    <w:p w14:paraId="7538615C" w14:textId="2B4A4BA6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d)</w:t>
      </w:r>
      <w:r w:rsidRPr="000F3558">
        <w:rPr>
          <w:lang w:val="es-ES_tradnl"/>
        </w:rPr>
        <w:tab/>
        <w:t>Las medidas destinadas a apoyar a las personas con discapacidad en la creación o el desarrollo de organizaciones que faciliten una representación efectiva de las personas con discapacidad, incluidas las mujeres con discapacidad y las personas con discapacidad intelectual y/o psicosocial, en la vida política y pública.</w:t>
      </w:r>
    </w:p>
    <w:p w14:paraId="0EFBF791" w14:textId="11896DA1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Participación en la vida cultural, las actividades recreativas, el esparcimiento y</w:t>
      </w:r>
      <w:r>
        <w:rPr>
          <w:lang w:val="es-ES_tradnl"/>
        </w:rPr>
        <w:t> </w:t>
      </w:r>
      <w:r w:rsidRPr="000F3558">
        <w:rPr>
          <w:lang w:val="es-ES_tradnl"/>
        </w:rPr>
        <w:t>el</w:t>
      </w:r>
      <w:r>
        <w:rPr>
          <w:lang w:val="es-ES_tradnl"/>
        </w:rPr>
        <w:t> </w:t>
      </w:r>
      <w:r w:rsidRPr="000F3558">
        <w:rPr>
          <w:lang w:val="es-ES_tradnl"/>
        </w:rPr>
        <w:t>deporte (art. 30)</w:t>
      </w:r>
    </w:p>
    <w:p w14:paraId="735533F0" w14:textId="08A1237E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27.</w:t>
      </w:r>
      <w:r w:rsidRPr="000F3558">
        <w:rPr>
          <w:lang w:val="es-ES_tradnl"/>
        </w:rPr>
        <w:tab/>
        <w:t>Faciliten información sobre:</w:t>
      </w:r>
    </w:p>
    <w:p w14:paraId="26B67C38" w14:textId="7E8017AA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encaminadas a aplicar el Tratado de Marrakech para Facilitar el Acceso a las Obras Publicadas a las Personas Ciegas, con Discapacidad Visual o con Otras Dificultades para Acceder al Texto Impreso;</w:t>
      </w:r>
    </w:p>
    <w:p w14:paraId="41C837E7" w14:textId="1318C60D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Los mecanismos específicos para la inclusión de la discapacidad en los marcos de políticas culturales, así como medidas concretas para que las personas con discapacidad, incluidos los niños, niñas y mujeres con discapacidad, puedan participar en actividades deportivas y recreativas en igualdad de condiciones con las demás personas;</w:t>
      </w:r>
    </w:p>
    <w:p w14:paraId="39155E4D" w14:textId="3872ACC7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c)</w:t>
      </w:r>
      <w:r w:rsidRPr="000F3558">
        <w:rPr>
          <w:lang w:val="es-ES_tradnl"/>
        </w:rPr>
        <w:tab/>
        <w:t>Las medidas encaminadas a apoyar a las personas con discapacidad para que desarrollen su potencial artístico y sus identidades culturales y lingüísticas específicas, incluidas las lenguas de señas y la cultura de la comunidad sorda.</w:t>
      </w:r>
    </w:p>
    <w:p w14:paraId="03CF9175" w14:textId="30E77F9C" w:rsidR="000F3558" w:rsidRPr="000F3558" w:rsidRDefault="000F3558" w:rsidP="000F3558">
      <w:pPr>
        <w:pStyle w:val="H1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C.</w:t>
      </w:r>
      <w:r w:rsidRPr="000F3558">
        <w:rPr>
          <w:lang w:val="es-ES_tradnl"/>
        </w:rPr>
        <w:tab/>
        <w:t>Obligaciones específicas (arts. 31 a 33)</w:t>
      </w:r>
    </w:p>
    <w:p w14:paraId="4D0BF50B" w14:textId="1A793C0F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Recopilación de datos y estadísticas (art. 31)</w:t>
      </w:r>
    </w:p>
    <w:p w14:paraId="5EC48208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28.</w:t>
      </w:r>
      <w:r w:rsidRPr="000F3558">
        <w:rPr>
          <w:lang w:val="es-ES_tradnl"/>
        </w:rPr>
        <w:tab/>
        <w:t>Faciliten información sobre:</w:t>
      </w:r>
    </w:p>
    <w:p w14:paraId="33BD6159" w14:textId="3801BB1B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Los resultados de la incorporación en las encuestas de la lista breve de preguntas sobre la discapacidad del Grupo de Washington, y los resultados del uso del censo de población electrónico para recabar información sobre las personas con discapacidad</w:t>
      </w:r>
      <w:r w:rsidRPr="000F3558">
        <w:rPr>
          <w:rStyle w:val="Refdenotaalpie"/>
          <w:lang w:val="es-ES_tradnl"/>
        </w:rPr>
        <w:footnoteReference w:id="16"/>
      </w:r>
      <w:r w:rsidRPr="000F3558">
        <w:rPr>
          <w:lang w:val="es-ES_tradnl"/>
        </w:rPr>
        <w:t>;</w:t>
      </w:r>
    </w:p>
    <w:p w14:paraId="034C5127" w14:textId="3573C25E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destinadas a subsanar la falta de datos desglosados y de estudios de investigación con el fin de facilitar la recopilación, coordinación y difusión de datos, ofrecer un análisis de la situación de las personas con discapacidad y servir de base para la elaboración de medidas de política y la asignación de recursos.</w:t>
      </w:r>
    </w:p>
    <w:p w14:paraId="21D1F307" w14:textId="34F45588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Cooperación internacional (art. 32)</w:t>
      </w:r>
    </w:p>
    <w:p w14:paraId="0E650D52" w14:textId="1C8223E4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29.</w:t>
      </w:r>
      <w:r w:rsidRPr="000F3558">
        <w:rPr>
          <w:lang w:val="es-ES_tradnl"/>
        </w:rPr>
        <w:tab/>
        <w:t>Faciliten información sobre:</w:t>
      </w:r>
    </w:p>
    <w:p w14:paraId="55BCA8A0" w14:textId="47A7A15E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adoptadas para elaborar y aplicar una estrategia de desarrollo inclusivo de la discapacidad;</w:t>
      </w:r>
    </w:p>
    <w:p w14:paraId="419DF7EA" w14:textId="4B9E3F6C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lastRenderedPageBreak/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Las medidas adoptadas para incluir a las organizaciones de personas con discapacidad en los procesos de adopción de decisiones relativas a la cooperación internacional en los planos regional y mundial; las políticas de apoyo a los países en desarrollo; y los recursos de que disponen las organizaciones de personas con discapacidad para convertirse en asociados en proyectos de desarrollo.</w:t>
      </w:r>
    </w:p>
    <w:p w14:paraId="643C9429" w14:textId="10F40002" w:rsidR="000F3558" w:rsidRPr="000F3558" w:rsidRDefault="000F3558" w:rsidP="000F3558">
      <w:pPr>
        <w:pStyle w:val="H23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ab/>
        <w:t>Aplicación y seguimiento nacionales (art. 33)</w:t>
      </w:r>
    </w:p>
    <w:p w14:paraId="030CE607" w14:textId="77777777" w:rsidR="000F3558" w:rsidRPr="000F3558" w:rsidRDefault="000F3558" w:rsidP="000F3558">
      <w:pPr>
        <w:pStyle w:val="SingleTxtG"/>
        <w:rPr>
          <w:lang w:val="es-ES_tradnl"/>
        </w:rPr>
      </w:pPr>
      <w:r w:rsidRPr="000F3558">
        <w:rPr>
          <w:lang w:val="es-ES_tradnl"/>
        </w:rPr>
        <w:t>30.</w:t>
      </w:r>
      <w:r w:rsidRPr="000F3558">
        <w:rPr>
          <w:lang w:val="es-ES_tradnl"/>
        </w:rPr>
        <w:tab/>
        <w:t>Faciliten información sobre:</w:t>
      </w:r>
    </w:p>
    <w:p w14:paraId="20E15B0F" w14:textId="7BB1042C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a)</w:t>
      </w:r>
      <w:r w:rsidRPr="000F3558">
        <w:rPr>
          <w:lang w:val="es-ES_tradnl"/>
        </w:rPr>
        <w:tab/>
        <w:t>Las medidas encaminadas a designar o establecer uno o varios puntos focales dentro del Gobierno para cuestiones relacionadas con la aplicación de la Convención;</w:t>
      </w:r>
    </w:p>
    <w:p w14:paraId="006F10FE" w14:textId="205405FC" w:rsidR="000F3558" w:rsidRPr="000F3558" w:rsidRDefault="000F3558" w:rsidP="000F3558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F3558">
        <w:rPr>
          <w:lang w:val="es-ES_tradnl"/>
        </w:rPr>
        <w:t>b)</w:t>
      </w:r>
      <w:r w:rsidRPr="000F3558">
        <w:rPr>
          <w:lang w:val="es-ES_tradnl"/>
        </w:rPr>
        <w:tab/>
        <w:t>El ámbito de actuación y el mandato de la institución nacional de derechos humanos;</w:t>
      </w:r>
    </w:p>
    <w:p w14:paraId="4DBA1C7B" w14:textId="5276573B" w:rsidR="000F3558" w:rsidRDefault="000F3558" w:rsidP="000F3558">
      <w:pPr>
        <w:pStyle w:val="SingleTxtG"/>
      </w:pPr>
      <w:r>
        <w:rPr>
          <w:lang w:val="es-ES_tradnl"/>
        </w:rPr>
        <w:tab/>
      </w:r>
      <w:r w:rsidRPr="0045489F">
        <w:rPr>
          <w:lang w:val="es-ES_tradnl"/>
        </w:rPr>
        <w:t>c)</w:t>
      </w:r>
      <w:r w:rsidRPr="0045489F">
        <w:rPr>
          <w:lang w:val="es-ES_tradnl"/>
        </w:rPr>
        <w:tab/>
        <w:t>Las medidas destinadas a garantizar la participación efectiva de la sociedad civil, en particular de las organizaciones de personas con discapacidad, en el proceso de seguimiento.</w:t>
      </w:r>
    </w:p>
    <w:p w14:paraId="5CF5DA9F" w14:textId="20FD659A" w:rsidR="006F35EE" w:rsidRPr="000F3558" w:rsidRDefault="000F3558" w:rsidP="000F355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F35EE" w:rsidRPr="000F3558" w:rsidSect="000F355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0ADEB" w14:textId="77777777" w:rsidR="00B64F66" w:rsidRPr="0071316C" w:rsidRDefault="00B64F66" w:rsidP="0071316C">
      <w:pPr>
        <w:pStyle w:val="Piedepgina"/>
      </w:pPr>
    </w:p>
  </w:endnote>
  <w:endnote w:type="continuationSeparator" w:id="0">
    <w:p w14:paraId="4AB9C80E" w14:textId="77777777" w:rsidR="00B64F66" w:rsidRPr="0071316C" w:rsidRDefault="00B64F66" w:rsidP="0071316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B2555" w14:textId="2A243B61" w:rsidR="000F3558" w:rsidRPr="000F3558" w:rsidRDefault="000F3558" w:rsidP="000F3558">
    <w:pPr>
      <w:pStyle w:val="Piedepgina"/>
      <w:tabs>
        <w:tab w:val="right" w:pos="9638"/>
      </w:tabs>
    </w:pPr>
    <w:r w:rsidRPr="000F3558">
      <w:rPr>
        <w:b/>
        <w:sz w:val="18"/>
      </w:rPr>
      <w:fldChar w:fldCharType="begin"/>
    </w:r>
    <w:r w:rsidRPr="000F3558">
      <w:rPr>
        <w:b/>
        <w:sz w:val="18"/>
      </w:rPr>
      <w:instrText xml:space="preserve"> PAGE  \* MERGEFORMAT </w:instrText>
    </w:r>
    <w:r w:rsidRPr="000F3558">
      <w:rPr>
        <w:b/>
        <w:sz w:val="18"/>
      </w:rPr>
      <w:fldChar w:fldCharType="separate"/>
    </w:r>
    <w:r w:rsidRPr="000F3558">
      <w:rPr>
        <w:b/>
        <w:noProof/>
        <w:sz w:val="18"/>
      </w:rPr>
      <w:t>2</w:t>
    </w:r>
    <w:r w:rsidRPr="000F3558">
      <w:rPr>
        <w:b/>
        <w:sz w:val="18"/>
      </w:rPr>
      <w:fldChar w:fldCharType="end"/>
    </w:r>
    <w:r>
      <w:rPr>
        <w:b/>
        <w:sz w:val="18"/>
      </w:rPr>
      <w:tab/>
    </w:r>
    <w:r>
      <w:t>GE.26-04702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1DC5C" w14:textId="51753ED9" w:rsidR="000F3558" w:rsidRPr="000F3558" w:rsidRDefault="000F3558" w:rsidP="000F3558">
    <w:pPr>
      <w:pStyle w:val="Piedepgina"/>
      <w:tabs>
        <w:tab w:val="right" w:pos="9638"/>
      </w:tabs>
      <w:rPr>
        <w:b/>
        <w:sz w:val="18"/>
      </w:rPr>
    </w:pPr>
    <w:r>
      <w:t>GE.26-04702</w:t>
    </w:r>
    <w:r>
      <w:tab/>
    </w:r>
    <w:r w:rsidRPr="000F3558">
      <w:rPr>
        <w:b/>
        <w:sz w:val="18"/>
      </w:rPr>
      <w:fldChar w:fldCharType="begin"/>
    </w:r>
    <w:r w:rsidRPr="000F3558">
      <w:rPr>
        <w:b/>
        <w:sz w:val="18"/>
      </w:rPr>
      <w:instrText xml:space="preserve"> PAGE  \* MERGEFORMAT </w:instrText>
    </w:r>
    <w:r w:rsidRPr="000F3558">
      <w:rPr>
        <w:b/>
        <w:sz w:val="18"/>
      </w:rPr>
      <w:fldChar w:fldCharType="separate"/>
    </w:r>
    <w:r w:rsidRPr="000F3558">
      <w:rPr>
        <w:b/>
        <w:noProof/>
        <w:sz w:val="18"/>
      </w:rPr>
      <w:t>3</w:t>
    </w:r>
    <w:r w:rsidRPr="000F355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DD3BA" w14:textId="69DE1A58" w:rsidR="00763AC2" w:rsidRPr="000F3558" w:rsidRDefault="000F3558" w:rsidP="000F355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952284">
      <w:rPr>
        <w:noProof/>
      </w:rPr>
      <w:drawing>
        <wp:anchor distT="0" distB="0" distL="114300" distR="114300" simplePos="0" relativeHeight="251657728" behindDoc="0" locked="1" layoutInCell="1" allowOverlap="1" wp14:anchorId="57A68B61" wp14:editId="5EC1DA1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2" name="Imagen 2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26-04702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98E4060" wp14:editId="58E6ADBA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1729813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060726    070726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14E05" w14:textId="77777777" w:rsidR="00B64F66" w:rsidRPr="001075E9" w:rsidRDefault="00B64F6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A8F3956" w14:textId="77777777" w:rsidR="00B64F66" w:rsidRDefault="00B64F66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BCF93B2" w14:textId="3135892F" w:rsidR="000F3558" w:rsidRPr="000F3558" w:rsidRDefault="000F3558" w:rsidP="000F3558">
      <w:pPr>
        <w:pStyle w:val="Textonotapie"/>
        <w:rPr>
          <w:sz w:val="20"/>
        </w:rPr>
      </w:pPr>
      <w:r>
        <w:tab/>
      </w:r>
      <w:r w:rsidRPr="000F3558">
        <w:rPr>
          <w:rStyle w:val="Refdenotaalpie"/>
          <w:sz w:val="20"/>
          <w:vertAlign w:val="baseline"/>
        </w:rPr>
        <w:t>*</w:t>
      </w:r>
      <w:r w:rsidRPr="000F3558">
        <w:rPr>
          <w:rStyle w:val="Refdenotaalpie"/>
          <w:vertAlign w:val="baseline"/>
        </w:rPr>
        <w:tab/>
      </w:r>
      <w:r w:rsidRPr="000F3558">
        <w:t>Aprobada por el Comité entre períodos de sesiones el 15 de septiembre de 2025.</w:t>
      </w:r>
    </w:p>
  </w:footnote>
  <w:footnote w:id="2">
    <w:p w14:paraId="6942C4D2" w14:textId="3092A21F" w:rsidR="000F3558" w:rsidRDefault="000F3558" w:rsidP="000F3558">
      <w:pPr>
        <w:pStyle w:val="Textonotapie"/>
      </w:pPr>
      <w:r>
        <w:tab/>
      </w:r>
      <w:r w:rsidRPr="000F3558">
        <w:rPr>
          <w:rStyle w:val="Refdenotaalpie"/>
        </w:rPr>
        <w:footnoteRef/>
      </w:r>
      <w:r>
        <w:tab/>
      </w:r>
      <w:hyperlink r:id="rId1" w:history="1">
        <w:r w:rsidRPr="000F3558">
          <w:rPr>
            <w:rStyle w:val="Hipervnculo"/>
          </w:rPr>
          <w:t>CRPD/C/ISL/1</w:t>
        </w:r>
      </w:hyperlink>
      <w:r w:rsidRPr="000F3558">
        <w:t>, párr. 8.</w:t>
      </w:r>
    </w:p>
  </w:footnote>
  <w:footnote w:id="3">
    <w:p w14:paraId="3B604FD1" w14:textId="77777777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r w:rsidRPr="0045489F">
        <w:rPr>
          <w:i/>
          <w:iCs/>
        </w:rPr>
        <w:t>Ibid</w:t>
      </w:r>
      <w:r w:rsidRPr="0045489F">
        <w:t>., párr. 42.</w:t>
      </w:r>
    </w:p>
  </w:footnote>
  <w:footnote w:id="4">
    <w:p w14:paraId="78E2E129" w14:textId="77777777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r w:rsidRPr="0045489F">
        <w:rPr>
          <w:i/>
          <w:iCs/>
        </w:rPr>
        <w:t>Ibid</w:t>
      </w:r>
      <w:r w:rsidRPr="0045489F">
        <w:t>., párrs. 44 a 46.</w:t>
      </w:r>
    </w:p>
  </w:footnote>
  <w:footnote w:id="5">
    <w:p w14:paraId="32E4D2BD" w14:textId="77777777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r w:rsidRPr="0045489F">
        <w:rPr>
          <w:i/>
          <w:iCs/>
        </w:rPr>
        <w:t>Ibid</w:t>
      </w:r>
      <w:r w:rsidRPr="0045489F">
        <w:t>., párr. 62.</w:t>
      </w:r>
    </w:p>
  </w:footnote>
  <w:footnote w:id="6">
    <w:p w14:paraId="0F75656B" w14:textId="77777777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r w:rsidRPr="0045489F">
        <w:rPr>
          <w:i/>
          <w:iCs/>
        </w:rPr>
        <w:t>Ibid</w:t>
      </w:r>
      <w:r w:rsidRPr="0045489F">
        <w:t>., párr. 58.</w:t>
      </w:r>
    </w:p>
  </w:footnote>
  <w:footnote w:id="7">
    <w:p w14:paraId="25C07BA9" w14:textId="185CF5B0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rPr>
          <w:lang w:val="en-US"/>
        </w:rPr>
        <w:tab/>
      </w:r>
      <w:hyperlink r:id="rId2" w:history="1">
        <w:r w:rsidRPr="000F3558">
          <w:rPr>
            <w:rStyle w:val="Hipervnculo"/>
            <w:lang w:val="en-US"/>
          </w:rPr>
          <w:t>CRC/C/ISL/CO/5-6</w:t>
        </w:r>
      </w:hyperlink>
      <w:r w:rsidRPr="0045489F">
        <w:rPr>
          <w:lang w:val="en-US"/>
        </w:rPr>
        <w:t xml:space="preserve">, párr. </w:t>
      </w:r>
      <w:r w:rsidRPr="0045489F">
        <w:t>17 a) y b).</w:t>
      </w:r>
      <w:hyperlink r:id="rId3" w:history="1"/>
    </w:p>
  </w:footnote>
  <w:footnote w:id="8">
    <w:p w14:paraId="6454C84D" w14:textId="24F3425B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hyperlink r:id="rId4" w:history="1">
        <w:r w:rsidRPr="000F3558">
          <w:rPr>
            <w:rStyle w:val="Hipervnculo"/>
          </w:rPr>
          <w:t>CRPD/C/ISL/1</w:t>
        </w:r>
      </w:hyperlink>
      <w:r w:rsidRPr="0045489F">
        <w:t>, párr. 91.</w:t>
      </w:r>
      <w:hyperlink r:id="rId5" w:history="1"/>
    </w:p>
  </w:footnote>
  <w:footnote w:id="9">
    <w:p w14:paraId="23951DDF" w14:textId="77777777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r w:rsidRPr="0045489F">
        <w:rPr>
          <w:i/>
          <w:iCs/>
        </w:rPr>
        <w:t>Ibid</w:t>
      </w:r>
      <w:r w:rsidRPr="0045489F">
        <w:t>., párr. 101.</w:t>
      </w:r>
    </w:p>
  </w:footnote>
  <w:footnote w:id="10">
    <w:p w14:paraId="2AA7BD12" w14:textId="77777777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r w:rsidRPr="0045489F">
        <w:rPr>
          <w:i/>
          <w:iCs/>
        </w:rPr>
        <w:t>Ibid</w:t>
      </w:r>
      <w:r w:rsidRPr="0045489F">
        <w:t>., párr. 131.</w:t>
      </w:r>
    </w:p>
  </w:footnote>
  <w:footnote w:id="11">
    <w:p w14:paraId="000D12D7" w14:textId="77777777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r w:rsidRPr="0045489F">
        <w:rPr>
          <w:i/>
          <w:iCs/>
        </w:rPr>
        <w:t>Ibid</w:t>
      </w:r>
      <w:r w:rsidRPr="0045489F">
        <w:t>., párrs. 133 y 134.</w:t>
      </w:r>
    </w:p>
  </w:footnote>
  <w:footnote w:id="12">
    <w:p w14:paraId="10987788" w14:textId="0C51D897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rPr>
          <w:lang w:val="en-US"/>
        </w:rPr>
        <w:tab/>
      </w:r>
      <w:hyperlink r:id="rId6" w:history="1">
        <w:r w:rsidRPr="000F3558">
          <w:rPr>
            <w:rStyle w:val="Hipervnculo"/>
            <w:lang w:val="en-US"/>
          </w:rPr>
          <w:t>CEDAW/C/ISL/CO/9</w:t>
        </w:r>
      </w:hyperlink>
      <w:r w:rsidRPr="0045489F">
        <w:rPr>
          <w:lang w:val="en-US"/>
        </w:rPr>
        <w:t xml:space="preserve">, párr. </w:t>
      </w:r>
      <w:r w:rsidRPr="0045489F">
        <w:t>26 b) a e).</w:t>
      </w:r>
      <w:hyperlink r:id="rId7" w:history="1"/>
    </w:p>
  </w:footnote>
  <w:footnote w:id="13">
    <w:p w14:paraId="442E6371" w14:textId="2180E0D1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hyperlink r:id="rId8" w:history="1">
        <w:r w:rsidRPr="000F3558">
          <w:rPr>
            <w:rStyle w:val="Hipervnculo"/>
          </w:rPr>
          <w:t>CRPD/C/ISL/1</w:t>
        </w:r>
      </w:hyperlink>
      <w:r w:rsidRPr="0045489F">
        <w:t>, párr. 173.</w:t>
      </w:r>
      <w:hyperlink r:id="rId9" w:history="1"/>
    </w:p>
  </w:footnote>
  <w:footnote w:id="14">
    <w:p w14:paraId="42A9AEAD" w14:textId="7C038FC5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hyperlink r:id="rId10" w:history="1">
        <w:r w:rsidRPr="000F3558">
          <w:rPr>
            <w:rStyle w:val="Hipervnculo"/>
          </w:rPr>
          <w:t>E/C.12/ISL/CO/5</w:t>
        </w:r>
      </w:hyperlink>
      <w:r w:rsidRPr="0045489F">
        <w:t>, párr. 25.</w:t>
      </w:r>
      <w:hyperlink r:id="rId11" w:history="1"/>
    </w:p>
  </w:footnote>
  <w:footnote w:id="15">
    <w:p w14:paraId="029EF533" w14:textId="7612D5BA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hyperlink r:id="rId12" w:history="1">
        <w:r w:rsidRPr="000F3558">
          <w:rPr>
            <w:rStyle w:val="Hipervnculo"/>
          </w:rPr>
          <w:t>CRPD/C/ISL/1</w:t>
        </w:r>
      </w:hyperlink>
      <w:r w:rsidRPr="0045489F">
        <w:t>, párr. 266.</w:t>
      </w:r>
      <w:hyperlink r:id="rId13" w:history="1"/>
    </w:p>
  </w:footnote>
  <w:footnote w:id="16">
    <w:p w14:paraId="27314A8B" w14:textId="77777777" w:rsidR="000F3558" w:rsidRPr="0045489F" w:rsidRDefault="000F3558" w:rsidP="000F3558">
      <w:pPr>
        <w:pStyle w:val="Textonotapie"/>
      </w:pPr>
      <w:r w:rsidRPr="0045489F">
        <w:tab/>
      </w:r>
      <w:r w:rsidRPr="000F3558">
        <w:rPr>
          <w:rStyle w:val="Refdenotaalpie"/>
        </w:rPr>
        <w:footnoteRef/>
      </w:r>
      <w:r w:rsidRPr="0045489F">
        <w:tab/>
      </w:r>
      <w:r w:rsidRPr="0045489F">
        <w:rPr>
          <w:i/>
          <w:iCs/>
        </w:rPr>
        <w:t>Ibid</w:t>
      </w:r>
      <w:r w:rsidRPr="0045489F">
        <w:t>., párrs. 281 y 282.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40424" w14:textId="79C1FF3C" w:rsidR="000F3558" w:rsidRPr="000F3558" w:rsidRDefault="000F3558">
    <w:pPr>
      <w:pStyle w:val="Encabezado"/>
    </w:pPr>
    <w:fldSimple w:instr=" TITLE  \* MERGEFORMAT ">
      <w:r w:rsidR="00CB2345">
        <w:t>CRPD/C/ISL/Q/1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23451" w14:textId="45CBB75B" w:rsidR="000F3558" w:rsidRPr="000F3558" w:rsidRDefault="000F3558" w:rsidP="000F3558">
    <w:pPr>
      <w:pStyle w:val="Encabezado"/>
      <w:jc w:val="right"/>
    </w:pPr>
    <w:fldSimple w:instr=" TITLE  \* MERGEFORMAT ">
      <w:r w:rsidR="00CB2345">
        <w:t>CRPD/C/ISL/Q/1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6C4675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775104139">
    <w:abstractNumId w:val="14"/>
  </w:num>
  <w:num w:numId="2" w16cid:durableId="1229341902">
    <w:abstractNumId w:val="11"/>
  </w:num>
  <w:num w:numId="3" w16cid:durableId="975796473">
    <w:abstractNumId w:val="16"/>
  </w:num>
  <w:num w:numId="4" w16cid:durableId="912856751">
    <w:abstractNumId w:val="15"/>
  </w:num>
  <w:num w:numId="5" w16cid:durableId="1820880020">
    <w:abstractNumId w:val="13"/>
  </w:num>
  <w:num w:numId="6" w16cid:durableId="414713224">
    <w:abstractNumId w:val="8"/>
  </w:num>
  <w:num w:numId="7" w16cid:durableId="1068267641">
    <w:abstractNumId w:val="3"/>
  </w:num>
  <w:num w:numId="8" w16cid:durableId="456028701">
    <w:abstractNumId w:val="2"/>
  </w:num>
  <w:num w:numId="9" w16cid:durableId="1521817104">
    <w:abstractNumId w:val="1"/>
  </w:num>
  <w:num w:numId="10" w16cid:durableId="241068039">
    <w:abstractNumId w:val="0"/>
  </w:num>
  <w:num w:numId="11" w16cid:durableId="364335031">
    <w:abstractNumId w:val="9"/>
  </w:num>
  <w:num w:numId="12" w16cid:durableId="1631741663">
    <w:abstractNumId w:val="7"/>
  </w:num>
  <w:num w:numId="13" w16cid:durableId="1092432213">
    <w:abstractNumId w:val="6"/>
  </w:num>
  <w:num w:numId="14" w16cid:durableId="218857095">
    <w:abstractNumId w:val="5"/>
  </w:num>
  <w:num w:numId="15" w16cid:durableId="866144232">
    <w:abstractNumId w:val="4"/>
  </w:num>
  <w:num w:numId="16" w16cid:durableId="1146387426">
    <w:abstractNumId w:val="10"/>
  </w:num>
  <w:num w:numId="17" w16cid:durableId="111560700">
    <w:abstractNumId w:val="14"/>
  </w:num>
  <w:num w:numId="18" w16cid:durableId="649093273">
    <w:abstractNumId w:val="11"/>
  </w:num>
  <w:num w:numId="19" w16cid:durableId="2103186413">
    <w:abstractNumId w:val="10"/>
  </w:num>
  <w:num w:numId="20" w16cid:durableId="645089452">
    <w:abstractNumId w:val="16"/>
  </w:num>
  <w:num w:numId="21" w16cid:durableId="69355506">
    <w:abstractNumId w:val="15"/>
  </w:num>
  <w:num w:numId="22" w16cid:durableId="1712220877">
    <w:abstractNumId w:val="12"/>
  </w:num>
  <w:num w:numId="23" w16cid:durableId="1432124686">
    <w:abstractNumId w:val="12"/>
  </w:num>
  <w:num w:numId="24" w16cid:durableId="898050211">
    <w:abstractNumId w:val="13"/>
  </w:num>
  <w:num w:numId="25" w16cid:durableId="255402173">
    <w:abstractNumId w:val="9"/>
  </w:num>
  <w:num w:numId="26" w16cid:durableId="2063938652">
    <w:abstractNumId w:val="7"/>
  </w:num>
  <w:num w:numId="27" w16cid:durableId="555046851">
    <w:abstractNumId w:val="6"/>
  </w:num>
  <w:num w:numId="28" w16cid:durableId="1047217358">
    <w:abstractNumId w:val="5"/>
  </w:num>
  <w:num w:numId="29" w16cid:durableId="1780685678">
    <w:abstractNumId w:val="4"/>
  </w:num>
  <w:num w:numId="30" w16cid:durableId="805052784">
    <w:abstractNumId w:val="8"/>
  </w:num>
  <w:num w:numId="31" w16cid:durableId="981926594">
    <w:abstractNumId w:val="3"/>
  </w:num>
  <w:num w:numId="32" w16cid:durableId="116221320">
    <w:abstractNumId w:val="2"/>
  </w:num>
  <w:num w:numId="33" w16cid:durableId="920480300">
    <w:abstractNumId w:val="1"/>
  </w:num>
  <w:num w:numId="34" w16cid:durableId="1003431611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3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F66"/>
    <w:rsid w:val="00006BB9"/>
    <w:rsid w:val="000221D5"/>
    <w:rsid w:val="00042677"/>
    <w:rsid w:val="000A36A2"/>
    <w:rsid w:val="000B53F5"/>
    <w:rsid w:val="000B57E7"/>
    <w:rsid w:val="000F09DF"/>
    <w:rsid w:val="000F3558"/>
    <w:rsid w:val="000F61B2"/>
    <w:rsid w:val="001075E9"/>
    <w:rsid w:val="00160FF7"/>
    <w:rsid w:val="0016400B"/>
    <w:rsid w:val="00180183"/>
    <w:rsid w:val="00196389"/>
    <w:rsid w:val="001C7A89"/>
    <w:rsid w:val="002172D2"/>
    <w:rsid w:val="0022765D"/>
    <w:rsid w:val="002A061F"/>
    <w:rsid w:val="002A2EFC"/>
    <w:rsid w:val="002A6FA7"/>
    <w:rsid w:val="002C0E18"/>
    <w:rsid w:val="002C33BB"/>
    <w:rsid w:val="002D5AAC"/>
    <w:rsid w:val="002F13FE"/>
    <w:rsid w:val="00301299"/>
    <w:rsid w:val="00322004"/>
    <w:rsid w:val="003402C2"/>
    <w:rsid w:val="00381C24"/>
    <w:rsid w:val="003958D0"/>
    <w:rsid w:val="003977DE"/>
    <w:rsid w:val="003B6D6D"/>
    <w:rsid w:val="003E1F6E"/>
    <w:rsid w:val="00454E07"/>
    <w:rsid w:val="004875CF"/>
    <w:rsid w:val="00494F64"/>
    <w:rsid w:val="004E4B46"/>
    <w:rsid w:val="0050108D"/>
    <w:rsid w:val="0056415C"/>
    <w:rsid w:val="00572E19"/>
    <w:rsid w:val="00593B7A"/>
    <w:rsid w:val="005C09D4"/>
    <w:rsid w:val="005D4E88"/>
    <w:rsid w:val="005D6145"/>
    <w:rsid w:val="005F0445"/>
    <w:rsid w:val="005F0B42"/>
    <w:rsid w:val="00603BE5"/>
    <w:rsid w:val="00614642"/>
    <w:rsid w:val="00655A21"/>
    <w:rsid w:val="006808A9"/>
    <w:rsid w:val="006C2D34"/>
    <w:rsid w:val="006E1835"/>
    <w:rsid w:val="006F35EE"/>
    <w:rsid w:val="007021FF"/>
    <w:rsid w:val="007076CB"/>
    <w:rsid w:val="0071316C"/>
    <w:rsid w:val="00763AC2"/>
    <w:rsid w:val="007709CC"/>
    <w:rsid w:val="007967DF"/>
    <w:rsid w:val="007B02D4"/>
    <w:rsid w:val="007D4D59"/>
    <w:rsid w:val="00834B71"/>
    <w:rsid w:val="008626C7"/>
    <w:rsid w:val="0086445C"/>
    <w:rsid w:val="00881814"/>
    <w:rsid w:val="00885453"/>
    <w:rsid w:val="008A08D7"/>
    <w:rsid w:val="008A13F9"/>
    <w:rsid w:val="008D5DB6"/>
    <w:rsid w:val="009000B3"/>
    <w:rsid w:val="00906890"/>
    <w:rsid w:val="00911E66"/>
    <w:rsid w:val="00951972"/>
    <w:rsid w:val="00952284"/>
    <w:rsid w:val="00963777"/>
    <w:rsid w:val="00993207"/>
    <w:rsid w:val="009B2BF5"/>
    <w:rsid w:val="009B452A"/>
    <w:rsid w:val="009B4E5E"/>
    <w:rsid w:val="009D2588"/>
    <w:rsid w:val="00A17DFD"/>
    <w:rsid w:val="00A764E4"/>
    <w:rsid w:val="00A917B3"/>
    <w:rsid w:val="00AA704D"/>
    <w:rsid w:val="00AB4B51"/>
    <w:rsid w:val="00AE4CC4"/>
    <w:rsid w:val="00AF7274"/>
    <w:rsid w:val="00B018CB"/>
    <w:rsid w:val="00B10CC7"/>
    <w:rsid w:val="00B1521B"/>
    <w:rsid w:val="00B37C3B"/>
    <w:rsid w:val="00B502B1"/>
    <w:rsid w:val="00B5520E"/>
    <w:rsid w:val="00B62458"/>
    <w:rsid w:val="00B64F66"/>
    <w:rsid w:val="00BD33EE"/>
    <w:rsid w:val="00C60F0C"/>
    <w:rsid w:val="00C6457C"/>
    <w:rsid w:val="00C6761A"/>
    <w:rsid w:val="00C76505"/>
    <w:rsid w:val="00C805C9"/>
    <w:rsid w:val="00C94626"/>
    <w:rsid w:val="00CA1679"/>
    <w:rsid w:val="00CB2345"/>
    <w:rsid w:val="00D31070"/>
    <w:rsid w:val="00D5042C"/>
    <w:rsid w:val="00D76019"/>
    <w:rsid w:val="00D80BBB"/>
    <w:rsid w:val="00D90138"/>
    <w:rsid w:val="00DB2215"/>
    <w:rsid w:val="00E50C33"/>
    <w:rsid w:val="00E73F76"/>
    <w:rsid w:val="00E850CE"/>
    <w:rsid w:val="00E973E2"/>
    <w:rsid w:val="00ED0DC1"/>
    <w:rsid w:val="00EF1360"/>
    <w:rsid w:val="00EF3220"/>
    <w:rsid w:val="00F44B33"/>
    <w:rsid w:val="00F51B18"/>
    <w:rsid w:val="00F94155"/>
    <w:rsid w:val="00FC2146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5B8ED"/>
  <w15:docId w15:val="{AABE9561-A742-44E1-8549-990EB58A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494F64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494F64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494F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494F6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494F6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494F64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494F64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494F64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494F6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494F6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494F64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494F64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494F6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494F6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494F64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494F6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494F6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494F64"/>
    <w:pPr>
      <w:numPr>
        <w:numId w:val="3"/>
      </w:numPr>
    </w:pPr>
  </w:style>
  <w:style w:type="numbering" w:styleId="1ai">
    <w:name w:val="Outline List 1"/>
    <w:basedOn w:val="Sinlista"/>
    <w:rsid w:val="00494F64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494F64"/>
  </w:style>
  <w:style w:type="numbering" w:styleId="ArtculoSeccin">
    <w:name w:val="Outline List 3"/>
    <w:basedOn w:val="Sinlista"/>
    <w:rsid w:val="00494F64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494F64"/>
    <w:pPr>
      <w:ind w:left="4252"/>
    </w:pPr>
  </w:style>
  <w:style w:type="character" w:styleId="CitaHTML">
    <w:name w:val="HTML Cite"/>
    <w:semiHidden/>
    <w:rsid w:val="00494F64"/>
    <w:rPr>
      <w:i/>
      <w:iCs/>
    </w:rPr>
  </w:style>
  <w:style w:type="character" w:styleId="CdigoHTML">
    <w:name w:val="HTML Code"/>
    <w:semiHidden/>
    <w:rsid w:val="00494F64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494F64"/>
    <w:pPr>
      <w:spacing w:after="120"/>
      <w:ind w:left="283"/>
    </w:pPr>
  </w:style>
  <w:style w:type="paragraph" w:styleId="Continuarlista2">
    <w:name w:val="List Continue 2"/>
    <w:basedOn w:val="Normal"/>
    <w:semiHidden/>
    <w:rsid w:val="00494F64"/>
    <w:pPr>
      <w:spacing w:after="120"/>
      <w:ind w:left="566"/>
    </w:pPr>
  </w:style>
  <w:style w:type="paragraph" w:styleId="Continuarlista3">
    <w:name w:val="List Continue 3"/>
    <w:basedOn w:val="Normal"/>
    <w:semiHidden/>
    <w:rsid w:val="00494F64"/>
    <w:pPr>
      <w:spacing w:after="120"/>
      <w:ind w:left="849"/>
    </w:pPr>
  </w:style>
  <w:style w:type="paragraph" w:styleId="Continuarlista4">
    <w:name w:val="List Continue 4"/>
    <w:basedOn w:val="Normal"/>
    <w:semiHidden/>
    <w:rsid w:val="00494F64"/>
    <w:pPr>
      <w:spacing w:after="120"/>
      <w:ind w:left="1132"/>
    </w:pPr>
  </w:style>
  <w:style w:type="paragraph" w:styleId="Continuarlista5">
    <w:name w:val="List Continue 5"/>
    <w:basedOn w:val="Normal"/>
    <w:semiHidden/>
    <w:rsid w:val="00494F64"/>
    <w:pPr>
      <w:spacing w:after="120"/>
      <w:ind w:left="1415"/>
    </w:pPr>
  </w:style>
  <w:style w:type="character" w:styleId="DefinicinHTML">
    <w:name w:val="HTML Definition"/>
    <w:semiHidden/>
    <w:rsid w:val="00494F64"/>
    <w:rPr>
      <w:i/>
      <w:iCs/>
    </w:rPr>
  </w:style>
  <w:style w:type="paragraph" w:styleId="DireccinHTML">
    <w:name w:val="HTML Address"/>
    <w:basedOn w:val="Normal"/>
    <w:link w:val="DireccinHTMLCar"/>
    <w:semiHidden/>
    <w:rsid w:val="00494F64"/>
    <w:rPr>
      <w:i/>
      <w:iCs/>
    </w:rPr>
  </w:style>
  <w:style w:type="paragraph" w:styleId="Direccinsobre">
    <w:name w:val="envelope address"/>
    <w:basedOn w:val="Normal"/>
    <w:semiHidden/>
    <w:rsid w:val="00494F64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494F64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494F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494F64"/>
  </w:style>
  <w:style w:type="character" w:styleId="nfasis">
    <w:name w:val="Emphasis"/>
    <w:semiHidden/>
    <w:rsid w:val="00494F64"/>
    <w:rPr>
      <w:i/>
      <w:iCs/>
    </w:rPr>
  </w:style>
  <w:style w:type="paragraph" w:styleId="Fecha">
    <w:name w:val="Date"/>
    <w:basedOn w:val="Normal"/>
    <w:next w:val="Normal"/>
    <w:link w:val="FechaCar"/>
    <w:semiHidden/>
    <w:rsid w:val="00494F64"/>
  </w:style>
  <w:style w:type="paragraph" w:styleId="Firma">
    <w:name w:val="Signature"/>
    <w:basedOn w:val="Normal"/>
    <w:link w:val="FirmaCar"/>
    <w:semiHidden/>
    <w:rsid w:val="00494F64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494F64"/>
  </w:style>
  <w:style w:type="character" w:styleId="Hipervnculo">
    <w:name w:val="Hyperlink"/>
    <w:uiPriority w:val="4"/>
    <w:rsid w:val="00494F64"/>
    <w:rPr>
      <w:color w:val="0000FF"/>
      <w:u w:val="none"/>
    </w:rPr>
  </w:style>
  <w:style w:type="character" w:styleId="Hipervnculovisitado">
    <w:name w:val="FollowedHyperlink"/>
    <w:uiPriority w:val="4"/>
    <w:rsid w:val="00494F6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494F64"/>
    <w:rPr>
      <w:rFonts w:ascii="Courier New" w:hAnsi="Courier New" w:cs="Courier New"/>
    </w:rPr>
  </w:style>
  <w:style w:type="paragraph" w:styleId="Lista">
    <w:name w:val="List"/>
    <w:basedOn w:val="Normal"/>
    <w:semiHidden/>
    <w:rsid w:val="00494F64"/>
    <w:pPr>
      <w:ind w:left="283" w:hanging="283"/>
    </w:pPr>
  </w:style>
  <w:style w:type="paragraph" w:styleId="Lista2">
    <w:name w:val="List 2"/>
    <w:basedOn w:val="Normal"/>
    <w:semiHidden/>
    <w:rsid w:val="00494F64"/>
    <w:pPr>
      <w:ind w:left="566" w:hanging="283"/>
    </w:pPr>
  </w:style>
  <w:style w:type="paragraph" w:styleId="Lista3">
    <w:name w:val="List 3"/>
    <w:basedOn w:val="Normal"/>
    <w:semiHidden/>
    <w:rsid w:val="00494F64"/>
    <w:pPr>
      <w:ind w:left="849" w:hanging="283"/>
    </w:pPr>
  </w:style>
  <w:style w:type="paragraph" w:styleId="Lista4">
    <w:name w:val="List 4"/>
    <w:basedOn w:val="Normal"/>
    <w:semiHidden/>
    <w:rsid w:val="00494F64"/>
    <w:pPr>
      <w:ind w:left="1132" w:hanging="283"/>
    </w:pPr>
  </w:style>
  <w:style w:type="paragraph" w:styleId="Lista5">
    <w:name w:val="List 5"/>
    <w:basedOn w:val="Normal"/>
    <w:semiHidden/>
    <w:rsid w:val="00494F64"/>
    <w:pPr>
      <w:ind w:left="1415" w:hanging="283"/>
    </w:pPr>
  </w:style>
  <w:style w:type="paragraph" w:styleId="Listaconnmeros">
    <w:name w:val="List Number"/>
    <w:basedOn w:val="Normal"/>
    <w:semiHidden/>
    <w:rsid w:val="00494F64"/>
    <w:pPr>
      <w:numPr>
        <w:numId w:val="30"/>
      </w:numPr>
    </w:pPr>
  </w:style>
  <w:style w:type="paragraph" w:styleId="Listaconnmeros2">
    <w:name w:val="List Number 2"/>
    <w:basedOn w:val="Normal"/>
    <w:semiHidden/>
    <w:rsid w:val="00494F64"/>
    <w:pPr>
      <w:numPr>
        <w:numId w:val="31"/>
      </w:numPr>
    </w:pPr>
  </w:style>
  <w:style w:type="paragraph" w:styleId="Listaconnmeros3">
    <w:name w:val="List Number 3"/>
    <w:basedOn w:val="Normal"/>
    <w:semiHidden/>
    <w:rsid w:val="00494F64"/>
    <w:pPr>
      <w:numPr>
        <w:numId w:val="32"/>
      </w:numPr>
    </w:pPr>
  </w:style>
  <w:style w:type="paragraph" w:styleId="Listaconnmeros4">
    <w:name w:val="List Number 4"/>
    <w:basedOn w:val="Normal"/>
    <w:semiHidden/>
    <w:rsid w:val="00494F64"/>
    <w:pPr>
      <w:numPr>
        <w:numId w:val="33"/>
      </w:numPr>
    </w:pPr>
  </w:style>
  <w:style w:type="paragraph" w:styleId="Listaconnmeros5">
    <w:name w:val="List Number 5"/>
    <w:basedOn w:val="Normal"/>
    <w:semiHidden/>
    <w:rsid w:val="00494F64"/>
    <w:pPr>
      <w:numPr>
        <w:numId w:val="34"/>
      </w:numPr>
    </w:pPr>
  </w:style>
  <w:style w:type="paragraph" w:styleId="Listaconvietas">
    <w:name w:val="List Bullet"/>
    <w:basedOn w:val="Normal"/>
    <w:semiHidden/>
    <w:rsid w:val="00494F64"/>
    <w:pPr>
      <w:numPr>
        <w:numId w:val="25"/>
      </w:numPr>
    </w:pPr>
  </w:style>
  <w:style w:type="paragraph" w:styleId="Listaconvietas2">
    <w:name w:val="List Bullet 2"/>
    <w:basedOn w:val="Normal"/>
    <w:semiHidden/>
    <w:rsid w:val="00494F64"/>
    <w:pPr>
      <w:numPr>
        <w:numId w:val="26"/>
      </w:numPr>
    </w:pPr>
  </w:style>
  <w:style w:type="paragraph" w:styleId="Listaconvietas3">
    <w:name w:val="List Bullet 3"/>
    <w:basedOn w:val="Normal"/>
    <w:semiHidden/>
    <w:rsid w:val="00494F64"/>
    <w:pPr>
      <w:numPr>
        <w:numId w:val="27"/>
      </w:numPr>
    </w:pPr>
  </w:style>
  <w:style w:type="paragraph" w:styleId="Listaconvietas4">
    <w:name w:val="List Bullet 4"/>
    <w:basedOn w:val="Normal"/>
    <w:semiHidden/>
    <w:rsid w:val="00494F64"/>
    <w:pPr>
      <w:numPr>
        <w:numId w:val="28"/>
      </w:numPr>
    </w:pPr>
  </w:style>
  <w:style w:type="paragraph" w:styleId="Listaconvietas5">
    <w:name w:val="List Bullet 5"/>
    <w:basedOn w:val="Normal"/>
    <w:semiHidden/>
    <w:rsid w:val="00494F64"/>
    <w:pPr>
      <w:numPr>
        <w:numId w:val="29"/>
      </w:numPr>
    </w:pPr>
  </w:style>
  <w:style w:type="character" w:styleId="MquinadeescribirHTML">
    <w:name w:val="HTML Typewriter"/>
    <w:semiHidden/>
    <w:rsid w:val="00494F64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494F64"/>
    <w:rPr>
      <w:sz w:val="24"/>
      <w:szCs w:val="24"/>
    </w:rPr>
  </w:style>
  <w:style w:type="character" w:styleId="Nmerodelnea">
    <w:name w:val="line number"/>
    <w:basedOn w:val="Fuentedeprrafopredeter"/>
    <w:semiHidden/>
    <w:rsid w:val="00494F64"/>
  </w:style>
  <w:style w:type="character" w:styleId="Nmerodepgina">
    <w:name w:val="page number"/>
    <w:aliases w:val="7_G"/>
    <w:uiPriority w:val="3"/>
    <w:qFormat/>
    <w:rsid w:val="00494F64"/>
    <w:rPr>
      <w:b/>
      <w:sz w:val="18"/>
    </w:rPr>
  </w:style>
  <w:style w:type="character" w:styleId="Refdenotaalfinal">
    <w:name w:val="endnote reference"/>
    <w:aliases w:val="1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494F64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494F64"/>
  </w:style>
  <w:style w:type="paragraph" w:styleId="Sangra2detindependiente">
    <w:name w:val="Body Text Indent 2"/>
    <w:basedOn w:val="Normal"/>
    <w:link w:val="Sangra2detindependienteCar"/>
    <w:semiHidden/>
    <w:rsid w:val="00494F64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494F64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494F64"/>
    <w:pPr>
      <w:spacing w:after="120"/>
      <w:ind w:left="283"/>
    </w:pPr>
  </w:style>
  <w:style w:type="paragraph" w:styleId="Sangranormal">
    <w:name w:val="Normal Indent"/>
    <w:basedOn w:val="Normal"/>
    <w:semiHidden/>
    <w:rsid w:val="00494F64"/>
    <w:pPr>
      <w:ind w:left="567"/>
    </w:pPr>
  </w:style>
  <w:style w:type="paragraph" w:styleId="Subttulo">
    <w:name w:val="Subtitle"/>
    <w:basedOn w:val="Normal"/>
    <w:link w:val="SubttuloCar"/>
    <w:semiHidden/>
    <w:rsid w:val="00494F6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494F64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494F64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494F64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494F64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494F64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494F64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494F64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494F64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494F64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494F64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494F64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494F64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494F64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494F64"/>
    <w:pPr>
      <w:spacing w:after="120"/>
      <w:ind w:left="1440" w:right="1440"/>
    </w:pPr>
  </w:style>
  <w:style w:type="character" w:styleId="Textoennegrita">
    <w:name w:val="Strong"/>
    <w:semiHidden/>
    <w:rsid w:val="00494F64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494F64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494F64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494F64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494F64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494F64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494F64"/>
  </w:style>
  <w:style w:type="paragraph" w:styleId="Textosinformato">
    <w:name w:val="Plain Text"/>
    <w:basedOn w:val="Normal"/>
    <w:link w:val="TextosinformatoCar"/>
    <w:semiHidden/>
    <w:rsid w:val="00494F64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494F6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494F64"/>
    <w:rPr>
      <w:i/>
      <w:iCs/>
    </w:rPr>
  </w:style>
  <w:style w:type="paragraph" w:customStyle="1" w:styleId="Bullet1G">
    <w:name w:val="_Bullet 1_G"/>
    <w:basedOn w:val="Normal"/>
    <w:uiPriority w:val="1"/>
    <w:qFormat/>
    <w:rsid w:val="00494F64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494F64"/>
    <w:pPr>
      <w:numPr>
        <w:numId w:val="18"/>
      </w:numPr>
      <w:spacing w:after="120"/>
      <w:ind w:right="1134"/>
      <w:jc w:val="both"/>
    </w:pPr>
  </w:style>
  <w:style w:type="character" w:styleId="nfasissutil">
    <w:name w:val="Subtle Emphasis"/>
    <w:basedOn w:val="Fuentedeprrafopredeter"/>
    <w:uiPriority w:val="19"/>
    <w:semiHidden/>
    <w:rsid w:val="0056415C"/>
    <w:rPr>
      <w:i/>
      <w:iCs/>
      <w:color w:val="808080" w:themeColor="text1" w:themeTint="7F"/>
    </w:rPr>
  </w:style>
  <w:style w:type="paragraph" w:styleId="Prrafodelista">
    <w:name w:val="List Paragraph"/>
    <w:basedOn w:val="Normal"/>
    <w:uiPriority w:val="34"/>
    <w:semiHidden/>
    <w:rsid w:val="0056415C"/>
    <w:pPr>
      <w:ind w:left="567"/>
    </w:pPr>
  </w:style>
  <w:style w:type="paragraph" w:styleId="Textodeglobo">
    <w:name w:val="Balloon Text"/>
    <w:basedOn w:val="Normal"/>
    <w:link w:val="TextodegloboCar"/>
    <w:semiHidden/>
    <w:unhideWhenUsed/>
    <w:rsid w:val="00494F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494F64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494F64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494F64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494F64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494F64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94F64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94F64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94F64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494F64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94F64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494F64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94F64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94F64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494F64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494F64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494F64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494F64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494F64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494F64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494F64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494F64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494F64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494F64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494F64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494F6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494F64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494F64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494F64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494F64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494F64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494F64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494F64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494F64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494F64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494F64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494F64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494F64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494F64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494F64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494F64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0F35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CRPD/C/ISL/1" TargetMode="External"/><Relationship Id="rId13" Type="http://schemas.openxmlformats.org/officeDocument/2006/relationships/hyperlink" Target="https://docs.un.org/en/CRPD/C/ISL/1" TargetMode="External"/><Relationship Id="rId3" Type="http://schemas.openxmlformats.org/officeDocument/2006/relationships/hyperlink" Target="https://docs.un.org/en/CRC/C/ISL/CO/5-6" TargetMode="External"/><Relationship Id="rId7" Type="http://schemas.openxmlformats.org/officeDocument/2006/relationships/hyperlink" Target="https://docs.un.org/en/CEDAW/C/ISL/CO/9" TargetMode="External"/><Relationship Id="rId12" Type="http://schemas.openxmlformats.org/officeDocument/2006/relationships/hyperlink" Target="https://undocs.org/es/CRPD/C/ISL/1" TargetMode="External"/><Relationship Id="rId2" Type="http://schemas.openxmlformats.org/officeDocument/2006/relationships/hyperlink" Target="https://undocs.org/es/CRC/C/ISL/CO/5-6" TargetMode="External"/><Relationship Id="rId1" Type="http://schemas.openxmlformats.org/officeDocument/2006/relationships/hyperlink" Target="https://undocs.org/es/CRPD/C/ISL/1" TargetMode="External"/><Relationship Id="rId6" Type="http://schemas.openxmlformats.org/officeDocument/2006/relationships/hyperlink" Target="https://undocs.org/es/CEDAW/C/ISL/CO/9" TargetMode="External"/><Relationship Id="rId11" Type="http://schemas.openxmlformats.org/officeDocument/2006/relationships/hyperlink" Target="https://docs.un.org/en/E/C.12/ISL/CO/5" TargetMode="External"/><Relationship Id="rId5" Type="http://schemas.openxmlformats.org/officeDocument/2006/relationships/hyperlink" Target="https://docs.un.org/en/CRPD/C/ISL/1" TargetMode="External"/><Relationship Id="rId10" Type="http://schemas.openxmlformats.org/officeDocument/2006/relationships/hyperlink" Target="https://undocs.org/es/E/C.12/ISL/CO/5" TargetMode="External"/><Relationship Id="rId4" Type="http://schemas.openxmlformats.org/officeDocument/2006/relationships/hyperlink" Target="https://undocs.org/es/CRPD/C/ISL/1" TargetMode="External"/><Relationship Id="rId9" Type="http://schemas.openxmlformats.org/officeDocument/2006/relationships/hyperlink" Target="https://docs.un.org/en/CRPD/C/ISL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11</TotalTime>
  <Pages>11</Pages>
  <Words>5008</Words>
  <Characters>28549</Characters>
  <Application>Microsoft Office Word</Application>
  <DocSecurity>0</DocSecurity>
  <Lines>237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</vt:lpstr>
    </vt:vector>
  </TitlesOfParts>
  <Company/>
  <LinksUpToDate>false</LinksUpToDate>
  <CharactersWithSpaces>33491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CRPD/C/ISL/Q/1</dc:title>
  <dc:subject/>
  <dc:creator>Luz Maria URQUIZU MARROQUIN</dc:creator>
  <cp:keywords/>
  <cp:lastModifiedBy>Luz Urquizu Marroquin</cp:lastModifiedBy>
  <cp:revision>3</cp:revision>
  <cp:lastPrinted>2026-07-07T08:34:00Z</cp:lastPrinted>
  <dcterms:created xsi:type="dcterms:W3CDTF">2026-07-07T08:34:00Z</dcterms:created>
  <dcterms:modified xsi:type="dcterms:W3CDTF">2026-07-07T08:35:00Z</dcterms:modified>
</cp:coreProperties>
</file>