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ED4D4A" w:rsidP="00ED4D4A">
            <w:pPr>
              <w:jc w:val="right"/>
            </w:pPr>
            <w:r w:rsidRPr="00ED4D4A">
              <w:rPr>
                <w:sz w:val="40"/>
              </w:rPr>
              <w:t>A</w:t>
            </w:r>
            <w:r>
              <w:t>/HRC/RES/22/8</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ED4D4A" w:rsidRDefault="00ED4D4A" w:rsidP="00C717E0">
            <w:pPr>
              <w:spacing w:before="240"/>
            </w:pPr>
            <w:r>
              <w:t>Distr. générale</w:t>
            </w:r>
          </w:p>
          <w:p w:rsidR="00ED4D4A" w:rsidRDefault="00ED4D4A" w:rsidP="00ED4D4A">
            <w:pPr>
              <w:spacing w:line="240" w:lineRule="exact"/>
            </w:pPr>
            <w:r>
              <w:t>9 avril 2013</w:t>
            </w:r>
          </w:p>
          <w:p w:rsidR="00ED4D4A" w:rsidRDefault="00ED4D4A" w:rsidP="00ED4D4A">
            <w:pPr>
              <w:spacing w:line="240" w:lineRule="exact"/>
            </w:pPr>
            <w:r>
              <w:t>Français</w:t>
            </w:r>
          </w:p>
          <w:p w:rsidR="00057BC0" w:rsidRPr="00DB58B5" w:rsidRDefault="00ED4D4A" w:rsidP="00ED4D4A">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l’homme</w:t>
      </w:r>
    </w:p>
    <w:p w:rsidR="00DF146D" w:rsidRDefault="00DF146D" w:rsidP="00DF146D">
      <w:pPr>
        <w:rPr>
          <w:b/>
        </w:rPr>
      </w:pPr>
      <w:r>
        <w:rPr>
          <w:b/>
        </w:rPr>
        <w:t>Vingt-deuxième session</w:t>
      </w:r>
    </w:p>
    <w:p w:rsidR="00DF146D" w:rsidRDefault="00DF146D" w:rsidP="00DF146D">
      <w:r>
        <w:t>Point 3 de l’ordre du jour</w:t>
      </w:r>
    </w:p>
    <w:p w:rsidR="00DF146D" w:rsidRDefault="00DF146D" w:rsidP="00DF146D">
      <w:pPr>
        <w:rPr>
          <w:b/>
        </w:rPr>
      </w:pPr>
      <w:r w:rsidRPr="00E06BFE">
        <w:rPr>
          <w:b/>
        </w:rPr>
        <w:t>Promotion et protection de tous les droits de l</w:t>
      </w:r>
      <w:r>
        <w:rPr>
          <w:b/>
        </w:rPr>
        <w:t>’</w:t>
      </w:r>
      <w:r w:rsidRPr="00E06BFE">
        <w:rPr>
          <w:b/>
        </w:rPr>
        <w:t xml:space="preserve">homme, </w:t>
      </w:r>
      <w:r w:rsidRPr="00E06BFE">
        <w:rPr>
          <w:b/>
        </w:rPr>
        <w:br/>
        <w:t xml:space="preserve">civils, politiques, économiques, sociaux et culturels, </w:t>
      </w:r>
      <w:r w:rsidRPr="00E06BFE">
        <w:rPr>
          <w:b/>
        </w:rPr>
        <w:br/>
        <w:t>y compris le droit au développement</w:t>
      </w:r>
    </w:p>
    <w:p w:rsidR="00DF146D" w:rsidRPr="00E06BFE" w:rsidRDefault="00DF146D" w:rsidP="00DF146D">
      <w:pPr>
        <w:pStyle w:val="H23G"/>
      </w:pPr>
      <w:r>
        <w:tab/>
      </w:r>
      <w:r>
        <w:tab/>
        <w:t>Résolution adoptée par le Conseil des droits de l’homme</w:t>
      </w:r>
      <w:r w:rsidRPr="00AB6E2F">
        <w:rPr>
          <w:rStyle w:val="FootnoteReference"/>
          <w:b w:val="0"/>
          <w:sz w:val="20"/>
          <w:vertAlign w:val="baseline"/>
        </w:rPr>
        <w:footnoteReference w:customMarkFollows="1" w:id="2"/>
        <w:t>*</w:t>
      </w:r>
    </w:p>
    <w:p w:rsidR="001C5090" w:rsidRDefault="00DF146D" w:rsidP="001C5090">
      <w:pPr>
        <w:pStyle w:val="H1G"/>
      </w:pPr>
      <w:r>
        <w:tab/>
      </w:r>
      <w:r>
        <w:tab/>
        <w:t>22/8</w:t>
      </w:r>
      <w:r>
        <w:br/>
      </w:r>
      <w:r w:rsidR="001C5090">
        <w:t>Protection des droits de l’homme et des libertés fondamentales</w:t>
      </w:r>
      <w:r w:rsidR="001C5090">
        <w:br/>
        <w:t>dans la lutte antiterroriste: mandat du Rapporteur spécial</w:t>
      </w:r>
      <w:r w:rsidR="001C5090">
        <w:br/>
        <w:t>sur la promotion et la protection des droits de l’homme</w:t>
      </w:r>
      <w:r w:rsidR="001C5090">
        <w:br/>
        <w:t>et des libertés fondamentales dans la lutte antiterroriste</w:t>
      </w:r>
    </w:p>
    <w:p w:rsidR="001C5090" w:rsidRDefault="001C5090" w:rsidP="001C5090">
      <w:pPr>
        <w:pStyle w:val="SingleTxtG"/>
        <w:ind w:firstLine="567"/>
      </w:pPr>
      <w:r>
        <w:rPr>
          <w:i/>
        </w:rPr>
        <w:t>Le Conseil des droits de l’homme</w:t>
      </w:r>
      <w:r>
        <w:t>,</w:t>
      </w:r>
    </w:p>
    <w:p w:rsidR="001C5090" w:rsidRDefault="001C5090" w:rsidP="001C5090">
      <w:pPr>
        <w:pStyle w:val="SingleTxtG"/>
        <w:ind w:firstLine="567"/>
      </w:pPr>
      <w:r>
        <w:rPr>
          <w:i/>
        </w:rPr>
        <w:t>Ayant à l’esprit</w:t>
      </w:r>
      <w:r>
        <w:t xml:space="preserve"> le paragraphe 6 de la résolution 60/251 de l’Assemblée générale en date du 15 mars 2006,</w:t>
      </w:r>
    </w:p>
    <w:p w:rsidR="001C5090" w:rsidRDefault="001C5090" w:rsidP="001C5090">
      <w:pPr>
        <w:pStyle w:val="SingleTxtG"/>
        <w:ind w:firstLine="567"/>
      </w:pPr>
      <w:r>
        <w:rPr>
          <w:i/>
        </w:rPr>
        <w:t>Rappelant</w:t>
      </w:r>
      <w:r>
        <w:t xml:space="preserve"> ses </w:t>
      </w:r>
      <w:r w:rsidR="003E4AA2">
        <w:t>résolutions </w:t>
      </w:r>
      <w:r>
        <w:t>5/1, sur la mise en place des institutions du Co</w:t>
      </w:r>
      <w:r w:rsidR="003E4AA2">
        <w:t>nseil des droits de l’homme, et </w:t>
      </w:r>
      <w:r>
        <w:t>5/2, sur</w:t>
      </w:r>
      <w:r w:rsidR="0012086B">
        <w:t xml:space="preserve"> le c</w:t>
      </w:r>
      <w:r>
        <w:t xml:space="preserve">ode de conduite pour les titulaires de mandat au titre de procédures spéciales du Conseil des droits de l’homme, en date du 18 juin 2007, et soulignant que le titulaire du mandat doit s’acquitter de ses obligations conformément à ces résolutions et à leurs annexes, </w:t>
      </w:r>
    </w:p>
    <w:p w:rsidR="001C5090" w:rsidRDefault="001C5090" w:rsidP="001C5090">
      <w:pPr>
        <w:pStyle w:val="SingleTxtG"/>
        <w:ind w:firstLine="567"/>
      </w:pPr>
      <w:r>
        <w:rPr>
          <w:i/>
        </w:rPr>
        <w:t xml:space="preserve">Rappelant aussi </w:t>
      </w:r>
      <w:r>
        <w:t>les résolutions de la C</w:t>
      </w:r>
      <w:r w:rsidR="00613492">
        <w:t>ommission des droits de l’homme </w:t>
      </w:r>
      <w:r>
        <w:t>2004/87 et 2005/80, en date du 21 avril 2004 et du 21 avril 2005, les résolutions de l’Assemblée générale 59/191, 60/158 et 61/171, en date du 20 décembre 2004, du 16 décembre 2005 et du 19 décembre 2006, et ses propres résolutions 6/28 et 15/15, en date du 14 décembre 2007 et du 24 septembre 2010</w:t>
      </w:r>
      <w:r w:rsidR="0012086B">
        <w:t xml:space="preserve"> respectivement</w:t>
      </w:r>
      <w:r>
        <w:t>, intitulées «Protection des droits de l’homme et des libertés fondamentales dans la lutte antiterroriste: mandat du Rapporteur spécial sur la promotion et la protection des droits de l’homme et des libertés fondamentales dans la lutte antiterroriste»,</w:t>
      </w:r>
    </w:p>
    <w:p w:rsidR="001C5090" w:rsidRDefault="001C5090" w:rsidP="001C5090">
      <w:pPr>
        <w:pStyle w:val="SingleTxtG"/>
        <w:ind w:firstLine="567"/>
      </w:pPr>
      <w:r>
        <w:t>1.</w:t>
      </w:r>
      <w:r>
        <w:tab/>
      </w:r>
      <w:r>
        <w:rPr>
          <w:i/>
        </w:rPr>
        <w:t>Décide</w:t>
      </w:r>
      <w:r>
        <w:t xml:space="preserve"> de reconduire le mandat du Rapporteur spécial sur la promotion et la protection des droits de l’homme et des libertés fondamentales dans la lutte antiterroriste pour une période de trois ans, dans les conditions prévues par le Conseil des droits de l’homme dans sa résolution 15/15;</w:t>
      </w:r>
    </w:p>
    <w:p w:rsidR="001C5090" w:rsidRDefault="001C5090" w:rsidP="001C5090">
      <w:pPr>
        <w:pStyle w:val="SingleTxtG"/>
        <w:ind w:firstLine="567"/>
      </w:pPr>
      <w:r>
        <w:t>2.</w:t>
      </w:r>
      <w:r>
        <w:tab/>
      </w:r>
      <w:r>
        <w:rPr>
          <w:i/>
          <w:iCs/>
        </w:rPr>
        <w:t>Prie</w:t>
      </w:r>
      <w:r>
        <w:t xml:space="preserve"> tous les gouvernements de coopérer pleinement avec le Rapporteur spécial dans l’exécution des tâches et le respect des obligations découlant de son mandat, notamment en répondant sans tarder à ses appels urgents et en lui donnant les renseignements demandés;</w:t>
      </w:r>
    </w:p>
    <w:p w:rsidR="001C5090" w:rsidRDefault="001C5090" w:rsidP="001C5090">
      <w:pPr>
        <w:pStyle w:val="SingleTxtG"/>
        <w:ind w:firstLine="567"/>
      </w:pPr>
      <w:r>
        <w:t>3.</w:t>
      </w:r>
      <w:r>
        <w:tab/>
      </w:r>
      <w:r>
        <w:rPr>
          <w:i/>
          <w:iCs/>
        </w:rPr>
        <w:t xml:space="preserve">Appelle </w:t>
      </w:r>
      <w:r>
        <w:t>tous les gouvernements à envisager sérieusement de répondre favorablement à toute demande de visite du Rapporteur spécial dans leur pays;</w:t>
      </w:r>
    </w:p>
    <w:p w:rsidR="001C5090" w:rsidRDefault="001C5090" w:rsidP="001C5090">
      <w:pPr>
        <w:pStyle w:val="SingleTxtG"/>
        <w:spacing w:line="220" w:lineRule="atLeast"/>
        <w:ind w:firstLine="567"/>
      </w:pPr>
      <w:r>
        <w:t>4.</w:t>
      </w:r>
      <w:r>
        <w:tab/>
      </w:r>
      <w:r w:rsidRPr="00A77D9B">
        <w:rPr>
          <w:i/>
          <w:iCs/>
          <w:spacing w:val="-2"/>
        </w:rPr>
        <w:t>Prie</w:t>
      </w:r>
      <w:r w:rsidRPr="00A77D9B">
        <w:rPr>
          <w:spacing w:val="-2"/>
        </w:rPr>
        <w:t xml:space="preserve"> le Secrétaire général et la Haut-Commissaire des Nations Unies aux droits de l</w:t>
      </w:r>
      <w:r>
        <w:rPr>
          <w:spacing w:val="-2"/>
        </w:rPr>
        <w:t>’</w:t>
      </w:r>
      <w:r w:rsidRPr="00A77D9B">
        <w:rPr>
          <w:spacing w:val="-2"/>
        </w:rPr>
        <w:t xml:space="preserve">homme de fournir au </w:t>
      </w:r>
      <w:r w:rsidRPr="00293357">
        <w:t>Rapporteur</w:t>
      </w:r>
      <w:r w:rsidRPr="00A77D9B">
        <w:rPr>
          <w:spacing w:val="-2"/>
        </w:rPr>
        <w:t xml:space="preserve"> spécial toutes les ressources humaines, techniques et financières nécessaires pour qu</w:t>
      </w:r>
      <w:r>
        <w:rPr>
          <w:spacing w:val="-2"/>
        </w:rPr>
        <w:t>’</w:t>
      </w:r>
      <w:r w:rsidRPr="00A77D9B">
        <w:rPr>
          <w:spacing w:val="-2"/>
        </w:rPr>
        <w:t>il puisse s</w:t>
      </w:r>
      <w:r>
        <w:rPr>
          <w:spacing w:val="-2"/>
        </w:rPr>
        <w:t>’</w:t>
      </w:r>
      <w:r w:rsidRPr="00A77D9B">
        <w:rPr>
          <w:spacing w:val="-2"/>
        </w:rPr>
        <w:t>acquitter efficacement de son mandat;</w:t>
      </w:r>
    </w:p>
    <w:p w:rsidR="001C5090" w:rsidRDefault="001C5090" w:rsidP="001C5090">
      <w:pPr>
        <w:pStyle w:val="SingleTxtG"/>
        <w:keepNext/>
        <w:ind w:firstLine="567"/>
        <w:rPr>
          <w:spacing w:val="-2"/>
        </w:rPr>
      </w:pPr>
      <w:r w:rsidRPr="00853034">
        <w:rPr>
          <w:spacing w:val="-2"/>
        </w:rPr>
        <w:t>5.</w:t>
      </w:r>
      <w:r w:rsidRPr="00853034">
        <w:rPr>
          <w:spacing w:val="-2"/>
        </w:rPr>
        <w:tab/>
      </w:r>
      <w:r w:rsidRPr="00853034">
        <w:rPr>
          <w:i/>
          <w:iCs/>
          <w:spacing w:val="-2"/>
        </w:rPr>
        <w:t>Décide</w:t>
      </w:r>
      <w:r w:rsidRPr="00853034">
        <w:rPr>
          <w:spacing w:val="-2"/>
        </w:rPr>
        <w:t xml:space="preserve"> de poursuivre l’examen de cette question conformément au programme de travail annuel du Conseil des droits de l’homme.</w:t>
      </w:r>
    </w:p>
    <w:p w:rsidR="00FA44C6" w:rsidRDefault="00FA44C6" w:rsidP="00FA44C6">
      <w:pPr>
        <w:pStyle w:val="SingleTxtG"/>
        <w:keepNext/>
        <w:ind w:firstLine="567"/>
        <w:jc w:val="right"/>
        <w:rPr>
          <w:i/>
          <w:spacing w:val="-2"/>
        </w:rPr>
      </w:pPr>
      <w:r>
        <w:rPr>
          <w:i/>
          <w:spacing w:val="-2"/>
        </w:rPr>
        <w:t>47</w:t>
      </w:r>
      <w:r w:rsidRPr="00FA44C6">
        <w:rPr>
          <w:i/>
          <w:spacing w:val="-2"/>
          <w:vertAlign w:val="superscript"/>
        </w:rPr>
        <w:t>e</w:t>
      </w:r>
      <w:r>
        <w:rPr>
          <w:i/>
          <w:spacing w:val="-2"/>
        </w:rPr>
        <w:t xml:space="preserve"> séance</w:t>
      </w:r>
      <w:r>
        <w:rPr>
          <w:i/>
          <w:spacing w:val="-2"/>
        </w:rPr>
        <w:br/>
        <w:t>21 mars 2013</w:t>
      </w:r>
    </w:p>
    <w:p w:rsidR="00FA44C6" w:rsidRPr="00FA44C6" w:rsidRDefault="00FA44C6" w:rsidP="00FA44C6">
      <w:pPr>
        <w:pStyle w:val="SingleTxtG"/>
      </w:pPr>
      <w:r>
        <w:t>[Adoptée sans vote]</w:t>
      </w:r>
    </w:p>
    <w:p w:rsidR="001C5090" w:rsidRPr="001C5090" w:rsidRDefault="001C5090" w:rsidP="001C5090">
      <w:pPr>
        <w:pStyle w:val="SingleTxtG"/>
        <w:spacing w:before="240" w:after="0"/>
        <w:jc w:val="center"/>
        <w:rPr>
          <w:u w:val="single"/>
        </w:rPr>
      </w:pPr>
      <w:r>
        <w:rPr>
          <w:u w:val="single"/>
        </w:rPr>
        <w:tab/>
      </w:r>
      <w:r>
        <w:rPr>
          <w:u w:val="single"/>
        </w:rPr>
        <w:tab/>
      </w:r>
      <w:r>
        <w:rPr>
          <w:u w:val="single"/>
        </w:rPr>
        <w:tab/>
      </w:r>
    </w:p>
    <w:sectPr w:rsidR="001C5090" w:rsidRPr="001C5090" w:rsidSect="00ED4D4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2F22" w:rsidRDefault="00A62F22"/>
  </w:endnote>
  <w:endnote w:type="continuationSeparator" w:id="0">
    <w:p w:rsidR="00A62F22" w:rsidRDefault="00A62F22"/>
  </w:endnote>
  <w:endnote w:type="continuationNotice" w:id="1">
    <w:p w:rsidR="00A62F22" w:rsidRPr="00770C75" w:rsidRDefault="00A62F22"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D4A" w:rsidRPr="00ED4D4A" w:rsidRDefault="00ED4D4A" w:rsidP="00ED4D4A">
    <w:pPr>
      <w:pStyle w:val="Footer"/>
      <w:tabs>
        <w:tab w:val="right" w:pos="9638"/>
      </w:tabs>
    </w:pPr>
    <w:r w:rsidRPr="00ED4D4A">
      <w:rPr>
        <w:b/>
        <w:sz w:val="18"/>
      </w:rPr>
      <w:fldChar w:fldCharType="begin"/>
    </w:r>
    <w:r w:rsidRPr="00ED4D4A">
      <w:rPr>
        <w:b/>
        <w:sz w:val="18"/>
      </w:rPr>
      <w:instrText xml:space="preserve"> PAGE  \* MERGEFORMAT </w:instrText>
    </w:r>
    <w:r w:rsidRPr="00ED4D4A">
      <w:rPr>
        <w:b/>
        <w:sz w:val="18"/>
      </w:rPr>
      <w:fldChar w:fldCharType="separate"/>
    </w:r>
    <w:r w:rsidR="007C7456">
      <w:rPr>
        <w:b/>
        <w:noProof/>
        <w:sz w:val="18"/>
      </w:rPr>
      <w:t>2</w:t>
    </w:r>
    <w:r w:rsidRPr="00ED4D4A">
      <w:rPr>
        <w:b/>
        <w:sz w:val="18"/>
      </w:rPr>
      <w:fldChar w:fldCharType="end"/>
    </w:r>
    <w:r>
      <w:rPr>
        <w:b/>
        <w:sz w:val="18"/>
      </w:rPr>
      <w:tab/>
    </w:r>
    <w:r>
      <w:t>GE.13-12827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D4A" w:rsidRPr="00ED4D4A" w:rsidRDefault="00ED4D4A" w:rsidP="00ED4D4A">
    <w:pPr>
      <w:pStyle w:val="Footer"/>
      <w:tabs>
        <w:tab w:val="right" w:pos="9638"/>
      </w:tabs>
      <w:rPr>
        <w:b/>
        <w:sz w:val="18"/>
      </w:rPr>
    </w:pPr>
    <w:r>
      <w:t>GE.13-12827</w:t>
    </w:r>
    <w:r>
      <w:tab/>
    </w:r>
    <w:r w:rsidRPr="00ED4D4A">
      <w:rPr>
        <w:b/>
        <w:sz w:val="18"/>
      </w:rPr>
      <w:fldChar w:fldCharType="begin"/>
    </w:r>
    <w:r w:rsidRPr="00ED4D4A">
      <w:rPr>
        <w:b/>
        <w:sz w:val="18"/>
      </w:rPr>
      <w:instrText xml:space="preserve"> PAGE  \* MERGEFORMAT </w:instrText>
    </w:r>
    <w:r w:rsidRPr="00ED4D4A">
      <w:rPr>
        <w:b/>
        <w:sz w:val="18"/>
      </w:rPr>
      <w:fldChar w:fldCharType="separate"/>
    </w:r>
    <w:r>
      <w:rPr>
        <w:b/>
        <w:noProof/>
        <w:sz w:val="18"/>
      </w:rPr>
      <w:t>3</w:t>
    </w:r>
    <w:r w:rsidRPr="00ED4D4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2F22" w:rsidRDefault="00ED4D4A">
    <w:pPr>
      <w:pStyle w:val="Footer"/>
    </w:pPr>
    <w:r>
      <w:rPr>
        <w:sz w:val="20"/>
      </w:rPr>
      <w:t>GE.13-12827</w:t>
    </w:r>
    <w:r w:rsidR="00A62F2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FA44C6">
      <w:rPr>
        <w:sz w:val="20"/>
      </w:rPr>
      <w:t xml:space="preserve">    180413    </w:t>
    </w:r>
    <w:r w:rsidR="00613492">
      <w:rPr>
        <w:sz w:val="20"/>
      </w:rPr>
      <w:t>270513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2F22" w:rsidRPr="00D27D5E" w:rsidRDefault="00A62F22" w:rsidP="00D27D5E">
      <w:pPr>
        <w:tabs>
          <w:tab w:val="right" w:pos="2155"/>
        </w:tabs>
        <w:spacing w:after="80"/>
        <w:ind w:left="680"/>
        <w:rPr>
          <w:u w:val="single"/>
        </w:rPr>
      </w:pPr>
      <w:r>
        <w:rPr>
          <w:u w:val="single"/>
        </w:rPr>
        <w:tab/>
      </w:r>
    </w:p>
  </w:footnote>
  <w:footnote w:type="continuationSeparator" w:id="0">
    <w:p w:rsidR="00A62F22" w:rsidRPr="001D7014" w:rsidRDefault="00A62F22" w:rsidP="001D7014">
      <w:pPr>
        <w:tabs>
          <w:tab w:val="right" w:pos="2155"/>
        </w:tabs>
        <w:spacing w:after="80"/>
        <w:ind w:left="680"/>
        <w:rPr>
          <w:u w:val="single"/>
        </w:rPr>
      </w:pPr>
      <w:r w:rsidRPr="001D7014">
        <w:rPr>
          <w:u w:val="single"/>
        </w:rPr>
        <w:tab/>
      </w:r>
    </w:p>
  </w:footnote>
  <w:footnote w:type="continuationNotice" w:id="1">
    <w:p w:rsidR="00A62F22" w:rsidRPr="00770C75" w:rsidRDefault="00A62F22" w:rsidP="00770C75">
      <w:pPr>
        <w:spacing w:line="240" w:lineRule="auto"/>
        <w:rPr>
          <w:sz w:val="2"/>
          <w:szCs w:val="2"/>
        </w:rPr>
      </w:pPr>
    </w:p>
  </w:footnote>
  <w:footnote w:id="2">
    <w:p w:rsidR="00DF146D" w:rsidRPr="00AB6E2F" w:rsidRDefault="00DF146D" w:rsidP="00DF146D">
      <w:pPr>
        <w:pStyle w:val="FootnoteText"/>
      </w:pPr>
      <w:r>
        <w:tab/>
      </w:r>
      <w:r w:rsidRPr="00AB6E2F">
        <w:rPr>
          <w:rStyle w:val="FootnoteReference"/>
          <w:sz w:val="20"/>
          <w:vertAlign w:val="baseline"/>
        </w:rPr>
        <w:t>*</w:t>
      </w:r>
      <w:r>
        <w:rPr>
          <w:sz w:val="20"/>
        </w:rPr>
        <w:tab/>
      </w:r>
      <w:r>
        <w:t xml:space="preserve">Les résolutions et décisions adoptées par le Conseil des droits de l’homme figureront dans le rapport du Conseil sur sa </w:t>
      </w:r>
      <w:r w:rsidR="00FA44C6">
        <w:t>vingt-deuxième session (A/HRC/19/2), chap. </w:t>
      </w:r>
      <w:r>
        <w:t>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D4A" w:rsidRPr="00ED4D4A" w:rsidRDefault="00ED4D4A">
    <w:pPr>
      <w:pStyle w:val="Header"/>
    </w:pPr>
    <w:r>
      <w:t>A/HRC/RES/22/8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D4A" w:rsidRPr="00ED4D4A" w:rsidRDefault="00ED4D4A" w:rsidP="00ED4D4A">
    <w:pPr>
      <w:pStyle w:val="Header"/>
      <w:jc w:val="right"/>
    </w:pPr>
    <w:r>
      <w:t>A/HRC/RES/22/8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E182E80"/>
    <w:lvl w:ilvl="0">
      <w:start w:val="1"/>
      <w:numFmt w:val="decimal"/>
      <w:lvlText w:val="%1."/>
      <w:lvlJc w:val="left"/>
      <w:pPr>
        <w:tabs>
          <w:tab w:val="num" w:pos="1492"/>
        </w:tabs>
        <w:ind w:left="1492" w:hanging="360"/>
      </w:pPr>
    </w:lvl>
  </w:abstractNum>
  <w:abstractNum w:abstractNumId="1">
    <w:nsid w:val="FFFFFF7D"/>
    <w:multiLevelType w:val="singleLevel"/>
    <w:tmpl w:val="5A34DF3E"/>
    <w:lvl w:ilvl="0">
      <w:start w:val="1"/>
      <w:numFmt w:val="decimal"/>
      <w:lvlText w:val="%1."/>
      <w:lvlJc w:val="left"/>
      <w:pPr>
        <w:tabs>
          <w:tab w:val="num" w:pos="1209"/>
        </w:tabs>
        <w:ind w:left="1209" w:hanging="360"/>
      </w:pPr>
    </w:lvl>
  </w:abstractNum>
  <w:abstractNum w:abstractNumId="2">
    <w:nsid w:val="FFFFFF7E"/>
    <w:multiLevelType w:val="singleLevel"/>
    <w:tmpl w:val="9BC2F98E"/>
    <w:lvl w:ilvl="0">
      <w:start w:val="1"/>
      <w:numFmt w:val="decimal"/>
      <w:lvlText w:val="%1."/>
      <w:lvlJc w:val="left"/>
      <w:pPr>
        <w:tabs>
          <w:tab w:val="num" w:pos="926"/>
        </w:tabs>
        <w:ind w:left="926" w:hanging="360"/>
      </w:pPr>
    </w:lvl>
  </w:abstractNum>
  <w:abstractNum w:abstractNumId="3">
    <w:nsid w:val="FFFFFF7F"/>
    <w:multiLevelType w:val="singleLevel"/>
    <w:tmpl w:val="11986BDE"/>
    <w:lvl w:ilvl="0">
      <w:start w:val="1"/>
      <w:numFmt w:val="decimal"/>
      <w:lvlText w:val="%1."/>
      <w:lvlJc w:val="left"/>
      <w:pPr>
        <w:tabs>
          <w:tab w:val="num" w:pos="643"/>
        </w:tabs>
        <w:ind w:left="643" w:hanging="360"/>
      </w:pPr>
    </w:lvl>
  </w:abstractNum>
  <w:abstractNum w:abstractNumId="4">
    <w:nsid w:val="FFFFFF80"/>
    <w:multiLevelType w:val="singleLevel"/>
    <w:tmpl w:val="F8FC6D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90A065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006327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284457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5FCC794"/>
    <w:lvl w:ilvl="0">
      <w:start w:val="1"/>
      <w:numFmt w:val="decimal"/>
      <w:lvlText w:val="%1."/>
      <w:lvlJc w:val="left"/>
      <w:pPr>
        <w:tabs>
          <w:tab w:val="num" w:pos="360"/>
        </w:tabs>
        <w:ind w:left="360" w:hanging="360"/>
      </w:pPr>
    </w:lvl>
  </w:abstractNum>
  <w:abstractNum w:abstractNumId="9">
    <w:nsid w:val="FFFFFF89"/>
    <w:multiLevelType w:val="singleLevel"/>
    <w:tmpl w:val="44060F20"/>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lvlText w:val="(%1)"/>
      <w:lvlJc w:val="right"/>
      <w:pPr>
        <w:tabs>
          <w:tab w:val="num" w:pos="2160"/>
        </w:tabs>
        <w:ind w:left="2160" w:hanging="516"/>
      </w:pPr>
    </w:lvl>
  </w:abstractNum>
  <w:abstractNum w:abstractNumId="11">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6"/>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1"/>
  </w:num>
  <w:num w:numId="14">
    <w:abstractNumId w:val="15"/>
  </w:num>
  <w:num w:numId="15">
    <w:abstractNumId w:val="14"/>
  </w:num>
  <w:num w:numId="16">
    <w:abstractNumId w:val="13"/>
  </w:num>
  <w:num w:numId="17">
    <w:abstractNumId w:val="12"/>
  </w:num>
  <w:num w:numId="18">
    <w:abstractNumId w:val="13"/>
  </w:num>
  <w:num w:numId="19">
    <w:abstractNumId w:val="1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2F22"/>
    <w:rsid w:val="00016AC5"/>
    <w:rsid w:val="00053654"/>
    <w:rsid w:val="00057BC0"/>
    <w:rsid w:val="000675FE"/>
    <w:rsid w:val="000A63CB"/>
    <w:rsid w:val="000E03D2"/>
    <w:rsid w:val="000F41F2"/>
    <w:rsid w:val="0012086B"/>
    <w:rsid w:val="00133B7A"/>
    <w:rsid w:val="001370FA"/>
    <w:rsid w:val="0014763D"/>
    <w:rsid w:val="00153B2E"/>
    <w:rsid w:val="00160540"/>
    <w:rsid w:val="00170BBF"/>
    <w:rsid w:val="00192EEB"/>
    <w:rsid w:val="001A20FB"/>
    <w:rsid w:val="001B6907"/>
    <w:rsid w:val="001C5090"/>
    <w:rsid w:val="001C6647"/>
    <w:rsid w:val="001D7014"/>
    <w:rsid w:val="001E3FEB"/>
    <w:rsid w:val="001E4A02"/>
    <w:rsid w:val="00217DB9"/>
    <w:rsid w:val="00245F2B"/>
    <w:rsid w:val="002659F1"/>
    <w:rsid w:val="00286F7E"/>
    <w:rsid w:val="00287E79"/>
    <w:rsid w:val="002928F9"/>
    <w:rsid w:val="002A5D07"/>
    <w:rsid w:val="002D6D59"/>
    <w:rsid w:val="003016B7"/>
    <w:rsid w:val="003515AA"/>
    <w:rsid w:val="00374106"/>
    <w:rsid w:val="00375577"/>
    <w:rsid w:val="0037787B"/>
    <w:rsid w:val="003976D5"/>
    <w:rsid w:val="003D3AE8"/>
    <w:rsid w:val="003D6C68"/>
    <w:rsid w:val="003E4AA2"/>
    <w:rsid w:val="004159D0"/>
    <w:rsid w:val="00481744"/>
    <w:rsid w:val="004B2F4D"/>
    <w:rsid w:val="00503619"/>
    <w:rsid w:val="00571F41"/>
    <w:rsid w:val="00594033"/>
    <w:rsid w:val="005D40D4"/>
    <w:rsid w:val="005E5D1F"/>
    <w:rsid w:val="00612D48"/>
    <w:rsid w:val="00613492"/>
    <w:rsid w:val="00616B45"/>
    <w:rsid w:val="006439EC"/>
    <w:rsid w:val="0066166E"/>
    <w:rsid w:val="006739B9"/>
    <w:rsid w:val="006A521F"/>
    <w:rsid w:val="006B4590"/>
    <w:rsid w:val="006C340C"/>
    <w:rsid w:val="006E0516"/>
    <w:rsid w:val="0070347C"/>
    <w:rsid w:val="007170F0"/>
    <w:rsid w:val="00743F9E"/>
    <w:rsid w:val="00757B26"/>
    <w:rsid w:val="007602DF"/>
    <w:rsid w:val="00770C75"/>
    <w:rsid w:val="00774E57"/>
    <w:rsid w:val="00785BA2"/>
    <w:rsid w:val="00786ACC"/>
    <w:rsid w:val="007C2C4F"/>
    <w:rsid w:val="007C7456"/>
    <w:rsid w:val="007D30F7"/>
    <w:rsid w:val="007E7740"/>
    <w:rsid w:val="0081197C"/>
    <w:rsid w:val="008353D6"/>
    <w:rsid w:val="00844750"/>
    <w:rsid w:val="0087266B"/>
    <w:rsid w:val="008921DD"/>
    <w:rsid w:val="0089595B"/>
    <w:rsid w:val="008A09C6"/>
    <w:rsid w:val="008D7C08"/>
    <w:rsid w:val="008E7FAE"/>
    <w:rsid w:val="00911BF7"/>
    <w:rsid w:val="00977EC8"/>
    <w:rsid w:val="00981C83"/>
    <w:rsid w:val="009B5609"/>
    <w:rsid w:val="009D3A8C"/>
    <w:rsid w:val="009E7956"/>
    <w:rsid w:val="009F450E"/>
    <w:rsid w:val="00A2492E"/>
    <w:rsid w:val="00A62F22"/>
    <w:rsid w:val="00A63BBD"/>
    <w:rsid w:val="00AC47AD"/>
    <w:rsid w:val="00AC7977"/>
    <w:rsid w:val="00AE352C"/>
    <w:rsid w:val="00B305CF"/>
    <w:rsid w:val="00B32E2D"/>
    <w:rsid w:val="00B41432"/>
    <w:rsid w:val="00B61990"/>
    <w:rsid w:val="00B80E45"/>
    <w:rsid w:val="00BA184E"/>
    <w:rsid w:val="00BE28D3"/>
    <w:rsid w:val="00BF0556"/>
    <w:rsid w:val="00C03544"/>
    <w:rsid w:val="00C06371"/>
    <w:rsid w:val="00C261F8"/>
    <w:rsid w:val="00C717E0"/>
    <w:rsid w:val="00C919A2"/>
    <w:rsid w:val="00CA04BE"/>
    <w:rsid w:val="00CD1A71"/>
    <w:rsid w:val="00CD1FBB"/>
    <w:rsid w:val="00CE5AFE"/>
    <w:rsid w:val="00D016B5"/>
    <w:rsid w:val="00D034F1"/>
    <w:rsid w:val="00D037E5"/>
    <w:rsid w:val="00D27D5E"/>
    <w:rsid w:val="00D34CC9"/>
    <w:rsid w:val="00D42E42"/>
    <w:rsid w:val="00D81740"/>
    <w:rsid w:val="00DE6D90"/>
    <w:rsid w:val="00DE708E"/>
    <w:rsid w:val="00DF002F"/>
    <w:rsid w:val="00DF146D"/>
    <w:rsid w:val="00E0244D"/>
    <w:rsid w:val="00E81E94"/>
    <w:rsid w:val="00E82607"/>
    <w:rsid w:val="00ED4D4A"/>
    <w:rsid w:val="00EF327E"/>
    <w:rsid w:val="00F22103"/>
    <w:rsid w:val="00F71F90"/>
    <w:rsid w:val="00FA44C6"/>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character" w:customStyle="1" w:styleId="H1GChar">
    <w:name w:val="_ H_1_G Char"/>
    <w:link w:val="H1G"/>
    <w:rsid w:val="001C5090"/>
    <w:rPr>
      <w:b/>
      <w:sz w:val="24"/>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2</Pages>
  <Words>464</Words>
  <Characters>2479</Characters>
  <Application>Microsoft Office Outlook</Application>
  <DocSecurity>4</DocSecurity>
  <Lines>56</Lines>
  <Paragraphs>28</Paragraphs>
  <ScaleCrop>false</ScaleCrop>
  <HeadingPairs>
    <vt:vector size="2" baseType="variant">
      <vt:variant>
        <vt:lpstr>Titre</vt:lpstr>
      </vt:variant>
      <vt:variant>
        <vt:i4>1</vt:i4>
      </vt:variant>
    </vt:vector>
  </HeadingPairs>
  <TitlesOfParts>
    <vt:vector size="1" baseType="lpstr">
      <vt:lpstr>A/HRC/RES/22/8</vt:lpstr>
    </vt:vector>
  </TitlesOfParts>
  <Company>CSD</Company>
  <LinksUpToDate>false</LinksUpToDate>
  <CharactersWithSpaces>2915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A/HRC/RES/22/8</dc:title>
  <dc:subject/>
  <dc:creator>Bourion</dc:creator>
  <cp:keywords/>
  <dc:description/>
  <cp:lastModifiedBy>Bourion</cp:lastModifiedBy>
  <cp:revision>2</cp:revision>
  <cp:lastPrinted>2013-05-27T09:38:00Z</cp:lastPrinted>
  <dcterms:created xsi:type="dcterms:W3CDTF">2013-05-27T09:46:00Z</dcterms:created>
  <dcterms:modified xsi:type="dcterms:W3CDTF">2013-05-27T09:46:00Z</dcterms:modified>
</cp:coreProperties>
</file>