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A34A2" w14:textId="77777777" w:rsidR="00C31D33" w:rsidRPr="00785C2F" w:rsidRDefault="00C31D33" w:rsidP="00C31D33">
      <w:pPr>
        <w:spacing w:line="60" w:lineRule="exact"/>
        <w:rPr>
          <w:sz w:val="2"/>
        </w:rPr>
        <w:sectPr w:rsidR="00C31D33" w:rsidRPr="00785C2F" w:rsidSect="00B547D6">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p>
    <w:p w14:paraId="31B141F0" w14:textId="77777777" w:rsidR="00B547D6" w:rsidRPr="00785C2F" w:rsidRDefault="00B547D6" w:rsidP="00B547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785C2F">
        <w:rPr>
          <w:rFonts w:hint="eastAsia"/>
        </w:rPr>
        <w:t>人权事务委员会</w:t>
      </w:r>
    </w:p>
    <w:p w14:paraId="783B59CB" w14:textId="77777777" w:rsidR="00B547D6" w:rsidRPr="00785C2F" w:rsidRDefault="00B547D6" w:rsidP="00B547D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785C2F">
        <w:rPr>
          <w:rFonts w:hint="eastAsia"/>
        </w:rPr>
        <w:tab/>
      </w:r>
      <w:r w:rsidRPr="00785C2F">
        <w:rPr>
          <w:rFonts w:hint="eastAsia"/>
        </w:rPr>
        <w:tab/>
      </w:r>
      <w:r w:rsidRPr="00785C2F">
        <w:rPr>
          <w:rFonts w:hint="eastAsia"/>
        </w:rPr>
        <w:t>关于印度尼西亚第二次定期报告的结论性意见</w:t>
      </w:r>
      <w:r w:rsidRPr="00785C2F">
        <w:rPr>
          <w:rFonts w:hint="eastAsia"/>
        </w:rPr>
        <w:t>*</w:t>
      </w:r>
    </w:p>
    <w:p w14:paraId="17F0B723" w14:textId="511ED608" w:rsidR="00B547D6" w:rsidRPr="00785C2F" w:rsidRDefault="00B547D6" w:rsidP="00B547D6">
      <w:pPr>
        <w:pStyle w:val="SingleTxt"/>
      </w:pPr>
      <w:r w:rsidRPr="00785C2F">
        <w:rPr>
          <w:rFonts w:hint="eastAsia"/>
        </w:rPr>
        <w:t>1.</w:t>
      </w:r>
      <w:r w:rsidRPr="00785C2F">
        <w:rPr>
          <w:rFonts w:hint="eastAsia"/>
        </w:rPr>
        <w:tab/>
      </w:r>
      <w:r w:rsidRPr="00785C2F">
        <w:rPr>
          <w:rFonts w:hint="eastAsia"/>
        </w:rPr>
        <w:t>委员会在</w:t>
      </w:r>
      <w:r w:rsidRPr="00785C2F">
        <w:rPr>
          <w:rFonts w:hint="eastAsia"/>
        </w:rPr>
        <w:t>2024</w:t>
      </w:r>
      <w:r w:rsidRPr="00785C2F">
        <w:rPr>
          <w:rFonts w:hint="eastAsia"/>
        </w:rPr>
        <w:t>年</w:t>
      </w:r>
      <w:r w:rsidRPr="00785C2F">
        <w:rPr>
          <w:rFonts w:hint="eastAsia"/>
        </w:rPr>
        <w:t>3</w:t>
      </w:r>
      <w:r w:rsidRPr="00785C2F">
        <w:rPr>
          <w:rFonts w:hint="eastAsia"/>
        </w:rPr>
        <w:t>月</w:t>
      </w:r>
      <w:r w:rsidRPr="00785C2F">
        <w:rPr>
          <w:rFonts w:hint="eastAsia"/>
        </w:rPr>
        <w:t>11</w:t>
      </w:r>
      <w:r w:rsidRPr="00785C2F">
        <w:rPr>
          <w:rFonts w:hint="eastAsia"/>
        </w:rPr>
        <w:t>日至</w:t>
      </w:r>
      <w:r w:rsidRPr="00785C2F">
        <w:rPr>
          <w:rFonts w:hint="eastAsia"/>
        </w:rPr>
        <w:t>12</w:t>
      </w:r>
      <w:r w:rsidRPr="00785C2F">
        <w:rPr>
          <w:rFonts w:hint="eastAsia"/>
        </w:rPr>
        <w:t>日举行的第</w:t>
      </w:r>
      <w:r w:rsidRPr="00785C2F">
        <w:rPr>
          <w:rFonts w:hint="eastAsia"/>
        </w:rPr>
        <w:t>4087</w:t>
      </w:r>
      <w:r w:rsidRPr="00785C2F">
        <w:rPr>
          <w:rFonts w:hint="eastAsia"/>
        </w:rPr>
        <w:t>和第</w:t>
      </w:r>
      <w:r w:rsidRPr="00785C2F">
        <w:rPr>
          <w:rFonts w:hint="eastAsia"/>
        </w:rPr>
        <w:t>4088</w:t>
      </w:r>
      <w:r w:rsidRPr="00785C2F">
        <w:rPr>
          <w:rFonts w:hint="eastAsia"/>
        </w:rPr>
        <w:t>次会议上</w:t>
      </w:r>
      <w:r w:rsidRPr="00785C2F">
        <w:rPr>
          <w:rStyle w:val="a8"/>
        </w:rPr>
        <w:footnoteReference w:id="1"/>
      </w:r>
      <w:r w:rsidRPr="00785C2F">
        <w:rPr>
          <w:rFonts w:hint="eastAsia"/>
        </w:rPr>
        <w:t xml:space="preserve"> </w:t>
      </w:r>
      <w:r w:rsidRPr="00785C2F">
        <w:rPr>
          <w:rFonts w:hint="eastAsia"/>
        </w:rPr>
        <w:t>审议了印度尼西亚的第二次定期报告。</w:t>
      </w:r>
      <w:r w:rsidRPr="00785C2F">
        <w:rPr>
          <w:rStyle w:val="a8"/>
        </w:rPr>
        <w:footnoteReference w:id="2"/>
      </w:r>
      <w:r w:rsidRPr="00785C2F">
        <w:rPr>
          <w:rFonts w:hint="eastAsia"/>
        </w:rPr>
        <w:t xml:space="preserve"> </w:t>
      </w:r>
      <w:r w:rsidRPr="00785C2F">
        <w:rPr>
          <w:rFonts w:hint="eastAsia"/>
        </w:rPr>
        <w:t>委员会在</w:t>
      </w:r>
      <w:r w:rsidRPr="00785C2F">
        <w:rPr>
          <w:rFonts w:hint="eastAsia"/>
        </w:rPr>
        <w:t>2024</w:t>
      </w:r>
      <w:r w:rsidRPr="00785C2F">
        <w:rPr>
          <w:rFonts w:hint="eastAsia"/>
        </w:rPr>
        <w:t>年</w:t>
      </w:r>
      <w:r w:rsidRPr="00785C2F">
        <w:rPr>
          <w:rFonts w:hint="eastAsia"/>
        </w:rPr>
        <w:t>3</w:t>
      </w:r>
      <w:r w:rsidRPr="00785C2F">
        <w:rPr>
          <w:rFonts w:hint="eastAsia"/>
        </w:rPr>
        <w:t>月</w:t>
      </w:r>
      <w:r w:rsidRPr="00785C2F">
        <w:rPr>
          <w:rFonts w:hint="eastAsia"/>
        </w:rPr>
        <w:t>26</w:t>
      </w:r>
      <w:r w:rsidRPr="00785C2F">
        <w:rPr>
          <w:rFonts w:hint="eastAsia"/>
        </w:rPr>
        <w:t>日举行的第</w:t>
      </w:r>
      <w:r w:rsidRPr="00785C2F">
        <w:rPr>
          <w:rFonts w:hint="eastAsia"/>
        </w:rPr>
        <w:t>4108</w:t>
      </w:r>
      <w:r w:rsidRPr="00785C2F">
        <w:rPr>
          <w:rFonts w:hint="eastAsia"/>
        </w:rPr>
        <w:t>次会议上通过了本结论性意见。</w:t>
      </w:r>
    </w:p>
    <w:p w14:paraId="08AE6CE5" w14:textId="5B597AE8" w:rsidR="00B547D6" w:rsidRPr="00785C2F" w:rsidRDefault="00B547D6" w:rsidP="00B547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tab/>
      </w:r>
      <w:r w:rsidRPr="00785C2F">
        <w:rPr>
          <w:rFonts w:hint="eastAsia"/>
        </w:rPr>
        <w:t>A.</w:t>
      </w:r>
      <w:r w:rsidRPr="00785C2F">
        <w:rPr>
          <w:rFonts w:hint="eastAsia"/>
        </w:rPr>
        <w:tab/>
      </w:r>
      <w:r w:rsidRPr="00785C2F">
        <w:rPr>
          <w:rFonts w:hint="eastAsia"/>
        </w:rPr>
        <w:t>导言</w:t>
      </w:r>
    </w:p>
    <w:p w14:paraId="269442FE" w14:textId="3E5C9E2B" w:rsidR="00B547D6" w:rsidRPr="00785C2F" w:rsidRDefault="00B547D6" w:rsidP="00B547D6">
      <w:pPr>
        <w:pStyle w:val="SingleTxt"/>
      </w:pPr>
      <w:r w:rsidRPr="00785C2F">
        <w:rPr>
          <w:rFonts w:hint="eastAsia"/>
        </w:rPr>
        <w:t>2.</w:t>
      </w:r>
      <w:r w:rsidRPr="00785C2F">
        <w:rPr>
          <w:rFonts w:hint="eastAsia"/>
        </w:rPr>
        <w:tab/>
      </w:r>
      <w:r w:rsidRPr="00785C2F">
        <w:rPr>
          <w:rFonts w:hint="eastAsia"/>
        </w:rPr>
        <w:t>委员会感谢缔约国接受简化报告程序</w:t>
      </w:r>
      <w:r w:rsidRPr="00B12BB8">
        <w:rPr>
          <w:rFonts w:hint="eastAsia"/>
        </w:rPr>
        <w:t>并按照依该程</w:t>
      </w:r>
      <w:r w:rsidRPr="00785C2F">
        <w:rPr>
          <w:rFonts w:hint="eastAsia"/>
        </w:rPr>
        <w:t>序所拟报告</w:t>
      </w:r>
      <w:proofErr w:type="gramStart"/>
      <w:r w:rsidRPr="00785C2F">
        <w:rPr>
          <w:rFonts w:hint="eastAsia"/>
        </w:rPr>
        <w:t>前问题</w:t>
      </w:r>
      <w:proofErr w:type="gramEnd"/>
      <w:r w:rsidRPr="00785C2F">
        <w:rPr>
          <w:rFonts w:hint="eastAsia"/>
        </w:rPr>
        <w:t>清单提交第二次定期报告。</w:t>
      </w:r>
      <w:r w:rsidRPr="00785C2F">
        <w:rPr>
          <w:rStyle w:val="a8"/>
        </w:rPr>
        <w:footnoteReference w:id="3"/>
      </w:r>
      <w:r w:rsidRPr="00785C2F">
        <w:rPr>
          <w:rFonts w:hint="eastAsia"/>
        </w:rPr>
        <w:t xml:space="preserve"> </w:t>
      </w:r>
      <w:r w:rsidRPr="00785C2F">
        <w:rPr>
          <w:rFonts w:hint="eastAsia"/>
        </w:rPr>
        <w:t>委员会赞赏有机会再次与缔约国高级别代表团开展建设性对话，讨论缔约国在报告所述期间为执行《公约》规定而采取的措施。委员会感谢缔约国代表团在建设性对话期间所作的答复。</w:t>
      </w:r>
    </w:p>
    <w:p w14:paraId="20DACDC9" w14:textId="1574DB87" w:rsidR="00B547D6" w:rsidRPr="00785C2F" w:rsidRDefault="00B547D6" w:rsidP="00B547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tab/>
      </w:r>
      <w:r w:rsidRPr="00785C2F">
        <w:rPr>
          <w:rFonts w:hint="eastAsia"/>
        </w:rPr>
        <w:t>B.</w:t>
      </w:r>
      <w:r w:rsidRPr="00785C2F">
        <w:rPr>
          <w:rFonts w:hint="eastAsia"/>
        </w:rPr>
        <w:tab/>
      </w:r>
      <w:r w:rsidRPr="00785C2F">
        <w:rPr>
          <w:rFonts w:hint="eastAsia"/>
        </w:rPr>
        <w:t>积极方面</w:t>
      </w:r>
    </w:p>
    <w:p w14:paraId="051564C0" w14:textId="77777777" w:rsidR="00B547D6" w:rsidRPr="00785C2F" w:rsidRDefault="00B547D6" w:rsidP="00B547D6">
      <w:pPr>
        <w:pStyle w:val="SingleTxt"/>
      </w:pPr>
      <w:r w:rsidRPr="00785C2F">
        <w:rPr>
          <w:rFonts w:hint="eastAsia"/>
        </w:rPr>
        <w:t>3.</w:t>
      </w:r>
      <w:r w:rsidRPr="00785C2F">
        <w:rPr>
          <w:rFonts w:hint="eastAsia"/>
        </w:rPr>
        <w:tab/>
      </w:r>
      <w:r w:rsidRPr="00785C2F">
        <w:rPr>
          <w:rFonts w:hint="eastAsia"/>
        </w:rPr>
        <w:t>委员会欢迎缔约国在报告所述期间为在《公约》之下加强人权保护而采取的各项立法、政策和体制措施，包括：</w:t>
      </w:r>
    </w:p>
    <w:p w14:paraId="20C6CD3A" w14:textId="52A60CC0" w:rsidR="00B547D6" w:rsidRPr="00785C2F" w:rsidRDefault="00B547D6" w:rsidP="00B547D6">
      <w:pPr>
        <w:pStyle w:val="SingleTxt"/>
      </w:pPr>
      <w:r w:rsidRPr="00785C2F">
        <w:tab/>
      </w:r>
      <w:r w:rsidR="00785C2F" w:rsidRPr="00785C2F">
        <w:rPr>
          <w:rFonts w:hint="eastAsia"/>
        </w:rPr>
        <w:t>(</w:t>
      </w:r>
      <w:r w:rsidRPr="00785C2F">
        <w:rPr>
          <w:rFonts w:hint="eastAsia"/>
        </w:rPr>
        <w:t>a</w:t>
      </w:r>
      <w:r w:rsidR="00785C2F" w:rsidRPr="00785C2F">
        <w:rPr>
          <w:rFonts w:hint="eastAsia"/>
        </w:rPr>
        <w:t>)</w:t>
      </w:r>
      <w:r w:rsidRPr="00785C2F">
        <w:rPr>
          <w:rFonts w:hint="eastAsia"/>
        </w:rPr>
        <w:tab/>
        <w:t>2021</w:t>
      </w:r>
      <w:r w:rsidRPr="00785C2F">
        <w:t>-</w:t>
      </w:r>
      <w:r w:rsidRPr="00785C2F">
        <w:rPr>
          <w:rFonts w:hint="eastAsia"/>
        </w:rPr>
        <w:t>2025</w:t>
      </w:r>
      <w:r w:rsidRPr="00785C2F">
        <w:rPr>
          <w:rFonts w:hint="eastAsia"/>
        </w:rPr>
        <w:t>年联合国可持续发展合作框架；</w:t>
      </w:r>
    </w:p>
    <w:p w14:paraId="05BBFBBF" w14:textId="198A19D4" w:rsidR="00B547D6" w:rsidRPr="00785C2F" w:rsidRDefault="00B547D6" w:rsidP="00B547D6">
      <w:pPr>
        <w:pStyle w:val="SingleTxt"/>
      </w:pPr>
      <w:r w:rsidRPr="00785C2F">
        <w:tab/>
      </w:r>
      <w:r w:rsidR="00785C2F" w:rsidRPr="00785C2F">
        <w:rPr>
          <w:rFonts w:hint="eastAsia"/>
        </w:rPr>
        <w:t>(</w:t>
      </w:r>
      <w:r w:rsidRPr="00785C2F">
        <w:rPr>
          <w:rFonts w:hint="eastAsia"/>
        </w:rPr>
        <w:t>b</w:t>
      </w:r>
      <w:r w:rsidR="00785C2F" w:rsidRPr="00785C2F">
        <w:rPr>
          <w:rFonts w:hint="eastAsia"/>
        </w:rPr>
        <w:t>)</w:t>
      </w:r>
      <w:r w:rsidRPr="00785C2F">
        <w:rPr>
          <w:rFonts w:hint="eastAsia"/>
        </w:rPr>
        <w:tab/>
      </w:r>
      <w:r w:rsidRPr="00785C2F">
        <w:rPr>
          <w:rFonts w:hint="eastAsia"/>
        </w:rPr>
        <w:t>《</w:t>
      </w:r>
      <w:r w:rsidRPr="00785C2F">
        <w:rPr>
          <w:rFonts w:hint="eastAsia"/>
        </w:rPr>
        <w:t>2021</w:t>
      </w:r>
      <w:r w:rsidRPr="00785C2F">
        <w:t>-</w:t>
      </w:r>
      <w:r w:rsidRPr="00785C2F">
        <w:rPr>
          <w:rFonts w:hint="eastAsia"/>
        </w:rPr>
        <w:t>2025</w:t>
      </w:r>
      <w:r w:rsidRPr="00785C2F">
        <w:rPr>
          <w:rFonts w:hint="eastAsia"/>
        </w:rPr>
        <w:t>年国家人权行动计划》；</w:t>
      </w:r>
    </w:p>
    <w:p w14:paraId="17B5816A" w14:textId="3D084BCD" w:rsidR="00B547D6" w:rsidRPr="00785C2F" w:rsidRDefault="00B547D6" w:rsidP="00B547D6">
      <w:pPr>
        <w:pStyle w:val="SingleTxt"/>
      </w:pPr>
      <w:r w:rsidRPr="00785C2F">
        <w:tab/>
      </w:r>
      <w:r w:rsidR="00785C2F" w:rsidRPr="00785C2F">
        <w:rPr>
          <w:rFonts w:hint="eastAsia"/>
        </w:rPr>
        <w:t>(</w:t>
      </w:r>
      <w:r w:rsidRPr="00785C2F">
        <w:rPr>
          <w:rFonts w:hint="eastAsia"/>
        </w:rPr>
        <w:t>c</w:t>
      </w:r>
      <w:r w:rsidR="00785C2F" w:rsidRPr="00785C2F">
        <w:rPr>
          <w:rFonts w:hint="eastAsia"/>
        </w:rPr>
        <w:t>)</w:t>
      </w:r>
      <w:r w:rsidRPr="00785C2F">
        <w:rPr>
          <w:rFonts w:hint="eastAsia"/>
        </w:rPr>
        <w:tab/>
      </w:r>
      <w:r w:rsidRPr="00785C2F">
        <w:rPr>
          <w:rFonts w:hint="eastAsia"/>
        </w:rPr>
        <w:t>《关于修订关于增强妇女权能和儿童保护部的第</w:t>
      </w:r>
      <w:r w:rsidRPr="00785C2F">
        <w:rPr>
          <w:rFonts w:hint="eastAsia"/>
        </w:rPr>
        <w:t>65/2020</w:t>
      </w:r>
      <w:r w:rsidRPr="00785C2F">
        <w:rPr>
          <w:rFonts w:hint="eastAsia"/>
        </w:rPr>
        <w:t>号总统条例的第</w:t>
      </w:r>
      <w:r w:rsidRPr="00785C2F">
        <w:rPr>
          <w:rFonts w:hint="eastAsia"/>
        </w:rPr>
        <w:t>7/2023</w:t>
      </w:r>
      <w:r w:rsidRPr="00785C2F">
        <w:rPr>
          <w:rFonts w:hint="eastAsia"/>
        </w:rPr>
        <w:t>号总统条例》；</w:t>
      </w:r>
    </w:p>
    <w:p w14:paraId="29328DBC" w14:textId="78722CC5" w:rsidR="00B547D6" w:rsidRPr="00785C2F" w:rsidRDefault="00B547D6" w:rsidP="00B547D6">
      <w:pPr>
        <w:pStyle w:val="SingleTxt"/>
      </w:pPr>
      <w:r w:rsidRPr="00785C2F">
        <w:tab/>
      </w:r>
      <w:r w:rsidR="00785C2F" w:rsidRPr="00785C2F">
        <w:rPr>
          <w:rFonts w:hint="eastAsia"/>
        </w:rPr>
        <w:t>(</w:t>
      </w:r>
      <w:r w:rsidRPr="00785C2F">
        <w:rPr>
          <w:rFonts w:hint="eastAsia"/>
        </w:rPr>
        <w:t>d</w:t>
      </w:r>
      <w:r w:rsidR="00785C2F" w:rsidRPr="00785C2F">
        <w:rPr>
          <w:rFonts w:hint="eastAsia"/>
        </w:rPr>
        <w:t>)</w:t>
      </w:r>
      <w:r w:rsidRPr="00785C2F">
        <w:rPr>
          <w:rFonts w:hint="eastAsia"/>
        </w:rPr>
        <w:tab/>
      </w:r>
      <w:r w:rsidRPr="00785C2F">
        <w:rPr>
          <w:rFonts w:hint="eastAsia"/>
        </w:rPr>
        <w:t>《关于惩戒设施的第</w:t>
      </w:r>
      <w:r w:rsidRPr="00785C2F">
        <w:rPr>
          <w:rFonts w:hint="eastAsia"/>
        </w:rPr>
        <w:t>22/2022</w:t>
      </w:r>
      <w:r w:rsidRPr="00785C2F">
        <w:rPr>
          <w:rFonts w:hint="eastAsia"/>
        </w:rPr>
        <w:t>号法》；</w:t>
      </w:r>
    </w:p>
    <w:p w14:paraId="1374310D" w14:textId="5BC143A3" w:rsidR="00B547D6" w:rsidRPr="00785C2F" w:rsidRDefault="00B547D6" w:rsidP="00B547D6">
      <w:pPr>
        <w:pStyle w:val="SingleTxt"/>
      </w:pPr>
      <w:r w:rsidRPr="00785C2F">
        <w:lastRenderedPageBreak/>
        <w:tab/>
      </w:r>
      <w:r w:rsidR="00785C2F" w:rsidRPr="00785C2F">
        <w:rPr>
          <w:rFonts w:hint="eastAsia"/>
        </w:rPr>
        <w:t>(</w:t>
      </w:r>
      <w:r w:rsidRPr="00785C2F">
        <w:rPr>
          <w:rFonts w:hint="eastAsia"/>
        </w:rPr>
        <w:t>e</w:t>
      </w:r>
      <w:r w:rsidR="00785C2F" w:rsidRPr="00785C2F">
        <w:rPr>
          <w:rFonts w:hint="eastAsia"/>
        </w:rPr>
        <w:t>)</w:t>
      </w:r>
      <w:r w:rsidRPr="00785C2F">
        <w:rPr>
          <w:rFonts w:hint="eastAsia"/>
        </w:rPr>
        <w:tab/>
      </w:r>
      <w:r w:rsidRPr="00785C2F">
        <w:rPr>
          <w:rFonts w:hint="eastAsia"/>
        </w:rPr>
        <w:t>《关于性犯罪的第</w:t>
      </w:r>
      <w:r w:rsidRPr="00785C2F">
        <w:rPr>
          <w:rFonts w:hint="eastAsia"/>
        </w:rPr>
        <w:t>12/2022</w:t>
      </w:r>
      <w:r w:rsidRPr="00785C2F">
        <w:rPr>
          <w:rFonts w:hint="eastAsia"/>
        </w:rPr>
        <w:t>号法》；</w:t>
      </w:r>
    </w:p>
    <w:p w14:paraId="6B8A8BB3" w14:textId="3621B337" w:rsidR="00B547D6" w:rsidRPr="00785C2F" w:rsidRDefault="00B547D6" w:rsidP="00B547D6">
      <w:pPr>
        <w:pStyle w:val="SingleTxt"/>
      </w:pPr>
      <w:r w:rsidRPr="00785C2F">
        <w:tab/>
      </w:r>
      <w:r w:rsidR="00785C2F" w:rsidRPr="00785C2F">
        <w:rPr>
          <w:rFonts w:hint="eastAsia"/>
        </w:rPr>
        <w:t>(</w:t>
      </w:r>
      <w:r w:rsidRPr="00785C2F">
        <w:rPr>
          <w:rFonts w:hint="eastAsia"/>
        </w:rPr>
        <w:t>f</w:t>
      </w:r>
      <w:r w:rsidR="00785C2F" w:rsidRPr="00785C2F">
        <w:rPr>
          <w:rFonts w:hint="eastAsia"/>
        </w:rPr>
        <w:t>)</w:t>
      </w:r>
      <w:r w:rsidRPr="00785C2F">
        <w:rPr>
          <w:rFonts w:hint="eastAsia"/>
        </w:rPr>
        <w:tab/>
      </w:r>
      <w:r w:rsidRPr="00785C2F">
        <w:rPr>
          <w:rFonts w:hint="eastAsia"/>
        </w:rPr>
        <w:t>教育、文化、研究和技术部长《关于预防和处理高等教育中的性暴力的第</w:t>
      </w:r>
      <w:r w:rsidRPr="00785C2F">
        <w:rPr>
          <w:rFonts w:hint="eastAsia"/>
        </w:rPr>
        <w:t>30/2021</w:t>
      </w:r>
      <w:r w:rsidRPr="00785C2F">
        <w:rPr>
          <w:rFonts w:hint="eastAsia"/>
        </w:rPr>
        <w:t>号条例》；</w:t>
      </w:r>
    </w:p>
    <w:p w14:paraId="3D1E32E9" w14:textId="02074E06" w:rsidR="00B547D6" w:rsidRPr="00785C2F" w:rsidRDefault="00B547D6" w:rsidP="00B547D6">
      <w:pPr>
        <w:pStyle w:val="SingleTxt"/>
      </w:pPr>
      <w:r w:rsidRPr="00785C2F">
        <w:tab/>
      </w:r>
      <w:r w:rsidR="00785C2F" w:rsidRPr="00785C2F">
        <w:rPr>
          <w:rFonts w:hint="eastAsia"/>
        </w:rPr>
        <w:t>(</w:t>
      </w:r>
      <w:r w:rsidRPr="00785C2F">
        <w:rPr>
          <w:rFonts w:hint="eastAsia"/>
        </w:rPr>
        <w:t>g</w:t>
      </w:r>
      <w:r w:rsidR="00785C2F" w:rsidRPr="00785C2F">
        <w:rPr>
          <w:rFonts w:hint="eastAsia"/>
        </w:rPr>
        <w:t>)</w:t>
      </w:r>
      <w:r w:rsidRPr="00785C2F">
        <w:rPr>
          <w:rFonts w:hint="eastAsia"/>
        </w:rPr>
        <w:tab/>
      </w:r>
      <w:r w:rsidRPr="00785C2F">
        <w:rPr>
          <w:rFonts w:hint="eastAsia"/>
        </w:rPr>
        <w:t>政治、法律和安全事务统筹部长《关于向主要国际人权文书和机制提交报告工作组的第</w:t>
      </w:r>
      <w:r w:rsidRPr="00785C2F">
        <w:rPr>
          <w:rFonts w:hint="eastAsia"/>
        </w:rPr>
        <w:t>99/2020</w:t>
      </w:r>
      <w:r w:rsidRPr="00785C2F">
        <w:rPr>
          <w:rFonts w:hint="eastAsia"/>
        </w:rPr>
        <w:t>号条例》；</w:t>
      </w:r>
    </w:p>
    <w:p w14:paraId="4A93E93D" w14:textId="244998BF" w:rsidR="00B547D6" w:rsidRPr="00785C2F" w:rsidRDefault="00B547D6" w:rsidP="00B547D6">
      <w:pPr>
        <w:pStyle w:val="SingleTxt"/>
      </w:pPr>
      <w:r w:rsidRPr="00785C2F">
        <w:tab/>
      </w:r>
      <w:r w:rsidR="00785C2F" w:rsidRPr="00785C2F">
        <w:rPr>
          <w:rFonts w:hint="eastAsia"/>
        </w:rPr>
        <w:t>(</w:t>
      </w:r>
      <w:r w:rsidRPr="00785C2F">
        <w:rPr>
          <w:rFonts w:hint="eastAsia"/>
        </w:rPr>
        <w:t>h</w:t>
      </w:r>
      <w:r w:rsidR="00785C2F" w:rsidRPr="00785C2F">
        <w:rPr>
          <w:rFonts w:hint="eastAsia"/>
        </w:rPr>
        <w:t>)</w:t>
      </w:r>
      <w:r w:rsidRPr="00785C2F">
        <w:rPr>
          <w:rFonts w:hint="eastAsia"/>
        </w:rPr>
        <w:tab/>
      </w:r>
      <w:r w:rsidRPr="00785C2F">
        <w:rPr>
          <w:rFonts w:hint="eastAsia"/>
        </w:rPr>
        <w:t>《关于修订第</w:t>
      </w:r>
      <w:r w:rsidRPr="00785C2F">
        <w:rPr>
          <w:rFonts w:hint="eastAsia"/>
        </w:rPr>
        <w:t>1/1974</w:t>
      </w:r>
      <w:r w:rsidRPr="00785C2F">
        <w:rPr>
          <w:rFonts w:hint="eastAsia"/>
        </w:rPr>
        <w:t>号婚姻法的第</w:t>
      </w:r>
      <w:r w:rsidRPr="00785C2F">
        <w:rPr>
          <w:rFonts w:hint="eastAsia"/>
        </w:rPr>
        <w:t>16/2019</w:t>
      </w:r>
      <w:r w:rsidRPr="00785C2F">
        <w:rPr>
          <w:rFonts w:hint="eastAsia"/>
        </w:rPr>
        <w:t>号法》。</w:t>
      </w:r>
    </w:p>
    <w:p w14:paraId="2767A5C6" w14:textId="3C0FEC8B" w:rsidR="00B547D6" w:rsidRPr="00785C2F" w:rsidRDefault="00B547D6" w:rsidP="00B547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tab/>
      </w:r>
      <w:r w:rsidRPr="00785C2F">
        <w:rPr>
          <w:rFonts w:hint="eastAsia"/>
        </w:rPr>
        <w:t>C.</w:t>
      </w:r>
      <w:r w:rsidRPr="00785C2F">
        <w:rPr>
          <w:rFonts w:hint="eastAsia"/>
        </w:rPr>
        <w:tab/>
      </w:r>
      <w:r w:rsidRPr="00785C2F">
        <w:rPr>
          <w:rFonts w:hint="eastAsia"/>
        </w:rPr>
        <w:tab/>
      </w:r>
      <w:r w:rsidRPr="00785C2F">
        <w:rPr>
          <w:rFonts w:hint="eastAsia"/>
        </w:rPr>
        <w:t>关注的主要问题及建议</w:t>
      </w:r>
    </w:p>
    <w:p w14:paraId="4E4F63E3"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《公约》在国内的执行</w:t>
      </w:r>
    </w:p>
    <w:p w14:paraId="56B7D5D4" w14:textId="42292643" w:rsidR="00B547D6" w:rsidRPr="00785C2F" w:rsidRDefault="00B547D6" w:rsidP="00B547D6">
      <w:pPr>
        <w:pStyle w:val="SingleTxt"/>
      </w:pPr>
      <w:r w:rsidRPr="00785C2F">
        <w:rPr>
          <w:rFonts w:hint="eastAsia"/>
          <w:spacing w:val="-2"/>
        </w:rPr>
        <w:t>4.</w:t>
      </w:r>
      <w:r w:rsidRPr="00785C2F">
        <w:rPr>
          <w:rFonts w:hint="eastAsia"/>
          <w:spacing w:val="-2"/>
        </w:rPr>
        <w:tab/>
      </w:r>
      <w:r w:rsidRPr="00785C2F">
        <w:rPr>
          <w:rFonts w:hint="eastAsia"/>
          <w:spacing w:val="-2"/>
        </w:rPr>
        <w:t>委员会注意到缔约国为建立符合《公约》的法律和体制框架而采取的步骤。</w:t>
      </w:r>
      <w:r w:rsidRPr="00785C2F">
        <w:rPr>
          <w:rFonts w:hint="eastAsia"/>
        </w:rPr>
        <w:t>委员会欢迎第</w:t>
      </w:r>
      <w:r w:rsidRPr="00785C2F">
        <w:rPr>
          <w:rFonts w:hint="eastAsia"/>
        </w:rPr>
        <w:t>230/G/TF/2019/</w:t>
      </w:r>
      <w:proofErr w:type="spellStart"/>
      <w:r w:rsidRPr="00785C2F">
        <w:rPr>
          <w:rFonts w:hint="eastAsia"/>
        </w:rPr>
        <w:t>PTUN</w:t>
      </w:r>
      <w:proofErr w:type="spellEnd"/>
      <w:r w:rsidRPr="00785C2F">
        <w:rPr>
          <w:rFonts w:hint="eastAsia"/>
        </w:rPr>
        <w:t>-JKT</w:t>
      </w:r>
      <w:r w:rsidRPr="00785C2F">
        <w:rPr>
          <w:rFonts w:hint="eastAsia"/>
        </w:rPr>
        <w:t>号裁决，</w:t>
      </w:r>
      <w:r w:rsidRPr="00785C2F">
        <w:rPr>
          <w:rFonts w:eastAsia="KaiTi" w:hint="eastAsia"/>
        </w:rPr>
        <w:t>独立记者联盟诉通信部</w:t>
      </w:r>
      <w:r w:rsidRPr="00785C2F">
        <w:rPr>
          <w:rFonts w:hint="eastAsia"/>
        </w:rPr>
        <w:t>，其中雅加达国家行政法院援引《公约》和委员会关于意见和表达自由的第</w:t>
      </w:r>
      <w:r w:rsidRPr="00785C2F">
        <w:rPr>
          <w:rFonts w:hint="eastAsia"/>
        </w:rPr>
        <w:t>34</w:t>
      </w:r>
      <w:r w:rsidRPr="00785C2F">
        <w:rPr>
          <w:rFonts w:hint="eastAsia"/>
        </w:rPr>
        <w:t>号一般性意见</w:t>
      </w:r>
      <w:r w:rsidR="00785C2F" w:rsidRPr="00785C2F">
        <w:rPr>
          <w:rFonts w:hint="eastAsia"/>
        </w:rPr>
        <w:t>(</w:t>
      </w:r>
      <w:r w:rsidRPr="00785C2F">
        <w:rPr>
          <w:rFonts w:hint="eastAsia"/>
        </w:rPr>
        <w:t>2011</w:t>
      </w:r>
      <w:r w:rsidRPr="00785C2F">
        <w:rPr>
          <w:rFonts w:hint="eastAsia"/>
        </w:rPr>
        <w:t>年</w:t>
      </w:r>
      <w:r w:rsidR="00785C2F" w:rsidRPr="00785C2F">
        <w:rPr>
          <w:rFonts w:hint="eastAsia"/>
        </w:rPr>
        <w:t>)</w:t>
      </w:r>
      <w:r w:rsidRPr="00785C2F">
        <w:rPr>
          <w:rFonts w:hint="eastAsia"/>
        </w:rPr>
        <w:t>，</w:t>
      </w:r>
      <w:proofErr w:type="gramStart"/>
      <w:r w:rsidRPr="00785C2F">
        <w:rPr>
          <w:rFonts w:hint="eastAsia"/>
        </w:rPr>
        <w:t>认定巴</w:t>
      </w:r>
      <w:proofErr w:type="gramEnd"/>
      <w:r w:rsidRPr="00785C2F">
        <w:rPr>
          <w:rFonts w:hint="eastAsia"/>
        </w:rPr>
        <w:t>布亚关闭互联网的做法是非法的。然而委员会感到关切的是，宪法法院最近的几项裁决似乎有悖《公约》，包括关于政府有权限制获取被视为非法的电子信息的第</w:t>
      </w:r>
      <w:r w:rsidRPr="00785C2F">
        <w:rPr>
          <w:rFonts w:hint="eastAsia"/>
        </w:rPr>
        <w:t>81/</w:t>
      </w:r>
      <w:proofErr w:type="spellStart"/>
      <w:r w:rsidRPr="00785C2F">
        <w:rPr>
          <w:rFonts w:hint="eastAsia"/>
        </w:rPr>
        <w:t>PUU</w:t>
      </w:r>
      <w:proofErr w:type="spellEnd"/>
      <w:r w:rsidRPr="00785C2F">
        <w:t>-</w:t>
      </w:r>
      <w:r w:rsidRPr="00785C2F">
        <w:rPr>
          <w:rFonts w:hint="eastAsia"/>
        </w:rPr>
        <w:t>XVIII/2020</w:t>
      </w:r>
      <w:r w:rsidRPr="00785C2F">
        <w:rPr>
          <w:rFonts w:hint="eastAsia"/>
        </w:rPr>
        <w:t>号裁决，以及法院驳回对《关于创造就业机会的第</w:t>
      </w:r>
      <w:r w:rsidRPr="00785C2F">
        <w:rPr>
          <w:rFonts w:hint="eastAsia"/>
        </w:rPr>
        <w:t>11/2020</w:t>
      </w:r>
      <w:r w:rsidRPr="00785C2F">
        <w:rPr>
          <w:rFonts w:hint="eastAsia"/>
        </w:rPr>
        <w:t>号综合法》和《修订第</w:t>
      </w:r>
      <w:r w:rsidRPr="00785C2F">
        <w:rPr>
          <w:rFonts w:hint="eastAsia"/>
        </w:rPr>
        <w:t>11/2008</w:t>
      </w:r>
      <w:r w:rsidRPr="00785C2F">
        <w:rPr>
          <w:rFonts w:hint="eastAsia"/>
        </w:rPr>
        <w:t>号电子信息和交易法</w:t>
      </w:r>
      <w:r w:rsidRPr="00B12BB8">
        <w:rPr>
          <w:rFonts w:hint="eastAsia"/>
        </w:rPr>
        <w:t>的第</w:t>
      </w:r>
      <w:r w:rsidRPr="00B12BB8">
        <w:rPr>
          <w:rFonts w:hint="eastAsia"/>
        </w:rPr>
        <w:t>19/20</w:t>
      </w:r>
      <w:r w:rsidR="00B12BB8" w:rsidRPr="00B12BB8">
        <w:t>16</w:t>
      </w:r>
      <w:r w:rsidRPr="00B12BB8">
        <w:rPr>
          <w:rFonts w:hint="eastAsia"/>
        </w:rPr>
        <w:t>号</w:t>
      </w:r>
      <w:r w:rsidRPr="00785C2F">
        <w:rPr>
          <w:rFonts w:hint="eastAsia"/>
        </w:rPr>
        <w:t>法》进行司法审查的请求的各项裁决。委员会还感到关切的是，有报告称，在这些法律的制定过程中没有进行有效和参与式的磋商。委员会重申其关切，即地方法规和细则保留了不符合《公约》的歧视性条款，包括禁止同性成年人之间自愿性关系的条款。委员会感到遗憾的是，缔约国没有计划批准《公约》第一项任择议定书</w:t>
      </w:r>
      <w:r w:rsidR="00785C2F" w:rsidRPr="00785C2F">
        <w:rPr>
          <w:rFonts w:hint="eastAsia"/>
        </w:rPr>
        <w:t>(</w:t>
      </w:r>
      <w:r w:rsidRPr="00785C2F">
        <w:rPr>
          <w:rFonts w:hint="eastAsia"/>
        </w:rPr>
        <w:t>第二条</w:t>
      </w:r>
      <w:r w:rsidR="00785C2F" w:rsidRPr="00785C2F">
        <w:rPr>
          <w:rFonts w:hint="eastAsia"/>
        </w:rPr>
        <w:t>)</w:t>
      </w:r>
      <w:r w:rsidRPr="00785C2F">
        <w:rPr>
          <w:rFonts w:hint="eastAsia"/>
        </w:rPr>
        <w:t>。</w:t>
      </w:r>
    </w:p>
    <w:p w14:paraId="6593021A"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5.</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w:t>
      </w:r>
    </w:p>
    <w:p w14:paraId="53C4825A" w14:textId="785A085D"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采取措施，确保《公约》所载的所有权利在省、地区和国家各层面在国内法令中得到充分落实，包括加强获得有效补救的途径；</w:t>
      </w:r>
    </w:p>
    <w:p w14:paraId="34C9878B" w14:textId="3B582285"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确保国内法</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包括基于伊斯兰教法的法律</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的解释和适用符合缔约国根据《公约》承担的义务。</w:t>
      </w:r>
    </w:p>
    <w:p w14:paraId="3261B8F6" w14:textId="5A994E78"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面向法官、律师和检察官开展提高对《公约》认识的活动，特别是在通过了基于习惯法或宗教法的地方法规和细则的地区；</w:t>
      </w:r>
    </w:p>
    <w:p w14:paraId="6A018A8F" w14:textId="017D083B"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保证在制定国内立法的所有阶段，与所有相关利益攸关方，包括国家人权机构</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国家人权委员会</w:t>
      </w:r>
      <w:proofErr w:type="spellStart"/>
      <w:r w:rsidRPr="00785C2F">
        <w:rPr>
          <w:rFonts w:asciiTheme="majorBidi" w:eastAsia="SimHei" w:hAnsiTheme="majorBidi" w:cstheme="majorBidi" w:hint="eastAsia"/>
        </w:rPr>
        <w:t>Komnas</w:t>
      </w:r>
      <w:proofErr w:type="spellEnd"/>
      <w:r w:rsidRPr="00785C2F">
        <w:rPr>
          <w:rFonts w:asciiTheme="majorBidi" w:eastAsia="SimHei" w:hAnsiTheme="majorBidi" w:cstheme="majorBidi" w:hint="eastAsia"/>
        </w:rPr>
        <w:t xml:space="preserve"> HAM</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、暴力侵害妇女问题国家委员会</w:t>
      </w:r>
      <w:r w:rsidR="00785C2F" w:rsidRPr="00785C2F">
        <w:rPr>
          <w:rFonts w:asciiTheme="majorBidi" w:eastAsia="SimHei" w:hAnsiTheme="majorBidi" w:cstheme="majorBidi" w:hint="eastAsia"/>
        </w:rPr>
        <w:t>(</w:t>
      </w:r>
      <w:proofErr w:type="spellStart"/>
      <w:r w:rsidRPr="00785C2F">
        <w:rPr>
          <w:rFonts w:asciiTheme="majorBidi" w:eastAsia="SimHei" w:hAnsiTheme="majorBidi" w:cstheme="majorBidi" w:hint="eastAsia"/>
        </w:rPr>
        <w:t>Komnas</w:t>
      </w:r>
      <w:proofErr w:type="spellEnd"/>
      <w:r w:rsidRPr="00785C2F">
        <w:rPr>
          <w:rFonts w:asciiTheme="majorBidi" w:eastAsia="SimHei" w:hAnsiTheme="majorBidi" w:cstheme="majorBidi" w:hint="eastAsia"/>
        </w:rPr>
        <w:t xml:space="preserve"> Perempuan</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和民间社会组织进行有意义、有效和参与式的磋商；</w:t>
      </w:r>
    </w:p>
    <w:p w14:paraId="582D7DF1" w14:textId="13C66686"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e</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缔约国应考虑加入《公约》第一项任择议定书。</w:t>
      </w:r>
    </w:p>
    <w:p w14:paraId="64457944"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国家人权机构</w:t>
      </w:r>
    </w:p>
    <w:p w14:paraId="584A0310" w14:textId="0830E612" w:rsidR="00B547D6" w:rsidRPr="00785C2F" w:rsidRDefault="00B547D6" w:rsidP="00B547D6">
      <w:pPr>
        <w:pStyle w:val="SingleTxt"/>
      </w:pPr>
      <w:r w:rsidRPr="00785C2F">
        <w:rPr>
          <w:rFonts w:hint="eastAsia"/>
        </w:rPr>
        <w:t>6.</w:t>
      </w:r>
      <w:r w:rsidRPr="00785C2F">
        <w:rPr>
          <w:rFonts w:hint="eastAsia"/>
        </w:rPr>
        <w:tab/>
      </w:r>
      <w:r w:rsidRPr="00785C2F">
        <w:rPr>
          <w:rFonts w:hint="eastAsia"/>
        </w:rPr>
        <w:t>委员会表示欢迎的是，国家人权委员会于</w:t>
      </w:r>
      <w:r w:rsidRPr="00785C2F">
        <w:rPr>
          <w:rFonts w:hint="eastAsia"/>
        </w:rPr>
        <w:t>2022</w:t>
      </w:r>
      <w:r w:rsidRPr="00785C2F">
        <w:rPr>
          <w:rFonts w:hint="eastAsia"/>
        </w:rPr>
        <w:t>年重新获得国家人权机构全球联盟</w:t>
      </w:r>
      <w:r w:rsidRPr="00785C2F">
        <w:rPr>
          <w:rFonts w:hint="eastAsia"/>
        </w:rPr>
        <w:t>A</w:t>
      </w:r>
      <w:r w:rsidRPr="00785C2F">
        <w:rPr>
          <w:rFonts w:hint="eastAsia"/>
        </w:rPr>
        <w:t>级地位认证，并获得了授权，负责根据《关于人权法院的第</w:t>
      </w:r>
      <w:r w:rsidRPr="00785C2F">
        <w:rPr>
          <w:rFonts w:hint="eastAsia"/>
        </w:rPr>
        <w:t>26/2000</w:t>
      </w:r>
      <w:r w:rsidRPr="00785C2F">
        <w:rPr>
          <w:rFonts w:hint="eastAsia"/>
        </w:rPr>
        <w:t>号法》第</w:t>
      </w:r>
      <w:r w:rsidRPr="00785C2F">
        <w:rPr>
          <w:rFonts w:hint="eastAsia"/>
        </w:rPr>
        <w:t>18</w:t>
      </w:r>
      <w:r w:rsidRPr="00785C2F">
        <w:rPr>
          <w:rFonts w:hint="eastAsia"/>
        </w:rPr>
        <w:t>条调查关于严重侵犯人权的申诉。委员会注意到，缔约国提供的资料</w:t>
      </w:r>
      <w:r w:rsidRPr="00785C2F">
        <w:rPr>
          <w:rFonts w:hint="eastAsia"/>
        </w:rPr>
        <w:lastRenderedPageBreak/>
        <w:t>显示，</w:t>
      </w:r>
      <w:r w:rsidRPr="00785C2F">
        <w:rPr>
          <w:rFonts w:hint="eastAsia"/>
        </w:rPr>
        <w:t>2018</w:t>
      </w:r>
      <w:r w:rsidRPr="00785C2F">
        <w:rPr>
          <w:rFonts w:hint="eastAsia"/>
        </w:rPr>
        <w:t>年至</w:t>
      </w:r>
      <w:r w:rsidRPr="00785C2F">
        <w:rPr>
          <w:rFonts w:hint="eastAsia"/>
        </w:rPr>
        <w:t>2022</w:t>
      </w:r>
      <w:r w:rsidRPr="00785C2F">
        <w:rPr>
          <w:rFonts w:hint="eastAsia"/>
        </w:rPr>
        <w:t>年，国家人权委员会所获预算拨款平均每年增加</w:t>
      </w:r>
      <w:r w:rsidRPr="00785C2F">
        <w:rPr>
          <w:rFonts w:hint="eastAsia"/>
        </w:rPr>
        <w:t>2.5%</w:t>
      </w:r>
      <w:r w:rsidRPr="00785C2F">
        <w:rPr>
          <w:rFonts w:hint="eastAsia"/>
        </w:rPr>
        <w:t>。委员会感到遗憾的是，缺少资料说明采取了哪些步骤，以落实国家人权机构全球联盟的建议，从而确保国家人权委员会成员任免程序具有一贯性和长期性，并确保该委员会的组成具有多元性，符合《关于促进和保护人权的国家机构的地位的原则》</w:t>
      </w:r>
      <w:r w:rsidR="00785C2F" w:rsidRPr="00785C2F">
        <w:rPr>
          <w:rFonts w:hint="eastAsia"/>
        </w:rPr>
        <w:t>(</w:t>
      </w:r>
      <w:r w:rsidRPr="00785C2F">
        <w:rPr>
          <w:rFonts w:hint="eastAsia"/>
        </w:rPr>
        <w:t>《巴黎原则》</w:t>
      </w:r>
      <w:r w:rsidR="00785C2F" w:rsidRPr="00785C2F">
        <w:rPr>
          <w:rFonts w:hint="eastAsia"/>
        </w:rPr>
        <w:t>)</w:t>
      </w:r>
      <w:r w:rsidRPr="00785C2F">
        <w:rPr>
          <w:rFonts w:hint="eastAsia"/>
        </w:rPr>
        <w:t>。委员会还注意到，关于暴力侵害妇女问题国家委员会也存在类似关切</w:t>
      </w:r>
      <w:r w:rsidR="00785C2F" w:rsidRPr="00785C2F">
        <w:rPr>
          <w:rFonts w:hint="eastAsia"/>
        </w:rPr>
        <w:t>(</w:t>
      </w:r>
      <w:r w:rsidRPr="00785C2F">
        <w:rPr>
          <w:rFonts w:hint="eastAsia"/>
        </w:rPr>
        <w:t>第二条</w:t>
      </w:r>
      <w:r w:rsidR="00785C2F" w:rsidRPr="00785C2F">
        <w:rPr>
          <w:rFonts w:hint="eastAsia"/>
        </w:rPr>
        <w:t>)</w:t>
      </w:r>
      <w:r w:rsidRPr="00785C2F">
        <w:rPr>
          <w:rFonts w:hint="eastAsia"/>
        </w:rPr>
        <w:t>。</w:t>
      </w:r>
    </w:p>
    <w:p w14:paraId="2A646317"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7.</w:t>
      </w:r>
      <w:r w:rsidRPr="00785C2F">
        <w:rPr>
          <w:rFonts w:asciiTheme="majorBidi" w:eastAsia="SimHei" w:hAnsiTheme="majorBidi" w:cstheme="majorBidi" w:hint="eastAsia"/>
        </w:rPr>
        <w:tab/>
      </w:r>
      <w:r w:rsidRPr="00785C2F">
        <w:rPr>
          <w:rFonts w:asciiTheme="majorBidi" w:eastAsia="SimHei" w:hAnsiTheme="majorBidi" w:cstheme="majorBidi" w:hint="eastAsia"/>
        </w:rPr>
        <w:t>委员会建议缔约国，确保为国家人权委员会和暴力侵害妇女问题国家委员会划拨充足的资金、技术和人力资源，以便二者有效和独立地履行各自的任务，确保二者具备一贯、透明和长期的成员任免程序，并确保二者在组成上具有多元性，完全符合《巴黎原则》。</w:t>
      </w:r>
    </w:p>
    <w:p w14:paraId="683A40DF"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腐败</w:t>
      </w:r>
    </w:p>
    <w:p w14:paraId="1DD78AD9" w14:textId="5D2C95E8" w:rsidR="00B547D6" w:rsidRPr="00785C2F" w:rsidRDefault="00B547D6" w:rsidP="00B547D6">
      <w:pPr>
        <w:pStyle w:val="SingleTxt"/>
      </w:pPr>
      <w:r w:rsidRPr="00785C2F">
        <w:rPr>
          <w:rFonts w:hint="eastAsia"/>
        </w:rPr>
        <w:t>8.</w:t>
      </w:r>
      <w:r w:rsidRPr="00785C2F">
        <w:rPr>
          <w:rFonts w:hint="eastAsia"/>
        </w:rPr>
        <w:tab/>
      </w:r>
      <w:r w:rsidRPr="00785C2F">
        <w:rPr>
          <w:rFonts w:hint="eastAsia"/>
        </w:rPr>
        <w:t>委员会感到关切的是，腐败现象仍然普遍存在，并且表示遗憾的是，缺少资料说明预防、打击和消除腐败的具体措施的执行情况。委员会感到遗憾的是，最近通过的法律和政策有损消除腐败委员会的独立性和有效性，包括第</w:t>
      </w:r>
      <w:r w:rsidRPr="00785C2F">
        <w:rPr>
          <w:rFonts w:hint="eastAsia"/>
        </w:rPr>
        <w:t>19/2019</w:t>
      </w:r>
      <w:r w:rsidRPr="00785C2F">
        <w:rPr>
          <w:rFonts w:hint="eastAsia"/>
        </w:rPr>
        <w:t>号法，该法修订了《消除腐败委员会法》，承认这一之前具有独立性的机构为执行机构，并设立了由总统任命的监督委员会。委员会感到关切的是，第</w:t>
      </w:r>
      <w:r w:rsidRPr="00785C2F">
        <w:rPr>
          <w:rFonts w:hint="eastAsia"/>
        </w:rPr>
        <w:t>19/2019</w:t>
      </w:r>
      <w:r w:rsidRPr="00785C2F">
        <w:rPr>
          <w:rFonts w:hint="eastAsia"/>
        </w:rPr>
        <w:t>号法第</w:t>
      </w:r>
      <w:r w:rsidRPr="00785C2F">
        <w:rPr>
          <w:rFonts w:hint="eastAsia"/>
        </w:rPr>
        <w:t>11</w:t>
      </w:r>
      <w:r w:rsidRPr="00785C2F">
        <w:rPr>
          <w:rFonts w:hint="eastAsia"/>
        </w:rPr>
        <w:t>条将公共利益案件排除在调查和起诉之外，并注意到，事关采掘业、工商业实体和执法的案件调查和起诉数量有限。委员会还感到关切的是，</w:t>
      </w:r>
      <w:r w:rsidRPr="00785C2F">
        <w:rPr>
          <w:rFonts w:hint="eastAsia"/>
        </w:rPr>
        <w:t>2021</w:t>
      </w:r>
      <w:r w:rsidRPr="00785C2F">
        <w:rPr>
          <w:rFonts w:hint="eastAsia"/>
        </w:rPr>
        <w:t>年，消除腐败委员会解雇了</w:t>
      </w:r>
      <w:r w:rsidRPr="00785C2F">
        <w:rPr>
          <w:rFonts w:hint="eastAsia"/>
        </w:rPr>
        <w:t>57</w:t>
      </w:r>
      <w:r w:rsidRPr="00785C2F">
        <w:rPr>
          <w:rFonts w:hint="eastAsia"/>
        </w:rPr>
        <w:t>名工作人员，包括调查员和专员，这进一步妨碍了该委员会解决腐败问题的能力</w:t>
      </w:r>
      <w:r w:rsidR="00785C2F" w:rsidRPr="00785C2F">
        <w:rPr>
          <w:rFonts w:hint="eastAsia"/>
        </w:rPr>
        <w:t>(</w:t>
      </w:r>
      <w:r w:rsidRPr="00785C2F">
        <w:rPr>
          <w:rFonts w:hint="eastAsia"/>
        </w:rPr>
        <w:t>第二和第二十五条</w:t>
      </w:r>
      <w:r w:rsidR="00785C2F" w:rsidRPr="00785C2F">
        <w:rPr>
          <w:rFonts w:hint="eastAsia"/>
        </w:rPr>
        <w:t>)</w:t>
      </w:r>
      <w:r w:rsidRPr="00785C2F">
        <w:rPr>
          <w:rFonts w:hint="eastAsia"/>
        </w:rPr>
        <w:t>。</w:t>
      </w:r>
    </w:p>
    <w:p w14:paraId="70F66685"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9.</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w:t>
      </w:r>
    </w:p>
    <w:p w14:paraId="37C7E54B" w14:textId="4A103738"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采取具体措施，预防、打击和消除腐败，包括迅速、独立和公正地调查并起诉所有关于腐败或报复的指控，认定有罪者按罪论处，确保受害者得到充分赔偿，并确保公共信息的获得；</w:t>
      </w:r>
    </w:p>
    <w:p w14:paraId="0AB43428" w14:textId="3FCBC3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为消除腐败委员会划拨充足的资金、人力和技术资源，使之能够履行任务，从而确保上述措施的效力；</w:t>
      </w:r>
    </w:p>
    <w:p w14:paraId="3E41A811" w14:textId="0473059D"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确保消除腐败委员会的独立性、透明度、有效性和问责制，包括改进其成员的多元性及其独立性；</w:t>
      </w:r>
    </w:p>
    <w:p w14:paraId="77D95D3A" w14:textId="7C7AEB89"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开展培训和宣传运动，使公职人员、政界人士、企业界和公众了解腐败的经济和社会成本以及现有的应对腐败的机制。</w:t>
      </w:r>
    </w:p>
    <w:p w14:paraId="68DA7E18"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以往侵犯人权行为的有罪不罚和问责</w:t>
      </w:r>
    </w:p>
    <w:p w14:paraId="21243AA8" w14:textId="6DA34EFA" w:rsidR="00B547D6" w:rsidRPr="00785C2F" w:rsidRDefault="00B547D6" w:rsidP="00B547D6">
      <w:pPr>
        <w:pStyle w:val="SingleTxt"/>
      </w:pPr>
      <w:r w:rsidRPr="00785C2F">
        <w:rPr>
          <w:rFonts w:hint="eastAsia"/>
        </w:rPr>
        <w:t>10.</w:t>
      </w:r>
      <w:r w:rsidRPr="00785C2F">
        <w:rPr>
          <w:rFonts w:hint="eastAsia"/>
        </w:rPr>
        <w:tab/>
      </w:r>
      <w:r w:rsidRPr="00785C2F">
        <w:rPr>
          <w:rFonts w:hint="eastAsia"/>
        </w:rPr>
        <w:t>委员会深为关切的是，存在涉及安全部队成员和执法人员的法外处决、强迫失踪和其他严重侵犯人权行为的模式，对这些侵权行为没有进行调查，也没有向受害者提供赔偿。委员会欢迎最高法院第</w:t>
      </w:r>
      <w:r w:rsidRPr="00785C2F">
        <w:rPr>
          <w:rFonts w:hint="eastAsia"/>
        </w:rPr>
        <w:t>291 K/MIL/2023</w:t>
      </w:r>
      <w:r w:rsidRPr="00785C2F">
        <w:rPr>
          <w:rFonts w:hint="eastAsia"/>
        </w:rPr>
        <w:t>号裁决，该裁决维持了对在蒂米卡蓄意谋杀和残害四名巴布亚人的六名执法人员的定罪。委员会注意到，参与谋杀人权维护者</w:t>
      </w:r>
      <w:r w:rsidRPr="00785C2F">
        <w:rPr>
          <w:rFonts w:hint="eastAsia"/>
        </w:rPr>
        <w:t xml:space="preserve">Munir Said </w:t>
      </w:r>
      <w:proofErr w:type="spellStart"/>
      <w:r w:rsidRPr="00785C2F">
        <w:rPr>
          <w:rFonts w:hint="eastAsia"/>
        </w:rPr>
        <w:t>Thalib</w:t>
      </w:r>
      <w:proofErr w:type="spellEnd"/>
      <w:r w:rsidRPr="00785C2F">
        <w:rPr>
          <w:rFonts w:hint="eastAsia"/>
        </w:rPr>
        <w:t>的三名施害者于</w:t>
      </w:r>
      <w:r w:rsidRPr="00785C2F">
        <w:rPr>
          <w:rFonts w:hint="eastAsia"/>
        </w:rPr>
        <w:t>2005</w:t>
      </w:r>
      <w:r w:rsidRPr="00785C2F">
        <w:rPr>
          <w:rFonts w:hint="eastAsia"/>
        </w:rPr>
        <w:t>年和</w:t>
      </w:r>
      <w:r w:rsidRPr="00785C2F">
        <w:rPr>
          <w:rFonts w:hint="eastAsia"/>
        </w:rPr>
        <w:t>2007</w:t>
      </w:r>
      <w:r w:rsidRPr="00785C2F">
        <w:rPr>
          <w:rFonts w:hint="eastAsia"/>
        </w:rPr>
        <w:t>年被认定有罪，在此之外，国家人权委员会仍在对谋杀案作进一步调查。委员会感到关切的是，多份报告显示，巴布亚土著人民遭受法外处决和强迫失踪的情况没有得到调查，尽管缔约国承诺进行调查。委员会深感遗憾的是，在</w:t>
      </w:r>
      <w:r w:rsidRPr="00785C2F">
        <w:rPr>
          <w:rFonts w:hint="eastAsia"/>
        </w:rPr>
        <w:t xml:space="preserve">Isak </w:t>
      </w:r>
      <w:proofErr w:type="spellStart"/>
      <w:r w:rsidRPr="00785C2F">
        <w:rPr>
          <w:rFonts w:hint="eastAsia"/>
        </w:rPr>
        <w:t>Sattu</w:t>
      </w:r>
      <w:proofErr w:type="spellEnd"/>
      <w:r w:rsidRPr="00785C2F">
        <w:rPr>
          <w:rFonts w:hint="eastAsia"/>
        </w:rPr>
        <w:t>于</w:t>
      </w:r>
      <w:r w:rsidRPr="00785C2F">
        <w:rPr>
          <w:rFonts w:hint="eastAsia"/>
        </w:rPr>
        <w:t>2022</w:t>
      </w:r>
      <w:r w:rsidRPr="00785C2F">
        <w:rPr>
          <w:rFonts w:hint="eastAsia"/>
        </w:rPr>
        <w:t>年被宣告无罪之后，仍然缺少资料，说明：所报告的</w:t>
      </w:r>
      <w:r w:rsidRPr="00785C2F">
        <w:rPr>
          <w:rFonts w:hint="eastAsia"/>
        </w:rPr>
        <w:t>2014</w:t>
      </w:r>
      <w:r w:rsidRPr="00785C2F">
        <w:rPr>
          <w:rFonts w:hint="eastAsia"/>
        </w:rPr>
        <w:t>年在帕尼艾法外杀害四名巴布</w:t>
      </w:r>
      <w:proofErr w:type="gramStart"/>
      <w:r w:rsidRPr="00785C2F">
        <w:rPr>
          <w:rFonts w:hint="eastAsia"/>
        </w:rPr>
        <w:t>亚儿童</w:t>
      </w:r>
      <w:proofErr w:type="gramEnd"/>
      <w:r w:rsidRPr="00785C2F">
        <w:rPr>
          <w:rFonts w:hint="eastAsia"/>
        </w:rPr>
        <w:t>的案件中对参与或唆使这一行为的其他军官提出指控的情况；</w:t>
      </w:r>
      <w:r w:rsidRPr="00785C2F">
        <w:rPr>
          <w:rFonts w:hint="eastAsia"/>
        </w:rPr>
        <w:t>1997</w:t>
      </w:r>
      <w:r w:rsidRPr="00785C2F">
        <w:rPr>
          <w:rFonts w:hint="eastAsia"/>
        </w:rPr>
        <w:t>年和</w:t>
      </w:r>
      <w:r w:rsidRPr="00785C2F">
        <w:rPr>
          <w:rFonts w:hint="eastAsia"/>
        </w:rPr>
        <w:t>1998</w:t>
      </w:r>
      <w:r w:rsidRPr="00785C2F">
        <w:rPr>
          <w:rFonts w:hint="eastAsia"/>
        </w:rPr>
        <w:t>年支持民主的学生抗议者遭受强迫失踪事件的调查结果；</w:t>
      </w:r>
      <w:r w:rsidRPr="00785C2F">
        <w:rPr>
          <w:rFonts w:hint="eastAsia"/>
        </w:rPr>
        <w:t>1965</w:t>
      </w:r>
      <w:r w:rsidRPr="00785C2F">
        <w:rPr>
          <w:rFonts w:hint="eastAsia"/>
        </w:rPr>
        <w:t>年和</w:t>
      </w:r>
      <w:r w:rsidRPr="00785C2F">
        <w:rPr>
          <w:rFonts w:hint="eastAsia"/>
        </w:rPr>
        <w:t>1966</w:t>
      </w:r>
      <w:r w:rsidRPr="00785C2F">
        <w:rPr>
          <w:rFonts w:hint="eastAsia"/>
        </w:rPr>
        <w:t>年“反共”大屠杀中估计</w:t>
      </w:r>
      <w:r w:rsidRPr="00785C2F">
        <w:rPr>
          <w:rFonts w:hint="eastAsia"/>
        </w:rPr>
        <w:t>50</w:t>
      </w:r>
      <w:r w:rsidRPr="00785C2F">
        <w:rPr>
          <w:rFonts w:hint="eastAsia"/>
        </w:rPr>
        <w:t>万受害者的万人坑的地点。委员会感到关切的是，</w:t>
      </w:r>
      <w:r w:rsidRPr="00785C2F">
        <w:rPr>
          <w:rFonts w:hint="eastAsia"/>
        </w:rPr>
        <w:t>2022</w:t>
      </w:r>
      <w:r w:rsidRPr="00785C2F">
        <w:rPr>
          <w:rFonts w:hint="eastAsia"/>
        </w:rPr>
        <w:t>年</w:t>
      </w:r>
      <w:r w:rsidRPr="00785C2F">
        <w:rPr>
          <w:rFonts w:hint="eastAsia"/>
        </w:rPr>
        <w:t>12</w:t>
      </w:r>
      <w:r w:rsidRPr="00785C2F">
        <w:rPr>
          <w:rFonts w:hint="eastAsia"/>
        </w:rPr>
        <w:t>月提交以往严重侵犯人权行为</w:t>
      </w:r>
      <w:proofErr w:type="gramStart"/>
      <w:r w:rsidRPr="00785C2F">
        <w:rPr>
          <w:rFonts w:hint="eastAsia"/>
        </w:rPr>
        <w:t>非司法</w:t>
      </w:r>
      <w:proofErr w:type="gramEnd"/>
      <w:r w:rsidRPr="00785C2F">
        <w:rPr>
          <w:rFonts w:hint="eastAsia"/>
        </w:rPr>
        <w:t>解决小组的关于</w:t>
      </w:r>
      <w:r w:rsidRPr="00785C2F">
        <w:rPr>
          <w:rFonts w:hint="eastAsia"/>
        </w:rPr>
        <w:t>12</w:t>
      </w:r>
      <w:r w:rsidRPr="00785C2F">
        <w:rPr>
          <w:rFonts w:hint="eastAsia"/>
        </w:rPr>
        <w:t>起案件的报告尚未公开。委员会特别关切的是，在国家人权委员会调查的</w:t>
      </w:r>
      <w:r w:rsidRPr="00785C2F">
        <w:rPr>
          <w:rFonts w:hint="eastAsia"/>
        </w:rPr>
        <w:t>16</w:t>
      </w:r>
      <w:r w:rsidRPr="00785C2F">
        <w:rPr>
          <w:rFonts w:hint="eastAsia"/>
        </w:rPr>
        <w:t>起严重侵犯人权事件中，只有</w:t>
      </w:r>
      <w:r w:rsidRPr="00785C2F">
        <w:rPr>
          <w:rFonts w:hint="eastAsia"/>
        </w:rPr>
        <w:t>4</w:t>
      </w:r>
      <w:r w:rsidRPr="00785C2F">
        <w:rPr>
          <w:rFonts w:hint="eastAsia"/>
        </w:rPr>
        <w:t>起被提交法院。委员会遗憾地注意到，</w:t>
      </w:r>
      <w:r w:rsidRPr="00785C2F">
        <w:rPr>
          <w:rFonts w:hint="eastAsia"/>
        </w:rPr>
        <w:t>1999</w:t>
      </w:r>
      <w:r w:rsidRPr="00785C2F">
        <w:rPr>
          <w:rFonts w:hint="eastAsia"/>
        </w:rPr>
        <w:t>年东帝汶</w:t>
      </w:r>
      <w:proofErr w:type="gramStart"/>
      <w:r w:rsidRPr="00785C2F">
        <w:rPr>
          <w:rFonts w:hint="eastAsia"/>
        </w:rPr>
        <w:t>独立公投期间</w:t>
      </w:r>
      <w:proofErr w:type="gramEnd"/>
      <w:r w:rsidRPr="00785C2F">
        <w:rPr>
          <w:rFonts w:hint="eastAsia"/>
        </w:rPr>
        <w:t>的</w:t>
      </w:r>
      <w:r w:rsidRPr="00785C2F">
        <w:rPr>
          <w:rFonts w:hint="eastAsia"/>
        </w:rPr>
        <w:t>2</w:t>
      </w:r>
      <w:r w:rsidR="00785C2F">
        <w:rPr>
          <w:rFonts w:hint="eastAsia"/>
        </w:rPr>
        <w:t xml:space="preserve"> </w:t>
      </w:r>
      <w:r w:rsidRPr="00785C2F">
        <w:rPr>
          <w:rFonts w:hint="eastAsia"/>
        </w:rPr>
        <w:t>487</w:t>
      </w:r>
      <w:r w:rsidRPr="00785C2F">
        <w:rPr>
          <w:rFonts w:hint="eastAsia"/>
        </w:rPr>
        <w:t>名暴力受害者和亚齐真相与和解委员会确认的</w:t>
      </w:r>
      <w:r w:rsidRPr="00785C2F">
        <w:rPr>
          <w:rFonts w:hint="eastAsia"/>
        </w:rPr>
        <w:t>5</w:t>
      </w:r>
      <w:r w:rsidR="00785C2F">
        <w:rPr>
          <w:rFonts w:hint="eastAsia"/>
        </w:rPr>
        <w:t xml:space="preserve"> </w:t>
      </w:r>
      <w:r w:rsidRPr="00785C2F">
        <w:rPr>
          <w:rFonts w:hint="eastAsia"/>
        </w:rPr>
        <w:t>195</w:t>
      </w:r>
      <w:r w:rsidRPr="00785C2F">
        <w:rPr>
          <w:rFonts w:hint="eastAsia"/>
        </w:rPr>
        <w:t>名受害者尚未得到有效补救</w:t>
      </w:r>
      <w:r w:rsidR="00785C2F" w:rsidRPr="00785C2F">
        <w:rPr>
          <w:rFonts w:hint="eastAsia"/>
        </w:rPr>
        <w:t>(</w:t>
      </w:r>
      <w:r w:rsidRPr="00785C2F">
        <w:rPr>
          <w:rFonts w:hint="eastAsia"/>
        </w:rPr>
        <w:t>第二、第六、第七和第十四条</w:t>
      </w:r>
      <w:r w:rsidR="00785C2F" w:rsidRPr="00785C2F">
        <w:rPr>
          <w:rFonts w:hint="eastAsia"/>
        </w:rPr>
        <w:t>)</w:t>
      </w:r>
      <w:r w:rsidRPr="00785C2F">
        <w:rPr>
          <w:rFonts w:hint="eastAsia"/>
        </w:rPr>
        <w:t>。</w:t>
      </w:r>
    </w:p>
    <w:p w14:paraId="05EB1401"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11.</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缔约国应作为紧急事项，加强努力，结束有罪不罚现象，确保对以往侵犯人权行为进行问责，包括：</w:t>
      </w:r>
    </w:p>
    <w:p w14:paraId="266B1D17" w14:textId="403FD24F"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保障司法和</w:t>
      </w:r>
      <w:proofErr w:type="gramStart"/>
      <w:r w:rsidRPr="00785C2F">
        <w:rPr>
          <w:rFonts w:asciiTheme="majorBidi" w:eastAsia="SimHei" w:hAnsiTheme="majorBidi" w:cstheme="majorBidi" w:hint="eastAsia"/>
        </w:rPr>
        <w:t>非司法</w:t>
      </w:r>
      <w:proofErr w:type="gramEnd"/>
      <w:r w:rsidRPr="00785C2F">
        <w:rPr>
          <w:rFonts w:asciiTheme="majorBidi" w:eastAsia="SimHei" w:hAnsiTheme="majorBidi" w:cstheme="majorBidi" w:hint="eastAsia"/>
        </w:rPr>
        <w:t>问责机制的独立性和公正性，确保这些机制在组成上的多元性，确保有明确的任免条例，确保提供充足的技术、资金和人力资源用于毫不拖延地</w:t>
      </w:r>
      <w:proofErr w:type="gramStart"/>
      <w:r w:rsidRPr="00785C2F">
        <w:rPr>
          <w:rFonts w:asciiTheme="majorBidi" w:eastAsia="SimHei" w:hAnsiTheme="majorBidi" w:cstheme="majorBidi" w:hint="eastAsia"/>
        </w:rPr>
        <w:t>迅速履行</w:t>
      </w:r>
      <w:proofErr w:type="gramEnd"/>
      <w:r w:rsidRPr="00785C2F">
        <w:rPr>
          <w:rFonts w:asciiTheme="majorBidi" w:eastAsia="SimHei" w:hAnsiTheme="majorBidi" w:cstheme="majorBidi" w:hint="eastAsia"/>
        </w:rPr>
        <w:t>任务，并加快通过关于真相与和解的法案；</w:t>
      </w:r>
    </w:p>
    <w:p w14:paraId="7647D411" w14:textId="59D58385"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立即调查所有侵犯人权的行为，包括任意拘留、强迫失踪、酷刑和虐待以及法外处决，包括向国家人权委员会报告的行为，并确保家属获得关于对其亲属死亡进行调查的信息；</w:t>
      </w:r>
    </w:p>
    <w:p w14:paraId="3C9F92C7" w14:textId="4FC768ED"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向所有侵犯人权行为的受害者及其家属提供充分赔偿，包括向亚齐真相与和解委员会确认的与东帝汶</w:t>
      </w:r>
      <w:proofErr w:type="gramStart"/>
      <w:r w:rsidRPr="00785C2F">
        <w:rPr>
          <w:rFonts w:asciiTheme="majorBidi" w:eastAsia="SimHei" w:hAnsiTheme="majorBidi" w:cstheme="majorBidi" w:hint="eastAsia"/>
        </w:rPr>
        <w:t>独立公</w:t>
      </w:r>
      <w:proofErr w:type="gramEnd"/>
      <w:r w:rsidRPr="00785C2F">
        <w:rPr>
          <w:rFonts w:asciiTheme="majorBidi" w:eastAsia="SimHei" w:hAnsiTheme="majorBidi" w:cstheme="majorBidi" w:hint="eastAsia"/>
        </w:rPr>
        <w:t>投有关的</w:t>
      </w:r>
      <w:r w:rsidRPr="00785C2F">
        <w:rPr>
          <w:rFonts w:asciiTheme="majorBidi" w:eastAsia="SimHei" w:hAnsiTheme="majorBidi" w:cstheme="majorBidi" w:hint="eastAsia"/>
        </w:rPr>
        <w:t>7</w:t>
      </w:r>
      <w:r w:rsidR="00785C2F">
        <w:rPr>
          <w:rFonts w:asciiTheme="majorBidi" w:eastAsia="SimHei" w:hAnsiTheme="majorBidi" w:cstheme="majorBidi" w:hint="eastAsia"/>
        </w:rPr>
        <w:t xml:space="preserve"> </w:t>
      </w:r>
      <w:r w:rsidRPr="00785C2F">
        <w:rPr>
          <w:rFonts w:asciiTheme="majorBidi" w:eastAsia="SimHei" w:hAnsiTheme="majorBidi" w:cstheme="majorBidi" w:hint="eastAsia"/>
        </w:rPr>
        <w:t>682</w:t>
      </w:r>
      <w:r w:rsidRPr="00785C2F">
        <w:rPr>
          <w:rFonts w:asciiTheme="majorBidi" w:eastAsia="SimHei" w:hAnsiTheme="majorBidi" w:cstheme="majorBidi" w:hint="eastAsia"/>
        </w:rPr>
        <w:t>名受害者提供赔偿；</w:t>
      </w:r>
    </w:p>
    <w:p w14:paraId="50CEA6D9" w14:textId="1C16C0C9"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确保获得有关这类案件的公共信息，包括以往严重侵犯人权行为</w:t>
      </w:r>
      <w:proofErr w:type="gramStart"/>
      <w:r w:rsidRPr="00785C2F">
        <w:rPr>
          <w:rFonts w:asciiTheme="majorBidi" w:eastAsia="SimHei" w:hAnsiTheme="majorBidi" w:cstheme="majorBidi" w:hint="eastAsia"/>
        </w:rPr>
        <w:t>非司法</w:t>
      </w:r>
      <w:proofErr w:type="gramEnd"/>
      <w:r w:rsidRPr="00785C2F">
        <w:rPr>
          <w:rFonts w:asciiTheme="majorBidi" w:eastAsia="SimHei" w:hAnsiTheme="majorBidi" w:cstheme="majorBidi" w:hint="eastAsia"/>
        </w:rPr>
        <w:t>解决小组的完整报告，国家人权委员会的调查结果以及</w:t>
      </w:r>
      <w:r w:rsidRPr="00785C2F">
        <w:rPr>
          <w:rFonts w:asciiTheme="majorBidi" w:eastAsia="SimHei" w:hAnsiTheme="majorBidi" w:cstheme="majorBidi" w:hint="eastAsia"/>
        </w:rPr>
        <w:t>2005</w:t>
      </w:r>
      <w:r w:rsidRPr="00785C2F">
        <w:rPr>
          <w:rFonts w:asciiTheme="majorBidi" w:eastAsia="SimHei" w:hAnsiTheme="majorBidi" w:cstheme="majorBidi" w:hint="eastAsia"/>
        </w:rPr>
        <w:t>年为调查</w:t>
      </w:r>
      <w:r w:rsidRPr="00785C2F">
        <w:rPr>
          <w:rFonts w:asciiTheme="majorBidi" w:eastAsia="SimHei" w:hAnsiTheme="majorBidi" w:cstheme="majorBidi" w:hint="eastAsia"/>
        </w:rPr>
        <w:t xml:space="preserve">Munir Said </w:t>
      </w:r>
      <w:proofErr w:type="spellStart"/>
      <w:r w:rsidRPr="00785C2F">
        <w:rPr>
          <w:rFonts w:asciiTheme="majorBidi" w:eastAsia="SimHei" w:hAnsiTheme="majorBidi" w:cstheme="majorBidi" w:hint="eastAsia"/>
        </w:rPr>
        <w:t>Thalib</w:t>
      </w:r>
      <w:proofErr w:type="spellEnd"/>
      <w:r w:rsidRPr="00785C2F">
        <w:rPr>
          <w:rFonts w:asciiTheme="majorBidi" w:eastAsia="SimHei" w:hAnsiTheme="majorBidi" w:cstheme="majorBidi" w:hint="eastAsia"/>
        </w:rPr>
        <w:t>死亡事件由总统设立的独立真相调查小组的调查结果；</w:t>
      </w:r>
    </w:p>
    <w:p w14:paraId="22E3A268" w14:textId="70CCC8E8"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e</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保证为受害者举行悼念和纪念活动不受限制或威胁，彻底和迅速调查所有关于骚扰或恐吓的报告，起诉施害者，认定有罪者按罪论处；</w:t>
      </w:r>
    </w:p>
    <w:p w14:paraId="11DA45E1" w14:textId="08F77A56"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f</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确保执法机构针对国家人权委员会的调查结果采取后续行动，确保施害者受到起诉，认定有罪者按罪论处，并确保提供不再重犯的保障。</w:t>
      </w:r>
    </w:p>
    <w:p w14:paraId="7DB770E5"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反恐怖主义措施</w:t>
      </w:r>
    </w:p>
    <w:p w14:paraId="01730F2F" w14:textId="0D06C1D4" w:rsidR="00B547D6" w:rsidRPr="00785C2F" w:rsidRDefault="00B547D6" w:rsidP="00B547D6">
      <w:pPr>
        <w:pStyle w:val="SingleTxt"/>
      </w:pPr>
      <w:r w:rsidRPr="00785C2F">
        <w:rPr>
          <w:rFonts w:hint="eastAsia"/>
        </w:rPr>
        <w:t>12.</w:t>
      </w:r>
      <w:r w:rsidRPr="00785C2F">
        <w:rPr>
          <w:rFonts w:hint="eastAsia"/>
        </w:rPr>
        <w:tab/>
      </w:r>
      <w:r w:rsidRPr="00785C2F">
        <w:rPr>
          <w:rFonts w:hint="eastAsia"/>
        </w:rPr>
        <w:t>委员会予以肯定的是，缔约国采取了打击恐怖主义的措施，但感到关切的是，对逮捕令和其他执法程序缺乏司法监督，加之经修订的《关于修订关于政府条例条款的第</w:t>
      </w:r>
      <w:r w:rsidRPr="00785C2F">
        <w:rPr>
          <w:rFonts w:hint="eastAsia"/>
        </w:rPr>
        <w:t>15/2003</w:t>
      </w:r>
      <w:r w:rsidRPr="00785C2F">
        <w:rPr>
          <w:rFonts w:hint="eastAsia"/>
        </w:rPr>
        <w:t>号法的第</w:t>
      </w:r>
      <w:r w:rsidRPr="00785C2F">
        <w:rPr>
          <w:rFonts w:hint="eastAsia"/>
        </w:rPr>
        <w:t>5/2018</w:t>
      </w:r>
      <w:r w:rsidRPr="00785C2F">
        <w:rPr>
          <w:rFonts w:hint="eastAsia"/>
        </w:rPr>
        <w:t>号法》</w:t>
      </w:r>
      <w:r w:rsidR="00785C2F" w:rsidRPr="00785C2F">
        <w:rPr>
          <w:rFonts w:hint="eastAsia"/>
        </w:rPr>
        <w:t>(</w:t>
      </w:r>
      <w:r w:rsidRPr="00785C2F">
        <w:rPr>
          <w:rFonts w:hint="eastAsia"/>
        </w:rPr>
        <w:t>《恐怖主义法修正案》</w:t>
      </w:r>
      <w:r w:rsidR="00785C2F" w:rsidRPr="00785C2F">
        <w:rPr>
          <w:rFonts w:hint="eastAsia"/>
        </w:rPr>
        <w:t>)</w:t>
      </w:r>
      <w:r w:rsidRPr="00785C2F">
        <w:rPr>
          <w:rFonts w:hint="eastAsia"/>
        </w:rPr>
        <w:t>中恐怖主义的定义措辞模糊</w:t>
      </w:r>
      <w:r w:rsidR="00785C2F" w:rsidRPr="00785C2F">
        <w:rPr>
          <w:rFonts w:hint="eastAsia"/>
        </w:rPr>
        <w:t>(</w:t>
      </w:r>
      <w:r w:rsidRPr="00785C2F">
        <w:rPr>
          <w:rFonts w:hint="eastAsia"/>
        </w:rPr>
        <w:t>第</w:t>
      </w:r>
      <w:r w:rsidRPr="00785C2F">
        <w:rPr>
          <w:rFonts w:hint="eastAsia"/>
        </w:rPr>
        <w:t>1</w:t>
      </w:r>
      <w:r w:rsidRPr="00785C2F">
        <w:rPr>
          <w:rFonts w:hint="eastAsia"/>
        </w:rPr>
        <w:t>条第</w:t>
      </w:r>
      <w:r w:rsidRPr="00785C2F">
        <w:rPr>
          <w:rFonts w:hint="eastAsia"/>
        </w:rPr>
        <w:t>2</w:t>
      </w:r>
      <w:r w:rsidRPr="00785C2F">
        <w:rPr>
          <w:rFonts w:hint="eastAsia"/>
        </w:rPr>
        <w:t>和第</w:t>
      </w:r>
      <w:r w:rsidRPr="00785C2F">
        <w:rPr>
          <w:rFonts w:hint="eastAsia"/>
        </w:rPr>
        <w:t>4</w:t>
      </w:r>
      <w:r w:rsidRPr="00785C2F">
        <w:rPr>
          <w:rFonts w:hint="eastAsia"/>
        </w:rPr>
        <w:t>款</w:t>
      </w:r>
      <w:r w:rsidR="00785C2F" w:rsidRPr="00785C2F">
        <w:rPr>
          <w:rFonts w:hint="eastAsia"/>
        </w:rPr>
        <w:t>)</w:t>
      </w:r>
      <w:r w:rsidRPr="00785C2F">
        <w:rPr>
          <w:rFonts w:hint="eastAsia"/>
        </w:rPr>
        <w:t>并对窃听和监视作了宽泛规定</w:t>
      </w:r>
      <w:r w:rsidR="00785C2F" w:rsidRPr="00785C2F">
        <w:rPr>
          <w:rFonts w:hint="eastAsia"/>
        </w:rPr>
        <w:t>(</w:t>
      </w:r>
      <w:r w:rsidRPr="00785C2F">
        <w:rPr>
          <w:rFonts w:hint="eastAsia"/>
        </w:rPr>
        <w:t>第</w:t>
      </w:r>
      <w:r w:rsidRPr="00785C2F">
        <w:rPr>
          <w:rFonts w:hint="eastAsia"/>
        </w:rPr>
        <w:t>31</w:t>
      </w:r>
      <w:r w:rsidRPr="00785C2F">
        <w:rPr>
          <w:rFonts w:hint="eastAsia"/>
        </w:rPr>
        <w:t>条</w:t>
      </w:r>
      <w:r w:rsidR="00785C2F" w:rsidRPr="00785C2F">
        <w:rPr>
          <w:rFonts w:hint="eastAsia"/>
        </w:rPr>
        <w:t>)</w:t>
      </w:r>
      <w:r w:rsidRPr="00785C2F">
        <w:rPr>
          <w:rFonts w:hint="eastAsia"/>
        </w:rPr>
        <w:t>，引起了对个人可能被任意剥夺自由和遭受酷刑或虐待的关切。委员会还感到关切的是，反</w:t>
      </w:r>
      <w:proofErr w:type="gramStart"/>
      <w:r w:rsidRPr="00785C2F">
        <w:rPr>
          <w:rFonts w:hint="eastAsia"/>
        </w:rPr>
        <w:t>恐法律</w:t>
      </w:r>
      <w:proofErr w:type="gramEnd"/>
      <w:r w:rsidRPr="00785C2F">
        <w:rPr>
          <w:rFonts w:hint="eastAsia"/>
        </w:rPr>
        <w:t>和政策可能被任意适用于限制基本自由，特别是在和平抗议的背景下。委员会感到遗憾的是，经修订的第</w:t>
      </w:r>
      <w:r w:rsidRPr="00785C2F">
        <w:rPr>
          <w:rFonts w:hint="eastAsia"/>
        </w:rPr>
        <w:t>5/2018</w:t>
      </w:r>
      <w:r w:rsidRPr="00785C2F">
        <w:rPr>
          <w:rFonts w:hint="eastAsia"/>
        </w:rPr>
        <w:t>号法第</w:t>
      </w:r>
      <w:r w:rsidRPr="00785C2F">
        <w:rPr>
          <w:rFonts w:hint="eastAsia"/>
        </w:rPr>
        <w:t>25</w:t>
      </w:r>
      <w:r w:rsidRPr="00785C2F">
        <w:rPr>
          <w:rFonts w:hint="eastAsia"/>
        </w:rPr>
        <w:t>条允许对恐怖主义嫌疑人进行</w:t>
      </w:r>
      <w:r w:rsidRPr="00785C2F">
        <w:rPr>
          <w:rFonts w:hint="eastAsia"/>
        </w:rPr>
        <w:t>240</w:t>
      </w:r>
      <w:r w:rsidRPr="00785C2F">
        <w:rPr>
          <w:rFonts w:hint="eastAsia"/>
        </w:rPr>
        <w:t>天的审前拘留，经地区法院首席治安法官批准可延长至</w:t>
      </w:r>
      <w:r w:rsidRPr="00785C2F">
        <w:rPr>
          <w:rFonts w:hint="eastAsia"/>
        </w:rPr>
        <w:t>290</w:t>
      </w:r>
      <w:r w:rsidRPr="00785C2F">
        <w:rPr>
          <w:rFonts w:hint="eastAsia"/>
        </w:rPr>
        <w:t>天，从而导致拘留时间延长。委员会还对第</w:t>
      </w:r>
      <w:r w:rsidRPr="00785C2F">
        <w:rPr>
          <w:rFonts w:hint="eastAsia"/>
        </w:rPr>
        <w:t>43</w:t>
      </w:r>
      <w:r w:rsidRPr="00785C2F">
        <w:rPr>
          <w:rFonts w:hint="eastAsia"/>
        </w:rPr>
        <w:t>条表示关切，该条规定，印度尼西亚国家军队的任务是“打击恐怖主义行为”，委员会还对过度使用武力以及缺乏防止种族定性和出于种族动机过度使用武力的充分保障表示关切</w:t>
      </w:r>
      <w:r w:rsidR="00785C2F" w:rsidRPr="00785C2F">
        <w:rPr>
          <w:rFonts w:hint="eastAsia"/>
        </w:rPr>
        <w:t>(</w:t>
      </w:r>
      <w:r w:rsidRPr="00785C2F">
        <w:rPr>
          <w:rFonts w:hint="eastAsia"/>
        </w:rPr>
        <w:t>第二、第四、第七、第九和第十四条</w:t>
      </w:r>
      <w:r w:rsidR="00785C2F" w:rsidRPr="00785C2F">
        <w:rPr>
          <w:rFonts w:hint="eastAsia"/>
        </w:rPr>
        <w:t>)</w:t>
      </w:r>
      <w:r w:rsidRPr="00785C2F">
        <w:rPr>
          <w:rFonts w:hint="eastAsia"/>
        </w:rPr>
        <w:t>。</w:t>
      </w:r>
    </w:p>
    <w:p w14:paraId="361A39A5"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13.</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w:t>
      </w:r>
    </w:p>
    <w:p w14:paraId="272231EE" w14:textId="2A8B5CBD"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确保根据《公约》第九条和人权事务委员会关于人身自由和安全的第</w:t>
      </w:r>
      <w:r w:rsidRPr="00785C2F">
        <w:rPr>
          <w:rFonts w:asciiTheme="majorBidi" w:eastAsia="SimHei" w:hAnsiTheme="majorBidi" w:cstheme="majorBidi" w:hint="eastAsia"/>
        </w:rPr>
        <w:t>35</w:t>
      </w:r>
      <w:r w:rsidRPr="00785C2F">
        <w:rPr>
          <w:rFonts w:asciiTheme="majorBidi" w:eastAsia="SimHei" w:hAnsiTheme="majorBidi" w:cstheme="majorBidi" w:hint="eastAsia"/>
        </w:rPr>
        <w:t>号一般性意见</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2014</w:t>
      </w:r>
      <w:r w:rsidRPr="00785C2F">
        <w:rPr>
          <w:rFonts w:asciiTheme="majorBidi" w:eastAsia="SimHei" w:hAnsiTheme="majorBidi" w:cstheme="majorBidi" w:hint="eastAsia"/>
        </w:rPr>
        <w:t>年</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，在法律上和实践中向涉嫌或被控实施恐怖主义行为或相关恐怖主义罪行的人员提供一切适当的法律保障，包括获知被指控的罪名、在</w:t>
      </w:r>
      <w:r w:rsidRPr="00785C2F">
        <w:rPr>
          <w:rFonts w:asciiTheme="majorBidi" w:eastAsia="SimHei" w:hAnsiTheme="majorBidi" w:cstheme="majorBidi" w:hint="eastAsia"/>
        </w:rPr>
        <w:t>48</w:t>
      </w:r>
      <w:r w:rsidRPr="00785C2F">
        <w:rPr>
          <w:rFonts w:asciiTheme="majorBidi" w:eastAsia="SimHei" w:hAnsiTheme="majorBidi" w:cstheme="majorBidi" w:hint="eastAsia"/>
        </w:rPr>
        <w:t>小时之内解送法官和获得律师援助的权利；</w:t>
      </w:r>
    </w:p>
    <w:p w14:paraId="65E2453C" w14:textId="0450340A"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确保对涉嫌或被控犯有恐怖主义行为的个人的隐私权的任何限制，例如窃听，都要接受司法审查和有效、定期的独立监督，同时保证在出现滥用权力的情况时能够获得有效补救；</w:t>
      </w:r>
    </w:p>
    <w:p w14:paraId="3486FD78" w14:textId="6D933C96"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保证反恐怖主义法律不被用于限制行使和平集会权，包括限制律师、记者、政治反对派和人权维护者的权利；</w:t>
      </w:r>
    </w:p>
    <w:p w14:paraId="39B6A2EF" w14:textId="394C8096"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采取有效措施，打击种族定性和出于种族动机过度使用武力的行为，包括明文禁止这种做法并为执法官员和安全部队制定指导方针，促进相关机构内的族裔多样性，并确保种族定性的受害者能够根据《公约》获得有效补救。</w:t>
      </w:r>
    </w:p>
    <w:p w14:paraId="2E958976"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歧视</w:t>
      </w:r>
    </w:p>
    <w:p w14:paraId="39C73727" w14:textId="2C8D3756" w:rsidR="00B547D6" w:rsidRPr="00785C2F" w:rsidRDefault="00B547D6" w:rsidP="00B547D6">
      <w:pPr>
        <w:pStyle w:val="SingleTxt"/>
      </w:pPr>
      <w:r w:rsidRPr="00785C2F">
        <w:rPr>
          <w:rFonts w:hint="eastAsia"/>
        </w:rPr>
        <w:t>14.</w:t>
      </w:r>
      <w:r w:rsidRPr="00785C2F">
        <w:rPr>
          <w:rFonts w:hint="eastAsia"/>
        </w:rPr>
        <w:tab/>
      </w:r>
      <w:r w:rsidRPr="00785C2F">
        <w:rPr>
          <w:rFonts w:hint="eastAsia"/>
        </w:rPr>
        <w:t>委员会感到关切的是，缔约国没有一项全面的涵盖《公约》之下所有歧视理由的反歧视法，基于种族、族裔、宗教、残疾、性取向、性别认同和艾滋病毒感染状况的歧视仍然普遍存在。委员会感到遗憾的是，缺少资料说明禁止歧视的法律或政策以及国家人权委员会和法院收到的歧视申诉的性质、状态和结果</w:t>
      </w:r>
      <w:r w:rsidR="00785C2F" w:rsidRPr="00785C2F">
        <w:rPr>
          <w:rFonts w:hint="eastAsia"/>
        </w:rPr>
        <w:t>(</w:t>
      </w:r>
      <w:r w:rsidRPr="00785C2F">
        <w:rPr>
          <w:rFonts w:hint="eastAsia"/>
        </w:rPr>
        <w:t>第二、第十九、第二十和第二十六条</w:t>
      </w:r>
      <w:r w:rsidR="00785C2F" w:rsidRPr="00785C2F">
        <w:rPr>
          <w:rFonts w:hint="eastAsia"/>
        </w:rPr>
        <w:t>)</w:t>
      </w:r>
      <w:r w:rsidRPr="00785C2F">
        <w:rPr>
          <w:rFonts w:hint="eastAsia"/>
        </w:rPr>
        <w:t>。</w:t>
      </w:r>
    </w:p>
    <w:p w14:paraId="2A9BB15B"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15.</w:t>
      </w:r>
      <w:r w:rsidRPr="00785C2F">
        <w:rPr>
          <w:rFonts w:asciiTheme="majorBidi" w:eastAsia="SimHei" w:hAnsiTheme="majorBidi" w:cstheme="majorBidi" w:hint="eastAsia"/>
        </w:rPr>
        <w:tab/>
      </w:r>
      <w:r w:rsidRPr="00785C2F">
        <w:rPr>
          <w:rFonts w:asciiTheme="majorBidi" w:eastAsia="SimHei" w:hAnsiTheme="majorBidi" w:cstheme="majorBidi" w:hint="eastAsia"/>
        </w:rPr>
        <w:t>委员会建议缔约国，通过与利益攸关方进行有效、有意义和参与式的磋商出台全面的反歧视立法，加强对关于基于种族、族裔、年龄、国籍、宗教、残疾、性取向、性别认同和艾滋病毒感染状况等理由的歧视的申诉的监测和报告，并保证调查申诉、起诉和审判，予以适当惩处并为受害者提供有效补救。</w:t>
      </w:r>
    </w:p>
    <w:p w14:paraId="31EFAFE6"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性别平等</w:t>
      </w:r>
    </w:p>
    <w:p w14:paraId="533BDB1A" w14:textId="43FF17BD" w:rsidR="00785C2F" w:rsidRDefault="00B547D6" w:rsidP="00B547D6">
      <w:pPr>
        <w:pStyle w:val="SingleTxt"/>
      </w:pPr>
      <w:r w:rsidRPr="00785C2F">
        <w:rPr>
          <w:rFonts w:hint="eastAsia"/>
        </w:rPr>
        <w:t>16.</w:t>
      </w:r>
      <w:r w:rsidRPr="00785C2F">
        <w:rPr>
          <w:rFonts w:hint="eastAsia"/>
        </w:rPr>
        <w:tab/>
      </w:r>
      <w:r w:rsidRPr="00785C2F">
        <w:rPr>
          <w:rFonts w:hint="eastAsia"/>
        </w:rPr>
        <w:t>委员会注意到初等和中等教育中入学的妇女和女童人数有所增加，但感到关切的是，在政治和公共生活中以及在私营部门中，妇女在高级和决策职位中缺少代表性和参与度。委员会仍然感到关切的是，地方法律和细则仍然存在歧视，特别是基于性别、性取向、性别认同和宗教的歧视，包括强制性罩袍规定</w:t>
      </w:r>
      <w:r w:rsidR="00785C2F" w:rsidRPr="00785C2F">
        <w:rPr>
          <w:rFonts w:hint="eastAsia"/>
        </w:rPr>
        <w:t>(</w:t>
      </w:r>
      <w:r w:rsidRPr="00785C2F">
        <w:rPr>
          <w:rFonts w:hint="eastAsia"/>
        </w:rPr>
        <w:t>第三、第二十五和第二十六条</w:t>
      </w:r>
      <w:r w:rsidR="00785C2F" w:rsidRPr="00785C2F">
        <w:rPr>
          <w:rFonts w:hint="eastAsia"/>
        </w:rPr>
        <w:t>)</w:t>
      </w:r>
      <w:r w:rsidRPr="00785C2F">
        <w:rPr>
          <w:rFonts w:hint="eastAsia"/>
        </w:rPr>
        <w:t>。</w:t>
      </w:r>
    </w:p>
    <w:p w14:paraId="2C3E809B" w14:textId="77777777" w:rsidR="00785C2F" w:rsidRDefault="00785C2F">
      <w:pPr>
        <w:spacing w:after="160" w:line="259" w:lineRule="auto"/>
        <w:jc w:val="left"/>
      </w:pPr>
      <w:r>
        <w:br w:type="page"/>
      </w:r>
    </w:p>
    <w:p w14:paraId="3A515866"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17.</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w:t>
      </w:r>
    </w:p>
    <w:p w14:paraId="5DB926BB" w14:textId="1F764829"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加强努力，增加妇女社会所有领域中，包括在各级政府的代表性，特别是在决策职位、司法机构和私营部门；</w:t>
      </w:r>
    </w:p>
    <w:p w14:paraId="230FC06F" w14:textId="7E37B51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修订或废除歧视妇女和女童的法律规定，包括地方法律和细则，并采取更有力的措施，保障法律上和事实上的男女平等；</w:t>
      </w:r>
    </w:p>
    <w:p w14:paraId="2E561667" w14:textId="27403CDE"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立即采取步骤，包括面向法官、检察官和律师开展培训方案，以消除性别偏见和刻板印象，并确保适用歧视性的地方法律和细则的法院使其规范、程序和做法符合《公约》第三条。</w:t>
      </w:r>
    </w:p>
    <w:p w14:paraId="37A62A1C"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暴力侵害妇女行为</w:t>
      </w:r>
    </w:p>
    <w:p w14:paraId="7CAA52F4" w14:textId="55182EB1" w:rsidR="00B547D6" w:rsidRPr="00785C2F" w:rsidRDefault="00B547D6" w:rsidP="00B547D6">
      <w:pPr>
        <w:pStyle w:val="SingleTxt"/>
      </w:pPr>
      <w:r w:rsidRPr="00785C2F">
        <w:rPr>
          <w:rFonts w:hint="eastAsia"/>
        </w:rPr>
        <w:t>18.</w:t>
      </w:r>
      <w:r w:rsidRPr="00785C2F">
        <w:rPr>
          <w:rFonts w:hint="eastAsia"/>
        </w:rPr>
        <w:tab/>
      </w:r>
      <w:r w:rsidRPr="00785C2F">
        <w:rPr>
          <w:rFonts w:hint="eastAsia"/>
        </w:rPr>
        <w:t>委员会注意到缔约国为防止和打击暴力侵害妇女行为而采取的措施，包括建立了一个监测和报告相关统计数据的在线平台。委员会仍然关切的是，常有关于暴力侵害妇女行为，包括家庭暴力、性暴力和杀害妇女的报告。委员会深为关切的是，有报告称，有社会心理残疾的妇女和女童遭受了任意拘留和强迫绝育</w:t>
      </w:r>
      <w:r w:rsidR="00785C2F" w:rsidRPr="00785C2F">
        <w:rPr>
          <w:rFonts w:hint="eastAsia"/>
        </w:rPr>
        <w:t>(</w:t>
      </w:r>
      <w:r w:rsidRPr="00785C2F">
        <w:rPr>
          <w:rFonts w:hint="eastAsia"/>
        </w:rPr>
        <w:t>第二、第三、第六、第七和第二十六条</w:t>
      </w:r>
      <w:r w:rsidR="00785C2F" w:rsidRPr="00785C2F">
        <w:rPr>
          <w:rFonts w:hint="eastAsia"/>
        </w:rPr>
        <w:t>)</w:t>
      </w:r>
      <w:r w:rsidRPr="00785C2F">
        <w:rPr>
          <w:rFonts w:hint="eastAsia"/>
        </w:rPr>
        <w:t>。</w:t>
      </w:r>
    </w:p>
    <w:p w14:paraId="2D3D523A"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19.</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w:t>
      </w:r>
    </w:p>
    <w:p w14:paraId="24885104" w14:textId="506668A6"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采取全面的方法以防止和处理一切形式和表现的暴力侵害妇女行为，包括家庭暴力，包括提高对这种暴力的有害影响的认识，并消除关于妇女在家庭和社会中的作用的刻板印象；</w:t>
      </w:r>
    </w:p>
    <w:p w14:paraId="1C98C70B" w14:textId="66A09F72"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鼓励报告暴力侵害妇女案件，包括确保所有妇女都能利用多种举报形式并获得关于自身权利和获得补救的信息；</w:t>
      </w:r>
    </w:p>
    <w:p w14:paraId="2C18BA81" w14:textId="32D6036E"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调查所有关于暴力侵害妇女行为的指控，起诉被判定有罪者，对施害者按罪论处，并向受害者及其家人提供有效补救；</w:t>
      </w:r>
    </w:p>
    <w:p w14:paraId="4BB7A19B" w14:textId="75BC7122"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为公职人员，包括法官、律师、检察官和执法人员提供关于处理暴力侵害妇女，包括侵害穆斯林妇女、少数民族妇女、女同性恋和双性恋妇女、跨性别者或非二元性别者以及有心理社会残疾的妇女的案件的有效培训。</w:t>
      </w:r>
    </w:p>
    <w:p w14:paraId="5EBFA0BB"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自愿终止妊娠及性健康和生殖健康</w:t>
      </w:r>
    </w:p>
    <w:p w14:paraId="78861593" w14:textId="601FBF7F" w:rsidR="00B547D6" w:rsidRPr="00785C2F" w:rsidRDefault="00B547D6" w:rsidP="00B547D6">
      <w:pPr>
        <w:pStyle w:val="SingleTxt"/>
      </w:pPr>
      <w:r w:rsidRPr="00785C2F">
        <w:rPr>
          <w:rFonts w:hint="eastAsia"/>
        </w:rPr>
        <w:t>20.</w:t>
      </w:r>
      <w:r w:rsidRPr="00785C2F">
        <w:rPr>
          <w:rFonts w:hint="eastAsia"/>
        </w:rPr>
        <w:tab/>
      </w:r>
      <w:r w:rsidRPr="00785C2F">
        <w:rPr>
          <w:rFonts w:hint="eastAsia"/>
        </w:rPr>
        <w:t>委员会深为关切的是，经修订的《刑法》规定，“任何向妇女提供药物或要求妇女使用药物”以实施人工流产的人</w:t>
      </w:r>
      <w:r w:rsidR="00785C2F" w:rsidRPr="00785C2F">
        <w:rPr>
          <w:rFonts w:hint="eastAsia"/>
        </w:rPr>
        <w:t>(</w:t>
      </w:r>
      <w:r w:rsidRPr="00785C2F">
        <w:rPr>
          <w:rFonts w:hint="eastAsia"/>
        </w:rPr>
        <w:t>第</w:t>
      </w:r>
      <w:r w:rsidRPr="00785C2F">
        <w:rPr>
          <w:rFonts w:hint="eastAsia"/>
        </w:rPr>
        <w:t>251</w:t>
      </w:r>
      <w:r w:rsidRPr="00785C2F">
        <w:rPr>
          <w:rFonts w:hint="eastAsia"/>
        </w:rPr>
        <w:t>条</w:t>
      </w:r>
      <w:r w:rsidR="00785C2F" w:rsidRPr="00785C2F">
        <w:rPr>
          <w:rFonts w:hint="eastAsia"/>
        </w:rPr>
        <w:t>)</w:t>
      </w:r>
      <w:r w:rsidRPr="00785C2F">
        <w:rPr>
          <w:rFonts w:hint="eastAsia"/>
        </w:rPr>
        <w:t>、“任何实施人工流产的人”</w:t>
      </w:r>
      <w:r w:rsidR="00785C2F" w:rsidRPr="00785C2F">
        <w:rPr>
          <w:rFonts w:hint="eastAsia"/>
        </w:rPr>
        <w:t>(</w:t>
      </w:r>
      <w:r w:rsidRPr="00785C2F">
        <w:rPr>
          <w:rFonts w:hint="eastAsia"/>
        </w:rPr>
        <w:t>第</w:t>
      </w:r>
      <w:r w:rsidRPr="00785C2F">
        <w:rPr>
          <w:rFonts w:hint="eastAsia"/>
        </w:rPr>
        <w:t>464</w:t>
      </w:r>
      <w:r w:rsidRPr="00785C2F">
        <w:rPr>
          <w:rFonts w:hint="eastAsia"/>
        </w:rPr>
        <w:t>条</w:t>
      </w:r>
      <w:r w:rsidR="00785C2F" w:rsidRPr="00785C2F">
        <w:rPr>
          <w:rFonts w:hint="eastAsia"/>
        </w:rPr>
        <w:t>)</w:t>
      </w:r>
      <w:r w:rsidRPr="00785C2F">
        <w:rPr>
          <w:rFonts w:hint="eastAsia"/>
        </w:rPr>
        <w:t>以及任何使用人工流产的妇女可判处监禁，但医疗紧急情况和强奸或其他性暴力犯罪的受害者妊娠满</w:t>
      </w:r>
      <w:r w:rsidRPr="00785C2F">
        <w:rPr>
          <w:rFonts w:hint="eastAsia"/>
        </w:rPr>
        <w:t>14</w:t>
      </w:r>
      <w:r w:rsidRPr="00785C2F">
        <w:rPr>
          <w:rFonts w:hint="eastAsia"/>
        </w:rPr>
        <w:t>周的除外</w:t>
      </w:r>
      <w:r w:rsidR="00785C2F" w:rsidRPr="00785C2F">
        <w:rPr>
          <w:rFonts w:hint="eastAsia"/>
        </w:rPr>
        <w:t>(</w:t>
      </w:r>
      <w:r w:rsidRPr="00785C2F">
        <w:rPr>
          <w:rFonts w:hint="eastAsia"/>
        </w:rPr>
        <w:t>第</w:t>
      </w:r>
      <w:r w:rsidRPr="00785C2F">
        <w:rPr>
          <w:rFonts w:hint="eastAsia"/>
        </w:rPr>
        <w:t>463</w:t>
      </w:r>
      <w:r w:rsidRPr="00785C2F">
        <w:rPr>
          <w:rFonts w:hint="eastAsia"/>
        </w:rPr>
        <w:t>条</w:t>
      </w:r>
      <w:r w:rsidR="00785C2F" w:rsidRPr="00785C2F">
        <w:rPr>
          <w:rFonts w:hint="eastAsia"/>
        </w:rPr>
        <w:t>)</w:t>
      </w:r>
      <w:r w:rsidRPr="00785C2F">
        <w:rPr>
          <w:rFonts w:hint="eastAsia"/>
        </w:rPr>
        <w:t>，这些规定没有考虑到限制寻求人工流产的妇女和女童的权利所产生的影响，包括对她们的生命权的影响。委员会还感到关切的是，妇女在获得安全人工流产方面面临障碍，即使在法律允许的情况下也是如此</w:t>
      </w:r>
      <w:r w:rsidR="00785C2F" w:rsidRPr="00785C2F">
        <w:rPr>
          <w:rFonts w:hint="eastAsia"/>
        </w:rPr>
        <w:t>(</w:t>
      </w:r>
      <w:r w:rsidRPr="00785C2F">
        <w:rPr>
          <w:rFonts w:hint="eastAsia"/>
        </w:rPr>
        <w:t>第六、第七和第八条</w:t>
      </w:r>
      <w:r w:rsidR="00785C2F" w:rsidRPr="00785C2F">
        <w:rPr>
          <w:rFonts w:hint="eastAsia"/>
        </w:rPr>
        <w:t>)</w:t>
      </w:r>
      <w:r w:rsidRPr="00785C2F">
        <w:rPr>
          <w:rFonts w:hint="eastAsia"/>
        </w:rPr>
        <w:t>。</w:t>
      </w:r>
    </w:p>
    <w:p w14:paraId="4AF69AF8" w14:textId="1D2824F5"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21.</w:t>
      </w:r>
      <w:r w:rsidRPr="00785C2F">
        <w:rPr>
          <w:rFonts w:asciiTheme="majorBidi" w:eastAsia="SimHei" w:hAnsiTheme="majorBidi" w:cstheme="majorBidi" w:hint="eastAsia"/>
        </w:rPr>
        <w:tab/>
      </w:r>
      <w:r w:rsidRPr="00785C2F">
        <w:rPr>
          <w:rFonts w:asciiTheme="majorBidi" w:eastAsia="SimHei" w:hAnsiTheme="majorBidi" w:cstheme="majorBidi" w:hint="eastAsia"/>
        </w:rPr>
        <w:t>根据委员会关于生命权的第</w:t>
      </w:r>
      <w:r w:rsidRPr="00785C2F">
        <w:rPr>
          <w:rFonts w:asciiTheme="majorBidi" w:eastAsia="SimHei" w:hAnsiTheme="majorBidi" w:cstheme="majorBidi" w:hint="eastAsia"/>
        </w:rPr>
        <w:t>36</w:t>
      </w:r>
      <w:r w:rsidRPr="00785C2F">
        <w:rPr>
          <w:rFonts w:asciiTheme="majorBidi" w:eastAsia="SimHei" w:hAnsiTheme="majorBidi" w:cstheme="majorBidi" w:hint="eastAsia"/>
        </w:rPr>
        <w:t>号一般性意见</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2018</w:t>
      </w:r>
      <w:r w:rsidRPr="00785C2F">
        <w:rPr>
          <w:rFonts w:asciiTheme="majorBidi" w:eastAsia="SimHei" w:hAnsiTheme="majorBidi" w:cstheme="majorBidi" w:hint="eastAsia"/>
        </w:rPr>
        <w:t>年</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，缔约国应采取一切必要措施，确保对人工流产的监管方式不违背缔约国确保妇女和女童不必接受不安全人工流产的义务。具体而言，缔约国应：</w:t>
      </w:r>
    </w:p>
    <w:p w14:paraId="71A3EB97" w14:textId="728DEBEA"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终止将人工流产定为刑事犯罪的做法，包括</w:t>
      </w:r>
      <w:proofErr w:type="gramStart"/>
      <w:r w:rsidRPr="00785C2F">
        <w:rPr>
          <w:rFonts w:asciiTheme="majorBidi" w:eastAsia="SimHei" w:hAnsiTheme="majorBidi" w:cstheme="majorBidi" w:hint="eastAsia"/>
        </w:rPr>
        <w:t>废除让</w:t>
      </w:r>
      <w:proofErr w:type="gramEnd"/>
      <w:r w:rsidRPr="00785C2F">
        <w:rPr>
          <w:rFonts w:asciiTheme="majorBidi" w:eastAsia="SimHei" w:hAnsiTheme="majorBidi" w:cstheme="majorBidi" w:hint="eastAsia"/>
        </w:rPr>
        <w:t>使用人工流产的妇女和女童、协助妇女和女童使用人工流产的保健服务提供者以及协助妇女和女童获得人工流产的人可能受到刑事惩处的法律，并出台符合世界卫生组织</w:t>
      </w:r>
      <w:r w:rsidR="00785C2F" w:rsidRPr="00785C2F">
        <w:rPr>
          <w:rFonts w:asciiTheme="majorBidi" w:eastAsia="SimHei" w:hAnsiTheme="majorBidi" w:cstheme="majorBidi" w:hint="eastAsia"/>
        </w:rPr>
        <w:t>(</w:t>
      </w:r>
      <w:proofErr w:type="gramStart"/>
      <w:r w:rsidRPr="00785C2F">
        <w:rPr>
          <w:rFonts w:asciiTheme="majorBidi" w:eastAsia="SimHei" w:hAnsiTheme="majorBidi" w:cstheme="majorBidi" w:hint="eastAsia"/>
        </w:rPr>
        <w:t>世</w:t>
      </w:r>
      <w:proofErr w:type="gramEnd"/>
      <w:r w:rsidRPr="00785C2F">
        <w:rPr>
          <w:rFonts w:asciiTheme="majorBidi" w:eastAsia="SimHei" w:hAnsiTheme="majorBidi" w:cstheme="majorBidi" w:hint="eastAsia"/>
        </w:rPr>
        <w:t>卫组织</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发布的流产护理指南</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2022</w:t>
      </w:r>
      <w:r w:rsidRPr="00785C2F">
        <w:rPr>
          <w:rFonts w:asciiTheme="majorBidi" w:eastAsia="SimHei" w:hAnsiTheme="majorBidi" w:cstheme="majorBidi" w:hint="eastAsia"/>
        </w:rPr>
        <w:t>年</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的法律框架；</w:t>
      </w:r>
    </w:p>
    <w:p w14:paraId="3891F558" w14:textId="2BAFD159"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面向妇女、男性和青少年加强提高公众对性健康和生殖健康以及预防意外怀孕的认识，同时消除对使用人工流产的妇女的污名化，并确保获得适当和负担得起的避孕药具；</w:t>
      </w:r>
    </w:p>
    <w:p w14:paraId="527E039D" w14:textId="5D3D731E"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在没有歧视、暴力和胁迫的情况下，让全国的妇女和女童能够获得合法、有效、安全、不受阻碍和保密的人工流产，包括产前和流产后保健，不要在性健康和生殖健康服务方面设置新的障碍。</w:t>
      </w:r>
    </w:p>
    <w:p w14:paraId="475D8549"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气候变化、环境退化和生命权</w:t>
      </w:r>
    </w:p>
    <w:p w14:paraId="69CF26E5" w14:textId="0ED67A87" w:rsidR="00B547D6" w:rsidRPr="00785C2F" w:rsidRDefault="00B547D6" w:rsidP="00B547D6">
      <w:pPr>
        <w:pStyle w:val="SingleTxt"/>
      </w:pPr>
      <w:r w:rsidRPr="00785C2F">
        <w:rPr>
          <w:rFonts w:hint="eastAsia"/>
        </w:rPr>
        <w:t>22.</w:t>
      </w:r>
      <w:r w:rsidRPr="00785C2F">
        <w:rPr>
          <w:rFonts w:hint="eastAsia"/>
        </w:rPr>
        <w:tab/>
      </w:r>
      <w:r w:rsidRPr="00785C2F">
        <w:rPr>
          <w:rFonts w:hint="eastAsia"/>
        </w:rPr>
        <w:t>委员会注意到，暂停森林特许权的期限于</w:t>
      </w:r>
      <w:r w:rsidRPr="00785C2F">
        <w:rPr>
          <w:rFonts w:hint="eastAsia"/>
        </w:rPr>
        <w:t>2019</w:t>
      </w:r>
      <w:r w:rsidRPr="00785C2F">
        <w:rPr>
          <w:rFonts w:hint="eastAsia"/>
        </w:rPr>
        <w:t>年得到了延长，并注意到，缔约国通过了关于确定次国家</w:t>
      </w:r>
      <w:r w:rsidR="00785C2F" w:rsidRPr="00785C2F">
        <w:rPr>
          <w:rFonts w:hint="eastAsia"/>
        </w:rPr>
        <w:t>(</w:t>
      </w:r>
      <w:r w:rsidRPr="00785C2F">
        <w:rPr>
          <w:rFonts w:hint="eastAsia"/>
        </w:rPr>
        <w:t>省</w:t>
      </w:r>
      <w:r w:rsidR="00785C2F" w:rsidRPr="00785C2F">
        <w:rPr>
          <w:rFonts w:hint="eastAsia"/>
        </w:rPr>
        <w:t>)</w:t>
      </w:r>
      <w:r w:rsidRPr="00785C2F">
        <w:rPr>
          <w:rFonts w:hint="eastAsia"/>
        </w:rPr>
        <w:t>级森林参考排放水平的第</w:t>
      </w:r>
      <w:r w:rsidRPr="00785C2F">
        <w:rPr>
          <w:rFonts w:hint="eastAsia"/>
        </w:rPr>
        <w:t>8/2019</w:t>
      </w:r>
      <w:r w:rsidRPr="00785C2F">
        <w:rPr>
          <w:rFonts w:hint="eastAsia"/>
        </w:rPr>
        <w:t>号法令、关于环境保护、组织和管理的第</w:t>
      </w:r>
      <w:r w:rsidRPr="00785C2F">
        <w:rPr>
          <w:rFonts w:hint="eastAsia"/>
        </w:rPr>
        <w:t>22/2021</w:t>
      </w:r>
      <w:r w:rsidRPr="00785C2F">
        <w:rPr>
          <w:rFonts w:hint="eastAsia"/>
        </w:rPr>
        <w:t>号条例，关于碳定价实施程序的第</w:t>
      </w:r>
      <w:r w:rsidRPr="00785C2F">
        <w:rPr>
          <w:rFonts w:hint="eastAsia"/>
        </w:rPr>
        <w:t>21/2022</w:t>
      </w:r>
      <w:r w:rsidRPr="00785C2F">
        <w:rPr>
          <w:rFonts w:hint="eastAsia"/>
        </w:rPr>
        <w:t>号条例，还注意到缔约国强化的国家自主贡献。委员会注意到，缔约国提供了“棱镜”卫星系统</w:t>
      </w:r>
      <w:r w:rsidR="00785C2F" w:rsidRPr="00785C2F">
        <w:rPr>
          <w:rFonts w:hint="eastAsia"/>
        </w:rPr>
        <w:t>(</w:t>
      </w:r>
      <w:r w:rsidRPr="00785C2F">
        <w:rPr>
          <w:rFonts w:hint="eastAsia"/>
        </w:rPr>
        <w:t>工商业与人权风险评估</w:t>
      </w:r>
      <w:r w:rsidR="00785C2F" w:rsidRPr="00785C2F">
        <w:rPr>
          <w:rFonts w:hint="eastAsia"/>
        </w:rPr>
        <w:t>)</w:t>
      </w:r>
      <w:r w:rsidRPr="00785C2F">
        <w:rPr>
          <w:rFonts w:hint="eastAsia"/>
        </w:rPr>
        <w:t>应用程序以协助工商业实体分析商业活动对人权构成的风险，但感到遗憾的是，缺少防止或禁止与发展项目和商业实体相关的侵权行为的措施。委员会感到遗憾的是，缔约国通过了《关于创造就业机会的第</w:t>
      </w:r>
      <w:r w:rsidRPr="00785C2F">
        <w:rPr>
          <w:rFonts w:hint="eastAsia"/>
        </w:rPr>
        <w:t>11/2020</w:t>
      </w:r>
      <w:r w:rsidRPr="00785C2F">
        <w:rPr>
          <w:rFonts w:hint="eastAsia"/>
        </w:rPr>
        <w:t>号综合法》，该法简化了环境评估要求，将环境许可纳入了商业许可证，并取消了严格赔偿责任的概念。委员会还感到遗憾的是，没有资料说明</w:t>
      </w:r>
      <w:r w:rsidRPr="00785C2F">
        <w:rPr>
          <w:rFonts w:hint="eastAsia"/>
        </w:rPr>
        <w:t>2022</w:t>
      </w:r>
      <w:r w:rsidRPr="00785C2F">
        <w:rPr>
          <w:rFonts w:hint="eastAsia"/>
        </w:rPr>
        <w:t>年由多名青年印度尼西亚人向国家人权委员会提交的申诉的状态，该申诉称，政府未能履行其减缓和适应气候变化的责任，以及缺少资料说明采取了哪些措施以保护巴布亚、莫卢加和中苏拉威西居民免遭气候变化相关灾害</w:t>
      </w:r>
      <w:r w:rsidR="00785C2F" w:rsidRPr="00785C2F">
        <w:rPr>
          <w:rFonts w:hint="eastAsia"/>
        </w:rPr>
        <w:t>(</w:t>
      </w:r>
      <w:r w:rsidRPr="00785C2F">
        <w:rPr>
          <w:rFonts w:hint="eastAsia"/>
        </w:rPr>
        <w:t>第六条</w:t>
      </w:r>
      <w:r w:rsidR="00785C2F" w:rsidRPr="00785C2F">
        <w:rPr>
          <w:rFonts w:hint="eastAsia"/>
        </w:rPr>
        <w:t>)</w:t>
      </w:r>
      <w:r w:rsidRPr="00785C2F">
        <w:rPr>
          <w:rFonts w:hint="eastAsia"/>
        </w:rPr>
        <w:t>。</w:t>
      </w:r>
    </w:p>
    <w:p w14:paraId="4B14162D" w14:textId="336437D5"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23.</w:t>
      </w:r>
      <w:r w:rsidRPr="00785C2F">
        <w:rPr>
          <w:rFonts w:asciiTheme="majorBidi" w:eastAsia="SimHei" w:hAnsiTheme="majorBidi" w:cstheme="majorBidi" w:hint="eastAsia"/>
        </w:rPr>
        <w:tab/>
      </w:r>
      <w:r w:rsidRPr="00785C2F">
        <w:rPr>
          <w:rFonts w:asciiTheme="majorBidi" w:eastAsia="SimHei" w:hAnsiTheme="majorBidi" w:cstheme="majorBidi" w:hint="eastAsia"/>
        </w:rPr>
        <w:t>根据第</w:t>
      </w:r>
      <w:r w:rsidRPr="00785C2F">
        <w:rPr>
          <w:rFonts w:asciiTheme="majorBidi" w:eastAsia="SimHei" w:hAnsiTheme="majorBidi" w:cstheme="majorBidi" w:hint="eastAsia"/>
        </w:rPr>
        <w:t>36</w:t>
      </w:r>
      <w:r w:rsidRPr="00785C2F">
        <w:rPr>
          <w:rFonts w:asciiTheme="majorBidi" w:eastAsia="SimHei" w:hAnsiTheme="majorBidi" w:cstheme="majorBidi" w:hint="eastAsia"/>
        </w:rPr>
        <w:t>号一般性意见</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2018</w:t>
      </w:r>
      <w:r w:rsidRPr="00785C2F">
        <w:rPr>
          <w:rFonts w:asciiTheme="majorBidi" w:eastAsia="SimHei" w:hAnsiTheme="majorBidi" w:cstheme="majorBidi" w:hint="eastAsia"/>
        </w:rPr>
        <w:t>年</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，缔约国应：</w:t>
      </w:r>
    </w:p>
    <w:p w14:paraId="5CA3A745" w14:textId="7F0C1412"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加强努力，发展确保土地和自然资源可持续利用的机制和制度，制定并执行环境标准以减少空气和水污染及森林和泥炭地所受破坏，提供环境危害信息的适当获取渠道，并采取预防性办法保护缔约国境内的人民，特别是最弱势群体，包括边远社区和土著人民，免受气候变化和自然灾害的不利影响。</w:t>
      </w:r>
    </w:p>
    <w:p w14:paraId="0D54E3A0" w14:textId="5DB36FBC"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加强为监测和报告可能的侵权行为，特别是侵犯生命权、自由处置自己的土地、自然财富和资源的权利以及文化权利，包括涉及祖传土地和埋葬习俗的权利的行为而建立的机制；</w:t>
      </w:r>
    </w:p>
    <w:p w14:paraId="0CAD37A3" w14:textId="6D2AF471"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确保在自然资源开采项目中进行独立的人权影响和环境影响评估，并以透明且全面的方式提供相关信息，说明这些项目对享有人权的影响；</w:t>
      </w:r>
    </w:p>
    <w:p w14:paraId="6C3C18C4" w14:textId="5ED25BD8"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确保所有影响可持续发展和气候变化复原力的项目的制定都有公众，特别是土著人民和受影响社区有意义和知情的参与。</w:t>
      </w:r>
    </w:p>
    <w:p w14:paraId="588F0C04"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死刑</w:t>
      </w:r>
    </w:p>
    <w:p w14:paraId="02CCD631" w14:textId="150D9D5A" w:rsidR="00B547D6" w:rsidRPr="00785C2F" w:rsidRDefault="00B547D6" w:rsidP="00B547D6">
      <w:pPr>
        <w:pStyle w:val="SingleTxt"/>
      </w:pPr>
      <w:r w:rsidRPr="00785C2F">
        <w:rPr>
          <w:rFonts w:hint="eastAsia"/>
        </w:rPr>
        <w:t>24.</w:t>
      </w:r>
      <w:r w:rsidRPr="00785C2F">
        <w:rPr>
          <w:rFonts w:hint="eastAsia"/>
        </w:rPr>
        <w:tab/>
      </w:r>
      <w:r w:rsidRPr="00785C2F">
        <w:rPr>
          <w:rFonts w:hint="eastAsia"/>
        </w:rPr>
        <w:t>委员会注意到，缔约国在事实上暂停执行死刑。委员会还注意到，经修订的《刑法》第</w:t>
      </w:r>
      <w:r w:rsidRPr="00785C2F">
        <w:rPr>
          <w:rFonts w:hint="eastAsia"/>
        </w:rPr>
        <w:t>98</w:t>
      </w:r>
      <w:r w:rsidRPr="00785C2F">
        <w:rPr>
          <w:rFonts w:hint="eastAsia"/>
        </w:rPr>
        <w:t>条明文规定，</w:t>
      </w:r>
      <w:r w:rsidR="00E72BE8">
        <w:rPr>
          <w:rFonts w:hint="eastAsia"/>
        </w:rPr>
        <w:t>“</w:t>
      </w:r>
      <w:r w:rsidRPr="00785C2F">
        <w:rPr>
          <w:rFonts w:hint="eastAsia"/>
        </w:rPr>
        <w:t>死刑是作为最后手段而实施的替代选择</w:t>
      </w:r>
      <w:r w:rsidR="00E72BE8">
        <w:rPr>
          <w:rFonts w:hint="eastAsia"/>
        </w:rPr>
        <w:t>”</w:t>
      </w:r>
      <w:r w:rsidRPr="00785C2F">
        <w:rPr>
          <w:rFonts w:hint="eastAsia"/>
        </w:rPr>
        <w:t>，第</w:t>
      </w:r>
      <w:r w:rsidRPr="00785C2F">
        <w:rPr>
          <w:rFonts w:hint="eastAsia"/>
        </w:rPr>
        <w:t>100</w:t>
      </w:r>
      <w:r w:rsidRPr="00785C2F">
        <w:rPr>
          <w:rFonts w:hint="eastAsia"/>
        </w:rPr>
        <w:t>条则规定，经最高法院审议后，可通过总统令予以减刑。然而委员会严重关切的是，经修订的《刑法》第</w:t>
      </w:r>
      <w:r w:rsidRPr="00785C2F">
        <w:rPr>
          <w:rFonts w:hint="eastAsia"/>
        </w:rPr>
        <w:t>610</w:t>
      </w:r>
      <w:r w:rsidRPr="00785C2F">
        <w:rPr>
          <w:rFonts w:hint="eastAsia"/>
        </w:rPr>
        <w:t>条对非法生产、进口、出口或分销麻醉品的罪行适用死刑，这不符合《公约》第六条第二款和第</w:t>
      </w:r>
      <w:r w:rsidRPr="00785C2F">
        <w:rPr>
          <w:rFonts w:hint="eastAsia"/>
        </w:rPr>
        <w:t>36</w:t>
      </w:r>
      <w:r w:rsidRPr="00785C2F">
        <w:rPr>
          <w:rFonts w:hint="eastAsia"/>
        </w:rPr>
        <w:t>号一般性意见</w:t>
      </w:r>
      <w:r w:rsidR="00785C2F" w:rsidRPr="00785C2F">
        <w:rPr>
          <w:rFonts w:hint="eastAsia"/>
        </w:rPr>
        <w:t>(</w:t>
      </w:r>
      <w:r w:rsidRPr="00785C2F">
        <w:rPr>
          <w:rFonts w:hint="eastAsia"/>
        </w:rPr>
        <w:t>2018</w:t>
      </w:r>
      <w:r w:rsidRPr="00785C2F">
        <w:rPr>
          <w:rFonts w:hint="eastAsia"/>
        </w:rPr>
        <w:t>年</w:t>
      </w:r>
      <w:r w:rsidR="00785C2F" w:rsidRPr="00785C2F">
        <w:rPr>
          <w:rFonts w:hint="eastAsia"/>
        </w:rPr>
        <w:t>)</w:t>
      </w:r>
      <w:r w:rsidRPr="00785C2F">
        <w:rPr>
          <w:rFonts w:hint="eastAsia"/>
        </w:rPr>
        <w:t>所指涉及故意杀人的</w:t>
      </w:r>
      <w:r w:rsidR="00785C2F">
        <w:rPr>
          <w:rFonts w:hint="eastAsia"/>
        </w:rPr>
        <w:t>“</w:t>
      </w:r>
      <w:r w:rsidRPr="00785C2F">
        <w:rPr>
          <w:rFonts w:hint="eastAsia"/>
        </w:rPr>
        <w:t>情节最重大之罪</w:t>
      </w:r>
      <w:r w:rsidR="00785C2F">
        <w:rPr>
          <w:rFonts w:hint="eastAsia"/>
        </w:rPr>
        <w:t>”</w:t>
      </w:r>
      <w:r w:rsidRPr="00785C2F">
        <w:rPr>
          <w:rFonts w:hint="eastAsia"/>
        </w:rPr>
        <w:t>的门槛。委员会还特别关切的是，第</w:t>
      </w:r>
      <w:r w:rsidRPr="00785C2F">
        <w:rPr>
          <w:rFonts w:hint="eastAsia"/>
        </w:rPr>
        <w:t>100</w:t>
      </w:r>
      <w:r w:rsidRPr="00785C2F">
        <w:rPr>
          <w:rFonts w:hint="eastAsia"/>
        </w:rPr>
        <w:t>条规定，如果当事人“没有表现出良好态度和行为，并且补偿无望，则可根据总检察长的命令执行死刑”，第</w:t>
      </w:r>
      <w:r w:rsidRPr="00785C2F">
        <w:rPr>
          <w:rFonts w:hint="eastAsia"/>
        </w:rPr>
        <w:t>99</w:t>
      </w:r>
      <w:r w:rsidRPr="00785C2F">
        <w:rPr>
          <w:rFonts w:hint="eastAsia"/>
        </w:rPr>
        <w:t>条则规定，在涉及“孕妇、哺乳期妇女或精神病患者”的案件中，将在“妇女分娩、妇女哺乳期结束后或精神病患者康复后”实施处罚。委员会还感到严重关切的是，被判处死刑的外国人人数过多</w:t>
      </w:r>
      <w:r w:rsidR="00785C2F" w:rsidRPr="00785C2F">
        <w:rPr>
          <w:rFonts w:hint="eastAsia"/>
        </w:rPr>
        <w:t>(</w:t>
      </w:r>
      <w:r w:rsidRPr="00785C2F">
        <w:rPr>
          <w:rFonts w:hint="eastAsia"/>
        </w:rPr>
        <w:t>第六条</w:t>
      </w:r>
      <w:r w:rsidR="00785C2F" w:rsidRPr="00785C2F">
        <w:rPr>
          <w:rFonts w:hint="eastAsia"/>
        </w:rPr>
        <w:t>)</w:t>
      </w:r>
      <w:r w:rsidRPr="00785C2F">
        <w:rPr>
          <w:rFonts w:hint="eastAsia"/>
        </w:rPr>
        <w:t>。</w:t>
      </w:r>
    </w:p>
    <w:p w14:paraId="0741B606" w14:textId="77FB450B" w:rsidR="00B547D6" w:rsidRPr="00785C2F" w:rsidRDefault="00B547D6" w:rsidP="00B547D6">
      <w:pPr>
        <w:pStyle w:val="SingleTxt"/>
        <w:rPr>
          <w:rFonts w:asciiTheme="majorBidi" w:eastAsia="SimHei" w:hAnsiTheme="majorBidi" w:cstheme="majorBidi"/>
        </w:rPr>
      </w:pPr>
      <w:r w:rsidRPr="00E72BE8">
        <w:rPr>
          <w:rFonts w:asciiTheme="majorBidi" w:eastAsia="SimHei" w:hAnsiTheme="majorBidi" w:cstheme="majorBidi" w:hint="eastAsia"/>
          <w:spacing w:val="-2"/>
        </w:rPr>
        <w:t>25.</w:t>
      </w:r>
      <w:r w:rsidRPr="00E72BE8">
        <w:rPr>
          <w:rFonts w:asciiTheme="majorBidi" w:eastAsia="SimHei" w:hAnsiTheme="majorBidi" w:cstheme="majorBidi" w:hint="eastAsia"/>
          <w:spacing w:val="-2"/>
        </w:rPr>
        <w:tab/>
      </w:r>
      <w:r w:rsidRPr="00E72BE8">
        <w:rPr>
          <w:rFonts w:asciiTheme="majorBidi" w:eastAsia="SimHei" w:hAnsiTheme="majorBidi" w:cstheme="majorBidi" w:hint="eastAsia"/>
          <w:spacing w:val="-2"/>
        </w:rPr>
        <w:t>委员会鼓励缔约国适当考虑废除死刑并加入《〈公约〉第二项任意议定书》，</w:t>
      </w:r>
      <w:r w:rsidRPr="00785C2F">
        <w:rPr>
          <w:rFonts w:asciiTheme="majorBidi" w:eastAsia="SimHei" w:hAnsiTheme="majorBidi" w:cstheme="majorBidi" w:hint="eastAsia"/>
        </w:rPr>
        <w:t>同时保持暂停执行死刑，并对已判处死刑罪者重新量刑。委员会建议缔约国，如果保留死刑则应修订立法，以确保严格遵守《公约》第六条第二款，并将可判处死刑的罪行限于最严重的罪行，即第</w:t>
      </w:r>
      <w:r w:rsidRPr="00785C2F">
        <w:rPr>
          <w:rFonts w:asciiTheme="majorBidi" w:eastAsia="SimHei" w:hAnsiTheme="majorBidi" w:cstheme="majorBidi" w:hint="eastAsia"/>
        </w:rPr>
        <w:t>36</w:t>
      </w:r>
      <w:r w:rsidRPr="00785C2F">
        <w:rPr>
          <w:rFonts w:asciiTheme="majorBidi" w:eastAsia="SimHei" w:hAnsiTheme="majorBidi" w:cstheme="majorBidi" w:hint="eastAsia"/>
        </w:rPr>
        <w:t>号一般性意见</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2018</w:t>
      </w:r>
      <w:r w:rsidRPr="00785C2F">
        <w:rPr>
          <w:rFonts w:asciiTheme="majorBidi" w:eastAsia="SimHei" w:hAnsiTheme="majorBidi" w:cstheme="majorBidi" w:hint="eastAsia"/>
        </w:rPr>
        <w:t>年</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所指的涉及故意杀人的罪行。委员会还建议缔约国开展宣传，提高公众对死刑和生命权的认识。委员会建议缔约国加强有效诉诸司法的机会，包括向被判处死刑的外国人提供的领事援助。</w:t>
      </w:r>
    </w:p>
    <w:p w14:paraId="7EF0BBB3"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酷刑及其他形式的残忍、不人道和有辱人格的待遇</w:t>
      </w:r>
    </w:p>
    <w:p w14:paraId="745DC9B6" w14:textId="32F755F9" w:rsidR="00B547D6" w:rsidRPr="00785C2F" w:rsidRDefault="00B547D6" w:rsidP="00B547D6">
      <w:pPr>
        <w:pStyle w:val="SingleTxt"/>
      </w:pPr>
      <w:r w:rsidRPr="00785C2F">
        <w:rPr>
          <w:rFonts w:hint="eastAsia"/>
        </w:rPr>
        <w:t>26.</w:t>
      </w:r>
      <w:r w:rsidRPr="00785C2F">
        <w:rPr>
          <w:rFonts w:hint="eastAsia"/>
        </w:rPr>
        <w:tab/>
      </w:r>
      <w:r w:rsidRPr="00785C2F">
        <w:rPr>
          <w:rFonts w:hint="eastAsia"/>
        </w:rPr>
        <w:t>委员会注意到，向法官、检察官和执法人员提供了关于禁止酷刑和其他形式残忍、不人道或有辱人格的待遇以及关于《为调查和收集信息进行有效面谈的原则》</w:t>
      </w:r>
      <w:r w:rsidR="00785C2F" w:rsidRPr="00785C2F">
        <w:rPr>
          <w:rFonts w:hint="eastAsia"/>
        </w:rPr>
        <w:t>(</w:t>
      </w:r>
      <w:r w:rsidRPr="00785C2F">
        <w:rPr>
          <w:rFonts w:hint="eastAsia"/>
        </w:rPr>
        <w:t>《门德斯原则》</w:t>
      </w:r>
      <w:r w:rsidR="00785C2F" w:rsidRPr="00785C2F">
        <w:rPr>
          <w:rFonts w:hint="eastAsia"/>
        </w:rPr>
        <w:t>)</w:t>
      </w:r>
      <w:r w:rsidRPr="00785C2F">
        <w:rPr>
          <w:rFonts w:hint="eastAsia"/>
        </w:rPr>
        <w:t>的培训。然而委员会感到关切的是，常有报告称，拘留场所存在使用酷刑和其他形式的残忍、不人道或有辱人格的待遇或虐待，特别是对巴布亚人使用这些做法的情况。委员会感到遗憾的是，缺少资料说明收到的报告、登记的案件、进行的调查、起诉以及执法人员、安全部队成员和高级官员被判刑的数量。委员会还感到遗憾的是，缺少资料说明根据《亚齐特别自治法》及其对伊斯兰教法的解释实施的鞭笞案件的数量</w:t>
      </w:r>
      <w:r w:rsidR="00785C2F" w:rsidRPr="00785C2F">
        <w:rPr>
          <w:rFonts w:hint="eastAsia"/>
        </w:rPr>
        <w:t>(</w:t>
      </w:r>
      <w:r w:rsidRPr="00785C2F">
        <w:rPr>
          <w:rFonts w:hint="eastAsia"/>
        </w:rPr>
        <w:t>第七和第十条</w:t>
      </w:r>
      <w:r w:rsidR="00785C2F" w:rsidRPr="00785C2F">
        <w:rPr>
          <w:rFonts w:hint="eastAsia"/>
        </w:rPr>
        <w:t>)</w:t>
      </w:r>
      <w:r w:rsidRPr="00785C2F">
        <w:rPr>
          <w:rFonts w:hint="eastAsia"/>
        </w:rPr>
        <w:t>。</w:t>
      </w:r>
    </w:p>
    <w:p w14:paraId="4D103A3C"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27.</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缔约国应立即采取措施，终止酷刑和其他形式的残忍、不人道或有辱人格的待遇或虐待，包括：</w:t>
      </w:r>
    </w:p>
    <w:p w14:paraId="0296F807" w14:textId="63CB0668"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强化对所有法官、检察官、律师、警卫官以及执法和安全部队人员的定期人权培训，包括关于《酷刑和其他残忍、不人道或有辱人格的待遇或处罚的有效调查和文件记录手册》</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《伊斯坦布尔规程》</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和《关于调查潜在非法死亡的明尼苏达规程》的培训；</w:t>
      </w:r>
    </w:p>
    <w:p w14:paraId="74B5CB0E" w14:textId="67F629D5"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保证法院在任何情况下都不接受酷刑或虐待所获供词；</w:t>
      </w:r>
    </w:p>
    <w:p w14:paraId="7D3BBFDC" w14:textId="168610F6"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对所有关于酷刑和其他残忍、不人道或有辱人格的待遇的指控进行迅速、彻底、公正和有效的调查，起诉施害者，认定有罪者按罪论处；</w:t>
      </w:r>
    </w:p>
    <w:p w14:paraId="783C61B7" w14:textId="73C5EBED"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确保受害者及其家人得到充分赔偿；</w:t>
      </w:r>
    </w:p>
    <w:p w14:paraId="3F7DA0FE" w14:textId="08B098AC" w:rsidR="00B547D6" w:rsidRPr="00785C2F" w:rsidRDefault="00B547D6" w:rsidP="00B547D6">
      <w:pPr>
        <w:pStyle w:val="SingleTxt"/>
        <w:rPr>
          <w:rFonts w:asciiTheme="majorBidi" w:eastAsia="SimHei" w:hAnsiTheme="majorBidi" w:cstheme="majorBidi"/>
          <w:spacing w:val="6"/>
        </w:rPr>
      </w:pPr>
      <w:r w:rsidRPr="00785C2F">
        <w:rPr>
          <w:rFonts w:asciiTheme="majorBidi" w:eastAsia="SimHei" w:hAnsiTheme="majorBidi" w:cstheme="majorBidi"/>
          <w:spacing w:val="6"/>
        </w:rPr>
        <w:tab/>
      </w:r>
      <w:r w:rsidR="00785C2F" w:rsidRPr="00785C2F">
        <w:rPr>
          <w:rFonts w:asciiTheme="majorBidi" w:eastAsia="SimHei" w:hAnsiTheme="majorBidi" w:cstheme="majorBidi" w:hint="eastAsia"/>
          <w:spacing w:val="6"/>
        </w:rPr>
        <w:t>(</w:t>
      </w:r>
      <w:r w:rsidRPr="00785C2F">
        <w:rPr>
          <w:rFonts w:asciiTheme="majorBidi" w:eastAsia="SimHei" w:hAnsiTheme="majorBidi" w:cstheme="majorBidi" w:hint="eastAsia"/>
          <w:spacing w:val="6"/>
        </w:rPr>
        <w:t>e</w:t>
      </w:r>
      <w:r w:rsidR="00785C2F" w:rsidRPr="00785C2F">
        <w:rPr>
          <w:rFonts w:asciiTheme="majorBidi" w:eastAsia="SimHei" w:hAnsiTheme="majorBidi" w:cstheme="majorBidi" w:hint="eastAsia"/>
          <w:spacing w:val="6"/>
        </w:rPr>
        <w:t>)</w:t>
      </w:r>
      <w:r w:rsidRPr="00785C2F">
        <w:rPr>
          <w:rFonts w:asciiTheme="majorBidi" w:eastAsia="SimHei" w:hAnsiTheme="majorBidi" w:cstheme="majorBidi" w:hint="eastAsia"/>
          <w:spacing w:val="6"/>
        </w:rPr>
        <w:tab/>
      </w:r>
      <w:r w:rsidRPr="00785C2F">
        <w:rPr>
          <w:rFonts w:asciiTheme="majorBidi" w:eastAsia="SimHei" w:hAnsiTheme="majorBidi" w:cstheme="majorBidi" w:hint="eastAsia"/>
          <w:spacing w:val="6"/>
        </w:rPr>
        <w:t>明文禁止根据伊斯兰教法被解释为合法的鞭笞和其他形式的酷刑或虐待。</w:t>
      </w:r>
    </w:p>
    <w:p w14:paraId="5195FF52"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被剥夺自由者和拘留条件</w:t>
      </w:r>
    </w:p>
    <w:p w14:paraId="0270DED6" w14:textId="795D85BC" w:rsidR="00B547D6" w:rsidRPr="00785C2F" w:rsidRDefault="00B547D6" w:rsidP="00B547D6">
      <w:pPr>
        <w:pStyle w:val="SingleTxt"/>
      </w:pPr>
      <w:r w:rsidRPr="00785C2F">
        <w:rPr>
          <w:rFonts w:hint="eastAsia"/>
        </w:rPr>
        <w:t>28.</w:t>
      </w:r>
      <w:r w:rsidRPr="00785C2F">
        <w:rPr>
          <w:rFonts w:hint="eastAsia"/>
        </w:rPr>
        <w:tab/>
      </w:r>
      <w:r w:rsidRPr="00785C2F">
        <w:rPr>
          <w:rFonts w:hint="eastAsia"/>
        </w:rPr>
        <w:t>委员会欢迎缔约国通过了《关于惩戒设施的第</w:t>
      </w:r>
      <w:r w:rsidRPr="00785C2F">
        <w:rPr>
          <w:rFonts w:hint="eastAsia"/>
        </w:rPr>
        <w:t>22/2022</w:t>
      </w:r>
      <w:r w:rsidRPr="00785C2F">
        <w:rPr>
          <w:rFonts w:hint="eastAsia"/>
        </w:rPr>
        <w:t>号法》。委员会欢迎缔约国通过了禁止使用镣铐的地方法规和细则，但感到遗憾的是，缔约国没有提供充分资料，说明在卫生部查明的</w:t>
      </w:r>
      <w:r w:rsidRPr="00785C2F">
        <w:rPr>
          <w:rFonts w:hint="eastAsia"/>
        </w:rPr>
        <w:t>4</w:t>
      </w:r>
      <w:r w:rsidR="00785C2F">
        <w:rPr>
          <w:rFonts w:hint="eastAsia"/>
        </w:rPr>
        <w:t xml:space="preserve"> </w:t>
      </w:r>
      <w:r w:rsidRPr="00785C2F">
        <w:rPr>
          <w:rFonts w:hint="eastAsia"/>
        </w:rPr>
        <w:t>441</w:t>
      </w:r>
      <w:r w:rsidRPr="00785C2F">
        <w:rPr>
          <w:rFonts w:hint="eastAsia"/>
        </w:rPr>
        <w:t>起使用镣铐的案件中实施的处罚和对受害者及其家人有效补救。委员会仍然关切的是，监狱、难民营和社会心理残疾者收容机构超员且条件差。委员会还感到关切的是，缺少对社会心理残疾者所受拘留的司法监督，特别是在儿童与母亲分离和强迫绝育的情况下</w:t>
      </w:r>
      <w:r w:rsidR="00785C2F" w:rsidRPr="00785C2F">
        <w:rPr>
          <w:rFonts w:hint="eastAsia"/>
        </w:rPr>
        <w:t>(</w:t>
      </w:r>
      <w:r w:rsidRPr="00785C2F">
        <w:rPr>
          <w:rFonts w:hint="eastAsia"/>
        </w:rPr>
        <w:t>第七和第十条</w:t>
      </w:r>
      <w:r w:rsidR="00785C2F" w:rsidRPr="00785C2F">
        <w:rPr>
          <w:rFonts w:hint="eastAsia"/>
        </w:rPr>
        <w:t>)</w:t>
      </w:r>
      <w:r w:rsidRPr="00785C2F">
        <w:rPr>
          <w:rFonts w:hint="eastAsia"/>
        </w:rPr>
        <w:t>。</w:t>
      </w:r>
    </w:p>
    <w:p w14:paraId="3F215663"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29.</w:t>
      </w:r>
      <w:r w:rsidRPr="00785C2F">
        <w:rPr>
          <w:rFonts w:asciiTheme="majorBidi" w:eastAsia="SimHei" w:hAnsiTheme="majorBidi" w:cstheme="majorBidi" w:hint="eastAsia"/>
        </w:rPr>
        <w:tab/>
      </w:r>
      <w:r w:rsidRPr="00785C2F">
        <w:rPr>
          <w:rFonts w:asciiTheme="majorBidi" w:eastAsia="SimHei" w:hAnsiTheme="majorBidi" w:cstheme="majorBidi" w:hint="eastAsia"/>
        </w:rPr>
        <w:t>委员会建议缔约国加强努力，确保拘留条件完全符合相关国际人权标准。具体而言，缔约国应：</w:t>
      </w:r>
    </w:p>
    <w:p w14:paraId="7CFBF8F8" w14:textId="5C4CA0D5"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就《公约》和《关于惩戒设施的第</w:t>
      </w:r>
      <w:r w:rsidRPr="00785C2F">
        <w:rPr>
          <w:rFonts w:asciiTheme="majorBidi" w:eastAsia="SimHei" w:hAnsiTheme="majorBidi" w:cstheme="majorBidi" w:hint="eastAsia"/>
        </w:rPr>
        <w:t>22/2022</w:t>
      </w:r>
      <w:r w:rsidRPr="00785C2F">
        <w:rPr>
          <w:rFonts w:asciiTheme="majorBidi" w:eastAsia="SimHei" w:hAnsiTheme="majorBidi" w:cstheme="majorBidi" w:hint="eastAsia"/>
        </w:rPr>
        <w:t>号法》开展提高公众认识的活动；</w:t>
      </w:r>
    </w:p>
    <w:p w14:paraId="698B2D3D" w14:textId="0B8F939F" w:rsidR="00B547D6" w:rsidRPr="00785C2F" w:rsidRDefault="00B547D6" w:rsidP="00B547D6">
      <w:pPr>
        <w:pStyle w:val="SingleTxt"/>
        <w:rPr>
          <w:rFonts w:asciiTheme="majorBidi" w:eastAsia="SimHei" w:hAnsiTheme="majorBidi" w:cstheme="majorBidi"/>
        </w:rPr>
      </w:pPr>
      <w:r w:rsidRPr="00971481">
        <w:rPr>
          <w:rFonts w:asciiTheme="majorBidi" w:eastAsia="SimHei" w:hAnsiTheme="majorBidi" w:cstheme="majorBidi"/>
          <w:spacing w:val="-2"/>
        </w:rPr>
        <w:tab/>
      </w:r>
      <w:r w:rsidR="00785C2F" w:rsidRPr="00971481">
        <w:rPr>
          <w:rFonts w:asciiTheme="majorBidi" w:eastAsia="SimHei" w:hAnsiTheme="majorBidi" w:cstheme="majorBidi" w:hint="eastAsia"/>
          <w:spacing w:val="-2"/>
        </w:rPr>
        <w:t>(</w:t>
      </w:r>
      <w:r w:rsidRPr="00971481">
        <w:rPr>
          <w:rFonts w:asciiTheme="majorBidi" w:eastAsia="SimHei" w:hAnsiTheme="majorBidi" w:cstheme="majorBidi" w:hint="eastAsia"/>
          <w:spacing w:val="-2"/>
        </w:rPr>
        <w:t>b</w:t>
      </w:r>
      <w:r w:rsidR="00785C2F" w:rsidRPr="00971481">
        <w:rPr>
          <w:rFonts w:asciiTheme="majorBidi" w:eastAsia="SimHei" w:hAnsiTheme="majorBidi" w:cstheme="majorBidi" w:hint="eastAsia"/>
          <w:spacing w:val="-2"/>
        </w:rPr>
        <w:t>)</w:t>
      </w:r>
      <w:r w:rsidRPr="00971481">
        <w:rPr>
          <w:rFonts w:asciiTheme="majorBidi" w:eastAsia="SimHei" w:hAnsiTheme="majorBidi" w:cstheme="majorBidi" w:hint="eastAsia"/>
          <w:spacing w:val="-2"/>
        </w:rPr>
        <w:tab/>
      </w:r>
      <w:r w:rsidRPr="00971481">
        <w:rPr>
          <w:rFonts w:asciiTheme="majorBidi" w:eastAsia="SimHei" w:hAnsiTheme="majorBidi" w:cstheme="majorBidi" w:hint="eastAsia"/>
          <w:spacing w:val="-2"/>
        </w:rPr>
        <w:t>使关于社会心理残疾者所受拘留的法律和政策，包括地方法规和细则，</w:t>
      </w:r>
      <w:r w:rsidRPr="00785C2F">
        <w:rPr>
          <w:rFonts w:asciiTheme="majorBidi" w:eastAsia="SimHei" w:hAnsiTheme="majorBidi" w:cstheme="majorBidi" w:hint="eastAsia"/>
        </w:rPr>
        <w:t>与国际人权标准相一致，包括参照</w:t>
      </w:r>
      <w:proofErr w:type="gramStart"/>
      <w:r w:rsidRPr="00785C2F">
        <w:rPr>
          <w:rFonts w:asciiTheme="majorBidi" w:eastAsia="SimHei" w:hAnsiTheme="majorBidi" w:cstheme="majorBidi" w:hint="eastAsia"/>
        </w:rPr>
        <w:t>世</w:t>
      </w:r>
      <w:proofErr w:type="gramEnd"/>
      <w:r w:rsidRPr="00785C2F">
        <w:rPr>
          <w:rFonts w:asciiTheme="majorBidi" w:eastAsia="SimHei" w:hAnsiTheme="majorBidi" w:cstheme="majorBidi" w:hint="eastAsia"/>
        </w:rPr>
        <w:t>卫组织和联合国人权事务高级专员办事处</w:t>
      </w:r>
      <w:r w:rsidRPr="00785C2F">
        <w:rPr>
          <w:rFonts w:asciiTheme="majorBidi" w:eastAsia="SimHei" w:hAnsiTheme="majorBidi" w:cstheme="majorBidi" w:hint="eastAsia"/>
        </w:rPr>
        <w:t>2023</w:t>
      </w:r>
      <w:r w:rsidRPr="00785C2F">
        <w:rPr>
          <w:rFonts w:asciiTheme="majorBidi" w:eastAsia="SimHei" w:hAnsiTheme="majorBidi" w:cstheme="majorBidi" w:hint="eastAsia"/>
        </w:rPr>
        <w:t>年发布的关于精神健康、人权和立法的指南；</w:t>
      </w:r>
    </w:p>
    <w:p w14:paraId="1B5373C6" w14:textId="5EAE71F3"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使关于囚犯所受拘留的法律和政策与国际人权标准相符，包括符合《联合国囚犯待遇最低限度标准规则》</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《纳尔逊</w:t>
      </w:r>
      <w:r w:rsidR="00971481" w:rsidRPr="00971481">
        <w:rPr>
          <w:rFonts w:ascii="宋体" w:hAnsi="宋体" w:cs="微软雅黑" w:hint="eastAsia"/>
        </w:rPr>
        <w:t>·</w:t>
      </w:r>
      <w:r w:rsidRPr="00785C2F">
        <w:rPr>
          <w:rFonts w:ascii="SimHei" w:eastAsia="SimHei" w:hAnsi="SimHei" w:cs="SimHei" w:hint="eastAsia"/>
        </w:rPr>
        <w:t>曼德拉规则》</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和《联合国女性囚犯待遇和女性罪犯非监禁措施规则》</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《曼谷规则》</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w:t>
      </w:r>
    </w:p>
    <w:p w14:paraId="6B8D3B02" w14:textId="65565BAE"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大幅减少拘留场所超员现象，包括按照《联合国非拘禁措施最低限度标准规则》</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《东京规则》</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的规定，更广泛地适用非拘禁措施作为非监禁刑罚；</w:t>
      </w:r>
    </w:p>
    <w:p w14:paraId="241DB1E4" w14:textId="7E462281"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e</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改善拘留场所的条件，并确保提供充足的食物、饮用水和医疗保健；</w:t>
      </w:r>
    </w:p>
    <w:p w14:paraId="223E3C8A" w14:textId="0E93D10A"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f</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明确授权国家人权委员会对拘留场所定期进行不事先通知的查访；</w:t>
      </w:r>
    </w:p>
    <w:p w14:paraId="48A54343" w14:textId="0CB1C926"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g</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根据《关于律师作用的基本原则》，保障诉诸司法的机会，包括确保基本程序保障和公平审判标准，并确保所有被剥夺自由的人都能诉诸独立和有效的申诉机制。</w:t>
      </w:r>
    </w:p>
    <w:p w14:paraId="071245F9"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司法独立</w:t>
      </w:r>
    </w:p>
    <w:p w14:paraId="631312C2" w14:textId="41D24920" w:rsidR="00B547D6" w:rsidRPr="00785C2F" w:rsidRDefault="00B547D6" w:rsidP="00B547D6">
      <w:pPr>
        <w:pStyle w:val="SingleTxt"/>
      </w:pPr>
      <w:r w:rsidRPr="00785C2F">
        <w:rPr>
          <w:rFonts w:hint="eastAsia"/>
        </w:rPr>
        <w:t>30.</w:t>
      </w:r>
      <w:r w:rsidRPr="00785C2F">
        <w:rPr>
          <w:rFonts w:hint="eastAsia"/>
        </w:rPr>
        <w:tab/>
      </w:r>
      <w:r w:rsidRPr="00785C2F">
        <w:rPr>
          <w:rFonts w:hint="eastAsia"/>
        </w:rPr>
        <w:t>委员会注意到，法律和人权部设立了一个接受个人申诉的机制，自</w:t>
      </w:r>
      <w:r w:rsidRPr="00785C2F">
        <w:rPr>
          <w:rFonts w:hint="eastAsia"/>
        </w:rPr>
        <w:t>2022</w:t>
      </w:r>
      <w:r w:rsidRPr="00785C2F">
        <w:rPr>
          <w:rFonts w:hint="eastAsia"/>
        </w:rPr>
        <w:t>年以来已收到</w:t>
      </w:r>
      <w:r w:rsidRPr="00785C2F">
        <w:rPr>
          <w:rFonts w:hint="eastAsia"/>
        </w:rPr>
        <w:t>2</w:t>
      </w:r>
      <w:r w:rsidR="00785C2F">
        <w:rPr>
          <w:rFonts w:hint="eastAsia"/>
        </w:rPr>
        <w:t xml:space="preserve"> </w:t>
      </w:r>
      <w:r w:rsidRPr="00785C2F">
        <w:rPr>
          <w:rFonts w:hint="eastAsia"/>
        </w:rPr>
        <w:t>822</w:t>
      </w:r>
      <w:r w:rsidRPr="00785C2F">
        <w:rPr>
          <w:rFonts w:hint="eastAsia"/>
        </w:rPr>
        <w:t>起此类申诉。然而委员会感到遗憾的是，缺少关于调查和提交法院的申诉数量的资料。委员会注意到，印度尼西亚《宪法》第</w:t>
      </w:r>
      <w:r w:rsidRPr="00785C2F">
        <w:rPr>
          <w:rFonts w:hint="eastAsia"/>
        </w:rPr>
        <w:t xml:space="preserve">24 B </w:t>
      </w:r>
      <w:r w:rsidR="00785C2F" w:rsidRPr="00785C2F">
        <w:rPr>
          <w:rFonts w:hint="eastAsia"/>
        </w:rPr>
        <w:t>(</w:t>
      </w:r>
      <w:r w:rsidRPr="00785C2F">
        <w:rPr>
          <w:rFonts w:hint="eastAsia"/>
        </w:rPr>
        <w:t>1</w:t>
      </w:r>
      <w:r w:rsidR="00785C2F" w:rsidRPr="00785C2F">
        <w:rPr>
          <w:rFonts w:hint="eastAsia"/>
        </w:rPr>
        <w:t>)</w:t>
      </w:r>
      <w:proofErr w:type="gramStart"/>
      <w:r w:rsidRPr="00785C2F">
        <w:rPr>
          <w:rFonts w:hint="eastAsia"/>
        </w:rPr>
        <w:t>条设立</w:t>
      </w:r>
      <w:proofErr w:type="gramEnd"/>
      <w:r w:rsidRPr="00785C2F">
        <w:rPr>
          <w:rFonts w:hint="eastAsia"/>
        </w:rPr>
        <w:t>了司法委员会，但感到遗憾的是，缺少资料说明采取了哪些具体措施以保障司法机构的独立性和公正性以及检察院的自主性。委员会还感到关切的是，根据《宪法》第</w:t>
      </w:r>
      <w:r w:rsidRPr="00785C2F">
        <w:rPr>
          <w:rFonts w:hint="eastAsia"/>
        </w:rPr>
        <w:t>24 B</w:t>
      </w:r>
      <w:r w:rsidR="00583C96">
        <w:rPr>
          <w:rFonts w:hint="eastAsia"/>
        </w:rPr>
        <w:t xml:space="preserve"> </w:t>
      </w:r>
      <w:r w:rsidR="00785C2F" w:rsidRPr="00785C2F">
        <w:rPr>
          <w:rFonts w:hint="eastAsia"/>
        </w:rPr>
        <w:t>(</w:t>
      </w:r>
      <w:r w:rsidRPr="00785C2F">
        <w:rPr>
          <w:rFonts w:hint="eastAsia"/>
        </w:rPr>
        <w:t>3</w:t>
      </w:r>
      <w:r w:rsidR="00785C2F" w:rsidRPr="00785C2F">
        <w:rPr>
          <w:rFonts w:hint="eastAsia"/>
        </w:rPr>
        <w:t>)</w:t>
      </w:r>
      <w:r w:rsidRPr="00785C2F">
        <w:rPr>
          <w:rFonts w:hint="eastAsia"/>
        </w:rPr>
        <w:t>条，司法委员会的成员由总统经众议院批准后任免，这可能允许施加不当影响的情况。委员会还感到关切的是，有报告称，存在通过免职程序对法官施加压力和进行报复的做法，例如</w:t>
      </w:r>
      <w:r w:rsidRPr="00785C2F">
        <w:rPr>
          <w:rFonts w:hint="eastAsia"/>
        </w:rPr>
        <w:t>2022</w:t>
      </w:r>
      <w:r w:rsidRPr="00785C2F">
        <w:rPr>
          <w:rFonts w:hint="eastAsia"/>
        </w:rPr>
        <w:t>年</w:t>
      </w:r>
      <w:r w:rsidRPr="00785C2F">
        <w:rPr>
          <w:rFonts w:hint="eastAsia"/>
        </w:rPr>
        <w:t>9</w:t>
      </w:r>
      <w:r w:rsidRPr="00785C2F">
        <w:rPr>
          <w:rFonts w:hint="eastAsia"/>
        </w:rPr>
        <w:t>月宪法法院副院长被免职</w:t>
      </w:r>
      <w:r w:rsidR="00785C2F" w:rsidRPr="00785C2F">
        <w:rPr>
          <w:rFonts w:hint="eastAsia"/>
        </w:rPr>
        <w:t>(</w:t>
      </w:r>
      <w:r w:rsidRPr="00785C2F">
        <w:rPr>
          <w:rFonts w:hint="eastAsia"/>
        </w:rPr>
        <w:t>第二和第十四条</w:t>
      </w:r>
      <w:r w:rsidR="00785C2F" w:rsidRPr="00785C2F">
        <w:rPr>
          <w:rFonts w:hint="eastAsia"/>
        </w:rPr>
        <w:t>)</w:t>
      </w:r>
      <w:r w:rsidRPr="00785C2F">
        <w:rPr>
          <w:rFonts w:hint="eastAsia"/>
        </w:rPr>
        <w:t>。</w:t>
      </w:r>
    </w:p>
    <w:p w14:paraId="6DC38A3E"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31.</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确保司法机构的独立性和公正性，包括采取步骤加强负责保障司法机构独立性和公正性的司法委员会，同时保证这些机制能够独立和公正地履行职责，不受到不当影响。缔约国还应确保法官和检察官的遴选、任命、升职、停职、调职、免职和纪律处分程序符合《公约》和相关国际标准，包括《关于司法机关独立的基本原则》和《关于检察官作用的准则》。</w:t>
      </w:r>
    </w:p>
    <w:p w14:paraId="019B70B3"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表达自由</w:t>
      </w:r>
    </w:p>
    <w:p w14:paraId="433F4663" w14:textId="767D796A" w:rsidR="00B547D6" w:rsidRPr="00785C2F" w:rsidRDefault="00B547D6" w:rsidP="00B547D6">
      <w:pPr>
        <w:pStyle w:val="SingleTxt"/>
      </w:pPr>
      <w:r w:rsidRPr="00785C2F">
        <w:rPr>
          <w:rFonts w:hint="eastAsia"/>
        </w:rPr>
        <w:t>32.</w:t>
      </w:r>
      <w:r w:rsidRPr="00785C2F">
        <w:rPr>
          <w:rFonts w:hint="eastAsia"/>
        </w:rPr>
        <w:tab/>
      </w:r>
      <w:r w:rsidRPr="00785C2F">
        <w:rPr>
          <w:rFonts w:hint="eastAsia"/>
        </w:rPr>
        <w:t>委员会感到遗憾的是，缔约国提供的关于保护行使言论自由的个人，包括保护人</w:t>
      </w:r>
      <w:proofErr w:type="gramStart"/>
      <w:r w:rsidRPr="00785C2F">
        <w:rPr>
          <w:rFonts w:hint="eastAsia"/>
        </w:rPr>
        <w:t>权维护</w:t>
      </w:r>
      <w:proofErr w:type="gramEnd"/>
      <w:r w:rsidRPr="00785C2F">
        <w:rPr>
          <w:rFonts w:hint="eastAsia"/>
        </w:rPr>
        <w:t>者、社区领袖、记者和民间社会代表的法律或政策的资料有限。委员会感到关切的是，经修订的《刑法》第</w:t>
      </w:r>
      <w:r w:rsidRPr="00785C2F">
        <w:rPr>
          <w:rFonts w:hint="eastAsia"/>
        </w:rPr>
        <w:t>240</w:t>
      </w:r>
      <w:r w:rsidRPr="00785C2F">
        <w:rPr>
          <w:rFonts w:hint="eastAsia"/>
        </w:rPr>
        <w:t>条和《第</w:t>
      </w:r>
      <w:r w:rsidRPr="00785C2F">
        <w:rPr>
          <w:rFonts w:hint="eastAsia"/>
        </w:rPr>
        <w:t>11/2008</w:t>
      </w:r>
      <w:r w:rsidRPr="00785C2F">
        <w:rPr>
          <w:rFonts w:hint="eastAsia"/>
        </w:rPr>
        <w:t>号电子信息和交易法》</w:t>
      </w:r>
      <w:r w:rsidRPr="00785C2F">
        <w:rPr>
          <w:rFonts w:hint="eastAsia"/>
        </w:rPr>
        <w:t>2024</w:t>
      </w:r>
      <w:r w:rsidRPr="00785C2F">
        <w:rPr>
          <w:rFonts w:hint="eastAsia"/>
        </w:rPr>
        <w:t>年</w:t>
      </w:r>
      <w:r w:rsidRPr="00785C2F">
        <w:rPr>
          <w:rFonts w:hint="eastAsia"/>
        </w:rPr>
        <w:t>1</w:t>
      </w:r>
      <w:r w:rsidRPr="00785C2F">
        <w:rPr>
          <w:rFonts w:hint="eastAsia"/>
        </w:rPr>
        <w:t>月</w:t>
      </w:r>
      <w:r w:rsidRPr="00785C2F">
        <w:rPr>
          <w:rFonts w:hint="eastAsia"/>
        </w:rPr>
        <w:t>2</w:t>
      </w:r>
      <w:r w:rsidRPr="00785C2F">
        <w:rPr>
          <w:rFonts w:hint="eastAsia"/>
        </w:rPr>
        <w:t>日修正案关于刑事诽谤的第</w:t>
      </w:r>
      <w:r w:rsidRPr="00785C2F">
        <w:rPr>
          <w:rFonts w:hint="eastAsia"/>
        </w:rPr>
        <w:t>27</w:t>
      </w:r>
      <w:r w:rsidR="00583C96">
        <w:rPr>
          <w:rFonts w:hint="eastAsia"/>
        </w:rPr>
        <w:t xml:space="preserve"> </w:t>
      </w:r>
      <w:r w:rsidRPr="00785C2F">
        <w:rPr>
          <w:rFonts w:hint="eastAsia"/>
        </w:rPr>
        <w:t>A</w:t>
      </w:r>
      <w:r w:rsidRPr="00785C2F">
        <w:rPr>
          <w:rFonts w:hint="eastAsia"/>
        </w:rPr>
        <w:t>条可能被用于将侮辱总统或公职人员定为刑事犯罪。委员会感到关切的是，经修订的《电子信息和交易法》中，关于“有违适当性的内容”的第</w:t>
      </w:r>
      <w:r w:rsidRPr="00785C2F">
        <w:rPr>
          <w:rFonts w:hint="eastAsia"/>
        </w:rPr>
        <w:t>27</w:t>
      </w:r>
      <w:r w:rsidRPr="00785C2F">
        <w:rPr>
          <w:rFonts w:hint="eastAsia"/>
        </w:rPr>
        <w:t>条第</w:t>
      </w:r>
      <w:r w:rsidRPr="00785C2F">
        <w:rPr>
          <w:rFonts w:hint="eastAsia"/>
        </w:rPr>
        <w:t>1</w:t>
      </w:r>
      <w:r w:rsidRPr="00785C2F">
        <w:rPr>
          <w:rFonts w:hint="eastAsia"/>
        </w:rPr>
        <w:t>款和关于“可能引起公众动乱的虚假声明”的第</w:t>
      </w:r>
      <w:r w:rsidRPr="00785C2F">
        <w:rPr>
          <w:rFonts w:hint="eastAsia"/>
        </w:rPr>
        <w:t>28</w:t>
      </w:r>
      <w:r w:rsidRPr="00785C2F">
        <w:rPr>
          <w:rFonts w:hint="eastAsia"/>
        </w:rPr>
        <w:t>条第</w:t>
      </w:r>
      <w:r w:rsidRPr="00785C2F">
        <w:rPr>
          <w:rFonts w:hint="eastAsia"/>
        </w:rPr>
        <w:t>3</w:t>
      </w:r>
      <w:r w:rsidRPr="00785C2F">
        <w:rPr>
          <w:rFonts w:hint="eastAsia"/>
        </w:rPr>
        <w:t>款过于宽泛，可能允许司法恐吓和骚扰。委员会感到关切的是，有报告称，在巴布亚，互联网在抗议期间被关闭并经常因</w:t>
      </w:r>
      <w:proofErr w:type="gramStart"/>
      <w:r w:rsidRPr="00785C2F">
        <w:rPr>
          <w:rFonts w:hint="eastAsia"/>
        </w:rPr>
        <w:t>安全行动</w:t>
      </w:r>
      <w:proofErr w:type="gramEnd"/>
      <w:r w:rsidRPr="00785C2F">
        <w:rPr>
          <w:rFonts w:hint="eastAsia"/>
        </w:rPr>
        <w:t>而关闭。委员会关切地注意到，《关于私营电子系统运营商的第</w:t>
      </w:r>
      <w:r w:rsidRPr="00785C2F">
        <w:rPr>
          <w:rFonts w:hint="eastAsia"/>
        </w:rPr>
        <w:t>5/2020</w:t>
      </w:r>
      <w:r w:rsidRPr="00785C2F">
        <w:rPr>
          <w:rFonts w:hint="eastAsia"/>
        </w:rPr>
        <w:t>号行政条例》通过后，近</w:t>
      </w:r>
      <w:r w:rsidRPr="00785C2F">
        <w:rPr>
          <w:rFonts w:hint="eastAsia"/>
        </w:rPr>
        <w:t>300</w:t>
      </w:r>
      <w:r w:rsidR="00583C96">
        <w:rPr>
          <w:rFonts w:hint="eastAsia"/>
        </w:rPr>
        <w:t xml:space="preserve"> </w:t>
      </w:r>
      <w:r w:rsidRPr="00785C2F">
        <w:rPr>
          <w:rFonts w:hint="eastAsia"/>
        </w:rPr>
        <w:t>000</w:t>
      </w:r>
      <w:r w:rsidRPr="00785C2F">
        <w:rPr>
          <w:rFonts w:hint="eastAsia"/>
        </w:rPr>
        <w:t>个网页被封锁，其中近</w:t>
      </w:r>
      <w:r w:rsidRPr="00785C2F">
        <w:rPr>
          <w:rFonts w:hint="eastAsia"/>
        </w:rPr>
        <w:t>2</w:t>
      </w:r>
      <w:r w:rsidR="00583C96">
        <w:rPr>
          <w:rFonts w:hint="eastAsia"/>
        </w:rPr>
        <w:t xml:space="preserve"> </w:t>
      </w:r>
      <w:r w:rsidRPr="00785C2F">
        <w:rPr>
          <w:rFonts w:hint="eastAsia"/>
        </w:rPr>
        <w:t>000</w:t>
      </w:r>
      <w:r w:rsidRPr="00785C2F">
        <w:rPr>
          <w:rFonts w:hint="eastAsia"/>
        </w:rPr>
        <w:t>个被认定为“负面”</w:t>
      </w:r>
      <w:r w:rsidR="00785C2F" w:rsidRPr="00785C2F">
        <w:rPr>
          <w:rFonts w:hint="eastAsia"/>
        </w:rPr>
        <w:t>(</w:t>
      </w:r>
      <w:r w:rsidRPr="00785C2F">
        <w:rPr>
          <w:rFonts w:hint="eastAsia"/>
        </w:rPr>
        <w:t>第十九和第二十条</w:t>
      </w:r>
      <w:r w:rsidR="00785C2F" w:rsidRPr="00785C2F">
        <w:rPr>
          <w:rFonts w:hint="eastAsia"/>
        </w:rPr>
        <w:t>)</w:t>
      </w:r>
      <w:r w:rsidRPr="00785C2F">
        <w:rPr>
          <w:rFonts w:hint="eastAsia"/>
        </w:rPr>
        <w:t>。</w:t>
      </w:r>
    </w:p>
    <w:p w14:paraId="6D7C291E" w14:textId="209E8564"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33.</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缔约国应根据第</w:t>
      </w:r>
      <w:r w:rsidRPr="00785C2F">
        <w:rPr>
          <w:rFonts w:asciiTheme="majorBidi" w:eastAsia="SimHei" w:hAnsiTheme="majorBidi" w:cstheme="majorBidi" w:hint="eastAsia"/>
        </w:rPr>
        <w:t>34</w:t>
      </w:r>
      <w:r w:rsidRPr="00785C2F">
        <w:rPr>
          <w:rFonts w:asciiTheme="majorBidi" w:eastAsia="SimHei" w:hAnsiTheme="majorBidi" w:cstheme="majorBidi" w:hint="eastAsia"/>
        </w:rPr>
        <w:t>号一般性意见</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2011</w:t>
      </w:r>
      <w:r w:rsidRPr="00785C2F">
        <w:rPr>
          <w:rFonts w:asciiTheme="majorBidi" w:eastAsia="SimHei" w:hAnsiTheme="majorBidi" w:cstheme="majorBidi" w:hint="eastAsia"/>
        </w:rPr>
        <w:t>年</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，采取必要措施，以确保充分享有意见和表达自由权。具体而言，缔约国应：</w:t>
      </w:r>
    </w:p>
    <w:p w14:paraId="4F425171" w14:textId="74062086"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采取措施有效保护行使表达自由的个人，包括通过立法保护人</w:t>
      </w:r>
      <w:proofErr w:type="gramStart"/>
      <w:r w:rsidRPr="00785C2F">
        <w:rPr>
          <w:rFonts w:asciiTheme="majorBidi" w:eastAsia="SimHei" w:hAnsiTheme="majorBidi" w:cstheme="majorBidi" w:hint="eastAsia"/>
        </w:rPr>
        <w:t>权维护</w:t>
      </w:r>
      <w:proofErr w:type="gramEnd"/>
      <w:r w:rsidRPr="00785C2F">
        <w:rPr>
          <w:rFonts w:asciiTheme="majorBidi" w:eastAsia="SimHei" w:hAnsiTheme="majorBidi" w:cstheme="majorBidi" w:hint="eastAsia"/>
        </w:rPr>
        <w:t>者，并保障这些人的权利，包括获得有效补救的权利；</w:t>
      </w:r>
    </w:p>
    <w:p w14:paraId="3E3B4B78" w14:textId="5E634ACB"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对所有关于骚扰、恐吓和报复人权维护者的报告进行迅速、彻底和公正的调查，确保将施害者绳之以法，认定有罪者按罪论处，并确保人权维护者能够在安全和有利的环境中开展工作；</w:t>
      </w:r>
    </w:p>
    <w:p w14:paraId="03CB1842" w14:textId="096DAC1A"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修订法律框架，包括《刑法》和经修订的《电子信息和交易法》，以便将诽谤总统和公职</w:t>
      </w:r>
      <w:proofErr w:type="gramStart"/>
      <w:r w:rsidRPr="00785C2F">
        <w:rPr>
          <w:rFonts w:asciiTheme="majorBidi" w:eastAsia="SimHei" w:hAnsiTheme="majorBidi" w:cstheme="majorBidi" w:hint="eastAsia"/>
        </w:rPr>
        <w:t>人员去刑罪</w:t>
      </w:r>
      <w:proofErr w:type="gramEnd"/>
      <w:r w:rsidRPr="00785C2F">
        <w:rPr>
          <w:rFonts w:asciiTheme="majorBidi" w:eastAsia="SimHei" w:hAnsiTheme="majorBidi" w:cstheme="majorBidi" w:hint="eastAsia"/>
        </w:rPr>
        <w:t>化，根据法律确定性、必要性和相称性原则界定《电子信息和交易法》第</w:t>
      </w:r>
      <w:r w:rsidRPr="00785C2F">
        <w:rPr>
          <w:rFonts w:asciiTheme="majorBidi" w:eastAsia="SimHei" w:hAnsiTheme="majorBidi" w:cstheme="majorBidi" w:hint="eastAsia"/>
        </w:rPr>
        <w:t>27</w:t>
      </w:r>
      <w:r w:rsidRPr="00785C2F">
        <w:rPr>
          <w:rFonts w:asciiTheme="majorBidi" w:eastAsia="SimHei" w:hAnsiTheme="majorBidi" w:cstheme="majorBidi" w:hint="eastAsia"/>
        </w:rPr>
        <w:t>条第</w:t>
      </w:r>
      <w:r w:rsidRPr="00785C2F">
        <w:rPr>
          <w:rFonts w:asciiTheme="majorBidi" w:eastAsia="SimHei" w:hAnsiTheme="majorBidi" w:cstheme="majorBidi" w:hint="eastAsia"/>
        </w:rPr>
        <w:t>1</w:t>
      </w:r>
      <w:r w:rsidRPr="00785C2F">
        <w:rPr>
          <w:rFonts w:asciiTheme="majorBidi" w:eastAsia="SimHei" w:hAnsiTheme="majorBidi" w:cstheme="majorBidi" w:hint="eastAsia"/>
        </w:rPr>
        <w:t>款和第</w:t>
      </w:r>
      <w:r w:rsidRPr="00785C2F">
        <w:rPr>
          <w:rFonts w:asciiTheme="majorBidi" w:eastAsia="SimHei" w:hAnsiTheme="majorBidi" w:cstheme="majorBidi" w:hint="eastAsia"/>
        </w:rPr>
        <w:t>28</w:t>
      </w:r>
      <w:r w:rsidRPr="00785C2F">
        <w:rPr>
          <w:rFonts w:asciiTheme="majorBidi" w:eastAsia="SimHei" w:hAnsiTheme="majorBidi" w:cstheme="majorBidi" w:hint="eastAsia"/>
        </w:rPr>
        <w:t>条第</w:t>
      </w:r>
      <w:r w:rsidRPr="00785C2F">
        <w:rPr>
          <w:rFonts w:asciiTheme="majorBidi" w:eastAsia="SimHei" w:hAnsiTheme="majorBidi" w:cstheme="majorBidi" w:hint="eastAsia"/>
        </w:rPr>
        <w:t>3</w:t>
      </w:r>
      <w:r w:rsidRPr="00785C2F">
        <w:rPr>
          <w:rFonts w:asciiTheme="majorBidi" w:eastAsia="SimHei" w:hAnsiTheme="majorBidi" w:cstheme="majorBidi" w:hint="eastAsia"/>
        </w:rPr>
        <w:t>款，并确保对互联网接入的所有限制都是非歧视性、必要和相称的，符合《公约》第十九条第三款的要求；</w:t>
      </w:r>
    </w:p>
    <w:p w14:paraId="216E5167" w14:textId="1B1E850E"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审查《关于私营电子系统运营商的第</w:t>
      </w:r>
      <w:r w:rsidRPr="00785C2F">
        <w:rPr>
          <w:rFonts w:asciiTheme="majorBidi" w:eastAsia="SimHei" w:hAnsiTheme="majorBidi" w:cstheme="majorBidi" w:hint="eastAsia"/>
        </w:rPr>
        <w:t>5/2020</w:t>
      </w:r>
      <w:r w:rsidRPr="00785C2F">
        <w:rPr>
          <w:rFonts w:asciiTheme="majorBidi" w:eastAsia="SimHei" w:hAnsiTheme="majorBidi" w:cstheme="majorBidi" w:hint="eastAsia"/>
        </w:rPr>
        <w:t>号行政条例》，以便根据《公约》，保证透明度、程序保障、获得证据和向独立机构上诉的权利；</w:t>
      </w:r>
    </w:p>
    <w:p w14:paraId="2035A374" w14:textId="403E85FA"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e</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对法官、检察官、律师和执法人员进行关于表达</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包括网上表达</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自由权的培训。</w:t>
      </w:r>
    </w:p>
    <w:p w14:paraId="44CC541C"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宗教或信仰自由</w:t>
      </w:r>
    </w:p>
    <w:p w14:paraId="6DC38E23" w14:textId="7C1C9795" w:rsidR="00B547D6" w:rsidRPr="00785C2F" w:rsidRDefault="00B547D6" w:rsidP="00B547D6">
      <w:pPr>
        <w:pStyle w:val="SingleTxt"/>
      </w:pPr>
      <w:r w:rsidRPr="00785C2F">
        <w:rPr>
          <w:rFonts w:hint="eastAsia"/>
        </w:rPr>
        <w:t>34.</w:t>
      </w:r>
      <w:r w:rsidRPr="00785C2F">
        <w:rPr>
          <w:rFonts w:hint="eastAsia"/>
        </w:rPr>
        <w:tab/>
      </w:r>
      <w:r w:rsidRPr="00785C2F">
        <w:rPr>
          <w:rFonts w:hint="eastAsia"/>
        </w:rPr>
        <w:t>委员会关切地注意到，《关于防止亵渎和滥用宗教的第</w:t>
      </w:r>
      <w:r w:rsidRPr="00785C2F">
        <w:rPr>
          <w:rFonts w:hint="eastAsia"/>
        </w:rPr>
        <w:t>1/PNPS/1965</w:t>
      </w:r>
      <w:r w:rsidRPr="00785C2F">
        <w:rPr>
          <w:rFonts w:hint="eastAsia"/>
        </w:rPr>
        <w:t>号总统令》和经修订的《刑法》第</w:t>
      </w:r>
      <w:r w:rsidRPr="00785C2F">
        <w:rPr>
          <w:rFonts w:hint="eastAsia"/>
        </w:rPr>
        <w:t xml:space="preserve">156 </w:t>
      </w:r>
      <w:r w:rsidR="00785C2F" w:rsidRPr="00785C2F">
        <w:rPr>
          <w:rFonts w:hint="eastAsia"/>
        </w:rPr>
        <w:t>(</w:t>
      </w:r>
      <w:r w:rsidRPr="00785C2F">
        <w:rPr>
          <w:rFonts w:hint="eastAsia"/>
        </w:rPr>
        <w:t>a</w:t>
      </w:r>
      <w:r w:rsidR="00785C2F" w:rsidRPr="00785C2F">
        <w:rPr>
          <w:rFonts w:hint="eastAsia"/>
        </w:rPr>
        <w:t>)</w:t>
      </w:r>
      <w:r w:rsidRPr="00785C2F">
        <w:rPr>
          <w:rFonts w:hint="eastAsia"/>
        </w:rPr>
        <w:t>条将公开传播或奉行“印度尼西亚所信奉”的宗教的“偏离”解读和奉行“类似所涉宗教的活动的宗教活动”定为犯罪，并授权总统解散或取缔相关组织。委员会注意到，缔约国的立场是，这些法律和政策是防止出于宗教动机的仇恨言论和防止煽动宗教仇恨所必需的，但委员会感到关切的是，这些规定被用于限制宗教和信仰少数群体奉行宗教信仰</w:t>
      </w:r>
      <w:r w:rsidR="00785C2F" w:rsidRPr="00785C2F">
        <w:rPr>
          <w:rFonts w:hint="eastAsia"/>
        </w:rPr>
        <w:t>(</w:t>
      </w:r>
      <w:r w:rsidRPr="00785C2F">
        <w:rPr>
          <w:rFonts w:hint="eastAsia"/>
        </w:rPr>
        <w:t>第二、第十八和第二十六条</w:t>
      </w:r>
      <w:r w:rsidR="00785C2F" w:rsidRPr="00785C2F">
        <w:rPr>
          <w:rFonts w:hint="eastAsia"/>
        </w:rPr>
        <w:t>)</w:t>
      </w:r>
      <w:r w:rsidRPr="00785C2F">
        <w:rPr>
          <w:rFonts w:hint="eastAsia"/>
        </w:rPr>
        <w:t>。</w:t>
      </w:r>
    </w:p>
    <w:p w14:paraId="0230B800" w14:textId="2E7B9AF2"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35.</w:t>
      </w:r>
      <w:r w:rsidRPr="00785C2F">
        <w:rPr>
          <w:rFonts w:asciiTheme="majorBidi" w:eastAsia="SimHei" w:hAnsiTheme="majorBidi" w:cstheme="majorBidi" w:hint="eastAsia"/>
        </w:rPr>
        <w:tab/>
      </w:r>
      <w:r w:rsidRPr="00785C2F">
        <w:rPr>
          <w:rFonts w:asciiTheme="majorBidi" w:eastAsia="SimHei" w:hAnsiTheme="majorBidi" w:cstheme="majorBidi" w:hint="eastAsia"/>
        </w:rPr>
        <w:t>委员会建议缔约国，考虑到委员会关于思想、良心和宗教自由的第</w:t>
      </w:r>
      <w:r w:rsidRPr="00785C2F">
        <w:rPr>
          <w:rFonts w:asciiTheme="majorBidi" w:eastAsia="SimHei" w:hAnsiTheme="majorBidi" w:cstheme="majorBidi" w:hint="eastAsia"/>
        </w:rPr>
        <w:t>22</w:t>
      </w:r>
      <w:r w:rsidRPr="00785C2F">
        <w:rPr>
          <w:rFonts w:asciiTheme="majorBidi" w:eastAsia="SimHei" w:hAnsiTheme="majorBidi" w:cstheme="majorBidi" w:hint="eastAsia"/>
        </w:rPr>
        <w:t>号一般性意见</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1993</w:t>
      </w:r>
      <w:r w:rsidRPr="00785C2F">
        <w:rPr>
          <w:rFonts w:asciiTheme="majorBidi" w:eastAsia="SimHei" w:hAnsiTheme="majorBidi" w:cstheme="majorBidi" w:hint="eastAsia"/>
        </w:rPr>
        <w:t>年</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和第</w:t>
      </w:r>
      <w:r w:rsidRPr="00785C2F">
        <w:rPr>
          <w:rFonts w:asciiTheme="majorBidi" w:eastAsia="SimHei" w:hAnsiTheme="majorBidi" w:cstheme="majorBidi" w:hint="eastAsia"/>
        </w:rPr>
        <w:t>34</w:t>
      </w:r>
      <w:r w:rsidRPr="00785C2F">
        <w:rPr>
          <w:rFonts w:asciiTheme="majorBidi" w:eastAsia="SimHei" w:hAnsiTheme="majorBidi" w:cstheme="majorBidi" w:hint="eastAsia"/>
        </w:rPr>
        <w:t>号一般性意见</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2011</w:t>
      </w:r>
      <w:r w:rsidRPr="00785C2F">
        <w:rPr>
          <w:rFonts w:asciiTheme="majorBidi" w:eastAsia="SimHei" w:hAnsiTheme="majorBidi" w:cstheme="majorBidi" w:hint="eastAsia"/>
        </w:rPr>
        <w:t>年</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，确保尊重宗教或信仰自由权，包括确保立法和实践符合《公约》第十八条。缔约国应：</w:t>
      </w:r>
    </w:p>
    <w:p w14:paraId="220F7F0A" w14:textId="6B2A1B00"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保障人人有权拥有或信奉自主选择的宗教或信仰，并有权改变自己的宗教信仰；</w:t>
      </w:r>
    </w:p>
    <w:p w14:paraId="47896E76" w14:textId="38C69280"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根据《公约》第十八条第三款，确保单独或集体、公开或非公开地表明自己的宗教或信仰的自由，包括撤销对保护公共安全、秩序、卫生或道德或他人的基本权利和自由并非必要的任何法律规定或条例；</w:t>
      </w:r>
    </w:p>
    <w:p w14:paraId="7E5F8ED0" w14:textId="79BD590C" w:rsidR="00B547D6" w:rsidRPr="00583C96" w:rsidRDefault="00B547D6" w:rsidP="00B547D6">
      <w:pPr>
        <w:pStyle w:val="SingleTxt"/>
        <w:rPr>
          <w:rFonts w:asciiTheme="majorBidi" w:eastAsia="SimHei" w:hAnsiTheme="majorBidi" w:cstheme="majorBidi"/>
          <w:spacing w:val="-2"/>
        </w:rPr>
      </w:pPr>
      <w:r w:rsidRPr="00583C96">
        <w:rPr>
          <w:rFonts w:asciiTheme="majorBidi" w:eastAsia="SimHei" w:hAnsiTheme="majorBidi" w:cstheme="majorBidi"/>
          <w:spacing w:val="-2"/>
        </w:rPr>
        <w:tab/>
      </w:r>
      <w:r w:rsidR="00785C2F" w:rsidRPr="00583C96">
        <w:rPr>
          <w:rFonts w:asciiTheme="majorBidi" w:eastAsia="SimHei" w:hAnsiTheme="majorBidi" w:cstheme="majorBidi" w:hint="eastAsia"/>
          <w:spacing w:val="-2"/>
        </w:rPr>
        <w:t>(</w:t>
      </w:r>
      <w:r w:rsidRPr="00583C96">
        <w:rPr>
          <w:rFonts w:asciiTheme="majorBidi" w:eastAsia="SimHei" w:hAnsiTheme="majorBidi" w:cstheme="majorBidi" w:hint="eastAsia"/>
          <w:spacing w:val="-2"/>
        </w:rPr>
        <w:t>c</w:t>
      </w:r>
      <w:r w:rsidR="00785C2F" w:rsidRPr="00583C96">
        <w:rPr>
          <w:rFonts w:asciiTheme="majorBidi" w:eastAsia="SimHei" w:hAnsiTheme="majorBidi" w:cstheme="majorBidi" w:hint="eastAsia"/>
          <w:spacing w:val="-2"/>
        </w:rPr>
        <w:t>)</w:t>
      </w:r>
      <w:r w:rsidRPr="00583C96">
        <w:rPr>
          <w:rFonts w:asciiTheme="majorBidi" w:eastAsia="SimHei" w:hAnsiTheme="majorBidi" w:cstheme="majorBidi" w:hint="eastAsia"/>
          <w:spacing w:val="-2"/>
        </w:rPr>
        <w:tab/>
      </w:r>
      <w:r w:rsidRPr="00583C96">
        <w:rPr>
          <w:rFonts w:asciiTheme="majorBidi" w:eastAsia="SimHei" w:hAnsiTheme="majorBidi" w:cstheme="majorBidi" w:hint="eastAsia"/>
          <w:spacing w:val="-2"/>
        </w:rPr>
        <w:t>修订第</w:t>
      </w:r>
      <w:r w:rsidRPr="00583C96">
        <w:rPr>
          <w:rFonts w:asciiTheme="majorBidi" w:eastAsia="SimHei" w:hAnsiTheme="majorBidi" w:cstheme="majorBidi" w:hint="eastAsia"/>
          <w:spacing w:val="-2"/>
        </w:rPr>
        <w:t>1/PNPS/1965</w:t>
      </w:r>
      <w:r w:rsidRPr="00583C96">
        <w:rPr>
          <w:rFonts w:asciiTheme="majorBidi" w:eastAsia="SimHei" w:hAnsiTheme="majorBidi" w:cstheme="majorBidi" w:hint="eastAsia"/>
          <w:spacing w:val="-2"/>
        </w:rPr>
        <w:t>号总统令和经修订的《刑法》第</w:t>
      </w:r>
      <w:r w:rsidRPr="00583C96">
        <w:rPr>
          <w:rFonts w:asciiTheme="majorBidi" w:eastAsia="SimHei" w:hAnsiTheme="majorBidi" w:cstheme="majorBidi" w:hint="eastAsia"/>
          <w:spacing w:val="-2"/>
        </w:rPr>
        <w:t>156</w:t>
      </w:r>
      <w:r w:rsidRPr="00583C96">
        <w:rPr>
          <w:rFonts w:asciiTheme="majorBidi" w:eastAsia="SimHei" w:hAnsiTheme="majorBidi" w:cstheme="majorBidi" w:hint="eastAsia"/>
          <w:spacing w:val="-2"/>
        </w:rPr>
        <w:t>条</w:t>
      </w:r>
      <w:r w:rsidR="00785C2F" w:rsidRPr="00583C96">
        <w:rPr>
          <w:rFonts w:asciiTheme="majorBidi" w:eastAsia="SimHei" w:hAnsiTheme="majorBidi" w:cstheme="majorBidi" w:hint="eastAsia"/>
          <w:spacing w:val="-2"/>
        </w:rPr>
        <w:t>(</w:t>
      </w:r>
      <w:r w:rsidRPr="00583C96">
        <w:rPr>
          <w:rFonts w:asciiTheme="majorBidi" w:eastAsia="SimHei" w:hAnsiTheme="majorBidi" w:cstheme="majorBidi" w:hint="eastAsia"/>
          <w:spacing w:val="-2"/>
        </w:rPr>
        <w:t>a</w:t>
      </w:r>
      <w:r w:rsidR="00785C2F" w:rsidRPr="00583C96">
        <w:rPr>
          <w:rFonts w:asciiTheme="majorBidi" w:eastAsia="SimHei" w:hAnsiTheme="majorBidi" w:cstheme="majorBidi" w:hint="eastAsia"/>
          <w:spacing w:val="-2"/>
        </w:rPr>
        <w:t>)</w:t>
      </w:r>
      <w:r w:rsidRPr="00583C96">
        <w:rPr>
          <w:rFonts w:asciiTheme="majorBidi" w:eastAsia="SimHei" w:hAnsiTheme="majorBidi" w:cstheme="majorBidi" w:hint="eastAsia"/>
          <w:spacing w:val="-2"/>
        </w:rPr>
        <w:t>款，以便在法律上保证对宗教或信仰自由权利的任何限制都符合《公约》第十八条第三款；</w:t>
      </w:r>
    </w:p>
    <w:p w14:paraId="32F6BB9F" w14:textId="6907E49C"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通过立法，承认出于宗教动机的仇恨言论和煽动仇恨为刑事犯罪。</w:t>
      </w:r>
    </w:p>
    <w:p w14:paraId="3E88988E"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和平集会和结社的权利</w:t>
      </w:r>
    </w:p>
    <w:p w14:paraId="1951589A" w14:textId="4111EABE" w:rsidR="00B547D6" w:rsidRPr="00785C2F" w:rsidRDefault="00B547D6" w:rsidP="00B547D6">
      <w:pPr>
        <w:pStyle w:val="SingleTxt"/>
      </w:pPr>
      <w:r w:rsidRPr="00785C2F">
        <w:rPr>
          <w:rFonts w:hint="eastAsia"/>
        </w:rPr>
        <w:t>36.</w:t>
      </w:r>
      <w:r w:rsidRPr="00785C2F">
        <w:rPr>
          <w:rFonts w:hint="eastAsia"/>
        </w:rPr>
        <w:tab/>
      </w:r>
      <w:r w:rsidRPr="00785C2F">
        <w:rPr>
          <w:rFonts w:hint="eastAsia"/>
        </w:rPr>
        <w:t>委员会感到关切的是，缔约国的法律对和平集会和结社权施加了过度和不相称的限制，包括与国家安全有关的限制。委员会还感到关切的是，规定和平示威者、非政府组织、学术机构和工会的登记、管理和其他程序的法律不符合法律确定性、必要性和相称性原则。委员会遗憾地注意到，有大量报告称，和平示威者、民间社会成员、学生、学者以及工会领导人和成员面临骚扰、恐吓、监视和过度使用武力</w:t>
      </w:r>
      <w:r w:rsidR="00785C2F" w:rsidRPr="00785C2F">
        <w:rPr>
          <w:rFonts w:hint="eastAsia"/>
        </w:rPr>
        <w:t>(</w:t>
      </w:r>
      <w:r w:rsidRPr="00785C2F">
        <w:rPr>
          <w:rFonts w:hint="eastAsia"/>
        </w:rPr>
        <w:t>第二十一和第二十二条</w:t>
      </w:r>
      <w:r w:rsidR="00785C2F" w:rsidRPr="00785C2F">
        <w:rPr>
          <w:rFonts w:hint="eastAsia"/>
        </w:rPr>
        <w:t>)</w:t>
      </w:r>
      <w:r w:rsidRPr="00785C2F">
        <w:rPr>
          <w:rFonts w:hint="eastAsia"/>
        </w:rPr>
        <w:t>。</w:t>
      </w:r>
    </w:p>
    <w:p w14:paraId="60C0DDB1" w14:textId="001E8BC2"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37.</w:t>
      </w:r>
      <w:r w:rsidRPr="00785C2F">
        <w:rPr>
          <w:rFonts w:asciiTheme="majorBidi" w:eastAsia="SimHei" w:hAnsiTheme="majorBidi" w:cstheme="majorBidi" w:hint="eastAsia"/>
        </w:rPr>
        <w:tab/>
      </w:r>
      <w:r w:rsidRPr="00785C2F">
        <w:rPr>
          <w:rFonts w:asciiTheme="majorBidi" w:eastAsia="SimHei" w:hAnsiTheme="majorBidi" w:cstheme="majorBidi" w:hint="eastAsia"/>
        </w:rPr>
        <w:t>根据《公约》第二十一条和委员会关于和平集会权的第</w:t>
      </w:r>
      <w:r w:rsidRPr="00785C2F">
        <w:rPr>
          <w:rFonts w:asciiTheme="majorBidi" w:eastAsia="SimHei" w:hAnsiTheme="majorBidi" w:cstheme="majorBidi" w:hint="eastAsia"/>
        </w:rPr>
        <w:t>37</w:t>
      </w:r>
      <w:r w:rsidRPr="00785C2F">
        <w:rPr>
          <w:rFonts w:asciiTheme="majorBidi" w:eastAsia="SimHei" w:hAnsiTheme="majorBidi" w:cstheme="majorBidi" w:hint="eastAsia"/>
        </w:rPr>
        <w:t>号一般性意见</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2020</w:t>
      </w:r>
      <w:r w:rsidRPr="00785C2F">
        <w:rPr>
          <w:rFonts w:asciiTheme="majorBidi" w:eastAsia="SimHei" w:hAnsiTheme="majorBidi" w:cstheme="majorBidi" w:hint="eastAsia"/>
        </w:rPr>
        <w:t>年</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，缔约国应：</w:t>
      </w:r>
    </w:p>
    <w:p w14:paraId="6205AFA8" w14:textId="04CBE69D"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审查相关法律，以便根据法律确定性、必要性和相称性原则，澄清对和平示威者、非政府组织、学术机构和工会的限制并使之更加精确，包括通知、登记和管理方面的限制；</w:t>
      </w:r>
    </w:p>
    <w:p w14:paraId="0F30B080" w14:textId="3E35A1FD"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确保对和平集会和结社权的任何限制，包括对行使这项权利的个人适用行政和刑事处罚的做法，都应符合《公约》第二十一和第二十二条中规定的严格要求；</w:t>
      </w:r>
    </w:p>
    <w:p w14:paraId="59EFEAA0" w14:textId="1212339E"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确保及时、彻底、公正地调查关于骚扰、恐吓、监视和过度使用武力的所有指称，确保起诉认定负有责任的人，认定有罪者予以惩处，并确保受害者获得有效补救。</w:t>
      </w:r>
    </w:p>
    <w:p w14:paraId="6408EAF1" w14:textId="0CEC3327" w:rsidR="00B547D6" w:rsidRPr="00583C96" w:rsidRDefault="00B547D6" w:rsidP="00B547D6">
      <w:pPr>
        <w:pStyle w:val="SingleTxt"/>
        <w:rPr>
          <w:rFonts w:asciiTheme="majorBidi" w:eastAsia="SimHei" w:hAnsiTheme="majorBidi" w:cstheme="majorBidi"/>
          <w:spacing w:val="-2"/>
        </w:rPr>
      </w:pPr>
      <w:r w:rsidRPr="00583C96">
        <w:rPr>
          <w:rFonts w:asciiTheme="majorBidi" w:eastAsia="SimHei" w:hAnsiTheme="majorBidi" w:cstheme="majorBidi"/>
          <w:spacing w:val="-2"/>
        </w:rPr>
        <w:tab/>
      </w:r>
      <w:r w:rsidR="00785C2F" w:rsidRPr="00583C96">
        <w:rPr>
          <w:rFonts w:asciiTheme="majorBidi" w:eastAsia="SimHei" w:hAnsiTheme="majorBidi" w:cstheme="majorBidi" w:hint="eastAsia"/>
          <w:spacing w:val="-2"/>
        </w:rPr>
        <w:t>(</w:t>
      </w:r>
      <w:r w:rsidRPr="00583C96">
        <w:rPr>
          <w:rFonts w:asciiTheme="majorBidi" w:eastAsia="SimHei" w:hAnsiTheme="majorBidi" w:cstheme="majorBidi" w:hint="eastAsia"/>
          <w:spacing w:val="-2"/>
        </w:rPr>
        <w:t>d</w:t>
      </w:r>
      <w:r w:rsidR="00785C2F" w:rsidRPr="00583C96">
        <w:rPr>
          <w:rFonts w:asciiTheme="majorBidi" w:eastAsia="SimHei" w:hAnsiTheme="majorBidi" w:cstheme="majorBidi" w:hint="eastAsia"/>
          <w:spacing w:val="-2"/>
        </w:rPr>
        <w:t>)</w:t>
      </w:r>
      <w:r w:rsidRPr="00583C96">
        <w:rPr>
          <w:rFonts w:asciiTheme="majorBidi" w:eastAsia="SimHei" w:hAnsiTheme="majorBidi" w:cstheme="majorBidi" w:hint="eastAsia"/>
          <w:spacing w:val="-2"/>
        </w:rPr>
        <w:tab/>
      </w:r>
      <w:r w:rsidRPr="00583C96">
        <w:rPr>
          <w:rFonts w:asciiTheme="majorBidi" w:eastAsia="SimHei" w:hAnsiTheme="majorBidi" w:cstheme="majorBidi" w:hint="eastAsia"/>
          <w:spacing w:val="-2"/>
        </w:rPr>
        <w:t>确保所有执法人员定期接受关于使用武力的基于《执法人员使用武力和火器的基本原则》和《联合国关于执法中使用低致命武器的人权指南》的培训；</w:t>
      </w:r>
    </w:p>
    <w:p w14:paraId="452A1231"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参与公共生活</w:t>
      </w:r>
    </w:p>
    <w:p w14:paraId="7A08B831" w14:textId="32E34430" w:rsidR="00B547D6" w:rsidRPr="00785C2F" w:rsidRDefault="00B547D6" w:rsidP="00B547D6">
      <w:pPr>
        <w:pStyle w:val="SingleTxt"/>
      </w:pPr>
      <w:r w:rsidRPr="00785C2F">
        <w:rPr>
          <w:rFonts w:hint="eastAsia"/>
        </w:rPr>
        <w:t>38.</w:t>
      </w:r>
      <w:r w:rsidRPr="00785C2F">
        <w:rPr>
          <w:rFonts w:hint="eastAsia"/>
        </w:rPr>
        <w:tab/>
      </w:r>
      <w:r w:rsidRPr="00785C2F">
        <w:rPr>
          <w:rFonts w:hint="eastAsia"/>
        </w:rPr>
        <w:t>委员会关切地注意到关于腐败和对</w:t>
      </w:r>
      <w:r w:rsidRPr="00785C2F">
        <w:rPr>
          <w:rFonts w:hint="eastAsia"/>
        </w:rPr>
        <w:t>2024</w:t>
      </w:r>
      <w:r w:rsidRPr="00785C2F">
        <w:rPr>
          <w:rFonts w:hint="eastAsia"/>
        </w:rPr>
        <w:t>年大选施加不正当影响的指控，包括有报告称，总统为自己儿子的竞选助选。委员会还关切地注意到，宪法</w:t>
      </w:r>
      <w:proofErr w:type="gramStart"/>
      <w:r w:rsidRPr="00785C2F">
        <w:rPr>
          <w:rFonts w:hint="eastAsia"/>
        </w:rPr>
        <w:t>法院第</w:t>
      </w:r>
      <w:proofErr w:type="gramEnd"/>
      <w:r w:rsidR="0081569B">
        <w:fldChar w:fldCharType="begin"/>
      </w:r>
      <w:r w:rsidR="0081569B">
        <w:instrText>HYPERLINK "https://www.mkri.id/public/content/persidangan/putusan/putusan_mkri_9332_1697427438.pdf"</w:instrText>
      </w:r>
      <w:r w:rsidR="0081569B">
        <w:fldChar w:fldCharType="separate"/>
      </w:r>
      <w:r w:rsidRPr="00583C96">
        <w:rPr>
          <w:rStyle w:val="af7"/>
          <w:rFonts w:hint="eastAsia"/>
        </w:rPr>
        <w:t>90/</w:t>
      </w:r>
      <w:proofErr w:type="spellStart"/>
      <w:r w:rsidRPr="00583C96">
        <w:rPr>
          <w:rStyle w:val="af7"/>
          <w:rFonts w:hint="eastAsia"/>
        </w:rPr>
        <w:t>PUU</w:t>
      </w:r>
      <w:proofErr w:type="spellEnd"/>
      <w:r w:rsidRPr="00583C96">
        <w:rPr>
          <w:rStyle w:val="af7"/>
          <w:rFonts w:hint="eastAsia"/>
        </w:rPr>
        <w:t>-XXI/2023</w:t>
      </w:r>
      <w:r w:rsidR="0081569B">
        <w:rPr>
          <w:rStyle w:val="af7"/>
        </w:rPr>
        <w:fldChar w:fldCharType="end"/>
      </w:r>
      <w:proofErr w:type="gramStart"/>
      <w:r w:rsidRPr="00785C2F">
        <w:rPr>
          <w:rFonts w:hint="eastAsia"/>
        </w:rPr>
        <w:t>号决定</w:t>
      </w:r>
      <w:proofErr w:type="gramEnd"/>
      <w:r w:rsidRPr="00785C2F">
        <w:rPr>
          <w:rFonts w:hint="eastAsia"/>
        </w:rPr>
        <w:t>降低了总统和副总统候选人的最低年龄要求，这样有利于总统的儿子参选。此外，委员会还感到关切的是：腐败或欺诈指控将提交宪法法院，没有独立调查的保证；登记要求被用于排斥，根据相关要求，巴布亚联合党的政党登记申请被大选委员会拒绝；</w:t>
      </w:r>
      <w:r w:rsidRPr="00785C2F">
        <w:rPr>
          <w:rFonts w:hint="eastAsia"/>
        </w:rPr>
        <w:t>2021</w:t>
      </w:r>
      <w:r w:rsidRPr="00785C2F">
        <w:rPr>
          <w:rFonts w:hint="eastAsia"/>
        </w:rPr>
        <w:t>年废除了关于建立地方政党的《巴布亚特别自治法》第</w:t>
      </w:r>
      <w:r w:rsidRPr="00785C2F">
        <w:rPr>
          <w:rFonts w:hint="eastAsia"/>
        </w:rPr>
        <w:t>28</w:t>
      </w:r>
      <w:r w:rsidRPr="00785C2F">
        <w:rPr>
          <w:rFonts w:hint="eastAsia"/>
        </w:rPr>
        <w:t>条第</w:t>
      </w:r>
      <w:r w:rsidRPr="00785C2F">
        <w:rPr>
          <w:rFonts w:hint="eastAsia"/>
        </w:rPr>
        <w:t>1</w:t>
      </w:r>
      <w:r w:rsidRPr="00785C2F">
        <w:rPr>
          <w:rFonts w:hint="eastAsia"/>
        </w:rPr>
        <w:t>款；据称反对派候选人和支持者受到骚扰、恐吓、任意逮捕和拘留。委员会还关切地注意到，残疾人仍然面临妨碍他们投票的无障碍问题，例如选票上没有盲文以及投票站没有做到无障碍</w:t>
      </w:r>
      <w:r w:rsidR="00785C2F" w:rsidRPr="00785C2F">
        <w:rPr>
          <w:rFonts w:hint="eastAsia"/>
        </w:rPr>
        <w:t>(</w:t>
      </w:r>
      <w:r w:rsidRPr="00785C2F">
        <w:rPr>
          <w:rFonts w:hint="eastAsia"/>
        </w:rPr>
        <w:t>第二、第二十五和第二十六条</w:t>
      </w:r>
      <w:r w:rsidR="00785C2F" w:rsidRPr="00785C2F">
        <w:rPr>
          <w:rFonts w:hint="eastAsia"/>
        </w:rPr>
        <w:t>)</w:t>
      </w:r>
      <w:r w:rsidRPr="00785C2F">
        <w:rPr>
          <w:rFonts w:hint="eastAsia"/>
        </w:rPr>
        <w:t>。</w:t>
      </w:r>
    </w:p>
    <w:p w14:paraId="3B8F1A33" w14:textId="4CBB7BEB"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39.</w:t>
      </w:r>
      <w:r w:rsidRPr="00785C2F">
        <w:rPr>
          <w:rFonts w:asciiTheme="majorBidi" w:eastAsia="SimHei" w:hAnsiTheme="majorBidi" w:cstheme="majorBidi" w:hint="eastAsia"/>
        </w:rPr>
        <w:tab/>
      </w:r>
      <w:r w:rsidRPr="00785C2F">
        <w:rPr>
          <w:rFonts w:asciiTheme="majorBidi" w:eastAsia="SimHei" w:hAnsiTheme="majorBidi" w:cstheme="majorBidi" w:hint="eastAsia"/>
        </w:rPr>
        <w:t>根据《公约》第二十五条和委员会关于参与公共生活和投票的权利的第</w:t>
      </w:r>
      <w:r w:rsidRPr="00785C2F">
        <w:rPr>
          <w:rFonts w:asciiTheme="majorBidi" w:eastAsia="SimHei" w:hAnsiTheme="majorBidi" w:cstheme="majorBidi" w:hint="eastAsia"/>
        </w:rPr>
        <w:t>25</w:t>
      </w:r>
      <w:r w:rsidRPr="00785C2F">
        <w:rPr>
          <w:rFonts w:asciiTheme="majorBidi" w:eastAsia="SimHei" w:hAnsiTheme="majorBidi" w:cstheme="majorBidi" w:hint="eastAsia"/>
        </w:rPr>
        <w:t>号一般性意见</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1996</w:t>
      </w:r>
      <w:r w:rsidRPr="00785C2F">
        <w:rPr>
          <w:rFonts w:asciiTheme="majorBidi" w:eastAsia="SimHei" w:hAnsiTheme="majorBidi" w:cstheme="majorBidi" w:hint="eastAsia"/>
        </w:rPr>
        <w:t>年</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，缔约国应确保充分享有参与公共事务的权利，包括保障自由透明的选举，为反对派政党和候选人提供公平竞争的环境。具体而言，缔约国应：</w:t>
      </w:r>
    </w:p>
    <w:p w14:paraId="7BECEDAA" w14:textId="0E07D2CA"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充分实现每位公民不受歧视地参与公共事务的宪法权利，为此培养真正的政治多元化文化，并确保所有政党都能自由、平等和透明地开展竞选活动；</w:t>
      </w:r>
    </w:p>
    <w:p w14:paraId="4B669C7A" w14:textId="547CAFEF"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采取一切必要措施，确保对资格和登记程序进行有力的监督和报告，包括通过</w:t>
      </w:r>
      <w:proofErr w:type="gramStart"/>
      <w:r w:rsidRPr="00785C2F">
        <w:rPr>
          <w:rFonts w:asciiTheme="majorBidi" w:eastAsia="SimHei" w:hAnsiTheme="majorBidi" w:cstheme="majorBidi" w:hint="eastAsia"/>
        </w:rPr>
        <w:t>独立监督</w:t>
      </w:r>
      <w:proofErr w:type="gramEnd"/>
      <w:r w:rsidRPr="00785C2F">
        <w:rPr>
          <w:rFonts w:asciiTheme="majorBidi" w:eastAsia="SimHei" w:hAnsiTheme="majorBidi" w:cstheme="majorBidi" w:hint="eastAsia"/>
        </w:rPr>
        <w:t>机制和有效的实施这样做；</w:t>
      </w:r>
    </w:p>
    <w:p w14:paraId="3A8DC8C4" w14:textId="2CF408B8"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确保大选委员会完全独立，包括设立专门机制并制定明确规定，用于对大选委员会的任何决定、作为或不作为提出申诉，并用于上诉；</w:t>
      </w:r>
    </w:p>
    <w:p w14:paraId="6C5BD5E0" w14:textId="64892474" w:rsidR="00B547D6" w:rsidRPr="00583C96" w:rsidRDefault="00B547D6" w:rsidP="00B547D6">
      <w:pPr>
        <w:pStyle w:val="SingleTxt"/>
        <w:rPr>
          <w:rFonts w:asciiTheme="majorBidi" w:eastAsia="SimHei" w:hAnsiTheme="majorBidi" w:cstheme="majorBidi"/>
          <w:spacing w:val="-2"/>
        </w:rPr>
      </w:pPr>
      <w:r w:rsidRPr="00583C96">
        <w:rPr>
          <w:rFonts w:asciiTheme="majorBidi" w:eastAsia="SimHei" w:hAnsiTheme="majorBidi" w:cstheme="majorBidi"/>
          <w:spacing w:val="-2"/>
        </w:rPr>
        <w:tab/>
      </w:r>
      <w:r w:rsidR="00785C2F" w:rsidRPr="00583C96">
        <w:rPr>
          <w:rFonts w:asciiTheme="majorBidi" w:eastAsia="SimHei" w:hAnsiTheme="majorBidi" w:cstheme="majorBidi" w:hint="eastAsia"/>
          <w:spacing w:val="-2"/>
        </w:rPr>
        <w:t>(</w:t>
      </w:r>
      <w:r w:rsidRPr="00583C96">
        <w:rPr>
          <w:rFonts w:asciiTheme="majorBidi" w:eastAsia="SimHei" w:hAnsiTheme="majorBidi" w:cstheme="majorBidi" w:hint="eastAsia"/>
          <w:spacing w:val="-2"/>
        </w:rPr>
        <w:t>d</w:t>
      </w:r>
      <w:r w:rsidR="00785C2F" w:rsidRPr="00583C96">
        <w:rPr>
          <w:rFonts w:asciiTheme="majorBidi" w:eastAsia="SimHei" w:hAnsiTheme="majorBidi" w:cstheme="majorBidi" w:hint="eastAsia"/>
          <w:spacing w:val="-2"/>
        </w:rPr>
        <w:t>)</w:t>
      </w:r>
      <w:r w:rsidRPr="00583C96">
        <w:rPr>
          <w:rFonts w:asciiTheme="majorBidi" w:eastAsia="SimHei" w:hAnsiTheme="majorBidi" w:cstheme="majorBidi" w:hint="eastAsia"/>
          <w:spacing w:val="-2"/>
        </w:rPr>
        <w:tab/>
      </w:r>
      <w:r w:rsidRPr="00583C96">
        <w:rPr>
          <w:rFonts w:asciiTheme="majorBidi" w:eastAsia="SimHei" w:hAnsiTheme="majorBidi" w:cstheme="majorBidi" w:hint="eastAsia"/>
          <w:spacing w:val="-2"/>
        </w:rPr>
        <w:t>修订任何限制公民登记为候选人或选民或者成立登记在册的政党的权利的法律条款，并修订《巴布亚特别自治法》，以便根据《公约》保障公众参与权；</w:t>
      </w:r>
    </w:p>
    <w:p w14:paraId="1A28E7F1" w14:textId="00AC39C5"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e</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采取一切必要措施，以确保所有有权投票的人都能行使这一权利，包括确保投票站无障碍，特别是对残疾人而言；</w:t>
      </w:r>
    </w:p>
    <w:p w14:paraId="2E56BBE1" w14:textId="705D025C"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f</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确保政治反对派候选人及支持者、记者和人权维护者能够开展选举相关活动而不受不当干涉并且自由与安全不受到威胁；</w:t>
      </w:r>
    </w:p>
    <w:p w14:paraId="413AF873" w14:textId="0E5A2E5E" w:rsidR="00583C96" w:rsidRDefault="00B547D6" w:rsidP="00583C9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g</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确保未来所有选举均自由、公正，符合《公约》第二十五条的规定，充分尊重选举权和被选举权，并在国际观察员在场的情况下进行，并确保高级别官员不得对选举进程施加不当影响。</w:t>
      </w:r>
      <w:r w:rsidR="00583C96">
        <w:rPr>
          <w:rFonts w:asciiTheme="majorBidi" w:eastAsia="SimHei" w:hAnsiTheme="majorBidi" w:cstheme="majorBidi"/>
        </w:rPr>
        <w:br w:type="page"/>
      </w:r>
    </w:p>
    <w:p w14:paraId="506B8597"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难民和寻求庇护者</w:t>
      </w:r>
    </w:p>
    <w:p w14:paraId="47F0BF55" w14:textId="47315AF6" w:rsidR="00B547D6" w:rsidRPr="00785C2F" w:rsidRDefault="00B547D6" w:rsidP="00B547D6">
      <w:pPr>
        <w:pStyle w:val="SingleTxt"/>
      </w:pPr>
      <w:r w:rsidRPr="00785C2F">
        <w:rPr>
          <w:rFonts w:hint="eastAsia"/>
        </w:rPr>
        <w:t>40.</w:t>
      </w:r>
      <w:r w:rsidRPr="00785C2F">
        <w:rPr>
          <w:rFonts w:hint="eastAsia"/>
        </w:rPr>
        <w:tab/>
      </w:r>
      <w:r w:rsidRPr="00785C2F">
        <w:rPr>
          <w:rFonts w:hint="eastAsia"/>
        </w:rPr>
        <w:t>委员会注意到，对关于处理难民问题的第</w:t>
      </w:r>
      <w:r w:rsidRPr="00785C2F">
        <w:rPr>
          <w:rFonts w:hint="eastAsia"/>
        </w:rPr>
        <w:t>125/2016</w:t>
      </w:r>
      <w:r w:rsidRPr="00785C2F">
        <w:rPr>
          <w:rFonts w:hint="eastAsia"/>
        </w:rPr>
        <w:t>号总统条例的审查正在进行，并鼓励缔约国重新考虑其关于批准《关于难民地位的公约》及其《议定书》的立场。委员会感到遗憾的是，缺少资料说明法律上和实践中确保向难民和寻求庇护者提供充分的服务以满足其基本需要的现行措施。委员会感到关切的是，最近有报告称，存在针对亚齐省难民营中的罗兴亚难民和寻求庇护者的仇外和种族主义仇恨言论</w:t>
      </w:r>
      <w:r w:rsidR="00785C2F" w:rsidRPr="00785C2F">
        <w:rPr>
          <w:rFonts w:hint="eastAsia"/>
        </w:rPr>
        <w:t>(</w:t>
      </w:r>
      <w:r w:rsidRPr="00785C2F">
        <w:rPr>
          <w:rFonts w:hint="eastAsia"/>
        </w:rPr>
        <w:t>第七、第九、第十二、第十三和第二十四条</w:t>
      </w:r>
      <w:r w:rsidR="00785C2F" w:rsidRPr="00785C2F">
        <w:rPr>
          <w:rFonts w:hint="eastAsia"/>
        </w:rPr>
        <w:t>)</w:t>
      </w:r>
      <w:r w:rsidRPr="00785C2F">
        <w:rPr>
          <w:rFonts w:hint="eastAsia"/>
        </w:rPr>
        <w:t>。</w:t>
      </w:r>
    </w:p>
    <w:p w14:paraId="79E8F2AC"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41.</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w:t>
      </w:r>
    </w:p>
    <w:p w14:paraId="78B2A5AB" w14:textId="5A7CB109"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加强决策者对《关于难民地位的公约》及其《议定书》的理解；</w:t>
      </w:r>
    </w:p>
    <w:p w14:paraId="788A949E" w14:textId="343A258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b</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与民间社会、宗教领袖和地方社区进行有意义的参与式磋商，以便在法律上和实践中采取措施，确保难民和寻求庇护者能够获得适足的食物、水、住房和其他服务，包括保健和卫生服务，以满足其基本需要，并能够诉诸司法和申诉报告机制；</w:t>
      </w:r>
    </w:p>
    <w:p w14:paraId="77746935" w14:textId="659C6961"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开展宣传运动，以打击一切形式的种族歧视，包括仇外心理，并促进尊重寻求庇护者和难民的文化。</w:t>
      </w:r>
    </w:p>
    <w:p w14:paraId="47F5012D"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儿童权利</w:t>
      </w:r>
    </w:p>
    <w:p w14:paraId="1D3AFCFB" w14:textId="212A0959" w:rsidR="00B547D6" w:rsidRPr="00785C2F" w:rsidRDefault="00B547D6" w:rsidP="00B547D6">
      <w:pPr>
        <w:pStyle w:val="SingleTxt"/>
      </w:pPr>
      <w:r w:rsidRPr="00785C2F">
        <w:rPr>
          <w:rFonts w:hint="eastAsia"/>
        </w:rPr>
        <w:t>42.</w:t>
      </w:r>
      <w:r w:rsidRPr="00785C2F">
        <w:rPr>
          <w:rFonts w:hint="eastAsia"/>
        </w:rPr>
        <w:tab/>
      </w:r>
      <w:r w:rsidRPr="00785C2F">
        <w:rPr>
          <w:rFonts w:hint="eastAsia"/>
        </w:rPr>
        <w:t>委员会感到遗憾的是，缺少资料，包括统计数据，说明采取了哪些具体措施，以禁止在一切场合，包括在学校和作为对违规行为的惩罚形式，对儿童进行一切形式的体罚</w:t>
      </w:r>
      <w:r w:rsidR="00785C2F" w:rsidRPr="00785C2F">
        <w:rPr>
          <w:rFonts w:hint="eastAsia"/>
        </w:rPr>
        <w:t>(</w:t>
      </w:r>
      <w:r w:rsidRPr="00785C2F">
        <w:rPr>
          <w:rFonts w:hint="eastAsia"/>
        </w:rPr>
        <w:t>第二十三、第二十四和第二十六条</w:t>
      </w:r>
      <w:r w:rsidR="00785C2F" w:rsidRPr="00785C2F">
        <w:rPr>
          <w:rFonts w:hint="eastAsia"/>
        </w:rPr>
        <w:t>)</w:t>
      </w:r>
      <w:r w:rsidRPr="00785C2F">
        <w:rPr>
          <w:rFonts w:hint="eastAsia"/>
        </w:rPr>
        <w:t>。</w:t>
      </w:r>
    </w:p>
    <w:p w14:paraId="7B07F6A8" w14:textId="77777777" w:rsidR="00B547D6" w:rsidRPr="00583C96" w:rsidRDefault="00B547D6" w:rsidP="00B547D6">
      <w:pPr>
        <w:pStyle w:val="SingleTxt"/>
        <w:rPr>
          <w:rFonts w:asciiTheme="majorBidi" w:eastAsia="SimHei" w:hAnsiTheme="majorBidi" w:cstheme="majorBidi"/>
          <w:spacing w:val="-2"/>
        </w:rPr>
      </w:pPr>
      <w:r w:rsidRPr="00583C96">
        <w:rPr>
          <w:rFonts w:asciiTheme="majorBidi" w:eastAsia="SimHei" w:hAnsiTheme="majorBidi" w:cstheme="majorBidi" w:hint="eastAsia"/>
          <w:spacing w:val="-2"/>
        </w:rPr>
        <w:t>43.</w:t>
      </w:r>
      <w:r w:rsidRPr="00583C96">
        <w:rPr>
          <w:rFonts w:asciiTheme="majorBidi" w:eastAsia="SimHei" w:hAnsiTheme="majorBidi" w:cstheme="majorBidi" w:hint="eastAsia"/>
          <w:spacing w:val="-2"/>
        </w:rPr>
        <w:tab/>
      </w:r>
      <w:r w:rsidRPr="00583C96">
        <w:rPr>
          <w:rFonts w:asciiTheme="majorBidi" w:eastAsia="SimHei" w:hAnsiTheme="majorBidi" w:cstheme="majorBidi" w:hint="eastAsia"/>
          <w:spacing w:val="-2"/>
        </w:rPr>
        <w:t>委员会建议缔约国采取一切必要步骤，终止在所有场合，包括在学校以及作为对违规行为的惩罚形式实施的一切形式的体罚。委员会还建议缔约国对所有关于体罚和任何其他暴力侵害儿童行为的报告进行有效调查，起诉施害者，认定有罪者按罪论处，并保证为受害者提供有效补救。委员会还建议缔约国开展关于虐待儿童的负面后果的公共教育运动，并推行作为替代的非暴力管教方式。</w:t>
      </w:r>
    </w:p>
    <w:p w14:paraId="7B8E8430" w14:textId="77777777" w:rsidR="00B547D6" w:rsidRPr="00785C2F" w:rsidRDefault="00B547D6" w:rsidP="00B547D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r>
      <w:r w:rsidRPr="00785C2F">
        <w:rPr>
          <w:rFonts w:hint="eastAsia"/>
        </w:rPr>
        <w:tab/>
      </w:r>
      <w:r w:rsidRPr="00785C2F">
        <w:rPr>
          <w:rFonts w:hint="eastAsia"/>
        </w:rPr>
        <w:t>少数民族和土著人民的权利</w:t>
      </w:r>
    </w:p>
    <w:p w14:paraId="25721AB4" w14:textId="1D3DCE9C" w:rsidR="00B547D6" w:rsidRPr="00785C2F" w:rsidRDefault="00B547D6" w:rsidP="00B547D6">
      <w:pPr>
        <w:pStyle w:val="SingleTxt"/>
      </w:pPr>
      <w:r w:rsidRPr="00785C2F">
        <w:rPr>
          <w:rFonts w:hint="eastAsia"/>
        </w:rPr>
        <w:t>44.</w:t>
      </w:r>
      <w:r w:rsidRPr="00785C2F">
        <w:rPr>
          <w:rFonts w:hint="eastAsia"/>
        </w:rPr>
        <w:tab/>
      </w:r>
      <w:r w:rsidRPr="00785C2F">
        <w:rPr>
          <w:rFonts w:hint="eastAsia"/>
        </w:rPr>
        <w:t>鉴于缔约国不承认其领土上的土著人民，委员会感到关切的是，身份认同为土著人民的社区可能无法充分行使他们根据《公约》享有的权利。委员会注意到，缔约国采取了步骤，以解决土著人民和地方社区，包括因</w:t>
      </w:r>
      <w:proofErr w:type="spellStart"/>
      <w:r w:rsidRPr="00785C2F">
        <w:rPr>
          <w:rFonts w:hint="eastAsia"/>
        </w:rPr>
        <w:t>Agandugume</w:t>
      </w:r>
      <w:proofErr w:type="spellEnd"/>
      <w:r w:rsidRPr="00785C2F">
        <w:rPr>
          <w:rFonts w:hint="eastAsia"/>
        </w:rPr>
        <w:t>和</w:t>
      </w:r>
      <w:proofErr w:type="spellStart"/>
      <w:r w:rsidRPr="00785C2F">
        <w:rPr>
          <w:rFonts w:hint="eastAsia"/>
        </w:rPr>
        <w:t>Lambewi</w:t>
      </w:r>
      <w:proofErr w:type="spellEnd"/>
      <w:r w:rsidRPr="00785C2F">
        <w:rPr>
          <w:rFonts w:hint="eastAsia"/>
        </w:rPr>
        <w:t>地区的干旱而受到影响或流离失所的人，因气候变化相关自然灾害而境内流离失所的问题。委员会感到关切的是，武装团体与安全部队之间的暴力冲突日益加剧，造成大量平民伤亡和流离失所。委员会还感到遗憾的是，没有资料说明为解决境内流离失所问题或便利个人返回在巴布亚的家乡以及为受害者提供赔偿而采取的措施</w:t>
      </w:r>
      <w:r w:rsidR="00785C2F" w:rsidRPr="00785C2F">
        <w:rPr>
          <w:rFonts w:hint="eastAsia"/>
        </w:rPr>
        <w:t>(</w:t>
      </w:r>
      <w:r w:rsidRPr="00785C2F">
        <w:rPr>
          <w:rFonts w:hint="eastAsia"/>
        </w:rPr>
        <w:t>第一和第二十七条</w:t>
      </w:r>
      <w:r w:rsidR="00785C2F" w:rsidRPr="00785C2F">
        <w:rPr>
          <w:rFonts w:hint="eastAsia"/>
        </w:rPr>
        <w:t>)</w:t>
      </w:r>
      <w:r w:rsidRPr="00785C2F">
        <w:rPr>
          <w:rFonts w:hint="eastAsia"/>
        </w:rPr>
        <w:t>。</w:t>
      </w:r>
    </w:p>
    <w:p w14:paraId="25772935"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45.</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w:t>
      </w:r>
    </w:p>
    <w:p w14:paraId="6774AA79" w14:textId="1FA7CD18"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采取一切必要措施，建立一个立法和政策框架，以承认和保护所有身份认同为土著人民的社区的地位和权利；</w:t>
      </w:r>
    </w:p>
    <w:p w14:paraId="01BCC418" w14:textId="0C4116C1" w:rsidR="00B547D6" w:rsidRPr="00583C96" w:rsidRDefault="00B547D6" w:rsidP="00B547D6">
      <w:pPr>
        <w:pStyle w:val="SingleTxt"/>
        <w:rPr>
          <w:rFonts w:asciiTheme="majorBidi" w:eastAsia="SimHei" w:hAnsiTheme="majorBidi" w:cstheme="majorBidi"/>
          <w:spacing w:val="-2"/>
        </w:rPr>
      </w:pPr>
      <w:r w:rsidRPr="00583C96">
        <w:rPr>
          <w:rFonts w:asciiTheme="majorBidi" w:eastAsia="SimHei" w:hAnsiTheme="majorBidi" w:cstheme="majorBidi"/>
          <w:spacing w:val="-2"/>
        </w:rPr>
        <w:tab/>
      </w:r>
      <w:r w:rsidR="00785C2F" w:rsidRPr="00583C96">
        <w:rPr>
          <w:rFonts w:asciiTheme="majorBidi" w:eastAsia="SimHei" w:hAnsiTheme="majorBidi" w:cstheme="majorBidi" w:hint="eastAsia"/>
          <w:spacing w:val="-2"/>
        </w:rPr>
        <w:t>(</w:t>
      </w:r>
      <w:r w:rsidRPr="00583C96">
        <w:rPr>
          <w:rFonts w:asciiTheme="majorBidi" w:eastAsia="SimHei" w:hAnsiTheme="majorBidi" w:cstheme="majorBidi" w:hint="eastAsia"/>
          <w:spacing w:val="-2"/>
        </w:rPr>
        <w:t>b</w:t>
      </w:r>
      <w:r w:rsidR="00785C2F" w:rsidRPr="00583C96">
        <w:rPr>
          <w:rFonts w:asciiTheme="majorBidi" w:eastAsia="SimHei" w:hAnsiTheme="majorBidi" w:cstheme="majorBidi" w:hint="eastAsia"/>
          <w:spacing w:val="-2"/>
        </w:rPr>
        <w:t>)</w:t>
      </w:r>
      <w:r w:rsidRPr="00583C96">
        <w:rPr>
          <w:rFonts w:asciiTheme="majorBidi" w:eastAsia="SimHei" w:hAnsiTheme="majorBidi" w:cstheme="majorBidi" w:hint="eastAsia"/>
          <w:spacing w:val="-2"/>
        </w:rPr>
        <w:tab/>
      </w:r>
      <w:r w:rsidRPr="00583C96">
        <w:rPr>
          <w:rFonts w:asciiTheme="majorBidi" w:eastAsia="SimHei" w:hAnsiTheme="majorBidi" w:cstheme="majorBidi" w:hint="eastAsia"/>
          <w:spacing w:val="-2"/>
        </w:rPr>
        <w:t>采取措施，保护土著人民和地方社区免遭气候变化相关自然灾害、武装冲突或商业活动所致境内流离失所，以保证以系统和透明的方式进行事先协商，从而确保获得他们的自由、事先和知情同意，并确保他们能够获得有效补救；</w:t>
      </w:r>
    </w:p>
    <w:p w14:paraId="41BB81EB" w14:textId="3AF59565"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c</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优先考虑为社区返回提供便利，以保护他们自由处置土地、自然财富和资源的权利及他们的文化权利，包括与祖传土地和埋葬习俗有关的权利；</w:t>
      </w:r>
    </w:p>
    <w:p w14:paraId="5173ECDD" w14:textId="5D7E9EFF"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d</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确保充分诉诸司法、有效补救以及公平和充分的赔偿；</w:t>
      </w:r>
    </w:p>
    <w:p w14:paraId="6752B89E" w14:textId="56107882"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ab/>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e</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ab/>
      </w:r>
      <w:r w:rsidRPr="00785C2F">
        <w:rPr>
          <w:rFonts w:asciiTheme="majorBidi" w:eastAsia="SimHei" w:hAnsiTheme="majorBidi" w:cstheme="majorBidi" w:hint="eastAsia"/>
        </w:rPr>
        <w:t>废除或修订有损土著人民和地方社区土地使用权和</w:t>
      </w:r>
      <w:r w:rsidRPr="00785C2F">
        <w:rPr>
          <w:rFonts w:asciiTheme="majorBidi" w:eastAsia="SimHei" w:hAnsiTheme="majorBidi" w:cstheme="majorBidi" w:hint="eastAsia"/>
        </w:rPr>
        <w:t>/</w:t>
      </w:r>
      <w:r w:rsidRPr="00785C2F">
        <w:rPr>
          <w:rFonts w:asciiTheme="majorBidi" w:eastAsia="SimHei" w:hAnsiTheme="majorBidi" w:cstheme="majorBidi" w:hint="eastAsia"/>
        </w:rPr>
        <w:t>或不让他们参与影响自身的所有事项的决策的立法，例如《创造就业法》和《关于矿产和煤炭开采的第</w:t>
      </w:r>
      <w:r w:rsidRPr="00785C2F">
        <w:rPr>
          <w:rFonts w:asciiTheme="majorBidi" w:eastAsia="SimHei" w:hAnsiTheme="majorBidi" w:cstheme="majorBidi" w:hint="eastAsia"/>
        </w:rPr>
        <w:t>3/2020</w:t>
      </w:r>
      <w:r w:rsidRPr="00785C2F">
        <w:rPr>
          <w:rFonts w:asciiTheme="majorBidi" w:eastAsia="SimHei" w:hAnsiTheme="majorBidi" w:cstheme="majorBidi" w:hint="eastAsia"/>
        </w:rPr>
        <w:t>号法》中与</w:t>
      </w:r>
      <w:r w:rsidRPr="00785C2F">
        <w:rPr>
          <w:rFonts w:asciiTheme="majorBidi" w:eastAsia="SimHei" w:hAnsiTheme="majorBidi" w:cstheme="majorBidi" w:hint="eastAsia"/>
        </w:rPr>
        <w:t>2013</w:t>
      </w:r>
      <w:r w:rsidRPr="00785C2F">
        <w:rPr>
          <w:rFonts w:asciiTheme="majorBidi" w:eastAsia="SimHei" w:hAnsiTheme="majorBidi" w:cstheme="majorBidi" w:hint="eastAsia"/>
        </w:rPr>
        <w:t>年宪法法院关于传统土地权利的裁决相悖的条款。</w:t>
      </w:r>
    </w:p>
    <w:p w14:paraId="6B817989" w14:textId="7C0034BB" w:rsidR="00B547D6" w:rsidRPr="00785C2F" w:rsidRDefault="00B547D6" w:rsidP="00B547D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785C2F">
        <w:rPr>
          <w:rFonts w:hint="eastAsia"/>
        </w:rPr>
        <w:tab/>
        <w:t>D.</w:t>
      </w:r>
      <w:r w:rsidRPr="00785C2F">
        <w:rPr>
          <w:rFonts w:hint="eastAsia"/>
        </w:rPr>
        <w:tab/>
      </w:r>
      <w:r w:rsidRPr="00785C2F">
        <w:rPr>
          <w:rFonts w:hint="eastAsia"/>
        </w:rPr>
        <w:t>传播和后续行动</w:t>
      </w:r>
    </w:p>
    <w:p w14:paraId="61206B70" w14:textId="77777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46.</w:t>
      </w:r>
      <w:r w:rsidRPr="00785C2F">
        <w:rPr>
          <w:rFonts w:asciiTheme="majorBidi" w:eastAsia="SimHei" w:hAnsiTheme="majorBidi" w:cstheme="majorBidi" w:hint="eastAsia"/>
        </w:rPr>
        <w:tab/>
      </w:r>
      <w:r w:rsidRPr="00785C2F">
        <w:rPr>
          <w:rFonts w:asciiTheme="majorBidi" w:eastAsia="SimHei" w:hAnsiTheme="majorBidi" w:cstheme="majorBidi" w:hint="eastAsia"/>
        </w:rPr>
        <w:t>缔约国应广泛传播《公约》、缔约国的第二次定期报告和本结论性意见，以提高司法、立法和行政部门以及在缔约国开展活动的民间社会团体和非政府组织及广大公众对《公约》所载权利的认识。缔约国应确保将定期报告和本结论性意见译成缔约国的官方语言。</w:t>
      </w:r>
    </w:p>
    <w:p w14:paraId="33C68C78" w14:textId="01EE9777"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hint="eastAsia"/>
        </w:rPr>
        <w:t>47.</w:t>
      </w:r>
      <w:r w:rsidRPr="00785C2F">
        <w:rPr>
          <w:rFonts w:asciiTheme="majorBidi" w:eastAsia="SimHei" w:hAnsiTheme="majorBidi" w:cstheme="majorBidi" w:hint="eastAsia"/>
        </w:rPr>
        <w:tab/>
      </w:r>
      <w:r w:rsidRPr="00785C2F">
        <w:rPr>
          <w:rFonts w:asciiTheme="majorBidi" w:eastAsia="SimHei" w:hAnsiTheme="majorBidi" w:cstheme="majorBidi" w:hint="eastAsia"/>
        </w:rPr>
        <w:t>根据委员会议事规则第</w:t>
      </w:r>
      <w:r w:rsidRPr="00785C2F">
        <w:rPr>
          <w:rFonts w:asciiTheme="majorBidi" w:eastAsia="SimHei" w:hAnsiTheme="majorBidi" w:cstheme="majorBidi" w:hint="eastAsia"/>
        </w:rPr>
        <w:t>75</w:t>
      </w:r>
      <w:r w:rsidRPr="00785C2F">
        <w:rPr>
          <w:rFonts w:asciiTheme="majorBidi" w:eastAsia="SimHei" w:hAnsiTheme="majorBidi" w:cstheme="majorBidi" w:hint="eastAsia"/>
        </w:rPr>
        <w:t>条第</w:t>
      </w:r>
      <w:r w:rsidRPr="00785C2F">
        <w:rPr>
          <w:rFonts w:asciiTheme="majorBidi" w:eastAsia="SimHei" w:hAnsiTheme="majorBidi" w:cstheme="majorBidi" w:hint="eastAsia"/>
        </w:rPr>
        <w:t>1</w:t>
      </w:r>
      <w:r w:rsidRPr="00785C2F">
        <w:rPr>
          <w:rFonts w:asciiTheme="majorBidi" w:eastAsia="SimHei" w:hAnsiTheme="majorBidi" w:cstheme="majorBidi" w:hint="eastAsia"/>
        </w:rPr>
        <w:t>款，缔约国应在</w:t>
      </w:r>
      <w:r w:rsidRPr="00785C2F">
        <w:rPr>
          <w:rFonts w:asciiTheme="majorBidi" w:eastAsia="SimHei" w:hAnsiTheme="majorBidi" w:cstheme="majorBidi" w:hint="eastAsia"/>
        </w:rPr>
        <w:t>2027</w:t>
      </w:r>
      <w:r w:rsidRPr="00785C2F">
        <w:rPr>
          <w:rFonts w:asciiTheme="majorBidi" w:eastAsia="SimHei" w:hAnsiTheme="majorBidi" w:cstheme="majorBidi" w:hint="eastAsia"/>
        </w:rPr>
        <w:t>年</w:t>
      </w:r>
      <w:r w:rsidRPr="00785C2F">
        <w:rPr>
          <w:rFonts w:asciiTheme="majorBidi" w:eastAsia="SimHei" w:hAnsiTheme="majorBidi" w:cstheme="majorBidi" w:hint="eastAsia"/>
        </w:rPr>
        <w:t>3</w:t>
      </w:r>
      <w:r w:rsidRPr="00785C2F">
        <w:rPr>
          <w:rFonts w:asciiTheme="majorBidi" w:eastAsia="SimHei" w:hAnsiTheme="majorBidi" w:cstheme="majorBidi" w:hint="eastAsia"/>
        </w:rPr>
        <w:t>月</w:t>
      </w:r>
      <w:r w:rsidRPr="00785C2F">
        <w:rPr>
          <w:rFonts w:asciiTheme="majorBidi" w:eastAsia="SimHei" w:hAnsiTheme="majorBidi" w:cstheme="majorBidi" w:hint="eastAsia"/>
        </w:rPr>
        <w:t>29</w:t>
      </w:r>
      <w:r w:rsidRPr="00785C2F">
        <w:rPr>
          <w:rFonts w:asciiTheme="majorBidi" w:eastAsia="SimHei" w:hAnsiTheme="majorBidi" w:cstheme="majorBidi" w:hint="eastAsia"/>
        </w:rPr>
        <w:t>日之前提供资料，说明委员会在上文第</w:t>
      </w:r>
      <w:r w:rsidRPr="00785C2F">
        <w:rPr>
          <w:rFonts w:asciiTheme="majorBidi" w:eastAsia="SimHei" w:hAnsiTheme="majorBidi" w:cstheme="majorBidi" w:hint="eastAsia"/>
        </w:rPr>
        <w:t>11</w:t>
      </w:r>
      <w:r w:rsidRPr="00785C2F">
        <w:rPr>
          <w:rFonts w:asciiTheme="majorBidi" w:eastAsia="SimHei" w:hAnsiTheme="majorBidi" w:cstheme="majorBidi" w:hint="eastAsia"/>
        </w:rPr>
        <w:t>段</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以往侵犯人权行为的有罪不罚和问责</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、第</w:t>
      </w:r>
      <w:r w:rsidRPr="00785C2F">
        <w:rPr>
          <w:rFonts w:asciiTheme="majorBidi" w:eastAsia="SimHei" w:hAnsiTheme="majorBidi" w:cstheme="majorBidi" w:hint="eastAsia"/>
        </w:rPr>
        <w:t>29</w:t>
      </w:r>
      <w:r w:rsidRPr="00785C2F">
        <w:rPr>
          <w:rFonts w:asciiTheme="majorBidi" w:eastAsia="SimHei" w:hAnsiTheme="majorBidi" w:cstheme="majorBidi" w:hint="eastAsia"/>
        </w:rPr>
        <w:t>段</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被剥夺自由者和拘留条件</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和第</w:t>
      </w:r>
      <w:r w:rsidRPr="00785C2F">
        <w:rPr>
          <w:rFonts w:asciiTheme="majorBidi" w:eastAsia="SimHei" w:hAnsiTheme="majorBidi" w:cstheme="majorBidi" w:hint="eastAsia"/>
        </w:rPr>
        <w:t>33</w:t>
      </w:r>
      <w:r w:rsidRPr="00785C2F">
        <w:rPr>
          <w:rFonts w:asciiTheme="majorBidi" w:eastAsia="SimHei" w:hAnsiTheme="majorBidi" w:cstheme="majorBidi" w:hint="eastAsia"/>
        </w:rPr>
        <w:t>段</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表达自由</w:t>
      </w:r>
      <w:r w:rsidR="00785C2F" w:rsidRPr="00785C2F">
        <w:rPr>
          <w:rFonts w:asciiTheme="majorBidi" w:eastAsia="SimHei" w:hAnsiTheme="majorBidi" w:cstheme="majorBidi" w:hint="eastAsia"/>
        </w:rPr>
        <w:t>)</w:t>
      </w:r>
      <w:r w:rsidRPr="00785C2F">
        <w:rPr>
          <w:rFonts w:asciiTheme="majorBidi" w:eastAsia="SimHei" w:hAnsiTheme="majorBidi" w:cstheme="majorBidi" w:hint="eastAsia"/>
        </w:rPr>
        <w:t>中所提建议的落实情况。</w:t>
      </w:r>
    </w:p>
    <w:p w14:paraId="630796D5" w14:textId="046EB240" w:rsidR="00B547D6" w:rsidRPr="00785C2F" w:rsidRDefault="00B547D6" w:rsidP="00B547D6">
      <w:pPr>
        <w:pStyle w:val="SingleTxt"/>
        <w:rPr>
          <w:rFonts w:asciiTheme="majorBidi" w:eastAsia="SimHei" w:hAnsiTheme="majorBidi" w:cstheme="majorBidi"/>
        </w:rPr>
      </w:pPr>
      <w:r w:rsidRPr="00785C2F">
        <w:rPr>
          <w:rFonts w:asciiTheme="majorBidi" w:eastAsia="SimHei" w:hAnsiTheme="majorBidi" w:cstheme="majorBidi"/>
        </w:rPr>
        <w:t>48.</w:t>
      </w:r>
      <w:r w:rsidRPr="00785C2F">
        <w:rPr>
          <w:rFonts w:asciiTheme="majorBidi" w:eastAsia="SimHei" w:hAnsiTheme="majorBidi" w:cstheme="majorBidi"/>
        </w:rPr>
        <w:tab/>
      </w:r>
      <w:r w:rsidRPr="00785C2F">
        <w:rPr>
          <w:rFonts w:asciiTheme="majorBidi" w:eastAsia="SimHei" w:hAnsiTheme="majorBidi" w:cstheme="majorBidi"/>
        </w:rPr>
        <w:t>根据委员会可预测的审议周期，缔约国将在</w:t>
      </w:r>
      <w:r w:rsidRPr="00785C2F">
        <w:rPr>
          <w:rFonts w:asciiTheme="majorBidi" w:eastAsia="SimHei" w:hAnsiTheme="majorBidi" w:cstheme="majorBidi"/>
        </w:rPr>
        <w:t>2030</w:t>
      </w:r>
      <w:r w:rsidRPr="00785C2F">
        <w:rPr>
          <w:rFonts w:asciiTheme="majorBidi" w:eastAsia="SimHei" w:hAnsiTheme="majorBidi" w:cstheme="majorBidi"/>
        </w:rPr>
        <w:t>年收到委员会发送的报告</w:t>
      </w:r>
      <w:proofErr w:type="gramStart"/>
      <w:r w:rsidRPr="00C110C6">
        <w:rPr>
          <w:rFonts w:asciiTheme="majorBidi" w:eastAsia="SimHei" w:hAnsiTheme="majorBidi" w:cstheme="majorBidi"/>
        </w:rPr>
        <w:t>前问题</w:t>
      </w:r>
      <w:proofErr w:type="gramEnd"/>
      <w:r w:rsidRPr="00C110C6">
        <w:rPr>
          <w:rFonts w:asciiTheme="majorBidi" w:eastAsia="SimHei" w:hAnsiTheme="majorBidi" w:cstheme="majorBidi"/>
        </w:rPr>
        <w:t>清单，并应</w:t>
      </w:r>
      <w:r w:rsidRPr="00785C2F">
        <w:rPr>
          <w:rFonts w:asciiTheme="majorBidi" w:eastAsia="SimHei" w:hAnsiTheme="majorBidi" w:cstheme="majorBidi"/>
        </w:rPr>
        <w:t>在一年内提交对问题清单的答复，该答复将构成缔约国的第三次定期报告。委员会还请缔约国在编写报告时广泛征求在缔约国开展活动的民间社会团体和非政府组织的意见。按照</w:t>
      </w:r>
      <w:proofErr w:type="gramStart"/>
      <w:r w:rsidRPr="00785C2F">
        <w:rPr>
          <w:rFonts w:asciiTheme="majorBidi" w:eastAsia="SimHei" w:hAnsiTheme="majorBidi" w:cstheme="majorBidi"/>
        </w:rPr>
        <w:t>大会第</w:t>
      </w:r>
      <w:proofErr w:type="gramEnd"/>
      <w:hyperlink r:id="rId16" w:history="1">
        <w:r w:rsidRPr="00785C2F">
          <w:rPr>
            <w:rStyle w:val="af7"/>
            <w:rFonts w:asciiTheme="majorBidi" w:eastAsia="SimHei" w:hAnsiTheme="majorBidi" w:cstheme="majorBidi" w:hint="eastAsia"/>
          </w:rPr>
          <w:t>68/268</w:t>
        </w:r>
      </w:hyperlink>
      <w:r w:rsidRPr="00785C2F">
        <w:rPr>
          <w:rFonts w:asciiTheme="majorBidi" w:eastAsia="SimHei" w:hAnsiTheme="majorBidi" w:cstheme="majorBidi"/>
        </w:rPr>
        <w:t>号决议，报告字数应限制在</w:t>
      </w:r>
      <w:r w:rsidRPr="00785C2F">
        <w:rPr>
          <w:rFonts w:asciiTheme="majorBidi" w:eastAsia="SimHei" w:hAnsiTheme="majorBidi" w:cstheme="majorBidi"/>
        </w:rPr>
        <w:t>21 200</w:t>
      </w:r>
      <w:r w:rsidRPr="00785C2F">
        <w:rPr>
          <w:rFonts w:asciiTheme="majorBidi" w:eastAsia="SimHei" w:hAnsiTheme="majorBidi" w:cstheme="majorBidi"/>
        </w:rPr>
        <w:t>字以内。与缔约国的下一次建设性对话将于</w:t>
      </w:r>
      <w:r w:rsidRPr="00785C2F">
        <w:rPr>
          <w:rFonts w:asciiTheme="majorBidi" w:eastAsia="SimHei" w:hAnsiTheme="majorBidi" w:cstheme="majorBidi"/>
        </w:rPr>
        <w:t>2032</w:t>
      </w:r>
      <w:r w:rsidRPr="00785C2F">
        <w:rPr>
          <w:rFonts w:asciiTheme="majorBidi" w:eastAsia="SimHei" w:hAnsiTheme="majorBidi" w:cstheme="majorBidi"/>
        </w:rPr>
        <w:t>年在日内瓦举行。</w:t>
      </w:r>
    </w:p>
    <w:bookmarkStart w:id="0" w:name="TmpSave"/>
    <w:bookmarkEnd w:id="0"/>
    <w:p w14:paraId="1A07ED92" w14:textId="18D80F04" w:rsidR="00333781" w:rsidRPr="00785C2F" w:rsidRDefault="00B547D6" w:rsidP="00B547D6">
      <w:pPr>
        <w:pStyle w:val="SingleTxt"/>
        <w:spacing w:after="0" w:line="240" w:lineRule="auto"/>
        <w:rPr>
          <w:sz w:val="20"/>
        </w:rPr>
      </w:pPr>
      <w:r w:rsidRPr="00785C2F">
        <w:rPr>
          <w:noProof/>
          <w:sz w:val="20"/>
        </w:rPr>
        <mc:AlternateContent>
          <mc:Choice Requires="wps">
            <w:drawing>
              <wp:anchor distT="0" distB="0" distL="114300" distR="114300" simplePos="0" relativeHeight="251659264" behindDoc="0" locked="0" layoutInCell="1" allowOverlap="1" wp14:anchorId="33C4BA3C" wp14:editId="583F7F20">
                <wp:simplePos x="0" y="0"/>
                <wp:positionH relativeFrom="column">
                  <wp:align>center</wp:align>
                </wp:positionH>
                <wp:positionV relativeFrom="paragraph">
                  <wp:posOffset>381000</wp:posOffset>
                </wp:positionV>
                <wp:extent cx="914400" cy="0"/>
                <wp:effectExtent l="0" t="0" r="0" b="0"/>
                <wp:wrapNone/>
                <wp:docPr id="1428412773"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67146DC6"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785C2F" w:rsidSect="00B547D6">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2A589" w14:textId="77777777" w:rsidR="002F3C5B" w:rsidRDefault="002F3C5B" w:rsidP="00E3371C">
      <w:pPr>
        <w:spacing w:line="240" w:lineRule="auto"/>
      </w:pPr>
      <w:r>
        <w:separator/>
      </w:r>
    </w:p>
  </w:endnote>
  <w:endnote w:type="continuationSeparator" w:id="0">
    <w:p w14:paraId="22375BA5" w14:textId="77777777" w:rsidR="002F3C5B" w:rsidRDefault="002F3C5B"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31D33" w14:paraId="5E569BF8" w14:textId="77777777" w:rsidTr="00C31D33">
      <w:tc>
        <w:tcPr>
          <w:tcW w:w="4920" w:type="dxa"/>
          <w:shd w:val="clear" w:color="auto" w:fill="auto"/>
        </w:tcPr>
        <w:p w14:paraId="0444BA61" w14:textId="09045A26" w:rsidR="00C31D33" w:rsidRPr="00C31D33" w:rsidRDefault="00C31D33" w:rsidP="00C31D33">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1DBB">
            <w:rPr>
              <w:b w:val="0"/>
              <w:w w:val="103"/>
              <w:sz w:val="14"/>
            </w:rPr>
            <w:t>24-06039</w:t>
          </w:r>
          <w:r>
            <w:rPr>
              <w:b w:val="0"/>
              <w:w w:val="103"/>
              <w:sz w:val="14"/>
            </w:rPr>
            <w:fldChar w:fldCharType="end"/>
          </w:r>
        </w:p>
      </w:tc>
      <w:tc>
        <w:tcPr>
          <w:tcW w:w="4920" w:type="dxa"/>
          <w:shd w:val="clear" w:color="auto" w:fill="auto"/>
        </w:tcPr>
        <w:p w14:paraId="5BAEDCB9" w14:textId="4ED390F7" w:rsidR="00C31D33" w:rsidRPr="00C31D33" w:rsidRDefault="00C31D33" w:rsidP="00C31D33">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D5B6FBD" w14:textId="77777777" w:rsidR="00C31D33" w:rsidRPr="00C31D33" w:rsidRDefault="00C31D33" w:rsidP="00C31D3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31D33" w14:paraId="1836D56C" w14:textId="77777777" w:rsidTr="00C31D33">
      <w:tc>
        <w:tcPr>
          <w:tcW w:w="4920" w:type="dxa"/>
          <w:shd w:val="clear" w:color="auto" w:fill="auto"/>
        </w:tcPr>
        <w:p w14:paraId="6163D133" w14:textId="6E03EB2C" w:rsidR="00C31D33" w:rsidRPr="00C31D33" w:rsidRDefault="00C31D33" w:rsidP="00C31D33">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shd w:val="clear" w:color="auto" w:fill="auto"/>
        </w:tcPr>
        <w:p w14:paraId="4D5D87FD" w14:textId="1B17288C" w:rsidR="00C31D33" w:rsidRPr="00C31D33" w:rsidRDefault="00C31D33" w:rsidP="00C31D33">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01DBB">
            <w:rPr>
              <w:b w:val="0"/>
              <w:w w:val="103"/>
              <w:sz w:val="14"/>
            </w:rPr>
            <w:t>24-06039</w:t>
          </w:r>
          <w:r>
            <w:rPr>
              <w:b w:val="0"/>
              <w:w w:val="103"/>
              <w:sz w:val="14"/>
            </w:rPr>
            <w:fldChar w:fldCharType="end"/>
          </w:r>
        </w:p>
      </w:tc>
    </w:tr>
  </w:tbl>
  <w:p w14:paraId="3BE87661" w14:textId="77777777" w:rsidR="00C31D33" w:rsidRPr="00C31D33" w:rsidRDefault="00C31D33" w:rsidP="00C31D3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C31D33" w14:paraId="5B8CD114" w14:textId="77777777" w:rsidTr="00C31D33">
      <w:tc>
        <w:tcPr>
          <w:tcW w:w="3744" w:type="dxa"/>
          <w:shd w:val="clear" w:color="auto" w:fill="auto"/>
        </w:tcPr>
        <w:p w14:paraId="3408BCB6" w14:textId="2FEE043B" w:rsidR="00C31D33" w:rsidRDefault="00C31D33" w:rsidP="00C31D33">
          <w:pPr>
            <w:pStyle w:val="Release"/>
          </w:pPr>
          <w:r>
            <w:rPr>
              <w:noProof/>
            </w:rPr>
            <w:drawing>
              <wp:anchor distT="0" distB="0" distL="114300" distR="114300" simplePos="0" relativeHeight="251658240" behindDoc="0" locked="0" layoutInCell="1" allowOverlap="1" wp14:anchorId="40030242" wp14:editId="4D26B8C5">
                <wp:simplePos x="0" y="0"/>
                <wp:positionH relativeFrom="column">
                  <wp:posOffset>5522595</wp:posOffset>
                </wp:positionH>
                <wp:positionV relativeFrom="paragraph">
                  <wp:posOffset>-356235</wp:posOffset>
                </wp:positionV>
                <wp:extent cx="694690" cy="694690"/>
                <wp:effectExtent l="0" t="0" r="0" b="0"/>
                <wp:wrapNone/>
                <wp:docPr id="8502834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C01DBB">
              <w:t>24-06039 (C)</w:t>
            </w:r>
          </w:fldSimple>
          <w:r>
            <w:t xml:space="preserve">    </w:t>
          </w:r>
          <w:r w:rsidR="00B547D6">
            <w:t>13</w:t>
          </w:r>
          <w:r>
            <w:t xml:space="preserve">0624    </w:t>
          </w:r>
          <w:r w:rsidR="00B547D6">
            <w:t>1</w:t>
          </w:r>
          <w:r w:rsidR="00380A2C">
            <w:t>2</w:t>
          </w:r>
          <w:r w:rsidR="00B547D6">
            <w:t>07</w:t>
          </w:r>
          <w:r>
            <w:t>24</w:t>
          </w:r>
        </w:p>
        <w:p w14:paraId="493F9607" w14:textId="728AAEDC" w:rsidR="00C31D33" w:rsidRPr="00C31D33" w:rsidRDefault="00C31D33" w:rsidP="00C31D33">
          <w:pPr>
            <w:spacing w:before="80" w:line="210" w:lineRule="exact"/>
            <w:rPr>
              <w:rFonts w:ascii="Barcode 3 of 9 by request" w:hAnsi="Barcode 3 of 9 by request"/>
              <w:sz w:val="24"/>
            </w:rPr>
          </w:pPr>
        </w:p>
      </w:tc>
      <w:tc>
        <w:tcPr>
          <w:tcW w:w="4920" w:type="dxa"/>
          <w:shd w:val="clear" w:color="auto" w:fill="auto"/>
          <w:vAlign w:val="center"/>
        </w:tcPr>
        <w:p w14:paraId="276B5446" w14:textId="0C4502AE" w:rsidR="00C31D33" w:rsidRDefault="00C31D33" w:rsidP="00C31D33">
          <w:pPr>
            <w:jc w:val="right"/>
          </w:pPr>
          <w:r>
            <w:rPr>
              <w:noProof/>
            </w:rPr>
            <w:drawing>
              <wp:inline distT="0" distB="0" distL="0" distR="0" wp14:anchorId="4E848BA0" wp14:editId="2657EB1A">
                <wp:extent cx="618745" cy="231648"/>
                <wp:effectExtent l="0" t="0" r="0" b="0"/>
                <wp:docPr id="394580224" name="图片 2"/>
                <wp:cNvGraphicFramePr/>
                <a:graphic xmlns:a="http://schemas.openxmlformats.org/drawingml/2006/main">
                  <a:graphicData uri="http://schemas.openxmlformats.org/drawingml/2006/picture">
                    <pic:pic xmlns:pic="http://schemas.openxmlformats.org/drawingml/2006/picture">
                      <pic:nvPicPr>
                        <pic:cNvPr id="394580224"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C7D6569" w14:textId="77777777" w:rsidR="00C31D33" w:rsidRPr="00C31D33" w:rsidRDefault="00C31D33" w:rsidP="00C31D33">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D766C" w14:textId="16B5C9DE" w:rsidR="002F3C5B" w:rsidRPr="00B547D6" w:rsidRDefault="00B547D6" w:rsidP="00B547D6">
      <w:pPr>
        <w:pStyle w:val="a5"/>
        <w:spacing w:after="80"/>
        <w:ind w:left="792"/>
        <w:rPr>
          <w:sz w:val="16"/>
        </w:rPr>
      </w:pPr>
      <w:r w:rsidRPr="00B547D6">
        <w:rPr>
          <w:sz w:val="16"/>
        </w:rPr>
        <w:t>__________________</w:t>
      </w:r>
    </w:p>
  </w:footnote>
  <w:footnote w:type="continuationSeparator" w:id="0">
    <w:p w14:paraId="503A60B2" w14:textId="4FA03BB1" w:rsidR="002F3C5B" w:rsidRPr="00B547D6" w:rsidRDefault="00B547D6" w:rsidP="00B547D6">
      <w:pPr>
        <w:pStyle w:val="a5"/>
        <w:spacing w:after="80"/>
        <w:ind w:left="792"/>
        <w:rPr>
          <w:sz w:val="16"/>
        </w:rPr>
      </w:pPr>
      <w:r w:rsidRPr="00B547D6">
        <w:rPr>
          <w:sz w:val="16"/>
        </w:rPr>
        <w:t>__________________</w:t>
      </w:r>
    </w:p>
  </w:footnote>
  <w:footnote w:id="1">
    <w:p w14:paraId="6EA4D33E" w14:textId="2B73E044" w:rsidR="00B547D6" w:rsidRDefault="00B547D6" w:rsidP="00B547D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t>*</w:t>
      </w:r>
      <w:r>
        <w:tab/>
      </w:r>
      <w:r w:rsidRPr="00B547D6">
        <w:rPr>
          <w:rFonts w:hint="eastAsia"/>
        </w:rPr>
        <w:t>委员会第一百四十届会议</w:t>
      </w:r>
      <w:r w:rsidR="00785C2F">
        <w:rPr>
          <w:rFonts w:hint="eastAsia"/>
        </w:rPr>
        <w:t>(</w:t>
      </w:r>
      <w:r w:rsidRPr="00B547D6">
        <w:rPr>
          <w:rFonts w:hint="eastAsia"/>
        </w:rPr>
        <w:t>2024</w:t>
      </w:r>
      <w:r w:rsidRPr="00B547D6">
        <w:rPr>
          <w:rFonts w:hint="eastAsia"/>
        </w:rPr>
        <w:t>年</w:t>
      </w:r>
      <w:r w:rsidRPr="00B547D6">
        <w:rPr>
          <w:rFonts w:hint="eastAsia"/>
        </w:rPr>
        <w:t>3</w:t>
      </w:r>
      <w:r w:rsidRPr="00B547D6">
        <w:rPr>
          <w:rFonts w:hint="eastAsia"/>
        </w:rPr>
        <w:t>月</w:t>
      </w:r>
      <w:r w:rsidRPr="00B547D6">
        <w:rPr>
          <w:rFonts w:hint="eastAsia"/>
        </w:rPr>
        <w:t>4</w:t>
      </w:r>
      <w:r w:rsidRPr="00B547D6">
        <w:rPr>
          <w:rFonts w:hint="eastAsia"/>
        </w:rPr>
        <w:t>日至</w:t>
      </w:r>
      <w:r w:rsidRPr="00B547D6">
        <w:rPr>
          <w:rFonts w:hint="eastAsia"/>
        </w:rPr>
        <w:t>28</w:t>
      </w:r>
      <w:r w:rsidRPr="00B547D6">
        <w:rPr>
          <w:rFonts w:hint="eastAsia"/>
        </w:rPr>
        <w:t>日</w:t>
      </w:r>
      <w:r w:rsidR="00785C2F">
        <w:rPr>
          <w:rFonts w:hint="eastAsia"/>
        </w:rPr>
        <w:t>)</w:t>
      </w:r>
      <w:r w:rsidRPr="00B547D6">
        <w:rPr>
          <w:rFonts w:hint="eastAsia"/>
        </w:rPr>
        <w:t>通过。</w:t>
      </w:r>
    </w:p>
    <w:p w14:paraId="187B0999" w14:textId="13B36C5C" w:rsidR="00B547D6" w:rsidRPr="00B547D6" w:rsidRDefault="00B547D6" w:rsidP="00B547D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r w:rsidRPr="00B547D6">
        <w:rPr>
          <w:rFonts w:hint="eastAsia"/>
        </w:rPr>
        <w:t>见</w:t>
      </w:r>
      <w:hyperlink r:id="rId1" w:history="1">
        <w:r w:rsidRPr="00785C2F">
          <w:rPr>
            <w:rStyle w:val="af7"/>
            <w:rFonts w:hint="eastAsia"/>
          </w:rPr>
          <w:t>CCPR/C/SR.4087</w:t>
        </w:r>
      </w:hyperlink>
      <w:r w:rsidRPr="00B547D6">
        <w:rPr>
          <w:rFonts w:hint="eastAsia"/>
        </w:rPr>
        <w:t>和</w:t>
      </w:r>
      <w:hyperlink r:id="rId2" w:history="1">
        <w:r w:rsidRPr="00785C2F">
          <w:rPr>
            <w:rStyle w:val="af7"/>
            <w:rFonts w:hint="eastAsia"/>
          </w:rPr>
          <w:t>CCPR/C/SR.4088</w:t>
        </w:r>
      </w:hyperlink>
      <w:r w:rsidRPr="00B547D6">
        <w:rPr>
          <w:rFonts w:hint="eastAsia"/>
        </w:rPr>
        <w:t>。</w:t>
      </w:r>
    </w:p>
  </w:footnote>
  <w:footnote w:id="2">
    <w:p w14:paraId="2705DDDB" w14:textId="67B4DFFD" w:rsidR="00B547D6" w:rsidRPr="00B547D6" w:rsidRDefault="00B547D6" w:rsidP="00B547D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3" w:history="1">
        <w:r w:rsidRPr="00785C2F">
          <w:rPr>
            <w:rStyle w:val="af7"/>
            <w:rFonts w:hint="eastAsia"/>
          </w:rPr>
          <w:t>CCPR/C/IDN/2</w:t>
        </w:r>
      </w:hyperlink>
      <w:r w:rsidRPr="00B547D6">
        <w:rPr>
          <w:rFonts w:hint="eastAsia"/>
        </w:rPr>
        <w:t>。</w:t>
      </w:r>
    </w:p>
  </w:footnote>
  <w:footnote w:id="3">
    <w:p w14:paraId="022CB6A2" w14:textId="5E630C34" w:rsidR="00B547D6" w:rsidRPr="00B547D6" w:rsidRDefault="00B547D6" w:rsidP="00B547D6">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8"/>
        </w:rPr>
        <w:footnoteRef/>
      </w:r>
      <w:r>
        <w:tab/>
      </w:r>
      <w:hyperlink r:id="rId4" w:history="1">
        <w:r w:rsidRPr="00785C2F">
          <w:rPr>
            <w:rStyle w:val="af7"/>
            <w:rFonts w:hint="eastAsia"/>
          </w:rPr>
          <w:t>CCPR/C/IDN/QPR/2</w:t>
        </w:r>
      </w:hyperlink>
      <w:r w:rsidRPr="00B547D6">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31D33" w14:paraId="032766D1" w14:textId="77777777" w:rsidTr="00C31D33">
      <w:trPr>
        <w:trHeight w:hRule="exact" w:val="864"/>
      </w:trPr>
      <w:tc>
        <w:tcPr>
          <w:tcW w:w="4925" w:type="dxa"/>
          <w:shd w:val="clear" w:color="auto" w:fill="auto"/>
          <w:vAlign w:val="bottom"/>
        </w:tcPr>
        <w:p w14:paraId="7C0EF13F" w14:textId="29BF926F" w:rsidR="00C31D33" w:rsidRPr="00C31D33" w:rsidRDefault="00C31D33" w:rsidP="00C31D33">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01DBB">
            <w:rPr>
              <w:b/>
              <w:sz w:val="17"/>
            </w:rPr>
            <w:t>CCPR/C/IDN/CO/2</w:t>
          </w:r>
          <w:r>
            <w:rPr>
              <w:b/>
              <w:sz w:val="17"/>
            </w:rPr>
            <w:fldChar w:fldCharType="end"/>
          </w:r>
        </w:p>
      </w:tc>
      <w:tc>
        <w:tcPr>
          <w:tcW w:w="4920" w:type="dxa"/>
          <w:shd w:val="clear" w:color="auto" w:fill="auto"/>
          <w:vAlign w:val="bottom"/>
        </w:tcPr>
        <w:p w14:paraId="6449ED74" w14:textId="77777777" w:rsidR="00C31D33" w:rsidRDefault="00C31D33" w:rsidP="00C31D33">
          <w:pPr>
            <w:pStyle w:val="a3"/>
          </w:pPr>
        </w:p>
      </w:tc>
    </w:tr>
  </w:tbl>
  <w:p w14:paraId="24D9BDCA" w14:textId="77777777" w:rsidR="00C31D33" w:rsidRPr="00C31D33" w:rsidRDefault="00C31D33" w:rsidP="00C31D3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31D33" w14:paraId="55C2E9FE" w14:textId="77777777" w:rsidTr="00C31D33">
      <w:trPr>
        <w:trHeight w:hRule="exact" w:val="864"/>
      </w:trPr>
      <w:tc>
        <w:tcPr>
          <w:tcW w:w="4925" w:type="dxa"/>
          <w:shd w:val="clear" w:color="auto" w:fill="auto"/>
          <w:vAlign w:val="bottom"/>
        </w:tcPr>
        <w:p w14:paraId="4C9B95C0" w14:textId="77777777" w:rsidR="00C31D33" w:rsidRDefault="00C31D33" w:rsidP="00C31D33">
          <w:pPr>
            <w:pStyle w:val="a3"/>
          </w:pPr>
        </w:p>
      </w:tc>
      <w:tc>
        <w:tcPr>
          <w:tcW w:w="4920" w:type="dxa"/>
          <w:shd w:val="clear" w:color="auto" w:fill="auto"/>
          <w:vAlign w:val="bottom"/>
        </w:tcPr>
        <w:p w14:paraId="07CCC58A" w14:textId="75D593EC" w:rsidR="00C31D33" w:rsidRPr="00C31D33" w:rsidRDefault="00C31D33" w:rsidP="00C31D33">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01DBB">
            <w:rPr>
              <w:b/>
              <w:sz w:val="17"/>
            </w:rPr>
            <w:t>CCPR/C/IDN/CO/2</w:t>
          </w:r>
          <w:r>
            <w:rPr>
              <w:b/>
              <w:sz w:val="17"/>
            </w:rPr>
            <w:fldChar w:fldCharType="end"/>
          </w:r>
        </w:p>
      </w:tc>
    </w:tr>
  </w:tbl>
  <w:p w14:paraId="25C81A69" w14:textId="77777777" w:rsidR="00C31D33" w:rsidRPr="00C31D33" w:rsidRDefault="00C31D33" w:rsidP="00C31D3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31D33" w14:paraId="1922C8DD" w14:textId="77777777" w:rsidTr="00C31D33">
      <w:trPr>
        <w:trHeight w:hRule="exact" w:val="864"/>
      </w:trPr>
      <w:tc>
        <w:tcPr>
          <w:tcW w:w="1267" w:type="dxa"/>
          <w:tcBorders>
            <w:bottom w:val="single" w:sz="4" w:space="0" w:color="auto"/>
          </w:tcBorders>
          <w:shd w:val="clear" w:color="auto" w:fill="auto"/>
          <w:vAlign w:val="bottom"/>
        </w:tcPr>
        <w:p w14:paraId="4F577869" w14:textId="77777777" w:rsidR="00C31D33" w:rsidRDefault="00C31D33" w:rsidP="00C31D33">
          <w:pPr>
            <w:pStyle w:val="a3"/>
            <w:spacing w:after="120"/>
          </w:pPr>
        </w:p>
      </w:tc>
      <w:tc>
        <w:tcPr>
          <w:tcW w:w="1872" w:type="dxa"/>
          <w:tcBorders>
            <w:bottom w:val="single" w:sz="4" w:space="0" w:color="auto"/>
          </w:tcBorders>
          <w:shd w:val="clear" w:color="auto" w:fill="auto"/>
          <w:vAlign w:val="bottom"/>
        </w:tcPr>
        <w:p w14:paraId="69B33C84" w14:textId="6D4E5CF3" w:rsidR="00C31D33" w:rsidRPr="00C31D33" w:rsidRDefault="00C31D33" w:rsidP="00C31D3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C259522" w14:textId="77777777" w:rsidR="00C31D33" w:rsidRDefault="00C31D33" w:rsidP="00C31D33">
          <w:pPr>
            <w:pStyle w:val="a3"/>
            <w:spacing w:after="120"/>
          </w:pPr>
        </w:p>
      </w:tc>
      <w:tc>
        <w:tcPr>
          <w:tcW w:w="6437" w:type="dxa"/>
          <w:gridSpan w:val="3"/>
          <w:tcBorders>
            <w:bottom w:val="single" w:sz="4" w:space="0" w:color="auto"/>
          </w:tcBorders>
          <w:shd w:val="clear" w:color="auto" w:fill="auto"/>
          <w:vAlign w:val="bottom"/>
        </w:tcPr>
        <w:p w14:paraId="68D6F285" w14:textId="210A8C66" w:rsidR="00C31D33" w:rsidRPr="00C31D33" w:rsidRDefault="00C31D33" w:rsidP="00C31D33">
          <w:pPr>
            <w:spacing w:after="80" w:line="240" w:lineRule="auto"/>
            <w:jc w:val="right"/>
            <w:rPr>
              <w:position w:val="-4"/>
            </w:rPr>
          </w:pPr>
          <w:proofErr w:type="spellStart"/>
          <w:r>
            <w:rPr>
              <w:position w:val="-4"/>
              <w:sz w:val="40"/>
            </w:rPr>
            <w:t>CCPR</w:t>
          </w:r>
          <w:proofErr w:type="spellEnd"/>
          <w:r>
            <w:rPr>
              <w:position w:val="-4"/>
            </w:rPr>
            <w:t>/C/</w:t>
          </w:r>
          <w:proofErr w:type="spellStart"/>
          <w:r>
            <w:rPr>
              <w:position w:val="-4"/>
            </w:rPr>
            <w:t>IDN</w:t>
          </w:r>
          <w:proofErr w:type="spellEnd"/>
          <w:r>
            <w:rPr>
              <w:position w:val="-4"/>
            </w:rPr>
            <w:t>/CO/2</w:t>
          </w:r>
        </w:p>
      </w:tc>
    </w:tr>
    <w:tr w:rsidR="00C31D33" w:rsidRPr="00C31D33" w14:paraId="0D8974B1" w14:textId="77777777" w:rsidTr="00C31D33">
      <w:trPr>
        <w:trHeight w:hRule="exact" w:val="2880"/>
      </w:trPr>
      <w:tc>
        <w:tcPr>
          <w:tcW w:w="1267" w:type="dxa"/>
          <w:tcBorders>
            <w:top w:val="single" w:sz="4" w:space="0" w:color="auto"/>
            <w:bottom w:val="single" w:sz="12" w:space="0" w:color="auto"/>
          </w:tcBorders>
          <w:shd w:val="clear" w:color="auto" w:fill="auto"/>
        </w:tcPr>
        <w:p w14:paraId="66807304" w14:textId="3536C45C" w:rsidR="00C31D33" w:rsidRPr="00C31D33" w:rsidRDefault="00C31D33" w:rsidP="00C31D33">
          <w:pPr>
            <w:pStyle w:val="a3"/>
            <w:spacing w:before="109"/>
          </w:pPr>
          <w:r>
            <w:t xml:space="preserve"> </w:t>
          </w:r>
          <w:r>
            <w:drawing>
              <wp:inline distT="0" distB="0" distL="0" distR="0" wp14:anchorId="1117C68E" wp14:editId="6BC8EE27">
                <wp:extent cx="711200" cy="597103"/>
                <wp:effectExtent l="0" t="0" r="0" b="0"/>
                <wp:docPr id="1668127918" name="图片 1"/>
                <wp:cNvGraphicFramePr/>
                <a:graphic xmlns:a="http://schemas.openxmlformats.org/drawingml/2006/main">
                  <a:graphicData uri="http://schemas.openxmlformats.org/drawingml/2006/picture">
                    <pic:pic xmlns:pic="http://schemas.openxmlformats.org/drawingml/2006/picture">
                      <pic:nvPicPr>
                        <pic:cNvPr id="1668127918"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C94B26" w14:textId="1665465B" w:rsidR="00C31D33" w:rsidRPr="00C31D33" w:rsidRDefault="00C31D33" w:rsidP="00B547D6">
          <w:pPr>
            <w:pStyle w:val="XLarge"/>
            <w:spacing w:before="109" w:after="140" w:line="400" w:lineRule="exact"/>
            <w:ind w:left="0" w:firstLine="0"/>
            <w:jc w:val="left"/>
            <w:rPr>
              <w:sz w:val="34"/>
            </w:rPr>
          </w:pPr>
          <w:r>
            <w:rPr>
              <w:rFonts w:hint="eastAsia"/>
              <w:sz w:val="34"/>
            </w:rPr>
            <w:t>公民及政治权利</w:t>
          </w:r>
          <w:r>
            <w:rPr>
              <w:rFonts w:hint="eastAsia"/>
              <w:sz w:val="34"/>
            </w:rPr>
            <w:br/>
          </w:r>
          <w:r>
            <w:rPr>
              <w:rFonts w:hint="eastAsia"/>
              <w:sz w:val="34"/>
            </w:rPr>
            <w:t>国际公约</w:t>
          </w:r>
        </w:p>
      </w:tc>
      <w:tc>
        <w:tcPr>
          <w:tcW w:w="245" w:type="dxa"/>
          <w:tcBorders>
            <w:top w:val="single" w:sz="4" w:space="0" w:color="auto"/>
            <w:bottom w:val="single" w:sz="12" w:space="0" w:color="auto"/>
          </w:tcBorders>
          <w:shd w:val="clear" w:color="auto" w:fill="auto"/>
        </w:tcPr>
        <w:p w14:paraId="0D54E3D3" w14:textId="77777777" w:rsidR="00C31D33" w:rsidRPr="00C31D33" w:rsidRDefault="00C31D33" w:rsidP="00C31D33">
          <w:pPr>
            <w:pStyle w:val="a3"/>
            <w:spacing w:before="109"/>
          </w:pPr>
        </w:p>
      </w:tc>
      <w:tc>
        <w:tcPr>
          <w:tcW w:w="3080" w:type="dxa"/>
          <w:tcBorders>
            <w:top w:val="single" w:sz="4" w:space="0" w:color="auto"/>
            <w:bottom w:val="single" w:sz="12" w:space="0" w:color="auto"/>
          </w:tcBorders>
          <w:shd w:val="clear" w:color="auto" w:fill="auto"/>
        </w:tcPr>
        <w:p w14:paraId="49B77ED9" w14:textId="77777777" w:rsidR="00C31D33" w:rsidRDefault="00C31D33" w:rsidP="00C31D33">
          <w:pPr>
            <w:pStyle w:val="Distr"/>
          </w:pPr>
          <w:r>
            <w:t>Distr.: General</w:t>
          </w:r>
        </w:p>
        <w:p w14:paraId="7DADF5A0" w14:textId="77777777" w:rsidR="00C31D33" w:rsidRDefault="00C31D33" w:rsidP="00C31D33">
          <w:pPr>
            <w:pStyle w:val="Publication"/>
          </w:pPr>
          <w:r>
            <w:t>3 May 2024</w:t>
          </w:r>
        </w:p>
        <w:p w14:paraId="3F9E092B" w14:textId="77777777" w:rsidR="00C31D33" w:rsidRDefault="00C31D33" w:rsidP="00C31D33">
          <w:pPr>
            <w:spacing w:line="240" w:lineRule="exact"/>
          </w:pPr>
          <w:r>
            <w:t>Chinese</w:t>
          </w:r>
        </w:p>
        <w:p w14:paraId="2210A268" w14:textId="77777777" w:rsidR="00C31D33" w:rsidRDefault="00C31D33" w:rsidP="00C31D33">
          <w:pPr>
            <w:pStyle w:val="Original"/>
          </w:pPr>
          <w:r>
            <w:t>Original: English</w:t>
          </w:r>
        </w:p>
        <w:p w14:paraId="0CB4C22A" w14:textId="27023943" w:rsidR="00C31D33" w:rsidRPr="00C31D33" w:rsidRDefault="00C31D33" w:rsidP="00C31D33"/>
      </w:tc>
    </w:tr>
  </w:tbl>
  <w:p w14:paraId="69CD3C73" w14:textId="77777777" w:rsidR="00C31D33" w:rsidRPr="00C31D33" w:rsidRDefault="00C31D33" w:rsidP="00C31D33">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6039*"/>
    <w:docVar w:name="CreationDt" w:val="24/06/2024 12:59:07"/>
    <w:docVar w:name="DocCategory" w:val="Doc"/>
    <w:docVar w:name="DocType" w:val="Final"/>
    <w:docVar w:name="DutyStation" w:val="New York"/>
    <w:docVar w:name="FooterJN" w:val="24-06039"/>
    <w:docVar w:name="jobn" w:val="24-06039 (C)"/>
    <w:docVar w:name="jobnDT" w:val="24-06039 (C)   240624"/>
    <w:docVar w:name="jobnDTDT" w:val="24-06039 (C)   240624   240624"/>
    <w:docVar w:name="JobNo" w:val="2406039C"/>
    <w:docVar w:name="LocalDrive" w:val="-1"/>
    <w:docVar w:name="OandT" w:val="gb"/>
    <w:docVar w:name="sss1" w:val="CCPR/C/IDN/CO/2"/>
    <w:docVar w:name="sss2" w:val="-"/>
    <w:docVar w:name="Symbol1" w:val="CCPR/C/IDN/CO/2"/>
    <w:docVar w:name="Symbol2" w:val="-"/>
    <w:docVar w:name="Title1" w:val="_x0009__x0009_关于印度尼西亚第二次定期报告的结论性意见*_x000d_"/>
  </w:docVars>
  <w:rsids>
    <w:rsidRoot w:val="002F3C5B"/>
    <w:rsid w:val="00003E22"/>
    <w:rsid w:val="00011A74"/>
    <w:rsid w:val="000E3AF4"/>
    <w:rsid w:val="00141821"/>
    <w:rsid w:val="00173CA4"/>
    <w:rsid w:val="001D49A6"/>
    <w:rsid w:val="00222551"/>
    <w:rsid w:val="002F3C5B"/>
    <w:rsid w:val="00306444"/>
    <w:rsid w:val="003201A0"/>
    <w:rsid w:val="00333781"/>
    <w:rsid w:val="00380A2C"/>
    <w:rsid w:val="00400D20"/>
    <w:rsid w:val="0047445A"/>
    <w:rsid w:val="0057503F"/>
    <w:rsid w:val="00583C96"/>
    <w:rsid w:val="007204FB"/>
    <w:rsid w:val="007316FE"/>
    <w:rsid w:val="00785C2F"/>
    <w:rsid w:val="007D2FD6"/>
    <w:rsid w:val="008A15A1"/>
    <w:rsid w:val="009141A3"/>
    <w:rsid w:val="00971481"/>
    <w:rsid w:val="0099001A"/>
    <w:rsid w:val="009B20A4"/>
    <w:rsid w:val="009D6282"/>
    <w:rsid w:val="00A21540"/>
    <w:rsid w:val="00AE136E"/>
    <w:rsid w:val="00B12BB8"/>
    <w:rsid w:val="00B547D6"/>
    <w:rsid w:val="00C01DBB"/>
    <w:rsid w:val="00C110C6"/>
    <w:rsid w:val="00C31D33"/>
    <w:rsid w:val="00C64E6E"/>
    <w:rsid w:val="00DD703D"/>
    <w:rsid w:val="00E3371C"/>
    <w:rsid w:val="00E5205A"/>
    <w:rsid w:val="00E72BE8"/>
    <w:rsid w:val="00F527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0C011"/>
  <w15:chartTrackingRefBased/>
  <w15:docId w15:val="{3EB93F8C-7EBA-4161-8D18-21ED4B0F8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2F3C5B"/>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2F3C5B"/>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2F3C5B"/>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2F3C5B"/>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2F3C5B"/>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2F3C5B"/>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SimHei"/>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SimHei"/>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SimHei" w:eastAsia="SimHei" w:hAnsi="SimHei"/>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SimHei"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SimHei"/>
      <w:sz w:val="24"/>
    </w:rPr>
  </w:style>
  <w:style w:type="character" w:customStyle="1" w:styleId="TitleH1Char">
    <w:name w:val="Title_H1 Char"/>
    <w:basedOn w:val="a0"/>
    <w:link w:val="TitleH1"/>
    <w:rsid w:val="00A21540"/>
    <w:rPr>
      <w:rFonts w:ascii="Times New Roman" w:eastAsia="SimHei"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SimHei"/>
      <w:spacing w:val="2"/>
    </w:rPr>
  </w:style>
  <w:style w:type="character" w:customStyle="1" w:styleId="TitleH2Char">
    <w:name w:val="Title_H2 Char"/>
    <w:basedOn w:val="a0"/>
    <w:link w:val="TitleH2"/>
    <w:rsid w:val="00A21540"/>
    <w:rPr>
      <w:rFonts w:ascii="Times New Roman" w:eastAsia="SimHei"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SimHei" w:eastAsia="SimHei" w:hAnsi="SimHei"/>
      <w:sz w:val="36"/>
    </w:rPr>
  </w:style>
  <w:style w:type="paragraph" w:customStyle="1" w:styleId="21">
    <w:name w:val="日刊标题2"/>
    <w:basedOn w:val="a"/>
    <w:next w:val="a"/>
    <w:qFormat/>
    <w:rsid w:val="00A21540"/>
    <w:pPr>
      <w:spacing w:line="400" w:lineRule="exact"/>
    </w:pPr>
    <w:rPr>
      <w:rFonts w:ascii="SimHei" w:hAnsi="SimHei"/>
      <w:sz w:val="28"/>
    </w:rPr>
  </w:style>
  <w:style w:type="paragraph" w:customStyle="1" w:styleId="31">
    <w:name w:val="日刊标题3"/>
    <w:basedOn w:val="a"/>
    <w:next w:val="a"/>
    <w:qFormat/>
    <w:rsid w:val="00A21540"/>
    <w:pPr>
      <w:spacing w:line="360" w:lineRule="exact"/>
    </w:pPr>
    <w:rPr>
      <w:rFonts w:ascii="SimHei" w:eastAsia="SimHei" w:hAnsi="SimHei"/>
      <w:sz w:val="24"/>
    </w:rPr>
  </w:style>
  <w:style w:type="paragraph" w:customStyle="1" w:styleId="41">
    <w:name w:val="日刊标题4"/>
    <w:basedOn w:val="a"/>
    <w:next w:val="a"/>
    <w:qFormat/>
    <w:rsid w:val="00A21540"/>
    <w:rPr>
      <w:rFonts w:ascii="SimHei" w:eastAsia="SimHei" w:hAnsi="SimHei"/>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SimHei" w:hAnsi="Times New Roman" w:cstheme="majorBidi"/>
      <w:bCs/>
      <w:kern w:val="14"/>
      <w:sz w:val="28"/>
      <w:szCs w:val="28"/>
    </w:rPr>
  </w:style>
  <w:style w:type="character" w:customStyle="1" w:styleId="20">
    <w:name w:val="标题 2 字符"/>
    <w:basedOn w:val="a0"/>
    <w:link w:val="2"/>
    <w:rsid w:val="00A21540"/>
    <w:rPr>
      <w:rFonts w:ascii="SimHei" w:eastAsiaTheme="majorEastAsia" w:hAnsi="SimHei"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SimHei"/>
      <w:color w:val="0000FF"/>
      <w:sz w:val="24"/>
    </w:rPr>
  </w:style>
  <w:style w:type="paragraph" w:customStyle="1" w:styleId="BLUEHeadingH2">
    <w:name w:val="BLUE_Heading_H2"/>
    <w:basedOn w:val="a"/>
    <w:next w:val="a"/>
    <w:qFormat/>
    <w:rsid w:val="00F527B3"/>
    <w:pPr>
      <w:ind w:left="1267" w:right="1267" w:hanging="1267"/>
      <w:outlineLvl w:val="1"/>
    </w:pPr>
    <w:rPr>
      <w:rFonts w:eastAsia="SimHei"/>
      <w:color w:val="0000FF"/>
      <w:sz w:val="22"/>
    </w:rPr>
  </w:style>
  <w:style w:type="character" w:customStyle="1" w:styleId="40">
    <w:name w:val="标题 4 字符"/>
    <w:basedOn w:val="a0"/>
    <w:link w:val="4"/>
    <w:uiPriority w:val="9"/>
    <w:semiHidden/>
    <w:rsid w:val="002F3C5B"/>
    <w:rPr>
      <w:rFonts w:cstheme="majorBidi"/>
      <w:color w:val="2F5496" w:themeColor="accent1" w:themeShade="BF"/>
      <w:kern w:val="14"/>
      <w:sz w:val="28"/>
      <w:szCs w:val="28"/>
    </w:rPr>
  </w:style>
  <w:style w:type="character" w:customStyle="1" w:styleId="50">
    <w:name w:val="标题 5 字符"/>
    <w:basedOn w:val="a0"/>
    <w:link w:val="5"/>
    <w:uiPriority w:val="9"/>
    <w:semiHidden/>
    <w:rsid w:val="002F3C5B"/>
    <w:rPr>
      <w:rFonts w:cstheme="majorBidi"/>
      <w:color w:val="2F5496" w:themeColor="accent1" w:themeShade="BF"/>
      <w:kern w:val="14"/>
      <w:sz w:val="24"/>
      <w:szCs w:val="24"/>
    </w:rPr>
  </w:style>
  <w:style w:type="character" w:customStyle="1" w:styleId="60">
    <w:name w:val="标题 6 字符"/>
    <w:basedOn w:val="a0"/>
    <w:link w:val="6"/>
    <w:uiPriority w:val="9"/>
    <w:semiHidden/>
    <w:rsid w:val="002F3C5B"/>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2F3C5B"/>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2F3C5B"/>
    <w:rPr>
      <w:rFonts w:cstheme="majorBidi"/>
      <w:color w:val="595959" w:themeColor="text1" w:themeTint="A6"/>
      <w:kern w:val="14"/>
      <w:sz w:val="21"/>
      <w:szCs w:val="20"/>
    </w:rPr>
  </w:style>
  <w:style w:type="character" w:customStyle="1" w:styleId="90">
    <w:name w:val="标题 9 字符"/>
    <w:basedOn w:val="a0"/>
    <w:link w:val="9"/>
    <w:uiPriority w:val="9"/>
    <w:semiHidden/>
    <w:rsid w:val="002F3C5B"/>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2F3C5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2F3C5B"/>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2F3C5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2F3C5B"/>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2F3C5B"/>
    <w:pPr>
      <w:spacing w:before="160" w:after="160"/>
      <w:jc w:val="center"/>
    </w:pPr>
    <w:rPr>
      <w:i/>
      <w:iCs/>
      <w:color w:val="404040" w:themeColor="text1" w:themeTint="BF"/>
    </w:rPr>
  </w:style>
  <w:style w:type="character" w:customStyle="1" w:styleId="afd">
    <w:name w:val="引用 字符"/>
    <w:basedOn w:val="a0"/>
    <w:link w:val="afc"/>
    <w:uiPriority w:val="29"/>
    <w:rsid w:val="002F3C5B"/>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2F3C5B"/>
    <w:pPr>
      <w:ind w:left="720"/>
      <w:contextualSpacing/>
    </w:pPr>
  </w:style>
  <w:style w:type="character" w:styleId="aff">
    <w:name w:val="Intense Emphasis"/>
    <w:basedOn w:val="a0"/>
    <w:uiPriority w:val="21"/>
    <w:qFormat/>
    <w:rsid w:val="002F3C5B"/>
    <w:rPr>
      <w:i/>
      <w:iCs/>
      <w:color w:val="2F5496" w:themeColor="accent1" w:themeShade="BF"/>
    </w:rPr>
  </w:style>
  <w:style w:type="paragraph" w:styleId="aff0">
    <w:name w:val="Intense Quote"/>
    <w:basedOn w:val="a"/>
    <w:next w:val="a"/>
    <w:link w:val="aff1"/>
    <w:uiPriority w:val="30"/>
    <w:qFormat/>
    <w:rsid w:val="002F3C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2F3C5B"/>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2F3C5B"/>
    <w:rPr>
      <w:b/>
      <w:bCs/>
      <w:smallCaps/>
      <w:color w:val="2F5496" w:themeColor="accent1" w:themeShade="BF"/>
      <w:spacing w:val="5"/>
    </w:rPr>
  </w:style>
  <w:style w:type="paragraph" w:styleId="aff3">
    <w:name w:val="Revision"/>
    <w:hidden/>
    <w:uiPriority w:val="99"/>
    <w:semiHidden/>
    <w:rsid w:val="00B547D6"/>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ndocs.org/ch/A/RES/68/26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ch/CCPR/C/IDN/2" TargetMode="External"/><Relationship Id="rId2" Type="http://schemas.openxmlformats.org/officeDocument/2006/relationships/hyperlink" Target="https://undocs.org/ch/CCPR/C/SR.4088" TargetMode="External"/><Relationship Id="rId1" Type="http://schemas.openxmlformats.org/officeDocument/2006/relationships/hyperlink" Target="https://undocs.org/ch/CCPR/C/SR.4087" TargetMode="External"/><Relationship Id="rId4" Type="http://schemas.openxmlformats.org/officeDocument/2006/relationships/hyperlink" Target="https://undocs.org/ch/CCPR/C/IDN/QPR/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577B0AC3-A7BA-445A-B40C-53219EDF23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DD605-09E3-49F6-B4A0-DEEBBB54754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41c8501f-7554-4cfe-b76f-88ff51cf7baf"/>
    <ds:schemaRef ds:uri="http://schemas.openxmlformats.org/package/2006/metadata/core-properties"/>
    <ds:schemaRef ds:uri="http://purl.org/dc/terms/"/>
    <ds:schemaRef ds:uri="985ec44e-1bab-4c0b-9df0-6ba128686fc9"/>
    <ds:schemaRef ds:uri="32aca14f-6975-493a-b86a-2ec1bd8de7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6413</Words>
  <Characters>7954</Characters>
  <Application>Microsoft Office Word</Application>
  <DocSecurity>0</DocSecurity>
  <Lines>568</Lines>
  <Paragraphs>574</Paragraphs>
  <ScaleCrop>false</ScaleCrop>
  <Company/>
  <LinksUpToDate>false</LinksUpToDate>
  <CharactersWithSpaces>13793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 Guo</dc:creator>
  <cp:keywords/>
  <dc:description/>
  <cp:lastModifiedBy>Xiaoqing Yang</cp:lastModifiedBy>
  <cp:revision>3</cp:revision>
  <cp:lastPrinted>2024-07-12T15:00:00Z</cp:lastPrinted>
  <dcterms:created xsi:type="dcterms:W3CDTF">2024-07-12T15:00:00Z</dcterms:created>
  <dcterms:modified xsi:type="dcterms:W3CDTF">2024-07-12T15:01:00Z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2406039</vt:lpwstr>
  </property>
  <property fmtid="{D5CDD505-2E9C-101B-9397-08002B2CF9AE}" pid="3" name="ODSRefJobNo">
    <vt:lpwstr>2405630C</vt:lpwstr>
  </property>
  <property fmtid="{D5CDD505-2E9C-101B-9397-08002B2CF9AE}" pid="4" name="Symbol1">
    <vt:lpwstr>CCPR/C/IDN/CO/2</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 May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关于印度尼西亚第二次定期报告的结论性意见*_x000d_</vt:lpwstr>
  </property>
</Properties>
</file>