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153959" w:rsidP="00E95D5A">
            <w:pPr>
              <w:bidi w:val="0"/>
              <w:spacing w:after="20"/>
              <w:jc w:val="left"/>
              <w:rPr>
                <w:szCs w:val="20"/>
              </w:rPr>
            </w:pPr>
            <w:r w:rsidRPr="00153959">
              <w:rPr>
                <w:sz w:val="40"/>
                <w:szCs w:val="20"/>
              </w:rPr>
              <w:t>CERD</w:t>
            </w:r>
            <w:r>
              <w:rPr>
                <w:szCs w:val="20"/>
              </w:rPr>
              <w:t>/C/KWT/Q/21-24</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E95D5A" w:rsidP="00E95D5A">
            <w:pPr>
              <w:bidi w:val="0"/>
              <w:spacing w:before="240"/>
              <w:jc w:val="left"/>
            </w:pPr>
            <w:r>
              <w:t>Distr.: General</w:t>
            </w:r>
          </w:p>
          <w:p w:rsidR="00E95D5A" w:rsidRDefault="00E95D5A" w:rsidP="00E95D5A">
            <w:pPr>
              <w:bidi w:val="0"/>
              <w:jc w:val="left"/>
            </w:pPr>
            <w:r>
              <w:t>19 June 2017</w:t>
            </w:r>
          </w:p>
          <w:p w:rsidR="00E95D5A" w:rsidRDefault="00E95D5A" w:rsidP="00E95D5A">
            <w:pPr>
              <w:bidi w:val="0"/>
              <w:jc w:val="left"/>
            </w:pPr>
            <w:r>
              <w:t>Arabic</w:t>
            </w:r>
          </w:p>
          <w:p w:rsidR="00E95D5A" w:rsidRDefault="00E95D5A" w:rsidP="00E95D5A">
            <w:pPr>
              <w:bidi w:val="0"/>
              <w:jc w:val="left"/>
            </w:pPr>
            <w:r>
              <w:t>Original: English</w:t>
            </w:r>
          </w:p>
          <w:p w:rsidR="00E95D5A" w:rsidRDefault="00E95D5A" w:rsidP="00E95D5A">
            <w:pPr>
              <w:bidi w:val="0"/>
              <w:jc w:val="left"/>
            </w:pPr>
            <w:r>
              <w:t>Arabic, English, French and</w:t>
            </w:r>
          </w:p>
          <w:p w:rsidR="00E95D5A" w:rsidRPr="008B4BC6" w:rsidRDefault="00E95D5A" w:rsidP="00E95D5A">
            <w:pPr>
              <w:bidi w:val="0"/>
              <w:jc w:val="left"/>
            </w:pPr>
            <w:r>
              <w:t>Spanish only</w:t>
            </w:r>
          </w:p>
        </w:tc>
      </w:tr>
    </w:tbl>
    <w:p w:rsidR="00E95D5A" w:rsidRPr="00E95D5A" w:rsidRDefault="00E95D5A" w:rsidP="00E95D5A">
      <w:pPr>
        <w:spacing w:before="120" w:line="380" w:lineRule="exact"/>
        <w:rPr>
          <w:b/>
          <w:bCs/>
          <w:sz w:val="26"/>
          <w:szCs w:val="36"/>
          <w:rtl/>
          <w:lang w:bidi="ar-DZ"/>
        </w:rPr>
      </w:pPr>
      <w:r w:rsidRPr="00E95D5A">
        <w:rPr>
          <w:rFonts w:hint="cs"/>
          <w:b/>
          <w:bCs/>
          <w:sz w:val="26"/>
          <w:szCs w:val="36"/>
          <w:rtl/>
          <w:lang w:bidi="ar-DZ"/>
        </w:rPr>
        <w:t>اللجنة المعنية بالقضاء على التمييز العنصري</w:t>
      </w:r>
    </w:p>
    <w:p w:rsidR="00E95D5A" w:rsidRPr="00E95D5A" w:rsidRDefault="00E95D5A" w:rsidP="00E95D5A">
      <w:pPr>
        <w:spacing w:line="380" w:lineRule="exact"/>
        <w:rPr>
          <w:b/>
          <w:bCs/>
          <w:rtl/>
          <w:lang w:bidi="ar-DZ"/>
        </w:rPr>
      </w:pPr>
      <w:r w:rsidRPr="00E95D5A">
        <w:rPr>
          <w:rFonts w:hint="cs"/>
          <w:b/>
          <w:bCs/>
          <w:rtl/>
          <w:lang w:bidi="ar-DZ"/>
        </w:rPr>
        <w:t>الدورة الثالثة والتسعون</w:t>
      </w:r>
    </w:p>
    <w:p w:rsidR="00E95D5A" w:rsidRDefault="00E95D5A" w:rsidP="00E95D5A">
      <w:pPr>
        <w:spacing w:line="380" w:lineRule="exact"/>
        <w:rPr>
          <w:rtl/>
          <w:lang w:bidi="ar-DZ"/>
        </w:rPr>
      </w:pPr>
      <w:r>
        <w:rPr>
          <w:rFonts w:hint="cs"/>
          <w:rtl/>
          <w:lang w:bidi="ar-DZ"/>
        </w:rPr>
        <w:t xml:space="preserve">31 تموز/يوليه - 25 آب/أغسطس 2017 </w:t>
      </w:r>
    </w:p>
    <w:p w:rsidR="00E95D5A" w:rsidRDefault="00E95D5A" w:rsidP="00E95D5A">
      <w:pPr>
        <w:spacing w:line="380" w:lineRule="exact"/>
        <w:rPr>
          <w:rtl/>
          <w:lang w:bidi="ar-DZ"/>
        </w:rPr>
      </w:pPr>
      <w:r>
        <w:rPr>
          <w:rFonts w:hint="cs"/>
          <w:rtl/>
          <w:lang w:bidi="ar-DZ"/>
        </w:rPr>
        <w:t>البند 4 من جدول الأعمال المؤقت</w:t>
      </w:r>
    </w:p>
    <w:p w:rsidR="00E95D5A" w:rsidRDefault="00E95D5A" w:rsidP="00E95D5A">
      <w:pPr>
        <w:spacing w:line="380" w:lineRule="exact"/>
        <w:rPr>
          <w:b/>
          <w:bCs/>
          <w:rtl/>
          <w:lang w:bidi="ar-DZ"/>
        </w:rPr>
      </w:pPr>
      <w:r w:rsidRPr="00E95D5A">
        <w:rPr>
          <w:rFonts w:hint="cs"/>
          <w:b/>
          <w:bCs/>
          <w:rtl/>
          <w:lang w:bidi="ar-DZ"/>
        </w:rPr>
        <w:t xml:space="preserve">النظر في التقارير والتعليقات والمعلومات المقدمة من </w:t>
      </w:r>
    </w:p>
    <w:p w:rsidR="00E95D5A" w:rsidRPr="00E95D5A" w:rsidRDefault="00E95D5A" w:rsidP="00E95D5A">
      <w:pPr>
        <w:spacing w:line="380" w:lineRule="exact"/>
        <w:rPr>
          <w:b/>
          <w:bCs/>
          <w:rtl/>
          <w:lang w:bidi="ar-DZ"/>
        </w:rPr>
      </w:pPr>
      <w:r w:rsidRPr="00E95D5A">
        <w:rPr>
          <w:rFonts w:hint="cs"/>
          <w:b/>
          <w:bCs/>
          <w:rtl/>
          <w:lang w:bidi="ar-DZ"/>
        </w:rPr>
        <w:t>الدول الأطراف بموجب المادة 9 من الاتفاقية</w:t>
      </w:r>
    </w:p>
    <w:p w:rsidR="00E95D5A" w:rsidRDefault="00E95D5A" w:rsidP="00E95D5A">
      <w:pPr>
        <w:pStyle w:val="HChGA"/>
        <w:rPr>
          <w:rtl/>
          <w:lang w:bidi="ar-DZ"/>
        </w:rPr>
      </w:pPr>
      <w:r>
        <w:rPr>
          <w:rtl/>
          <w:lang w:bidi="ar-DZ"/>
        </w:rPr>
        <w:tab/>
      </w:r>
      <w:r>
        <w:rPr>
          <w:rtl/>
          <w:lang w:bidi="ar-DZ"/>
        </w:rPr>
        <w:tab/>
      </w:r>
      <w:r>
        <w:rPr>
          <w:rFonts w:hint="cs"/>
          <w:rtl/>
          <w:lang w:bidi="ar-DZ"/>
        </w:rPr>
        <w:t>قائمة المواضيع المتصلة بالتقرير الجامع للتقارير الدورية من الحادي والعشرين إلى الرابع والعشرين للكويت</w:t>
      </w:r>
    </w:p>
    <w:p w:rsidR="00E95D5A" w:rsidRDefault="00E95D5A" w:rsidP="00E95D5A">
      <w:pPr>
        <w:pStyle w:val="H1GA"/>
        <w:rPr>
          <w:rtl/>
          <w:lang w:bidi="ar-DZ"/>
        </w:rPr>
      </w:pPr>
      <w:r>
        <w:rPr>
          <w:rtl/>
          <w:lang w:bidi="ar-DZ"/>
        </w:rPr>
        <w:tab/>
      </w:r>
      <w:r>
        <w:rPr>
          <w:rtl/>
          <w:lang w:bidi="ar-DZ"/>
        </w:rPr>
        <w:tab/>
      </w:r>
      <w:r>
        <w:rPr>
          <w:rFonts w:hint="cs"/>
          <w:rtl/>
          <w:lang w:bidi="ar-DZ"/>
        </w:rPr>
        <w:t>مذكرة من المقرر القطري</w:t>
      </w:r>
    </w:p>
    <w:p w:rsidR="00E95D5A" w:rsidRDefault="00E95D5A" w:rsidP="00E95D5A">
      <w:pPr>
        <w:pStyle w:val="SingleTxtGA"/>
        <w:rPr>
          <w:rtl/>
          <w:lang w:bidi="ar-DZ"/>
        </w:rPr>
      </w:pPr>
      <w:r>
        <w:rPr>
          <w:rFonts w:hint="cs"/>
          <w:rtl/>
          <w:lang w:bidi="ar-DZ"/>
        </w:rPr>
        <w:t>1-</w:t>
      </w:r>
      <w:r>
        <w:rPr>
          <w:rFonts w:hint="cs"/>
          <w:rtl/>
          <w:lang w:bidi="ar-DZ"/>
        </w:rPr>
        <w:tab/>
        <w:t xml:space="preserve">قررت لجنة القضاء على التمييز العنصري، في دورتها السادسة والسبعين (انظر الوثيقة </w:t>
      </w:r>
      <w:r w:rsidRPr="009704DE">
        <w:t>A/65/18</w:t>
      </w:r>
      <w:r>
        <w:rPr>
          <w:rFonts w:hint="cs"/>
          <w:rtl/>
          <w:lang w:bidi="ar-DZ"/>
        </w:rPr>
        <w:t>، الفقرة 85) أن يرسل المقرر القطري إلى الدولة الطرف المعنية قائمة قصيرة بالمواضيع من أجل توجيه الحوار وتركيزه بين وفد الدولة الطرف واللجنة أثناء النظر في تقرير الدولة الطرف. وتتضمن هذه الوثيقة قائمة بتلك المواضيع. وهذه القائمة ليست شاملة، حيث يمكن أيضاً طرح قضايا أخرى في أثناء الحوار. ولا حاجة إلى أي ردود كتابية.</w:t>
      </w:r>
    </w:p>
    <w:p w:rsidR="00E95D5A" w:rsidRDefault="00E95D5A" w:rsidP="00E95D5A">
      <w:pPr>
        <w:pStyle w:val="H23GA"/>
        <w:rPr>
          <w:rtl/>
          <w:lang w:bidi="ar-DZ"/>
        </w:rPr>
      </w:pPr>
      <w:r>
        <w:rPr>
          <w:rtl/>
          <w:lang w:bidi="ar-DZ"/>
        </w:rPr>
        <w:tab/>
      </w:r>
      <w:r>
        <w:rPr>
          <w:rtl/>
          <w:lang w:bidi="ar-DZ"/>
        </w:rPr>
        <w:tab/>
      </w:r>
      <w:r>
        <w:rPr>
          <w:rFonts w:hint="cs"/>
          <w:rtl/>
          <w:lang w:bidi="ar-DZ"/>
        </w:rPr>
        <w:t>الإطار القانوني والمؤسسي والمتعلق بالسياسات العامة من أجل مكافحة التمييز العنصري (المواد 2-7)</w:t>
      </w:r>
    </w:p>
    <w:p w:rsidR="00E95D5A" w:rsidRDefault="00E95D5A" w:rsidP="00E95D5A">
      <w:pPr>
        <w:pStyle w:val="SingleTxtGA"/>
        <w:rPr>
          <w:rtl/>
          <w:lang w:bidi="ar-DZ"/>
        </w:rPr>
      </w:pPr>
      <w:r>
        <w:rPr>
          <w:rFonts w:hint="cs"/>
          <w:rtl/>
          <w:lang w:bidi="ar-DZ"/>
        </w:rPr>
        <w:t>2-</w:t>
      </w:r>
      <w:r>
        <w:rPr>
          <w:rFonts w:hint="cs"/>
          <w:rtl/>
          <w:lang w:bidi="ar-DZ"/>
        </w:rPr>
        <w:tab/>
        <w:t xml:space="preserve">بيانات إحصائية شاملة بشأن المؤشرات الاقتصادية والاجتماعية لسكان الكويت، تكون مصنفة بحسب الانتماء </w:t>
      </w:r>
      <w:proofErr w:type="spellStart"/>
      <w:r>
        <w:rPr>
          <w:rFonts w:hint="cs"/>
          <w:rtl/>
          <w:lang w:bidi="ar-DZ"/>
        </w:rPr>
        <w:t>الإثني</w:t>
      </w:r>
      <w:proofErr w:type="spellEnd"/>
      <w:r>
        <w:rPr>
          <w:rFonts w:hint="cs"/>
          <w:rtl/>
          <w:lang w:bidi="ar-DZ"/>
        </w:rPr>
        <w:t xml:space="preserve"> (</w:t>
      </w:r>
      <w:r w:rsidRPr="009704DE">
        <w:t>CERD/C/KWT/CO/15-20</w:t>
      </w:r>
      <w:r>
        <w:rPr>
          <w:rFonts w:hint="cs"/>
          <w:rtl/>
          <w:lang w:bidi="ar-DZ"/>
        </w:rPr>
        <w:t xml:space="preserve">، الفقرة 7؛ </w:t>
      </w:r>
      <w:r w:rsidRPr="009704DE">
        <w:t>CERD/C/KWT/21-24</w:t>
      </w:r>
      <w:r>
        <w:rPr>
          <w:rFonts w:hint="cs"/>
          <w:rtl/>
        </w:rPr>
        <w:t>، الفقرة 114).</w:t>
      </w:r>
    </w:p>
    <w:p w:rsidR="00E95D5A" w:rsidRDefault="00E95D5A" w:rsidP="00E95D5A">
      <w:pPr>
        <w:pStyle w:val="SingleTxtGA"/>
        <w:rPr>
          <w:rtl/>
        </w:rPr>
      </w:pPr>
      <w:r>
        <w:rPr>
          <w:rFonts w:hint="cs"/>
          <w:rtl/>
          <w:lang w:bidi="ar-DZ"/>
        </w:rPr>
        <w:t>3-</w:t>
      </w:r>
      <w:r>
        <w:rPr>
          <w:rFonts w:hint="cs"/>
          <w:rtl/>
          <w:lang w:bidi="ar-DZ"/>
        </w:rPr>
        <w:tab/>
        <w:t xml:space="preserve">قانون محلي يُعرف التمييز العنصري </w:t>
      </w:r>
      <w:r>
        <w:rPr>
          <w:rFonts w:hint="cs"/>
          <w:rtl/>
        </w:rPr>
        <w:t>تعريفاً</w:t>
      </w:r>
      <w:r>
        <w:rPr>
          <w:rFonts w:hint="cs"/>
          <w:rtl/>
          <w:lang w:bidi="ar-DZ"/>
        </w:rPr>
        <w:t xml:space="preserve"> يتفق مع المادة 1 من الاتفاقية (</w:t>
      </w:r>
      <w:r w:rsidRPr="009704DE">
        <w:t>CERD/C/KWT/CO/15-20</w:t>
      </w:r>
      <w:r>
        <w:rPr>
          <w:rFonts w:hint="cs"/>
          <w:rtl/>
          <w:lang w:bidi="ar-DZ"/>
        </w:rPr>
        <w:t xml:space="preserve">، الفقرة 8؛ </w:t>
      </w:r>
      <w:r w:rsidRPr="009704DE">
        <w:t>CERD/C/KWT/21-24</w:t>
      </w:r>
      <w:r>
        <w:rPr>
          <w:rFonts w:hint="cs"/>
          <w:rtl/>
        </w:rPr>
        <w:t>، الفقرات 115-118).</w:t>
      </w:r>
    </w:p>
    <w:p w:rsidR="00E95D5A" w:rsidRDefault="00E95D5A" w:rsidP="00E95D5A">
      <w:pPr>
        <w:pStyle w:val="SingleTxtGA"/>
        <w:rPr>
          <w:rtl/>
          <w:lang w:bidi="ar-DZ"/>
        </w:rPr>
      </w:pPr>
      <w:r>
        <w:rPr>
          <w:rFonts w:hint="cs"/>
          <w:rtl/>
        </w:rPr>
        <w:t>4-</w:t>
      </w:r>
      <w:r>
        <w:rPr>
          <w:rFonts w:hint="cs"/>
          <w:rtl/>
        </w:rPr>
        <w:tab/>
      </w:r>
      <w:r>
        <w:rPr>
          <w:rFonts w:hint="cs"/>
          <w:rtl/>
          <w:lang w:bidi="ar-DZ"/>
        </w:rPr>
        <w:t>أمثلة ملموسة على تطبيق الاتفاقية في المحاكم وفي إطار الإجراءات الإدارية (</w:t>
      </w:r>
      <w:r w:rsidRPr="009704DE">
        <w:t>CERD/C/KWT/CO/15-20</w:t>
      </w:r>
      <w:r>
        <w:rPr>
          <w:rFonts w:hint="cs"/>
          <w:rtl/>
          <w:lang w:bidi="ar-DZ"/>
        </w:rPr>
        <w:t xml:space="preserve">، الفقرة 9؛ </w:t>
      </w:r>
      <w:r w:rsidRPr="009704DE">
        <w:t>CERD/C/KWT/21-24</w:t>
      </w:r>
      <w:r>
        <w:rPr>
          <w:rFonts w:hint="cs"/>
          <w:rtl/>
          <w:lang w:bidi="ar-DZ"/>
        </w:rPr>
        <w:t>، الفقرات 119-122).</w:t>
      </w:r>
    </w:p>
    <w:p w:rsidR="00E95D5A" w:rsidRDefault="00E95D5A" w:rsidP="00E95D5A">
      <w:pPr>
        <w:pStyle w:val="SingleTxtGA"/>
        <w:rPr>
          <w:rtl/>
          <w:lang w:bidi="ar-DZ"/>
        </w:rPr>
      </w:pPr>
      <w:r>
        <w:rPr>
          <w:rFonts w:hint="cs"/>
          <w:rtl/>
          <w:lang w:bidi="ar-DZ"/>
        </w:rPr>
        <w:lastRenderedPageBreak/>
        <w:t>5-</w:t>
      </w:r>
      <w:r>
        <w:rPr>
          <w:rFonts w:hint="cs"/>
          <w:rtl/>
          <w:lang w:bidi="ar-DZ"/>
        </w:rPr>
        <w:tab/>
        <w:t>تطابق المؤسسات الوطنية لحقوق الإنسان، ديوان حقوق الإنسان، مع المبادئ المتعلقة بمركز المؤسسات الوطنية لتعزيز وحماية حقوق الإنسان (مبادئ باريس) (</w:t>
      </w:r>
      <w:r w:rsidRPr="009704DE">
        <w:t>CERD/C/KWT/CO/15-20</w:t>
      </w:r>
      <w:r>
        <w:rPr>
          <w:rFonts w:hint="cs"/>
          <w:rtl/>
          <w:lang w:bidi="ar-DZ"/>
        </w:rPr>
        <w:t xml:space="preserve">، الفقرة 10؛ </w:t>
      </w:r>
      <w:r w:rsidRPr="009704DE">
        <w:t>CERD/C/KWT/21-24</w:t>
      </w:r>
      <w:r>
        <w:rPr>
          <w:rFonts w:hint="cs"/>
          <w:rtl/>
        </w:rPr>
        <w:t>، الفقرات 123 و124 و213 و214).</w:t>
      </w:r>
    </w:p>
    <w:p w:rsidR="00E95D5A" w:rsidRDefault="00E95D5A" w:rsidP="00E95D5A">
      <w:pPr>
        <w:pStyle w:val="SingleTxtGA"/>
        <w:rPr>
          <w:rtl/>
          <w:lang w:bidi="ar-DZ"/>
        </w:rPr>
      </w:pPr>
      <w:r>
        <w:rPr>
          <w:rFonts w:hint="cs"/>
          <w:rtl/>
        </w:rPr>
        <w:t>6-</w:t>
      </w:r>
      <w:r>
        <w:rPr>
          <w:rFonts w:hint="cs"/>
          <w:rtl/>
        </w:rPr>
        <w:tab/>
        <w:t xml:space="preserve">تنقيح قانون الجزاء لحظر المنظمات العنصرية ومنع نشر الأفكار القائمة على التفوق العرقي أو الكراهية والتصدي للحض على الكراهية العنصرية والتمييز العنصري </w:t>
      </w:r>
      <w:r>
        <w:rPr>
          <w:rFonts w:hint="cs"/>
          <w:rtl/>
          <w:lang w:bidi="ar-DZ"/>
        </w:rPr>
        <w:t>(</w:t>
      </w:r>
      <w:r w:rsidRPr="009704DE">
        <w:t>CERD/C/KWT/CO/15-20</w:t>
      </w:r>
      <w:r>
        <w:rPr>
          <w:rFonts w:hint="cs"/>
          <w:rtl/>
          <w:lang w:bidi="ar-DZ"/>
        </w:rPr>
        <w:t xml:space="preserve">، الفقرة 12؛ </w:t>
      </w:r>
      <w:r w:rsidRPr="009704DE">
        <w:t>CERD/C/KWT/21-24</w:t>
      </w:r>
      <w:r>
        <w:rPr>
          <w:rFonts w:hint="cs"/>
          <w:rtl/>
        </w:rPr>
        <w:t>، الفقرات 6 و21 و138 و139 و160).</w:t>
      </w:r>
    </w:p>
    <w:p w:rsidR="00E95D5A" w:rsidRPr="00E95D5A" w:rsidRDefault="00E95D5A" w:rsidP="00E95D5A">
      <w:pPr>
        <w:pStyle w:val="SingleTxtGA"/>
        <w:rPr>
          <w:spacing w:val="-2"/>
          <w:rtl/>
        </w:rPr>
      </w:pPr>
      <w:r w:rsidRPr="00E95D5A">
        <w:rPr>
          <w:rFonts w:hint="cs"/>
          <w:spacing w:val="-2"/>
          <w:rtl/>
        </w:rPr>
        <w:t>7-</w:t>
      </w:r>
      <w:r w:rsidRPr="00E95D5A">
        <w:rPr>
          <w:rFonts w:hint="cs"/>
          <w:spacing w:val="-2"/>
          <w:rtl/>
        </w:rPr>
        <w:tab/>
        <w:t xml:space="preserve">إحصاءات ومعلومات بخصوص جرائم الكراهية العنصرية وخطاب الكراهية وأفعال التمييز العنصري الأخرى، بما في ذلك عدد ونوع القضايا المحددة، وعدد الأشخاص الذين شملتهم ملاحقات وعقوبات قضائية، وسبل الانتصاف المتاحة للضحايا، والخلفية الإثنية للضحايا. </w:t>
      </w:r>
    </w:p>
    <w:p w:rsidR="00E95D5A" w:rsidRDefault="00E95D5A" w:rsidP="00E95D5A">
      <w:pPr>
        <w:pStyle w:val="SingleTxtGA"/>
        <w:rPr>
          <w:rtl/>
        </w:rPr>
      </w:pPr>
      <w:r>
        <w:rPr>
          <w:rFonts w:hint="cs"/>
          <w:rtl/>
        </w:rPr>
        <w:t>8-</w:t>
      </w:r>
      <w:r>
        <w:rPr>
          <w:rFonts w:hint="cs"/>
          <w:rtl/>
        </w:rPr>
        <w:tab/>
        <w:t xml:space="preserve">أي تعديل تشريعي أُدخل على قانون الخدمة المدنية (القانون رقم 15 لسنة 1979) لحظر التمييز في الاستخدام في الإدارة العامة بسبب الجنس والأصل واللغة والدين </w:t>
      </w:r>
      <w:r>
        <w:rPr>
          <w:rFonts w:hint="cs"/>
          <w:rtl/>
          <w:lang w:bidi="ar-DZ"/>
        </w:rPr>
        <w:t>(</w:t>
      </w:r>
      <w:r w:rsidRPr="009704DE">
        <w:t>CERD/C/KWT/CO/15-20</w:t>
      </w:r>
      <w:r>
        <w:rPr>
          <w:rFonts w:hint="cs"/>
          <w:rtl/>
          <w:lang w:bidi="ar-DZ"/>
        </w:rPr>
        <w:t xml:space="preserve">، الفقرة 14؛ </w:t>
      </w:r>
      <w:r w:rsidRPr="009704DE">
        <w:t>CERD/C/KWT/21-24</w:t>
      </w:r>
      <w:r>
        <w:rPr>
          <w:rFonts w:hint="cs"/>
          <w:rtl/>
        </w:rPr>
        <w:t>، الفقرة 153).</w:t>
      </w:r>
    </w:p>
    <w:p w:rsidR="00E95D5A" w:rsidRDefault="00E95D5A" w:rsidP="00E95D5A">
      <w:pPr>
        <w:pStyle w:val="SingleTxtGA"/>
        <w:rPr>
          <w:rtl/>
        </w:rPr>
      </w:pPr>
      <w:r>
        <w:rPr>
          <w:rFonts w:hint="cs"/>
          <w:rtl/>
        </w:rPr>
        <w:t>9-</w:t>
      </w:r>
      <w:r>
        <w:rPr>
          <w:rFonts w:hint="cs"/>
          <w:rtl/>
        </w:rPr>
        <w:tab/>
        <w:t xml:space="preserve">أي تعديلات أدخلت على قانون الجنسية (القانون رقم 15 لسنة 1959) للسماح للمرأة الكويتية المتزوجة من أجنبي بنقل جنسيتها إلى أبنائها وزوجها على قدم المساواة مع الرجل الكويتي </w:t>
      </w:r>
      <w:r>
        <w:rPr>
          <w:rFonts w:hint="cs"/>
          <w:rtl/>
          <w:lang w:bidi="ar-DZ"/>
        </w:rPr>
        <w:t>(</w:t>
      </w:r>
      <w:r w:rsidRPr="009704DE">
        <w:t>CERD/C/KWT/CO/15-20</w:t>
      </w:r>
      <w:r>
        <w:rPr>
          <w:rFonts w:hint="cs"/>
          <w:rtl/>
          <w:lang w:bidi="ar-DZ"/>
        </w:rPr>
        <w:t xml:space="preserve">، الفقرة 18؛ </w:t>
      </w:r>
      <w:r w:rsidRPr="009704DE">
        <w:t>CERD/C/KWT/21-24</w:t>
      </w:r>
      <w:r>
        <w:rPr>
          <w:rFonts w:hint="cs"/>
          <w:rtl/>
        </w:rPr>
        <w:t>، الفقرات 126 و127 و173-176).</w:t>
      </w:r>
    </w:p>
    <w:p w:rsidR="00E95D5A" w:rsidRDefault="00E95D5A" w:rsidP="00E95D5A">
      <w:pPr>
        <w:pStyle w:val="SingleTxtGA"/>
        <w:rPr>
          <w:rtl/>
        </w:rPr>
      </w:pPr>
      <w:r>
        <w:rPr>
          <w:rFonts w:hint="cs"/>
          <w:rtl/>
        </w:rPr>
        <w:t>10-</w:t>
      </w:r>
      <w:r>
        <w:rPr>
          <w:rFonts w:hint="cs"/>
          <w:rtl/>
        </w:rPr>
        <w:tab/>
        <w:t xml:space="preserve">أي تدريب في مجال حقوق الإنسان يقدم إلى قضاة التحقيق وموظفي إنفاذ القانون وغيرهم من العاملين في الخدمة المدنية </w:t>
      </w:r>
      <w:r>
        <w:rPr>
          <w:rFonts w:hint="cs"/>
          <w:rtl/>
          <w:lang w:bidi="ar-DZ"/>
        </w:rPr>
        <w:t>(</w:t>
      </w:r>
      <w:r w:rsidRPr="009704DE">
        <w:t>CERD/C/KWT/CO/15-20</w:t>
      </w:r>
      <w:r>
        <w:rPr>
          <w:rFonts w:hint="cs"/>
          <w:rtl/>
          <w:lang w:bidi="ar-DZ"/>
        </w:rPr>
        <w:t xml:space="preserve">، الفقرة 23؛ </w:t>
      </w:r>
      <w:r w:rsidRPr="009704DE">
        <w:t>CERD/C/KWT/21-24</w:t>
      </w:r>
      <w:r>
        <w:rPr>
          <w:rFonts w:hint="cs"/>
          <w:rtl/>
        </w:rPr>
        <w:t>، الفقرة 124 والجزء الوارد باللون الداكن تحت الفقرة 199).</w:t>
      </w:r>
    </w:p>
    <w:p w:rsidR="00E95D5A" w:rsidRDefault="00E95D5A" w:rsidP="00E95D5A">
      <w:pPr>
        <w:pStyle w:val="H23GA"/>
        <w:rPr>
          <w:rtl/>
        </w:rPr>
      </w:pPr>
      <w:r>
        <w:rPr>
          <w:rtl/>
        </w:rPr>
        <w:tab/>
      </w:r>
      <w:r>
        <w:rPr>
          <w:rtl/>
        </w:rPr>
        <w:tab/>
      </w:r>
      <w:r>
        <w:rPr>
          <w:rFonts w:hint="cs"/>
          <w:rtl/>
        </w:rPr>
        <w:t>حالة العمال المهاجرين (المواد 2-7)</w:t>
      </w:r>
    </w:p>
    <w:p w:rsidR="00E95D5A" w:rsidRDefault="00E95D5A" w:rsidP="00815D2A">
      <w:pPr>
        <w:pStyle w:val="SingleTxtGA"/>
        <w:rPr>
          <w:rtl/>
        </w:rPr>
      </w:pPr>
      <w:r>
        <w:rPr>
          <w:rFonts w:hint="cs"/>
          <w:rtl/>
          <w:lang w:eastAsia="ar-SA"/>
        </w:rPr>
        <w:t>11-</w:t>
      </w:r>
      <w:r>
        <w:rPr>
          <w:rFonts w:hint="cs"/>
          <w:rtl/>
          <w:lang w:eastAsia="ar-SA"/>
        </w:rPr>
        <w:tab/>
        <w:t xml:space="preserve">جوهر قانون مكافحة </w:t>
      </w:r>
      <w:proofErr w:type="spellStart"/>
      <w:r>
        <w:rPr>
          <w:rFonts w:hint="cs"/>
          <w:rtl/>
          <w:lang w:eastAsia="ar-SA"/>
        </w:rPr>
        <w:t>الاتجار</w:t>
      </w:r>
      <w:proofErr w:type="spellEnd"/>
      <w:r>
        <w:rPr>
          <w:rFonts w:hint="cs"/>
          <w:rtl/>
          <w:lang w:eastAsia="ar-SA"/>
        </w:rPr>
        <w:t xml:space="preserve"> بالأشخاص وتهريب المهاجرين (القانون رقم 91 لسنة</w:t>
      </w:r>
      <w:r w:rsidR="00815D2A">
        <w:rPr>
          <w:rFonts w:hint="eastAsia"/>
          <w:rtl/>
          <w:lang w:eastAsia="ar-SA"/>
        </w:rPr>
        <w:t> </w:t>
      </w:r>
      <w:r>
        <w:rPr>
          <w:rFonts w:hint="cs"/>
          <w:rtl/>
          <w:lang w:eastAsia="ar-SA"/>
        </w:rPr>
        <w:t xml:space="preserve">2013) والتقدم المحرز في تنفيذه؛ وأي آليات أقيمت لمنع </w:t>
      </w:r>
      <w:proofErr w:type="spellStart"/>
      <w:r>
        <w:rPr>
          <w:rFonts w:hint="cs"/>
          <w:rtl/>
          <w:lang w:eastAsia="ar-SA"/>
        </w:rPr>
        <w:t>الاتجار</w:t>
      </w:r>
      <w:proofErr w:type="spellEnd"/>
      <w:r>
        <w:rPr>
          <w:rFonts w:hint="cs"/>
          <w:rtl/>
          <w:lang w:eastAsia="ar-SA"/>
        </w:rPr>
        <w:t xml:space="preserve"> وتحديد ضحايا </w:t>
      </w:r>
      <w:proofErr w:type="spellStart"/>
      <w:r>
        <w:rPr>
          <w:rFonts w:hint="cs"/>
          <w:rtl/>
          <w:lang w:eastAsia="ar-SA"/>
        </w:rPr>
        <w:t>الاتجار</w:t>
      </w:r>
      <w:proofErr w:type="spellEnd"/>
      <w:r>
        <w:rPr>
          <w:rFonts w:hint="cs"/>
          <w:rtl/>
          <w:lang w:eastAsia="ar-SA"/>
        </w:rPr>
        <w:t xml:space="preserve"> وحمايتهم وتزويدهم بالخدمات الاجتماعية </w:t>
      </w:r>
      <w:r>
        <w:rPr>
          <w:rFonts w:hint="cs"/>
          <w:rtl/>
          <w:lang w:bidi="ar-DZ"/>
        </w:rPr>
        <w:t>(</w:t>
      </w:r>
      <w:r w:rsidRPr="009704DE">
        <w:t>CERD/C/KWT/CO/15-20</w:t>
      </w:r>
      <w:r>
        <w:rPr>
          <w:rFonts w:hint="cs"/>
          <w:rtl/>
          <w:lang w:bidi="ar-DZ"/>
        </w:rPr>
        <w:t xml:space="preserve">، الفقرة 13؛ </w:t>
      </w:r>
      <w:r w:rsidRPr="009704DE">
        <w:t>CERD/C/KWT/21-24</w:t>
      </w:r>
      <w:r>
        <w:rPr>
          <w:rFonts w:hint="cs"/>
          <w:rtl/>
        </w:rPr>
        <w:t>، الفقرات 140-151).</w:t>
      </w:r>
    </w:p>
    <w:p w:rsidR="00E95D5A" w:rsidRDefault="00E95D5A" w:rsidP="00E95D5A">
      <w:pPr>
        <w:pStyle w:val="SingleTxtGA"/>
        <w:rPr>
          <w:rtl/>
        </w:rPr>
      </w:pPr>
      <w:r>
        <w:rPr>
          <w:rFonts w:hint="cs"/>
          <w:rtl/>
        </w:rPr>
        <w:t>12-</w:t>
      </w:r>
      <w:r>
        <w:rPr>
          <w:rFonts w:hint="cs"/>
          <w:rtl/>
        </w:rPr>
        <w:tab/>
        <w:t xml:space="preserve">جوهر قانون العمالة المنزلية (القانون رقم 68 لسنة 2015)، بما في ذلك أحكامه المتعلقة بالحد الأدنى للأجور وعدد أيام الإجازات السنوية والآليات المتاحة لإنفاذ تشريعات العمل، وجوهر القانون رقم 69 لسنة 2015 </w:t>
      </w:r>
      <w:r>
        <w:rPr>
          <w:rFonts w:hint="cs"/>
          <w:rtl/>
          <w:lang w:bidi="ar-DZ"/>
        </w:rPr>
        <w:t>(</w:t>
      </w:r>
      <w:r w:rsidRPr="009704DE">
        <w:t>CERD/C/KWT/CO/15-20</w:t>
      </w:r>
      <w:r>
        <w:rPr>
          <w:rFonts w:hint="cs"/>
          <w:rtl/>
          <w:lang w:bidi="ar-DZ"/>
        </w:rPr>
        <w:t xml:space="preserve">، الفقرة 16؛ </w:t>
      </w:r>
      <w:r w:rsidRPr="009704DE">
        <w:t>CERD/C/KWT/21-24</w:t>
      </w:r>
      <w:r>
        <w:rPr>
          <w:rFonts w:hint="cs"/>
          <w:rtl/>
        </w:rPr>
        <w:t>، الفقرات 162-166 و191-199).</w:t>
      </w:r>
    </w:p>
    <w:p w:rsidR="00E95D5A" w:rsidRDefault="00E95D5A" w:rsidP="00E95D5A">
      <w:pPr>
        <w:pStyle w:val="SingleTxtGA"/>
        <w:rPr>
          <w:rtl/>
        </w:rPr>
      </w:pPr>
      <w:r>
        <w:rPr>
          <w:rFonts w:hint="cs"/>
          <w:rtl/>
        </w:rPr>
        <w:t>13-</w:t>
      </w:r>
      <w:r>
        <w:rPr>
          <w:rFonts w:hint="cs"/>
          <w:rtl/>
        </w:rPr>
        <w:tab/>
        <w:t xml:space="preserve">الجهود الرامية إلى إلغاء نظام الكفالة، والسماح للعمال الأجانب والمنزليين بالحصول على تصاريح إقامة وبإنهاء عقود استخدامهم بصورة قانونية </w:t>
      </w:r>
      <w:r>
        <w:rPr>
          <w:rFonts w:hint="cs"/>
          <w:rtl/>
          <w:lang w:bidi="ar-DZ"/>
        </w:rPr>
        <w:t>(</w:t>
      </w:r>
      <w:r w:rsidRPr="009704DE">
        <w:t>CERD/C/KWT/CO/15-20</w:t>
      </w:r>
      <w:r>
        <w:rPr>
          <w:rFonts w:hint="cs"/>
          <w:rtl/>
          <w:lang w:bidi="ar-DZ"/>
        </w:rPr>
        <w:t xml:space="preserve">، الفقرة 19؛ </w:t>
      </w:r>
      <w:r w:rsidRPr="009704DE">
        <w:t>CERD/C/KWT/21-24</w:t>
      </w:r>
      <w:r>
        <w:rPr>
          <w:rFonts w:hint="cs"/>
          <w:rtl/>
        </w:rPr>
        <w:t>، الفقرات 177-179).</w:t>
      </w:r>
    </w:p>
    <w:p w:rsidR="00E95D5A" w:rsidRDefault="00E95D5A" w:rsidP="00E95D5A">
      <w:pPr>
        <w:pStyle w:val="SingleTxtGA"/>
        <w:rPr>
          <w:rtl/>
        </w:rPr>
      </w:pPr>
      <w:r>
        <w:rPr>
          <w:rFonts w:hint="cs"/>
          <w:rtl/>
        </w:rPr>
        <w:lastRenderedPageBreak/>
        <w:t>14-</w:t>
      </w:r>
      <w:r>
        <w:rPr>
          <w:rFonts w:hint="cs"/>
          <w:rtl/>
        </w:rPr>
        <w:tab/>
      </w:r>
      <w:r>
        <w:rPr>
          <w:rFonts w:hint="cs"/>
          <w:rtl/>
          <w:lang w:bidi="ar-DZ"/>
        </w:rPr>
        <w:t>تنظيم</w:t>
      </w:r>
      <w:r>
        <w:rPr>
          <w:rFonts w:hint="cs"/>
          <w:rtl/>
        </w:rPr>
        <w:t xml:space="preserve"> استقدام واستخدام عمال القطاع الأهلي من خلال الهيئة العامة للقوى العاملة </w:t>
      </w:r>
      <w:r w:rsidRPr="00787B35">
        <w:rPr>
          <w:rFonts w:hint="cs"/>
          <w:spacing w:val="-2"/>
          <w:rtl/>
        </w:rPr>
        <w:t xml:space="preserve">وغيرها من الهيئات المختصة </w:t>
      </w:r>
      <w:r w:rsidRPr="00787B35">
        <w:rPr>
          <w:rFonts w:hint="cs"/>
          <w:spacing w:val="-2"/>
          <w:rtl/>
          <w:lang w:bidi="ar-DZ"/>
        </w:rPr>
        <w:t>(</w:t>
      </w:r>
      <w:r w:rsidRPr="00787B35">
        <w:rPr>
          <w:spacing w:val="-2"/>
        </w:rPr>
        <w:t>CERD/C/KWT/CO/15-20</w:t>
      </w:r>
      <w:r w:rsidRPr="00787B35">
        <w:rPr>
          <w:rFonts w:hint="cs"/>
          <w:spacing w:val="-2"/>
          <w:rtl/>
          <w:lang w:bidi="ar-DZ"/>
        </w:rPr>
        <w:t xml:space="preserve">، الفقرة 19؛ </w:t>
      </w:r>
      <w:r w:rsidRPr="00787B35">
        <w:rPr>
          <w:spacing w:val="-2"/>
        </w:rPr>
        <w:t>CERD/C/KWT/21-24</w:t>
      </w:r>
      <w:r w:rsidRPr="00787B35">
        <w:rPr>
          <w:rFonts w:hint="cs"/>
          <w:spacing w:val="-2"/>
          <w:rtl/>
        </w:rPr>
        <w:t>،</w:t>
      </w:r>
      <w:r>
        <w:rPr>
          <w:rFonts w:hint="cs"/>
          <w:rtl/>
        </w:rPr>
        <w:t xml:space="preserve"> الفقرات 177-179 و196-198).</w:t>
      </w:r>
    </w:p>
    <w:p w:rsidR="00E95D5A" w:rsidRDefault="00E95D5A" w:rsidP="00E95D5A">
      <w:pPr>
        <w:pStyle w:val="SingleTxtGA"/>
        <w:rPr>
          <w:rtl/>
        </w:rPr>
      </w:pPr>
      <w:r>
        <w:rPr>
          <w:rFonts w:hint="cs"/>
          <w:rtl/>
        </w:rPr>
        <w:t>15-</w:t>
      </w:r>
      <w:r>
        <w:rPr>
          <w:rFonts w:hint="cs"/>
          <w:rtl/>
        </w:rPr>
        <w:tab/>
        <w:t>إجراءات الرصد والتفتيش لحماية العمال المنزليين؛ وإحصاءات بشأن التحقيقات والمحاكمات والإدانات التي شملت أشخاصاً اعتدوا على عمال منزليين والعقوبات التي أُنزلت بهم، وبشأن سبل الانتصاف المتاحة للضحايا، على أن تكون هذه الإحصاءات مصنفة حسب</w:t>
      </w:r>
      <w:r>
        <w:rPr>
          <w:rFonts w:hint="eastAsia"/>
          <w:rtl/>
        </w:rPr>
        <w:t> </w:t>
      </w:r>
      <w:r>
        <w:rPr>
          <w:rFonts w:hint="cs"/>
          <w:rtl/>
        </w:rPr>
        <w:t xml:space="preserve">نوع الجنس </w:t>
      </w:r>
      <w:r>
        <w:rPr>
          <w:rFonts w:hint="cs"/>
          <w:rtl/>
          <w:lang w:bidi="ar-DZ"/>
        </w:rPr>
        <w:t>(</w:t>
      </w:r>
      <w:r w:rsidRPr="009704DE">
        <w:t>CERD/C/KWT/CO/15-20</w:t>
      </w:r>
      <w:r>
        <w:rPr>
          <w:rFonts w:hint="cs"/>
          <w:rtl/>
          <w:lang w:bidi="ar-DZ"/>
        </w:rPr>
        <w:t xml:space="preserve">، الفقرة 23؛ </w:t>
      </w:r>
      <w:r w:rsidRPr="009704DE">
        <w:t>CERD/C/KWT/21-24</w:t>
      </w:r>
      <w:r>
        <w:rPr>
          <w:rFonts w:hint="cs"/>
          <w:rtl/>
        </w:rPr>
        <w:t>، الفقرات 163-166 و190 و194-197).</w:t>
      </w:r>
    </w:p>
    <w:p w:rsidR="00E95D5A" w:rsidRDefault="00E95D5A" w:rsidP="00E95D5A">
      <w:pPr>
        <w:pStyle w:val="SingleTxtGA"/>
        <w:rPr>
          <w:rtl/>
        </w:rPr>
      </w:pPr>
      <w:r>
        <w:rPr>
          <w:rFonts w:hint="cs"/>
          <w:rtl/>
        </w:rPr>
        <w:t>16-</w:t>
      </w:r>
      <w:r>
        <w:rPr>
          <w:rFonts w:hint="cs"/>
          <w:rtl/>
        </w:rPr>
        <w:tab/>
        <w:t xml:space="preserve">أوضاع العمال الهاربين من الاعتداءات الذين يقيمون في دور الإيواء (متوسط مدة الإقامة؛ وتوافر خدمات الترجمة الشفوية؛ وسبل جبر الأضرار؛ وما إذا كانت دور الإيواء متاحة لكل من العاملين والعاملات) </w:t>
      </w:r>
      <w:r>
        <w:rPr>
          <w:rFonts w:hint="cs"/>
          <w:rtl/>
          <w:lang w:bidi="ar-DZ"/>
        </w:rPr>
        <w:t>(</w:t>
      </w:r>
      <w:r w:rsidRPr="009704DE">
        <w:t>CERD/C/KWT/21-24</w:t>
      </w:r>
      <w:r>
        <w:rPr>
          <w:rFonts w:hint="cs"/>
          <w:rtl/>
          <w:lang w:bidi="ar-DZ"/>
        </w:rPr>
        <w:t>، الفقرات 196 و198 و199)</w:t>
      </w:r>
      <w:r>
        <w:rPr>
          <w:rFonts w:hint="cs"/>
          <w:rtl/>
        </w:rPr>
        <w:t>.</w:t>
      </w:r>
    </w:p>
    <w:p w:rsidR="00E95D5A" w:rsidRDefault="00E95D5A" w:rsidP="00E95D5A">
      <w:pPr>
        <w:pStyle w:val="SingleTxtGA"/>
        <w:rPr>
          <w:rtl/>
          <w:lang w:bidi="ar-DZ"/>
        </w:rPr>
      </w:pPr>
      <w:r>
        <w:rPr>
          <w:rFonts w:hint="cs"/>
          <w:rtl/>
        </w:rPr>
        <w:t>17-</w:t>
      </w:r>
      <w:r>
        <w:rPr>
          <w:rFonts w:hint="cs"/>
          <w:rtl/>
        </w:rPr>
        <w:tab/>
        <w:t>الجهود الرامية إلى مراجعة نظام ترحيل العمال المهاجرين بموجب قرار إداري (</w:t>
      </w:r>
      <w:r w:rsidRPr="009704DE">
        <w:t>CERD/C/KWT/CO/15-20</w:t>
      </w:r>
      <w:r>
        <w:rPr>
          <w:rFonts w:hint="cs"/>
          <w:rtl/>
          <w:lang w:bidi="ar-DZ"/>
        </w:rPr>
        <w:t>، الفقرة 19).</w:t>
      </w:r>
    </w:p>
    <w:p w:rsidR="00E95D5A" w:rsidRDefault="00E95D5A" w:rsidP="00E95D5A">
      <w:pPr>
        <w:pStyle w:val="SingleTxtGA"/>
        <w:rPr>
          <w:rtl/>
          <w:lang w:bidi="ar-DZ"/>
        </w:rPr>
      </w:pPr>
      <w:r>
        <w:rPr>
          <w:rFonts w:hint="cs"/>
          <w:rtl/>
          <w:lang w:bidi="ar-DZ"/>
        </w:rPr>
        <w:t>18-</w:t>
      </w:r>
      <w:r>
        <w:rPr>
          <w:rFonts w:hint="cs"/>
          <w:rtl/>
          <w:lang w:bidi="ar-DZ"/>
        </w:rPr>
        <w:tab/>
        <w:t>إمكانية استفادة العمال المهاجرين من خدمات الرعاية الصحية العامة (</w:t>
      </w:r>
      <w:r w:rsidRPr="009704DE">
        <w:t>CERD/C/KWT/21-24</w:t>
      </w:r>
      <w:r>
        <w:rPr>
          <w:rFonts w:hint="cs"/>
          <w:rtl/>
          <w:lang w:bidi="ar-DZ"/>
        </w:rPr>
        <w:t>، الفقرات 91-98 و171 و172).</w:t>
      </w:r>
    </w:p>
    <w:p w:rsidR="00E95D5A" w:rsidRDefault="00E95D5A" w:rsidP="00E95D5A">
      <w:pPr>
        <w:pStyle w:val="H23GA"/>
        <w:rPr>
          <w:rtl/>
          <w:lang w:bidi="ar-DZ"/>
        </w:rPr>
      </w:pPr>
      <w:r>
        <w:rPr>
          <w:rtl/>
          <w:lang w:bidi="ar-DZ"/>
        </w:rPr>
        <w:tab/>
      </w:r>
      <w:r>
        <w:rPr>
          <w:rtl/>
          <w:lang w:bidi="ar-DZ"/>
        </w:rPr>
        <w:tab/>
      </w:r>
      <w:r>
        <w:rPr>
          <w:rFonts w:hint="cs"/>
          <w:rtl/>
          <w:lang w:bidi="ar-DZ"/>
        </w:rPr>
        <w:t xml:space="preserve">حالة </w:t>
      </w:r>
      <w:proofErr w:type="spellStart"/>
      <w:r>
        <w:rPr>
          <w:rFonts w:hint="cs"/>
          <w:rtl/>
          <w:lang w:bidi="ar-DZ"/>
        </w:rPr>
        <w:t>البيدون</w:t>
      </w:r>
      <w:proofErr w:type="spellEnd"/>
      <w:r>
        <w:rPr>
          <w:rFonts w:hint="cs"/>
          <w:rtl/>
          <w:lang w:bidi="ar-DZ"/>
        </w:rPr>
        <w:t xml:space="preserve"> وأفراد الأقليات الإثنية (المواد 2-7)</w:t>
      </w:r>
    </w:p>
    <w:p w:rsidR="00E95D5A" w:rsidRDefault="00E95D5A" w:rsidP="00E95D5A">
      <w:pPr>
        <w:pStyle w:val="SingleTxtGA"/>
        <w:rPr>
          <w:rtl/>
        </w:rPr>
      </w:pPr>
      <w:r>
        <w:rPr>
          <w:rFonts w:hint="cs"/>
          <w:rtl/>
          <w:lang w:eastAsia="ar-SA" w:bidi="ar-DZ"/>
        </w:rPr>
        <w:t>19-</w:t>
      </w:r>
      <w:r>
        <w:rPr>
          <w:rFonts w:hint="cs"/>
          <w:rtl/>
          <w:lang w:eastAsia="ar-SA" w:bidi="ar-DZ"/>
        </w:rPr>
        <w:tab/>
        <w:t>التدابير الملموسة الرامية إلى منح ت</w:t>
      </w:r>
      <w:bookmarkStart w:id="0" w:name="_GoBack"/>
      <w:bookmarkEnd w:id="0"/>
      <w:r>
        <w:rPr>
          <w:rFonts w:hint="cs"/>
          <w:rtl/>
          <w:lang w:eastAsia="ar-SA" w:bidi="ar-DZ"/>
        </w:rPr>
        <w:t xml:space="preserve">صاريح إقامة </w:t>
      </w:r>
      <w:proofErr w:type="spellStart"/>
      <w:r>
        <w:rPr>
          <w:rFonts w:hint="cs"/>
          <w:rtl/>
          <w:lang w:eastAsia="ar-SA" w:bidi="ar-DZ"/>
        </w:rPr>
        <w:t>للبيدون</w:t>
      </w:r>
      <w:proofErr w:type="spellEnd"/>
      <w:r>
        <w:rPr>
          <w:rFonts w:hint="cs"/>
          <w:rtl/>
          <w:lang w:eastAsia="ar-SA" w:bidi="ar-DZ"/>
        </w:rPr>
        <w:t xml:space="preserve"> عديمي الجنسية، وتمتعهم بحرية التنقل ومنحهم وثائق الحالة المدنية وتمكينهم من الاستفادة من الخدمات الاجتماعية والطبية </w:t>
      </w:r>
      <w:r>
        <w:rPr>
          <w:rFonts w:hint="cs"/>
          <w:rtl/>
          <w:lang w:bidi="ar-DZ"/>
        </w:rPr>
        <w:t>(</w:t>
      </w:r>
      <w:r w:rsidRPr="009704DE">
        <w:t>CERD/C/KWT/CO/15-20</w:t>
      </w:r>
      <w:r>
        <w:rPr>
          <w:rFonts w:hint="cs"/>
          <w:rtl/>
          <w:lang w:bidi="ar-DZ"/>
        </w:rPr>
        <w:t xml:space="preserve">، الفقرة 17؛ </w:t>
      </w:r>
      <w:r w:rsidRPr="009704DE">
        <w:t>CERD/C/KWT/21-24</w:t>
      </w:r>
      <w:r>
        <w:rPr>
          <w:rFonts w:hint="cs"/>
          <w:rtl/>
        </w:rPr>
        <w:t>، الفقرات 167-172).</w:t>
      </w:r>
    </w:p>
    <w:p w:rsidR="00E95D5A" w:rsidRDefault="00E95D5A" w:rsidP="00E95D5A">
      <w:pPr>
        <w:pStyle w:val="SingleTxtGA"/>
        <w:rPr>
          <w:rtl/>
          <w:lang w:bidi="ar-DZ"/>
        </w:rPr>
      </w:pPr>
      <w:r>
        <w:rPr>
          <w:rFonts w:hint="cs"/>
          <w:rtl/>
          <w:lang w:eastAsia="ar-SA"/>
        </w:rPr>
        <w:t>20-</w:t>
      </w:r>
      <w:r>
        <w:rPr>
          <w:rFonts w:hint="cs"/>
          <w:rtl/>
          <w:lang w:eastAsia="ar-SA"/>
        </w:rPr>
        <w:tab/>
        <w:t xml:space="preserve">توافر التعليم الابتدائي الإلزامي المجاني، وكذلك التعليم الثانوي، للأطفال غير الكويتيين والفرص المتاحة لهم لنيل هذا التعليم </w:t>
      </w:r>
      <w:r>
        <w:rPr>
          <w:rFonts w:hint="cs"/>
          <w:rtl/>
          <w:lang w:bidi="ar-DZ"/>
        </w:rPr>
        <w:t>(</w:t>
      </w:r>
      <w:r w:rsidRPr="009704DE">
        <w:t>CERD/C/KWT/CO/15-20</w:t>
      </w:r>
      <w:r>
        <w:rPr>
          <w:rFonts w:hint="cs"/>
          <w:rtl/>
          <w:lang w:bidi="ar-DZ"/>
        </w:rPr>
        <w:t xml:space="preserve">، الفقرة 21؛ </w:t>
      </w:r>
      <w:r w:rsidRPr="009704DE">
        <w:t>CERD/C/KWT/21-24</w:t>
      </w:r>
      <w:r>
        <w:rPr>
          <w:rFonts w:hint="cs"/>
          <w:rtl/>
        </w:rPr>
        <w:t>، الفقرات 182-185).</w:t>
      </w:r>
    </w:p>
    <w:p w:rsidR="00E95D5A" w:rsidRPr="00F82808" w:rsidRDefault="00E95D5A" w:rsidP="00E95D5A">
      <w:pPr>
        <w:pStyle w:val="H23GA"/>
        <w:rPr>
          <w:rtl/>
        </w:rPr>
      </w:pPr>
      <w:r>
        <w:rPr>
          <w:rtl/>
        </w:rPr>
        <w:tab/>
      </w:r>
      <w:r>
        <w:rPr>
          <w:rtl/>
        </w:rPr>
        <w:tab/>
      </w:r>
      <w:r>
        <w:rPr>
          <w:rFonts w:hint="cs"/>
          <w:rtl/>
        </w:rPr>
        <w:t>حالة ملتمسي اللجوء واللاجئين (المواد 5-7)</w:t>
      </w:r>
    </w:p>
    <w:p w:rsidR="00E95D5A" w:rsidRDefault="00E95D5A" w:rsidP="00E95D5A">
      <w:pPr>
        <w:pStyle w:val="SingleTxtGA"/>
      </w:pPr>
      <w:r>
        <w:rPr>
          <w:rFonts w:hint="cs"/>
          <w:rtl/>
          <w:lang w:eastAsia="ar-SA" w:bidi="ar-DZ"/>
        </w:rPr>
        <w:t>21-</w:t>
      </w:r>
      <w:r>
        <w:rPr>
          <w:rFonts w:hint="cs"/>
          <w:rtl/>
          <w:lang w:eastAsia="ar-SA" w:bidi="ar-DZ"/>
        </w:rPr>
        <w:tab/>
        <w:t xml:space="preserve">القوانين وآليات الإنفاذ التي تتيح لملتمسي اللجوء واللاجئين التمتع بحقوق الإنسان الأساسية </w:t>
      </w:r>
      <w:r>
        <w:rPr>
          <w:rFonts w:hint="cs"/>
          <w:rtl/>
          <w:lang w:bidi="ar-DZ"/>
        </w:rPr>
        <w:t>(</w:t>
      </w:r>
      <w:r w:rsidRPr="009704DE">
        <w:t>CERD/C/KWT/CO/15-20</w:t>
      </w:r>
      <w:r>
        <w:rPr>
          <w:rFonts w:hint="cs"/>
          <w:rtl/>
          <w:lang w:bidi="ar-DZ"/>
        </w:rPr>
        <w:t xml:space="preserve">، الفقرة 20؛ </w:t>
      </w:r>
      <w:r w:rsidRPr="009704DE">
        <w:t>CERD/C/KWT/21-24</w:t>
      </w:r>
      <w:r>
        <w:rPr>
          <w:rFonts w:hint="cs"/>
          <w:rtl/>
        </w:rPr>
        <w:t>، الفقرات 180 و203 و204).</w:t>
      </w:r>
    </w:p>
    <w:p w:rsidR="00E95D5A" w:rsidRPr="00E95D5A" w:rsidRDefault="00E95D5A" w:rsidP="00E95D5A">
      <w:pPr>
        <w:spacing w:before="120"/>
        <w:jc w:val="center"/>
        <w:rPr>
          <w:u w:val="single"/>
          <w:rtl/>
          <w:lang w:bidi="ar-DZ"/>
        </w:rPr>
      </w:pPr>
      <w:r>
        <w:rPr>
          <w:u w:val="single"/>
          <w:rtl/>
          <w:lang w:bidi="ar-DZ"/>
        </w:rPr>
        <w:tab/>
      </w:r>
      <w:r>
        <w:rPr>
          <w:u w:val="single"/>
          <w:rtl/>
          <w:lang w:bidi="ar-DZ"/>
        </w:rPr>
        <w:tab/>
      </w:r>
      <w:r>
        <w:rPr>
          <w:u w:val="single"/>
          <w:rtl/>
          <w:lang w:bidi="ar-DZ"/>
        </w:rPr>
        <w:tab/>
      </w:r>
    </w:p>
    <w:sectPr w:rsidR="00E95D5A" w:rsidRPr="00E95D5A" w:rsidSect="0015395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64A" w:rsidRPr="002901D9" w:rsidRDefault="009F764A" w:rsidP="002901D9">
      <w:pPr>
        <w:spacing w:after="60" w:line="240" w:lineRule="auto"/>
        <w:rPr>
          <w:i/>
          <w:iCs/>
        </w:rPr>
      </w:pPr>
      <w:r>
        <w:rPr>
          <w:rFonts w:hint="cs"/>
          <w:i/>
          <w:iCs/>
          <w:rtl/>
        </w:rPr>
        <w:t>الحواشي</w:t>
      </w:r>
    </w:p>
  </w:endnote>
  <w:endnote w:type="continuationSeparator" w:id="0">
    <w:p w:rsidR="009F764A" w:rsidRDefault="009F764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959" w:rsidRPr="00E95D5A" w:rsidRDefault="00E95D5A" w:rsidP="00E95D5A">
    <w:pPr>
      <w:pStyle w:val="Footer"/>
      <w:tabs>
        <w:tab w:val="right" w:pos="9598"/>
      </w:tabs>
      <w:rPr>
        <w:sz w:val="17"/>
      </w:rPr>
    </w:pPr>
    <w:r>
      <w:rPr>
        <w:sz w:val="17"/>
      </w:rPr>
      <w:t>GE.17-10062</w:t>
    </w:r>
    <w:r>
      <w:rPr>
        <w:sz w:val="17"/>
      </w:rPr>
      <w:tab/>
    </w:r>
    <w:r>
      <w:rPr>
        <w:b/>
        <w:sz w:val="18"/>
      </w:rPr>
      <w:fldChar w:fldCharType="begin"/>
    </w:r>
    <w:r>
      <w:rPr>
        <w:b/>
        <w:sz w:val="18"/>
      </w:rPr>
      <w:instrText xml:space="preserve"> PAGE  \* MERGEFORMAT </w:instrText>
    </w:r>
    <w:r>
      <w:rPr>
        <w:b/>
        <w:sz w:val="18"/>
      </w:rPr>
      <w:fldChar w:fldCharType="separate"/>
    </w:r>
    <w:r w:rsidR="006128BD">
      <w:rPr>
        <w:b/>
        <w:noProof/>
        <w:sz w:val="18"/>
      </w:rPr>
      <w:t>2</w:t>
    </w:r>
    <w:r>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95D5A" w:rsidRDefault="00E95D5A" w:rsidP="006959B0">
    <w:pPr>
      <w:pStyle w:val="Footer"/>
      <w:tabs>
        <w:tab w:val="right" w:pos="9599"/>
      </w:tabs>
      <w:jc w:val="left"/>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sidR="006128BD">
      <w:rPr>
        <w:b/>
        <w:noProof/>
        <w:sz w:val="18"/>
        <w:lang w:val="en-US"/>
      </w:rPr>
      <w:t>3</w:t>
    </w:r>
    <w:r>
      <w:rPr>
        <w:b/>
        <w:sz w:val="18"/>
        <w:lang w:val="en-US"/>
      </w:rPr>
      <w:fldChar w:fldCharType="end"/>
    </w:r>
    <w:r>
      <w:rPr>
        <w:b/>
        <w:sz w:val="18"/>
        <w:lang w:val="en-US"/>
      </w:rPr>
      <w:tab/>
    </w:r>
    <w:r>
      <w:rPr>
        <w:sz w:val="17"/>
      </w:rPr>
      <w:t>GE.17-10062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54" w:rsidRDefault="00153959" w:rsidP="00E95D5A">
    <w:pPr>
      <w:pStyle w:val="Footer"/>
      <w:spacing w:before="360"/>
      <w:jc w:val="right"/>
      <w:rPr>
        <w:sz w:val="20"/>
        <w:szCs w:val="20"/>
      </w:rPr>
    </w:pPr>
    <w:r>
      <w:rPr>
        <w:sz w:val="20"/>
        <w:szCs w:val="20"/>
      </w:rPr>
      <w:t>GE.</w:t>
    </w:r>
    <w:r w:rsidR="00E95D5A">
      <w:rPr>
        <w:sz w:val="20"/>
        <w:szCs w:val="20"/>
      </w:rPr>
      <w:t>17-</w:t>
    </w:r>
    <w:r>
      <w:rPr>
        <w:sz w:val="20"/>
        <w:szCs w:val="20"/>
      </w:rPr>
      <w:t>10062</w:t>
    </w:r>
    <w:r w:rsidR="00156D54">
      <w:rPr>
        <w:noProof/>
        <w:lang w:val="en-US"/>
      </w:rPr>
      <w:drawing>
        <wp:anchor distT="0" distB="0" distL="114300" distR="114300" simplePos="0" relativeHeight="251665408"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153959" w:rsidRPr="00153959" w:rsidRDefault="00153959" w:rsidP="0015395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64A" w:rsidRDefault="009F764A" w:rsidP="00CB28F9">
      <w:pPr>
        <w:pStyle w:val="Footer"/>
        <w:bidi/>
        <w:spacing w:after="80" w:line="200" w:lineRule="exact"/>
        <w:ind w:left="680"/>
      </w:pPr>
      <w:r>
        <w:rPr>
          <w:rtl/>
        </w:rPr>
        <w:t>__________</w:t>
      </w:r>
    </w:p>
    <w:p w:rsidR="009F764A" w:rsidRPr="00CB28F9" w:rsidRDefault="009F764A" w:rsidP="00CB28F9">
      <w:pPr>
        <w:pStyle w:val="Footer"/>
      </w:pPr>
    </w:p>
  </w:footnote>
  <w:footnote w:type="continuationSeparator" w:id="0">
    <w:p w:rsidR="009F764A" w:rsidRDefault="009F764A"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959" w:rsidRPr="00E95D5A" w:rsidRDefault="00E95D5A" w:rsidP="00E95D5A">
    <w:pPr>
      <w:pStyle w:val="Header"/>
      <w:jc w:val="right"/>
    </w:pPr>
    <w:r w:rsidRPr="00E95D5A">
      <w:t>CERD/C/KWT/Q/21-24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959" w:rsidRPr="00E95D5A" w:rsidRDefault="00E95D5A" w:rsidP="00E95D5A">
    <w:pPr>
      <w:pStyle w:val="Header"/>
      <w:jc w:val="left"/>
    </w:pPr>
    <w:r w:rsidRPr="00E95D5A">
      <w:t>CERD/C/KWT/Q/21-24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F764A"/>
    <w:rsid w:val="000076D5"/>
    <w:rsid w:val="00043663"/>
    <w:rsid w:val="000505CF"/>
    <w:rsid w:val="000D701C"/>
    <w:rsid w:val="000E2A71"/>
    <w:rsid w:val="00153959"/>
    <w:rsid w:val="00156D54"/>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26A5E"/>
    <w:rsid w:val="00343D95"/>
    <w:rsid w:val="00374341"/>
    <w:rsid w:val="003D1062"/>
    <w:rsid w:val="003E0437"/>
    <w:rsid w:val="00420D7B"/>
    <w:rsid w:val="00450B21"/>
    <w:rsid w:val="00453B63"/>
    <w:rsid w:val="00455780"/>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128BD"/>
    <w:rsid w:val="00656392"/>
    <w:rsid w:val="0068781D"/>
    <w:rsid w:val="006959B0"/>
    <w:rsid w:val="006B3E27"/>
    <w:rsid w:val="006B6507"/>
    <w:rsid w:val="006C104C"/>
    <w:rsid w:val="00733704"/>
    <w:rsid w:val="0078071A"/>
    <w:rsid w:val="00787B35"/>
    <w:rsid w:val="00815D2A"/>
    <w:rsid w:val="00852A9A"/>
    <w:rsid w:val="008F49E1"/>
    <w:rsid w:val="0090370F"/>
    <w:rsid w:val="00912700"/>
    <w:rsid w:val="009269D2"/>
    <w:rsid w:val="00942135"/>
    <w:rsid w:val="009521B0"/>
    <w:rsid w:val="00994130"/>
    <w:rsid w:val="009A7E9F"/>
    <w:rsid w:val="009E5018"/>
    <w:rsid w:val="009F764A"/>
    <w:rsid w:val="00A12B37"/>
    <w:rsid w:val="00AB6640"/>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6499"/>
    <w:rsid w:val="00E95D5A"/>
    <w:rsid w:val="00EC05A7"/>
    <w:rsid w:val="00EC4B6B"/>
    <w:rsid w:val="00EF1EE5"/>
    <w:rsid w:val="00F578CC"/>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AE6EF-7D17-465C-8A54-3FDE51DA3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895</Words>
  <Characters>4475</Characters>
  <Application>Microsoft Office Word</Application>
  <DocSecurity>0</DocSecurity>
  <Lines>89</Lines>
  <Paragraphs>37</Paragraphs>
  <ScaleCrop>false</ScaleCrop>
  <HeadingPairs>
    <vt:vector size="2" baseType="variant">
      <vt:variant>
        <vt:lpstr>Title</vt:lpstr>
      </vt:variant>
      <vt:variant>
        <vt:i4>1</vt:i4>
      </vt:variant>
    </vt:vector>
  </HeadingPairs>
  <TitlesOfParts>
    <vt:vector size="1" baseType="lpstr">
      <vt:lpstr>CERD/C/KWT/Q/21-24</vt:lpstr>
    </vt:vector>
  </TitlesOfParts>
  <Company>DCM</Company>
  <LinksUpToDate>false</LinksUpToDate>
  <CharactersWithSpaces>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CERD/C/KWT/Q/21-24</dc:title>
  <dc:subject>GE.1710062A</dc:subject>
  <dc:creator>IBAL34 - 1710062</dc:creator>
  <cp:keywords>ODS No. 1716752</cp:keywords>
  <dc:description>Original: English _x000d_
Distribution: General_x000d_
Date: 19 June 2017</dc:description>
  <cp:lastModifiedBy>Tpsara</cp:lastModifiedBy>
  <cp:revision>2</cp:revision>
  <cp:lastPrinted>2017-06-28T10:44:00Z</cp:lastPrinted>
  <dcterms:created xsi:type="dcterms:W3CDTF">2017-06-29T12:15:00Z</dcterms:created>
  <dcterms:modified xsi:type="dcterms:W3CDTF">2017-06-29T12:15:00Z</dcterms:modified>
  <cp:category>Final</cp:category>
</cp:coreProperties>
</file>