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233F5A6" w14:textId="77777777" w:rsidTr="00EE2AFF">
        <w:trPr>
          <w:trHeight w:hRule="exact" w:val="851"/>
        </w:trPr>
        <w:tc>
          <w:tcPr>
            <w:tcW w:w="1274" w:type="dxa"/>
            <w:tcBorders>
              <w:bottom w:val="single" w:sz="4" w:space="0" w:color="auto"/>
            </w:tcBorders>
          </w:tcPr>
          <w:p w14:paraId="2925C02F" w14:textId="77777777" w:rsidR="006B3E27" w:rsidRPr="009E4636" w:rsidRDefault="006B3E27" w:rsidP="00D57590">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284AA6F0"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52F31330" w14:textId="544FA4E0" w:rsidR="006B3E27" w:rsidRPr="00D349ED" w:rsidRDefault="00D349ED" w:rsidP="00D349ED">
            <w:pPr>
              <w:bidi w:val="0"/>
              <w:jc w:val="left"/>
            </w:pPr>
            <w:r w:rsidRPr="0032072C">
              <w:rPr>
                <w:sz w:val="40"/>
              </w:rPr>
              <w:t>E</w:t>
            </w:r>
            <w:r w:rsidRPr="0032072C">
              <w:t>/C.</w:t>
            </w:r>
            <w:r w:rsidRPr="009E4636">
              <w:t>12</w:t>
            </w:r>
            <w:r w:rsidRPr="0032072C">
              <w:t>/CZE/CO/</w:t>
            </w:r>
            <w:r w:rsidRPr="009E4636">
              <w:t>3</w:t>
            </w:r>
          </w:p>
        </w:tc>
      </w:tr>
      <w:tr w:rsidR="006B3E27" w:rsidRPr="00ED7442" w14:paraId="61DD8744" w14:textId="77777777" w:rsidTr="00EE2AFF">
        <w:trPr>
          <w:trHeight w:hRule="exact" w:val="2835"/>
        </w:trPr>
        <w:tc>
          <w:tcPr>
            <w:tcW w:w="1274" w:type="dxa"/>
            <w:tcBorders>
              <w:top w:val="single" w:sz="4" w:space="0" w:color="auto"/>
              <w:bottom w:val="single" w:sz="12" w:space="0" w:color="auto"/>
            </w:tcBorders>
          </w:tcPr>
          <w:p w14:paraId="2E63B9A6" w14:textId="77777777" w:rsidR="006B3E27" w:rsidRPr="00ED7442" w:rsidRDefault="0059622A" w:rsidP="00EE2AFF">
            <w:pPr>
              <w:jc w:val="center"/>
              <w:rPr>
                <w:sz w:val="56"/>
                <w:szCs w:val="56"/>
                <w:rtl/>
              </w:rPr>
            </w:pPr>
            <w:r w:rsidRPr="00ED7442">
              <w:rPr>
                <w:noProof/>
                <w:sz w:val="56"/>
                <w:szCs w:val="56"/>
              </w:rPr>
              <w:drawing>
                <wp:inline distT="0" distB="0" distL="0" distR="0" wp14:anchorId="7D482820" wp14:editId="54385BC5">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2D5CEB3" w14:textId="77777777" w:rsidR="006B3E27" w:rsidRPr="009E4636" w:rsidRDefault="00606EDF" w:rsidP="009E0EDE">
            <w:pPr>
              <w:spacing w:before="120" w:after="40" w:line="640" w:lineRule="exact"/>
              <w:ind w:left="57"/>
              <w:jc w:val="left"/>
              <w:rPr>
                <w:rFonts w:ascii="Times New Roman Bold" w:hAnsi="Times New Roman Bold" w:hint="eastAsia"/>
                <w:b/>
                <w:bCs/>
                <w:spacing w:val="-4"/>
                <w:sz w:val="48"/>
                <w:szCs w:val="48"/>
              </w:rPr>
            </w:pPr>
            <w:r w:rsidRPr="009E4636">
              <w:rPr>
                <w:rFonts w:ascii="Times New Roman Bold" w:hAnsi="Times New Roman Bold" w:hint="cs"/>
                <w:b/>
                <w:bCs/>
                <w:spacing w:val="-4"/>
                <w:sz w:val="48"/>
                <w:szCs w:val="48"/>
                <w:rtl/>
              </w:rPr>
              <w:t>ا</w:t>
            </w:r>
            <w:r w:rsidR="008930DB" w:rsidRPr="009E4636">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594EEB0" w14:textId="77777777" w:rsidR="0032072C" w:rsidRPr="0032072C" w:rsidRDefault="0032072C" w:rsidP="0032072C">
            <w:pPr>
              <w:suppressAutoHyphens/>
              <w:bidi w:val="0"/>
              <w:spacing w:before="240"/>
              <w:jc w:val="left"/>
              <w:rPr>
                <w:rFonts w:eastAsia="Times New Roman" w:cs="Times New Roman"/>
                <w:lang w:val="en-GB"/>
              </w:rPr>
            </w:pPr>
            <w:r w:rsidRPr="0032072C">
              <w:rPr>
                <w:rFonts w:eastAsia="Times New Roman" w:cs="Times New Roman"/>
                <w:lang w:val="en-GB"/>
              </w:rPr>
              <w:t>Distr.: General</w:t>
            </w:r>
          </w:p>
          <w:p w14:paraId="5D95A702" w14:textId="77777777" w:rsidR="0032072C" w:rsidRPr="0032072C" w:rsidRDefault="0032072C" w:rsidP="0032072C">
            <w:pPr>
              <w:bidi w:val="0"/>
              <w:jc w:val="left"/>
              <w:rPr>
                <w:rFonts w:eastAsia="Times New Roman" w:cs="Times New Roman"/>
                <w:lang w:val="en-GB"/>
              </w:rPr>
            </w:pPr>
            <w:r w:rsidRPr="0032072C">
              <w:rPr>
                <w:rFonts w:eastAsia="Times New Roman" w:cs="Times New Roman"/>
                <w:lang w:val="en-GB"/>
              </w:rPr>
              <w:t>28 March 2022</w:t>
            </w:r>
          </w:p>
          <w:p w14:paraId="5134E618" w14:textId="0819D332" w:rsidR="0032072C" w:rsidRPr="0032072C" w:rsidRDefault="0032072C" w:rsidP="0032072C">
            <w:pPr>
              <w:bidi w:val="0"/>
              <w:jc w:val="left"/>
              <w:rPr>
                <w:rFonts w:eastAsia="Times New Roman" w:cs="Times New Roman"/>
                <w:lang w:val="en-GB"/>
              </w:rPr>
            </w:pPr>
            <w:r>
              <w:rPr>
                <w:rFonts w:eastAsia="Times New Roman" w:cs="Times New Roman"/>
                <w:lang w:val="en-GB"/>
              </w:rPr>
              <w:t>Arabic</w:t>
            </w:r>
          </w:p>
          <w:p w14:paraId="1F67881D" w14:textId="756C15E9" w:rsidR="00D349ED" w:rsidRPr="0032072C" w:rsidRDefault="0032072C" w:rsidP="0032072C">
            <w:pPr>
              <w:bidi w:val="0"/>
              <w:spacing w:line="240" w:lineRule="exact"/>
              <w:jc w:val="left"/>
              <w:rPr>
                <w:lang w:val="en-GB"/>
              </w:rPr>
            </w:pPr>
            <w:r w:rsidRPr="0032072C">
              <w:rPr>
                <w:rFonts w:eastAsia="Times New Roman" w:cs="Times New Roman"/>
                <w:lang w:val="en-GB" w:eastAsia="en-US"/>
              </w:rPr>
              <w:t>Original: English</w:t>
            </w:r>
          </w:p>
        </w:tc>
      </w:tr>
    </w:tbl>
    <w:p w14:paraId="2FBED0AB" w14:textId="77777777" w:rsidR="00091C8B" w:rsidRPr="009E4636" w:rsidRDefault="00091C8B" w:rsidP="00091C8B">
      <w:pPr>
        <w:pStyle w:val="SingleTxtGA"/>
        <w:spacing w:before="120"/>
        <w:ind w:left="0"/>
        <w:rPr>
          <w:b/>
          <w:bCs/>
          <w:sz w:val="26"/>
          <w:szCs w:val="26"/>
          <w:lang w:val="en-US"/>
        </w:rPr>
      </w:pPr>
      <w:r w:rsidRPr="009E4636">
        <w:rPr>
          <w:b/>
          <w:bCs/>
          <w:sz w:val="26"/>
          <w:szCs w:val="26"/>
          <w:rtl/>
          <w:lang w:val="en-US"/>
        </w:rPr>
        <w:t>اللجنة المعنية بالحقوق الاقتصادية والاجتماعية والثقافية</w:t>
      </w:r>
    </w:p>
    <w:p w14:paraId="46580251" w14:textId="209F16E5" w:rsidR="00091C8B" w:rsidRPr="009E4636" w:rsidRDefault="00091C8B" w:rsidP="00091C8B">
      <w:pPr>
        <w:pStyle w:val="HChGA"/>
      </w:pPr>
      <w:r w:rsidRPr="009E4636">
        <w:rPr>
          <w:rtl/>
        </w:rPr>
        <w:tab/>
      </w:r>
      <w:r w:rsidRPr="009E4636">
        <w:rPr>
          <w:rtl/>
        </w:rPr>
        <w:tab/>
        <w:t xml:space="preserve">الملاحظات الختامية بشأن التقرير الدوري الثالث </w:t>
      </w:r>
      <w:proofErr w:type="spellStart"/>
      <w:r w:rsidRPr="009E4636">
        <w:rPr>
          <w:rtl/>
        </w:rPr>
        <w:t>لتشيكيا</w:t>
      </w:r>
      <w:proofErr w:type="spellEnd"/>
      <w:r w:rsidRPr="009E4636">
        <w:rPr>
          <w:rStyle w:val="FootnoteReference"/>
          <w:rFonts w:ascii="Times New Roman Bold" w:hAnsi="Times New Roman Bold"/>
          <w:position w:val="6"/>
          <w:sz w:val="22"/>
          <w:szCs w:val="22"/>
          <w:vertAlign w:val="baseline"/>
          <w:rtl/>
        </w:rPr>
        <w:footnoteReference w:customMarkFollows="1" w:id="1"/>
        <w:t>*</w:t>
      </w:r>
    </w:p>
    <w:p w14:paraId="395DC13B" w14:textId="26CC1FBE" w:rsidR="00091C8B" w:rsidRPr="00091C8B" w:rsidRDefault="00091C8B" w:rsidP="00F90D46">
      <w:pPr>
        <w:pStyle w:val="SingleTxtGA"/>
        <w:spacing w:line="340" w:lineRule="exact"/>
        <w:rPr>
          <w:rFonts w:hint="cs"/>
          <w:rtl/>
          <w:lang w:val="en-US"/>
        </w:rPr>
      </w:pPr>
      <w:r w:rsidRPr="009E4636">
        <w:rPr>
          <w:rtl/>
          <w:lang w:val="en-US"/>
        </w:rPr>
        <w:t>1</w:t>
      </w:r>
      <w:r w:rsidRPr="00091C8B">
        <w:rPr>
          <w:rtl/>
          <w:lang w:val="en-US"/>
        </w:rPr>
        <w:t>-</w:t>
      </w:r>
      <w:r w:rsidRPr="00091C8B">
        <w:rPr>
          <w:rtl/>
          <w:lang w:val="en-US"/>
        </w:rPr>
        <w:tab/>
        <w:t xml:space="preserve">نظرت اللجنة في التقرير الدوري الثالث </w:t>
      </w:r>
      <w:proofErr w:type="spellStart"/>
      <w:proofErr w:type="gramStart"/>
      <w:r w:rsidRPr="00091C8B">
        <w:rPr>
          <w:rtl/>
          <w:lang w:val="en-US"/>
        </w:rPr>
        <w:t>لتشيكيا</w:t>
      </w:r>
      <w:proofErr w:type="spellEnd"/>
      <w:r w:rsidR="003A6240" w:rsidRPr="00091C8B">
        <w:rPr>
          <w:vertAlign w:val="superscript"/>
          <w:rtl/>
          <w:lang w:val="en-US"/>
        </w:rPr>
        <w:t>(</w:t>
      </w:r>
      <w:proofErr w:type="gramEnd"/>
      <w:r w:rsidR="003A6240" w:rsidRPr="009E4636">
        <w:rPr>
          <w:rStyle w:val="FootnoteReference"/>
          <w:szCs w:val="22"/>
          <w:lang w:val="en-US"/>
        </w:rPr>
        <w:footnoteReference w:id="2"/>
      </w:r>
      <w:r w:rsidR="003A6240" w:rsidRPr="00091C8B">
        <w:rPr>
          <w:vertAlign w:val="superscript"/>
          <w:rtl/>
          <w:lang w:val="en-US"/>
        </w:rPr>
        <w:t>)</w:t>
      </w:r>
      <w:r w:rsidRPr="00091C8B">
        <w:rPr>
          <w:rtl/>
          <w:lang w:val="en-US"/>
        </w:rPr>
        <w:t xml:space="preserve"> في اجتماعاتها الثامن والتاسع والعاشر</w:t>
      </w:r>
      <w:r w:rsidR="003A6240" w:rsidRPr="00091C8B">
        <w:rPr>
          <w:vertAlign w:val="superscript"/>
          <w:rtl/>
          <w:lang w:val="en-US"/>
        </w:rPr>
        <w:t>(</w:t>
      </w:r>
      <w:r w:rsidR="003A6240" w:rsidRPr="009E4636">
        <w:rPr>
          <w:rStyle w:val="FootnoteReference"/>
          <w:szCs w:val="22"/>
          <w:lang w:val="en-US"/>
        </w:rPr>
        <w:footnoteReference w:id="3"/>
      </w:r>
      <w:r w:rsidR="003A6240" w:rsidRPr="00091C8B">
        <w:rPr>
          <w:vertAlign w:val="superscript"/>
          <w:rtl/>
          <w:lang w:val="en-US"/>
        </w:rPr>
        <w:t>)</w:t>
      </w:r>
      <w:r w:rsidR="0032072C">
        <w:rPr>
          <w:rtl/>
          <w:lang w:val="en-US"/>
        </w:rPr>
        <w:t>،</w:t>
      </w:r>
      <w:r w:rsidRPr="00091C8B">
        <w:rPr>
          <w:rtl/>
          <w:lang w:val="en-US"/>
        </w:rPr>
        <w:t xml:space="preserve"> المعقودة في </w:t>
      </w:r>
      <w:r w:rsidRPr="009E4636">
        <w:rPr>
          <w:rtl/>
          <w:lang w:val="en-US"/>
        </w:rPr>
        <w:t>17</w:t>
      </w:r>
      <w:r w:rsidRPr="00091C8B">
        <w:rPr>
          <w:rtl/>
          <w:lang w:val="en-US"/>
        </w:rPr>
        <w:t xml:space="preserve"> و</w:t>
      </w:r>
      <w:r w:rsidRPr="009E4636">
        <w:rPr>
          <w:rtl/>
          <w:lang w:val="en-US"/>
        </w:rPr>
        <w:t>18</w:t>
      </w:r>
      <w:r w:rsidRPr="00091C8B">
        <w:rPr>
          <w:rtl/>
          <w:lang w:val="en-US"/>
        </w:rPr>
        <w:t xml:space="preserve"> شباط/فبراير </w:t>
      </w:r>
      <w:r w:rsidRPr="009E4636">
        <w:rPr>
          <w:rtl/>
          <w:lang w:val="en-US"/>
        </w:rPr>
        <w:t>2022</w:t>
      </w:r>
      <w:r w:rsidR="0032072C">
        <w:rPr>
          <w:rtl/>
          <w:lang w:val="en-US"/>
        </w:rPr>
        <w:t>،</w:t>
      </w:r>
      <w:r w:rsidRPr="00091C8B">
        <w:rPr>
          <w:rtl/>
          <w:lang w:val="en-US"/>
        </w:rPr>
        <w:t xml:space="preserve"> واعتمدت هذه الملاحظات الختامية في جلستها الثلاثين المعقودة في </w:t>
      </w:r>
      <w:r w:rsidRPr="009E4636">
        <w:rPr>
          <w:rtl/>
          <w:lang w:val="en-US"/>
        </w:rPr>
        <w:t>4</w:t>
      </w:r>
      <w:r w:rsidRPr="00091C8B">
        <w:rPr>
          <w:rtl/>
          <w:lang w:val="en-US"/>
        </w:rPr>
        <w:t xml:space="preserve"> آذار/مارس </w:t>
      </w:r>
      <w:r w:rsidRPr="009E4636">
        <w:rPr>
          <w:rtl/>
          <w:lang w:val="en-US"/>
        </w:rPr>
        <w:t>2022</w:t>
      </w:r>
      <w:r w:rsidR="0032072C">
        <w:rPr>
          <w:rFonts w:hint="cs"/>
          <w:rtl/>
          <w:lang w:val="en-US"/>
        </w:rPr>
        <w:t>.</w:t>
      </w:r>
    </w:p>
    <w:p w14:paraId="5CCACC2C" w14:textId="7DB395F1" w:rsidR="00091C8B" w:rsidRPr="009E4636" w:rsidRDefault="00E24D19" w:rsidP="00E24D19">
      <w:pPr>
        <w:pStyle w:val="H1GA"/>
      </w:pPr>
      <w:r w:rsidRPr="009E4636">
        <w:rPr>
          <w:rtl/>
        </w:rPr>
        <w:tab/>
      </w:r>
      <w:r w:rsidR="00091C8B" w:rsidRPr="009E4636">
        <w:rPr>
          <w:rtl/>
        </w:rPr>
        <w:t>ألف-</w:t>
      </w:r>
      <w:r w:rsidR="00091C8B" w:rsidRPr="009E4636">
        <w:rPr>
          <w:rtl/>
        </w:rPr>
        <w:tab/>
        <w:t>مقدمة</w:t>
      </w:r>
    </w:p>
    <w:p w14:paraId="6B07A8B8" w14:textId="72A15BD1" w:rsidR="00091C8B" w:rsidRPr="00091C8B" w:rsidRDefault="00091C8B" w:rsidP="00F90D46">
      <w:pPr>
        <w:pStyle w:val="SingleTxtGA"/>
        <w:spacing w:line="340" w:lineRule="exact"/>
        <w:rPr>
          <w:lang w:val="en-US"/>
        </w:rPr>
      </w:pPr>
      <w:r w:rsidRPr="009E4636">
        <w:rPr>
          <w:rtl/>
          <w:lang w:val="en-US"/>
        </w:rPr>
        <w:t>2</w:t>
      </w:r>
      <w:r w:rsidRPr="00091C8B">
        <w:rPr>
          <w:rtl/>
          <w:lang w:val="en-US"/>
        </w:rPr>
        <w:t>-</w:t>
      </w:r>
      <w:r w:rsidRPr="00091C8B">
        <w:rPr>
          <w:rtl/>
          <w:lang w:val="en-US"/>
        </w:rPr>
        <w:tab/>
        <w:t>ترحب اللجنة بتقديم الدولة الطرف تقريرها الدوري الثالث</w:t>
      </w:r>
      <w:r w:rsidR="0032072C">
        <w:rPr>
          <w:rtl/>
          <w:lang w:val="en-US"/>
        </w:rPr>
        <w:t>،</w:t>
      </w:r>
      <w:r w:rsidRPr="00091C8B">
        <w:rPr>
          <w:rtl/>
          <w:lang w:val="en-US"/>
        </w:rPr>
        <w:t xml:space="preserve"> وبالمعلومات التكميلية المقدمة في الردود على قائمة المسائل</w:t>
      </w:r>
      <w:r w:rsidR="0032072C">
        <w:rPr>
          <w:rtl/>
          <w:lang w:val="en-US"/>
        </w:rPr>
        <w:t>،</w:t>
      </w:r>
      <w:r w:rsidRPr="00091C8B">
        <w:rPr>
          <w:rtl/>
          <w:lang w:val="en-US"/>
        </w:rPr>
        <w:t xml:space="preserve"> وبالبيانات الإحصائية الواردة في كل </w:t>
      </w:r>
      <w:proofErr w:type="gramStart"/>
      <w:r w:rsidRPr="00091C8B">
        <w:rPr>
          <w:rtl/>
          <w:lang w:val="en-US"/>
        </w:rPr>
        <w:t>منهما</w:t>
      </w:r>
      <w:r w:rsidRPr="00091C8B">
        <w:rPr>
          <w:vertAlign w:val="superscript"/>
          <w:rtl/>
          <w:lang w:val="en-US"/>
        </w:rPr>
        <w:t>(</w:t>
      </w:r>
      <w:proofErr w:type="gramEnd"/>
      <w:r w:rsidRPr="009E4636">
        <w:rPr>
          <w:rStyle w:val="FootnoteReference"/>
          <w:szCs w:val="22"/>
          <w:lang w:val="en-US"/>
        </w:rPr>
        <w:footnoteReference w:id="4"/>
      </w:r>
      <w:r w:rsidRPr="00091C8B">
        <w:rPr>
          <w:vertAlign w:val="superscript"/>
          <w:rtl/>
          <w:lang w:val="en-US"/>
        </w:rPr>
        <w:t>)</w:t>
      </w:r>
      <w:r w:rsidRPr="00091C8B">
        <w:rPr>
          <w:rtl/>
          <w:lang w:val="en-US"/>
        </w:rPr>
        <w:t>. وتعرب اللجنة أيض</w:t>
      </w:r>
      <w:r w:rsidR="00364683">
        <w:rPr>
          <w:rtl/>
          <w:lang w:val="en-US"/>
        </w:rPr>
        <w:t xml:space="preserve">اً </w:t>
      </w:r>
      <w:r w:rsidRPr="00091C8B">
        <w:rPr>
          <w:rtl/>
          <w:lang w:val="en-US"/>
        </w:rPr>
        <w:t>عن تقديرها للحوار الصريح والمفتوح والبناء الذي جرى مع وفد الدولة الطرف.</w:t>
      </w:r>
    </w:p>
    <w:p w14:paraId="1FE09AE6" w14:textId="6D8C42CC" w:rsidR="00091C8B" w:rsidRPr="009E4636" w:rsidRDefault="00E24D19" w:rsidP="00E24D19">
      <w:pPr>
        <w:pStyle w:val="H1GA"/>
      </w:pPr>
      <w:r w:rsidRPr="009E4636">
        <w:rPr>
          <w:rtl/>
        </w:rPr>
        <w:tab/>
      </w:r>
      <w:r w:rsidR="00091C8B" w:rsidRPr="009E4636">
        <w:rPr>
          <w:rtl/>
        </w:rPr>
        <w:t>باء-</w:t>
      </w:r>
      <w:r w:rsidR="00091C8B" w:rsidRPr="009E4636">
        <w:rPr>
          <w:rtl/>
        </w:rPr>
        <w:tab/>
        <w:t>الجوانب الإيجابية</w:t>
      </w:r>
    </w:p>
    <w:p w14:paraId="06A32D5E" w14:textId="3EB1B482" w:rsidR="00091C8B" w:rsidRPr="00091C8B" w:rsidRDefault="00091C8B" w:rsidP="00F90D46">
      <w:pPr>
        <w:pStyle w:val="SingleTxtGA"/>
        <w:spacing w:line="340" w:lineRule="exact"/>
        <w:rPr>
          <w:lang w:val="en-US"/>
        </w:rPr>
      </w:pPr>
      <w:r w:rsidRPr="009E4636">
        <w:rPr>
          <w:spacing w:val="-2"/>
          <w:rtl/>
          <w:lang w:val="en-US"/>
        </w:rPr>
        <w:t>3</w:t>
      </w:r>
      <w:r w:rsidRPr="00E24D19">
        <w:rPr>
          <w:spacing w:val="-2"/>
          <w:rtl/>
          <w:lang w:val="en-US"/>
        </w:rPr>
        <w:t>-</w:t>
      </w:r>
      <w:r w:rsidRPr="00E24D19">
        <w:rPr>
          <w:spacing w:val="-2"/>
          <w:rtl/>
          <w:lang w:val="en-US"/>
        </w:rPr>
        <w:tab/>
        <w:t xml:space="preserve">ترحب اللجنة بالتدابير التشريعية والمؤسسية </w:t>
      </w:r>
      <w:proofErr w:type="spellStart"/>
      <w:r w:rsidRPr="00E24D19">
        <w:rPr>
          <w:spacing w:val="-2"/>
          <w:rtl/>
          <w:lang w:val="en-US"/>
        </w:rPr>
        <w:t>والسياساتية</w:t>
      </w:r>
      <w:proofErr w:type="spellEnd"/>
      <w:r w:rsidRPr="00E24D19">
        <w:rPr>
          <w:spacing w:val="-2"/>
          <w:rtl/>
          <w:lang w:val="en-US"/>
        </w:rPr>
        <w:t xml:space="preserve"> المتخذة تعزيز</w:t>
      </w:r>
      <w:r w:rsidR="00364683">
        <w:rPr>
          <w:spacing w:val="-2"/>
          <w:rtl/>
          <w:lang w:val="en-US"/>
        </w:rPr>
        <w:t xml:space="preserve">اً </w:t>
      </w:r>
      <w:r w:rsidRPr="00E24D19">
        <w:rPr>
          <w:spacing w:val="-2"/>
          <w:rtl/>
          <w:lang w:val="en-US"/>
        </w:rPr>
        <w:t xml:space="preserve">لحماية الحقوق الاقتصادية </w:t>
      </w:r>
      <w:r w:rsidRPr="00091C8B">
        <w:rPr>
          <w:rtl/>
          <w:lang w:val="en-US"/>
        </w:rPr>
        <w:t>والاجتماعية والثقافية في الدولة الطرف</w:t>
      </w:r>
      <w:r w:rsidR="0032072C">
        <w:rPr>
          <w:rtl/>
          <w:lang w:val="en-US"/>
        </w:rPr>
        <w:t>،</w:t>
      </w:r>
      <w:r w:rsidRPr="00091C8B">
        <w:rPr>
          <w:rtl/>
          <w:lang w:val="en-US"/>
        </w:rPr>
        <w:t xml:space="preserve"> بما في ذلك "إطارها الاستراتيجي للجمهورية التشيكية </w:t>
      </w:r>
      <w:r w:rsidRPr="009E4636">
        <w:rPr>
          <w:rtl/>
          <w:lang w:val="en-US"/>
        </w:rPr>
        <w:t>2030</w:t>
      </w:r>
      <w:r w:rsidRPr="00091C8B">
        <w:rPr>
          <w:rtl/>
          <w:lang w:val="en-US"/>
        </w:rPr>
        <w:t xml:space="preserve">" </w:t>
      </w:r>
      <w:r w:rsidRPr="00E24D19">
        <w:rPr>
          <w:spacing w:val="-2"/>
          <w:rtl/>
          <w:lang w:val="en-US"/>
        </w:rPr>
        <w:t>وخطة التعافي الوطنية. وترحب اللجنة أيض</w:t>
      </w:r>
      <w:r w:rsidR="00364683">
        <w:rPr>
          <w:spacing w:val="-2"/>
          <w:rtl/>
          <w:lang w:val="en-US"/>
        </w:rPr>
        <w:t xml:space="preserve">اً </w:t>
      </w:r>
      <w:r w:rsidRPr="00E24D19">
        <w:rPr>
          <w:spacing w:val="-2"/>
          <w:rtl/>
          <w:lang w:val="en-US"/>
        </w:rPr>
        <w:t>باستراتيجيات محددة تتعلق بالصحة والتعليم والعمالة والإدماج</w:t>
      </w:r>
      <w:r w:rsidRPr="00091C8B">
        <w:rPr>
          <w:rtl/>
          <w:lang w:val="en-US"/>
        </w:rPr>
        <w:t xml:space="preserve"> الاجتماعي حتى عام </w:t>
      </w:r>
      <w:r w:rsidRPr="009E4636">
        <w:rPr>
          <w:rtl/>
          <w:lang w:val="en-US"/>
        </w:rPr>
        <w:t>2030</w:t>
      </w:r>
      <w:r w:rsidR="0032072C">
        <w:rPr>
          <w:rtl/>
          <w:lang w:val="en-US"/>
        </w:rPr>
        <w:t>،</w:t>
      </w:r>
      <w:r w:rsidRPr="00091C8B">
        <w:rPr>
          <w:rtl/>
          <w:lang w:val="en-US"/>
        </w:rPr>
        <w:t xml:space="preserve"> وبتدابير أخرى ورد ذكرها في هذه الملاحظات الختامية.</w:t>
      </w:r>
    </w:p>
    <w:p w14:paraId="3D103163" w14:textId="38EB7CE1" w:rsidR="00091C8B" w:rsidRPr="009E4636" w:rsidRDefault="00E24D19" w:rsidP="00E24D19">
      <w:pPr>
        <w:pStyle w:val="H1GA"/>
      </w:pPr>
      <w:r w:rsidRPr="009E4636">
        <w:rPr>
          <w:rtl/>
        </w:rPr>
        <w:tab/>
      </w:r>
      <w:r w:rsidR="00091C8B" w:rsidRPr="009E4636">
        <w:rPr>
          <w:rtl/>
        </w:rPr>
        <w:t>جيم-</w:t>
      </w:r>
      <w:r w:rsidR="00091C8B" w:rsidRPr="009E4636">
        <w:rPr>
          <w:rtl/>
        </w:rPr>
        <w:tab/>
        <w:t>دواعي القلق الرئيسية والتوصيات</w:t>
      </w:r>
    </w:p>
    <w:p w14:paraId="31436C52" w14:textId="77777777" w:rsidR="00091C8B" w:rsidRPr="009E4636" w:rsidRDefault="00091C8B" w:rsidP="00E24D19">
      <w:pPr>
        <w:pStyle w:val="H23GA"/>
      </w:pPr>
      <w:r w:rsidRPr="009E4636">
        <w:rPr>
          <w:rtl/>
        </w:rPr>
        <w:tab/>
      </w:r>
      <w:r w:rsidRPr="009E4636">
        <w:rPr>
          <w:rtl/>
        </w:rPr>
        <w:tab/>
        <w:t>تطبيق العهد محليا</w:t>
      </w:r>
    </w:p>
    <w:p w14:paraId="029F58F7" w14:textId="78698345" w:rsidR="00091C8B" w:rsidRPr="00091C8B" w:rsidRDefault="00091C8B" w:rsidP="00F90D46">
      <w:pPr>
        <w:pStyle w:val="SingleTxtGA"/>
        <w:spacing w:line="340" w:lineRule="exact"/>
        <w:rPr>
          <w:lang w:val="en-US"/>
        </w:rPr>
      </w:pPr>
      <w:r w:rsidRPr="009E4636">
        <w:rPr>
          <w:rtl/>
          <w:lang w:val="en-US"/>
        </w:rPr>
        <w:t>4</w:t>
      </w:r>
      <w:r w:rsidRPr="00091C8B">
        <w:rPr>
          <w:rtl/>
          <w:lang w:val="en-US"/>
        </w:rPr>
        <w:t>-</w:t>
      </w:r>
      <w:r w:rsidRPr="00091C8B">
        <w:rPr>
          <w:rtl/>
          <w:lang w:val="en-US"/>
        </w:rPr>
        <w:tab/>
        <w:t>تلاحظ اللجنة أن العهد جزء من النظام الدستوري</w:t>
      </w:r>
      <w:r w:rsidR="0032072C">
        <w:rPr>
          <w:rtl/>
          <w:lang w:val="en-US"/>
        </w:rPr>
        <w:t>،</w:t>
      </w:r>
      <w:r w:rsidRPr="00091C8B">
        <w:rPr>
          <w:rtl/>
          <w:lang w:val="en-US"/>
        </w:rPr>
        <w:t xml:space="preserve"> وبالتالي فإن الحقوق الاقتصادية والاجتماعية والثقافية محمية بموجب ميثاق الحقوق والحريات الأساسية لدى الدولة الطرف. وتلاحظ اللجنة كذلك أن المحكمة الدستورية والمحكمة الإدارية العليا قد أشارتا إلى العهد في مناسبات مختلفة. بيد أنها تأسف لانعدام معلومات عن القرارات التي اتخذتها محاكم أدنى درجة والهيئات الإدارية التي تعتد بالعهد. ويساورها القلق أيض</w:t>
      </w:r>
      <w:r w:rsidR="00364683">
        <w:rPr>
          <w:rtl/>
          <w:lang w:val="en-US"/>
        </w:rPr>
        <w:t xml:space="preserve">اً </w:t>
      </w:r>
      <w:r w:rsidRPr="00091C8B">
        <w:rPr>
          <w:rtl/>
          <w:lang w:val="en-US"/>
        </w:rPr>
        <w:t xml:space="preserve">لأن المادة </w:t>
      </w:r>
      <w:r w:rsidRPr="009E4636">
        <w:rPr>
          <w:rtl/>
          <w:lang w:val="en-US"/>
        </w:rPr>
        <w:t>41</w:t>
      </w:r>
      <w:r w:rsidRPr="00091C8B">
        <w:rPr>
          <w:rtl/>
          <w:lang w:val="en-US"/>
        </w:rPr>
        <w:t>(</w:t>
      </w:r>
      <w:r w:rsidRPr="009E4636">
        <w:rPr>
          <w:rtl/>
          <w:lang w:val="en-US"/>
        </w:rPr>
        <w:t>1</w:t>
      </w:r>
      <w:r w:rsidRPr="00091C8B">
        <w:rPr>
          <w:rtl/>
          <w:lang w:val="en-US"/>
        </w:rPr>
        <w:t xml:space="preserve">) من الميثاق قد يكون لها أثر سلبي على إحقاق الحقوق الاقتصادية </w:t>
      </w:r>
      <w:r w:rsidRPr="00091C8B">
        <w:rPr>
          <w:rtl/>
          <w:lang w:val="en-US"/>
        </w:rPr>
        <w:lastRenderedPageBreak/>
        <w:t>والاجتماعية والثقافية المشمولة بنطاقه</w:t>
      </w:r>
      <w:r w:rsidR="0032072C">
        <w:rPr>
          <w:rtl/>
          <w:lang w:val="en-US"/>
        </w:rPr>
        <w:t>،</w:t>
      </w:r>
      <w:r w:rsidRPr="00091C8B">
        <w:rPr>
          <w:rtl/>
          <w:lang w:val="en-US"/>
        </w:rPr>
        <w:t xml:space="preserve"> مع مراعاة هامش التقدير الأوسع في وضع السياسات أثناء إحقاق هذه الحقوق. وبالإضافة إلى ذلك</w:t>
      </w:r>
      <w:r w:rsidR="0032072C">
        <w:rPr>
          <w:rtl/>
          <w:lang w:val="en-US"/>
        </w:rPr>
        <w:t>،</w:t>
      </w:r>
      <w:r w:rsidRPr="00091C8B">
        <w:rPr>
          <w:rtl/>
          <w:lang w:val="en-US"/>
        </w:rPr>
        <w:t xml:space="preserve"> يساور اللجنة القلق إزاء قلة المعلومات عن سبل الانتصاف الفعالة في حالات انتهاك الحقوق المبيّنة في العهد (المادة </w:t>
      </w:r>
      <w:r w:rsidRPr="009E4636">
        <w:rPr>
          <w:rtl/>
          <w:lang w:val="en-US"/>
        </w:rPr>
        <w:t>2</w:t>
      </w:r>
      <w:r w:rsidRPr="00091C8B">
        <w:rPr>
          <w:rtl/>
          <w:lang w:val="en-US"/>
        </w:rPr>
        <w:t>(</w:t>
      </w:r>
      <w:r w:rsidRPr="009E4636">
        <w:rPr>
          <w:rtl/>
          <w:lang w:val="en-US"/>
        </w:rPr>
        <w:t>1</w:t>
      </w:r>
      <w:r w:rsidRPr="00091C8B">
        <w:rPr>
          <w:rtl/>
          <w:lang w:val="en-US"/>
        </w:rPr>
        <w:t>)).</w:t>
      </w:r>
    </w:p>
    <w:p w14:paraId="3624A0AC" w14:textId="77777777" w:rsidR="00091C8B" w:rsidRPr="009E4636" w:rsidRDefault="00091C8B" w:rsidP="00F90D46">
      <w:pPr>
        <w:pStyle w:val="SingleTxtGA"/>
        <w:spacing w:line="346" w:lineRule="exact"/>
        <w:rPr>
          <w:b/>
          <w:bCs/>
          <w:lang w:val="en-US"/>
        </w:rPr>
      </w:pPr>
      <w:r w:rsidRPr="009E4636">
        <w:rPr>
          <w:rtl/>
          <w:lang w:val="en-US"/>
        </w:rPr>
        <w:t>5</w:t>
      </w:r>
      <w:r w:rsidRPr="00091C8B">
        <w:rPr>
          <w:rtl/>
          <w:lang w:val="en-US"/>
        </w:rPr>
        <w:t>-</w:t>
      </w:r>
      <w:r w:rsidRPr="00091C8B">
        <w:rPr>
          <w:rtl/>
          <w:lang w:val="en-US"/>
        </w:rPr>
        <w:tab/>
      </w:r>
      <w:r w:rsidRPr="009E4636">
        <w:rPr>
          <w:b/>
          <w:bCs/>
          <w:rtl/>
          <w:lang w:val="en-US"/>
        </w:rPr>
        <w:t>توصي اللجنة بأن تقوم الدولة الطرف بما يلي:</w:t>
      </w:r>
    </w:p>
    <w:p w14:paraId="3634AF05" w14:textId="74742FBC" w:rsidR="00091C8B" w:rsidRPr="009E4636" w:rsidRDefault="00E24D19" w:rsidP="00F90D46">
      <w:pPr>
        <w:pStyle w:val="SingleTxtGA"/>
        <w:spacing w:line="346" w:lineRule="exact"/>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2"/>
          <w:rtl/>
          <w:lang w:val="en-US"/>
        </w:rPr>
        <w:t>ضمان إمكانية اعتداد لمحاكم بالحقوق الاقتصادية والاجتماعية والثقافية على جميع</w:t>
      </w:r>
      <w:r w:rsidR="00091C8B" w:rsidRPr="009E4636">
        <w:rPr>
          <w:b/>
          <w:bCs/>
          <w:rtl/>
          <w:lang w:val="en-US"/>
        </w:rPr>
        <w:t xml:space="preserve"> المستويات وفي جميع الهيئات الإدارية</w:t>
      </w:r>
      <w:r w:rsidR="0032072C" w:rsidRPr="009E4636">
        <w:rPr>
          <w:b/>
          <w:bCs/>
          <w:rtl/>
          <w:lang w:val="en-US"/>
        </w:rPr>
        <w:t>،</w:t>
      </w:r>
      <w:r w:rsidR="00091C8B" w:rsidRPr="009E4636">
        <w:rPr>
          <w:b/>
          <w:bCs/>
          <w:rtl/>
          <w:lang w:val="en-US"/>
        </w:rPr>
        <w:t xml:space="preserve"> وتيسير سبل انتصاف فعالة لضحايا انتهاكات هذه الحقوق؛</w:t>
      </w:r>
    </w:p>
    <w:p w14:paraId="1E2B16B4" w14:textId="2D9FE968" w:rsidR="00091C8B" w:rsidRPr="009E4636" w:rsidRDefault="00E24D19" w:rsidP="00F90D46">
      <w:pPr>
        <w:pStyle w:val="SingleTxtGA"/>
        <w:spacing w:line="346" w:lineRule="exact"/>
        <w:rPr>
          <w:b/>
          <w:bCs/>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2"/>
          <w:rtl/>
          <w:lang w:val="en-US"/>
        </w:rPr>
        <w:t>تحسين تدريب أعضاء السلطة القضائية والمحامين والموظفين العموميين بشأن العهد</w:t>
      </w:r>
      <w:r w:rsidR="00091C8B" w:rsidRPr="009E4636">
        <w:rPr>
          <w:b/>
          <w:bCs/>
          <w:rtl/>
          <w:lang w:val="en-US"/>
        </w:rPr>
        <w:t xml:space="preserve"> </w:t>
      </w:r>
      <w:r w:rsidR="00091C8B" w:rsidRPr="009E4636">
        <w:rPr>
          <w:rFonts w:ascii="Times New Roman Bold" w:hAnsi="Times New Roman Bold"/>
          <w:b/>
          <w:bCs/>
          <w:spacing w:val="-2"/>
          <w:rtl/>
          <w:lang w:val="en-US"/>
        </w:rPr>
        <w:t>وإمكانية التقاضي بشأن الحقوق الواردة فيه</w:t>
      </w:r>
      <w:r w:rsidR="0032072C" w:rsidRPr="009E4636">
        <w:rPr>
          <w:rFonts w:ascii="Times New Roman Bold" w:hAnsi="Times New Roman Bold"/>
          <w:b/>
          <w:bCs/>
          <w:spacing w:val="-2"/>
          <w:rtl/>
          <w:lang w:val="en-US"/>
        </w:rPr>
        <w:t>،</w:t>
      </w:r>
      <w:r w:rsidR="00091C8B" w:rsidRPr="009E4636">
        <w:rPr>
          <w:rFonts w:ascii="Times New Roman Bold" w:hAnsi="Times New Roman Bold"/>
          <w:b/>
          <w:bCs/>
          <w:spacing w:val="-2"/>
          <w:rtl/>
          <w:lang w:val="en-US"/>
        </w:rPr>
        <w:t xml:space="preserve"> وزيادة الوعي بهذا الموضوع بين عامة الجمهور</w:t>
      </w:r>
      <w:r w:rsidR="0032072C" w:rsidRPr="009E4636">
        <w:rPr>
          <w:rFonts w:ascii="Times New Roman Bold" w:hAnsi="Times New Roman Bold"/>
          <w:b/>
          <w:bCs/>
          <w:spacing w:val="-2"/>
          <w:rtl/>
          <w:lang w:val="en-US"/>
        </w:rPr>
        <w:t>،</w:t>
      </w:r>
      <w:r w:rsidR="00091C8B" w:rsidRPr="009E4636">
        <w:rPr>
          <w:rFonts w:ascii="Times New Roman Bold" w:hAnsi="Times New Roman Bold"/>
          <w:b/>
          <w:bCs/>
          <w:spacing w:val="-2"/>
          <w:rtl/>
          <w:lang w:val="en-US"/>
        </w:rPr>
        <w:t xml:space="preserve"> ولا سيما</w:t>
      </w:r>
      <w:r w:rsidR="00091C8B" w:rsidRPr="009E4636">
        <w:rPr>
          <w:b/>
          <w:bCs/>
          <w:rtl/>
          <w:lang w:val="en-US"/>
        </w:rPr>
        <w:t xml:space="preserve"> في صفوف ذوي الحقوق؛</w:t>
      </w:r>
    </w:p>
    <w:p w14:paraId="7612C098" w14:textId="25335949" w:rsidR="00091C8B" w:rsidRPr="009E4636" w:rsidRDefault="00E24D19" w:rsidP="00F90D46">
      <w:pPr>
        <w:pStyle w:val="SingleTxtGA"/>
        <w:spacing w:line="346" w:lineRule="exact"/>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مراعاة تعليقها العام رقم 9(1998) بشأن التطبيق المحلي للعهد.</w:t>
      </w:r>
    </w:p>
    <w:p w14:paraId="487372D1" w14:textId="77777777" w:rsidR="00091C8B" w:rsidRPr="009E4636" w:rsidRDefault="00091C8B" w:rsidP="00F90D46">
      <w:pPr>
        <w:pStyle w:val="H23GA"/>
        <w:spacing w:before="200" w:line="346" w:lineRule="exact"/>
      </w:pPr>
      <w:r w:rsidRPr="009E4636">
        <w:rPr>
          <w:rtl/>
        </w:rPr>
        <w:tab/>
      </w:r>
      <w:r w:rsidRPr="009E4636">
        <w:rPr>
          <w:rtl/>
        </w:rPr>
        <w:tab/>
        <w:t>المؤسسة الوطنية لتعزيز وحماية حقوق الإنسان</w:t>
      </w:r>
    </w:p>
    <w:p w14:paraId="10088F79" w14:textId="14EB5755" w:rsidR="00091C8B" w:rsidRPr="00091C8B" w:rsidRDefault="00091C8B" w:rsidP="00F90D46">
      <w:pPr>
        <w:pStyle w:val="SingleTxtGA"/>
        <w:spacing w:line="346" w:lineRule="exact"/>
        <w:rPr>
          <w:lang w:val="en-US"/>
        </w:rPr>
      </w:pPr>
      <w:r w:rsidRPr="009E4636">
        <w:rPr>
          <w:rtl/>
          <w:lang w:val="en-US"/>
        </w:rPr>
        <w:t>6</w:t>
      </w:r>
      <w:r w:rsidRPr="00091C8B">
        <w:rPr>
          <w:rtl/>
          <w:lang w:val="en-US"/>
        </w:rPr>
        <w:t>-</w:t>
      </w:r>
      <w:r w:rsidRPr="00091C8B">
        <w:rPr>
          <w:rtl/>
          <w:lang w:val="en-US"/>
        </w:rPr>
        <w:tab/>
        <w:t>تسلم اللجنة بأهمية دور هيئة الدفاع العام عن الحقوق (أمانة المظالم)</w:t>
      </w:r>
      <w:r w:rsidR="0032072C">
        <w:rPr>
          <w:rtl/>
          <w:lang w:val="en-US"/>
        </w:rPr>
        <w:t>،</w:t>
      </w:r>
      <w:r w:rsidRPr="00091C8B">
        <w:rPr>
          <w:rtl/>
          <w:lang w:val="en-US"/>
        </w:rPr>
        <w:t xml:space="preserve"> بيد أن القلق لا</w:t>
      </w:r>
      <w:r w:rsidR="0032072C">
        <w:rPr>
          <w:rFonts w:hint="cs"/>
          <w:rtl/>
          <w:lang w:val="en-US"/>
        </w:rPr>
        <w:t> </w:t>
      </w:r>
      <w:r w:rsidRPr="00091C8B">
        <w:rPr>
          <w:rtl/>
          <w:lang w:val="en-US"/>
        </w:rPr>
        <w:t>يزال يساورها لأن اختصاص أمانة المظالم لا يشمل جميع الحقوق والحريات الأساسية. ويساورها القلق أيض</w:t>
      </w:r>
      <w:r w:rsidR="00364683">
        <w:rPr>
          <w:rtl/>
          <w:lang w:val="en-US"/>
        </w:rPr>
        <w:t xml:space="preserve">اً </w:t>
      </w:r>
      <w:r w:rsidRPr="00091C8B">
        <w:rPr>
          <w:rtl/>
          <w:lang w:val="en-US"/>
        </w:rPr>
        <w:t xml:space="preserve">لأن متابعة الدراسة التي تناولت إنشاء مؤسسة وطنية لحقوق الإنسان لا تزال معلقة (المادة </w:t>
      </w:r>
      <w:r w:rsidRPr="009E4636">
        <w:rPr>
          <w:rtl/>
          <w:lang w:val="en-US"/>
        </w:rPr>
        <w:t>2</w:t>
      </w:r>
      <w:r w:rsidRPr="00091C8B">
        <w:rPr>
          <w:rtl/>
          <w:lang w:val="en-US"/>
        </w:rPr>
        <w:t>(</w:t>
      </w:r>
      <w:r w:rsidRPr="009E4636">
        <w:rPr>
          <w:rtl/>
          <w:lang w:val="en-US"/>
        </w:rPr>
        <w:t>1</w:t>
      </w:r>
      <w:r w:rsidRPr="00091C8B">
        <w:rPr>
          <w:rtl/>
          <w:lang w:val="en-US"/>
        </w:rPr>
        <w:t>)).</w:t>
      </w:r>
    </w:p>
    <w:p w14:paraId="3374DCBD" w14:textId="52BD7F69" w:rsidR="00091C8B" w:rsidRPr="009E4636" w:rsidRDefault="00091C8B" w:rsidP="00F90D46">
      <w:pPr>
        <w:pStyle w:val="SingleTxtGA"/>
        <w:spacing w:line="346" w:lineRule="exact"/>
        <w:rPr>
          <w:b/>
          <w:bCs/>
          <w:lang w:val="en-US"/>
        </w:rPr>
      </w:pPr>
      <w:r w:rsidRPr="009E4636">
        <w:rPr>
          <w:rtl/>
          <w:lang w:val="en-US"/>
        </w:rPr>
        <w:t>7</w:t>
      </w:r>
      <w:r w:rsidRPr="00091C8B">
        <w:rPr>
          <w:rtl/>
          <w:lang w:val="en-US"/>
        </w:rPr>
        <w:t>-</w:t>
      </w:r>
      <w:r w:rsidRPr="00091C8B">
        <w:rPr>
          <w:rtl/>
          <w:lang w:val="en-US"/>
        </w:rPr>
        <w:tab/>
      </w:r>
      <w:r w:rsidRPr="009E4636">
        <w:rPr>
          <w:b/>
          <w:bCs/>
          <w:rtl/>
          <w:lang w:val="en-US"/>
        </w:rPr>
        <w:t>توصي اللجنة بأن تنشئ الدولة الطرف على وجه السرعة مؤسسة وطنية لحقوق الإنسان تُسند إليها ولاية واسعة النطاق امتثال</w:t>
      </w:r>
      <w:r w:rsidR="00364683" w:rsidRPr="009E4636">
        <w:rPr>
          <w:b/>
          <w:bCs/>
          <w:rtl/>
          <w:lang w:val="en-US"/>
        </w:rPr>
        <w:t xml:space="preserve">اً </w:t>
      </w:r>
      <w:r w:rsidRPr="009E4636">
        <w:rPr>
          <w:b/>
          <w:bCs/>
          <w:rtl/>
          <w:lang w:val="en-US"/>
        </w:rPr>
        <w:t xml:space="preserve">للمبادئ المتعلقة بمركز المؤسسات الوطنية لتعزيز وحماية حقوق الإنسان (مبادئ باريس). وينبغي لها كذلك أن تكفل تخصيص ما يكفي من الموارد البشرية </w:t>
      </w:r>
      <w:r w:rsidRPr="009E4636">
        <w:rPr>
          <w:rFonts w:ascii="Times New Roman Bold" w:hAnsi="Times New Roman Bold"/>
          <w:b/>
          <w:bCs/>
          <w:spacing w:val="-4"/>
          <w:rtl/>
          <w:lang w:val="en-US"/>
        </w:rPr>
        <w:t>والتقنية والمالية لتلك المؤسسة بغية تمكينها من الاضطلاع بولايتها كاملةً فيما يتعلق بالحقوق الاقتصادية</w:t>
      </w:r>
      <w:r w:rsidRPr="009E4636">
        <w:rPr>
          <w:b/>
          <w:bCs/>
          <w:spacing w:val="-2"/>
          <w:rtl/>
          <w:lang w:val="en-US"/>
        </w:rPr>
        <w:t xml:space="preserve"> والاجتماعية والثقافية.</w:t>
      </w:r>
    </w:p>
    <w:p w14:paraId="254518F3" w14:textId="77777777" w:rsidR="00091C8B" w:rsidRPr="009E4636" w:rsidRDefault="00091C8B" w:rsidP="00F90D46">
      <w:pPr>
        <w:pStyle w:val="H23GA"/>
        <w:spacing w:before="200" w:line="346" w:lineRule="exact"/>
      </w:pPr>
      <w:r w:rsidRPr="009E4636">
        <w:rPr>
          <w:rtl/>
        </w:rPr>
        <w:tab/>
      </w:r>
      <w:r w:rsidRPr="009E4636">
        <w:rPr>
          <w:rtl/>
        </w:rPr>
        <w:tab/>
        <w:t>تغير المناخ</w:t>
      </w:r>
    </w:p>
    <w:p w14:paraId="66DAF765" w14:textId="40A52031" w:rsidR="00091C8B" w:rsidRPr="00091C8B" w:rsidRDefault="00091C8B" w:rsidP="00F90D46">
      <w:pPr>
        <w:pStyle w:val="SingleTxtGA"/>
        <w:spacing w:line="346" w:lineRule="exact"/>
        <w:rPr>
          <w:lang w:val="en-US"/>
        </w:rPr>
      </w:pPr>
      <w:r w:rsidRPr="009E4636">
        <w:rPr>
          <w:rtl/>
          <w:lang w:val="en-US"/>
        </w:rPr>
        <w:t>8</w:t>
      </w:r>
      <w:r w:rsidRPr="00091C8B">
        <w:rPr>
          <w:rtl/>
          <w:lang w:val="en-US"/>
        </w:rPr>
        <w:t>-</w:t>
      </w:r>
      <w:r w:rsidRPr="00091C8B">
        <w:rPr>
          <w:rtl/>
          <w:lang w:val="en-US"/>
        </w:rPr>
        <w:tab/>
        <w:t>تلاحظ اللجنة بارتياح سياسة حماية المناخ</w:t>
      </w:r>
      <w:r w:rsidR="0032072C">
        <w:rPr>
          <w:rtl/>
          <w:lang w:val="en-US"/>
        </w:rPr>
        <w:t>،</w:t>
      </w:r>
      <w:r w:rsidRPr="00091C8B">
        <w:rPr>
          <w:rtl/>
          <w:lang w:val="en-US"/>
        </w:rPr>
        <w:t xml:space="preserve"> وما تحقق من تقدم في خطة العمل الوطنية بشأن التكيف مع تغير المناخ</w:t>
      </w:r>
      <w:r w:rsidR="0032072C">
        <w:rPr>
          <w:rtl/>
          <w:lang w:val="en-US"/>
        </w:rPr>
        <w:t>،</w:t>
      </w:r>
      <w:r w:rsidRPr="00091C8B">
        <w:rPr>
          <w:rtl/>
          <w:lang w:val="en-US"/>
        </w:rPr>
        <w:t xml:space="preserve"> ومبادرات من قبيل برنامج الاستثمار في إعانات الغلّايات. وتلاحظ اللجنة أيض</w:t>
      </w:r>
      <w:r w:rsidR="00364683">
        <w:rPr>
          <w:rtl/>
          <w:lang w:val="en-US"/>
        </w:rPr>
        <w:t xml:space="preserve">اً </w:t>
      </w:r>
      <w:r w:rsidRPr="00091C8B">
        <w:rPr>
          <w:rtl/>
          <w:lang w:val="en-US"/>
        </w:rPr>
        <w:t>الانخفاض الكبير في انبعاثات غازات الدفيئة</w:t>
      </w:r>
      <w:r w:rsidR="0032072C">
        <w:rPr>
          <w:rtl/>
          <w:lang w:val="en-US"/>
        </w:rPr>
        <w:t>،</w:t>
      </w:r>
      <w:r w:rsidRPr="00091C8B">
        <w:rPr>
          <w:rtl/>
          <w:lang w:val="en-US"/>
        </w:rPr>
        <w:t xml:space="preserve"> ولكن القلق يساورها لأن هذا الانخفاض قد توقّف عملي</w:t>
      </w:r>
      <w:r w:rsidR="00364683">
        <w:rPr>
          <w:rtl/>
          <w:lang w:val="en-US"/>
        </w:rPr>
        <w:t xml:space="preserve">اً </w:t>
      </w:r>
      <w:r w:rsidRPr="00091C8B">
        <w:rPr>
          <w:rtl/>
          <w:lang w:val="en-US"/>
        </w:rPr>
        <w:t>في السنوات الأخيرة. وعلاوة على ذلك</w:t>
      </w:r>
      <w:r w:rsidR="0032072C">
        <w:rPr>
          <w:rtl/>
          <w:lang w:val="en-US"/>
        </w:rPr>
        <w:t>،</w:t>
      </w:r>
      <w:r w:rsidRPr="00091C8B">
        <w:rPr>
          <w:rtl/>
          <w:lang w:val="en-US"/>
        </w:rPr>
        <w:t xml:space="preserve"> يساورها القلق لأن معدل الانبعاثات بسبب الاقتصاد لا يزال من بين أعلى المعدلات في الاتحاد الأوروبي. ويساور اللجنة القلق لأن الدولة الطرف لديها اقتصاد كثيف الكربون يعرّض السكان لهواء شديد التلوث (المادة </w:t>
      </w:r>
      <w:r w:rsidRPr="009E4636">
        <w:rPr>
          <w:rtl/>
          <w:lang w:val="en-US"/>
        </w:rPr>
        <w:t>2</w:t>
      </w:r>
      <w:r w:rsidRPr="00091C8B">
        <w:rPr>
          <w:rtl/>
          <w:lang w:val="en-US"/>
        </w:rPr>
        <w:t>(</w:t>
      </w:r>
      <w:r w:rsidRPr="009E4636">
        <w:rPr>
          <w:rtl/>
          <w:lang w:val="en-US"/>
        </w:rPr>
        <w:t>1</w:t>
      </w:r>
      <w:r w:rsidRPr="00091C8B">
        <w:rPr>
          <w:rtl/>
          <w:lang w:val="en-US"/>
        </w:rPr>
        <w:t>)).</w:t>
      </w:r>
    </w:p>
    <w:p w14:paraId="7951C4B7" w14:textId="77777777" w:rsidR="00091C8B" w:rsidRPr="009E4636" w:rsidRDefault="00091C8B" w:rsidP="00F90D46">
      <w:pPr>
        <w:pStyle w:val="SingleTxtGA"/>
        <w:spacing w:line="346" w:lineRule="exact"/>
        <w:rPr>
          <w:b/>
          <w:bCs/>
          <w:lang w:val="en-US"/>
        </w:rPr>
      </w:pPr>
      <w:r w:rsidRPr="009E4636">
        <w:rPr>
          <w:rtl/>
          <w:lang w:val="en-US"/>
        </w:rPr>
        <w:t>9</w:t>
      </w:r>
      <w:r w:rsidRPr="00091C8B">
        <w:rPr>
          <w:rtl/>
          <w:lang w:val="en-US"/>
        </w:rPr>
        <w:t>-</w:t>
      </w:r>
      <w:r w:rsidRPr="00091C8B">
        <w:rPr>
          <w:rtl/>
          <w:lang w:val="en-US"/>
        </w:rPr>
        <w:tab/>
      </w:r>
      <w:r w:rsidRPr="009E4636">
        <w:rPr>
          <w:b/>
          <w:bCs/>
          <w:rtl/>
          <w:lang w:val="en-US"/>
        </w:rPr>
        <w:t>توصي اللجنة بأن تقوم الدولة الطرف بما يلي:</w:t>
      </w:r>
    </w:p>
    <w:p w14:paraId="50F49751" w14:textId="238D0F62" w:rsidR="00091C8B" w:rsidRPr="009E4636" w:rsidRDefault="00E24D19" w:rsidP="00F90D46">
      <w:pPr>
        <w:pStyle w:val="SingleTxtGA"/>
        <w:spacing w:line="346" w:lineRule="exact"/>
        <w:rPr>
          <w:b/>
          <w:bCs/>
          <w:spacing w:val="-4"/>
          <w:lang w:val="en-US"/>
        </w:rPr>
      </w:pPr>
      <w:r w:rsidRPr="0032072C">
        <w:rPr>
          <w:spacing w:val="-4"/>
          <w:rtl/>
          <w:lang w:val="en-US"/>
        </w:rPr>
        <w:tab/>
      </w:r>
      <w:r w:rsidR="00091C8B" w:rsidRPr="0032072C">
        <w:rPr>
          <w:spacing w:val="-4"/>
          <w:rtl/>
          <w:lang w:val="en-US"/>
        </w:rPr>
        <w:t>(أ)</w:t>
      </w:r>
      <w:r w:rsidR="00091C8B" w:rsidRPr="0032072C">
        <w:rPr>
          <w:spacing w:val="-4"/>
          <w:rtl/>
          <w:lang w:val="en-US"/>
        </w:rPr>
        <w:tab/>
      </w:r>
      <w:r w:rsidR="00091C8B" w:rsidRPr="009E4636">
        <w:rPr>
          <w:rFonts w:ascii="Times New Roman Bold" w:hAnsi="Times New Roman Bold"/>
          <w:b/>
          <w:bCs/>
          <w:rtl/>
          <w:lang w:val="en-US"/>
        </w:rPr>
        <w:t>تعزيز جهودها في مجال التكيف تصدياً لآثار تغير المناخ الضارة على الحقوق الاقتصادية</w:t>
      </w:r>
      <w:r w:rsidR="00091C8B" w:rsidRPr="009E4636">
        <w:rPr>
          <w:b/>
          <w:bCs/>
          <w:spacing w:val="-4"/>
          <w:rtl/>
          <w:lang w:val="en-US"/>
        </w:rPr>
        <w:t xml:space="preserve"> والاجتماعية والثقافية</w:t>
      </w:r>
      <w:r w:rsidR="0032072C" w:rsidRPr="009E4636">
        <w:rPr>
          <w:b/>
          <w:bCs/>
          <w:spacing w:val="-4"/>
          <w:rtl/>
          <w:lang w:val="en-US"/>
        </w:rPr>
        <w:t>،</w:t>
      </w:r>
      <w:r w:rsidR="00091C8B" w:rsidRPr="009E4636">
        <w:rPr>
          <w:b/>
          <w:bCs/>
          <w:spacing w:val="-4"/>
          <w:rtl/>
          <w:lang w:val="en-US"/>
        </w:rPr>
        <w:t xml:space="preserve"> بوسائل منها اتخاذ تدابير لكي تحقق مساهمتها المحددة وطني</w:t>
      </w:r>
      <w:r w:rsidR="00364683" w:rsidRPr="009E4636">
        <w:rPr>
          <w:b/>
          <w:bCs/>
          <w:spacing w:val="-4"/>
          <w:rtl/>
          <w:lang w:val="en-US"/>
        </w:rPr>
        <w:t xml:space="preserve">اً </w:t>
      </w:r>
      <w:r w:rsidR="00091C8B" w:rsidRPr="009E4636">
        <w:rPr>
          <w:b/>
          <w:bCs/>
          <w:spacing w:val="-4"/>
          <w:rtl/>
          <w:lang w:val="en-US"/>
        </w:rPr>
        <w:t>بموجب اتفاق باريس</w:t>
      </w:r>
      <w:r w:rsidR="0032072C" w:rsidRPr="009E4636">
        <w:rPr>
          <w:b/>
          <w:bCs/>
          <w:spacing w:val="-4"/>
          <w:rtl/>
          <w:lang w:val="en-US"/>
        </w:rPr>
        <w:t>،</w:t>
      </w:r>
      <w:r w:rsidR="00091C8B" w:rsidRPr="009E4636">
        <w:rPr>
          <w:b/>
          <w:bCs/>
          <w:spacing w:val="-4"/>
          <w:rtl/>
          <w:lang w:val="en-US"/>
        </w:rPr>
        <w:t xml:space="preserve"> توخي</w:t>
      </w:r>
      <w:r w:rsidR="00364683" w:rsidRPr="009E4636">
        <w:rPr>
          <w:b/>
          <w:bCs/>
          <w:spacing w:val="-4"/>
          <w:rtl/>
          <w:lang w:val="en-US"/>
        </w:rPr>
        <w:t xml:space="preserve">اً </w:t>
      </w:r>
      <w:r w:rsidR="00091C8B" w:rsidRPr="009E4636">
        <w:rPr>
          <w:b/>
          <w:bCs/>
          <w:spacing w:val="-4"/>
          <w:rtl/>
          <w:lang w:val="en-US"/>
        </w:rPr>
        <w:t>للحد من الانبعاثات؛</w:t>
      </w:r>
    </w:p>
    <w:p w14:paraId="525DDB90" w14:textId="265E1284" w:rsidR="00091C8B" w:rsidRPr="009E4636" w:rsidRDefault="00E24D19" w:rsidP="00F90D46">
      <w:pPr>
        <w:pStyle w:val="SingleTxtGA"/>
        <w:spacing w:line="346" w:lineRule="exact"/>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تعزيز مصادر الطاقة البديلة والمتجددة</w:t>
      </w:r>
      <w:r w:rsidR="0032072C" w:rsidRPr="009E4636">
        <w:rPr>
          <w:b/>
          <w:bCs/>
          <w:rtl/>
          <w:lang w:val="en-US"/>
        </w:rPr>
        <w:t>،</w:t>
      </w:r>
      <w:r w:rsidR="00091C8B" w:rsidRPr="009E4636">
        <w:rPr>
          <w:b/>
          <w:bCs/>
          <w:rtl/>
          <w:lang w:val="en-US"/>
        </w:rPr>
        <w:t xml:space="preserve"> مثلاً</w:t>
      </w:r>
      <w:r w:rsidR="0032072C" w:rsidRPr="009E4636">
        <w:rPr>
          <w:b/>
          <w:bCs/>
          <w:rtl/>
          <w:lang w:val="en-US"/>
        </w:rPr>
        <w:t>،</w:t>
      </w:r>
      <w:r w:rsidR="00091C8B" w:rsidRPr="009E4636">
        <w:rPr>
          <w:b/>
          <w:bCs/>
          <w:rtl/>
          <w:lang w:val="en-US"/>
        </w:rPr>
        <w:t xml:space="preserve"> عن طريق إعادة هيكلة مناطق تعدين</w:t>
      </w:r>
      <w:r w:rsidR="003A6240" w:rsidRPr="009E4636">
        <w:rPr>
          <w:rFonts w:hint="cs"/>
          <w:b/>
          <w:bCs/>
          <w:rtl/>
          <w:lang w:val="en-US"/>
        </w:rPr>
        <w:t> </w:t>
      </w:r>
      <w:r w:rsidR="00091C8B" w:rsidRPr="009E4636">
        <w:rPr>
          <w:b/>
          <w:bCs/>
          <w:rtl/>
          <w:lang w:val="en-US"/>
        </w:rPr>
        <w:t>الفحم؛</w:t>
      </w:r>
    </w:p>
    <w:p w14:paraId="75BCF4AF" w14:textId="7A7AC26B" w:rsidR="00091C8B" w:rsidRPr="009E4636" w:rsidRDefault="00E24D19" w:rsidP="00F90D46">
      <w:pPr>
        <w:pStyle w:val="SingleTxtGA"/>
        <w:spacing w:line="346" w:lineRule="exact"/>
        <w:rPr>
          <w:b/>
          <w:bCs/>
          <w:spacing w:val="-4"/>
          <w:lang w:val="en-US"/>
        </w:rPr>
      </w:pPr>
      <w:r w:rsidRPr="0032072C">
        <w:rPr>
          <w:spacing w:val="-4"/>
          <w:rtl/>
          <w:lang w:val="en-US"/>
        </w:rPr>
        <w:tab/>
      </w:r>
      <w:r w:rsidR="00091C8B" w:rsidRPr="0032072C">
        <w:rPr>
          <w:spacing w:val="-4"/>
          <w:rtl/>
          <w:lang w:val="en-US"/>
        </w:rPr>
        <w:t>(ج)</w:t>
      </w:r>
      <w:r w:rsidR="00091C8B" w:rsidRPr="0032072C">
        <w:rPr>
          <w:spacing w:val="-4"/>
          <w:rtl/>
          <w:lang w:val="en-US"/>
        </w:rPr>
        <w:tab/>
      </w:r>
      <w:r w:rsidR="00091C8B" w:rsidRPr="009E4636">
        <w:rPr>
          <w:b/>
          <w:bCs/>
          <w:spacing w:val="-4"/>
          <w:rtl/>
          <w:lang w:val="en-US"/>
        </w:rPr>
        <w:t>مراعاة بيان اللجنة المعنية بتغير المناخ والعهد المعتمد في 8 تشرين الأول/</w:t>
      </w:r>
      <w:r w:rsidR="00F90D46" w:rsidRPr="009E4636">
        <w:rPr>
          <w:b/>
          <w:bCs/>
          <w:spacing w:val="-4"/>
          <w:rtl/>
          <w:lang w:val="en-US"/>
        </w:rPr>
        <w:br/>
      </w:r>
      <w:r w:rsidR="00091C8B" w:rsidRPr="009E4636">
        <w:rPr>
          <w:b/>
          <w:bCs/>
          <w:spacing w:val="-4"/>
          <w:rtl/>
          <w:lang w:val="en-US"/>
        </w:rPr>
        <w:t>أكتوبر 2018</w:t>
      </w:r>
      <w:r w:rsidR="00091C8B" w:rsidRPr="009E4636">
        <w:rPr>
          <w:b/>
          <w:bCs/>
          <w:spacing w:val="-4"/>
          <w:vertAlign w:val="superscript"/>
          <w:rtl/>
          <w:lang w:val="en-US"/>
        </w:rPr>
        <w:t>(</w:t>
      </w:r>
      <w:r w:rsidR="00091C8B" w:rsidRPr="009E4636">
        <w:rPr>
          <w:rStyle w:val="FootnoteReference"/>
          <w:b/>
          <w:bCs/>
          <w:spacing w:val="-4"/>
          <w:szCs w:val="22"/>
          <w:lang w:val="en-US"/>
        </w:rPr>
        <w:footnoteReference w:id="5"/>
      </w:r>
      <w:r w:rsidR="00091C8B" w:rsidRPr="009E4636">
        <w:rPr>
          <w:b/>
          <w:bCs/>
          <w:spacing w:val="-4"/>
          <w:vertAlign w:val="superscript"/>
          <w:rtl/>
          <w:lang w:val="en-US"/>
        </w:rPr>
        <w:t>)</w:t>
      </w:r>
      <w:r w:rsidR="00091C8B" w:rsidRPr="009E4636">
        <w:rPr>
          <w:b/>
          <w:bCs/>
          <w:spacing w:val="-4"/>
          <w:rtl/>
          <w:lang w:val="en-US"/>
        </w:rPr>
        <w:t>.</w:t>
      </w:r>
    </w:p>
    <w:p w14:paraId="6D03C174" w14:textId="77777777" w:rsidR="00091C8B" w:rsidRPr="009E4636" w:rsidRDefault="00091C8B" w:rsidP="00E24D19">
      <w:pPr>
        <w:pStyle w:val="H23GA"/>
      </w:pPr>
      <w:r w:rsidRPr="009E4636">
        <w:rPr>
          <w:rtl/>
        </w:rPr>
        <w:lastRenderedPageBreak/>
        <w:tab/>
      </w:r>
      <w:r w:rsidRPr="009E4636">
        <w:rPr>
          <w:rtl/>
        </w:rPr>
        <w:tab/>
        <w:t>التعاون الدولي</w:t>
      </w:r>
    </w:p>
    <w:p w14:paraId="44215DED" w14:textId="4929D923" w:rsidR="00091C8B" w:rsidRPr="00091C8B" w:rsidRDefault="00091C8B" w:rsidP="00091C8B">
      <w:pPr>
        <w:pStyle w:val="SingleTxtGA"/>
        <w:rPr>
          <w:lang w:val="en-US"/>
        </w:rPr>
      </w:pPr>
      <w:r w:rsidRPr="009E4636">
        <w:rPr>
          <w:rtl/>
          <w:lang w:val="en-US"/>
        </w:rPr>
        <w:t>10</w:t>
      </w:r>
      <w:r w:rsidRPr="00091C8B">
        <w:rPr>
          <w:rtl/>
          <w:lang w:val="en-US"/>
        </w:rPr>
        <w:t>-</w:t>
      </w:r>
      <w:r w:rsidRPr="00091C8B">
        <w:rPr>
          <w:rtl/>
          <w:lang w:val="en-US"/>
        </w:rPr>
        <w:tab/>
      </w:r>
      <w:r w:rsidRPr="00364683">
        <w:rPr>
          <w:spacing w:val="-4"/>
          <w:rtl/>
          <w:lang w:val="en-US"/>
        </w:rPr>
        <w:t>تلاحظ اللجنة بتقدير الاهتمام الذي توليه الدولة الطرف لتغير المناخ</w:t>
      </w:r>
      <w:r w:rsidR="0032072C" w:rsidRPr="00364683">
        <w:rPr>
          <w:spacing w:val="-4"/>
          <w:rtl/>
          <w:lang w:val="en-US"/>
        </w:rPr>
        <w:t>،</w:t>
      </w:r>
      <w:r w:rsidRPr="00364683">
        <w:rPr>
          <w:spacing w:val="-4"/>
          <w:rtl/>
          <w:lang w:val="en-US"/>
        </w:rPr>
        <w:t xml:space="preserve"> ولا سيما من خلال مساهمتها</w:t>
      </w:r>
      <w:r w:rsidRPr="00091C8B">
        <w:rPr>
          <w:rtl/>
          <w:lang w:val="en-US"/>
        </w:rPr>
        <w:t xml:space="preserve"> في صندوق المناخ الأخضر</w:t>
      </w:r>
      <w:r w:rsidR="0032072C">
        <w:rPr>
          <w:rtl/>
          <w:lang w:val="en-US"/>
        </w:rPr>
        <w:t>،</w:t>
      </w:r>
      <w:r w:rsidRPr="00091C8B">
        <w:rPr>
          <w:rtl/>
          <w:lang w:val="en-US"/>
        </w:rPr>
        <w:t xml:space="preserve"> وتمويلها أنشطة التخفيف والتكيف في البلدان المستفيدة. بيد أن اللجنة تأسف لأن الدولة الطرف لم تحقق الهدف المتمثل في أن تشكّل المساعدة الإنمائية الرسمية نسبة </w:t>
      </w:r>
      <w:r w:rsidRPr="009E4636">
        <w:rPr>
          <w:rtl/>
          <w:lang w:val="en-US"/>
        </w:rPr>
        <w:t>0</w:t>
      </w:r>
      <w:r w:rsidRPr="00091C8B">
        <w:rPr>
          <w:rtl/>
          <w:lang w:val="en-US"/>
        </w:rPr>
        <w:t>,</w:t>
      </w:r>
      <w:r w:rsidRPr="009E4636">
        <w:rPr>
          <w:rtl/>
          <w:lang w:val="en-US"/>
        </w:rPr>
        <w:t>7</w:t>
      </w:r>
      <w:r w:rsidRPr="00091C8B">
        <w:rPr>
          <w:rtl/>
          <w:lang w:val="en-US"/>
        </w:rPr>
        <w:t xml:space="preserve"> في </w:t>
      </w:r>
      <w:r w:rsidRPr="00364683">
        <w:rPr>
          <w:spacing w:val="-2"/>
          <w:rtl/>
          <w:lang w:val="en-US"/>
        </w:rPr>
        <w:t>المئة من الدخل القومي الإجمالي</w:t>
      </w:r>
      <w:r w:rsidR="0032072C" w:rsidRPr="00364683">
        <w:rPr>
          <w:spacing w:val="-2"/>
          <w:rtl/>
          <w:lang w:val="en-US"/>
        </w:rPr>
        <w:t>،</w:t>
      </w:r>
      <w:r w:rsidRPr="00364683">
        <w:rPr>
          <w:spacing w:val="-2"/>
          <w:rtl/>
          <w:lang w:val="en-US"/>
        </w:rPr>
        <w:t xml:space="preserve"> على نحو ما أوصت به الأمم المتحدة</w:t>
      </w:r>
      <w:r w:rsidR="0032072C" w:rsidRPr="00364683">
        <w:rPr>
          <w:spacing w:val="-2"/>
          <w:rtl/>
          <w:lang w:val="en-US"/>
        </w:rPr>
        <w:t>،</w:t>
      </w:r>
      <w:r w:rsidRPr="00364683">
        <w:rPr>
          <w:spacing w:val="-2"/>
          <w:rtl/>
          <w:lang w:val="en-US"/>
        </w:rPr>
        <w:t xml:space="preserve"> بل إنها لم تبلغ حتى نسبة </w:t>
      </w:r>
      <w:r w:rsidRPr="009E4636">
        <w:rPr>
          <w:spacing w:val="-2"/>
          <w:rtl/>
          <w:lang w:val="en-US"/>
        </w:rPr>
        <w:t>0</w:t>
      </w:r>
      <w:r w:rsidRPr="00364683">
        <w:rPr>
          <w:spacing w:val="-2"/>
          <w:rtl/>
          <w:lang w:val="en-US"/>
        </w:rPr>
        <w:t>,</w:t>
      </w:r>
      <w:r w:rsidRPr="009E4636">
        <w:rPr>
          <w:spacing w:val="-2"/>
          <w:rtl/>
          <w:lang w:val="en-US"/>
        </w:rPr>
        <w:t>33</w:t>
      </w:r>
      <w:r w:rsidRPr="00091C8B">
        <w:rPr>
          <w:rtl/>
          <w:lang w:val="en-US"/>
        </w:rPr>
        <w:t xml:space="preserve"> في المئة التي التزمت بها أمام الاتحاد الأوروبي. وتلاحظ اللجنة أن من الأفضل تقديم الدعم لأداة تمويل المناخ بالإضافة إلى المساعدة الإنمائية الرسمية (المادة </w:t>
      </w:r>
      <w:r w:rsidRPr="009E4636">
        <w:rPr>
          <w:rtl/>
          <w:lang w:val="en-US"/>
        </w:rPr>
        <w:t>2</w:t>
      </w:r>
      <w:r w:rsidRPr="00091C8B">
        <w:rPr>
          <w:rtl/>
          <w:lang w:val="en-US"/>
        </w:rPr>
        <w:t>).</w:t>
      </w:r>
    </w:p>
    <w:p w14:paraId="4F1D1E65" w14:textId="2E6DCC3A" w:rsidR="00091C8B" w:rsidRPr="009E4636" w:rsidRDefault="00091C8B" w:rsidP="00091C8B">
      <w:pPr>
        <w:pStyle w:val="SingleTxtGA"/>
        <w:rPr>
          <w:b/>
          <w:bCs/>
          <w:lang w:val="en-US"/>
        </w:rPr>
      </w:pPr>
      <w:r w:rsidRPr="009E4636">
        <w:rPr>
          <w:rtl/>
          <w:lang w:val="en-US"/>
        </w:rPr>
        <w:t>11</w:t>
      </w:r>
      <w:r w:rsidRPr="00091C8B">
        <w:rPr>
          <w:rtl/>
          <w:lang w:val="en-US"/>
        </w:rPr>
        <w:t>-</w:t>
      </w:r>
      <w:r w:rsidRPr="00091C8B">
        <w:rPr>
          <w:rtl/>
          <w:lang w:val="en-US"/>
        </w:rPr>
        <w:tab/>
      </w:r>
      <w:r w:rsidRPr="009E4636">
        <w:rPr>
          <w:rFonts w:ascii="Times New Roman Bold" w:hAnsi="Times New Roman Bold"/>
          <w:b/>
          <w:bCs/>
          <w:spacing w:val="-2"/>
          <w:rtl/>
          <w:lang w:val="en-US"/>
        </w:rPr>
        <w:t>توصي اللجنة بأن تكثف الدولة الطرف جهودها لأجل زيادة المساعدة الإنمائية الرسمية الدولية</w:t>
      </w:r>
      <w:r w:rsidRPr="009E4636">
        <w:rPr>
          <w:b/>
          <w:bCs/>
          <w:rtl/>
          <w:lang w:val="en-US"/>
        </w:rPr>
        <w:t xml:space="preserve"> التي تقدمها</w:t>
      </w:r>
      <w:r w:rsidR="0032072C" w:rsidRPr="009E4636">
        <w:rPr>
          <w:b/>
          <w:bCs/>
          <w:rtl/>
          <w:lang w:val="en-US"/>
        </w:rPr>
        <w:t>،</w:t>
      </w:r>
      <w:r w:rsidRPr="009E4636">
        <w:rPr>
          <w:b/>
          <w:bCs/>
          <w:rtl/>
          <w:lang w:val="en-US"/>
        </w:rPr>
        <w:t xml:space="preserve"> أولاً إلى 0,33 في المئة</w:t>
      </w:r>
      <w:r w:rsidR="0032072C" w:rsidRPr="009E4636">
        <w:rPr>
          <w:b/>
          <w:bCs/>
          <w:rtl/>
          <w:lang w:val="en-US"/>
        </w:rPr>
        <w:t>،</w:t>
      </w:r>
      <w:r w:rsidRPr="009E4636">
        <w:rPr>
          <w:b/>
          <w:bCs/>
          <w:rtl/>
          <w:lang w:val="en-US"/>
        </w:rPr>
        <w:t xml:space="preserve"> ثم إلى 0,7 في المئة من دخلها القومي الإجمالي في نهاية المطاف</w:t>
      </w:r>
      <w:r w:rsidR="0032072C" w:rsidRPr="009E4636">
        <w:rPr>
          <w:b/>
          <w:bCs/>
          <w:rtl/>
          <w:lang w:val="en-US"/>
        </w:rPr>
        <w:t>،</w:t>
      </w:r>
      <w:r w:rsidRPr="009E4636">
        <w:rPr>
          <w:b/>
          <w:bCs/>
          <w:rtl/>
          <w:lang w:val="en-US"/>
        </w:rPr>
        <w:t xml:space="preserve"> مع الإبقاء على مساهمتها في صندوق المناخ الأخضر كما هي أو زيادتها. كما تشجع الدولة الطرف على مواصلة تعزيز أنشطتها في مجال التعاون الدولي.</w:t>
      </w:r>
    </w:p>
    <w:p w14:paraId="2B23E59B" w14:textId="77777777" w:rsidR="00091C8B" w:rsidRPr="009E4636" w:rsidRDefault="00091C8B" w:rsidP="00E24D19">
      <w:pPr>
        <w:pStyle w:val="H23GA"/>
      </w:pPr>
      <w:r w:rsidRPr="009E4636">
        <w:rPr>
          <w:rtl/>
        </w:rPr>
        <w:tab/>
      </w:r>
      <w:r w:rsidRPr="009E4636">
        <w:rPr>
          <w:rtl/>
        </w:rPr>
        <w:tab/>
        <w:t>عدم التمييز</w:t>
      </w:r>
    </w:p>
    <w:p w14:paraId="1B2C27C7" w14:textId="3E611CF1" w:rsidR="00091C8B" w:rsidRPr="00091C8B" w:rsidRDefault="00091C8B" w:rsidP="00091C8B">
      <w:pPr>
        <w:pStyle w:val="SingleTxtGA"/>
        <w:rPr>
          <w:lang w:val="en-US"/>
        </w:rPr>
      </w:pPr>
      <w:r w:rsidRPr="009E4636">
        <w:rPr>
          <w:rtl/>
          <w:lang w:val="en-US"/>
        </w:rPr>
        <w:t>12</w:t>
      </w:r>
      <w:r w:rsidRPr="00091C8B">
        <w:rPr>
          <w:rtl/>
          <w:lang w:val="en-US"/>
        </w:rPr>
        <w:t>-</w:t>
      </w:r>
      <w:r w:rsidRPr="00091C8B">
        <w:rPr>
          <w:rtl/>
          <w:lang w:val="en-US"/>
        </w:rPr>
        <w:tab/>
        <w:t>تحيط اللجنة علم</w:t>
      </w:r>
      <w:r w:rsidR="00364683">
        <w:rPr>
          <w:rtl/>
          <w:lang w:val="en-US"/>
        </w:rPr>
        <w:t xml:space="preserve">اً </w:t>
      </w:r>
      <w:r w:rsidRPr="00091C8B">
        <w:rPr>
          <w:rtl/>
          <w:lang w:val="en-US"/>
        </w:rPr>
        <w:t>بالسياسات والاستراتيجيات المحددة الهدف التي اعتمدتها الدولة الطرف</w:t>
      </w:r>
      <w:r w:rsidR="0032072C">
        <w:rPr>
          <w:rtl/>
          <w:lang w:val="en-US"/>
        </w:rPr>
        <w:t>،</w:t>
      </w:r>
      <w:r w:rsidRPr="00091C8B">
        <w:rPr>
          <w:rtl/>
          <w:lang w:val="en-US"/>
        </w:rPr>
        <w:t xml:space="preserve"> بيد أن القلق يساورها إزاء استمرار التمييز وخطاب الكراهية والأحكام المسبقة والقوالب النمطية التي تستهدف </w:t>
      </w:r>
      <w:r w:rsidRPr="003A6240">
        <w:rPr>
          <w:spacing w:val="-2"/>
          <w:rtl/>
          <w:lang w:val="en-US"/>
        </w:rPr>
        <w:t>فئات معينة من الأفراد والمجموعات المهمشة والمحرومة. ويساور اللجنة القلق كذلك لأن نقل عبء الإثبات</w:t>
      </w:r>
      <w:r w:rsidRPr="00091C8B">
        <w:rPr>
          <w:rtl/>
          <w:lang w:val="en-US"/>
        </w:rPr>
        <w:t xml:space="preserve"> لا ينطبق في جميع حالات التمييز. ويساورها القلق أيض</w:t>
      </w:r>
      <w:r w:rsidR="00364683">
        <w:rPr>
          <w:rtl/>
          <w:lang w:val="en-US"/>
        </w:rPr>
        <w:t xml:space="preserve">اً </w:t>
      </w:r>
      <w:r w:rsidRPr="00091C8B">
        <w:rPr>
          <w:rtl/>
          <w:lang w:val="en-US"/>
        </w:rPr>
        <w:t>لأن عدم الإبلاغ عن التمييز يرتبط بانخفاض درجة الثقة في المؤسسات الحكومية. وعلاوة على ذلك</w:t>
      </w:r>
      <w:r w:rsidR="0032072C">
        <w:rPr>
          <w:rtl/>
          <w:lang w:val="en-US"/>
        </w:rPr>
        <w:t>،</w:t>
      </w:r>
      <w:r w:rsidRPr="00091C8B">
        <w:rPr>
          <w:rtl/>
          <w:lang w:val="en-US"/>
        </w:rPr>
        <w:t xml:space="preserve"> يساور اللجنة القلق إزاء التمييز على أساس الهوية الجنسانية والميل الجنسي</w:t>
      </w:r>
      <w:r w:rsidR="0032072C">
        <w:rPr>
          <w:rtl/>
          <w:lang w:val="en-US"/>
        </w:rPr>
        <w:t>،</w:t>
      </w:r>
      <w:r w:rsidRPr="00091C8B">
        <w:rPr>
          <w:rtl/>
          <w:lang w:val="en-US"/>
        </w:rPr>
        <w:t xml:space="preserve"> وتأسف لأن الشراكات المسجلة لا توفر حماية معادِلة لما يوفره الزواج في غياب الاعتراف بزواج المثليين (المادة </w:t>
      </w:r>
      <w:r w:rsidRPr="009E4636">
        <w:rPr>
          <w:rtl/>
          <w:lang w:val="en-US"/>
        </w:rPr>
        <w:t>2</w:t>
      </w:r>
      <w:r w:rsidRPr="00091C8B">
        <w:rPr>
          <w:rtl/>
          <w:lang w:val="en-US"/>
        </w:rPr>
        <w:t>(</w:t>
      </w:r>
      <w:r w:rsidRPr="009E4636">
        <w:rPr>
          <w:rtl/>
          <w:lang w:val="en-US"/>
        </w:rPr>
        <w:t>2</w:t>
      </w:r>
      <w:r w:rsidRPr="00091C8B">
        <w:rPr>
          <w:rtl/>
          <w:lang w:val="en-US"/>
        </w:rPr>
        <w:t>)).</w:t>
      </w:r>
    </w:p>
    <w:p w14:paraId="07FEC72D" w14:textId="77777777" w:rsidR="00091C8B" w:rsidRPr="009E4636" w:rsidRDefault="00091C8B" w:rsidP="00091C8B">
      <w:pPr>
        <w:pStyle w:val="SingleTxtGA"/>
        <w:rPr>
          <w:b/>
          <w:bCs/>
          <w:lang w:val="en-US"/>
        </w:rPr>
      </w:pPr>
      <w:r w:rsidRPr="009E4636">
        <w:rPr>
          <w:rtl/>
          <w:lang w:val="en-US"/>
        </w:rPr>
        <w:t>13</w:t>
      </w:r>
      <w:r w:rsidRPr="00091C8B">
        <w:rPr>
          <w:rtl/>
          <w:lang w:val="en-US"/>
        </w:rPr>
        <w:t>-</w:t>
      </w:r>
      <w:r w:rsidRPr="00091C8B">
        <w:rPr>
          <w:rtl/>
          <w:lang w:val="en-US"/>
        </w:rPr>
        <w:tab/>
      </w:r>
      <w:r w:rsidRPr="009E4636">
        <w:rPr>
          <w:b/>
          <w:bCs/>
          <w:rtl/>
          <w:lang w:val="en-US"/>
        </w:rPr>
        <w:t>توصي اللجنة بأن تقوم الدولة الطرف بما يلي:</w:t>
      </w:r>
    </w:p>
    <w:p w14:paraId="542BC092" w14:textId="4E751C47"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مضاعفة جهودها في سبيل منع ومكافحة التمييز</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ولا سيما في حق الغجر والأشخاص</w:t>
      </w:r>
      <w:r w:rsidR="00091C8B" w:rsidRPr="009E4636">
        <w:rPr>
          <w:b/>
          <w:bCs/>
          <w:rtl/>
          <w:lang w:val="en-US"/>
        </w:rPr>
        <w:t xml:space="preserve"> ذوي الإعاقة والمهاجرين واللاجئين وملتمسي اللجوء والمثليات والمثليين ومزدوجي الميل الجنسي ومغايري الهوية الجنسانية وحاملي صفات الجنسين</w:t>
      </w:r>
      <w:r w:rsidR="0032072C" w:rsidRPr="009E4636">
        <w:rPr>
          <w:b/>
          <w:bCs/>
          <w:rtl/>
          <w:lang w:val="en-US"/>
        </w:rPr>
        <w:t>،</w:t>
      </w:r>
      <w:r w:rsidR="00091C8B" w:rsidRPr="009E4636">
        <w:rPr>
          <w:b/>
          <w:bCs/>
          <w:rtl/>
          <w:lang w:val="en-US"/>
        </w:rPr>
        <w:t xml:space="preserve"> بوسائل منها تنفيذ استراتيجيات تتّبع نهج</w:t>
      </w:r>
      <w:r w:rsidR="00364683" w:rsidRPr="009E4636">
        <w:rPr>
          <w:b/>
          <w:bCs/>
          <w:rtl/>
          <w:lang w:val="en-US"/>
        </w:rPr>
        <w:t xml:space="preserve">اً </w:t>
      </w:r>
      <w:r w:rsidR="00091C8B" w:rsidRPr="009E4636">
        <w:rPr>
          <w:b/>
          <w:bCs/>
          <w:rtl/>
          <w:lang w:val="en-US"/>
        </w:rPr>
        <w:t>متعدد</w:t>
      </w:r>
      <w:r w:rsidR="00F90D46" w:rsidRPr="009E4636">
        <w:rPr>
          <w:rFonts w:hint="cs"/>
          <w:b/>
          <w:bCs/>
          <w:rtl/>
          <w:lang w:val="en-US"/>
        </w:rPr>
        <w:t> </w:t>
      </w:r>
      <w:r w:rsidR="00091C8B" w:rsidRPr="009E4636">
        <w:rPr>
          <w:b/>
          <w:bCs/>
          <w:rtl/>
          <w:lang w:val="en-US"/>
        </w:rPr>
        <w:t>الجوانب؛</w:t>
      </w:r>
    </w:p>
    <w:p w14:paraId="2D8775DC" w14:textId="2753FCA0"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تنظيم حملات توعية وتوفير معلومات عن إجراءات الإبلاغ عن حالات التمييز والآليات المتاحة للضحايا؛</w:t>
      </w:r>
    </w:p>
    <w:p w14:paraId="40C14413" w14:textId="06FF1A32"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ضمان تدريب الموظفين المكلفين بإنفاذ القوانين والموظفين القضائيين وغيرهم من الموظفين العموميين تدريب</w:t>
      </w:r>
      <w:r w:rsidR="00364683" w:rsidRPr="009E4636">
        <w:rPr>
          <w:b/>
          <w:bCs/>
          <w:rtl/>
          <w:lang w:val="en-US"/>
        </w:rPr>
        <w:t xml:space="preserve">اً </w:t>
      </w:r>
      <w:r w:rsidR="00091C8B" w:rsidRPr="009E4636">
        <w:rPr>
          <w:b/>
          <w:bCs/>
          <w:rtl/>
          <w:lang w:val="en-US"/>
        </w:rPr>
        <w:t>مناسب</w:t>
      </w:r>
      <w:r w:rsidR="00364683" w:rsidRPr="009E4636">
        <w:rPr>
          <w:b/>
          <w:bCs/>
          <w:rtl/>
          <w:lang w:val="en-US"/>
        </w:rPr>
        <w:t xml:space="preserve">اً </w:t>
      </w:r>
      <w:r w:rsidR="00091C8B" w:rsidRPr="009E4636">
        <w:rPr>
          <w:b/>
          <w:bCs/>
          <w:rtl/>
          <w:lang w:val="en-US"/>
        </w:rPr>
        <w:t>حتى يتمكنوا من أداء مهامهم والوفاء بالتزاماتهم مهني</w:t>
      </w:r>
      <w:r w:rsidR="00364683" w:rsidRPr="009E4636">
        <w:rPr>
          <w:b/>
          <w:bCs/>
          <w:rtl/>
          <w:lang w:val="en-US"/>
        </w:rPr>
        <w:t xml:space="preserve">اً </w:t>
      </w:r>
      <w:r w:rsidR="00091C8B" w:rsidRPr="009E4636">
        <w:rPr>
          <w:b/>
          <w:bCs/>
          <w:rtl/>
          <w:lang w:val="en-US"/>
        </w:rPr>
        <w:t>باتّباع نهج يركز على الضحايا؛</w:t>
      </w:r>
    </w:p>
    <w:p w14:paraId="515D6DDC" w14:textId="50216F1B"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rFonts w:ascii="Times New Roman Bold" w:hAnsi="Times New Roman Bold"/>
          <w:b/>
          <w:bCs/>
          <w:spacing w:val="-2"/>
          <w:rtl/>
          <w:lang w:val="en-US"/>
        </w:rPr>
        <w:t xml:space="preserve">تعديل قانون الإجراءات المدنية بما يضمن توفير نفس القدر من الحماية لجميع ضحايا التمييز </w:t>
      </w:r>
      <w:r w:rsidR="00091C8B" w:rsidRPr="009E4636">
        <w:rPr>
          <w:b/>
          <w:bCs/>
          <w:rtl/>
          <w:lang w:val="en-US"/>
        </w:rPr>
        <w:t>بغض النظر عن أسباب التمييز ومجاله؛</w:t>
      </w:r>
    </w:p>
    <w:p w14:paraId="084C6C6A" w14:textId="2DB0490F"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ضمان أن توفر الشراكات المسجلة للأشخاص في العلاقات الجنسية المثلية حماية تعادل الحماية التي يوفرها للمتزوجين الزواجُ بين رجل وامرأة؛</w:t>
      </w:r>
    </w:p>
    <w:p w14:paraId="76E7C9AA" w14:textId="5EEF8DA7" w:rsidR="00091C8B" w:rsidRPr="009E4636" w:rsidRDefault="00E24D19" w:rsidP="00091C8B">
      <w:pPr>
        <w:pStyle w:val="SingleTxtGA"/>
        <w:rPr>
          <w:b/>
          <w:bCs/>
          <w:lang w:val="en-US"/>
        </w:rPr>
      </w:pPr>
      <w:r>
        <w:rPr>
          <w:rtl/>
          <w:lang w:val="en-US"/>
        </w:rPr>
        <w:tab/>
      </w:r>
      <w:r w:rsidR="00091C8B" w:rsidRPr="00091C8B">
        <w:rPr>
          <w:rtl/>
          <w:lang w:val="en-US"/>
        </w:rPr>
        <w:t>(و)</w:t>
      </w:r>
      <w:r w:rsidR="00091C8B" w:rsidRPr="00091C8B">
        <w:rPr>
          <w:rtl/>
          <w:lang w:val="en-US"/>
        </w:rPr>
        <w:tab/>
      </w:r>
      <w:r w:rsidR="00091C8B" w:rsidRPr="009E4636">
        <w:rPr>
          <w:b/>
          <w:bCs/>
          <w:rtl/>
          <w:lang w:val="en-US"/>
        </w:rPr>
        <w:t>مراعاة تعليقها العام رقم 20(2009) بشأن عدم التمييز في الحقوق الاقتصادية والاجتماعية والثقافية.</w:t>
      </w:r>
    </w:p>
    <w:p w14:paraId="35307093" w14:textId="77777777" w:rsidR="00091C8B" w:rsidRPr="009E4636" w:rsidRDefault="00091C8B" w:rsidP="00E24D19">
      <w:pPr>
        <w:pStyle w:val="H23GA"/>
      </w:pPr>
      <w:r w:rsidRPr="009E4636">
        <w:rPr>
          <w:rtl/>
        </w:rPr>
        <w:lastRenderedPageBreak/>
        <w:tab/>
      </w:r>
      <w:r w:rsidRPr="009E4636">
        <w:rPr>
          <w:rtl/>
        </w:rPr>
        <w:tab/>
        <w:t>التمييز في حق الروما</w:t>
      </w:r>
    </w:p>
    <w:p w14:paraId="1E5B8DF2" w14:textId="6FD59A6F" w:rsidR="00091C8B" w:rsidRPr="00091C8B" w:rsidRDefault="00091C8B" w:rsidP="00091C8B">
      <w:pPr>
        <w:pStyle w:val="SingleTxtGA"/>
        <w:rPr>
          <w:lang w:val="en-US"/>
        </w:rPr>
      </w:pPr>
      <w:r w:rsidRPr="009E4636">
        <w:rPr>
          <w:rtl/>
          <w:lang w:val="en-US"/>
        </w:rPr>
        <w:t>14</w:t>
      </w:r>
      <w:r w:rsidRPr="00091C8B">
        <w:rPr>
          <w:rtl/>
          <w:lang w:val="en-US"/>
        </w:rPr>
        <w:t>-</w:t>
      </w:r>
      <w:r w:rsidRPr="00091C8B">
        <w:rPr>
          <w:rtl/>
          <w:lang w:val="en-US"/>
        </w:rPr>
        <w:tab/>
        <w:t xml:space="preserve">تعترف اللجنة باستراتيجية تحقيق المساواة والإدماج والمشاركة لفائدة الروما للفترة </w:t>
      </w:r>
      <w:r w:rsidRPr="009E4636">
        <w:rPr>
          <w:rtl/>
          <w:lang w:val="en-US"/>
        </w:rPr>
        <w:t>2021</w:t>
      </w:r>
      <w:r w:rsidRPr="00091C8B">
        <w:rPr>
          <w:rtl/>
          <w:lang w:val="en-US"/>
        </w:rPr>
        <w:t>-</w:t>
      </w:r>
      <w:r w:rsidRPr="009E4636">
        <w:rPr>
          <w:rtl/>
          <w:lang w:val="en-US"/>
        </w:rPr>
        <w:t>2030</w:t>
      </w:r>
      <w:r w:rsidRPr="00091C8B">
        <w:rPr>
          <w:rtl/>
          <w:lang w:val="en-US"/>
        </w:rPr>
        <w:t xml:space="preserve"> وبمبادرات من قبيل المنصة الوطنية </w:t>
      </w:r>
      <w:proofErr w:type="spellStart"/>
      <w:r w:rsidRPr="00091C8B">
        <w:rPr>
          <w:rtl/>
          <w:lang w:val="en-US"/>
        </w:rPr>
        <w:t>للروما</w:t>
      </w:r>
      <w:proofErr w:type="spellEnd"/>
      <w:r w:rsidR="0032072C">
        <w:rPr>
          <w:rtl/>
          <w:lang w:val="en-US"/>
        </w:rPr>
        <w:t>،</w:t>
      </w:r>
      <w:r w:rsidRPr="00091C8B">
        <w:rPr>
          <w:rtl/>
          <w:lang w:val="en-US"/>
        </w:rPr>
        <w:t xml:space="preserve"> بيد أن القلق يساورها لأن الغجر ما زالوا يتعرضون للوصم والفقر والتمييز على نطاق واسع في مجالات </w:t>
      </w:r>
      <w:proofErr w:type="gramStart"/>
      <w:r w:rsidRPr="00091C8B">
        <w:rPr>
          <w:rtl/>
          <w:lang w:val="en-US"/>
        </w:rPr>
        <w:t>الصحة</w:t>
      </w:r>
      <w:proofErr w:type="gramEnd"/>
      <w:r w:rsidRPr="00091C8B">
        <w:rPr>
          <w:rtl/>
          <w:lang w:val="en-US"/>
        </w:rPr>
        <w:t xml:space="preserve"> والتعليم والإسكان والعمالة. وتأسف اللجنة لعدم وجود بيانات موثوقة عن وضع الروما في الدولة الطرف (المادة </w:t>
      </w:r>
      <w:r w:rsidRPr="009E4636">
        <w:rPr>
          <w:rtl/>
          <w:lang w:val="en-US"/>
        </w:rPr>
        <w:t>2</w:t>
      </w:r>
      <w:r w:rsidRPr="00091C8B">
        <w:rPr>
          <w:rtl/>
          <w:lang w:val="en-US"/>
        </w:rPr>
        <w:t>(</w:t>
      </w:r>
      <w:r w:rsidRPr="009E4636">
        <w:rPr>
          <w:rtl/>
          <w:lang w:val="en-US"/>
        </w:rPr>
        <w:t>2</w:t>
      </w:r>
      <w:r w:rsidRPr="00091C8B">
        <w:rPr>
          <w:rtl/>
          <w:lang w:val="en-US"/>
        </w:rPr>
        <w:t>)).</w:t>
      </w:r>
    </w:p>
    <w:p w14:paraId="39614EE3" w14:textId="77777777" w:rsidR="00091C8B" w:rsidRPr="009E4636" w:rsidRDefault="00091C8B" w:rsidP="00091C8B">
      <w:pPr>
        <w:pStyle w:val="SingleTxtGA"/>
        <w:rPr>
          <w:b/>
          <w:bCs/>
          <w:lang w:val="en-US"/>
        </w:rPr>
      </w:pPr>
      <w:r w:rsidRPr="009E4636">
        <w:rPr>
          <w:rtl/>
          <w:lang w:val="en-US"/>
        </w:rPr>
        <w:t>15</w:t>
      </w:r>
      <w:r w:rsidRPr="00091C8B">
        <w:rPr>
          <w:rtl/>
          <w:lang w:val="en-US"/>
        </w:rPr>
        <w:t>-</w:t>
      </w:r>
      <w:r w:rsidRPr="00091C8B">
        <w:rPr>
          <w:rtl/>
          <w:lang w:val="en-US"/>
        </w:rPr>
        <w:tab/>
      </w:r>
      <w:r w:rsidRPr="009E4636">
        <w:rPr>
          <w:b/>
          <w:bCs/>
          <w:rtl/>
          <w:lang w:val="en-US"/>
        </w:rPr>
        <w:t>توصي اللجنة بأن تقوم الدولة الطرف بما يلي:</w:t>
      </w:r>
    </w:p>
    <w:p w14:paraId="651C295D" w14:textId="432AA746"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تكثيف جهودها في سبيل تصحيح التفاوتات الاجتماعية والاقتصادية والتمييز الذي يتعرض له أفراد الروما في الحصول على الرعاية الصحية والتعليم والسكن اللائق والعمل والخدمات العامة</w:t>
      </w:r>
      <w:r w:rsidR="0032072C" w:rsidRPr="009E4636">
        <w:rPr>
          <w:b/>
          <w:bCs/>
          <w:rtl/>
          <w:lang w:val="en-US"/>
        </w:rPr>
        <w:t>،</w:t>
      </w:r>
      <w:r w:rsidR="00091C8B" w:rsidRPr="009E4636">
        <w:rPr>
          <w:b/>
          <w:bCs/>
          <w:rtl/>
          <w:lang w:val="en-US"/>
        </w:rPr>
        <w:t xml:space="preserve"> مع إيلاء اهتمام خاص لنساء وأطفال الروما؛</w:t>
      </w:r>
    </w:p>
    <w:p w14:paraId="046BB8E5" w14:textId="3D1E58E9"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المبادرة إلى التصدي لأشكال التحيز السلبية والقوالب النمطية فيما يخص الغجر</w:t>
      </w:r>
      <w:r w:rsidR="0032072C" w:rsidRPr="009E4636">
        <w:rPr>
          <w:b/>
          <w:bCs/>
          <w:rtl/>
          <w:lang w:val="en-US"/>
        </w:rPr>
        <w:t>،</w:t>
      </w:r>
      <w:r w:rsidR="00091C8B" w:rsidRPr="009E4636">
        <w:rPr>
          <w:b/>
          <w:bCs/>
          <w:rtl/>
          <w:lang w:val="en-US"/>
        </w:rPr>
        <w:t xml:space="preserve"> بوسائل منها تنظيم حملات توعية وإخبار الروما بحقوقهم؛</w:t>
      </w:r>
    </w:p>
    <w:p w14:paraId="33A0D015" w14:textId="1D59FE5C"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rFonts w:ascii="Times New Roman Bold" w:hAnsi="Times New Roman Bold"/>
          <w:b/>
          <w:bCs/>
          <w:spacing w:val="-4"/>
          <w:rtl/>
          <w:lang w:val="en-US"/>
        </w:rPr>
        <w:t>اتخاذ خطوات لمعالجة ارتياب الروما في المؤسسات العامة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بوسائل منها إشراك ممثلي</w:t>
      </w:r>
      <w:r w:rsidR="00091C8B" w:rsidRPr="009E4636">
        <w:rPr>
          <w:b/>
          <w:bCs/>
          <w:rtl/>
          <w:lang w:val="en-US"/>
        </w:rPr>
        <w:t xml:space="preserve"> الروما في صياغة السياسات المتعلقة بحقوقهم وفي رصدها وتقييمها؛</w:t>
      </w:r>
    </w:p>
    <w:p w14:paraId="3B5B7385" w14:textId="29698B32"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rFonts w:ascii="Times New Roman Bold" w:hAnsi="Times New Roman Bold"/>
          <w:b/>
          <w:bCs/>
          <w:spacing w:val="-4"/>
          <w:rtl/>
          <w:lang w:val="en-US"/>
        </w:rPr>
        <w:t>تحسين نظام جمع البيانات لديها بهدف إنتاج بيانات موثوقة مصنفة بناءً على أسباب</w:t>
      </w:r>
      <w:r w:rsidR="00091C8B" w:rsidRPr="009E4636">
        <w:rPr>
          <w:b/>
          <w:bCs/>
          <w:rtl/>
          <w:lang w:val="en-US"/>
        </w:rPr>
        <w:t xml:space="preserve"> التمييز المحظورة.</w:t>
      </w:r>
    </w:p>
    <w:p w14:paraId="3E6B9081" w14:textId="77777777" w:rsidR="00091C8B" w:rsidRPr="009E4636" w:rsidRDefault="00091C8B" w:rsidP="00E24D19">
      <w:pPr>
        <w:pStyle w:val="H23GA"/>
      </w:pPr>
      <w:r w:rsidRPr="009E4636">
        <w:rPr>
          <w:rtl/>
        </w:rPr>
        <w:tab/>
      </w:r>
      <w:r w:rsidRPr="009E4636">
        <w:rPr>
          <w:rtl/>
        </w:rPr>
        <w:tab/>
        <w:t>المهاجرون واللاجئون وملتمسو اللجوء وعديمو الجنسية</w:t>
      </w:r>
    </w:p>
    <w:p w14:paraId="3F9380E0" w14:textId="55947582" w:rsidR="00091C8B" w:rsidRPr="00091C8B" w:rsidRDefault="00091C8B" w:rsidP="00091C8B">
      <w:pPr>
        <w:pStyle w:val="SingleTxtGA"/>
        <w:rPr>
          <w:lang w:val="en-US"/>
        </w:rPr>
      </w:pPr>
      <w:r w:rsidRPr="009E4636">
        <w:rPr>
          <w:rtl/>
          <w:lang w:val="en-US"/>
        </w:rPr>
        <w:t>16</w:t>
      </w:r>
      <w:r w:rsidRPr="00091C8B">
        <w:rPr>
          <w:rtl/>
          <w:lang w:val="en-US"/>
        </w:rPr>
        <w:t>-</w:t>
      </w:r>
      <w:r w:rsidRPr="00091C8B">
        <w:rPr>
          <w:rtl/>
          <w:lang w:val="en-US"/>
        </w:rPr>
        <w:tab/>
        <w:t>تثني اللجنة على برنامج الإدماج الحكومي الذي يقدم نفس المزايا للاجئين والحاصلين على الحماية الفرعية</w:t>
      </w:r>
      <w:r w:rsidR="0032072C">
        <w:rPr>
          <w:rtl/>
          <w:lang w:val="en-US"/>
        </w:rPr>
        <w:t>،</w:t>
      </w:r>
      <w:r w:rsidRPr="00091C8B">
        <w:rPr>
          <w:rtl/>
          <w:lang w:val="en-US"/>
        </w:rPr>
        <w:t xml:space="preserve"> بيد أن القلق يساورها لعدم تطبيق البدائل عن احتجاز ملتمسي اللجوء بصورة منهجية. وتلاحظ اللجنة أيض</w:t>
      </w:r>
      <w:r w:rsidR="00364683">
        <w:rPr>
          <w:rtl/>
          <w:lang w:val="en-US"/>
        </w:rPr>
        <w:t xml:space="preserve">اً </w:t>
      </w:r>
      <w:r w:rsidRPr="00091C8B">
        <w:rPr>
          <w:rtl/>
          <w:lang w:val="en-US"/>
        </w:rPr>
        <w:t>أنه يُسمح باحتجاز الأطفال ريثما تظهر نتيجة تقييم سنهم بموجب قانون إقامة الرعايا الأجانب</w:t>
      </w:r>
      <w:r w:rsidR="0032072C">
        <w:rPr>
          <w:rtl/>
          <w:lang w:val="en-US"/>
        </w:rPr>
        <w:t>،</w:t>
      </w:r>
      <w:r w:rsidRPr="00091C8B">
        <w:rPr>
          <w:rtl/>
          <w:lang w:val="en-US"/>
        </w:rPr>
        <w:t xml:space="preserve"> وقد يخضع الأطفال الذين تزيد أعمارهم على </w:t>
      </w:r>
      <w:r w:rsidRPr="009E4636">
        <w:rPr>
          <w:rtl/>
          <w:lang w:val="en-US"/>
        </w:rPr>
        <w:t>15</w:t>
      </w:r>
      <w:r w:rsidRPr="00091C8B">
        <w:rPr>
          <w:rtl/>
          <w:lang w:val="en-US"/>
        </w:rPr>
        <w:t xml:space="preserve"> سنة للاحتجاز كمهاجرين. ويساور اللجنة القلق كذلك لأن نطاق إجراء تحديد حالات انعدام الجنسية محدود</w:t>
      </w:r>
      <w:r w:rsidR="0032072C">
        <w:rPr>
          <w:rtl/>
          <w:lang w:val="en-US"/>
        </w:rPr>
        <w:t>،</w:t>
      </w:r>
      <w:r w:rsidRPr="00091C8B">
        <w:rPr>
          <w:rtl/>
          <w:lang w:val="en-US"/>
        </w:rPr>
        <w:t xml:space="preserve"> بموجب قانون الأجانب</w:t>
      </w:r>
      <w:r w:rsidR="0032072C">
        <w:rPr>
          <w:rtl/>
          <w:lang w:val="en-US"/>
        </w:rPr>
        <w:t>،</w:t>
      </w:r>
      <w:r w:rsidRPr="00091C8B">
        <w:rPr>
          <w:rtl/>
          <w:lang w:val="en-US"/>
        </w:rPr>
        <w:t xml:space="preserve"> ولأنه لا يوفر الأمن القانوني الكافي للأشخاص عديمي الجنسية. ويساورها القلق أيض</w:t>
      </w:r>
      <w:r w:rsidR="00364683">
        <w:rPr>
          <w:rtl/>
          <w:lang w:val="en-US"/>
        </w:rPr>
        <w:t xml:space="preserve">اً </w:t>
      </w:r>
      <w:r w:rsidRPr="00091C8B">
        <w:rPr>
          <w:rtl/>
          <w:lang w:val="en-US"/>
        </w:rPr>
        <w:t>لأن هؤلاء الأشخاص تعترضهم صعوبات في الحصول على الإقامة الدائمة</w:t>
      </w:r>
      <w:r w:rsidR="0032072C">
        <w:rPr>
          <w:rtl/>
          <w:lang w:val="en-US"/>
        </w:rPr>
        <w:t>،</w:t>
      </w:r>
      <w:r w:rsidRPr="00091C8B">
        <w:rPr>
          <w:rtl/>
          <w:lang w:val="en-US"/>
        </w:rPr>
        <w:t xml:space="preserve"> ولأن الأطفال الذين كانوا سيكونون عديمي الجنسية لولا ذلك لا يكتسبون الجنسية</w:t>
      </w:r>
      <w:r w:rsidR="0032072C">
        <w:rPr>
          <w:rtl/>
          <w:lang w:val="en-US"/>
        </w:rPr>
        <w:t>،</w:t>
      </w:r>
      <w:r w:rsidRPr="00091C8B">
        <w:rPr>
          <w:rtl/>
          <w:lang w:val="en-US"/>
        </w:rPr>
        <w:t xml:space="preserve"> بموجب قانون الجنيبة</w:t>
      </w:r>
      <w:r w:rsidR="0032072C">
        <w:rPr>
          <w:rtl/>
          <w:lang w:val="en-US"/>
        </w:rPr>
        <w:t>،</w:t>
      </w:r>
      <w:r w:rsidRPr="00091C8B">
        <w:rPr>
          <w:rtl/>
          <w:lang w:val="en-US"/>
        </w:rPr>
        <w:t xml:space="preserve"> إلا إذا كان الوالدان كلاهما عديما الجنسية وكان لدى أحدهما على الأقل تصريح إقامة (المادة </w:t>
      </w:r>
      <w:r w:rsidRPr="009E4636">
        <w:rPr>
          <w:rtl/>
          <w:lang w:val="en-US"/>
        </w:rPr>
        <w:t>2</w:t>
      </w:r>
      <w:r w:rsidRPr="00091C8B">
        <w:rPr>
          <w:rtl/>
          <w:lang w:val="en-US"/>
        </w:rPr>
        <w:t>(</w:t>
      </w:r>
      <w:r w:rsidRPr="009E4636">
        <w:rPr>
          <w:rtl/>
          <w:lang w:val="en-US"/>
        </w:rPr>
        <w:t>2</w:t>
      </w:r>
      <w:r w:rsidRPr="00091C8B">
        <w:rPr>
          <w:rtl/>
          <w:lang w:val="en-US"/>
        </w:rPr>
        <w:t>)).</w:t>
      </w:r>
    </w:p>
    <w:p w14:paraId="18C3ED51" w14:textId="77777777" w:rsidR="00091C8B" w:rsidRPr="009E4636" w:rsidRDefault="00091C8B" w:rsidP="00091C8B">
      <w:pPr>
        <w:pStyle w:val="SingleTxtGA"/>
        <w:rPr>
          <w:b/>
          <w:bCs/>
          <w:lang w:val="en-US"/>
        </w:rPr>
      </w:pPr>
      <w:r w:rsidRPr="009E4636">
        <w:rPr>
          <w:rtl/>
          <w:lang w:val="en-US"/>
        </w:rPr>
        <w:t>17</w:t>
      </w:r>
      <w:r w:rsidRPr="00091C8B">
        <w:rPr>
          <w:rtl/>
          <w:lang w:val="en-US"/>
        </w:rPr>
        <w:t>-</w:t>
      </w:r>
      <w:r w:rsidRPr="00091C8B">
        <w:rPr>
          <w:rtl/>
          <w:lang w:val="en-US"/>
        </w:rPr>
        <w:tab/>
      </w:r>
      <w:r w:rsidRPr="009E4636">
        <w:rPr>
          <w:b/>
          <w:bCs/>
          <w:rtl/>
          <w:lang w:val="en-US"/>
        </w:rPr>
        <w:t>توصي اللجنة بأن تقوم الدولة الطرف بما يلي:</w:t>
      </w:r>
    </w:p>
    <w:p w14:paraId="2F73EB08" w14:textId="71D4CF51"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ضمان عدم تطبيق الاحتجاز إلا كحَل أخير</w:t>
      </w:r>
      <w:r w:rsidR="0032072C" w:rsidRPr="009E4636">
        <w:rPr>
          <w:b/>
          <w:bCs/>
          <w:rtl/>
          <w:lang w:val="en-US"/>
        </w:rPr>
        <w:t>،</w:t>
      </w:r>
      <w:r w:rsidR="00091C8B" w:rsidRPr="009E4636">
        <w:rPr>
          <w:b/>
          <w:bCs/>
          <w:rtl/>
          <w:lang w:val="en-US"/>
        </w:rPr>
        <w:t xml:space="preserve"> بعد إجراء تقييم فردي لمدى معقوليته وضرورته وتناسبه وبعد دراسة البدائل عنه؛</w:t>
      </w:r>
    </w:p>
    <w:p w14:paraId="0D0C6B00" w14:textId="5DF61825"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اعتماد التدابير اللازمة لإنهاء احتجاز جميع الأطفال</w:t>
      </w:r>
      <w:r w:rsidR="0032072C" w:rsidRPr="009E4636">
        <w:rPr>
          <w:b/>
          <w:bCs/>
          <w:rtl/>
          <w:lang w:val="en-US"/>
        </w:rPr>
        <w:t>،</w:t>
      </w:r>
      <w:r w:rsidR="00091C8B" w:rsidRPr="009E4636">
        <w:rPr>
          <w:b/>
          <w:bCs/>
          <w:rtl/>
          <w:lang w:val="en-US"/>
        </w:rPr>
        <w:t xml:space="preserve"> بمن فيهم الأطفال المصحوبين بأُسرهم. وينبغي عدم احتجاز الأطفال لأغراض تتعلق بالهجرة</w:t>
      </w:r>
      <w:r w:rsidR="0032072C" w:rsidRPr="009E4636">
        <w:rPr>
          <w:b/>
          <w:bCs/>
          <w:rtl/>
          <w:lang w:val="en-US"/>
        </w:rPr>
        <w:t>،</w:t>
      </w:r>
      <w:r w:rsidR="00091C8B" w:rsidRPr="009E4636">
        <w:rPr>
          <w:b/>
          <w:bCs/>
          <w:rtl/>
          <w:lang w:val="en-US"/>
        </w:rPr>
        <w:t xml:space="preserve"> بصرف النظر عن وضعهم أو وضع والديهم القانوني/من حيث الهجرة؛</w:t>
      </w:r>
    </w:p>
    <w:p w14:paraId="3071915A" w14:textId="0D0ADE6C"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تعديل قانون الأجانب بحيث يكفل أن يضمن إجراء تحديد حالات انعدام الجنسية حصول الأشخاص عديمي الجنسية على الحقوق المنصوص عليها في العهد</w:t>
      </w:r>
      <w:r w:rsidR="0032072C" w:rsidRPr="009E4636">
        <w:rPr>
          <w:b/>
          <w:bCs/>
          <w:rtl/>
          <w:lang w:val="en-US"/>
        </w:rPr>
        <w:t>،</w:t>
      </w:r>
      <w:r w:rsidR="00091C8B" w:rsidRPr="009E4636">
        <w:rPr>
          <w:b/>
          <w:bCs/>
          <w:rtl/>
          <w:lang w:val="en-US"/>
        </w:rPr>
        <w:t xml:space="preserve"> بغض النظر عن وضعهم القانوني وإقامتهم والوثائق التي بحوزتهم؛</w:t>
      </w:r>
    </w:p>
    <w:p w14:paraId="0FE205EF" w14:textId="30C2CA0D" w:rsidR="00091C8B" w:rsidRPr="009E4636" w:rsidRDefault="00E24D19" w:rsidP="00091C8B">
      <w:pPr>
        <w:pStyle w:val="SingleTxtGA"/>
        <w:rPr>
          <w:b/>
          <w:bCs/>
          <w:lang w:val="en-US"/>
        </w:rPr>
      </w:pPr>
      <w:r>
        <w:rPr>
          <w:rtl/>
          <w:lang w:val="en-US"/>
        </w:rPr>
        <w:lastRenderedPageBreak/>
        <w:tab/>
      </w:r>
      <w:r w:rsidR="00091C8B" w:rsidRPr="00091C8B">
        <w:rPr>
          <w:rtl/>
          <w:lang w:val="en-US"/>
        </w:rPr>
        <w:t>(د)</w:t>
      </w:r>
      <w:r w:rsidR="00091C8B" w:rsidRPr="00091C8B">
        <w:rPr>
          <w:rtl/>
          <w:lang w:val="en-US"/>
        </w:rPr>
        <w:tab/>
      </w:r>
      <w:r w:rsidR="00091C8B" w:rsidRPr="009E4636">
        <w:rPr>
          <w:rFonts w:ascii="Times New Roman Bold" w:hAnsi="Times New Roman Bold"/>
          <w:b/>
          <w:bCs/>
          <w:spacing w:val="-6"/>
          <w:rtl/>
          <w:lang w:val="en-US"/>
        </w:rPr>
        <w:t>تعديل قانون الجنسية لتسهيل حصول الأشخاص عديمي الجنسية على الجنسية وتشجيع</w:t>
      </w:r>
      <w:r w:rsidR="00091C8B" w:rsidRPr="009E4636">
        <w:rPr>
          <w:b/>
          <w:bCs/>
          <w:rtl/>
          <w:lang w:val="en-US"/>
        </w:rPr>
        <w:t xml:space="preserve"> آباء الأطفال عديمي الجنسية على تقديم طلبات الجنسية نيابة عن أطفالهم؛</w:t>
      </w:r>
    </w:p>
    <w:p w14:paraId="6D0A6C4D" w14:textId="3BCE14C9"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spacing w:val="-4"/>
          <w:rtl/>
          <w:lang w:val="en-US"/>
        </w:rPr>
        <w:t>جمع بيانات إحصائية موثوقة عن عدد الأشخاص عديمي الجنسية في الدولة الطرف</w:t>
      </w:r>
      <w:r w:rsidR="00091C8B" w:rsidRPr="009E4636">
        <w:rPr>
          <w:b/>
          <w:bCs/>
          <w:rtl/>
          <w:lang w:val="en-US"/>
        </w:rPr>
        <w:t xml:space="preserve"> وملفاتهم الشخصية؛</w:t>
      </w:r>
    </w:p>
    <w:p w14:paraId="43E9B4F1" w14:textId="6C004878" w:rsidR="00091C8B" w:rsidRPr="009E4636" w:rsidRDefault="00E24D19" w:rsidP="00091C8B">
      <w:pPr>
        <w:pStyle w:val="SingleTxtGA"/>
        <w:rPr>
          <w:b/>
          <w:bCs/>
          <w:spacing w:val="-4"/>
          <w:lang w:val="en-US"/>
        </w:rPr>
      </w:pPr>
      <w:r w:rsidRPr="00F90D46">
        <w:rPr>
          <w:spacing w:val="-4"/>
          <w:rtl/>
          <w:lang w:val="en-US"/>
        </w:rPr>
        <w:tab/>
      </w:r>
      <w:r w:rsidR="00091C8B" w:rsidRPr="00F90D46">
        <w:rPr>
          <w:spacing w:val="-4"/>
          <w:rtl/>
          <w:lang w:val="en-US"/>
        </w:rPr>
        <w:t>(و)</w:t>
      </w:r>
      <w:r w:rsidR="00091C8B" w:rsidRPr="00F90D46">
        <w:rPr>
          <w:spacing w:val="-4"/>
          <w:rtl/>
          <w:lang w:val="en-US"/>
        </w:rPr>
        <w:tab/>
      </w:r>
      <w:r w:rsidR="00091C8B" w:rsidRPr="009E4636">
        <w:rPr>
          <w:b/>
          <w:bCs/>
          <w:spacing w:val="-4"/>
          <w:rtl/>
          <w:lang w:val="en-US"/>
        </w:rPr>
        <w:t>مراعاة بيانها بشأن التزامات الدول تجاه اللاجئين والمهاجرين الصادر في عام 2017.</w:t>
      </w:r>
    </w:p>
    <w:p w14:paraId="77CF5BD6" w14:textId="77777777" w:rsidR="00091C8B" w:rsidRPr="009E4636" w:rsidRDefault="00091C8B" w:rsidP="00E24D19">
      <w:pPr>
        <w:pStyle w:val="H23GA"/>
      </w:pPr>
      <w:r w:rsidRPr="009E4636">
        <w:rPr>
          <w:rtl/>
        </w:rPr>
        <w:tab/>
      </w:r>
      <w:r w:rsidRPr="009E4636">
        <w:rPr>
          <w:rtl/>
        </w:rPr>
        <w:tab/>
        <w:t>المساواة بين الرجل والمرأة</w:t>
      </w:r>
    </w:p>
    <w:p w14:paraId="69031C39" w14:textId="375947DC" w:rsidR="00091C8B" w:rsidRPr="00091C8B" w:rsidRDefault="00091C8B" w:rsidP="00091C8B">
      <w:pPr>
        <w:pStyle w:val="SingleTxtGA"/>
        <w:rPr>
          <w:lang w:val="en-US"/>
        </w:rPr>
      </w:pPr>
      <w:r w:rsidRPr="009E4636">
        <w:rPr>
          <w:rtl/>
          <w:lang w:val="en-US"/>
        </w:rPr>
        <w:t>18</w:t>
      </w:r>
      <w:r w:rsidRPr="00091C8B">
        <w:rPr>
          <w:rtl/>
          <w:lang w:val="en-US"/>
        </w:rPr>
        <w:t>-</w:t>
      </w:r>
      <w:r w:rsidRPr="00091C8B">
        <w:rPr>
          <w:rtl/>
          <w:lang w:val="en-US"/>
        </w:rPr>
        <w:tab/>
        <w:t>تقر اللجنة بالجهود التي تبذلها الدولة الطرف في سبيل معالجة عدم المساواة بين الجنسين</w:t>
      </w:r>
      <w:r w:rsidR="0032072C">
        <w:rPr>
          <w:rtl/>
          <w:lang w:val="en-US"/>
        </w:rPr>
        <w:t>،</w:t>
      </w:r>
      <w:r w:rsidRPr="00091C8B">
        <w:rPr>
          <w:rtl/>
          <w:lang w:val="en-US"/>
        </w:rPr>
        <w:t xml:space="preserve"> ومن ضمنها استراتيجية المساواة بين الجنسين للفترة </w:t>
      </w:r>
      <w:r w:rsidRPr="009E4636">
        <w:rPr>
          <w:rtl/>
          <w:lang w:val="en-US"/>
        </w:rPr>
        <w:t>2021</w:t>
      </w:r>
      <w:r w:rsidRPr="00091C8B">
        <w:rPr>
          <w:rtl/>
          <w:lang w:val="en-US"/>
        </w:rPr>
        <w:t>-</w:t>
      </w:r>
      <w:r w:rsidRPr="009E4636">
        <w:rPr>
          <w:rtl/>
          <w:lang w:val="en-US"/>
        </w:rPr>
        <w:t>2030</w:t>
      </w:r>
      <w:r w:rsidR="0032072C">
        <w:rPr>
          <w:rtl/>
          <w:lang w:val="en-US"/>
        </w:rPr>
        <w:t>،</w:t>
      </w:r>
      <w:r w:rsidRPr="00091C8B">
        <w:rPr>
          <w:rtl/>
          <w:lang w:val="en-US"/>
        </w:rPr>
        <w:t xml:space="preserve"> ومبادرة الاستراتيجية +</w:t>
      </w:r>
      <w:r w:rsidRPr="009E4636">
        <w:rPr>
          <w:rtl/>
          <w:lang w:val="en-US"/>
        </w:rPr>
        <w:t>1</w:t>
      </w:r>
      <w:r w:rsidR="0032072C">
        <w:rPr>
          <w:rtl/>
          <w:lang w:val="en-US"/>
        </w:rPr>
        <w:t>،</w:t>
      </w:r>
      <w:r w:rsidRPr="00091C8B">
        <w:rPr>
          <w:rtl/>
          <w:lang w:val="en-US"/>
        </w:rPr>
        <w:t xml:space="preserve"> وبرنامج "</w:t>
      </w:r>
      <w:r w:rsidRPr="009E4636">
        <w:rPr>
          <w:rtl/>
          <w:lang w:val="en-US"/>
        </w:rPr>
        <w:t>22</w:t>
      </w:r>
      <w:r w:rsidRPr="00091C8B">
        <w:rPr>
          <w:rtl/>
          <w:lang w:val="en-US"/>
        </w:rPr>
        <w:t xml:space="preserve"> في المئة للمساواة". بيد أن القلق لا يزال يساور اللجنة إزاء استمرار الفجوة في الأجور بين الجنسين</w:t>
      </w:r>
      <w:r w:rsidR="0032072C">
        <w:rPr>
          <w:rtl/>
          <w:lang w:val="en-US"/>
        </w:rPr>
        <w:t>،</w:t>
      </w:r>
      <w:r w:rsidRPr="00091C8B">
        <w:rPr>
          <w:rtl/>
          <w:lang w:val="en-US"/>
        </w:rPr>
        <w:t xml:space="preserve"> لأسباب من بينها الفصل الرأسي والأفقي بين الجنسين في سوق العمل والتمثيل المفرط للمرأة في العمل بدوام جزئي. ويساورها القلق أيض</w:t>
      </w:r>
      <w:r w:rsidR="00364683">
        <w:rPr>
          <w:rtl/>
          <w:lang w:val="en-US"/>
        </w:rPr>
        <w:t xml:space="preserve">اً </w:t>
      </w:r>
      <w:r w:rsidRPr="00091C8B">
        <w:rPr>
          <w:rtl/>
          <w:lang w:val="en-US"/>
        </w:rPr>
        <w:t>إزاء الانخفاض الكبير في معدل مشاركة المرأة في العمل</w:t>
      </w:r>
      <w:r w:rsidR="0032072C">
        <w:rPr>
          <w:rtl/>
          <w:lang w:val="en-US"/>
        </w:rPr>
        <w:t>،</w:t>
      </w:r>
      <w:r w:rsidRPr="00091C8B">
        <w:rPr>
          <w:rtl/>
          <w:lang w:val="en-US"/>
        </w:rPr>
        <w:t xml:space="preserve"> وتواجد العدد الأكبر من النساء في المهن التي تهيمن عليها الإناث تقليدي</w:t>
      </w:r>
      <w:r w:rsidR="00A15B97">
        <w:rPr>
          <w:rtl/>
          <w:lang w:val="en-US"/>
        </w:rPr>
        <w:t>اً،</w:t>
      </w:r>
      <w:r w:rsidRPr="00091C8B">
        <w:rPr>
          <w:rtl/>
          <w:lang w:val="en-US"/>
        </w:rPr>
        <w:t xml:space="preserve"> واستمرار نقص تمثيل المرأة في المناصب الإدارية وصناعة القرار في القطاعين العام والخاص (المادتان </w:t>
      </w:r>
      <w:r w:rsidRPr="009E4636">
        <w:rPr>
          <w:rtl/>
          <w:lang w:val="en-US"/>
        </w:rPr>
        <w:t>3</w:t>
      </w:r>
      <w:r w:rsidRPr="00091C8B">
        <w:rPr>
          <w:rtl/>
          <w:lang w:val="en-US"/>
        </w:rPr>
        <w:t xml:space="preserve"> و</w:t>
      </w:r>
      <w:r w:rsidRPr="009E4636">
        <w:rPr>
          <w:rtl/>
          <w:lang w:val="en-US"/>
        </w:rPr>
        <w:t>7</w:t>
      </w:r>
      <w:r w:rsidRPr="00091C8B">
        <w:rPr>
          <w:rtl/>
          <w:lang w:val="en-US"/>
        </w:rPr>
        <w:t>).</w:t>
      </w:r>
    </w:p>
    <w:p w14:paraId="375E9DBC" w14:textId="77777777" w:rsidR="00091C8B" w:rsidRPr="009E4636" w:rsidRDefault="00091C8B" w:rsidP="00091C8B">
      <w:pPr>
        <w:pStyle w:val="SingleTxtGA"/>
        <w:rPr>
          <w:b/>
          <w:bCs/>
          <w:lang w:val="en-US"/>
        </w:rPr>
      </w:pPr>
      <w:r w:rsidRPr="009E4636">
        <w:rPr>
          <w:rtl/>
          <w:lang w:val="en-US"/>
        </w:rPr>
        <w:t>19</w:t>
      </w:r>
      <w:r w:rsidRPr="00091C8B">
        <w:rPr>
          <w:rtl/>
          <w:lang w:val="en-US"/>
        </w:rPr>
        <w:t>-</w:t>
      </w:r>
      <w:r w:rsidRPr="00091C8B">
        <w:rPr>
          <w:rtl/>
          <w:lang w:val="en-US"/>
        </w:rPr>
        <w:tab/>
      </w:r>
      <w:r w:rsidRPr="009E4636">
        <w:rPr>
          <w:b/>
          <w:bCs/>
          <w:rtl/>
          <w:lang w:val="en-US"/>
        </w:rPr>
        <w:t>توصي اللجنة بأن تقوم الدولة الطرف بما يلي:</w:t>
      </w:r>
    </w:p>
    <w:p w14:paraId="43D605C5" w14:textId="52FD295B"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تكثيف جهودها في سبيل سد الفجوة في الأجور بين الجنسين عن طريق معالجة الفصل الرأسي والأفقي القائم على نوع الجنس في سوق العمل</w:t>
      </w:r>
      <w:r w:rsidR="0032072C" w:rsidRPr="009E4636">
        <w:rPr>
          <w:b/>
          <w:bCs/>
          <w:rtl/>
          <w:lang w:val="en-US"/>
        </w:rPr>
        <w:t>،</w:t>
      </w:r>
      <w:r w:rsidR="00091C8B" w:rsidRPr="009E4636">
        <w:rPr>
          <w:b/>
          <w:bCs/>
          <w:rtl/>
          <w:lang w:val="en-US"/>
        </w:rPr>
        <w:t xml:space="preserve"> وإعادة النظر في سياساتها الاجتماعية والضريبية</w:t>
      </w:r>
      <w:r w:rsidR="0032072C" w:rsidRPr="009E4636">
        <w:rPr>
          <w:b/>
          <w:bCs/>
          <w:rtl/>
          <w:lang w:val="en-US"/>
        </w:rPr>
        <w:t>،</w:t>
      </w:r>
      <w:r w:rsidR="00091C8B" w:rsidRPr="009E4636">
        <w:rPr>
          <w:b/>
          <w:bCs/>
          <w:rtl/>
          <w:lang w:val="en-US"/>
        </w:rPr>
        <w:t xml:space="preserve"> والتصدي للعوامل التي تثني النساء عن مواصلة حياتهن المهنية أو عن العمل بدوام كامل؛</w:t>
      </w:r>
    </w:p>
    <w:p w14:paraId="04A8338E" w14:textId="0CF23BAF"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4"/>
          <w:rtl/>
          <w:lang w:val="en-US"/>
        </w:rPr>
        <w:t>تعزيز الجهود المبذولة في سبيل ضمان تكافؤ فرص الرجل والمرأة في اختيار تخصصات</w:t>
      </w:r>
      <w:r w:rsidR="00091C8B" w:rsidRPr="009E4636">
        <w:rPr>
          <w:b/>
          <w:bCs/>
          <w:rtl/>
          <w:lang w:val="en-US"/>
        </w:rPr>
        <w:t xml:space="preserve"> التعليم غير التقليدية وخيارات العمل</w:t>
      </w:r>
      <w:r w:rsidR="0032072C" w:rsidRPr="009E4636">
        <w:rPr>
          <w:b/>
          <w:bCs/>
          <w:rtl/>
          <w:lang w:val="en-US"/>
        </w:rPr>
        <w:t>،</w:t>
      </w:r>
      <w:r w:rsidR="00091C8B" w:rsidRPr="009E4636">
        <w:rPr>
          <w:b/>
          <w:bCs/>
          <w:rtl/>
          <w:lang w:val="en-US"/>
        </w:rPr>
        <w:t xml:space="preserve"> بوسائل منها إزالة القوالب النمطية الجنسانية؛</w:t>
      </w:r>
    </w:p>
    <w:p w14:paraId="43CE9206" w14:textId="4217E7CD"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وضع استراتيجيات لزيادة مشاركة المرأة في العمل</w:t>
      </w:r>
      <w:r w:rsidR="0032072C" w:rsidRPr="009E4636">
        <w:rPr>
          <w:b/>
          <w:bCs/>
          <w:rtl/>
          <w:lang w:val="en-US"/>
        </w:rPr>
        <w:t>،</w:t>
      </w:r>
      <w:r w:rsidR="00091C8B" w:rsidRPr="009E4636">
        <w:rPr>
          <w:b/>
          <w:bCs/>
          <w:rtl/>
          <w:lang w:val="en-US"/>
        </w:rPr>
        <w:t xml:space="preserve"> بوسائل منها سياسات تحسين المواءمة بين العمل والحياة الشخصية والأسرية؛</w:t>
      </w:r>
    </w:p>
    <w:p w14:paraId="66C4B5F0" w14:textId="0C9B6AFA"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b/>
          <w:bCs/>
          <w:rtl/>
          <w:lang w:val="en-US"/>
        </w:rPr>
        <w:t>تشجيع زيادة تمثيل المرأة على جميع مستويات الإدارة العامة</w:t>
      </w:r>
      <w:r w:rsidR="0032072C" w:rsidRPr="009E4636">
        <w:rPr>
          <w:b/>
          <w:bCs/>
          <w:rtl/>
          <w:lang w:val="en-US"/>
        </w:rPr>
        <w:t>،</w:t>
      </w:r>
      <w:r w:rsidR="00091C8B" w:rsidRPr="009E4636">
        <w:rPr>
          <w:b/>
          <w:bCs/>
          <w:rtl/>
          <w:lang w:val="en-US"/>
        </w:rPr>
        <w:t xml:space="preserve"> ولا سيما في مناصب صنع القرار</w:t>
      </w:r>
      <w:r w:rsidR="0032072C" w:rsidRPr="009E4636">
        <w:rPr>
          <w:b/>
          <w:bCs/>
          <w:rtl/>
          <w:lang w:val="en-US"/>
        </w:rPr>
        <w:t>،</w:t>
      </w:r>
      <w:r w:rsidR="00091C8B" w:rsidRPr="009E4636">
        <w:rPr>
          <w:b/>
          <w:bCs/>
          <w:rtl/>
          <w:lang w:val="en-US"/>
        </w:rPr>
        <w:t xml:space="preserve"> وتشجيع مشاركتها في المناصب الإدارية في القطاع الخاص؛</w:t>
      </w:r>
    </w:p>
    <w:p w14:paraId="23849626" w14:textId="1904AF61"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مراعاة تعليقها العام رقم 16(2005) بشأن المساواة بين الرجل والمرأة في الحق في التمتع بجميع الحقوق الاقتصادية والاجتماعية والثقافية.</w:t>
      </w:r>
    </w:p>
    <w:p w14:paraId="3081011A" w14:textId="77777777" w:rsidR="00091C8B" w:rsidRPr="009E4636" w:rsidRDefault="00091C8B" w:rsidP="00E24D19">
      <w:pPr>
        <w:pStyle w:val="H23GA"/>
      </w:pPr>
      <w:r w:rsidRPr="009E4636">
        <w:rPr>
          <w:rtl/>
        </w:rPr>
        <w:tab/>
      </w:r>
      <w:r w:rsidRPr="009E4636">
        <w:rPr>
          <w:rtl/>
        </w:rPr>
        <w:tab/>
        <w:t>البطالة</w:t>
      </w:r>
    </w:p>
    <w:p w14:paraId="60141F5B" w14:textId="7F18A71B" w:rsidR="00091C8B" w:rsidRPr="00091C8B" w:rsidRDefault="00091C8B" w:rsidP="00091C8B">
      <w:pPr>
        <w:pStyle w:val="SingleTxtGA"/>
        <w:rPr>
          <w:lang w:val="en-US"/>
        </w:rPr>
      </w:pPr>
      <w:r w:rsidRPr="009E4636">
        <w:rPr>
          <w:rtl/>
          <w:lang w:val="en-US"/>
        </w:rPr>
        <w:t>20</w:t>
      </w:r>
      <w:r w:rsidRPr="00091C8B">
        <w:rPr>
          <w:rtl/>
          <w:lang w:val="en-US"/>
        </w:rPr>
        <w:t>-</w:t>
      </w:r>
      <w:r w:rsidRPr="00091C8B">
        <w:rPr>
          <w:rtl/>
          <w:lang w:val="en-US"/>
        </w:rPr>
        <w:tab/>
        <w:t>ترحب اللجنة بمعدل البطالة المنخفض جد</w:t>
      </w:r>
      <w:r w:rsidR="00364683">
        <w:rPr>
          <w:rtl/>
          <w:lang w:val="en-US"/>
        </w:rPr>
        <w:t xml:space="preserve">اً </w:t>
      </w:r>
      <w:r w:rsidRPr="00091C8B">
        <w:rPr>
          <w:rtl/>
          <w:lang w:val="en-US"/>
        </w:rPr>
        <w:t>عموم</w:t>
      </w:r>
      <w:r w:rsidR="00364683">
        <w:rPr>
          <w:rtl/>
          <w:lang w:val="en-US"/>
        </w:rPr>
        <w:t xml:space="preserve">اً </w:t>
      </w:r>
      <w:r w:rsidRPr="00091C8B">
        <w:rPr>
          <w:rtl/>
          <w:lang w:val="en-US"/>
        </w:rPr>
        <w:t>وبسياسات البطالة في المدى الطويل</w:t>
      </w:r>
      <w:r w:rsidR="0032072C">
        <w:rPr>
          <w:rtl/>
          <w:lang w:val="en-US"/>
        </w:rPr>
        <w:t>،</w:t>
      </w:r>
      <w:r w:rsidRPr="00091C8B">
        <w:rPr>
          <w:rtl/>
          <w:lang w:val="en-US"/>
        </w:rPr>
        <w:t xml:space="preserve"> مثل برنامج مكافحة الفيروسات للتخفيف من آثار جائحة مرض الفيروس التاجي (كوفيد-</w:t>
      </w:r>
      <w:r w:rsidRPr="009E4636">
        <w:rPr>
          <w:rtl/>
          <w:lang w:val="en-US"/>
        </w:rPr>
        <w:t>19</w:t>
      </w:r>
      <w:r w:rsidRPr="00091C8B">
        <w:rPr>
          <w:rtl/>
          <w:lang w:val="en-US"/>
        </w:rPr>
        <w:t>). ومع ذلك</w:t>
      </w:r>
      <w:r w:rsidR="0032072C">
        <w:rPr>
          <w:rtl/>
          <w:lang w:val="en-US"/>
        </w:rPr>
        <w:t>،</w:t>
      </w:r>
      <w:r w:rsidRPr="00091C8B">
        <w:rPr>
          <w:rtl/>
          <w:lang w:val="en-US"/>
        </w:rPr>
        <w:t xml:space="preserve"> يساور اللجنة القلق إزاء التفاوتات الكبيرة بين المناطق في معدل البطالة. وتعرب اللجنة أيض</w:t>
      </w:r>
      <w:r w:rsidR="00364683">
        <w:rPr>
          <w:rtl/>
          <w:lang w:val="en-US"/>
        </w:rPr>
        <w:t xml:space="preserve">اً </w:t>
      </w:r>
      <w:r w:rsidRPr="00091C8B">
        <w:rPr>
          <w:rtl/>
          <w:lang w:val="en-US"/>
        </w:rPr>
        <w:t>عن قلقها لأن بعض الفئات تواجه مزيد</w:t>
      </w:r>
      <w:r w:rsidR="00364683">
        <w:rPr>
          <w:rtl/>
          <w:lang w:val="en-US"/>
        </w:rPr>
        <w:t xml:space="preserve">اً </w:t>
      </w:r>
      <w:r w:rsidRPr="00091C8B">
        <w:rPr>
          <w:rtl/>
          <w:lang w:val="en-US"/>
        </w:rPr>
        <w:t>من الصعوبات في الحصول على عمل</w:t>
      </w:r>
      <w:r w:rsidR="0032072C">
        <w:rPr>
          <w:rtl/>
          <w:lang w:val="en-US"/>
        </w:rPr>
        <w:t>،</w:t>
      </w:r>
      <w:r w:rsidRPr="00091C8B">
        <w:rPr>
          <w:rtl/>
          <w:lang w:val="en-US"/>
        </w:rPr>
        <w:t xml:space="preserve"> وكثير منها يعمل في القطاع غير الرسمي من الاقتصاد وقد تأثرت بجائحة كوفيد-</w:t>
      </w:r>
      <w:r w:rsidRPr="009E4636">
        <w:rPr>
          <w:rtl/>
          <w:lang w:val="en-US"/>
        </w:rPr>
        <w:t>19</w:t>
      </w:r>
      <w:r w:rsidRPr="00091C8B">
        <w:rPr>
          <w:rtl/>
          <w:lang w:val="en-US"/>
        </w:rPr>
        <w:t xml:space="preserve"> أكثر من غيرها. وعلاوة على ذلك</w:t>
      </w:r>
      <w:r w:rsidR="0032072C">
        <w:rPr>
          <w:rtl/>
          <w:lang w:val="en-US"/>
        </w:rPr>
        <w:t>،</w:t>
      </w:r>
      <w:r w:rsidRPr="00091C8B">
        <w:rPr>
          <w:rtl/>
          <w:lang w:val="en-US"/>
        </w:rPr>
        <w:t xml:space="preserve"> تأسف اللجنة لعدم وجود إحصاءات عن العمالة غير الرسمية والحماية المحدودة المتوفرة للعاملين في هذا القطاع (المادة </w:t>
      </w:r>
      <w:r w:rsidRPr="009E4636">
        <w:rPr>
          <w:rtl/>
          <w:lang w:val="en-US"/>
        </w:rPr>
        <w:t>6</w:t>
      </w:r>
      <w:r w:rsidRPr="00091C8B">
        <w:rPr>
          <w:rtl/>
          <w:lang w:val="en-US"/>
        </w:rPr>
        <w:t>).</w:t>
      </w:r>
    </w:p>
    <w:p w14:paraId="7F03C8E3" w14:textId="77777777" w:rsidR="00091C8B" w:rsidRPr="009E4636" w:rsidRDefault="00091C8B" w:rsidP="00091C8B">
      <w:pPr>
        <w:pStyle w:val="SingleTxtGA"/>
        <w:rPr>
          <w:b/>
          <w:bCs/>
          <w:lang w:val="en-US"/>
        </w:rPr>
      </w:pPr>
      <w:r w:rsidRPr="009E4636">
        <w:rPr>
          <w:rtl/>
          <w:lang w:val="en-US"/>
        </w:rPr>
        <w:t>21</w:t>
      </w:r>
      <w:r w:rsidRPr="00091C8B">
        <w:rPr>
          <w:rtl/>
          <w:lang w:val="en-US"/>
        </w:rPr>
        <w:t>-</w:t>
      </w:r>
      <w:r w:rsidRPr="00091C8B">
        <w:rPr>
          <w:rtl/>
          <w:lang w:val="en-US"/>
        </w:rPr>
        <w:tab/>
      </w:r>
      <w:r w:rsidRPr="009E4636">
        <w:rPr>
          <w:b/>
          <w:bCs/>
          <w:rtl/>
          <w:lang w:val="en-US"/>
        </w:rPr>
        <w:t>توصي اللجنة بأن تقوم الدولة الطرف بما يلي:</w:t>
      </w:r>
    </w:p>
    <w:p w14:paraId="4F3E9CB5" w14:textId="63C8E90A"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مواصلة جهودها لأجل الحد من البطالة في جميع مناطق البلد؛</w:t>
      </w:r>
    </w:p>
    <w:p w14:paraId="300EA97E" w14:textId="0C511B00" w:rsidR="00091C8B" w:rsidRPr="009E4636" w:rsidRDefault="00E24D19" w:rsidP="00091C8B">
      <w:pPr>
        <w:pStyle w:val="SingleTxtGA"/>
        <w:rPr>
          <w:b/>
          <w:bCs/>
          <w:lang w:val="en-US"/>
        </w:rPr>
      </w:pPr>
      <w:r>
        <w:rPr>
          <w:rtl/>
          <w:lang w:val="en-US"/>
        </w:rPr>
        <w:lastRenderedPageBreak/>
        <w:tab/>
      </w:r>
      <w:r w:rsidR="00091C8B" w:rsidRPr="00091C8B">
        <w:rPr>
          <w:rtl/>
          <w:lang w:val="en-US"/>
        </w:rPr>
        <w:t>(ب)</w:t>
      </w:r>
      <w:r w:rsidR="00091C8B" w:rsidRPr="00091C8B">
        <w:rPr>
          <w:rtl/>
          <w:lang w:val="en-US"/>
        </w:rPr>
        <w:tab/>
      </w:r>
      <w:r w:rsidR="00091C8B" w:rsidRPr="009E4636">
        <w:rPr>
          <w:b/>
          <w:bCs/>
          <w:rtl/>
          <w:lang w:val="en-US"/>
        </w:rPr>
        <w:t>تكثيف جهودها لأجل دعم الغجر والأشخاص ذوي الإعاقة والنساء ذوات أطفال والشباب</w:t>
      </w:r>
      <w:r w:rsidR="0032072C" w:rsidRPr="009E4636">
        <w:rPr>
          <w:b/>
          <w:bCs/>
          <w:rtl/>
          <w:lang w:val="en-US"/>
        </w:rPr>
        <w:t>،</w:t>
      </w:r>
      <w:r w:rsidR="00091C8B" w:rsidRPr="009E4636">
        <w:rPr>
          <w:b/>
          <w:bCs/>
          <w:rtl/>
          <w:lang w:val="en-US"/>
        </w:rPr>
        <w:t xml:space="preserve"> والأشخاص الذين تبلغ أعمارهم 50 عام</w:t>
      </w:r>
      <w:r w:rsidR="00364683" w:rsidRPr="009E4636">
        <w:rPr>
          <w:b/>
          <w:bCs/>
          <w:rtl/>
          <w:lang w:val="en-US"/>
        </w:rPr>
        <w:t xml:space="preserve">اً </w:t>
      </w:r>
      <w:r w:rsidR="00091C8B" w:rsidRPr="009E4636">
        <w:rPr>
          <w:b/>
          <w:bCs/>
          <w:rtl/>
          <w:lang w:val="en-US"/>
        </w:rPr>
        <w:t>أو تزيد عليها</w:t>
      </w:r>
      <w:r w:rsidR="0032072C" w:rsidRPr="009E4636">
        <w:rPr>
          <w:b/>
          <w:bCs/>
          <w:rtl/>
          <w:lang w:val="en-US"/>
        </w:rPr>
        <w:t>،</w:t>
      </w:r>
      <w:r w:rsidR="00091C8B" w:rsidRPr="009E4636">
        <w:rPr>
          <w:b/>
          <w:bCs/>
          <w:rtl/>
          <w:lang w:val="en-US"/>
        </w:rPr>
        <w:t xml:space="preserve"> والمهاجرين</w:t>
      </w:r>
      <w:r w:rsidR="0032072C" w:rsidRPr="009E4636">
        <w:rPr>
          <w:b/>
          <w:bCs/>
          <w:rtl/>
          <w:lang w:val="en-US"/>
        </w:rPr>
        <w:t>،</w:t>
      </w:r>
      <w:r w:rsidR="00091C8B" w:rsidRPr="009E4636">
        <w:rPr>
          <w:b/>
          <w:bCs/>
          <w:rtl/>
          <w:lang w:val="en-US"/>
        </w:rPr>
        <w:t xml:space="preserve"> في الحصول على عمل بوسائل منها تنفيذ تدابير إيجابية محددة الهدف</w:t>
      </w:r>
      <w:r w:rsidR="0032072C" w:rsidRPr="009E4636">
        <w:rPr>
          <w:b/>
          <w:bCs/>
          <w:rtl/>
          <w:lang w:val="en-US"/>
        </w:rPr>
        <w:t>،</w:t>
      </w:r>
      <w:r w:rsidR="00091C8B" w:rsidRPr="009E4636">
        <w:rPr>
          <w:b/>
          <w:bCs/>
          <w:rtl/>
          <w:lang w:val="en-US"/>
        </w:rPr>
        <w:t xml:space="preserve"> وتيسير حصولهم على فرص التدريب التقني والمهني</w:t>
      </w:r>
      <w:r w:rsidR="0032072C" w:rsidRPr="009E4636">
        <w:rPr>
          <w:b/>
          <w:bCs/>
          <w:rtl/>
          <w:lang w:val="en-US"/>
        </w:rPr>
        <w:t>،</w:t>
      </w:r>
      <w:r w:rsidR="00091C8B" w:rsidRPr="009E4636">
        <w:rPr>
          <w:b/>
          <w:bCs/>
          <w:rtl/>
          <w:lang w:val="en-US"/>
        </w:rPr>
        <w:t xml:space="preserve"> وجمع البيانات عن وضعهم؛</w:t>
      </w:r>
    </w:p>
    <w:p w14:paraId="3D89032B" w14:textId="3822DC01"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ضمان ألا تؤدي البرامج التي تشجع على إدماج أكثر الفئات حرمان</w:t>
      </w:r>
      <w:r w:rsidR="00364683" w:rsidRPr="009E4636">
        <w:rPr>
          <w:b/>
          <w:bCs/>
          <w:rtl/>
          <w:lang w:val="en-US"/>
        </w:rPr>
        <w:t xml:space="preserve">اً </w:t>
      </w:r>
      <w:r w:rsidR="00091C8B" w:rsidRPr="009E4636">
        <w:rPr>
          <w:b/>
          <w:bCs/>
          <w:rtl/>
          <w:lang w:val="en-US"/>
        </w:rPr>
        <w:t>وتهميش</w:t>
      </w:r>
      <w:r w:rsidR="00364683" w:rsidRPr="009E4636">
        <w:rPr>
          <w:b/>
          <w:bCs/>
          <w:rtl/>
          <w:lang w:val="en-US"/>
        </w:rPr>
        <w:t xml:space="preserve">اً </w:t>
      </w:r>
      <w:r w:rsidR="00091C8B" w:rsidRPr="009E4636">
        <w:rPr>
          <w:b/>
          <w:bCs/>
          <w:rtl/>
          <w:lang w:val="en-US"/>
        </w:rPr>
        <w:t>في سوق العمل المفتوحة إلى إدامة تركيزها على الوظائف ذات المهارات المتدنية والاقتصاد غير الرسمي؛</w:t>
      </w:r>
    </w:p>
    <w:p w14:paraId="4C4B4B88" w14:textId="08B5E70B"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b/>
          <w:bCs/>
          <w:rtl/>
          <w:lang w:val="en-US"/>
        </w:rPr>
        <w:t>اتخاذ خطوات لتيسير انتقال العمال من الاقتصاد غير الرسمي إلى الاقتصاد الرسمي</w:t>
      </w:r>
      <w:r w:rsidR="003A6240" w:rsidRPr="009E4636">
        <w:rPr>
          <w:rFonts w:hint="cs"/>
          <w:b/>
          <w:bCs/>
          <w:rtl/>
          <w:lang w:val="en-US"/>
        </w:rPr>
        <w:t> </w:t>
      </w:r>
      <w:r w:rsidR="00091C8B" w:rsidRPr="009E4636">
        <w:rPr>
          <w:b/>
          <w:bCs/>
          <w:rtl/>
          <w:lang w:val="en-US"/>
        </w:rPr>
        <w:t>بوسائل منها جمع البيانات عن وضعهم وضمان شمولهم بقوانين العمل وحصولهم على الحماية الاجتماعية؛</w:t>
      </w:r>
    </w:p>
    <w:p w14:paraId="7F9D821C" w14:textId="4B0160DB"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مراعاة تعليقها العام رقم 18(2005) بشأن الحق في العمل.</w:t>
      </w:r>
    </w:p>
    <w:p w14:paraId="589566FA" w14:textId="77777777" w:rsidR="00091C8B" w:rsidRPr="009E4636" w:rsidRDefault="00091C8B" w:rsidP="00E24D19">
      <w:pPr>
        <w:pStyle w:val="H23GA"/>
      </w:pPr>
      <w:r w:rsidRPr="009E4636">
        <w:rPr>
          <w:rtl/>
        </w:rPr>
        <w:tab/>
      </w:r>
      <w:r w:rsidRPr="009E4636">
        <w:rPr>
          <w:rtl/>
        </w:rPr>
        <w:tab/>
        <w:t>الحد الأدنى للأجور</w:t>
      </w:r>
    </w:p>
    <w:p w14:paraId="769C79EE" w14:textId="50199C18" w:rsidR="00091C8B" w:rsidRPr="00091C8B" w:rsidRDefault="00091C8B" w:rsidP="00091C8B">
      <w:pPr>
        <w:pStyle w:val="SingleTxtGA"/>
        <w:rPr>
          <w:lang w:val="en-US"/>
        </w:rPr>
      </w:pPr>
      <w:r w:rsidRPr="009E4636">
        <w:rPr>
          <w:rtl/>
          <w:lang w:val="en-US"/>
        </w:rPr>
        <w:t>22</w:t>
      </w:r>
      <w:r w:rsidRPr="00091C8B">
        <w:rPr>
          <w:rtl/>
          <w:lang w:val="en-US"/>
        </w:rPr>
        <w:t>-</w:t>
      </w:r>
      <w:r w:rsidRPr="00091C8B">
        <w:rPr>
          <w:rtl/>
          <w:lang w:val="en-US"/>
        </w:rPr>
        <w:tab/>
        <w:t>تسلم اللجنة بالزيادة الكبيرة في الحد الأدنى للأجور في السنوات الأخيرة</w:t>
      </w:r>
      <w:r w:rsidR="0032072C">
        <w:rPr>
          <w:rtl/>
          <w:lang w:val="en-US"/>
        </w:rPr>
        <w:t>،</w:t>
      </w:r>
      <w:r w:rsidRPr="00091C8B">
        <w:rPr>
          <w:rtl/>
          <w:lang w:val="en-US"/>
        </w:rPr>
        <w:t xml:space="preserve"> بيد أن القلق يساورها إزاء تنفيذها وإزاء كون الحد الأدنى للأجور لا يزال من أدناها في المنطقة. وتلاحظ اللجنة أيض</w:t>
      </w:r>
      <w:r w:rsidR="00364683">
        <w:rPr>
          <w:rtl/>
          <w:lang w:val="en-US"/>
        </w:rPr>
        <w:t xml:space="preserve">اً </w:t>
      </w:r>
      <w:r w:rsidRPr="00091C8B">
        <w:rPr>
          <w:rtl/>
          <w:lang w:val="en-US"/>
        </w:rPr>
        <w:t>أن الدولة الطرف تخطط لإدخال فهرسة تلقائية للحد الأدنى للأجور بحيث لا يتعين التفاوض عليه مجدد</w:t>
      </w:r>
      <w:r w:rsidR="00364683">
        <w:rPr>
          <w:rtl/>
          <w:lang w:val="en-US"/>
        </w:rPr>
        <w:t xml:space="preserve">اً </w:t>
      </w:r>
      <w:r w:rsidRPr="00091C8B">
        <w:rPr>
          <w:rtl/>
          <w:lang w:val="en-US"/>
        </w:rPr>
        <w:t xml:space="preserve">في كل عام (المادة </w:t>
      </w:r>
      <w:r w:rsidRPr="009E4636">
        <w:rPr>
          <w:rtl/>
          <w:lang w:val="en-US"/>
        </w:rPr>
        <w:t>7</w:t>
      </w:r>
      <w:r w:rsidRPr="00091C8B">
        <w:rPr>
          <w:rtl/>
          <w:lang w:val="en-US"/>
        </w:rPr>
        <w:t>).</w:t>
      </w:r>
    </w:p>
    <w:p w14:paraId="6BFE9BFD" w14:textId="77777777" w:rsidR="00091C8B" w:rsidRPr="009E4636" w:rsidRDefault="00091C8B" w:rsidP="00091C8B">
      <w:pPr>
        <w:pStyle w:val="SingleTxtGA"/>
        <w:rPr>
          <w:b/>
          <w:bCs/>
          <w:lang w:val="en-US"/>
        </w:rPr>
      </w:pPr>
      <w:r w:rsidRPr="009E4636">
        <w:rPr>
          <w:rtl/>
          <w:lang w:val="en-US"/>
        </w:rPr>
        <w:t>23</w:t>
      </w:r>
      <w:r w:rsidRPr="00091C8B">
        <w:rPr>
          <w:rtl/>
          <w:lang w:val="en-US"/>
        </w:rPr>
        <w:t>-</w:t>
      </w:r>
      <w:r w:rsidRPr="00091C8B">
        <w:rPr>
          <w:rtl/>
          <w:lang w:val="en-US"/>
        </w:rPr>
        <w:tab/>
      </w:r>
      <w:r w:rsidRPr="009E4636">
        <w:rPr>
          <w:b/>
          <w:bCs/>
          <w:rtl/>
          <w:lang w:val="en-US"/>
        </w:rPr>
        <w:t>توصي اللجنة بأن تقوم الدولة الطرف بما يلي:</w:t>
      </w:r>
    </w:p>
    <w:p w14:paraId="21B334EB" w14:textId="0EED887B"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2"/>
          <w:rtl/>
          <w:lang w:val="en-US"/>
        </w:rPr>
        <w:t>تكثيف جهودها لضمان الحد الأدنى للأجور لجميع العمال وتحديده عند مستوى كاف</w:t>
      </w:r>
      <w:r w:rsidR="00091C8B" w:rsidRPr="009E4636">
        <w:rPr>
          <w:b/>
          <w:bCs/>
          <w:rtl/>
          <w:lang w:val="en-US"/>
        </w:rPr>
        <w:t xml:space="preserve"> يحقق العيش الكريم للعمال ولأسرهم؛</w:t>
      </w:r>
    </w:p>
    <w:p w14:paraId="7301E685" w14:textId="49997EC5"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تعزيز قدرات عمليات تفتيش العمل ضماناً لإنفاذ الحد الأدنى للأجور؛</w:t>
      </w:r>
    </w:p>
    <w:p w14:paraId="2AF583A3" w14:textId="20A12C3A"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مراعاة تعليقها العام رقم 23(2016) بشأن الحق في ظروف عمل عادلة ومواتية.</w:t>
      </w:r>
    </w:p>
    <w:p w14:paraId="27C7DFDB" w14:textId="77777777" w:rsidR="00091C8B" w:rsidRPr="009E4636" w:rsidRDefault="00091C8B" w:rsidP="00E24D19">
      <w:pPr>
        <w:pStyle w:val="H23GA"/>
      </w:pPr>
      <w:r w:rsidRPr="009E4636">
        <w:rPr>
          <w:rtl/>
        </w:rPr>
        <w:tab/>
      </w:r>
      <w:r w:rsidRPr="009E4636">
        <w:rPr>
          <w:rtl/>
        </w:rPr>
        <w:tab/>
        <w:t>التحرش الجنسي في مكان العمل</w:t>
      </w:r>
    </w:p>
    <w:p w14:paraId="39E38DA8" w14:textId="13AACA77" w:rsidR="00091C8B" w:rsidRPr="00091C8B" w:rsidRDefault="00091C8B" w:rsidP="00091C8B">
      <w:pPr>
        <w:pStyle w:val="SingleTxtGA"/>
        <w:rPr>
          <w:lang w:val="en-US"/>
        </w:rPr>
      </w:pPr>
      <w:r w:rsidRPr="009E4636">
        <w:rPr>
          <w:rtl/>
          <w:lang w:val="en-US"/>
        </w:rPr>
        <w:t>24</w:t>
      </w:r>
      <w:r w:rsidRPr="00091C8B">
        <w:rPr>
          <w:rtl/>
          <w:lang w:val="en-US"/>
        </w:rPr>
        <w:t>-</w:t>
      </w:r>
      <w:r w:rsidRPr="00091C8B">
        <w:rPr>
          <w:rtl/>
          <w:lang w:val="en-US"/>
        </w:rPr>
        <w:tab/>
        <w:t>يساور اللجنة القلق إزاء حالات التحرش الجنسي في مكان العمل التي أُبْلغ عنها في الدراسات الاستقصائية في القطاع العام</w:t>
      </w:r>
      <w:r w:rsidR="0032072C">
        <w:rPr>
          <w:rtl/>
          <w:lang w:val="en-US"/>
        </w:rPr>
        <w:t>،</w:t>
      </w:r>
      <w:r w:rsidRPr="00091C8B">
        <w:rPr>
          <w:rtl/>
          <w:lang w:val="en-US"/>
        </w:rPr>
        <w:t xml:space="preserve"> وإزاء عدم كفاية المعلومات عن وضع استراتيجية لمعالجة هذه المشكلة في القطاعين العام والخاص</w:t>
      </w:r>
      <w:r w:rsidR="0032072C">
        <w:rPr>
          <w:rtl/>
          <w:lang w:val="en-US"/>
        </w:rPr>
        <w:t>،</w:t>
      </w:r>
      <w:r w:rsidRPr="00091C8B">
        <w:rPr>
          <w:rtl/>
          <w:lang w:val="en-US"/>
        </w:rPr>
        <w:t xml:space="preserve"> إلى جانب وضع دليل للسلطات العامة وإلقاء دروس بهدف التوعية. وتأسف اللجنة أيض</w:t>
      </w:r>
      <w:r w:rsidR="00364683">
        <w:rPr>
          <w:rtl/>
          <w:lang w:val="en-US"/>
        </w:rPr>
        <w:t xml:space="preserve">اً </w:t>
      </w:r>
      <w:r w:rsidRPr="00091C8B">
        <w:rPr>
          <w:rtl/>
          <w:lang w:val="en-US"/>
        </w:rPr>
        <w:t xml:space="preserve">لعدم وجود بيانات عن الحالات التي تم التحقيق فيها وعن نتائجها (المادتان </w:t>
      </w:r>
      <w:r w:rsidRPr="009E4636">
        <w:rPr>
          <w:rtl/>
          <w:lang w:val="en-US"/>
        </w:rPr>
        <w:t>3</w:t>
      </w:r>
      <w:r w:rsidRPr="00091C8B">
        <w:rPr>
          <w:rtl/>
          <w:lang w:val="en-US"/>
        </w:rPr>
        <w:t xml:space="preserve"> و</w:t>
      </w:r>
      <w:r w:rsidRPr="009E4636">
        <w:rPr>
          <w:rtl/>
          <w:lang w:val="en-US"/>
        </w:rPr>
        <w:t>7</w:t>
      </w:r>
      <w:r w:rsidRPr="00091C8B">
        <w:rPr>
          <w:rtl/>
          <w:lang w:val="en-US"/>
        </w:rPr>
        <w:t>).</w:t>
      </w:r>
    </w:p>
    <w:p w14:paraId="69BE293D" w14:textId="77777777" w:rsidR="00091C8B" w:rsidRPr="009E4636" w:rsidRDefault="00091C8B" w:rsidP="00091C8B">
      <w:pPr>
        <w:pStyle w:val="SingleTxtGA"/>
        <w:rPr>
          <w:b/>
          <w:bCs/>
          <w:lang w:val="en-US"/>
        </w:rPr>
      </w:pPr>
      <w:r w:rsidRPr="009E4636">
        <w:rPr>
          <w:rtl/>
          <w:lang w:val="en-US"/>
        </w:rPr>
        <w:t>25</w:t>
      </w:r>
      <w:r w:rsidRPr="00091C8B">
        <w:rPr>
          <w:rtl/>
          <w:lang w:val="en-US"/>
        </w:rPr>
        <w:t>-</w:t>
      </w:r>
      <w:r w:rsidRPr="00091C8B">
        <w:rPr>
          <w:rtl/>
          <w:lang w:val="en-US"/>
        </w:rPr>
        <w:tab/>
      </w:r>
      <w:r w:rsidRPr="009E4636">
        <w:rPr>
          <w:b/>
          <w:bCs/>
          <w:rtl/>
          <w:lang w:val="en-US"/>
        </w:rPr>
        <w:t>توصي اللجنة بأن تقوم الدولة الطرف بما يلي:</w:t>
      </w:r>
    </w:p>
    <w:p w14:paraId="3F4106BE" w14:textId="3B7DB520"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ضمان الإنفاذ الفعال لقوانين مكافحة التحرش الجنسي</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بما فيها قانون العمل</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واعتماد</w:t>
      </w:r>
      <w:r w:rsidR="00091C8B" w:rsidRPr="009E4636">
        <w:rPr>
          <w:b/>
          <w:bCs/>
          <w:rtl/>
          <w:lang w:val="en-US"/>
        </w:rPr>
        <w:t xml:space="preserve"> </w:t>
      </w:r>
      <w:r w:rsidR="00091C8B" w:rsidRPr="009E4636">
        <w:rPr>
          <w:rFonts w:ascii="Times New Roman Bold" w:hAnsi="Times New Roman Bold"/>
          <w:b/>
          <w:bCs/>
          <w:spacing w:val="-4"/>
          <w:rtl/>
          <w:lang w:val="en-US"/>
        </w:rPr>
        <w:t>تدابير وقائية وحمائية لمكافحة التحرش الجنسي في مكان العمل</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من ضمنها تنظيم حملات توعية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وإنشاء</w:t>
      </w:r>
      <w:r w:rsidR="00091C8B" w:rsidRPr="009E4636">
        <w:rPr>
          <w:b/>
          <w:bCs/>
          <w:rtl/>
          <w:lang w:val="en-US"/>
        </w:rPr>
        <w:t xml:space="preserve"> نظام للرصد</w:t>
      </w:r>
      <w:r w:rsidR="0032072C" w:rsidRPr="009E4636">
        <w:rPr>
          <w:b/>
          <w:bCs/>
          <w:rtl/>
          <w:lang w:val="en-US"/>
        </w:rPr>
        <w:t>،</w:t>
      </w:r>
      <w:r w:rsidR="00091C8B" w:rsidRPr="009E4636">
        <w:rPr>
          <w:b/>
          <w:bCs/>
          <w:rtl/>
          <w:lang w:val="en-US"/>
        </w:rPr>
        <w:t xml:space="preserve"> وإتاحة التدريب المستمر؛</w:t>
      </w:r>
    </w:p>
    <w:p w14:paraId="3CAC6AFC" w14:textId="3E22627A"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ضمان التحقيق في البلاغات عن التحرش الجنسي ومقاضاة مرتكبيه على النحو الواجب</w:t>
      </w:r>
      <w:r w:rsidR="0032072C" w:rsidRPr="009E4636">
        <w:rPr>
          <w:b/>
          <w:bCs/>
          <w:rtl/>
          <w:lang w:val="en-US"/>
        </w:rPr>
        <w:t>،</w:t>
      </w:r>
      <w:r w:rsidR="00091C8B" w:rsidRPr="009E4636">
        <w:rPr>
          <w:b/>
          <w:bCs/>
          <w:rtl/>
          <w:lang w:val="en-US"/>
        </w:rPr>
        <w:t xml:space="preserve"> وإنزال العقوبة الملائمة بالجناة</w:t>
      </w:r>
      <w:r w:rsidR="0032072C" w:rsidRPr="009E4636">
        <w:rPr>
          <w:b/>
          <w:bCs/>
          <w:rtl/>
          <w:lang w:val="en-US"/>
        </w:rPr>
        <w:t>،</w:t>
      </w:r>
      <w:r w:rsidR="00091C8B" w:rsidRPr="009E4636">
        <w:rPr>
          <w:b/>
          <w:bCs/>
          <w:rtl/>
          <w:lang w:val="en-US"/>
        </w:rPr>
        <w:t xml:space="preserve"> وتمكين الضحايا من الحصول على سبل انتصاف مناسبة</w:t>
      </w:r>
      <w:r w:rsidR="0032072C" w:rsidRPr="009E4636">
        <w:rPr>
          <w:b/>
          <w:bCs/>
          <w:rtl/>
          <w:lang w:val="en-US"/>
        </w:rPr>
        <w:t>،</w:t>
      </w:r>
      <w:r w:rsidR="00091C8B" w:rsidRPr="009E4636">
        <w:rPr>
          <w:b/>
          <w:bCs/>
          <w:rtl/>
          <w:lang w:val="en-US"/>
        </w:rPr>
        <w:t xml:space="preserve"> بما</w:t>
      </w:r>
      <w:r w:rsidR="00364683" w:rsidRPr="009E4636">
        <w:rPr>
          <w:rFonts w:hint="cs"/>
          <w:b/>
          <w:bCs/>
          <w:rtl/>
          <w:lang w:val="en-US"/>
        </w:rPr>
        <w:t> </w:t>
      </w:r>
      <w:r w:rsidR="00091C8B" w:rsidRPr="009E4636">
        <w:rPr>
          <w:b/>
          <w:bCs/>
          <w:rtl/>
          <w:lang w:val="en-US"/>
        </w:rPr>
        <w:t>فيها التعويض.</w:t>
      </w:r>
    </w:p>
    <w:p w14:paraId="3D9115B8" w14:textId="77777777" w:rsidR="00091C8B" w:rsidRPr="009E4636" w:rsidRDefault="00091C8B" w:rsidP="00E24D19">
      <w:pPr>
        <w:pStyle w:val="H23GA"/>
      </w:pPr>
      <w:r w:rsidRPr="009E4636">
        <w:rPr>
          <w:rtl/>
        </w:rPr>
        <w:lastRenderedPageBreak/>
        <w:tab/>
      </w:r>
      <w:r w:rsidRPr="009E4636">
        <w:rPr>
          <w:rtl/>
        </w:rPr>
        <w:tab/>
        <w:t>الحقوق النقابية</w:t>
      </w:r>
    </w:p>
    <w:p w14:paraId="01FB1B53" w14:textId="5C44A3FF" w:rsidR="00091C8B" w:rsidRPr="00091C8B" w:rsidRDefault="00091C8B" w:rsidP="00091C8B">
      <w:pPr>
        <w:pStyle w:val="SingleTxtGA"/>
        <w:rPr>
          <w:lang w:val="en-US"/>
        </w:rPr>
      </w:pPr>
      <w:r w:rsidRPr="009E4636">
        <w:rPr>
          <w:spacing w:val="-2"/>
          <w:rtl/>
          <w:lang w:val="en-US"/>
        </w:rPr>
        <w:t>26</w:t>
      </w:r>
      <w:r w:rsidRPr="00E24D19">
        <w:rPr>
          <w:spacing w:val="-2"/>
          <w:rtl/>
          <w:lang w:val="en-US"/>
        </w:rPr>
        <w:t>-</w:t>
      </w:r>
      <w:r w:rsidRPr="00E24D19">
        <w:rPr>
          <w:spacing w:val="-2"/>
          <w:rtl/>
          <w:lang w:val="en-US"/>
        </w:rPr>
        <w:tab/>
        <w:t>يساور اللجنة القلق إزاء الحظر المطلق المفروض على حق عدد من موظفي الدولة في الإضراب</w:t>
      </w:r>
      <w:r w:rsidR="0032072C">
        <w:rPr>
          <w:spacing w:val="-2"/>
          <w:rtl/>
          <w:lang w:val="en-US"/>
        </w:rPr>
        <w:t>،</w:t>
      </w:r>
      <w:r w:rsidRPr="00E24D19">
        <w:rPr>
          <w:spacing w:val="-2"/>
          <w:rtl/>
          <w:lang w:val="en-US"/>
        </w:rPr>
        <w:t xml:space="preserve"> بمن فيهم أفراد الشرطة</w:t>
      </w:r>
      <w:r w:rsidR="0032072C">
        <w:rPr>
          <w:spacing w:val="-2"/>
          <w:rtl/>
          <w:lang w:val="en-US"/>
        </w:rPr>
        <w:t>،</w:t>
      </w:r>
      <w:r w:rsidRPr="00E24D19">
        <w:rPr>
          <w:spacing w:val="-2"/>
          <w:rtl/>
          <w:lang w:val="en-US"/>
        </w:rPr>
        <w:t xml:space="preserve"> ودائرة الإطفاء والإنقاذ</w:t>
      </w:r>
      <w:r w:rsidR="0032072C">
        <w:rPr>
          <w:spacing w:val="-2"/>
          <w:rtl/>
          <w:lang w:val="en-US"/>
        </w:rPr>
        <w:t>،</w:t>
      </w:r>
      <w:r w:rsidRPr="00E24D19">
        <w:rPr>
          <w:spacing w:val="-2"/>
          <w:rtl/>
          <w:lang w:val="en-US"/>
        </w:rPr>
        <w:t xml:space="preserve"> ودائرة السجون</w:t>
      </w:r>
      <w:r w:rsidR="0032072C">
        <w:rPr>
          <w:spacing w:val="-2"/>
          <w:rtl/>
          <w:lang w:val="en-US"/>
        </w:rPr>
        <w:t>،</w:t>
      </w:r>
      <w:r w:rsidRPr="00E24D19">
        <w:rPr>
          <w:spacing w:val="-2"/>
          <w:rtl/>
          <w:lang w:val="en-US"/>
        </w:rPr>
        <w:t xml:space="preserve"> ومكتب العلاقات الخارجية والإعلام. ويساورها القلق أيض</w:t>
      </w:r>
      <w:r w:rsidR="00364683">
        <w:rPr>
          <w:spacing w:val="-2"/>
          <w:rtl/>
          <w:lang w:val="en-US"/>
        </w:rPr>
        <w:t xml:space="preserve">اً </w:t>
      </w:r>
      <w:r w:rsidRPr="00E24D19">
        <w:rPr>
          <w:spacing w:val="-2"/>
          <w:rtl/>
          <w:lang w:val="en-US"/>
        </w:rPr>
        <w:t xml:space="preserve">لأن شرط التصويت في قانون المفاوضة الجماعية متطلِّب حيث إنه يقتضي </w:t>
      </w:r>
      <w:r w:rsidRPr="00091C8B">
        <w:rPr>
          <w:rtl/>
          <w:lang w:val="en-US"/>
        </w:rPr>
        <w:t xml:space="preserve">تصويت الثلثين لصالح الدعوة إلى الإضراب في المنازعات المتعلقة بإبرام اتفاقات جماعية (المادة </w:t>
      </w:r>
      <w:r w:rsidRPr="009E4636">
        <w:rPr>
          <w:rtl/>
          <w:lang w:val="en-US"/>
        </w:rPr>
        <w:t>8</w:t>
      </w:r>
      <w:r w:rsidRPr="00091C8B">
        <w:rPr>
          <w:rtl/>
          <w:lang w:val="en-US"/>
        </w:rPr>
        <w:t>).</w:t>
      </w:r>
    </w:p>
    <w:p w14:paraId="1953ECB6" w14:textId="77777777" w:rsidR="00091C8B" w:rsidRPr="009E4636" w:rsidRDefault="00091C8B" w:rsidP="00091C8B">
      <w:pPr>
        <w:pStyle w:val="SingleTxtGA"/>
        <w:rPr>
          <w:b/>
          <w:bCs/>
          <w:lang w:val="en-US"/>
        </w:rPr>
      </w:pPr>
      <w:r w:rsidRPr="009E4636">
        <w:rPr>
          <w:rtl/>
          <w:lang w:val="en-US"/>
        </w:rPr>
        <w:t>27</w:t>
      </w:r>
      <w:r w:rsidRPr="00091C8B">
        <w:rPr>
          <w:rtl/>
          <w:lang w:val="en-US"/>
        </w:rPr>
        <w:t>-</w:t>
      </w:r>
      <w:r w:rsidRPr="00091C8B">
        <w:rPr>
          <w:rtl/>
          <w:lang w:val="en-US"/>
        </w:rPr>
        <w:tab/>
      </w:r>
      <w:r w:rsidRPr="009E4636">
        <w:rPr>
          <w:b/>
          <w:bCs/>
          <w:rtl/>
          <w:lang w:val="en-US"/>
        </w:rPr>
        <w:t>توصي اللجنة بأن تقوم الدولة الطرف بما يلي:</w:t>
      </w:r>
    </w:p>
    <w:p w14:paraId="43ACC661" w14:textId="3F64B915"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تنقيح نطاق فئة الخدمات الأساسية لضمان حق جميع الموظفين العموميين الذين لا يمكن اعتبار خدماتهم أساسية على نحو معقول في الحصول على حقهم في الإضراب؛</w:t>
      </w:r>
    </w:p>
    <w:p w14:paraId="564353EC" w14:textId="0A03CC30"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إجراء مشاورات جديدة مع الشركاء الاجتماعيين حول النصاب القانوني المطلوب لتنفيذ الإضرابات</w:t>
      </w:r>
      <w:r w:rsidR="0032072C" w:rsidRPr="009E4636">
        <w:rPr>
          <w:b/>
          <w:bCs/>
          <w:rtl/>
          <w:lang w:val="en-US"/>
        </w:rPr>
        <w:t>،</w:t>
      </w:r>
      <w:r w:rsidR="00091C8B" w:rsidRPr="009E4636">
        <w:rPr>
          <w:b/>
          <w:bCs/>
          <w:rtl/>
          <w:lang w:val="en-US"/>
        </w:rPr>
        <w:t xml:space="preserve"> والنظر في إدخال تغيير على قانون المفاوضة الجماعية بغرض تعديله.</w:t>
      </w:r>
    </w:p>
    <w:p w14:paraId="6FF77905" w14:textId="77777777" w:rsidR="00091C8B" w:rsidRPr="009E4636" w:rsidRDefault="00091C8B" w:rsidP="00E24D19">
      <w:pPr>
        <w:pStyle w:val="H23GA"/>
      </w:pPr>
      <w:r w:rsidRPr="009E4636">
        <w:rPr>
          <w:rtl/>
        </w:rPr>
        <w:tab/>
      </w:r>
      <w:r w:rsidRPr="009E4636">
        <w:rPr>
          <w:rtl/>
        </w:rPr>
        <w:tab/>
        <w:t>الضمان الاجتماعي</w:t>
      </w:r>
    </w:p>
    <w:p w14:paraId="03EAB16D" w14:textId="4F4F0213" w:rsidR="00091C8B" w:rsidRPr="00F90D46" w:rsidRDefault="00091C8B" w:rsidP="00091C8B">
      <w:pPr>
        <w:pStyle w:val="SingleTxtGA"/>
        <w:rPr>
          <w:spacing w:val="-2"/>
          <w:lang w:val="en-US"/>
        </w:rPr>
      </w:pPr>
      <w:r w:rsidRPr="009E4636">
        <w:rPr>
          <w:spacing w:val="-2"/>
          <w:rtl/>
          <w:lang w:val="en-US"/>
        </w:rPr>
        <w:t>28</w:t>
      </w:r>
      <w:r w:rsidRPr="00F90D46">
        <w:rPr>
          <w:spacing w:val="-2"/>
          <w:rtl/>
          <w:lang w:val="en-US"/>
        </w:rPr>
        <w:t>-</w:t>
      </w:r>
      <w:r w:rsidRPr="00F90D46">
        <w:rPr>
          <w:spacing w:val="-2"/>
          <w:rtl/>
          <w:lang w:val="en-US"/>
        </w:rPr>
        <w:tab/>
      </w:r>
      <w:r w:rsidRPr="003A6240">
        <w:rPr>
          <w:spacing w:val="-4"/>
          <w:rtl/>
          <w:lang w:val="en-US"/>
        </w:rPr>
        <w:t>يساور اللجنة القلق إزاء التقارير التي تفيد بأن المحاكم تقيد الأهلية القانونية للأشخاص ذوي الإعاقات</w:t>
      </w:r>
      <w:r w:rsidRPr="00F90D46">
        <w:rPr>
          <w:spacing w:val="-2"/>
          <w:rtl/>
          <w:lang w:val="en-US"/>
        </w:rPr>
        <w:t xml:space="preserve"> </w:t>
      </w:r>
      <w:r w:rsidRPr="003A6240">
        <w:rPr>
          <w:spacing w:val="-4"/>
          <w:rtl/>
          <w:lang w:val="en-US"/>
        </w:rPr>
        <w:t>الذهنية والنفسية - الاجتماعية لأن يتقدموا بطلب الحصول على الاستحقاقات الاجتماعية والمعاشات التقاعدية</w:t>
      </w:r>
      <w:r w:rsidR="0032072C" w:rsidRPr="00F90D46">
        <w:rPr>
          <w:spacing w:val="-2"/>
          <w:rtl/>
          <w:lang w:val="en-US"/>
        </w:rPr>
        <w:t>،</w:t>
      </w:r>
      <w:r w:rsidRPr="00F90D46">
        <w:rPr>
          <w:spacing w:val="-2"/>
          <w:rtl/>
          <w:lang w:val="en-US"/>
        </w:rPr>
        <w:t xml:space="preserve"> وبأنها لا تكفل الترتيبات التيسيرية الإجرائية. ويساورها القلق أيض</w:t>
      </w:r>
      <w:r w:rsidR="00364683">
        <w:rPr>
          <w:spacing w:val="-2"/>
          <w:rtl/>
          <w:lang w:val="en-US"/>
        </w:rPr>
        <w:t xml:space="preserve">اً </w:t>
      </w:r>
      <w:r w:rsidRPr="00F90D46">
        <w:rPr>
          <w:spacing w:val="-2"/>
          <w:rtl/>
          <w:lang w:val="en-US"/>
        </w:rPr>
        <w:t xml:space="preserve">إزاء عدم كفاية ملاك موظفي دائرة التقييم </w:t>
      </w:r>
      <w:r w:rsidRPr="003A6240">
        <w:rPr>
          <w:spacing w:val="-4"/>
          <w:rtl/>
          <w:lang w:val="en-US"/>
        </w:rPr>
        <w:t>الطبي</w:t>
      </w:r>
      <w:r w:rsidR="0032072C" w:rsidRPr="003A6240">
        <w:rPr>
          <w:spacing w:val="-4"/>
          <w:rtl/>
          <w:lang w:val="en-US"/>
        </w:rPr>
        <w:t>،</w:t>
      </w:r>
      <w:r w:rsidRPr="003A6240">
        <w:rPr>
          <w:spacing w:val="-4"/>
          <w:rtl/>
          <w:lang w:val="en-US"/>
        </w:rPr>
        <w:t xml:space="preserve"> مما يؤدي إلى تأخيرات في تجهيز طلبات استحقاقات العجز</w:t>
      </w:r>
      <w:r w:rsidR="0032072C" w:rsidRPr="003A6240">
        <w:rPr>
          <w:spacing w:val="-4"/>
          <w:rtl/>
          <w:lang w:val="en-US"/>
        </w:rPr>
        <w:t>،</w:t>
      </w:r>
      <w:r w:rsidRPr="003A6240">
        <w:rPr>
          <w:spacing w:val="-4"/>
          <w:rtl/>
          <w:lang w:val="en-US"/>
        </w:rPr>
        <w:t xml:space="preserve"> وإزاء استمرار عملياتها بعد تقاعد الموظفين</w:t>
      </w:r>
      <w:r w:rsidRPr="00F90D46">
        <w:rPr>
          <w:spacing w:val="-2"/>
          <w:rtl/>
          <w:lang w:val="en-US"/>
        </w:rPr>
        <w:t xml:space="preserve"> الحاليين. وعلاوة على ذلك</w:t>
      </w:r>
      <w:r w:rsidR="0032072C" w:rsidRPr="00F90D46">
        <w:rPr>
          <w:spacing w:val="-2"/>
          <w:rtl/>
          <w:lang w:val="en-US"/>
        </w:rPr>
        <w:t>،</w:t>
      </w:r>
      <w:r w:rsidRPr="00F90D46">
        <w:rPr>
          <w:spacing w:val="-2"/>
          <w:rtl/>
          <w:lang w:val="en-US"/>
        </w:rPr>
        <w:t xml:space="preserve"> يساور اللجنة القلق لأن العديد من اللاجئين لا</w:t>
      </w:r>
      <w:r w:rsidR="00F90D46">
        <w:rPr>
          <w:rFonts w:hint="cs"/>
          <w:spacing w:val="-2"/>
          <w:rtl/>
          <w:lang w:val="en-US"/>
        </w:rPr>
        <w:t> </w:t>
      </w:r>
      <w:r w:rsidRPr="00F90D46">
        <w:rPr>
          <w:spacing w:val="-2"/>
          <w:rtl/>
          <w:lang w:val="en-US"/>
        </w:rPr>
        <w:t xml:space="preserve">يكونون أهلاً للحصول على استحقاقات نظام المعاشات التقاعدية بسبب العقبات التي تحول دون إثبات العدد المطلوب من سنوات العمل ولأنهم ما زالوا يعتمدون على الحد الأدنى من بدلات الإقامة (المادة </w:t>
      </w:r>
      <w:r w:rsidRPr="009E4636">
        <w:rPr>
          <w:spacing w:val="-2"/>
          <w:rtl/>
          <w:lang w:val="en-US"/>
        </w:rPr>
        <w:t>9</w:t>
      </w:r>
      <w:r w:rsidRPr="00F90D46">
        <w:rPr>
          <w:spacing w:val="-2"/>
          <w:rtl/>
          <w:lang w:val="en-US"/>
        </w:rPr>
        <w:t>).</w:t>
      </w:r>
    </w:p>
    <w:p w14:paraId="5DA558C5" w14:textId="77777777" w:rsidR="00091C8B" w:rsidRPr="009E4636" w:rsidRDefault="00091C8B" w:rsidP="00091C8B">
      <w:pPr>
        <w:pStyle w:val="SingleTxtGA"/>
        <w:rPr>
          <w:b/>
          <w:bCs/>
          <w:lang w:val="en-US"/>
        </w:rPr>
      </w:pPr>
      <w:r w:rsidRPr="009E4636">
        <w:rPr>
          <w:rtl/>
          <w:lang w:val="en-US"/>
        </w:rPr>
        <w:t>29</w:t>
      </w:r>
      <w:r w:rsidRPr="00091C8B">
        <w:rPr>
          <w:rtl/>
          <w:lang w:val="en-US"/>
        </w:rPr>
        <w:t>-</w:t>
      </w:r>
      <w:r w:rsidRPr="00091C8B">
        <w:rPr>
          <w:rtl/>
          <w:lang w:val="en-US"/>
        </w:rPr>
        <w:tab/>
      </w:r>
      <w:r w:rsidRPr="009E4636">
        <w:rPr>
          <w:b/>
          <w:bCs/>
          <w:rtl/>
          <w:lang w:val="en-US"/>
        </w:rPr>
        <w:t>توصي اللجنة بأن تقوم الدولة الطرف بما يلي:</w:t>
      </w:r>
    </w:p>
    <w:p w14:paraId="2B4B63EC" w14:textId="0B6ED0C7"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إصلاح القانون المدني لأجل الاعتراف بالأهلية القانونية لجميع الأشخاص ذوي الإعاقة</w:t>
      </w:r>
      <w:r w:rsidR="00091C8B" w:rsidRPr="009E4636">
        <w:rPr>
          <w:b/>
          <w:bCs/>
          <w:rtl/>
          <w:lang w:val="en-US"/>
        </w:rPr>
        <w:t xml:space="preserve"> </w:t>
      </w:r>
      <w:r w:rsidR="00091C8B" w:rsidRPr="009E4636">
        <w:rPr>
          <w:rFonts w:ascii="Times New Roman Bold" w:hAnsi="Times New Roman Bold"/>
          <w:b/>
          <w:bCs/>
          <w:spacing w:val="-4"/>
          <w:rtl/>
          <w:lang w:val="en-US"/>
        </w:rPr>
        <w:t>وتنفيذ نظام لدعمهم في اتخاذ القرارات</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ولأجل احترام أهليتهم القانونية لأن يحصلوا على الخدمات الاجتماعية</w:t>
      </w:r>
      <w:r w:rsidR="00091C8B" w:rsidRPr="009E4636">
        <w:rPr>
          <w:b/>
          <w:bCs/>
          <w:rtl/>
          <w:lang w:val="en-US"/>
        </w:rPr>
        <w:t xml:space="preserve"> وخطط الضمان الاجتماعي؛</w:t>
      </w:r>
    </w:p>
    <w:p w14:paraId="06450CDC" w14:textId="56365E33"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6"/>
          <w:rtl/>
          <w:lang w:val="en-US"/>
        </w:rPr>
        <w:t>تقوية برامج بناء قدرات الجهاز القضائي بشأن نموذج الإعاقة القائم على حقوق الإنسان</w:t>
      </w:r>
      <w:r w:rsidR="0032072C" w:rsidRPr="009E4636">
        <w:rPr>
          <w:b/>
          <w:bCs/>
          <w:rtl/>
          <w:lang w:val="en-US"/>
        </w:rPr>
        <w:t>،</w:t>
      </w:r>
      <w:r w:rsidR="00091C8B" w:rsidRPr="009E4636">
        <w:rPr>
          <w:b/>
          <w:bCs/>
          <w:rtl/>
          <w:lang w:val="en-US"/>
        </w:rPr>
        <w:t xml:space="preserve"> </w:t>
      </w:r>
      <w:r w:rsidR="00091C8B" w:rsidRPr="009E4636">
        <w:rPr>
          <w:rFonts w:ascii="Times New Roman Bold" w:hAnsi="Times New Roman Bold"/>
          <w:b/>
          <w:bCs/>
          <w:spacing w:val="-6"/>
          <w:rtl/>
          <w:lang w:val="en-US"/>
        </w:rPr>
        <w:t>واعتماد آليات تتيح للأشخاص ذوي الإعاقة الترتيبات التيسيرية المناسبة للفئة العمرية</w:t>
      </w:r>
      <w:r w:rsidR="0032072C" w:rsidRPr="009E4636">
        <w:rPr>
          <w:rFonts w:ascii="Times New Roman Bold" w:hAnsi="Times New Roman Bold"/>
          <w:b/>
          <w:bCs/>
          <w:spacing w:val="-6"/>
          <w:rtl/>
          <w:lang w:val="en-US"/>
        </w:rPr>
        <w:t>،</w:t>
      </w:r>
      <w:r w:rsidR="00091C8B" w:rsidRPr="009E4636">
        <w:rPr>
          <w:rFonts w:ascii="Times New Roman Bold" w:hAnsi="Times New Roman Bold"/>
          <w:b/>
          <w:bCs/>
          <w:spacing w:val="-6"/>
          <w:rtl/>
          <w:lang w:val="en-US"/>
        </w:rPr>
        <w:t xml:space="preserve"> وتوعية المجتمع</w:t>
      </w:r>
      <w:r w:rsidR="00091C8B" w:rsidRPr="009E4636">
        <w:rPr>
          <w:b/>
          <w:bCs/>
          <w:rtl/>
          <w:lang w:val="en-US"/>
        </w:rPr>
        <w:t xml:space="preserve"> بالحق في الاعتراف بالأشخاص ذوي الإعاقة على قدم المساواة أمام القانون؛</w:t>
      </w:r>
    </w:p>
    <w:p w14:paraId="220B0946" w14:textId="5BB487BB"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rFonts w:ascii="Times New Roman Bold" w:hAnsi="Times New Roman Bold"/>
          <w:b/>
          <w:bCs/>
          <w:spacing w:val="-2"/>
          <w:rtl/>
          <w:lang w:val="en-US"/>
        </w:rPr>
        <w:t>ضمان تزويد دائرة التقييم الطبي بعدد كاف من الموظفين تجنب</w:t>
      </w:r>
      <w:r w:rsidR="00364683" w:rsidRPr="009E4636">
        <w:rPr>
          <w:rFonts w:ascii="Times New Roman Bold" w:hAnsi="Times New Roman Bold"/>
          <w:b/>
          <w:bCs/>
          <w:spacing w:val="-2"/>
          <w:rtl/>
          <w:lang w:val="en-US"/>
        </w:rPr>
        <w:t xml:space="preserve">اً </w:t>
      </w:r>
      <w:r w:rsidR="00091C8B" w:rsidRPr="009E4636">
        <w:rPr>
          <w:rFonts w:ascii="Times New Roman Bold" w:hAnsi="Times New Roman Bold"/>
          <w:b/>
          <w:bCs/>
          <w:spacing w:val="-2"/>
          <w:rtl/>
          <w:lang w:val="en-US"/>
        </w:rPr>
        <w:t>للتأخير في الإجراءات</w:t>
      </w:r>
      <w:r w:rsidR="0032072C" w:rsidRPr="009E4636">
        <w:rPr>
          <w:b/>
          <w:bCs/>
          <w:rtl/>
          <w:lang w:val="en-US"/>
        </w:rPr>
        <w:t>،</w:t>
      </w:r>
      <w:r w:rsidR="00091C8B" w:rsidRPr="009E4636">
        <w:rPr>
          <w:b/>
          <w:bCs/>
          <w:rtl/>
          <w:lang w:val="en-US"/>
        </w:rPr>
        <w:t xml:space="preserve"> ولا سيما في حالات بدلات الرعاية والاشتراكات وإصدار بطاقات الإعاقة؛</w:t>
      </w:r>
    </w:p>
    <w:p w14:paraId="1C6F827F" w14:textId="2D20BA6F"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b/>
          <w:bCs/>
          <w:rtl/>
          <w:lang w:val="en-US"/>
        </w:rPr>
        <w:t>تعديل قانون تأمين المعاشات التقاعدية لتسهيل دخول اللاجئين وطالبي اللجوء في نظام التقاعد الوطني؛</w:t>
      </w:r>
    </w:p>
    <w:p w14:paraId="7CEE0139" w14:textId="5B9D07B8"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مراعاة تعليقها العام رقم 19(2007) بشأن الحق في الضمان الاجتماعي.</w:t>
      </w:r>
    </w:p>
    <w:p w14:paraId="51B1E5A9" w14:textId="77777777" w:rsidR="00091C8B" w:rsidRPr="009E4636" w:rsidRDefault="00091C8B" w:rsidP="00E24D19">
      <w:pPr>
        <w:pStyle w:val="H23GA"/>
      </w:pPr>
      <w:r w:rsidRPr="009E4636">
        <w:rPr>
          <w:rtl/>
        </w:rPr>
        <w:tab/>
      </w:r>
      <w:r w:rsidRPr="009E4636">
        <w:rPr>
          <w:rtl/>
        </w:rPr>
        <w:tab/>
        <w:t>الأطفال المودعون في مؤسسات</w:t>
      </w:r>
    </w:p>
    <w:p w14:paraId="30C46B46" w14:textId="1B45539C" w:rsidR="00091C8B" w:rsidRPr="00091C8B" w:rsidRDefault="00091C8B" w:rsidP="00091C8B">
      <w:pPr>
        <w:pStyle w:val="SingleTxtGA"/>
        <w:rPr>
          <w:lang w:val="en-US"/>
        </w:rPr>
      </w:pPr>
      <w:r w:rsidRPr="009E4636">
        <w:rPr>
          <w:rtl/>
          <w:lang w:val="en-US"/>
        </w:rPr>
        <w:t>30</w:t>
      </w:r>
      <w:r w:rsidRPr="00091C8B">
        <w:rPr>
          <w:rtl/>
          <w:lang w:val="en-US"/>
        </w:rPr>
        <w:t>-</w:t>
      </w:r>
      <w:r w:rsidRPr="00091C8B">
        <w:rPr>
          <w:rtl/>
          <w:lang w:val="en-US"/>
        </w:rPr>
        <w:tab/>
        <w:t>تحيط اللجنة علم</w:t>
      </w:r>
      <w:r w:rsidR="00364683">
        <w:rPr>
          <w:rtl/>
          <w:lang w:val="en-US"/>
        </w:rPr>
        <w:t xml:space="preserve">اً </w:t>
      </w:r>
      <w:r w:rsidRPr="00091C8B">
        <w:rPr>
          <w:rtl/>
          <w:lang w:val="en-US"/>
        </w:rPr>
        <w:t xml:space="preserve">بالجهود التشريعية </w:t>
      </w:r>
      <w:proofErr w:type="spellStart"/>
      <w:r w:rsidRPr="00091C8B">
        <w:rPr>
          <w:rtl/>
          <w:lang w:val="en-US"/>
        </w:rPr>
        <w:t>والسياساتية</w:t>
      </w:r>
      <w:proofErr w:type="spellEnd"/>
      <w:r w:rsidRPr="00091C8B">
        <w:rPr>
          <w:rtl/>
          <w:lang w:val="en-US"/>
        </w:rPr>
        <w:t xml:space="preserve"> التي تبذلها الدولة الطرف للحد من إيداعها في</w:t>
      </w:r>
      <w:r w:rsidR="00F90D46">
        <w:rPr>
          <w:rFonts w:hint="cs"/>
          <w:rtl/>
          <w:lang w:val="en-US"/>
        </w:rPr>
        <w:t> </w:t>
      </w:r>
      <w:r w:rsidRPr="00091C8B">
        <w:rPr>
          <w:rtl/>
          <w:lang w:val="en-US"/>
        </w:rPr>
        <w:t>المؤسسات وتعزيز الرعاية الحاضنة</w:t>
      </w:r>
      <w:r w:rsidR="0032072C">
        <w:rPr>
          <w:rtl/>
          <w:lang w:val="en-US"/>
        </w:rPr>
        <w:t>،</w:t>
      </w:r>
      <w:r w:rsidRPr="00091C8B">
        <w:rPr>
          <w:rtl/>
          <w:lang w:val="en-US"/>
        </w:rPr>
        <w:t xml:space="preserve"> بما في ذلك الاستراتيجية الوطنية لحماية حقوق الطفل للفترة</w:t>
      </w:r>
      <w:r w:rsidR="00F90D46">
        <w:rPr>
          <w:rFonts w:hint="cs"/>
          <w:rtl/>
          <w:lang w:val="en-US"/>
        </w:rPr>
        <w:t> </w:t>
      </w:r>
      <w:r w:rsidRPr="009E4636">
        <w:rPr>
          <w:rtl/>
          <w:lang w:val="en-US"/>
        </w:rPr>
        <w:t>2021</w:t>
      </w:r>
      <w:r w:rsidRPr="00091C8B">
        <w:rPr>
          <w:rtl/>
          <w:lang w:val="en-US"/>
        </w:rPr>
        <w:t>-</w:t>
      </w:r>
      <w:r w:rsidRPr="009E4636">
        <w:rPr>
          <w:rtl/>
          <w:lang w:val="en-US"/>
        </w:rPr>
        <w:t>2029</w:t>
      </w:r>
      <w:r w:rsidRPr="00091C8B">
        <w:rPr>
          <w:rtl/>
          <w:lang w:val="en-US"/>
        </w:rPr>
        <w:t xml:space="preserve"> والتشريع الذي يضع حد</w:t>
      </w:r>
      <w:r w:rsidR="00364683">
        <w:rPr>
          <w:rtl/>
          <w:lang w:val="en-US"/>
        </w:rPr>
        <w:t xml:space="preserve">اً </w:t>
      </w:r>
      <w:r w:rsidRPr="00091C8B">
        <w:rPr>
          <w:rtl/>
          <w:lang w:val="en-US"/>
        </w:rPr>
        <w:t xml:space="preserve">لوضع الأطفال دون سن الثالثة في مؤسسات الرعاية. </w:t>
      </w:r>
      <w:r w:rsidRPr="00091C8B">
        <w:rPr>
          <w:rtl/>
          <w:lang w:val="en-US"/>
        </w:rPr>
        <w:lastRenderedPageBreak/>
        <w:t>ومع</w:t>
      </w:r>
      <w:r w:rsidR="00F90D46">
        <w:rPr>
          <w:rFonts w:hint="cs"/>
          <w:rtl/>
          <w:lang w:val="en-US"/>
        </w:rPr>
        <w:t> </w:t>
      </w:r>
      <w:r w:rsidRPr="00091C8B">
        <w:rPr>
          <w:rtl/>
          <w:lang w:val="en-US"/>
        </w:rPr>
        <w:t>ذلك</w:t>
      </w:r>
      <w:r w:rsidR="0032072C">
        <w:rPr>
          <w:rtl/>
          <w:lang w:val="en-US"/>
        </w:rPr>
        <w:t>،</w:t>
      </w:r>
      <w:r w:rsidRPr="00091C8B">
        <w:rPr>
          <w:rtl/>
          <w:lang w:val="en-US"/>
        </w:rPr>
        <w:t xml:space="preserve"> يساور اللجنة القلق إزاء العدد الكبير جد</w:t>
      </w:r>
      <w:r w:rsidR="00364683">
        <w:rPr>
          <w:rtl/>
          <w:lang w:val="en-US"/>
        </w:rPr>
        <w:t xml:space="preserve">اً </w:t>
      </w:r>
      <w:r w:rsidRPr="00091C8B">
        <w:rPr>
          <w:rtl/>
          <w:lang w:val="en-US"/>
        </w:rPr>
        <w:t>من الأطفال المودعين في مؤسسات في الدولة الطرف</w:t>
      </w:r>
      <w:r w:rsidR="0032072C">
        <w:rPr>
          <w:rtl/>
          <w:lang w:val="en-US"/>
        </w:rPr>
        <w:t>،</w:t>
      </w:r>
      <w:r w:rsidRPr="00091C8B">
        <w:rPr>
          <w:rtl/>
          <w:lang w:val="en-US"/>
        </w:rPr>
        <w:t xml:space="preserve"> ولا سيما منهم أطفال الروما والأطفال ذوو الإعاقة. ويساور اللجنة القلق كذلك لأن نظام رعاية الطفل لا يزال مجزأ وإزاء انعدام سياسة فعالة لإخراج الأطفال من المؤسسات وانعدام خيارات الرعاية الأسرية. وعلاوة على ذلك</w:t>
      </w:r>
      <w:r w:rsidR="0032072C">
        <w:rPr>
          <w:rtl/>
          <w:lang w:val="en-US"/>
        </w:rPr>
        <w:t>،</w:t>
      </w:r>
      <w:r w:rsidRPr="00091C8B">
        <w:rPr>
          <w:rtl/>
          <w:lang w:val="en-US"/>
        </w:rPr>
        <w:t xml:space="preserve"> تعرب اللجنة عن قلقها لأن الأطفال الذين يعانون من "صعوبات في السلوك"</w:t>
      </w:r>
      <w:r w:rsidR="0032072C">
        <w:rPr>
          <w:rtl/>
          <w:lang w:val="en-US"/>
        </w:rPr>
        <w:t>،</w:t>
      </w:r>
      <w:r w:rsidRPr="00091C8B">
        <w:rPr>
          <w:rtl/>
          <w:lang w:val="en-US"/>
        </w:rPr>
        <w:t xml:space="preserve"> توصف بأنها "معادية للمجتمع" أو "معرِّضة للخطر"</w:t>
      </w:r>
      <w:r w:rsidR="0032072C">
        <w:rPr>
          <w:rtl/>
          <w:lang w:val="en-US"/>
        </w:rPr>
        <w:t>،</w:t>
      </w:r>
      <w:r w:rsidRPr="00091C8B">
        <w:rPr>
          <w:rtl/>
          <w:lang w:val="en-US"/>
        </w:rPr>
        <w:t xml:space="preserve"> يوضعون في مؤسسات بموجب إجراءات مدنية</w:t>
      </w:r>
      <w:r w:rsidR="0032072C">
        <w:rPr>
          <w:rtl/>
          <w:lang w:val="en-US"/>
        </w:rPr>
        <w:t>،</w:t>
      </w:r>
      <w:r w:rsidRPr="00091C8B">
        <w:rPr>
          <w:rtl/>
          <w:lang w:val="en-US"/>
        </w:rPr>
        <w:t xml:space="preserve"> ولا</w:t>
      </w:r>
      <w:r w:rsidR="00F90D46">
        <w:rPr>
          <w:rFonts w:hint="cs"/>
          <w:rtl/>
          <w:lang w:val="en-US"/>
        </w:rPr>
        <w:t> </w:t>
      </w:r>
      <w:r w:rsidRPr="00091C8B">
        <w:rPr>
          <w:rtl/>
          <w:lang w:val="en-US"/>
        </w:rPr>
        <w:t xml:space="preserve">يستفيدون من المساعدة القانونية (المادة </w:t>
      </w:r>
      <w:r w:rsidRPr="009E4636">
        <w:rPr>
          <w:rtl/>
          <w:lang w:val="en-US"/>
        </w:rPr>
        <w:t>10</w:t>
      </w:r>
      <w:r w:rsidRPr="00091C8B">
        <w:rPr>
          <w:rtl/>
          <w:lang w:val="en-US"/>
        </w:rPr>
        <w:t>).</w:t>
      </w:r>
    </w:p>
    <w:p w14:paraId="7A541EF6" w14:textId="77777777" w:rsidR="00091C8B" w:rsidRPr="009E4636" w:rsidRDefault="00091C8B" w:rsidP="00091C8B">
      <w:pPr>
        <w:pStyle w:val="SingleTxtGA"/>
        <w:rPr>
          <w:b/>
          <w:bCs/>
          <w:lang w:val="en-US"/>
        </w:rPr>
      </w:pPr>
      <w:r w:rsidRPr="009E4636">
        <w:rPr>
          <w:rtl/>
          <w:lang w:val="en-US"/>
        </w:rPr>
        <w:t>31</w:t>
      </w:r>
      <w:r w:rsidRPr="00091C8B">
        <w:rPr>
          <w:rtl/>
          <w:lang w:val="en-US"/>
        </w:rPr>
        <w:t>-</w:t>
      </w:r>
      <w:r w:rsidRPr="00091C8B">
        <w:rPr>
          <w:rtl/>
          <w:lang w:val="en-US"/>
        </w:rPr>
        <w:tab/>
      </w:r>
      <w:r w:rsidRPr="009E4636">
        <w:rPr>
          <w:b/>
          <w:bCs/>
          <w:rtl/>
          <w:lang w:val="en-US"/>
        </w:rPr>
        <w:t>توصي اللجنة بأن تقوم الدولة الطرف بما يلي:</w:t>
      </w:r>
    </w:p>
    <w:p w14:paraId="0834CEF6" w14:textId="323DFE0E"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ضمان التنسيق الفعال بين مختلف الوزارات لأجل توحيد نظام رعاية الطفل؛</w:t>
      </w:r>
    </w:p>
    <w:p w14:paraId="6CF47620" w14:textId="0C83F4DA"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spacing w:val="-4"/>
          <w:rtl/>
          <w:lang w:val="en-US"/>
        </w:rPr>
        <w:t>تنفيذ سياسة واستراتيجية وطنيتين مع خطة عمل محددة زمني</w:t>
      </w:r>
      <w:r w:rsidR="00364683" w:rsidRPr="009E4636">
        <w:rPr>
          <w:b/>
          <w:bCs/>
          <w:spacing w:val="-4"/>
          <w:rtl/>
          <w:lang w:val="en-US"/>
        </w:rPr>
        <w:t xml:space="preserve">اً </w:t>
      </w:r>
      <w:r w:rsidR="00091C8B" w:rsidRPr="009E4636">
        <w:rPr>
          <w:b/>
          <w:bCs/>
          <w:spacing w:val="-4"/>
          <w:rtl/>
          <w:lang w:val="en-US"/>
        </w:rPr>
        <w:t xml:space="preserve">بهدف التعجيل </w:t>
      </w:r>
      <w:r w:rsidR="00091C8B" w:rsidRPr="009E4636">
        <w:rPr>
          <w:rFonts w:ascii="Times New Roman Bold" w:hAnsi="Times New Roman Bold"/>
          <w:b/>
          <w:bCs/>
          <w:spacing w:val="-4"/>
          <w:rtl/>
          <w:lang w:val="en-US"/>
        </w:rPr>
        <w:t>بالتقدم نحو الإخراج من المؤسسات</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دعم</w:t>
      </w:r>
      <w:r w:rsidR="00364683" w:rsidRPr="009E4636">
        <w:rPr>
          <w:rFonts w:ascii="Times New Roman Bold" w:hAnsi="Times New Roman Bold"/>
          <w:b/>
          <w:bCs/>
          <w:spacing w:val="-4"/>
          <w:rtl/>
          <w:lang w:val="en-US"/>
        </w:rPr>
        <w:t xml:space="preserve">اً </w:t>
      </w:r>
      <w:r w:rsidR="00091C8B" w:rsidRPr="009E4636">
        <w:rPr>
          <w:rFonts w:ascii="Times New Roman Bold" w:hAnsi="Times New Roman Bold"/>
          <w:b/>
          <w:bCs/>
          <w:spacing w:val="-4"/>
          <w:rtl/>
          <w:lang w:val="en-US"/>
        </w:rPr>
        <w:t>للخيارات المجتمعية والأسرية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مع إيلاء اهتمام خاص للأطفال</w:t>
      </w:r>
      <w:r w:rsidR="00091C8B" w:rsidRPr="009E4636">
        <w:rPr>
          <w:b/>
          <w:bCs/>
          <w:rtl/>
          <w:lang w:val="en-US"/>
        </w:rPr>
        <w:t xml:space="preserve"> ذوي الإعاقة وأطفال الروما والأطفال الصغار جد</w:t>
      </w:r>
      <w:r w:rsidR="00364683" w:rsidRPr="009E4636">
        <w:rPr>
          <w:b/>
          <w:bCs/>
          <w:rtl/>
          <w:lang w:val="en-US"/>
        </w:rPr>
        <w:t>اً؛</w:t>
      </w:r>
    </w:p>
    <w:p w14:paraId="7964A3C1" w14:textId="5C4A60FB"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الإسراع في مناقشة مشروع قانون دعم الأسر والرعاية الأسرية البديلة بقصد اعتماده؛</w:t>
      </w:r>
    </w:p>
    <w:p w14:paraId="24EB2651" w14:textId="2C776B41"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b/>
          <w:bCs/>
          <w:rtl/>
          <w:lang w:val="en-US"/>
        </w:rPr>
        <w:t>ضمان تنفيذ التشريعات التي حدّدت ثلاث سنوات باعتبارها السن الدنيا لإيداع طفل ما في الرعاية المؤسسية؛</w:t>
      </w:r>
    </w:p>
    <w:p w14:paraId="6C29A6FF" w14:textId="28DE57CB"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ضمان توفير خيارات الرعاية الأسرية بشكل كاف</w:t>
      </w:r>
      <w:r w:rsidR="0032072C" w:rsidRPr="009E4636">
        <w:rPr>
          <w:b/>
          <w:bCs/>
          <w:rtl/>
          <w:lang w:val="en-US"/>
        </w:rPr>
        <w:t>،</w:t>
      </w:r>
      <w:r w:rsidR="00091C8B" w:rsidRPr="009E4636">
        <w:rPr>
          <w:b/>
          <w:bCs/>
          <w:rtl/>
          <w:lang w:val="en-US"/>
        </w:rPr>
        <w:t xml:space="preserve"> ومن جملة ذلك توفير عدد كاف من الآباء بالتبني المدرَّبين؛</w:t>
      </w:r>
    </w:p>
    <w:p w14:paraId="14F87FF9" w14:textId="3484FD11" w:rsidR="00091C8B" w:rsidRPr="009E4636" w:rsidRDefault="00E24D19" w:rsidP="00091C8B">
      <w:pPr>
        <w:pStyle w:val="SingleTxtGA"/>
        <w:rPr>
          <w:b/>
          <w:bCs/>
          <w:lang w:val="en-US"/>
        </w:rPr>
      </w:pPr>
      <w:r>
        <w:rPr>
          <w:rtl/>
          <w:lang w:val="en-US"/>
        </w:rPr>
        <w:tab/>
      </w:r>
      <w:r w:rsidR="00091C8B" w:rsidRPr="00091C8B">
        <w:rPr>
          <w:rtl/>
          <w:lang w:val="en-US"/>
        </w:rPr>
        <w:t>(و)</w:t>
      </w:r>
      <w:r w:rsidR="00091C8B" w:rsidRPr="00091C8B">
        <w:rPr>
          <w:rtl/>
          <w:lang w:val="en-US"/>
        </w:rPr>
        <w:tab/>
      </w:r>
      <w:r w:rsidR="00091C8B" w:rsidRPr="009E4636">
        <w:rPr>
          <w:b/>
          <w:bCs/>
          <w:rtl/>
          <w:lang w:val="en-US"/>
        </w:rPr>
        <w:t>ضمان عدم فصل الأطفال عن أسرهم وإيداعهم في مؤسسات الرعاية البديلة بسبب ما يجدونه من "صعوبات في السلوك".</w:t>
      </w:r>
    </w:p>
    <w:p w14:paraId="1C522656" w14:textId="77777777" w:rsidR="00091C8B" w:rsidRPr="009E4636" w:rsidRDefault="00091C8B" w:rsidP="00E24D19">
      <w:pPr>
        <w:pStyle w:val="H23GA"/>
      </w:pPr>
      <w:r w:rsidRPr="009E4636">
        <w:rPr>
          <w:rtl/>
        </w:rPr>
        <w:tab/>
      </w:r>
      <w:r w:rsidRPr="009E4636">
        <w:rPr>
          <w:rtl/>
        </w:rPr>
        <w:tab/>
        <w:t>حماية الأسرة والطفل</w:t>
      </w:r>
    </w:p>
    <w:p w14:paraId="16957189" w14:textId="3D49CD4C" w:rsidR="00091C8B" w:rsidRPr="00091C8B" w:rsidRDefault="00091C8B" w:rsidP="00091C8B">
      <w:pPr>
        <w:pStyle w:val="SingleTxtGA"/>
        <w:rPr>
          <w:lang w:val="en-US"/>
        </w:rPr>
      </w:pPr>
      <w:r w:rsidRPr="009E4636">
        <w:rPr>
          <w:rtl/>
          <w:lang w:val="en-US"/>
        </w:rPr>
        <w:t>32</w:t>
      </w:r>
      <w:r w:rsidRPr="00091C8B">
        <w:rPr>
          <w:rtl/>
          <w:lang w:val="en-US"/>
        </w:rPr>
        <w:t>-</w:t>
      </w:r>
      <w:r w:rsidRPr="00091C8B">
        <w:rPr>
          <w:rtl/>
          <w:lang w:val="en-US"/>
        </w:rPr>
        <w:tab/>
        <w:t>ترحب اللجنة بما تحقق من تقدم في مجال رعاية الأطفال</w:t>
      </w:r>
      <w:r w:rsidR="0032072C">
        <w:rPr>
          <w:rtl/>
          <w:lang w:val="en-US"/>
        </w:rPr>
        <w:t>،</w:t>
      </w:r>
      <w:r w:rsidRPr="00091C8B">
        <w:rPr>
          <w:rtl/>
          <w:lang w:val="en-US"/>
        </w:rPr>
        <w:t xml:space="preserve"> بما في ذلك مجموعات الأطفال ودور الحضانة الصغرى</w:t>
      </w:r>
      <w:r w:rsidR="0032072C">
        <w:rPr>
          <w:rtl/>
          <w:lang w:val="en-US"/>
        </w:rPr>
        <w:t>،</w:t>
      </w:r>
      <w:r w:rsidRPr="00091C8B">
        <w:rPr>
          <w:rtl/>
          <w:lang w:val="en-US"/>
        </w:rPr>
        <w:t xml:space="preserve"> بيد أن القلق يساورها لأن هذه التدابير لا تكفي لحل مسألة تقاسم مسؤوليات الوالدين وخيارات رعاية الأطفال. ويساور اللجنة القلق كذلك لأن النساء كثير</w:t>
      </w:r>
      <w:r w:rsidR="00364683">
        <w:rPr>
          <w:rtl/>
          <w:lang w:val="en-US"/>
        </w:rPr>
        <w:t xml:space="preserve">اً </w:t>
      </w:r>
      <w:r w:rsidRPr="00091C8B">
        <w:rPr>
          <w:rtl/>
          <w:lang w:val="en-US"/>
        </w:rPr>
        <w:t>ما يضطلعن بدور مقدم الرعاية في الأسرة المعيشية ويواجهن مسألة تحقيق التوازن بين حياتهن المهنية وحياتهن الشخصية</w:t>
      </w:r>
      <w:r w:rsidR="0032072C">
        <w:rPr>
          <w:rtl/>
          <w:lang w:val="en-US"/>
        </w:rPr>
        <w:t>،</w:t>
      </w:r>
      <w:r w:rsidRPr="00091C8B">
        <w:rPr>
          <w:rtl/>
          <w:lang w:val="en-US"/>
        </w:rPr>
        <w:t xml:space="preserve"> ومن جملة ذلك أنهن يجدن صعوبات في العودة إلى سوق العمل بعد إجازة الأمومة (المادة </w:t>
      </w:r>
      <w:r w:rsidRPr="009E4636">
        <w:rPr>
          <w:rtl/>
          <w:lang w:val="en-US"/>
        </w:rPr>
        <w:t>10</w:t>
      </w:r>
      <w:r w:rsidRPr="00091C8B">
        <w:rPr>
          <w:rtl/>
          <w:lang w:val="en-US"/>
        </w:rPr>
        <w:t>).</w:t>
      </w:r>
    </w:p>
    <w:p w14:paraId="7E314266" w14:textId="77777777" w:rsidR="00091C8B" w:rsidRPr="009E4636" w:rsidRDefault="00091C8B" w:rsidP="00091C8B">
      <w:pPr>
        <w:pStyle w:val="SingleTxtGA"/>
        <w:rPr>
          <w:b/>
          <w:bCs/>
          <w:lang w:val="en-US"/>
        </w:rPr>
      </w:pPr>
      <w:r w:rsidRPr="009E4636">
        <w:rPr>
          <w:rtl/>
          <w:lang w:val="en-US"/>
        </w:rPr>
        <w:t>33</w:t>
      </w:r>
      <w:r w:rsidRPr="00091C8B">
        <w:rPr>
          <w:rtl/>
          <w:lang w:val="en-US"/>
        </w:rPr>
        <w:t>-</w:t>
      </w:r>
      <w:r w:rsidRPr="00091C8B">
        <w:rPr>
          <w:rtl/>
          <w:lang w:val="en-US"/>
        </w:rPr>
        <w:tab/>
      </w:r>
      <w:r w:rsidRPr="009E4636">
        <w:rPr>
          <w:b/>
          <w:bCs/>
          <w:rtl/>
          <w:lang w:val="en-US"/>
        </w:rPr>
        <w:t>توصي اللجنة بأن تقوم الدولة الطرف بما يلي:</w:t>
      </w:r>
    </w:p>
    <w:p w14:paraId="42CD34A5" w14:textId="18C9BC86"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توفير مزيد من مرافق وخدمات رعاية الأطفال الكافية والعالية الجودة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فضل</w:t>
      </w:r>
      <w:r w:rsidR="00364683" w:rsidRPr="009E4636">
        <w:rPr>
          <w:rFonts w:ascii="Times New Roman Bold" w:hAnsi="Times New Roman Bold"/>
          <w:b/>
          <w:bCs/>
          <w:spacing w:val="-4"/>
          <w:rtl/>
          <w:lang w:val="en-US"/>
        </w:rPr>
        <w:t xml:space="preserve">اً </w:t>
      </w:r>
      <w:r w:rsidR="00091C8B" w:rsidRPr="009E4636">
        <w:rPr>
          <w:rFonts w:ascii="Times New Roman Bold" w:hAnsi="Times New Roman Bold"/>
          <w:b/>
          <w:bCs/>
          <w:spacing w:val="-4"/>
          <w:rtl/>
          <w:lang w:val="en-US"/>
        </w:rPr>
        <w:t xml:space="preserve">عن توفير </w:t>
      </w:r>
      <w:r w:rsidR="00091C8B" w:rsidRPr="009E4636">
        <w:rPr>
          <w:b/>
          <w:bCs/>
          <w:rtl/>
          <w:lang w:val="en-US"/>
        </w:rPr>
        <w:t>مزيد من ترتيبات العمل المرنة؛</w:t>
      </w:r>
    </w:p>
    <w:p w14:paraId="556985DE" w14:textId="5AD7E4D2"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4"/>
          <w:rtl/>
          <w:lang w:val="en-US"/>
        </w:rPr>
        <w:t>اتخاذ تدابير شاملة للقضاء على القوالب النمطية لدور الجنسين</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بوسائل منها تنظيم </w:t>
      </w:r>
      <w:r w:rsidR="00091C8B" w:rsidRPr="009E4636">
        <w:rPr>
          <w:b/>
          <w:bCs/>
          <w:rtl/>
          <w:lang w:val="en-US"/>
        </w:rPr>
        <w:t>حملات إعلامية وبواسطة قادة الرأي</w:t>
      </w:r>
      <w:r w:rsidR="0032072C" w:rsidRPr="009E4636">
        <w:rPr>
          <w:b/>
          <w:bCs/>
          <w:rtl/>
          <w:lang w:val="en-US"/>
        </w:rPr>
        <w:t>،</w:t>
      </w:r>
      <w:r w:rsidR="00091C8B" w:rsidRPr="009E4636">
        <w:rPr>
          <w:b/>
          <w:bCs/>
          <w:rtl/>
          <w:lang w:val="en-US"/>
        </w:rPr>
        <w:t xml:space="preserve"> وبإذكاء الوعي بين عامة الجمهور بالمساواة في تقاسم الحقوق والمسؤوليات بين الرجل والمرأة في الأسرة وفي المجتمع؛</w:t>
      </w:r>
    </w:p>
    <w:p w14:paraId="4C416D04" w14:textId="65CAFC81"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تمديد فترة الأسبوعين المسموح بها لإجازة الأبوة</w:t>
      </w:r>
      <w:r w:rsidR="0032072C" w:rsidRPr="009E4636">
        <w:rPr>
          <w:b/>
          <w:bCs/>
          <w:rtl/>
          <w:lang w:val="en-US"/>
        </w:rPr>
        <w:t>،</w:t>
      </w:r>
      <w:r w:rsidR="00091C8B" w:rsidRPr="009E4636">
        <w:rPr>
          <w:b/>
          <w:bCs/>
          <w:rtl/>
          <w:lang w:val="en-US"/>
        </w:rPr>
        <w:t xml:space="preserve"> وضمان استفادة الوالدين من ذلك الوقت استفادة كاملة لأجل تحديد التوزيع العادل لمسؤوليات الرعاية بين الرجل والمرأة.</w:t>
      </w:r>
    </w:p>
    <w:p w14:paraId="0500045B" w14:textId="5A4B3749" w:rsidR="00091C8B" w:rsidRPr="009E4636" w:rsidRDefault="00E24D19" w:rsidP="00E24D19">
      <w:pPr>
        <w:pStyle w:val="H23GA"/>
      </w:pPr>
      <w:r w:rsidRPr="009E4636">
        <w:rPr>
          <w:rtl/>
        </w:rPr>
        <w:lastRenderedPageBreak/>
        <w:tab/>
      </w:r>
      <w:r w:rsidRPr="009E4636">
        <w:rPr>
          <w:rtl/>
        </w:rPr>
        <w:tab/>
      </w:r>
      <w:r w:rsidR="00091C8B" w:rsidRPr="009E4636">
        <w:rPr>
          <w:rtl/>
        </w:rPr>
        <w:t>مستوى معيشي لائق</w:t>
      </w:r>
    </w:p>
    <w:p w14:paraId="6CB3B8A0" w14:textId="5621D1E5" w:rsidR="00091C8B" w:rsidRPr="00091C8B" w:rsidRDefault="00091C8B" w:rsidP="00091C8B">
      <w:pPr>
        <w:pStyle w:val="SingleTxtGA"/>
        <w:rPr>
          <w:lang w:val="en-US"/>
        </w:rPr>
      </w:pPr>
      <w:r w:rsidRPr="009E4636">
        <w:rPr>
          <w:rtl/>
          <w:lang w:val="en-US"/>
        </w:rPr>
        <w:t>34</w:t>
      </w:r>
      <w:r w:rsidRPr="00091C8B">
        <w:rPr>
          <w:rtl/>
          <w:lang w:val="en-US"/>
        </w:rPr>
        <w:t>-</w:t>
      </w:r>
      <w:r w:rsidRPr="00091C8B">
        <w:rPr>
          <w:rtl/>
          <w:lang w:val="en-US"/>
        </w:rPr>
        <w:tab/>
        <w:t xml:space="preserve">تلاحظ اللجنة أنه لا يوجد فقر مدقع في الدولة الطرف وأن معدل الأشخاص المعرضين لخطر </w:t>
      </w:r>
      <w:r w:rsidRPr="003A6240">
        <w:rPr>
          <w:spacing w:val="-2"/>
          <w:rtl/>
          <w:lang w:val="en-US"/>
        </w:rPr>
        <w:t>الفقر فيها قد انخفض</w:t>
      </w:r>
      <w:r w:rsidR="0032072C" w:rsidRPr="003A6240">
        <w:rPr>
          <w:spacing w:val="-2"/>
          <w:rtl/>
          <w:lang w:val="en-US"/>
        </w:rPr>
        <w:t>،</w:t>
      </w:r>
      <w:r w:rsidRPr="003A6240">
        <w:rPr>
          <w:spacing w:val="-2"/>
          <w:rtl/>
          <w:lang w:val="en-US"/>
        </w:rPr>
        <w:t xml:space="preserve"> بيد أن القلق يساورها لأن الحد الأدنى الحالي للكفاف لا يشمل كلفة السكن ولا</w:t>
      </w:r>
      <w:r w:rsidR="00F90D46" w:rsidRPr="003A6240">
        <w:rPr>
          <w:rFonts w:hint="cs"/>
          <w:spacing w:val="-2"/>
          <w:rtl/>
          <w:lang w:val="en-US"/>
        </w:rPr>
        <w:t> </w:t>
      </w:r>
      <w:r w:rsidRPr="003A6240">
        <w:rPr>
          <w:spacing w:val="-2"/>
          <w:rtl/>
          <w:lang w:val="en-US"/>
        </w:rPr>
        <w:t>يراعي</w:t>
      </w:r>
      <w:r w:rsidRPr="00091C8B">
        <w:rPr>
          <w:rtl/>
          <w:lang w:val="en-US"/>
        </w:rPr>
        <w:t xml:space="preserve"> الكلفة الحقيقية للمعيشة مراعاة كافية. ويساور اللجنة القلق كذلك لأن قيمة الحد الأدنى للكفاف تتناقص باستمرار نتيجة التضخم</w:t>
      </w:r>
      <w:r w:rsidR="0032072C">
        <w:rPr>
          <w:rtl/>
          <w:lang w:val="en-US"/>
        </w:rPr>
        <w:t>،</w:t>
      </w:r>
      <w:r w:rsidRPr="00091C8B">
        <w:rPr>
          <w:rtl/>
          <w:lang w:val="en-US"/>
        </w:rPr>
        <w:t xml:space="preserve"> ولأن هذا يترك أثر</w:t>
      </w:r>
      <w:r w:rsidR="00364683">
        <w:rPr>
          <w:rtl/>
          <w:lang w:val="en-US"/>
        </w:rPr>
        <w:t xml:space="preserve">اً </w:t>
      </w:r>
      <w:r w:rsidRPr="00091C8B">
        <w:rPr>
          <w:rtl/>
          <w:lang w:val="en-US"/>
        </w:rPr>
        <w:t>سلبي</w:t>
      </w:r>
      <w:r w:rsidR="00364683">
        <w:rPr>
          <w:rtl/>
          <w:lang w:val="en-US"/>
        </w:rPr>
        <w:t xml:space="preserve">اً </w:t>
      </w:r>
      <w:r w:rsidRPr="00091C8B">
        <w:rPr>
          <w:rtl/>
          <w:lang w:val="en-US"/>
        </w:rPr>
        <w:t>على الأشخاص الذين يعتمدون على الاستحقاقات الاجتماعية المحسوبة بناءً على هذا المؤشر</w:t>
      </w:r>
      <w:r w:rsidR="0032072C">
        <w:rPr>
          <w:rtl/>
          <w:lang w:val="en-US"/>
        </w:rPr>
        <w:t>،</w:t>
      </w:r>
      <w:r w:rsidRPr="00091C8B">
        <w:rPr>
          <w:rtl/>
          <w:lang w:val="en-US"/>
        </w:rPr>
        <w:t xml:space="preserve"> ولا سيما منهم الروما (المادتان </w:t>
      </w:r>
      <w:r w:rsidRPr="009E4636">
        <w:rPr>
          <w:rtl/>
          <w:lang w:val="en-US"/>
        </w:rPr>
        <w:t>9</w:t>
      </w:r>
      <w:r w:rsidRPr="00091C8B">
        <w:rPr>
          <w:rtl/>
          <w:lang w:val="en-US"/>
        </w:rPr>
        <w:t xml:space="preserve"> و</w:t>
      </w:r>
      <w:r w:rsidRPr="009E4636">
        <w:rPr>
          <w:rtl/>
          <w:lang w:val="en-US"/>
        </w:rPr>
        <w:t>11</w:t>
      </w:r>
      <w:r w:rsidRPr="00091C8B">
        <w:rPr>
          <w:rtl/>
          <w:lang w:val="en-US"/>
        </w:rPr>
        <w:t>).</w:t>
      </w:r>
    </w:p>
    <w:p w14:paraId="45BEBA5A" w14:textId="563FD58B" w:rsidR="00091C8B" w:rsidRPr="009E4636" w:rsidRDefault="00091C8B" w:rsidP="00091C8B">
      <w:pPr>
        <w:pStyle w:val="SingleTxtGA"/>
        <w:rPr>
          <w:b/>
          <w:bCs/>
          <w:lang w:val="en-US"/>
        </w:rPr>
      </w:pPr>
      <w:r w:rsidRPr="009E4636">
        <w:rPr>
          <w:rtl/>
          <w:lang w:val="en-US"/>
        </w:rPr>
        <w:t>35</w:t>
      </w:r>
      <w:r w:rsidRPr="00091C8B">
        <w:rPr>
          <w:rtl/>
          <w:lang w:val="en-US"/>
        </w:rPr>
        <w:t>-</w:t>
      </w:r>
      <w:r w:rsidRPr="00091C8B">
        <w:rPr>
          <w:rtl/>
          <w:lang w:val="en-US"/>
        </w:rPr>
        <w:tab/>
      </w:r>
      <w:r w:rsidRPr="009E4636">
        <w:rPr>
          <w:b/>
          <w:bCs/>
          <w:rtl/>
          <w:lang w:val="en-US"/>
        </w:rPr>
        <w:t>توصي اللجنة بأن تعجّل الدولة الطرف بعملية تعديل طريقتها في حساب الحد الأدنى للكفاف وزيادته</w:t>
      </w:r>
      <w:r w:rsidR="0032072C" w:rsidRPr="009E4636">
        <w:rPr>
          <w:b/>
          <w:bCs/>
          <w:rtl/>
          <w:lang w:val="en-US"/>
        </w:rPr>
        <w:t>،</w:t>
      </w:r>
      <w:r w:rsidRPr="009E4636">
        <w:rPr>
          <w:b/>
          <w:bCs/>
          <w:rtl/>
          <w:lang w:val="en-US"/>
        </w:rPr>
        <w:t xml:space="preserve"> مع ربطه بمؤشر كلفة المعيشة. وتوصي اللجنة أيض</w:t>
      </w:r>
      <w:r w:rsidR="00364683" w:rsidRPr="009E4636">
        <w:rPr>
          <w:b/>
          <w:bCs/>
          <w:rtl/>
          <w:lang w:val="en-US"/>
        </w:rPr>
        <w:t xml:space="preserve">اً </w:t>
      </w:r>
      <w:r w:rsidRPr="009E4636">
        <w:rPr>
          <w:b/>
          <w:bCs/>
          <w:rtl/>
          <w:lang w:val="en-US"/>
        </w:rPr>
        <w:t xml:space="preserve">بأن تتخذ الدولة الطرف تدابير محددة </w:t>
      </w:r>
      <w:r w:rsidRPr="009E4636">
        <w:rPr>
          <w:rFonts w:ascii="Times New Roman Bold" w:hAnsi="Times New Roman Bold"/>
          <w:b/>
          <w:bCs/>
          <w:spacing w:val="-4"/>
          <w:rtl/>
          <w:lang w:val="en-US"/>
        </w:rPr>
        <w:t>الهدف لأجل حماية أكثر الفئات حرمان</w:t>
      </w:r>
      <w:r w:rsidR="00364683" w:rsidRPr="009E4636">
        <w:rPr>
          <w:rFonts w:ascii="Times New Roman Bold" w:hAnsi="Times New Roman Bold"/>
          <w:b/>
          <w:bCs/>
          <w:spacing w:val="-4"/>
          <w:rtl/>
          <w:lang w:val="en-US"/>
        </w:rPr>
        <w:t xml:space="preserve">اً </w:t>
      </w:r>
      <w:r w:rsidRPr="009E4636">
        <w:rPr>
          <w:rFonts w:ascii="Times New Roman Bold" w:hAnsi="Times New Roman Bold"/>
          <w:b/>
          <w:bCs/>
          <w:spacing w:val="-4"/>
          <w:rtl/>
          <w:lang w:val="en-US"/>
        </w:rPr>
        <w:t>وتهميش</w:t>
      </w:r>
      <w:r w:rsidR="00364683" w:rsidRPr="009E4636">
        <w:rPr>
          <w:rFonts w:ascii="Times New Roman Bold" w:hAnsi="Times New Roman Bold"/>
          <w:b/>
          <w:bCs/>
          <w:spacing w:val="-4"/>
          <w:rtl/>
          <w:lang w:val="en-US"/>
        </w:rPr>
        <w:t xml:space="preserve">اً </w:t>
      </w:r>
      <w:r w:rsidRPr="009E4636">
        <w:rPr>
          <w:rFonts w:ascii="Times New Roman Bold" w:hAnsi="Times New Roman Bold"/>
          <w:b/>
          <w:bCs/>
          <w:spacing w:val="-4"/>
          <w:rtl/>
          <w:lang w:val="en-US"/>
        </w:rPr>
        <w:t>من الفقر</w:t>
      </w:r>
      <w:r w:rsidR="0032072C" w:rsidRPr="009E4636">
        <w:rPr>
          <w:rFonts w:ascii="Times New Roman Bold" w:hAnsi="Times New Roman Bold"/>
          <w:b/>
          <w:bCs/>
          <w:spacing w:val="-4"/>
          <w:rtl/>
          <w:lang w:val="en-US"/>
        </w:rPr>
        <w:t>،</w:t>
      </w:r>
      <w:r w:rsidRPr="009E4636">
        <w:rPr>
          <w:rFonts w:ascii="Times New Roman Bold" w:hAnsi="Times New Roman Bold"/>
          <w:b/>
          <w:bCs/>
          <w:spacing w:val="-4"/>
          <w:rtl/>
          <w:lang w:val="en-US"/>
        </w:rPr>
        <w:t xml:space="preserve"> وبأن تكفل عند الاقتضاء إتاحة تدابير الحماية</w:t>
      </w:r>
      <w:r w:rsidRPr="009E4636">
        <w:rPr>
          <w:b/>
          <w:bCs/>
          <w:rtl/>
          <w:lang w:val="en-US"/>
        </w:rPr>
        <w:t xml:space="preserve"> الاجتماعية وكفايتها لتوفير مستوى معيشي لائق.</w:t>
      </w:r>
    </w:p>
    <w:p w14:paraId="40FFDBA6" w14:textId="77777777" w:rsidR="00091C8B" w:rsidRPr="009E4636" w:rsidRDefault="00091C8B" w:rsidP="00E24D19">
      <w:pPr>
        <w:pStyle w:val="H23GA"/>
      </w:pPr>
      <w:r w:rsidRPr="009E4636">
        <w:rPr>
          <w:rtl/>
        </w:rPr>
        <w:tab/>
      </w:r>
      <w:r w:rsidRPr="009E4636">
        <w:rPr>
          <w:rtl/>
        </w:rPr>
        <w:tab/>
        <w:t>الحق في سكن لائق</w:t>
      </w:r>
    </w:p>
    <w:p w14:paraId="329A37B0" w14:textId="1D534DCB" w:rsidR="00091C8B" w:rsidRPr="00E24D19" w:rsidRDefault="00091C8B" w:rsidP="00091C8B">
      <w:pPr>
        <w:pStyle w:val="SingleTxtGA"/>
        <w:rPr>
          <w:spacing w:val="-2"/>
          <w:lang w:val="en-US"/>
        </w:rPr>
      </w:pPr>
      <w:r w:rsidRPr="009E4636">
        <w:rPr>
          <w:spacing w:val="-2"/>
          <w:rtl/>
          <w:lang w:val="en-US"/>
        </w:rPr>
        <w:t>36</w:t>
      </w:r>
      <w:r w:rsidRPr="00E24D19">
        <w:rPr>
          <w:spacing w:val="-2"/>
          <w:rtl/>
          <w:lang w:val="en-US"/>
        </w:rPr>
        <w:t>-</w:t>
      </w:r>
      <w:r w:rsidRPr="00E24D19">
        <w:rPr>
          <w:spacing w:val="-2"/>
          <w:rtl/>
          <w:lang w:val="en-US"/>
        </w:rPr>
        <w:tab/>
        <w:t>تحيط اللجنة علم</w:t>
      </w:r>
      <w:r w:rsidR="00364683">
        <w:rPr>
          <w:spacing w:val="-2"/>
          <w:rtl/>
          <w:lang w:val="en-US"/>
        </w:rPr>
        <w:t xml:space="preserve">اً </w:t>
      </w:r>
      <w:r w:rsidRPr="00E24D19">
        <w:rPr>
          <w:spacing w:val="-2"/>
          <w:rtl/>
          <w:lang w:val="en-US"/>
        </w:rPr>
        <w:t>بمختلف الجهود</w:t>
      </w:r>
      <w:r w:rsidR="0032072C">
        <w:rPr>
          <w:spacing w:val="-2"/>
          <w:rtl/>
          <w:lang w:val="en-US"/>
        </w:rPr>
        <w:t>،</w:t>
      </w:r>
      <w:r w:rsidRPr="00E24D19">
        <w:rPr>
          <w:spacing w:val="-2"/>
          <w:rtl/>
          <w:lang w:val="en-US"/>
        </w:rPr>
        <w:t xml:space="preserve"> مثل مشروع الإسكان الاجتماعي الذي تنفذه البلديات</w:t>
      </w:r>
      <w:r w:rsidR="0032072C">
        <w:rPr>
          <w:spacing w:val="-2"/>
          <w:rtl/>
          <w:lang w:val="en-US"/>
        </w:rPr>
        <w:t>،</w:t>
      </w:r>
      <w:r w:rsidRPr="00E24D19">
        <w:rPr>
          <w:spacing w:val="-2"/>
          <w:rtl/>
          <w:lang w:val="en-US"/>
        </w:rPr>
        <w:t xml:space="preserve"> بيد أنها تعرب عن قلقها لأن الدولة الطرف لم تعتمد بعد نظام</w:t>
      </w:r>
      <w:r w:rsidR="00364683">
        <w:rPr>
          <w:spacing w:val="-2"/>
          <w:rtl/>
          <w:lang w:val="en-US"/>
        </w:rPr>
        <w:t xml:space="preserve">اً </w:t>
      </w:r>
      <w:r w:rsidRPr="00E24D19">
        <w:rPr>
          <w:spacing w:val="-2"/>
          <w:rtl/>
          <w:lang w:val="en-US"/>
        </w:rPr>
        <w:t>شامل</w:t>
      </w:r>
      <w:r w:rsidR="00364683">
        <w:rPr>
          <w:spacing w:val="-2"/>
          <w:rtl/>
          <w:lang w:val="en-US"/>
        </w:rPr>
        <w:t xml:space="preserve">اً </w:t>
      </w:r>
      <w:r w:rsidRPr="00E24D19">
        <w:rPr>
          <w:spacing w:val="-2"/>
          <w:rtl/>
          <w:lang w:val="en-US"/>
        </w:rPr>
        <w:t>للإسكان الاجتماعي وقانون</w:t>
      </w:r>
      <w:r w:rsidR="00364683">
        <w:rPr>
          <w:spacing w:val="-2"/>
          <w:rtl/>
          <w:lang w:val="en-US"/>
        </w:rPr>
        <w:t xml:space="preserve">اً </w:t>
      </w:r>
      <w:r w:rsidRPr="00E24D19">
        <w:rPr>
          <w:spacing w:val="-2"/>
          <w:rtl/>
          <w:lang w:val="en-US"/>
        </w:rPr>
        <w:t>للإسكان الاجتماعي. ويساور اللجنة القلق إزاء الافتقار إلى السكن اللائق</w:t>
      </w:r>
      <w:r w:rsidR="0032072C">
        <w:rPr>
          <w:spacing w:val="-2"/>
          <w:rtl/>
          <w:lang w:val="en-US"/>
        </w:rPr>
        <w:t>،</w:t>
      </w:r>
      <w:r w:rsidRPr="00E24D19">
        <w:rPr>
          <w:spacing w:val="-2"/>
          <w:rtl/>
          <w:lang w:val="en-US"/>
        </w:rPr>
        <w:t xml:space="preserve"> وإزاء ارتفاع تكاليف السكن وأسعار الإيجار</w:t>
      </w:r>
      <w:r w:rsidR="0032072C">
        <w:rPr>
          <w:spacing w:val="-2"/>
          <w:rtl/>
          <w:lang w:val="en-US"/>
        </w:rPr>
        <w:t>،</w:t>
      </w:r>
      <w:r w:rsidRPr="00E24D19">
        <w:rPr>
          <w:spacing w:val="-2"/>
          <w:rtl/>
          <w:lang w:val="en-US"/>
        </w:rPr>
        <w:t xml:space="preserve"> وعدم كفاية الأموال المخصصة لدفع بدل السكن. وتلاحظ اللجنة أن المحكمة الدستورية قد ألغت في عام </w:t>
      </w:r>
      <w:r w:rsidRPr="009E4636">
        <w:rPr>
          <w:spacing w:val="-2"/>
          <w:rtl/>
          <w:lang w:val="en-US"/>
        </w:rPr>
        <w:t>2021</w:t>
      </w:r>
      <w:r w:rsidRPr="00E24D19">
        <w:rPr>
          <w:spacing w:val="-2"/>
          <w:rtl/>
          <w:lang w:val="en-US"/>
        </w:rPr>
        <w:t xml:space="preserve"> الحكم الذي يسمح بالإسكان في "المناطق الخالية من المزايا"</w:t>
      </w:r>
      <w:r w:rsidR="0032072C">
        <w:rPr>
          <w:spacing w:val="-2"/>
          <w:rtl/>
          <w:lang w:val="en-US"/>
        </w:rPr>
        <w:t>،</w:t>
      </w:r>
      <w:r w:rsidRPr="00E24D19">
        <w:rPr>
          <w:spacing w:val="-2"/>
          <w:rtl/>
          <w:lang w:val="en-US"/>
        </w:rPr>
        <w:t xml:space="preserve"> بيد أن القلق لا يزال يساورها إزاء التقارير التي تفيد بأن الغجر تعترضهم عقبات متعددة في إعمال حقهم في السكن. وتلاحظ اللجنة أيضا</w:t>
      </w:r>
      <w:r w:rsidR="00E24D19">
        <w:rPr>
          <w:rFonts w:hint="cs"/>
          <w:spacing w:val="-2"/>
          <w:rtl/>
          <w:lang w:val="en-US"/>
        </w:rPr>
        <w:t>ً</w:t>
      </w:r>
      <w:r w:rsidRPr="00E24D19">
        <w:rPr>
          <w:spacing w:val="-2"/>
          <w:rtl/>
          <w:lang w:val="en-US"/>
        </w:rPr>
        <w:t xml:space="preserve"> أن بعض المالكين يترددون في تأجير شقق للمهاجرين</w:t>
      </w:r>
      <w:r w:rsidR="0032072C">
        <w:rPr>
          <w:spacing w:val="-2"/>
          <w:rtl/>
          <w:lang w:val="en-US"/>
        </w:rPr>
        <w:t>،</w:t>
      </w:r>
      <w:r w:rsidRPr="00E24D19">
        <w:rPr>
          <w:spacing w:val="-2"/>
          <w:rtl/>
          <w:lang w:val="en-US"/>
        </w:rPr>
        <w:t xml:space="preserve"> الذين كثير</w:t>
      </w:r>
      <w:r w:rsidR="00364683">
        <w:rPr>
          <w:spacing w:val="-2"/>
          <w:rtl/>
          <w:lang w:val="en-US"/>
        </w:rPr>
        <w:t xml:space="preserve">اً </w:t>
      </w:r>
      <w:r w:rsidRPr="00E24D19">
        <w:rPr>
          <w:spacing w:val="-2"/>
          <w:rtl/>
          <w:lang w:val="en-US"/>
        </w:rPr>
        <w:t>ما يُطلب منهم دفع إيجارات أغلى من</w:t>
      </w:r>
      <w:r w:rsidR="00E24D19">
        <w:rPr>
          <w:rFonts w:hint="cs"/>
          <w:spacing w:val="-2"/>
          <w:rtl/>
          <w:lang w:val="en-US"/>
        </w:rPr>
        <w:t> </w:t>
      </w:r>
      <w:r w:rsidRPr="00E24D19">
        <w:rPr>
          <w:spacing w:val="-2"/>
          <w:rtl/>
          <w:lang w:val="en-US"/>
        </w:rPr>
        <w:t>أسعار السوق على مساكن متدنية المستوى. وعلاوة على ذلك</w:t>
      </w:r>
      <w:r w:rsidR="0032072C">
        <w:rPr>
          <w:spacing w:val="-2"/>
          <w:rtl/>
          <w:lang w:val="en-US"/>
        </w:rPr>
        <w:t>،</w:t>
      </w:r>
      <w:r w:rsidRPr="00E24D19">
        <w:rPr>
          <w:spacing w:val="-2"/>
          <w:rtl/>
          <w:lang w:val="en-US"/>
        </w:rPr>
        <w:t xml:space="preserve"> يساور اللجنة القلق لأن عدد المشردين في الدولة الطرف مرتفع جد</w:t>
      </w:r>
      <w:r w:rsidR="00A15B97">
        <w:rPr>
          <w:spacing w:val="-2"/>
          <w:rtl/>
          <w:lang w:val="en-US"/>
        </w:rPr>
        <w:t>اً،</w:t>
      </w:r>
      <w:r w:rsidRPr="00E24D19">
        <w:rPr>
          <w:spacing w:val="-2"/>
          <w:rtl/>
          <w:lang w:val="en-US"/>
        </w:rPr>
        <w:t xml:space="preserve"> وتأسف لعدم وجود آلية فعالة لتوقِّي هذه المشكلة ومعالجتها (المادة </w:t>
      </w:r>
      <w:r w:rsidRPr="009E4636">
        <w:rPr>
          <w:spacing w:val="-2"/>
          <w:rtl/>
          <w:lang w:val="en-US"/>
        </w:rPr>
        <w:t>11</w:t>
      </w:r>
      <w:r w:rsidRPr="00E24D19">
        <w:rPr>
          <w:spacing w:val="-2"/>
          <w:rtl/>
          <w:lang w:val="en-US"/>
        </w:rPr>
        <w:t>).</w:t>
      </w:r>
    </w:p>
    <w:p w14:paraId="6157203F" w14:textId="77777777" w:rsidR="00091C8B" w:rsidRPr="009E4636" w:rsidRDefault="00091C8B" w:rsidP="00091C8B">
      <w:pPr>
        <w:pStyle w:val="SingleTxtGA"/>
        <w:rPr>
          <w:b/>
          <w:bCs/>
          <w:lang w:val="en-US"/>
        </w:rPr>
      </w:pPr>
      <w:r w:rsidRPr="009E4636">
        <w:rPr>
          <w:rtl/>
          <w:lang w:val="en-US"/>
        </w:rPr>
        <w:t>37</w:t>
      </w:r>
      <w:r w:rsidRPr="00091C8B">
        <w:rPr>
          <w:rtl/>
          <w:lang w:val="en-US"/>
        </w:rPr>
        <w:t>-</w:t>
      </w:r>
      <w:r w:rsidRPr="00091C8B">
        <w:rPr>
          <w:rtl/>
          <w:lang w:val="en-US"/>
        </w:rPr>
        <w:tab/>
      </w:r>
      <w:r w:rsidRPr="009E4636">
        <w:rPr>
          <w:b/>
          <w:bCs/>
          <w:rtl/>
          <w:lang w:val="en-US"/>
        </w:rPr>
        <w:t>توصي اللجنة بأن تقوم الدولة الطرف بما يلي:</w:t>
      </w:r>
    </w:p>
    <w:p w14:paraId="667CEB66" w14:textId="5B7CFEA7"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وضع استراتيجية وطنية للإسكان تستند إلى حقوق الإنسان وتنفيذُها تنفيذ</w:t>
      </w:r>
      <w:r w:rsidR="00364683" w:rsidRPr="009E4636">
        <w:rPr>
          <w:b/>
          <w:bCs/>
          <w:rtl/>
          <w:lang w:val="en-US"/>
        </w:rPr>
        <w:t xml:space="preserve">اً </w:t>
      </w:r>
      <w:r w:rsidR="00091C8B" w:rsidRPr="009E4636">
        <w:rPr>
          <w:b/>
          <w:bCs/>
          <w:rtl/>
          <w:lang w:val="en-US"/>
        </w:rPr>
        <w:t>فعال</w:t>
      </w:r>
      <w:r w:rsidR="00A15B97" w:rsidRPr="009E4636">
        <w:rPr>
          <w:b/>
          <w:bCs/>
          <w:rtl/>
          <w:lang w:val="en-US"/>
        </w:rPr>
        <w:t>اً،</w:t>
      </w:r>
      <w:r w:rsidR="00091C8B" w:rsidRPr="009E4636">
        <w:rPr>
          <w:b/>
          <w:bCs/>
          <w:rtl/>
          <w:lang w:val="en-US"/>
        </w:rPr>
        <w:t xml:space="preserve"> مع تخصيص الأموال على النحو المناسب</w:t>
      </w:r>
      <w:r w:rsidR="0032072C" w:rsidRPr="009E4636">
        <w:rPr>
          <w:b/>
          <w:bCs/>
          <w:rtl/>
          <w:lang w:val="en-US"/>
        </w:rPr>
        <w:t>،</w:t>
      </w:r>
      <w:r w:rsidR="00091C8B" w:rsidRPr="009E4636">
        <w:rPr>
          <w:b/>
          <w:bCs/>
          <w:rtl/>
          <w:lang w:val="en-US"/>
        </w:rPr>
        <w:t xml:space="preserve"> وإنشاء نظام للرصد</w:t>
      </w:r>
      <w:r w:rsidR="0032072C" w:rsidRPr="009E4636">
        <w:rPr>
          <w:b/>
          <w:bCs/>
          <w:rtl/>
          <w:lang w:val="en-US"/>
        </w:rPr>
        <w:t>،</w:t>
      </w:r>
      <w:r w:rsidR="00091C8B" w:rsidRPr="009E4636">
        <w:rPr>
          <w:b/>
          <w:bCs/>
          <w:rtl/>
          <w:lang w:val="en-US"/>
        </w:rPr>
        <w:t xml:space="preserve"> وجمع إحصاءات مفصلة تحقيق</w:t>
      </w:r>
      <w:r w:rsidR="00364683" w:rsidRPr="009E4636">
        <w:rPr>
          <w:b/>
          <w:bCs/>
          <w:rtl/>
          <w:lang w:val="en-US"/>
        </w:rPr>
        <w:t xml:space="preserve">اً </w:t>
      </w:r>
      <w:r w:rsidR="00091C8B" w:rsidRPr="009E4636">
        <w:rPr>
          <w:b/>
          <w:bCs/>
          <w:rtl/>
          <w:lang w:val="en-US"/>
        </w:rPr>
        <w:t>لهذه الغاية</w:t>
      </w:r>
      <w:r w:rsidR="0032072C" w:rsidRPr="009E4636">
        <w:rPr>
          <w:b/>
          <w:bCs/>
          <w:rtl/>
          <w:lang w:val="en-US"/>
        </w:rPr>
        <w:t>،</w:t>
      </w:r>
      <w:r w:rsidR="00091C8B" w:rsidRPr="009E4636">
        <w:rPr>
          <w:b/>
          <w:bCs/>
          <w:rtl/>
          <w:lang w:val="en-US"/>
        </w:rPr>
        <w:t xml:space="preserve"> ولا سيما عن حالة إسكان الفئات المحرومة والمهمشة؛</w:t>
      </w:r>
    </w:p>
    <w:p w14:paraId="615F9214" w14:textId="0F6DE8C5"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الإسراع في اعتماد قانون الإسكان الاجتماعي؛</w:t>
      </w:r>
    </w:p>
    <w:p w14:paraId="2A73E3EE" w14:textId="44599271"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إتاحة المزيد من السكن اللائق بكلفة يسيرة</w:t>
      </w:r>
      <w:r w:rsidR="0032072C" w:rsidRPr="009E4636">
        <w:rPr>
          <w:b/>
          <w:bCs/>
          <w:rtl/>
          <w:lang w:val="en-US"/>
        </w:rPr>
        <w:t>،</w:t>
      </w:r>
      <w:r w:rsidR="00091C8B" w:rsidRPr="009E4636">
        <w:rPr>
          <w:b/>
          <w:bCs/>
          <w:rtl/>
          <w:lang w:val="en-US"/>
        </w:rPr>
        <w:t xml:space="preserve"> ولا سيما عن طريق زيادة المعروض من وحدات الإسكان الاجتماعي وإعانات الإسكان</w:t>
      </w:r>
      <w:r w:rsidR="0032072C" w:rsidRPr="009E4636">
        <w:rPr>
          <w:b/>
          <w:bCs/>
          <w:rtl/>
          <w:lang w:val="en-US"/>
        </w:rPr>
        <w:t>،</w:t>
      </w:r>
      <w:r w:rsidR="00091C8B" w:rsidRPr="009E4636">
        <w:rPr>
          <w:b/>
          <w:bCs/>
          <w:rtl/>
          <w:lang w:val="en-US"/>
        </w:rPr>
        <w:t xml:space="preserve"> مع إيلاء اهتمام خاص للفئات المحرومة والمهمشة</w:t>
      </w:r>
      <w:r w:rsidR="0032072C" w:rsidRPr="009E4636">
        <w:rPr>
          <w:b/>
          <w:bCs/>
          <w:rtl/>
          <w:lang w:val="en-US"/>
        </w:rPr>
        <w:t>،</w:t>
      </w:r>
      <w:r w:rsidR="00091C8B" w:rsidRPr="009E4636">
        <w:rPr>
          <w:b/>
          <w:bCs/>
          <w:rtl/>
          <w:lang w:val="en-US"/>
        </w:rPr>
        <w:t xml:space="preserve"> مثل الروما والمهاجرين والأشخاص ذوي الإعاقة وكبار السن؛</w:t>
      </w:r>
    </w:p>
    <w:p w14:paraId="3AFBF30F" w14:textId="195E2B8C" w:rsidR="00091C8B" w:rsidRPr="009E4636" w:rsidRDefault="00E24D19" w:rsidP="00091C8B">
      <w:pPr>
        <w:pStyle w:val="SingleTxtGA"/>
        <w:rPr>
          <w:b/>
          <w:bCs/>
          <w:lang w:val="en-US"/>
        </w:rPr>
      </w:pPr>
      <w:r w:rsidRPr="003A6240">
        <w:rPr>
          <w:spacing w:val="-2"/>
          <w:rtl/>
          <w:lang w:val="en-US"/>
        </w:rPr>
        <w:tab/>
      </w:r>
      <w:r w:rsidR="00091C8B" w:rsidRPr="003A6240">
        <w:rPr>
          <w:spacing w:val="-2"/>
          <w:rtl/>
          <w:lang w:val="en-US"/>
        </w:rPr>
        <w:t>(د)</w:t>
      </w:r>
      <w:r w:rsidR="00091C8B" w:rsidRPr="003A6240">
        <w:rPr>
          <w:spacing w:val="-2"/>
          <w:rtl/>
          <w:lang w:val="en-US"/>
        </w:rPr>
        <w:tab/>
      </w:r>
      <w:r w:rsidR="00091C8B" w:rsidRPr="009E4636">
        <w:rPr>
          <w:b/>
          <w:bCs/>
          <w:spacing w:val="-2"/>
          <w:rtl/>
          <w:lang w:val="en-US"/>
        </w:rPr>
        <w:t>التحقيق في ادعاءات التعرض لأي شكل من أشكال التمييز في الحصول على سكن</w:t>
      </w:r>
      <w:r w:rsidR="0032072C" w:rsidRPr="009E4636">
        <w:rPr>
          <w:b/>
          <w:bCs/>
          <w:spacing w:val="-2"/>
          <w:rtl/>
          <w:lang w:val="en-US"/>
        </w:rPr>
        <w:t>،</w:t>
      </w:r>
      <w:r w:rsidR="00091C8B" w:rsidRPr="009E4636">
        <w:rPr>
          <w:b/>
          <w:bCs/>
          <w:rtl/>
          <w:lang w:val="en-US"/>
        </w:rPr>
        <w:t xml:space="preserve"> بما في ذلك مستويات الإيجار وظروف السكن؛</w:t>
      </w:r>
    </w:p>
    <w:p w14:paraId="6EA858DE" w14:textId="6DBE20F9"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b/>
          <w:bCs/>
          <w:rtl/>
          <w:lang w:val="en-US"/>
        </w:rPr>
        <w:t>ضمان ألا تؤدي عمليات الإخلاء إلى تشريد الأفراد وأن توفر الدولة الطرف سكن</w:t>
      </w:r>
      <w:r w:rsidR="00364683" w:rsidRPr="009E4636">
        <w:rPr>
          <w:b/>
          <w:bCs/>
          <w:rtl/>
          <w:lang w:val="en-US"/>
        </w:rPr>
        <w:t xml:space="preserve">اً </w:t>
      </w:r>
      <w:r w:rsidR="00091C8B" w:rsidRPr="009E4636">
        <w:rPr>
          <w:b/>
          <w:bCs/>
          <w:rtl/>
          <w:lang w:val="en-US"/>
        </w:rPr>
        <w:t>بديل</w:t>
      </w:r>
      <w:r w:rsidR="00364683" w:rsidRPr="009E4636">
        <w:rPr>
          <w:b/>
          <w:bCs/>
          <w:rtl/>
          <w:lang w:val="en-US"/>
        </w:rPr>
        <w:t xml:space="preserve">اً </w:t>
      </w:r>
      <w:r w:rsidR="00091C8B" w:rsidRPr="009E4636">
        <w:rPr>
          <w:b/>
          <w:bCs/>
          <w:rtl/>
          <w:lang w:val="en-US"/>
        </w:rPr>
        <w:t>ملائم</w:t>
      </w:r>
      <w:r w:rsidR="00364683" w:rsidRPr="009E4636">
        <w:rPr>
          <w:b/>
          <w:bCs/>
          <w:rtl/>
          <w:lang w:val="en-US"/>
        </w:rPr>
        <w:t xml:space="preserve">اً </w:t>
      </w:r>
      <w:r w:rsidR="00091C8B" w:rsidRPr="009E4636">
        <w:rPr>
          <w:b/>
          <w:bCs/>
          <w:rtl/>
          <w:lang w:val="en-US"/>
        </w:rPr>
        <w:t>حيثما يكون المتضررون غير قادرين على إعالة أنفسهم؛</w:t>
      </w:r>
    </w:p>
    <w:p w14:paraId="4B66355C" w14:textId="481E71F0" w:rsidR="00091C8B" w:rsidRPr="009E4636" w:rsidRDefault="00E24D19" w:rsidP="00091C8B">
      <w:pPr>
        <w:pStyle w:val="SingleTxtGA"/>
        <w:rPr>
          <w:b/>
          <w:bCs/>
          <w:lang w:val="en-US"/>
        </w:rPr>
      </w:pPr>
      <w:r>
        <w:rPr>
          <w:rtl/>
          <w:lang w:val="en-US"/>
        </w:rPr>
        <w:tab/>
      </w:r>
      <w:r w:rsidR="00091C8B" w:rsidRPr="00091C8B">
        <w:rPr>
          <w:rtl/>
          <w:lang w:val="en-US"/>
        </w:rPr>
        <w:t>(و)</w:t>
      </w:r>
      <w:r w:rsidR="00091C8B" w:rsidRPr="00091C8B">
        <w:rPr>
          <w:rtl/>
          <w:lang w:val="en-US"/>
        </w:rPr>
        <w:tab/>
      </w:r>
      <w:r w:rsidR="00091C8B" w:rsidRPr="009E4636">
        <w:rPr>
          <w:b/>
          <w:bCs/>
          <w:rtl/>
          <w:lang w:val="en-US"/>
        </w:rPr>
        <w:t>مراعاة تعليقها العام رقم 7(1997) بشأن الحق في السكن اللائق.</w:t>
      </w:r>
    </w:p>
    <w:p w14:paraId="2B19D5E0" w14:textId="77777777" w:rsidR="00091C8B" w:rsidRPr="009E4636" w:rsidRDefault="00091C8B" w:rsidP="00E24D19">
      <w:pPr>
        <w:pStyle w:val="H23GA"/>
      </w:pPr>
      <w:r w:rsidRPr="009E4636">
        <w:rPr>
          <w:rtl/>
        </w:rPr>
        <w:lastRenderedPageBreak/>
        <w:tab/>
      </w:r>
      <w:r w:rsidRPr="009E4636">
        <w:rPr>
          <w:rtl/>
        </w:rPr>
        <w:tab/>
        <w:t>الحق في الصحة</w:t>
      </w:r>
    </w:p>
    <w:p w14:paraId="192EC8D8" w14:textId="678DD275" w:rsidR="00091C8B" w:rsidRPr="00091C8B" w:rsidRDefault="00091C8B" w:rsidP="00091C8B">
      <w:pPr>
        <w:pStyle w:val="SingleTxtGA"/>
        <w:rPr>
          <w:lang w:val="en-US"/>
        </w:rPr>
      </w:pPr>
      <w:r w:rsidRPr="009E4636">
        <w:rPr>
          <w:rtl/>
          <w:lang w:val="en-US"/>
        </w:rPr>
        <w:t>38</w:t>
      </w:r>
      <w:r w:rsidRPr="00091C8B">
        <w:rPr>
          <w:rtl/>
          <w:lang w:val="en-US"/>
        </w:rPr>
        <w:t>-</w:t>
      </w:r>
      <w:r w:rsidRPr="00091C8B">
        <w:rPr>
          <w:rtl/>
          <w:lang w:val="en-US"/>
        </w:rPr>
        <w:tab/>
        <w:t>يساور اللجنة القلق إزاء استمرار التمييز في حق المهاجرين الذين لا يستوفون شروط الانضمام إلى نظام التأمين الصحي العمومي ويضطرون إلى التسجيل في إحدى خطط التأمين الصحي الخاصة</w:t>
      </w:r>
      <w:r w:rsidR="0032072C">
        <w:rPr>
          <w:rtl/>
          <w:lang w:val="en-US"/>
        </w:rPr>
        <w:t>،</w:t>
      </w:r>
      <w:r w:rsidRPr="00091C8B">
        <w:rPr>
          <w:rtl/>
          <w:lang w:val="en-US"/>
        </w:rPr>
        <w:t xml:space="preserve"> فيتعرضون بذلك لثغرات في التغطية</w:t>
      </w:r>
      <w:r w:rsidR="0032072C">
        <w:rPr>
          <w:rtl/>
          <w:lang w:val="en-US"/>
        </w:rPr>
        <w:t>،</w:t>
      </w:r>
      <w:r w:rsidRPr="00091C8B">
        <w:rPr>
          <w:rtl/>
          <w:lang w:val="en-US"/>
        </w:rPr>
        <w:t xml:space="preserve"> ولمدد انتظار للحصول على تعويض التأمين</w:t>
      </w:r>
      <w:r w:rsidR="0032072C">
        <w:rPr>
          <w:rtl/>
          <w:lang w:val="en-US"/>
        </w:rPr>
        <w:t>،</w:t>
      </w:r>
      <w:r w:rsidRPr="00091C8B">
        <w:rPr>
          <w:rtl/>
          <w:lang w:val="en-US"/>
        </w:rPr>
        <w:t xml:space="preserve"> ولحدود مبلغ السداد الأقصى. وعلاوة على ذلك</w:t>
      </w:r>
      <w:r w:rsidR="0032072C">
        <w:rPr>
          <w:rtl/>
          <w:lang w:val="en-US"/>
        </w:rPr>
        <w:t>،</w:t>
      </w:r>
      <w:r w:rsidRPr="00091C8B">
        <w:rPr>
          <w:rtl/>
          <w:lang w:val="en-US"/>
        </w:rPr>
        <w:t xml:space="preserve"> يساور اللجنة القلق لأنه يُشترط على الأشخاص المتحولين جنسي</w:t>
      </w:r>
      <w:r w:rsidR="00364683">
        <w:rPr>
          <w:rtl/>
          <w:lang w:val="en-US"/>
        </w:rPr>
        <w:t xml:space="preserve">اً </w:t>
      </w:r>
      <w:r w:rsidRPr="00091C8B">
        <w:rPr>
          <w:rtl/>
          <w:lang w:val="en-US"/>
        </w:rPr>
        <w:t>إعادة تحديد نوع الجنس والخضوع للتعقيم لأجل تغيير أسمائهم ونوع جنسهم. ويساورها القلق كذلك إزاء عدم وجود قانون ينظم حقوق الأشخاص حاملي صفات الجنسين</w:t>
      </w:r>
      <w:r w:rsidR="0032072C">
        <w:rPr>
          <w:rtl/>
          <w:lang w:val="en-US"/>
        </w:rPr>
        <w:t>،</w:t>
      </w:r>
      <w:r w:rsidRPr="00091C8B">
        <w:rPr>
          <w:rtl/>
          <w:lang w:val="en-US"/>
        </w:rPr>
        <w:t xml:space="preserve"> بما في ذلك حظر إجراء عمليات جراحية للأطفال حاملي صفات الجنسين التي كثير</w:t>
      </w:r>
      <w:r w:rsidR="00364683">
        <w:rPr>
          <w:rtl/>
          <w:lang w:val="en-US"/>
        </w:rPr>
        <w:t xml:space="preserve">اً </w:t>
      </w:r>
      <w:r w:rsidRPr="00091C8B">
        <w:rPr>
          <w:rtl/>
          <w:lang w:val="en-US"/>
        </w:rPr>
        <w:t xml:space="preserve">ما تكون عمليات لا رجوع عنها وغير ضرورية من الناحية الطبية (المادتان </w:t>
      </w:r>
      <w:r w:rsidRPr="009E4636">
        <w:rPr>
          <w:rtl/>
          <w:lang w:val="en-US"/>
        </w:rPr>
        <w:t>9</w:t>
      </w:r>
      <w:r w:rsidRPr="00091C8B">
        <w:rPr>
          <w:rtl/>
          <w:lang w:val="en-US"/>
        </w:rPr>
        <w:t xml:space="preserve"> و</w:t>
      </w:r>
      <w:r w:rsidRPr="009E4636">
        <w:rPr>
          <w:rtl/>
          <w:lang w:val="en-US"/>
        </w:rPr>
        <w:t>12</w:t>
      </w:r>
      <w:r w:rsidRPr="00091C8B">
        <w:rPr>
          <w:rtl/>
          <w:lang w:val="en-US"/>
        </w:rPr>
        <w:t>).</w:t>
      </w:r>
    </w:p>
    <w:p w14:paraId="32DBD179" w14:textId="77777777" w:rsidR="00091C8B" w:rsidRPr="009E4636" w:rsidRDefault="00091C8B" w:rsidP="00091C8B">
      <w:pPr>
        <w:pStyle w:val="SingleTxtGA"/>
        <w:rPr>
          <w:b/>
          <w:bCs/>
          <w:lang w:val="en-US"/>
        </w:rPr>
      </w:pPr>
      <w:r w:rsidRPr="009E4636">
        <w:rPr>
          <w:rtl/>
          <w:lang w:val="en-US"/>
        </w:rPr>
        <w:t>39</w:t>
      </w:r>
      <w:r w:rsidRPr="00091C8B">
        <w:rPr>
          <w:rtl/>
          <w:lang w:val="en-US"/>
        </w:rPr>
        <w:t>-</w:t>
      </w:r>
      <w:r w:rsidRPr="00091C8B">
        <w:rPr>
          <w:rtl/>
          <w:lang w:val="en-US"/>
        </w:rPr>
        <w:tab/>
      </w:r>
      <w:r w:rsidRPr="009E4636">
        <w:rPr>
          <w:b/>
          <w:bCs/>
          <w:rtl/>
          <w:lang w:val="en-US"/>
        </w:rPr>
        <w:t>توصي اللجنة بأن تقوم الدولة الطرف بما يلي:</w:t>
      </w:r>
    </w:p>
    <w:p w14:paraId="35FFE1FB" w14:textId="169E3BC0"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spacing w:val="-2"/>
          <w:rtl/>
          <w:lang w:val="en-US"/>
        </w:rPr>
        <w:t>ضمان حصول جميع الأشخاص</w:t>
      </w:r>
      <w:r w:rsidR="0032072C" w:rsidRPr="009E4636">
        <w:rPr>
          <w:b/>
          <w:bCs/>
          <w:spacing w:val="-2"/>
          <w:rtl/>
          <w:lang w:val="en-US"/>
        </w:rPr>
        <w:t>،</w:t>
      </w:r>
      <w:r w:rsidR="00091C8B" w:rsidRPr="009E4636">
        <w:rPr>
          <w:b/>
          <w:bCs/>
          <w:spacing w:val="-2"/>
          <w:rtl/>
          <w:lang w:val="en-US"/>
        </w:rPr>
        <w:t xml:space="preserve"> بمن فيهم المهاجرون</w:t>
      </w:r>
      <w:r w:rsidR="0032072C" w:rsidRPr="009E4636">
        <w:rPr>
          <w:b/>
          <w:bCs/>
          <w:spacing w:val="-2"/>
          <w:rtl/>
          <w:lang w:val="en-US"/>
        </w:rPr>
        <w:t>،</w:t>
      </w:r>
      <w:r w:rsidR="00091C8B" w:rsidRPr="009E4636">
        <w:rPr>
          <w:b/>
          <w:bCs/>
          <w:spacing w:val="-2"/>
          <w:rtl/>
          <w:lang w:val="en-US"/>
        </w:rPr>
        <w:t xml:space="preserve"> على خدمات الرعاية الصحية</w:t>
      </w:r>
      <w:r w:rsidR="00091C8B" w:rsidRPr="009E4636">
        <w:rPr>
          <w:b/>
          <w:bCs/>
          <w:rtl/>
          <w:lang w:val="en-US"/>
        </w:rPr>
        <w:t xml:space="preserve"> من وقاية وعلاج وتخفيف آلام</w:t>
      </w:r>
      <w:r w:rsidR="0032072C" w:rsidRPr="009E4636">
        <w:rPr>
          <w:b/>
          <w:bCs/>
          <w:rtl/>
          <w:lang w:val="en-US"/>
        </w:rPr>
        <w:t>،</w:t>
      </w:r>
      <w:r w:rsidR="00091C8B" w:rsidRPr="009E4636">
        <w:rPr>
          <w:b/>
          <w:bCs/>
          <w:rtl/>
          <w:lang w:val="en-US"/>
        </w:rPr>
        <w:t xml:space="preserve"> على قدم المساواة</w:t>
      </w:r>
      <w:r w:rsidR="0032072C" w:rsidRPr="009E4636">
        <w:rPr>
          <w:b/>
          <w:bCs/>
          <w:rtl/>
          <w:lang w:val="en-US"/>
        </w:rPr>
        <w:t>،</w:t>
      </w:r>
      <w:r w:rsidR="00091C8B" w:rsidRPr="009E4636">
        <w:rPr>
          <w:b/>
          <w:bCs/>
          <w:rtl/>
          <w:lang w:val="en-US"/>
        </w:rPr>
        <w:t xml:space="preserve"> وبغض النظر عن وضعهم القانوني ووثائقهم؛</w:t>
      </w:r>
    </w:p>
    <w:p w14:paraId="348D178D" w14:textId="2A63A300"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ضمان عدم فرض مقدمي خدمات التأمين الخاصة شروط</w:t>
      </w:r>
      <w:r w:rsidR="00364683" w:rsidRPr="009E4636">
        <w:rPr>
          <w:b/>
          <w:bCs/>
          <w:rtl/>
          <w:lang w:val="en-US"/>
        </w:rPr>
        <w:t xml:space="preserve">اً </w:t>
      </w:r>
      <w:r w:rsidR="00091C8B" w:rsidRPr="009E4636">
        <w:rPr>
          <w:b/>
          <w:bCs/>
          <w:rtl/>
          <w:lang w:val="en-US"/>
        </w:rPr>
        <w:t>غير معقولة؛</w:t>
      </w:r>
    </w:p>
    <w:p w14:paraId="23CD4CFF" w14:textId="59445945"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تعديل التشريعات لأجل ضمان عدم اشتراط التعقيم في إجراءات تأكيد نوع الجنس؛</w:t>
      </w:r>
    </w:p>
    <w:p w14:paraId="160FA523" w14:textId="4AD0E317" w:rsidR="00091C8B" w:rsidRPr="009E4636" w:rsidRDefault="00E24D19" w:rsidP="00091C8B">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rFonts w:ascii="Times New Roman Bold" w:hAnsi="Times New Roman Bold"/>
          <w:b/>
          <w:bCs/>
          <w:spacing w:val="-4"/>
          <w:rtl/>
          <w:lang w:val="en-US"/>
        </w:rPr>
        <w:t>ضمان عدم تنفيذ الإجراءات غير الضرورية طبي</w:t>
      </w:r>
      <w:r w:rsidR="00364683" w:rsidRPr="009E4636">
        <w:rPr>
          <w:rFonts w:ascii="Times New Roman Bold" w:hAnsi="Times New Roman Bold"/>
          <w:b/>
          <w:bCs/>
          <w:spacing w:val="-4"/>
          <w:rtl/>
          <w:lang w:val="en-US"/>
        </w:rPr>
        <w:t xml:space="preserve">اً </w:t>
      </w:r>
      <w:r w:rsidR="00091C8B" w:rsidRPr="009E4636">
        <w:rPr>
          <w:rFonts w:ascii="Times New Roman Bold" w:hAnsi="Times New Roman Bold"/>
          <w:b/>
          <w:bCs/>
          <w:spacing w:val="-4"/>
          <w:rtl/>
          <w:lang w:val="en-US"/>
        </w:rPr>
        <w:t>على الأطفال حاملي صفات الجنسين</w:t>
      </w:r>
      <w:r w:rsidR="00091C8B" w:rsidRPr="009E4636">
        <w:rPr>
          <w:b/>
          <w:bCs/>
          <w:rtl/>
          <w:lang w:val="en-US"/>
        </w:rPr>
        <w:t xml:space="preserve"> إلى أن يصبح باستطاعتهم إعطاء موافقتهم المستنيرة؛</w:t>
      </w:r>
    </w:p>
    <w:p w14:paraId="713EE2AA" w14:textId="584B993E" w:rsidR="00091C8B" w:rsidRPr="009E4636" w:rsidRDefault="00E24D19" w:rsidP="00091C8B">
      <w:pPr>
        <w:pStyle w:val="SingleTxtGA"/>
        <w:rPr>
          <w:b/>
          <w:bCs/>
          <w:lang w:val="en-US"/>
        </w:rPr>
      </w:pPr>
      <w:r>
        <w:rPr>
          <w:rtl/>
          <w:lang w:val="en-US"/>
        </w:rPr>
        <w:tab/>
      </w:r>
      <w:r w:rsidR="00091C8B" w:rsidRPr="00091C8B">
        <w:rPr>
          <w:rtl/>
          <w:lang w:val="en-US"/>
        </w:rPr>
        <w:t>(هـ)</w:t>
      </w:r>
      <w:r w:rsidR="00091C8B" w:rsidRPr="00091C8B">
        <w:rPr>
          <w:rtl/>
          <w:lang w:val="en-US"/>
        </w:rPr>
        <w:tab/>
      </w:r>
      <w:r w:rsidR="00091C8B" w:rsidRPr="009E4636">
        <w:rPr>
          <w:rFonts w:ascii="Times New Roman Bold" w:hAnsi="Times New Roman Bold"/>
          <w:b/>
          <w:bCs/>
          <w:spacing w:val="-4"/>
          <w:rtl/>
          <w:lang w:val="en-US"/>
        </w:rPr>
        <w:t xml:space="preserve">مراعاة تعليقها العام رقم 14(2000) بشأن الحق في التمتع بأعلى مستوى من الصحة </w:t>
      </w:r>
      <w:r w:rsidR="00091C8B" w:rsidRPr="009E4636">
        <w:rPr>
          <w:b/>
          <w:bCs/>
          <w:rtl/>
          <w:lang w:val="en-US"/>
        </w:rPr>
        <w:t xml:space="preserve">يمكن بلوغه وبيانِها بشأن واجبات الدول تجاه اللاجئين والمهاجرين بموجب </w:t>
      </w:r>
      <w:proofErr w:type="gramStart"/>
      <w:r w:rsidR="00091C8B" w:rsidRPr="009E4636">
        <w:rPr>
          <w:b/>
          <w:bCs/>
          <w:rtl/>
          <w:lang w:val="en-US"/>
        </w:rPr>
        <w:t>العهد</w:t>
      </w:r>
      <w:r w:rsidR="00091C8B" w:rsidRPr="009E4636">
        <w:rPr>
          <w:b/>
          <w:bCs/>
          <w:vertAlign w:val="superscript"/>
          <w:rtl/>
          <w:lang w:val="en-US"/>
        </w:rPr>
        <w:t>(</w:t>
      </w:r>
      <w:proofErr w:type="gramEnd"/>
      <w:r w:rsidR="00091C8B" w:rsidRPr="009E4636">
        <w:rPr>
          <w:rStyle w:val="FootnoteReference"/>
          <w:b/>
          <w:bCs/>
          <w:szCs w:val="22"/>
          <w:lang w:val="en-US"/>
        </w:rPr>
        <w:footnoteReference w:id="6"/>
      </w:r>
      <w:r w:rsidR="00091C8B" w:rsidRPr="009E4636">
        <w:rPr>
          <w:b/>
          <w:bCs/>
          <w:vertAlign w:val="superscript"/>
          <w:rtl/>
          <w:lang w:val="en-US"/>
        </w:rPr>
        <w:t>)</w:t>
      </w:r>
      <w:r w:rsidR="00091C8B" w:rsidRPr="009E4636">
        <w:rPr>
          <w:b/>
          <w:bCs/>
          <w:rtl/>
          <w:lang w:val="en-US"/>
        </w:rPr>
        <w:t>.</w:t>
      </w:r>
    </w:p>
    <w:p w14:paraId="148A8162" w14:textId="77777777" w:rsidR="00091C8B" w:rsidRPr="009E4636" w:rsidRDefault="00091C8B" w:rsidP="00E24D19">
      <w:pPr>
        <w:pStyle w:val="H23GA"/>
      </w:pPr>
      <w:r w:rsidRPr="009E4636">
        <w:rPr>
          <w:rtl/>
        </w:rPr>
        <w:tab/>
      </w:r>
      <w:r w:rsidRPr="009E4636">
        <w:rPr>
          <w:rtl/>
        </w:rPr>
        <w:tab/>
        <w:t>تعقيم نساء الروما قسراً</w:t>
      </w:r>
    </w:p>
    <w:p w14:paraId="20923630" w14:textId="69C59EC8" w:rsidR="00091C8B" w:rsidRPr="00091C8B" w:rsidRDefault="00091C8B" w:rsidP="00091C8B">
      <w:pPr>
        <w:pStyle w:val="SingleTxtGA"/>
        <w:rPr>
          <w:lang w:val="en-US"/>
        </w:rPr>
      </w:pPr>
      <w:r w:rsidRPr="009E4636">
        <w:rPr>
          <w:rtl/>
          <w:lang w:val="en-US"/>
        </w:rPr>
        <w:t>40</w:t>
      </w:r>
      <w:r w:rsidRPr="00091C8B">
        <w:rPr>
          <w:rtl/>
          <w:lang w:val="en-US"/>
        </w:rPr>
        <w:t>-</w:t>
      </w:r>
      <w:r w:rsidRPr="00091C8B">
        <w:rPr>
          <w:rtl/>
          <w:lang w:val="en-US"/>
        </w:rPr>
        <w:tab/>
        <w:t>ترحب اللجنة باعتماد القانون المتعلق بتعويض الأشخاص الذين أجبروا على الخضوع للتعقيم ما</w:t>
      </w:r>
      <w:r w:rsidR="00F90D46">
        <w:rPr>
          <w:rFonts w:hint="cs"/>
          <w:rtl/>
          <w:lang w:val="en-US"/>
        </w:rPr>
        <w:t> </w:t>
      </w:r>
      <w:r w:rsidRPr="00091C8B">
        <w:rPr>
          <w:rtl/>
          <w:lang w:val="en-US"/>
        </w:rPr>
        <w:t xml:space="preserve">بين عامي </w:t>
      </w:r>
      <w:r w:rsidRPr="009E4636">
        <w:rPr>
          <w:rtl/>
          <w:lang w:val="en-US"/>
        </w:rPr>
        <w:t>1966</w:t>
      </w:r>
      <w:r w:rsidRPr="00091C8B">
        <w:rPr>
          <w:rtl/>
          <w:lang w:val="en-US"/>
        </w:rPr>
        <w:t xml:space="preserve"> و</w:t>
      </w:r>
      <w:r w:rsidRPr="009E4636">
        <w:rPr>
          <w:rtl/>
          <w:lang w:val="en-US"/>
        </w:rPr>
        <w:t>2012</w:t>
      </w:r>
      <w:r w:rsidR="0032072C">
        <w:rPr>
          <w:rtl/>
          <w:lang w:val="en-US"/>
        </w:rPr>
        <w:t>،</w:t>
      </w:r>
      <w:r w:rsidRPr="00091C8B">
        <w:rPr>
          <w:rtl/>
          <w:lang w:val="en-US"/>
        </w:rPr>
        <w:t xml:space="preserve"> في عام </w:t>
      </w:r>
      <w:r w:rsidRPr="009E4636">
        <w:rPr>
          <w:rtl/>
          <w:lang w:val="en-US"/>
        </w:rPr>
        <w:t>2021</w:t>
      </w:r>
      <w:r w:rsidRPr="00091C8B">
        <w:rPr>
          <w:rtl/>
          <w:lang w:val="en-US"/>
        </w:rPr>
        <w:t>. بيد أن القلق يساور اللجنة لأن الإطار الزمني للمطالبة بالتعويض المحدد في ثلاث سنوات قد يكون قصير</w:t>
      </w:r>
      <w:r w:rsidR="00364683">
        <w:rPr>
          <w:rtl/>
          <w:lang w:val="en-US"/>
        </w:rPr>
        <w:t xml:space="preserve">اً </w:t>
      </w:r>
      <w:r w:rsidRPr="00091C8B">
        <w:rPr>
          <w:rtl/>
          <w:lang w:val="en-US"/>
        </w:rPr>
        <w:t>جد</w:t>
      </w:r>
      <w:r w:rsidR="00364683">
        <w:rPr>
          <w:rtl/>
          <w:lang w:val="en-US"/>
        </w:rPr>
        <w:t xml:space="preserve">اً </w:t>
      </w:r>
      <w:r w:rsidRPr="00091C8B">
        <w:rPr>
          <w:rtl/>
          <w:lang w:val="en-US"/>
        </w:rPr>
        <w:t xml:space="preserve">بحيث لا يتسنى معه إبلاغ الضحايا على النحو الواجب ولا تقديم مطالباتهم (المواد </w:t>
      </w:r>
      <w:r w:rsidRPr="009E4636">
        <w:rPr>
          <w:rtl/>
          <w:lang w:val="en-US"/>
        </w:rPr>
        <w:t>2</w:t>
      </w:r>
      <w:r w:rsidRPr="00091C8B">
        <w:rPr>
          <w:rtl/>
          <w:lang w:val="en-US"/>
        </w:rPr>
        <w:t xml:space="preserve"> و</w:t>
      </w:r>
      <w:r w:rsidRPr="009E4636">
        <w:rPr>
          <w:rtl/>
          <w:lang w:val="en-US"/>
        </w:rPr>
        <w:t>10</w:t>
      </w:r>
      <w:r w:rsidRPr="00091C8B">
        <w:rPr>
          <w:rtl/>
          <w:lang w:val="en-US"/>
        </w:rPr>
        <w:t xml:space="preserve"> و</w:t>
      </w:r>
      <w:r w:rsidRPr="009E4636">
        <w:rPr>
          <w:rtl/>
          <w:lang w:val="en-US"/>
        </w:rPr>
        <w:t>12</w:t>
      </w:r>
      <w:r w:rsidRPr="00091C8B">
        <w:rPr>
          <w:rtl/>
          <w:lang w:val="en-US"/>
        </w:rPr>
        <w:t>).</w:t>
      </w:r>
    </w:p>
    <w:p w14:paraId="2435A203" w14:textId="77777777" w:rsidR="00091C8B" w:rsidRPr="00091C8B" w:rsidRDefault="00091C8B" w:rsidP="00091C8B">
      <w:pPr>
        <w:pStyle w:val="SingleTxtGA"/>
        <w:rPr>
          <w:lang w:val="en-US"/>
        </w:rPr>
      </w:pPr>
      <w:r w:rsidRPr="009E4636">
        <w:rPr>
          <w:rtl/>
          <w:lang w:val="en-US"/>
        </w:rPr>
        <w:t>41</w:t>
      </w:r>
      <w:r w:rsidRPr="00091C8B">
        <w:rPr>
          <w:rtl/>
          <w:lang w:val="en-US"/>
        </w:rPr>
        <w:t>-</w:t>
      </w:r>
      <w:r w:rsidRPr="00091C8B">
        <w:rPr>
          <w:rtl/>
          <w:lang w:val="en-US"/>
        </w:rPr>
        <w:tab/>
      </w:r>
      <w:r w:rsidRPr="009E4636">
        <w:rPr>
          <w:b/>
          <w:bCs/>
          <w:rtl/>
          <w:lang w:val="en-US"/>
        </w:rPr>
        <w:t>توصي اللجنة بأن تقوم الدولة الطرف بما يلي:</w:t>
      </w:r>
    </w:p>
    <w:p w14:paraId="38950703" w14:textId="50FE71FC"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ضمان دفع التعويض الفعال لضحايا التعقيم القسري وتزويدهم بالدعم الكافي للانتصاف</w:t>
      </w:r>
      <w:r w:rsidR="0032072C" w:rsidRPr="009E4636">
        <w:rPr>
          <w:b/>
          <w:bCs/>
          <w:rtl/>
          <w:lang w:val="en-US"/>
        </w:rPr>
        <w:t>،</w:t>
      </w:r>
      <w:r w:rsidR="00091C8B" w:rsidRPr="009E4636">
        <w:rPr>
          <w:b/>
          <w:bCs/>
          <w:rtl/>
          <w:lang w:val="en-US"/>
        </w:rPr>
        <w:t xml:space="preserve"> بما فيه المساعدة في الحصول على تعويض وعلى المساعدة القانونية المجانية؛</w:t>
      </w:r>
    </w:p>
    <w:p w14:paraId="483AC13A" w14:textId="3575DEC7"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تمديد المهلة الزمنية لتقديم مطالبات قانونية بالتعويض في حالات التعقيم القسري</w:t>
      </w:r>
      <w:r w:rsidR="0032072C" w:rsidRPr="009E4636">
        <w:rPr>
          <w:b/>
          <w:bCs/>
          <w:rtl/>
          <w:lang w:val="en-US"/>
        </w:rPr>
        <w:t>،</w:t>
      </w:r>
      <w:r w:rsidR="00091C8B" w:rsidRPr="009E4636">
        <w:rPr>
          <w:b/>
          <w:bCs/>
          <w:rtl/>
          <w:lang w:val="en-US"/>
        </w:rPr>
        <w:t xml:space="preserve"> طالما كان ذلك ضروري</w:t>
      </w:r>
      <w:r w:rsidR="00A15B97" w:rsidRPr="009E4636">
        <w:rPr>
          <w:b/>
          <w:bCs/>
          <w:rtl/>
          <w:lang w:val="en-US"/>
        </w:rPr>
        <w:t>اً،</w:t>
      </w:r>
      <w:r w:rsidR="00091C8B" w:rsidRPr="009E4636">
        <w:rPr>
          <w:b/>
          <w:bCs/>
          <w:rtl/>
          <w:lang w:val="en-US"/>
        </w:rPr>
        <w:t xml:space="preserve"> وتقديم ضمانات بعدم التكرار؛</w:t>
      </w:r>
    </w:p>
    <w:p w14:paraId="11139E52" w14:textId="7B5D7A20"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اتخاذ تدابير لضمان التحقيق في هذه الأفعال ومقاضاة المسؤولين عنها</w:t>
      </w:r>
      <w:r w:rsidR="0032072C" w:rsidRPr="009E4636">
        <w:rPr>
          <w:b/>
          <w:bCs/>
          <w:rtl/>
          <w:lang w:val="en-US"/>
        </w:rPr>
        <w:t>،</w:t>
      </w:r>
      <w:r w:rsidR="00091C8B" w:rsidRPr="009E4636">
        <w:rPr>
          <w:b/>
          <w:bCs/>
          <w:rtl/>
          <w:lang w:val="en-US"/>
        </w:rPr>
        <w:t xml:space="preserve"> ومعاقبتهم على النحو الواجب في حالة إدانتهم.</w:t>
      </w:r>
    </w:p>
    <w:p w14:paraId="38AD77DF" w14:textId="77777777" w:rsidR="00091C8B" w:rsidRPr="009E4636" w:rsidRDefault="00091C8B" w:rsidP="00E24D19">
      <w:pPr>
        <w:pStyle w:val="H23GA"/>
      </w:pPr>
      <w:r w:rsidRPr="009E4636">
        <w:rPr>
          <w:rtl/>
        </w:rPr>
        <w:lastRenderedPageBreak/>
        <w:tab/>
      </w:r>
      <w:r w:rsidRPr="009E4636">
        <w:rPr>
          <w:rtl/>
        </w:rPr>
        <w:tab/>
        <w:t>إخراج الأشخاص ذوي الإعاقة من المؤسسات</w:t>
      </w:r>
    </w:p>
    <w:p w14:paraId="71DC75CF" w14:textId="49FEB36D" w:rsidR="00091C8B" w:rsidRPr="00091C8B" w:rsidRDefault="00091C8B" w:rsidP="00091C8B">
      <w:pPr>
        <w:pStyle w:val="SingleTxtGA"/>
        <w:rPr>
          <w:lang w:val="en-US"/>
        </w:rPr>
      </w:pPr>
      <w:r w:rsidRPr="009E4636">
        <w:rPr>
          <w:rtl/>
          <w:lang w:val="en-US"/>
        </w:rPr>
        <w:t>42</w:t>
      </w:r>
      <w:r w:rsidRPr="00091C8B">
        <w:rPr>
          <w:rtl/>
          <w:lang w:val="en-US"/>
        </w:rPr>
        <w:t>-</w:t>
      </w:r>
      <w:r w:rsidRPr="00091C8B">
        <w:rPr>
          <w:rtl/>
          <w:lang w:val="en-US"/>
        </w:rPr>
        <w:tab/>
        <w:t>تحيط اللجنة علم</w:t>
      </w:r>
      <w:r w:rsidR="00364683">
        <w:rPr>
          <w:rtl/>
          <w:lang w:val="en-US"/>
        </w:rPr>
        <w:t xml:space="preserve">اً </w:t>
      </w:r>
      <w:r w:rsidRPr="00091C8B">
        <w:rPr>
          <w:rtl/>
          <w:lang w:val="en-US"/>
        </w:rPr>
        <w:t>بالخطة الوطنية لتعزيز تكافؤ الفرص لفائدة الأشخاص ذوي الإعاقة للفترة</w:t>
      </w:r>
      <w:r w:rsidR="0039755E">
        <w:rPr>
          <w:rFonts w:hint="cs"/>
          <w:rtl/>
          <w:lang w:val="en-US"/>
        </w:rPr>
        <w:t> </w:t>
      </w:r>
      <w:r w:rsidRPr="009E4636">
        <w:rPr>
          <w:rtl/>
          <w:lang w:val="en-US"/>
        </w:rPr>
        <w:t>2021</w:t>
      </w:r>
      <w:r w:rsidRPr="00091C8B">
        <w:rPr>
          <w:rtl/>
          <w:lang w:val="en-US"/>
        </w:rPr>
        <w:t>-</w:t>
      </w:r>
      <w:r w:rsidRPr="009E4636">
        <w:rPr>
          <w:rtl/>
          <w:lang w:val="en-US"/>
        </w:rPr>
        <w:t>2025</w:t>
      </w:r>
      <w:r w:rsidR="0032072C">
        <w:rPr>
          <w:rtl/>
          <w:lang w:val="en-US"/>
        </w:rPr>
        <w:t>،</w:t>
      </w:r>
      <w:r w:rsidRPr="00091C8B">
        <w:rPr>
          <w:rtl/>
          <w:lang w:val="en-US"/>
        </w:rPr>
        <w:t xml:space="preserve"> بيد أن القلق يساورها إزاء ارتفاع مستويات إيداع الأشخاص ذوي الإعاقة في مؤسسات</w:t>
      </w:r>
      <w:r w:rsidR="0032072C">
        <w:rPr>
          <w:rtl/>
          <w:lang w:val="en-US"/>
        </w:rPr>
        <w:t>،</w:t>
      </w:r>
      <w:r w:rsidRPr="00091C8B">
        <w:rPr>
          <w:rtl/>
          <w:lang w:val="en-US"/>
        </w:rPr>
        <w:t xml:space="preserve"> ولا سيما الأشخاص ذوي الإعاقات الذهنية أو النفسية الاجتماعية. ويساور اللجنة القلق أيض</w:t>
      </w:r>
      <w:r w:rsidR="00364683">
        <w:rPr>
          <w:rtl/>
          <w:lang w:val="en-US"/>
        </w:rPr>
        <w:t xml:space="preserve">اً </w:t>
      </w:r>
      <w:r w:rsidRPr="00091C8B">
        <w:rPr>
          <w:rtl/>
          <w:lang w:val="en-US"/>
        </w:rPr>
        <w:t>لأن الدولة الطرف تواصل استثمار الموارد في البيئات المؤسسية</w:t>
      </w:r>
      <w:r w:rsidR="0032072C">
        <w:rPr>
          <w:rtl/>
          <w:lang w:val="en-US"/>
        </w:rPr>
        <w:t>،</w:t>
      </w:r>
      <w:r w:rsidRPr="00091C8B">
        <w:rPr>
          <w:rtl/>
          <w:lang w:val="en-US"/>
        </w:rPr>
        <w:t xml:space="preserve"> وتأسف لعدم كفاية خدمات الدعم التي تمكن الأشخاص ذوي الإعاقة من العيش المستقل في مجتمعاتهم المحلية. كما تلاحظ اللجنة بقلق عدم وجود سياسة واضحة لإنهاء استخدام القيود في دوائر الصحة العقلية</w:t>
      </w:r>
      <w:r w:rsidR="0032072C">
        <w:rPr>
          <w:rtl/>
          <w:lang w:val="en-US"/>
        </w:rPr>
        <w:t>،</w:t>
      </w:r>
      <w:r w:rsidRPr="00091C8B">
        <w:rPr>
          <w:rtl/>
          <w:lang w:val="en-US"/>
        </w:rPr>
        <w:t xml:space="preserve"> رغم إصلاح الرعاية النفسية (المادتان </w:t>
      </w:r>
      <w:r w:rsidRPr="009E4636">
        <w:rPr>
          <w:rtl/>
          <w:lang w:val="en-US"/>
        </w:rPr>
        <w:t>10</w:t>
      </w:r>
      <w:r w:rsidRPr="00091C8B">
        <w:rPr>
          <w:rtl/>
          <w:lang w:val="en-US"/>
        </w:rPr>
        <w:t xml:space="preserve"> و</w:t>
      </w:r>
      <w:r w:rsidRPr="009E4636">
        <w:rPr>
          <w:rtl/>
          <w:lang w:val="en-US"/>
        </w:rPr>
        <w:t>12</w:t>
      </w:r>
      <w:r w:rsidRPr="00091C8B">
        <w:rPr>
          <w:rtl/>
          <w:lang w:val="en-US"/>
        </w:rPr>
        <w:t>).</w:t>
      </w:r>
    </w:p>
    <w:p w14:paraId="31A07133" w14:textId="77777777" w:rsidR="00091C8B" w:rsidRPr="009E4636" w:rsidRDefault="00091C8B" w:rsidP="00091C8B">
      <w:pPr>
        <w:pStyle w:val="SingleTxtGA"/>
        <w:rPr>
          <w:b/>
          <w:bCs/>
          <w:lang w:val="en-US"/>
        </w:rPr>
      </w:pPr>
      <w:r w:rsidRPr="009E4636">
        <w:rPr>
          <w:rtl/>
          <w:lang w:val="en-US"/>
        </w:rPr>
        <w:t>43</w:t>
      </w:r>
      <w:r w:rsidRPr="00091C8B">
        <w:rPr>
          <w:rtl/>
          <w:lang w:val="en-US"/>
        </w:rPr>
        <w:t>-</w:t>
      </w:r>
      <w:r w:rsidRPr="00091C8B">
        <w:rPr>
          <w:rtl/>
          <w:lang w:val="en-US"/>
        </w:rPr>
        <w:tab/>
      </w:r>
      <w:r w:rsidRPr="009E4636">
        <w:rPr>
          <w:b/>
          <w:bCs/>
          <w:rtl/>
          <w:lang w:val="en-US"/>
        </w:rPr>
        <w:t>تحث اللجنة الدولة الطرف على ما يلي:</w:t>
      </w:r>
    </w:p>
    <w:p w14:paraId="732373B0" w14:textId="025218E9"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وضع وتنفيذ وتوفير الموارد الكافية لأجل رسم سياسة فعالة للخروج من المؤسسات</w:t>
      </w:r>
      <w:r w:rsidR="0032072C" w:rsidRPr="009E4636">
        <w:rPr>
          <w:b/>
          <w:bCs/>
          <w:rtl/>
          <w:lang w:val="en-US"/>
        </w:rPr>
        <w:t>،</w:t>
      </w:r>
      <w:r w:rsidR="00091C8B" w:rsidRPr="009E4636">
        <w:rPr>
          <w:b/>
          <w:bCs/>
          <w:rtl/>
          <w:lang w:val="en-US"/>
        </w:rPr>
        <w:t xml:space="preserve"> مع تحديد إطار زمني ومعايير واضحة</w:t>
      </w:r>
      <w:r w:rsidR="0032072C" w:rsidRPr="009E4636">
        <w:rPr>
          <w:b/>
          <w:bCs/>
          <w:rtl/>
          <w:lang w:val="en-US"/>
        </w:rPr>
        <w:t>،</w:t>
      </w:r>
      <w:r w:rsidR="00091C8B" w:rsidRPr="009E4636">
        <w:rPr>
          <w:b/>
          <w:bCs/>
          <w:rtl/>
          <w:lang w:val="en-US"/>
        </w:rPr>
        <w:t xml:space="preserve"> تشمل التشاور مع الأشخاص ذوي الإعاقة بواسطة المنظمات التي تمثلهم في جميع المراحل؛</w:t>
      </w:r>
    </w:p>
    <w:p w14:paraId="321A0FB0" w14:textId="52052C46" w:rsidR="00091C8B" w:rsidRPr="009E4636" w:rsidRDefault="00E24D19" w:rsidP="00091C8B">
      <w:pPr>
        <w:pStyle w:val="SingleTxtGA"/>
        <w:rPr>
          <w:rFonts w:ascii="Times New Roman Bold" w:hAnsi="Times New Roman Bold"/>
          <w:b/>
          <w:bCs/>
          <w:spacing w:val="-4"/>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4"/>
          <w:rtl/>
          <w:lang w:val="en-US"/>
        </w:rPr>
        <w:t>تخصيص موارد كافية لتطوير خدمات الدعم في المجتمعات المحلية التي من شأنها أن تمكن جميع الأشخاص ذوي الإعاقة من الاختيار بحرية مع من يعيشون وأين ووفق أي ترتيبات معيشية؛</w:t>
      </w:r>
    </w:p>
    <w:p w14:paraId="2CD8AA61" w14:textId="2B805B4A"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اعتماد تدابير قانونية وعملية لإنهاء التدابير القسرية في دوائر الصحة العقلية.</w:t>
      </w:r>
    </w:p>
    <w:p w14:paraId="0F0D241B" w14:textId="77777777" w:rsidR="00091C8B" w:rsidRPr="009E4636" w:rsidRDefault="00091C8B" w:rsidP="00E24D19">
      <w:pPr>
        <w:pStyle w:val="H23GA"/>
      </w:pPr>
      <w:r w:rsidRPr="009E4636">
        <w:rPr>
          <w:rtl/>
        </w:rPr>
        <w:tab/>
      </w:r>
      <w:r w:rsidRPr="009E4636">
        <w:rPr>
          <w:rtl/>
        </w:rPr>
        <w:tab/>
        <w:t>الحصول على اللقاحات والأدوية المضادة لكوفيد-19</w:t>
      </w:r>
    </w:p>
    <w:p w14:paraId="062EE39F" w14:textId="59720499" w:rsidR="00091C8B" w:rsidRPr="00091C8B" w:rsidRDefault="00091C8B" w:rsidP="00091C8B">
      <w:pPr>
        <w:pStyle w:val="SingleTxtGA"/>
        <w:rPr>
          <w:lang w:val="en-US"/>
        </w:rPr>
      </w:pPr>
      <w:r w:rsidRPr="009E4636">
        <w:rPr>
          <w:rtl/>
          <w:lang w:val="en-US"/>
        </w:rPr>
        <w:t>44</w:t>
      </w:r>
      <w:r w:rsidRPr="00091C8B">
        <w:rPr>
          <w:rtl/>
          <w:lang w:val="en-US"/>
        </w:rPr>
        <w:t>-</w:t>
      </w:r>
      <w:r w:rsidRPr="00091C8B">
        <w:rPr>
          <w:rtl/>
          <w:lang w:val="en-US"/>
        </w:rPr>
        <w:tab/>
        <w:t>ترحب اللجنة بالمعلومات التي قدمها وفد الدولة الطرف والتي تشير إلى أن الحكومة قد ركزت</w:t>
      </w:r>
      <w:r w:rsidR="0032072C">
        <w:rPr>
          <w:rtl/>
          <w:lang w:val="en-US"/>
        </w:rPr>
        <w:t>،</w:t>
      </w:r>
      <w:r w:rsidRPr="00091C8B">
        <w:rPr>
          <w:rtl/>
          <w:lang w:val="en-US"/>
        </w:rPr>
        <w:t xml:space="preserve"> اعتبار</w:t>
      </w:r>
      <w:r w:rsidR="00364683">
        <w:rPr>
          <w:rtl/>
          <w:lang w:val="en-US"/>
        </w:rPr>
        <w:t xml:space="preserve">اً </w:t>
      </w:r>
      <w:r w:rsidRPr="00091C8B">
        <w:rPr>
          <w:rtl/>
          <w:lang w:val="en-US"/>
        </w:rPr>
        <w:t xml:space="preserve">من عام </w:t>
      </w:r>
      <w:r w:rsidRPr="009E4636">
        <w:rPr>
          <w:rtl/>
          <w:lang w:val="en-US"/>
        </w:rPr>
        <w:t>2021</w:t>
      </w:r>
      <w:r w:rsidR="0032072C">
        <w:rPr>
          <w:rtl/>
          <w:lang w:val="en-US"/>
        </w:rPr>
        <w:t>،</w:t>
      </w:r>
      <w:r w:rsidRPr="00091C8B">
        <w:rPr>
          <w:rtl/>
          <w:lang w:val="en-US"/>
        </w:rPr>
        <w:t xml:space="preserve"> على توافر اللقاحات للجميع على نطاق واسع مع إمكانية اختبارها وعلاجها. وتلاحظ أيض</w:t>
      </w:r>
      <w:r w:rsidR="00364683">
        <w:rPr>
          <w:rtl/>
          <w:lang w:val="en-US"/>
        </w:rPr>
        <w:t xml:space="preserve">اً </w:t>
      </w:r>
      <w:r w:rsidRPr="00091C8B">
        <w:rPr>
          <w:rtl/>
          <w:lang w:val="en-US"/>
        </w:rPr>
        <w:t>الجهود التي تبذلها الدولة الطرف لاحتواء انتشار كوفيد-</w:t>
      </w:r>
      <w:r w:rsidRPr="009E4636">
        <w:rPr>
          <w:rtl/>
          <w:lang w:val="en-US"/>
        </w:rPr>
        <w:t>19</w:t>
      </w:r>
      <w:r w:rsidRPr="00091C8B">
        <w:rPr>
          <w:rtl/>
          <w:lang w:val="en-US"/>
        </w:rPr>
        <w:t xml:space="preserve"> وتوفير الرعاية الطبية اللازمة للمرضى. بيد أن اللجنة تلاحظ أن الدولة الطرف لم تقم بدور نشط في الترافع لأجل توفير لقاحات وأدوية كوفيد-</w:t>
      </w:r>
      <w:r w:rsidRPr="009E4636">
        <w:rPr>
          <w:rtl/>
          <w:lang w:val="en-US"/>
        </w:rPr>
        <w:t>19</w:t>
      </w:r>
      <w:r w:rsidRPr="00091C8B">
        <w:rPr>
          <w:rtl/>
          <w:lang w:val="en-US"/>
        </w:rPr>
        <w:t xml:space="preserve"> على نحو عالمي ومنصف وبكلفة يسيرة في المنظمات الإقليمية والدولية التي هي عضو فيها (المادتان </w:t>
      </w:r>
      <w:r w:rsidRPr="009E4636">
        <w:rPr>
          <w:rtl/>
          <w:lang w:val="en-US"/>
        </w:rPr>
        <w:t>2</w:t>
      </w:r>
      <w:r w:rsidRPr="00091C8B">
        <w:rPr>
          <w:rtl/>
          <w:lang w:val="en-US"/>
        </w:rPr>
        <w:t xml:space="preserve"> و</w:t>
      </w:r>
      <w:r w:rsidRPr="009E4636">
        <w:rPr>
          <w:rtl/>
          <w:lang w:val="en-US"/>
        </w:rPr>
        <w:t>12</w:t>
      </w:r>
      <w:r w:rsidRPr="00091C8B">
        <w:rPr>
          <w:rtl/>
          <w:lang w:val="en-US"/>
        </w:rPr>
        <w:t>).</w:t>
      </w:r>
    </w:p>
    <w:p w14:paraId="4FDF0CFF" w14:textId="77777777" w:rsidR="00091C8B" w:rsidRPr="009E4636" w:rsidRDefault="00091C8B" w:rsidP="00091C8B">
      <w:pPr>
        <w:pStyle w:val="SingleTxtGA"/>
        <w:rPr>
          <w:b/>
          <w:bCs/>
          <w:lang w:val="en-US"/>
        </w:rPr>
      </w:pPr>
      <w:r w:rsidRPr="009E4636">
        <w:rPr>
          <w:rtl/>
          <w:lang w:val="en-US"/>
        </w:rPr>
        <w:t>45</w:t>
      </w:r>
      <w:r w:rsidRPr="00091C8B">
        <w:rPr>
          <w:rtl/>
          <w:lang w:val="en-US"/>
        </w:rPr>
        <w:t>-</w:t>
      </w:r>
      <w:r w:rsidRPr="00091C8B">
        <w:rPr>
          <w:rtl/>
          <w:lang w:val="en-US"/>
        </w:rPr>
        <w:tab/>
      </w:r>
      <w:r w:rsidRPr="009E4636">
        <w:rPr>
          <w:b/>
          <w:bCs/>
          <w:rtl/>
          <w:lang w:val="en-US"/>
        </w:rPr>
        <w:t>توصي اللجنة بأن تقوم الدولة الطرف بما يلي:</w:t>
      </w:r>
    </w:p>
    <w:p w14:paraId="3B02825B" w14:textId="763AE1E6"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rFonts w:ascii="Times New Roman Bold" w:hAnsi="Times New Roman Bold"/>
          <w:b/>
          <w:bCs/>
          <w:spacing w:val="-4"/>
          <w:rtl/>
          <w:lang w:val="en-US"/>
        </w:rPr>
        <w:t>تعزيز جهودها لأجل تيسير حصول الجميع وعلى قدم المساواة على اختبار كوفيد-19</w:t>
      </w:r>
      <w:r w:rsidR="00091C8B" w:rsidRPr="009E4636">
        <w:rPr>
          <w:b/>
          <w:bCs/>
          <w:rtl/>
          <w:lang w:val="en-US"/>
        </w:rPr>
        <w:t xml:space="preserve"> وعلى العلاج والتمنيع ذوي الصلة؛</w:t>
      </w:r>
    </w:p>
    <w:p w14:paraId="6A4FB03A" w14:textId="7FA3E0CD"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بذل كل جهد ممكن لممارسة تأثيرها في المنظمات الإقليمية والدولية التي هي عضو فيها في سبيل الدعوة إلى الحصول الشامل والمنصف وبكلفة يسيرة على لقاحات وأدوية كوفيد-19</w:t>
      </w:r>
      <w:r w:rsidR="0032072C" w:rsidRPr="009E4636">
        <w:rPr>
          <w:b/>
          <w:bCs/>
          <w:rtl/>
          <w:lang w:val="en-US"/>
        </w:rPr>
        <w:t>،</w:t>
      </w:r>
      <w:r w:rsidR="00091C8B" w:rsidRPr="009E4636">
        <w:rPr>
          <w:b/>
          <w:bCs/>
          <w:rtl/>
          <w:lang w:val="en-US"/>
        </w:rPr>
        <w:t xml:space="preserve"> </w:t>
      </w:r>
      <w:r w:rsidR="00091C8B" w:rsidRPr="009E4636">
        <w:rPr>
          <w:rFonts w:ascii="Times New Roman Bold" w:hAnsi="Times New Roman Bold"/>
          <w:b/>
          <w:bCs/>
          <w:spacing w:val="-2"/>
          <w:rtl/>
          <w:lang w:val="en-US"/>
        </w:rPr>
        <w:t>بوسائل منها إمكانية دعم المقترحات المقدمة في منظمة التجارة العالمية بإنشاء تنازل مؤقت عن بعض</w:t>
      </w:r>
      <w:r w:rsidR="00091C8B" w:rsidRPr="009E4636">
        <w:rPr>
          <w:b/>
          <w:bCs/>
          <w:rtl/>
          <w:lang w:val="en-US"/>
        </w:rPr>
        <w:t xml:space="preserve"> حقوق الملكية الفكرية على اللقاحات طالما الجائحة مستمرة</w:t>
      </w:r>
      <w:r w:rsidR="0032072C" w:rsidRPr="009E4636">
        <w:rPr>
          <w:b/>
          <w:bCs/>
          <w:rtl/>
          <w:lang w:val="en-US"/>
        </w:rPr>
        <w:t>،</w:t>
      </w:r>
      <w:r w:rsidR="00091C8B" w:rsidRPr="009E4636">
        <w:rPr>
          <w:b/>
          <w:bCs/>
          <w:rtl/>
          <w:lang w:val="en-US"/>
        </w:rPr>
        <w:t xml:space="preserve"> على الأقل؛</w:t>
      </w:r>
    </w:p>
    <w:p w14:paraId="0E2892BD" w14:textId="3B472A97" w:rsidR="00091C8B" w:rsidRPr="009E4636" w:rsidRDefault="00E24D19" w:rsidP="00091C8B">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 xml:space="preserve">إيلاء اهتمام خاص للفقرة 82 من تعليق اللجنة العام رقم 25(2020) بشأن العلم </w:t>
      </w:r>
      <w:r w:rsidR="00091C8B" w:rsidRPr="009E4636">
        <w:rPr>
          <w:rFonts w:ascii="Times New Roman Bold" w:hAnsi="Times New Roman Bold"/>
          <w:b/>
          <w:bCs/>
          <w:spacing w:val="-4"/>
          <w:rtl/>
          <w:lang w:val="en-US"/>
        </w:rPr>
        <w:t>والحقوق الاقتصادية والاجتماعية والثقافية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ولبيانات اللجنة بشأن جائحة كوفيد-19 والحقوق الاقتصادية</w:t>
      </w:r>
      <w:r w:rsidR="00091C8B" w:rsidRPr="009E4636">
        <w:rPr>
          <w:b/>
          <w:bCs/>
          <w:rtl/>
          <w:lang w:val="en-US"/>
        </w:rPr>
        <w:t xml:space="preserve"> والاجتماعية والثقافية</w:t>
      </w:r>
      <w:r w:rsidR="0032072C" w:rsidRPr="009E4636">
        <w:rPr>
          <w:b/>
          <w:bCs/>
          <w:rtl/>
          <w:lang w:val="en-US"/>
        </w:rPr>
        <w:t>،</w:t>
      </w:r>
      <w:r w:rsidR="00091C8B" w:rsidRPr="009E4636">
        <w:rPr>
          <w:b/>
          <w:bCs/>
          <w:rtl/>
          <w:lang w:val="en-US"/>
        </w:rPr>
        <w:t xml:space="preserve"> وبشأن حصول الجميع على لقاحات كوفيد-19 على قدم المساواة </w:t>
      </w:r>
      <w:r w:rsidR="00091C8B" w:rsidRPr="009E4636">
        <w:rPr>
          <w:b/>
          <w:bCs/>
          <w:vertAlign w:val="superscript"/>
          <w:rtl/>
          <w:lang w:val="en-US"/>
        </w:rPr>
        <w:t>(</w:t>
      </w:r>
      <w:r w:rsidR="00091C8B" w:rsidRPr="009E4636">
        <w:rPr>
          <w:rStyle w:val="FootnoteReference"/>
          <w:b/>
          <w:bCs/>
          <w:szCs w:val="22"/>
          <w:lang w:val="en-US"/>
        </w:rPr>
        <w:footnoteReference w:id="7"/>
      </w:r>
      <w:r w:rsidR="00091C8B" w:rsidRPr="009E4636">
        <w:rPr>
          <w:b/>
          <w:bCs/>
          <w:vertAlign w:val="superscript"/>
          <w:rtl/>
          <w:lang w:val="en-US"/>
        </w:rPr>
        <w:t>)</w:t>
      </w:r>
      <w:r w:rsidR="0039755E" w:rsidRPr="009E4636">
        <w:rPr>
          <w:rFonts w:hint="cs"/>
          <w:b/>
          <w:bCs/>
          <w:rtl/>
          <w:lang w:val="en-US"/>
        </w:rPr>
        <w:t xml:space="preserve"> </w:t>
      </w:r>
      <w:r w:rsidR="00091C8B" w:rsidRPr="009E4636">
        <w:rPr>
          <w:b/>
          <w:bCs/>
          <w:vertAlign w:val="superscript"/>
          <w:rtl/>
          <w:lang w:val="en-US"/>
        </w:rPr>
        <w:t>(</w:t>
      </w:r>
      <w:r w:rsidR="00091C8B" w:rsidRPr="009E4636">
        <w:rPr>
          <w:rStyle w:val="FootnoteReference"/>
          <w:b/>
          <w:bCs/>
          <w:szCs w:val="22"/>
          <w:lang w:val="en-US"/>
        </w:rPr>
        <w:footnoteReference w:id="8"/>
      </w:r>
      <w:r w:rsidR="00091C8B" w:rsidRPr="009E4636">
        <w:rPr>
          <w:b/>
          <w:bCs/>
          <w:vertAlign w:val="superscript"/>
          <w:rtl/>
          <w:lang w:val="en-US"/>
        </w:rPr>
        <w:t>)</w:t>
      </w:r>
      <w:r w:rsidR="0039755E" w:rsidRPr="009E4636">
        <w:rPr>
          <w:rFonts w:hint="cs"/>
          <w:b/>
          <w:bCs/>
          <w:rtl/>
          <w:lang w:val="en-US"/>
        </w:rPr>
        <w:t>.</w:t>
      </w:r>
    </w:p>
    <w:p w14:paraId="45922531" w14:textId="77777777" w:rsidR="00091C8B" w:rsidRPr="009E4636" w:rsidRDefault="00091C8B" w:rsidP="00364683">
      <w:pPr>
        <w:pStyle w:val="H23GA"/>
        <w:spacing w:line="360" w:lineRule="exact"/>
      </w:pPr>
      <w:r w:rsidRPr="009E4636">
        <w:rPr>
          <w:rtl/>
        </w:rPr>
        <w:lastRenderedPageBreak/>
        <w:tab/>
      </w:r>
      <w:r w:rsidRPr="009E4636">
        <w:rPr>
          <w:rtl/>
        </w:rPr>
        <w:tab/>
        <w:t>التعليم الجامع</w:t>
      </w:r>
    </w:p>
    <w:p w14:paraId="12A99C0D" w14:textId="76927CE6" w:rsidR="00091C8B" w:rsidRPr="00091C8B" w:rsidRDefault="00091C8B" w:rsidP="00364683">
      <w:pPr>
        <w:pStyle w:val="SingleTxtGA"/>
        <w:rPr>
          <w:lang w:val="en-US"/>
        </w:rPr>
      </w:pPr>
      <w:r w:rsidRPr="009E4636">
        <w:rPr>
          <w:rtl/>
          <w:lang w:val="en-US"/>
        </w:rPr>
        <w:t>46</w:t>
      </w:r>
      <w:r w:rsidRPr="00091C8B">
        <w:rPr>
          <w:rtl/>
          <w:lang w:val="en-US"/>
        </w:rPr>
        <w:t>-</w:t>
      </w:r>
      <w:r w:rsidRPr="00091C8B">
        <w:rPr>
          <w:rtl/>
          <w:lang w:val="en-US"/>
        </w:rPr>
        <w:tab/>
        <w:t>تقر اللجنة بالجهود التي تبذلها الدولة الطرف في سبيل تعزيز التعليم الجامع</w:t>
      </w:r>
      <w:r w:rsidR="0032072C">
        <w:rPr>
          <w:rtl/>
          <w:lang w:val="en-US"/>
        </w:rPr>
        <w:t>،</w:t>
      </w:r>
      <w:r w:rsidRPr="00091C8B">
        <w:rPr>
          <w:rtl/>
          <w:lang w:val="en-US"/>
        </w:rPr>
        <w:t xml:space="preserve"> مثل خطط عمل التعليم الجامع والمرسوم رقم </w:t>
      </w:r>
      <w:r w:rsidRPr="009E4636">
        <w:rPr>
          <w:rtl/>
          <w:lang w:val="en-US"/>
        </w:rPr>
        <w:t>27</w:t>
      </w:r>
      <w:r w:rsidRPr="00091C8B">
        <w:rPr>
          <w:rtl/>
          <w:lang w:val="en-US"/>
        </w:rPr>
        <w:t>/</w:t>
      </w:r>
      <w:r w:rsidRPr="009E4636">
        <w:rPr>
          <w:rtl/>
          <w:lang w:val="en-US"/>
        </w:rPr>
        <w:t>2016</w:t>
      </w:r>
      <w:r w:rsidRPr="00091C8B">
        <w:rPr>
          <w:rtl/>
          <w:lang w:val="en-US"/>
        </w:rPr>
        <w:t>. بيد أن القلق يساور اللجنة لأن عدد</w:t>
      </w:r>
      <w:r w:rsidR="00364683">
        <w:rPr>
          <w:rtl/>
          <w:lang w:val="en-US"/>
        </w:rPr>
        <w:t xml:space="preserve">اً </w:t>
      </w:r>
      <w:r w:rsidRPr="00091C8B">
        <w:rPr>
          <w:rtl/>
          <w:lang w:val="en-US"/>
        </w:rPr>
        <w:t>كبير</w:t>
      </w:r>
      <w:r w:rsidR="00364683">
        <w:rPr>
          <w:rtl/>
          <w:lang w:val="en-US"/>
        </w:rPr>
        <w:t xml:space="preserve">اً </w:t>
      </w:r>
      <w:r w:rsidRPr="00091C8B">
        <w:rPr>
          <w:rtl/>
          <w:lang w:val="en-US"/>
        </w:rPr>
        <w:t>من الأطفال ذوي الإعاقة</w:t>
      </w:r>
      <w:r w:rsidR="0032072C">
        <w:rPr>
          <w:rtl/>
          <w:lang w:val="en-US"/>
        </w:rPr>
        <w:t>،</w:t>
      </w:r>
      <w:r w:rsidRPr="00091C8B">
        <w:rPr>
          <w:rtl/>
          <w:lang w:val="en-US"/>
        </w:rPr>
        <w:t xml:space="preserve"> ولا سيما الأطفال ذوي الإعاقات الذهنية والتوحد</w:t>
      </w:r>
      <w:r w:rsidR="0032072C">
        <w:rPr>
          <w:rtl/>
          <w:lang w:val="en-US"/>
        </w:rPr>
        <w:t>،</w:t>
      </w:r>
      <w:r w:rsidRPr="00091C8B">
        <w:rPr>
          <w:rtl/>
          <w:lang w:val="en-US"/>
        </w:rPr>
        <w:t xml:space="preserve"> ما زالوا يتلقون تعليمهم في مدارس خاصة. ويساور اللجنة القلق أيض</w:t>
      </w:r>
      <w:r w:rsidR="00364683">
        <w:rPr>
          <w:rtl/>
          <w:lang w:val="en-US"/>
        </w:rPr>
        <w:t xml:space="preserve">اً </w:t>
      </w:r>
      <w:r w:rsidRPr="00091C8B">
        <w:rPr>
          <w:rtl/>
          <w:lang w:val="en-US"/>
        </w:rPr>
        <w:t>لأن مرافق إسداء المشورة المدرسية تحدِّد تدابير الدعم المبنية أساس</w:t>
      </w:r>
      <w:r w:rsidR="00364683">
        <w:rPr>
          <w:rtl/>
          <w:lang w:val="en-US"/>
        </w:rPr>
        <w:t xml:space="preserve">اً </w:t>
      </w:r>
      <w:r w:rsidRPr="00091C8B">
        <w:rPr>
          <w:rtl/>
          <w:lang w:val="en-US"/>
        </w:rPr>
        <w:t>على نهج طبي. وعلاوة على ذلك</w:t>
      </w:r>
      <w:r w:rsidR="0032072C">
        <w:rPr>
          <w:rtl/>
          <w:lang w:val="en-US"/>
        </w:rPr>
        <w:t>،</w:t>
      </w:r>
      <w:r w:rsidRPr="00091C8B">
        <w:rPr>
          <w:rtl/>
          <w:lang w:val="en-US"/>
        </w:rPr>
        <w:t xml:space="preserve"> يساور اللجنة القلق لعدم توفير الترتيبات التيسيرية المعقولة دائم</w:t>
      </w:r>
      <w:r w:rsidR="00364683">
        <w:rPr>
          <w:rtl/>
          <w:lang w:val="en-US"/>
        </w:rPr>
        <w:t xml:space="preserve">اً </w:t>
      </w:r>
      <w:r w:rsidRPr="00091C8B">
        <w:rPr>
          <w:rtl/>
          <w:lang w:val="en-US"/>
        </w:rPr>
        <w:t>ولأن كثير</w:t>
      </w:r>
      <w:r w:rsidR="00364683">
        <w:rPr>
          <w:rtl/>
          <w:lang w:val="en-US"/>
        </w:rPr>
        <w:t xml:space="preserve">اً </w:t>
      </w:r>
      <w:r w:rsidRPr="00091C8B">
        <w:rPr>
          <w:rtl/>
          <w:lang w:val="en-US"/>
        </w:rPr>
        <w:t xml:space="preserve">من المعلمين لا يحصلون على التدريب الكافي على التعلم الشامل للجميع (المادتان </w:t>
      </w:r>
      <w:r w:rsidRPr="009E4636">
        <w:rPr>
          <w:rtl/>
          <w:lang w:val="en-US"/>
        </w:rPr>
        <w:t>2</w:t>
      </w:r>
      <w:r w:rsidRPr="00091C8B">
        <w:rPr>
          <w:rtl/>
          <w:lang w:val="en-US"/>
        </w:rPr>
        <w:t>(</w:t>
      </w:r>
      <w:r w:rsidRPr="009E4636">
        <w:rPr>
          <w:rtl/>
          <w:lang w:val="en-US"/>
        </w:rPr>
        <w:t>2</w:t>
      </w:r>
      <w:r w:rsidRPr="00091C8B">
        <w:rPr>
          <w:rtl/>
          <w:lang w:val="en-US"/>
        </w:rPr>
        <w:t>) و</w:t>
      </w:r>
      <w:r w:rsidRPr="009E4636">
        <w:rPr>
          <w:rtl/>
          <w:lang w:val="en-US"/>
        </w:rPr>
        <w:t>13</w:t>
      </w:r>
      <w:r w:rsidRPr="00091C8B">
        <w:rPr>
          <w:rtl/>
          <w:lang w:val="en-US"/>
        </w:rPr>
        <w:t>).</w:t>
      </w:r>
    </w:p>
    <w:p w14:paraId="0FD44AA2" w14:textId="77777777" w:rsidR="00091C8B" w:rsidRPr="009E4636" w:rsidRDefault="00091C8B" w:rsidP="00364683">
      <w:pPr>
        <w:pStyle w:val="SingleTxtGA"/>
        <w:rPr>
          <w:b/>
          <w:bCs/>
          <w:lang w:val="en-US"/>
        </w:rPr>
      </w:pPr>
      <w:r w:rsidRPr="009E4636">
        <w:rPr>
          <w:rtl/>
          <w:lang w:val="en-US"/>
        </w:rPr>
        <w:t>47</w:t>
      </w:r>
      <w:r w:rsidRPr="00091C8B">
        <w:rPr>
          <w:rtl/>
          <w:lang w:val="en-US"/>
        </w:rPr>
        <w:t>-</w:t>
      </w:r>
      <w:r w:rsidRPr="00091C8B">
        <w:rPr>
          <w:rtl/>
          <w:lang w:val="en-US"/>
        </w:rPr>
        <w:tab/>
      </w:r>
      <w:r w:rsidRPr="009E4636">
        <w:rPr>
          <w:b/>
          <w:bCs/>
          <w:rtl/>
          <w:lang w:val="en-US"/>
        </w:rPr>
        <w:t>توصي اللجنة بأن تقوم الدولة الطرف بما يلي:</w:t>
      </w:r>
    </w:p>
    <w:p w14:paraId="5E3FED42" w14:textId="5B8BD0CA" w:rsidR="00091C8B" w:rsidRPr="009E4636" w:rsidRDefault="00E24D19" w:rsidP="00364683">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تعديل تشريعاتها</w:t>
      </w:r>
      <w:r w:rsidR="0032072C" w:rsidRPr="009E4636">
        <w:rPr>
          <w:b/>
          <w:bCs/>
          <w:rtl/>
          <w:lang w:val="en-US"/>
        </w:rPr>
        <w:t>،</w:t>
      </w:r>
      <w:r w:rsidR="00091C8B" w:rsidRPr="009E4636">
        <w:rPr>
          <w:b/>
          <w:bCs/>
          <w:rtl/>
          <w:lang w:val="en-US"/>
        </w:rPr>
        <w:t xml:space="preserve"> بما فيها المرسوم رقم 27/2016</w:t>
      </w:r>
      <w:r w:rsidR="0032072C" w:rsidRPr="009E4636">
        <w:rPr>
          <w:b/>
          <w:bCs/>
          <w:rtl/>
          <w:lang w:val="en-US"/>
        </w:rPr>
        <w:t>،</w:t>
      </w:r>
      <w:r w:rsidR="00091C8B" w:rsidRPr="009E4636">
        <w:rPr>
          <w:b/>
          <w:bCs/>
          <w:rtl/>
          <w:lang w:val="en-US"/>
        </w:rPr>
        <w:t xml:space="preserve"> بشأن تعليم التلاميذ ذوي </w:t>
      </w:r>
      <w:r w:rsidR="00091C8B" w:rsidRPr="009E4636">
        <w:rPr>
          <w:rFonts w:ascii="Times New Roman Bold" w:hAnsi="Times New Roman Bold"/>
          <w:b/>
          <w:bCs/>
          <w:spacing w:val="-4"/>
          <w:rtl/>
          <w:lang w:val="en-US"/>
        </w:rPr>
        <w:t>الاحتياجات التعليمية الخاصة والتلاميذ الموهوبين</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بحيث يُضمن الإدماج الفعال لجميع الأطفال ذوي الإعاقة</w:t>
      </w:r>
      <w:r w:rsidR="00091C8B" w:rsidRPr="009E4636">
        <w:rPr>
          <w:b/>
          <w:bCs/>
          <w:rtl/>
          <w:lang w:val="en-US"/>
        </w:rPr>
        <w:t xml:space="preserve"> في التعليم العادي على جميع المستويات؛</w:t>
      </w:r>
    </w:p>
    <w:p w14:paraId="557DF6F5" w14:textId="4DB16550" w:rsidR="00091C8B" w:rsidRPr="009E4636" w:rsidRDefault="00E24D19" w:rsidP="00364683">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rFonts w:ascii="Times New Roman Bold" w:hAnsi="Times New Roman Bold"/>
          <w:b/>
          <w:bCs/>
          <w:spacing w:val="-4"/>
          <w:rtl/>
          <w:lang w:val="en-US"/>
        </w:rPr>
        <w:t>تخصيص ما يكفي من الموارد البشرية والتقنية والمالية</w:t>
      </w:r>
      <w:r w:rsidR="0032072C" w:rsidRPr="009E4636">
        <w:rPr>
          <w:rFonts w:ascii="Times New Roman Bold" w:hAnsi="Times New Roman Bold"/>
          <w:b/>
          <w:bCs/>
          <w:spacing w:val="-4"/>
          <w:rtl/>
          <w:lang w:val="en-US"/>
        </w:rPr>
        <w:t>،</w:t>
      </w:r>
      <w:r w:rsidR="00091C8B" w:rsidRPr="009E4636">
        <w:rPr>
          <w:rFonts w:ascii="Times New Roman Bold" w:hAnsi="Times New Roman Bold"/>
          <w:b/>
          <w:bCs/>
          <w:spacing w:val="-4"/>
          <w:rtl/>
          <w:lang w:val="en-US"/>
        </w:rPr>
        <w:t xml:space="preserve"> وضمان توفير بيئات تعليمية</w:t>
      </w:r>
      <w:r w:rsidR="00091C8B" w:rsidRPr="009E4636">
        <w:rPr>
          <w:b/>
          <w:bCs/>
          <w:rtl/>
          <w:lang w:val="en-US"/>
        </w:rPr>
        <w:t xml:space="preserve"> ومباني ومواد تعليمية يسهل الوصول إليها وشاملة</w:t>
      </w:r>
      <w:r w:rsidR="0032072C" w:rsidRPr="009E4636">
        <w:rPr>
          <w:b/>
          <w:bCs/>
          <w:rtl/>
          <w:lang w:val="en-US"/>
        </w:rPr>
        <w:t>،</w:t>
      </w:r>
      <w:r w:rsidR="00091C8B" w:rsidRPr="009E4636">
        <w:rPr>
          <w:b/>
          <w:bCs/>
          <w:rtl/>
          <w:lang w:val="en-US"/>
        </w:rPr>
        <w:t xml:space="preserve"> وترتيبات </w:t>
      </w:r>
      <w:proofErr w:type="spellStart"/>
      <w:r w:rsidR="00091C8B" w:rsidRPr="009E4636">
        <w:rPr>
          <w:b/>
          <w:bCs/>
          <w:rtl/>
          <w:lang w:val="en-US"/>
        </w:rPr>
        <w:t>تيسيرية</w:t>
      </w:r>
      <w:proofErr w:type="spellEnd"/>
      <w:r w:rsidR="00091C8B" w:rsidRPr="009E4636">
        <w:rPr>
          <w:b/>
          <w:bCs/>
          <w:rtl/>
          <w:lang w:val="en-US"/>
        </w:rPr>
        <w:t xml:space="preserve"> معقولة</w:t>
      </w:r>
      <w:r w:rsidR="0032072C" w:rsidRPr="009E4636">
        <w:rPr>
          <w:b/>
          <w:bCs/>
          <w:rtl/>
          <w:lang w:val="en-US"/>
        </w:rPr>
        <w:t>،</w:t>
      </w:r>
      <w:r w:rsidR="00091C8B" w:rsidRPr="009E4636">
        <w:rPr>
          <w:b/>
          <w:bCs/>
          <w:rtl/>
          <w:lang w:val="en-US"/>
        </w:rPr>
        <w:t xml:space="preserve"> ودعم فردي؛</w:t>
      </w:r>
    </w:p>
    <w:p w14:paraId="5C780A1E" w14:textId="5F888A82" w:rsidR="00091C8B" w:rsidRPr="009E4636" w:rsidRDefault="00E24D19" w:rsidP="00364683">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ضمان اعتماد تدابير الدعم في إطار النهج القائم على حقوق الإنسان إزاء الإعاقة وعدم إفضائها إلى أي فصل بين الأطفال أو تراجع في نوعية التعليم؛</w:t>
      </w:r>
    </w:p>
    <w:p w14:paraId="0428F712" w14:textId="55775ABE" w:rsidR="00091C8B" w:rsidRPr="009E4636" w:rsidRDefault="00E24D19" w:rsidP="00364683">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b/>
          <w:bCs/>
          <w:rtl/>
          <w:lang w:val="en-US"/>
        </w:rPr>
        <w:t>ضمان وجود عدد كاف من المدرسين المدرَّبين ومساعدي المدرسين الذين يتقاضون أجورا</w:t>
      </w:r>
      <w:r w:rsidR="002A349E" w:rsidRPr="009E4636">
        <w:rPr>
          <w:rFonts w:hint="cs"/>
          <w:b/>
          <w:bCs/>
          <w:rtl/>
          <w:lang w:val="en-US"/>
        </w:rPr>
        <w:t>ً</w:t>
      </w:r>
      <w:r w:rsidR="00091C8B" w:rsidRPr="009E4636">
        <w:rPr>
          <w:b/>
          <w:bCs/>
          <w:rtl/>
          <w:lang w:val="en-US"/>
        </w:rPr>
        <w:t xml:space="preserve"> كافية.</w:t>
      </w:r>
    </w:p>
    <w:p w14:paraId="329B1CAC" w14:textId="77777777" w:rsidR="00091C8B" w:rsidRPr="009E4636" w:rsidRDefault="00091C8B" w:rsidP="00364683">
      <w:pPr>
        <w:pStyle w:val="H23GA"/>
        <w:spacing w:line="360" w:lineRule="exact"/>
      </w:pPr>
      <w:r w:rsidRPr="009E4636">
        <w:rPr>
          <w:rtl/>
        </w:rPr>
        <w:tab/>
      </w:r>
      <w:r w:rsidRPr="009E4636">
        <w:rPr>
          <w:rtl/>
        </w:rPr>
        <w:tab/>
        <w:t>التعليم الشامل لأطفال الروما والمهاجرين</w:t>
      </w:r>
    </w:p>
    <w:p w14:paraId="03A7AFA1" w14:textId="33FDF8D8" w:rsidR="00091C8B" w:rsidRPr="00364683" w:rsidRDefault="00091C8B" w:rsidP="00364683">
      <w:pPr>
        <w:pStyle w:val="SingleTxtGA"/>
        <w:rPr>
          <w:spacing w:val="-4"/>
          <w:lang w:val="en-US"/>
        </w:rPr>
      </w:pPr>
      <w:r w:rsidRPr="009E4636">
        <w:rPr>
          <w:spacing w:val="-4"/>
          <w:rtl/>
          <w:lang w:val="en-US"/>
        </w:rPr>
        <w:t>48</w:t>
      </w:r>
      <w:r w:rsidRPr="00364683">
        <w:rPr>
          <w:spacing w:val="-4"/>
          <w:rtl/>
          <w:lang w:val="en-US"/>
        </w:rPr>
        <w:t>-</w:t>
      </w:r>
      <w:r w:rsidRPr="00364683">
        <w:rPr>
          <w:spacing w:val="-4"/>
          <w:rtl/>
          <w:lang w:val="en-US"/>
        </w:rPr>
        <w:tab/>
        <w:t>تحيط اللجنة علم</w:t>
      </w:r>
      <w:r w:rsidR="00364683">
        <w:rPr>
          <w:spacing w:val="-4"/>
          <w:rtl/>
          <w:lang w:val="en-US"/>
        </w:rPr>
        <w:t xml:space="preserve">اً </w:t>
      </w:r>
      <w:r w:rsidRPr="00364683">
        <w:rPr>
          <w:spacing w:val="-4"/>
          <w:rtl/>
          <w:lang w:val="en-US"/>
        </w:rPr>
        <w:t>بالجهود التي تبذلها الدولة الطرف من أجل إدماج أطفال الروما والمهاجرين في</w:t>
      </w:r>
      <w:r w:rsidR="00364683">
        <w:rPr>
          <w:rFonts w:hint="cs"/>
          <w:spacing w:val="-4"/>
          <w:rtl/>
          <w:lang w:val="en-US"/>
        </w:rPr>
        <w:t> </w:t>
      </w:r>
      <w:r w:rsidRPr="00364683">
        <w:rPr>
          <w:spacing w:val="-4"/>
          <w:rtl/>
          <w:lang w:val="en-US"/>
        </w:rPr>
        <w:t>نظام التعليم العادي</w:t>
      </w:r>
      <w:r w:rsidR="0032072C" w:rsidRPr="00364683">
        <w:rPr>
          <w:spacing w:val="-4"/>
          <w:rtl/>
          <w:lang w:val="en-US"/>
        </w:rPr>
        <w:t>،</w:t>
      </w:r>
      <w:r w:rsidRPr="00364683">
        <w:rPr>
          <w:spacing w:val="-4"/>
          <w:rtl/>
          <w:lang w:val="en-US"/>
        </w:rPr>
        <w:t xml:space="preserve"> ومن جملتها برنامج دعم إدماج أقلية الروما وبرنامج دعم تعليم الرعايا الأجانب في</w:t>
      </w:r>
      <w:r w:rsidR="00364683">
        <w:rPr>
          <w:rFonts w:hint="cs"/>
          <w:spacing w:val="-4"/>
          <w:rtl/>
          <w:lang w:val="en-US"/>
        </w:rPr>
        <w:t> </w:t>
      </w:r>
      <w:r w:rsidRPr="00364683">
        <w:rPr>
          <w:spacing w:val="-4"/>
          <w:rtl/>
          <w:lang w:val="en-US"/>
        </w:rPr>
        <w:t>المدارس. بيد أن القلق لا يزال يساور اللجنة لأن إدماج أطفال الروما لم يتحقق ما داموا يلتحقون في</w:t>
      </w:r>
      <w:r w:rsidR="002A349E" w:rsidRPr="00364683">
        <w:rPr>
          <w:rFonts w:hint="cs"/>
          <w:spacing w:val="-4"/>
          <w:rtl/>
          <w:lang w:val="en-US"/>
        </w:rPr>
        <w:t> </w:t>
      </w:r>
      <w:r w:rsidRPr="00364683">
        <w:rPr>
          <w:spacing w:val="-4"/>
          <w:rtl/>
          <w:lang w:val="en-US"/>
        </w:rPr>
        <w:t>كثير من الأحيان بمدارس منفصلة أو بمدارس خاصة بالأطفال ذوي الإعاقة. ويساورها القلق أيض</w:t>
      </w:r>
      <w:r w:rsidR="00364683">
        <w:rPr>
          <w:spacing w:val="-4"/>
          <w:rtl/>
          <w:lang w:val="en-US"/>
        </w:rPr>
        <w:t xml:space="preserve">اً </w:t>
      </w:r>
      <w:r w:rsidRPr="00364683">
        <w:rPr>
          <w:spacing w:val="-4"/>
          <w:rtl/>
          <w:lang w:val="en-US"/>
        </w:rPr>
        <w:t>إزاء عدم كفاية تغطية أطفال الروما بالتعليم قبل المدرسي</w:t>
      </w:r>
      <w:r w:rsidR="0032072C" w:rsidRPr="00364683">
        <w:rPr>
          <w:spacing w:val="-4"/>
          <w:rtl/>
          <w:lang w:val="en-US"/>
        </w:rPr>
        <w:t>،</w:t>
      </w:r>
      <w:r w:rsidRPr="00364683">
        <w:rPr>
          <w:spacing w:val="-4"/>
          <w:rtl/>
          <w:lang w:val="en-US"/>
        </w:rPr>
        <w:t xml:space="preserve"> وارتفاع معدلات تسرب هؤلاء الطلاب</w:t>
      </w:r>
      <w:r w:rsidR="0032072C" w:rsidRPr="00364683">
        <w:rPr>
          <w:spacing w:val="-4"/>
          <w:rtl/>
          <w:lang w:val="en-US"/>
        </w:rPr>
        <w:t>،</w:t>
      </w:r>
      <w:r w:rsidRPr="00364683">
        <w:rPr>
          <w:spacing w:val="-4"/>
          <w:rtl/>
          <w:lang w:val="en-US"/>
        </w:rPr>
        <w:t xml:space="preserve"> وعدم كفاية عدد الوسطاء المؤهلين في مدارس الروما. وعلاوة على ذلك</w:t>
      </w:r>
      <w:r w:rsidR="0032072C" w:rsidRPr="00364683">
        <w:rPr>
          <w:spacing w:val="-4"/>
          <w:rtl/>
          <w:lang w:val="en-US"/>
        </w:rPr>
        <w:t>،</w:t>
      </w:r>
      <w:r w:rsidRPr="00364683">
        <w:rPr>
          <w:spacing w:val="-4"/>
          <w:rtl/>
          <w:lang w:val="en-US"/>
        </w:rPr>
        <w:t xml:space="preserve"> لا يزال القلق يساور اللجنة إزاء نقص تمثيل التلاميذ من أصول مهاجرة في المستويات العليا من المدارس الثانوية</w:t>
      </w:r>
      <w:r w:rsidR="0032072C" w:rsidRPr="00364683">
        <w:rPr>
          <w:spacing w:val="-4"/>
          <w:rtl/>
          <w:lang w:val="en-US"/>
        </w:rPr>
        <w:t>،</w:t>
      </w:r>
      <w:r w:rsidRPr="00364683">
        <w:rPr>
          <w:spacing w:val="-4"/>
          <w:rtl/>
          <w:lang w:val="en-US"/>
        </w:rPr>
        <w:t xml:space="preserve"> وإزاء اشتراط حصول الأطفال من بلدان خارج الاتحاد الأوروبي على تصريح إقامة للحصول على هذا التعليم في نفس الظروف (المادتان </w:t>
      </w:r>
      <w:r w:rsidRPr="009E4636">
        <w:rPr>
          <w:spacing w:val="-4"/>
          <w:rtl/>
          <w:lang w:val="en-US"/>
        </w:rPr>
        <w:t>2</w:t>
      </w:r>
      <w:r w:rsidRPr="00364683">
        <w:rPr>
          <w:spacing w:val="-4"/>
          <w:rtl/>
          <w:lang w:val="en-US"/>
        </w:rPr>
        <w:t>(</w:t>
      </w:r>
      <w:r w:rsidRPr="009E4636">
        <w:rPr>
          <w:spacing w:val="-4"/>
          <w:rtl/>
          <w:lang w:val="en-US"/>
        </w:rPr>
        <w:t>2</w:t>
      </w:r>
      <w:r w:rsidRPr="00364683">
        <w:rPr>
          <w:spacing w:val="-4"/>
          <w:rtl/>
          <w:lang w:val="en-US"/>
        </w:rPr>
        <w:t>) و</w:t>
      </w:r>
      <w:r w:rsidRPr="009E4636">
        <w:rPr>
          <w:spacing w:val="-4"/>
          <w:rtl/>
          <w:lang w:val="en-US"/>
        </w:rPr>
        <w:t>13</w:t>
      </w:r>
      <w:r w:rsidRPr="00364683">
        <w:rPr>
          <w:spacing w:val="-4"/>
          <w:rtl/>
          <w:lang w:val="en-US"/>
        </w:rPr>
        <w:t>).</w:t>
      </w:r>
    </w:p>
    <w:p w14:paraId="53096F5B" w14:textId="77777777" w:rsidR="00091C8B" w:rsidRPr="009E4636" w:rsidRDefault="00091C8B" w:rsidP="00364683">
      <w:pPr>
        <w:pStyle w:val="SingleTxtGA"/>
        <w:rPr>
          <w:b/>
          <w:bCs/>
          <w:lang w:val="en-US"/>
        </w:rPr>
      </w:pPr>
      <w:r w:rsidRPr="009E4636">
        <w:rPr>
          <w:rtl/>
          <w:lang w:val="en-US"/>
        </w:rPr>
        <w:t>49</w:t>
      </w:r>
      <w:r w:rsidRPr="00091C8B">
        <w:rPr>
          <w:rtl/>
          <w:lang w:val="en-US"/>
        </w:rPr>
        <w:t>-</w:t>
      </w:r>
      <w:r w:rsidRPr="00091C8B">
        <w:rPr>
          <w:rtl/>
          <w:lang w:val="en-US"/>
        </w:rPr>
        <w:tab/>
      </w:r>
      <w:r w:rsidRPr="009E4636">
        <w:rPr>
          <w:b/>
          <w:bCs/>
          <w:rtl/>
          <w:lang w:val="en-US"/>
        </w:rPr>
        <w:t>توصي اللجنة بأن تقوم الدولة الطرف بما يلي:</w:t>
      </w:r>
    </w:p>
    <w:p w14:paraId="2C01D4EB" w14:textId="17D2D42D" w:rsidR="00091C8B" w:rsidRPr="009E4636" w:rsidRDefault="00E24D19" w:rsidP="00364683">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تكثيف جهودها لأجل ضمان حصول أطفال الروما على تعليم عادي عالي الجودة</w:t>
      </w:r>
      <w:r w:rsidR="0032072C" w:rsidRPr="009E4636">
        <w:rPr>
          <w:b/>
          <w:bCs/>
          <w:rtl/>
          <w:lang w:val="en-US"/>
        </w:rPr>
        <w:t>،</w:t>
      </w:r>
      <w:r w:rsidR="00091C8B" w:rsidRPr="009E4636">
        <w:rPr>
          <w:b/>
          <w:bCs/>
          <w:rtl/>
          <w:lang w:val="en-US"/>
        </w:rPr>
        <w:t xml:space="preserve"> بما في ذلك التعليم قبل المدرسي؛</w:t>
      </w:r>
    </w:p>
    <w:p w14:paraId="5D52138F" w14:textId="4B9A6C1D" w:rsidR="00091C8B" w:rsidRPr="009E4636" w:rsidRDefault="00E24D19" w:rsidP="00364683">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اتخاذ تدابير بهدف تحسين معدلات الالتحاق بالمدارس وإكمال التعليم في صفوف أطفال الروما</w:t>
      </w:r>
      <w:r w:rsidR="0032072C" w:rsidRPr="009E4636">
        <w:rPr>
          <w:b/>
          <w:bCs/>
          <w:rtl/>
          <w:lang w:val="en-US"/>
        </w:rPr>
        <w:t>،</w:t>
      </w:r>
      <w:r w:rsidR="00091C8B" w:rsidRPr="009E4636">
        <w:rPr>
          <w:b/>
          <w:bCs/>
          <w:rtl/>
          <w:lang w:val="en-US"/>
        </w:rPr>
        <w:t xml:space="preserve"> ولا سيما فتيات الروما</w:t>
      </w:r>
      <w:r w:rsidR="0032072C" w:rsidRPr="009E4636">
        <w:rPr>
          <w:b/>
          <w:bCs/>
          <w:rtl/>
          <w:lang w:val="en-US"/>
        </w:rPr>
        <w:t>،</w:t>
      </w:r>
      <w:r w:rsidR="00091C8B" w:rsidRPr="009E4636">
        <w:rPr>
          <w:b/>
          <w:bCs/>
          <w:rtl/>
          <w:lang w:val="en-US"/>
        </w:rPr>
        <w:t xml:space="preserve"> في مختلف مستويات التعليم؛</w:t>
      </w:r>
    </w:p>
    <w:p w14:paraId="30C54D23" w14:textId="6FAFEB52" w:rsidR="00091C8B" w:rsidRPr="009E4636" w:rsidRDefault="00E24D19" w:rsidP="00364683">
      <w:pPr>
        <w:pStyle w:val="SingleTxtGA"/>
        <w:rPr>
          <w:b/>
          <w:bCs/>
          <w:lang w:val="en-US"/>
        </w:rPr>
      </w:pPr>
      <w:r>
        <w:rPr>
          <w:rtl/>
          <w:lang w:val="en-US"/>
        </w:rPr>
        <w:tab/>
      </w:r>
      <w:r w:rsidR="00091C8B" w:rsidRPr="00091C8B">
        <w:rPr>
          <w:rtl/>
          <w:lang w:val="en-US"/>
        </w:rPr>
        <w:t>(ج)</w:t>
      </w:r>
      <w:r w:rsidR="00091C8B" w:rsidRPr="00091C8B">
        <w:rPr>
          <w:rtl/>
          <w:lang w:val="en-US"/>
        </w:rPr>
        <w:tab/>
      </w:r>
      <w:r w:rsidR="00091C8B" w:rsidRPr="009E4636">
        <w:rPr>
          <w:b/>
          <w:bCs/>
          <w:rtl/>
          <w:lang w:val="en-US"/>
        </w:rPr>
        <w:t>تخصيص ميزانية كافية لضمان وجود عدد كاف من الوسطاء المؤهلين في مدارس الروما</w:t>
      </w:r>
      <w:r w:rsidR="0032072C" w:rsidRPr="009E4636">
        <w:rPr>
          <w:b/>
          <w:bCs/>
          <w:rtl/>
          <w:lang w:val="en-US"/>
        </w:rPr>
        <w:t>،</w:t>
      </w:r>
      <w:r w:rsidR="00091C8B" w:rsidRPr="009E4636">
        <w:rPr>
          <w:b/>
          <w:bCs/>
          <w:rtl/>
          <w:lang w:val="en-US"/>
        </w:rPr>
        <w:t xml:space="preserve"> وتقديم الدعم لأطفال الروما الذين يعيشون في فقر وفي مناطق مستبعدة؛</w:t>
      </w:r>
    </w:p>
    <w:p w14:paraId="1C2CF8AE" w14:textId="18BA8256" w:rsidR="00091C8B" w:rsidRPr="009E4636" w:rsidRDefault="00E24D19" w:rsidP="00364683">
      <w:pPr>
        <w:pStyle w:val="SingleTxtGA"/>
        <w:rPr>
          <w:b/>
          <w:bCs/>
          <w:lang w:val="en-US"/>
        </w:rPr>
      </w:pPr>
      <w:r>
        <w:rPr>
          <w:rtl/>
          <w:lang w:val="en-US"/>
        </w:rPr>
        <w:tab/>
      </w:r>
      <w:r w:rsidR="00091C8B" w:rsidRPr="00091C8B">
        <w:rPr>
          <w:rtl/>
          <w:lang w:val="en-US"/>
        </w:rPr>
        <w:t>(د)</w:t>
      </w:r>
      <w:r w:rsidR="00091C8B" w:rsidRPr="00091C8B">
        <w:rPr>
          <w:rtl/>
          <w:lang w:val="en-US"/>
        </w:rPr>
        <w:tab/>
      </w:r>
      <w:r w:rsidR="00091C8B" w:rsidRPr="009E4636">
        <w:rPr>
          <w:rFonts w:ascii="Times New Roman Bold" w:hAnsi="Times New Roman Bold"/>
          <w:b/>
          <w:bCs/>
          <w:spacing w:val="-2"/>
          <w:rtl/>
          <w:lang w:val="en-US"/>
        </w:rPr>
        <w:t>تنظيم حملات توعية لتعزيز التنوع في التعليم</w:t>
      </w:r>
      <w:r w:rsidR="0032072C" w:rsidRPr="009E4636">
        <w:rPr>
          <w:rFonts w:ascii="Times New Roman Bold" w:hAnsi="Times New Roman Bold"/>
          <w:b/>
          <w:bCs/>
          <w:spacing w:val="-2"/>
          <w:rtl/>
          <w:lang w:val="en-US"/>
        </w:rPr>
        <w:t>،</w:t>
      </w:r>
      <w:r w:rsidR="00091C8B" w:rsidRPr="009E4636">
        <w:rPr>
          <w:rFonts w:ascii="Times New Roman Bold" w:hAnsi="Times New Roman Bold"/>
          <w:b/>
          <w:bCs/>
          <w:spacing w:val="-2"/>
          <w:rtl/>
          <w:lang w:val="en-US"/>
        </w:rPr>
        <w:t xml:space="preserve"> ومعاقبة المدارس التي لا تسجل أطفال</w:t>
      </w:r>
      <w:r w:rsidR="00091C8B" w:rsidRPr="009E4636">
        <w:rPr>
          <w:b/>
          <w:bCs/>
          <w:rtl/>
          <w:lang w:val="en-US"/>
        </w:rPr>
        <w:t xml:space="preserve"> الروما لديها؛</w:t>
      </w:r>
    </w:p>
    <w:p w14:paraId="044CF133" w14:textId="1865A51D" w:rsidR="00091C8B" w:rsidRPr="009E4636" w:rsidRDefault="00E24D19" w:rsidP="00091C8B">
      <w:pPr>
        <w:pStyle w:val="SingleTxtGA"/>
        <w:rPr>
          <w:b/>
          <w:bCs/>
          <w:lang w:val="en-US"/>
        </w:rPr>
      </w:pPr>
      <w:r>
        <w:rPr>
          <w:rtl/>
          <w:lang w:val="en-US"/>
        </w:rPr>
        <w:lastRenderedPageBreak/>
        <w:tab/>
      </w:r>
      <w:r w:rsidR="00091C8B" w:rsidRPr="00091C8B">
        <w:rPr>
          <w:rtl/>
          <w:lang w:val="en-US"/>
        </w:rPr>
        <w:t>(هـ)</w:t>
      </w:r>
      <w:r w:rsidR="00091C8B" w:rsidRPr="00091C8B">
        <w:rPr>
          <w:rtl/>
          <w:lang w:val="en-US"/>
        </w:rPr>
        <w:tab/>
      </w:r>
      <w:r w:rsidR="00091C8B" w:rsidRPr="009E4636">
        <w:rPr>
          <w:b/>
          <w:bCs/>
          <w:rtl/>
          <w:lang w:val="en-US"/>
        </w:rPr>
        <w:t>إزالة الحواجز القانونية والإدارية التي تحول دون التحاق جميع التلاميذ المهاجرين</w:t>
      </w:r>
      <w:r w:rsidR="0032072C" w:rsidRPr="009E4636">
        <w:rPr>
          <w:b/>
          <w:bCs/>
          <w:rtl/>
          <w:lang w:val="en-US"/>
        </w:rPr>
        <w:t>،</w:t>
      </w:r>
      <w:r w:rsidR="00091C8B" w:rsidRPr="009E4636">
        <w:rPr>
          <w:b/>
          <w:bCs/>
          <w:rtl/>
          <w:lang w:val="en-US"/>
        </w:rPr>
        <w:t xml:space="preserve"> بمن فيهم التلاميذ غير الحاملين للوثائق</w:t>
      </w:r>
      <w:r w:rsidR="0032072C" w:rsidRPr="009E4636">
        <w:rPr>
          <w:b/>
          <w:bCs/>
          <w:rtl/>
          <w:lang w:val="en-US"/>
        </w:rPr>
        <w:t>،</w:t>
      </w:r>
      <w:r w:rsidR="00091C8B" w:rsidRPr="009E4636">
        <w:rPr>
          <w:b/>
          <w:bCs/>
          <w:rtl/>
          <w:lang w:val="en-US"/>
        </w:rPr>
        <w:t xml:space="preserve"> واتخاذ تدابير فعالة لأجل إتاحة فرص غير تمييزية لهم للحصول على التعليم.</w:t>
      </w:r>
    </w:p>
    <w:p w14:paraId="16CDD7AB" w14:textId="77777777" w:rsidR="00091C8B" w:rsidRPr="009E4636" w:rsidRDefault="00091C8B" w:rsidP="00E24D19">
      <w:pPr>
        <w:pStyle w:val="H23GA"/>
      </w:pPr>
      <w:r w:rsidRPr="009E4636">
        <w:rPr>
          <w:rtl/>
        </w:rPr>
        <w:tab/>
      </w:r>
      <w:r w:rsidRPr="009E4636">
        <w:rPr>
          <w:rtl/>
        </w:rPr>
        <w:tab/>
        <w:t>الحقوق الثقافية</w:t>
      </w:r>
    </w:p>
    <w:p w14:paraId="71D7800D" w14:textId="59FEC44B" w:rsidR="00091C8B" w:rsidRPr="00091C8B" w:rsidRDefault="00091C8B" w:rsidP="00091C8B">
      <w:pPr>
        <w:pStyle w:val="SingleTxtGA"/>
        <w:rPr>
          <w:lang w:val="en-US"/>
        </w:rPr>
      </w:pPr>
      <w:r w:rsidRPr="009E4636">
        <w:rPr>
          <w:rtl/>
          <w:lang w:val="en-US"/>
        </w:rPr>
        <w:t>50</w:t>
      </w:r>
      <w:r w:rsidRPr="00091C8B">
        <w:rPr>
          <w:rtl/>
          <w:lang w:val="en-US"/>
        </w:rPr>
        <w:t>-</w:t>
      </w:r>
      <w:r w:rsidRPr="00091C8B">
        <w:rPr>
          <w:rtl/>
          <w:lang w:val="en-US"/>
        </w:rPr>
        <w:tab/>
        <w:t>تحيط اللجنة علم</w:t>
      </w:r>
      <w:r w:rsidR="00364683">
        <w:rPr>
          <w:rtl/>
          <w:lang w:val="en-US"/>
        </w:rPr>
        <w:t xml:space="preserve">اً </w:t>
      </w:r>
      <w:r w:rsidRPr="00091C8B">
        <w:rPr>
          <w:rtl/>
          <w:lang w:val="en-US"/>
        </w:rPr>
        <w:t>بمختلف التدابير التي اتخذتها الدولة الطرف لأجل حماية الحقوق الثقافية</w:t>
      </w:r>
      <w:r w:rsidR="0032072C">
        <w:rPr>
          <w:rtl/>
          <w:lang w:val="en-US"/>
        </w:rPr>
        <w:t>،</w:t>
      </w:r>
      <w:r w:rsidRPr="00091C8B">
        <w:rPr>
          <w:rtl/>
          <w:lang w:val="en-US"/>
        </w:rPr>
        <w:t xml:space="preserve"> بما</w:t>
      </w:r>
      <w:r w:rsidR="00364683">
        <w:rPr>
          <w:rFonts w:hint="cs"/>
          <w:rtl/>
          <w:lang w:val="en-US"/>
        </w:rPr>
        <w:t> </w:t>
      </w:r>
      <w:r w:rsidRPr="00091C8B">
        <w:rPr>
          <w:rtl/>
          <w:lang w:val="en-US"/>
        </w:rPr>
        <w:t xml:space="preserve">فيها السياسة الثقافية للدولة والسياسة الوطنية للبحوث والتطوير والابتكار </w:t>
      </w:r>
      <w:r w:rsidRPr="009E4636">
        <w:rPr>
          <w:rtl/>
          <w:lang w:val="en-US"/>
        </w:rPr>
        <w:t>2021</w:t>
      </w:r>
      <w:r w:rsidRPr="00091C8B">
        <w:rPr>
          <w:rtl/>
          <w:lang w:val="en-US"/>
        </w:rPr>
        <w:t>+. ومع ذلك</w:t>
      </w:r>
      <w:r w:rsidR="0032072C">
        <w:rPr>
          <w:rtl/>
          <w:lang w:val="en-US"/>
        </w:rPr>
        <w:t>،</w:t>
      </w:r>
      <w:r w:rsidRPr="00091C8B">
        <w:rPr>
          <w:rtl/>
          <w:lang w:val="en-US"/>
        </w:rPr>
        <w:t xml:space="preserve"> يساور اللجنة القلق إزاء التحديات التي تعترض الفئات المحرومة والمهمشة في الوصول إلى الثقافة والاستفادة من البحث العلمي. ويساورها القلق كذلك لأن التعليم بلغات الأقليات لا يشمل جميع الأقليات القومية ولا يشمل البلد بأسره. وعلاوة على ذلك</w:t>
      </w:r>
      <w:r w:rsidR="0032072C">
        <w:rPr>
          <w:rtl/>
          <w:lang w:val="en-US"/>
        </w:rPr>
        <w:t>،</w:t>
      </w:r>
      <w:r w:rsidRPr="00091C8B">
        <w:rPr>
          <w:rtl/>
          <w:lang w:val="en-US"/>
        </w:rPr>
        <w:t xml:space="preserve"> يساور اللجنة القلق لأن التشريعات المتعلقة بالبحث العلمي لا تتماشى مع المعايير الدولية (المادة </w:t>
      </w:r>
      <w:r w:rsidRPr="009E4636">
        <w:rPr>
          <w:rtl/>
          <w:lang w:val="en-US"/>
        </w:rPr>
        <w:t>15</w:t>
      </w:r>
      <w:r w:rsidRPr="00091C8B">
        <w:rPr>
          <w:rtl/>
          <w:lang w:val="en-US"/>
        </w:rPr>
        <w:t>).</w:t>
      </w:r>
    </w:p>
    <w:p w14:paraId="7358771E" w14:textId="77777777" w:rsidR="00091C8B" w:rsidRPr="009E4636" w:rsidRDefault="00091C8B" w:rsidP="00091C8B">
      <w:pPr>
        <w:pStyle w:val="SingleTxtGA"/>
        <w:rPr>
          <w:b/>
          <w:bCs/>
          <w:lang w:val="en-US"/>
        </w:rPr>
      </w:pPr>
      <w:r w:rsidRPr="009E4636">
        <w:rPr>
          <w:rtl/>
          <w:lang w:val="en-US"/>
        </w:rPr>
        <w:t>51</w:t>
      </w:r>
      <w:r w:rsidRPr="00091C8B">
        <w:rPr>
          <w:rtl/>
          <w:lang w:val="en-US"/>
        </w:rPr>
        <w:t>-</w:t>
      </w:r>
      <w:r w:rsidRPr="00091C8B">
        <w:rPr>
          <w:rtl/>
          <w:lang w:val="en-US"/>
        </w:rPr>
        <w:tab/>
      </w:r>
      <w:r w:rsidRPr="009E4636">
        <w:rPr>
          <w:b/>
          <w:bCs/>
          <w:rtl/>
          <w:lang w:val="en-US"/>
        </w:rPr>
        <w:t>توصي اللجنة بأن تقوم الدولة الطرف بما يلي:</w:t>
      </w:r>
    </w:p>
    <w:p w14:paraId="23DEB89B" w14:textId="2867B904" w:rsidR="00091C8B" w:rsidRPr="009E4636" w:rsidRDefault="00E24D19" w:rsidP="00091C8B">
      <w:pPr>
        <w:pStyle w:val="SingleTxtGA"/>
        <w:rPr>
          <w:b/>
          <w:bCs/>
          <w:lang w:val="en-US"/>
        </w:rPr>
      </w:pPr>
      <w:r>
        <w:rPr>
          <w:rtl/>
          <w:lang w:val="en-US"/>
        </w:rPr>
        <w:tab/>
      </w:r>
      <w:r w:rsidR="00091C8B" w:rsidRPr="00091C8B">
        <w:rPr>
          <w:rtl/>
          <w:lang w:val="en-US"/>
        </w:rPr>
        <w:t>(أ)</w:t>
      </w:r>
      <w:r w:rsidR="00091C8B" w:rsidRPr="00091C8B">
        <w:rPr>
          <w:rtl/>
          <w:lang w:val="en-US"/>
        </w:rPr>
        <w:tab/>
      </w:r>
      <w:r w:rsidR="00091C8B" w:rsidRPr="009E4636">
        <w:rPr>
          <w:b/>
          <w:bCs/>
          <w:rtl/>
          <w:lang w:val="en-US"/>
        </w:rPr>
        <w:t>بذل مزيد من الجهود في سبيل تيسير الثقافة وإتاحتها للجميع</w:t>
      </w:r>
      <w:r w:rsidR="0032072C" w:rsidRPr="009E4636">
        <w:rPr>
          <w:b/>
          <w:bCs/>
          <w:rtl/>
          <w:lang w:val="en-US"/>
        </w:rPr>
        <w:t>،</w:t>
      </w:r>
      <w:r w:rsidR="00091C8B" w:rsidRPr="009E4636">
        <w:rPr>
          <w:b/>
          <w:bCs/>
          <w:rtl/>
          <w:lang w:val="en-US"/>
        </w:rPr>
        <w:t xml:space="preserve"> وضمان حصول الفئات المحرومة والمهمشة على الثقافة بأسعار معقولة وتمتعها بفوائد التقدم العلمي؛</w:t>
      </w:r>
    </w:p>
    <w:p w14:paraId="325CCBC8" w14:textId="04DBFB4D" w:rsidR="00091C8B" w:rsidRPr="009E4636" w:rsidRDefault="00E24D19" w:rsidP="00091C8B">
      <w:pPr>
        <w:pStyle w:val="SingleTxtGA"/>
        <w:rPr>
          <w:b/>
          <w:bCs/>
          <w:lang w:val="en-US"/>
        </w:rPr>
      </w:pPr>
      <w:r>
        <w:rPr>
          <w:rtl/>
          <w:lang w:val="en-US"/>
        </w:rPr>
        <w:tab/>
      </w:r>
      <w:r w:rsidR="00091C8B" w:rsidRPr="00091C8B">
        <w:rPr>
          <w:rtl/>
          <w:lang w:val="en-US"/>
        </w:rPr>
        <w:t>(ب)</w:t>
      </w:r>
      <w:r w:rsidR="00091C8B" w:rsidRPr="00091C8B">
        <w:rPr>
          <w:rtl/>
          <w:lang w:val="en-US"/>
        </w:rPr>
        <w:tab/>
      </w:r>
      <w:r w:rsidR="00091C8B" w:rsidRPr="009E4636">
        <w:rPr>
          <w:b/>
          <w:bCs/>
          <w:rtl/>
          <w:lang w:val="en-US"/>
        </w:rPr>
        <w:t>النظر في مراجعة سياساتها وقوانينها اللغوية في مجال التعليم تشجيعاً لتدريس جميع لغات الأقليات وللتدريس بلغات الأقليات وضمان ألا تؤثر هذه السياسات والقوانين سلب</w:t>
      </w:r>
      <w:r w:rsidR="00364683" w:rsidRPr="009E4636">
        <w:rPr>
          <w:b/>
          <w:bCs/>
          <w:rtl/>
          <w:lang w:val="en-US"/>
        </w:rPr>
        <w:t xml:space="preserve">اً </w:t>
      </w:r>
      <w:r w:rsidR="00091C8B" w:rsidRPr="009E4636">
        <w:rPr>
          <w:b/>
          <w:bCs/>
          <w:rtl/>
          <w:lang w:val="en-US"/>
        </w:rPr>
        <w:t>على الأداء التعليمي للأطفال من الأقليات؛</w:t>
      </w:r>
    </w:p>
    <w:p w14:paraId="2D027759" w14:textId="3E326389" w:rsidR="00091C8B" w:rsidRPr="009E4636" w:rsidRDefault="00E24D19" w:rsidP="00091C8B">
      <w:pPr>
        <w:pStyle w:val="SingleTxtGA"/>
        <w:rPr>
          <w:b/>
          <w:bCs/>
          <w:spacing w:val="4"/>
          <w:lang w:val="en-US"/>
        </w:rPr>
      </w:pPr>
      <w:r w:rsidRPr="00364683">
        <w:rPr>
          <w:spacing w:val="4"/>
          <w:rtl/>
          <w:lang w:val="en-US"/>
        </w:rPr>
        <w:tab/>
      </w:r>
      <w:r w:rsidR="00091C8B" w:rsidRPr="00364683">
        <w:rPr>
          <w:spacing w:val="4"/>
          <w:rtl/>
          <w:lang w:val="en-US"/>
        </w:rPr>
        <w:t>(ج)</w:t>
      </w:r>
      <w:r w:rsidR="00091C8B" w:rsidRPr="00364683">
        <w:rPr>
          <w:spacing w:val="4"/>
          <w:rtl/>
          <w:lang w:val="en-US"/>
        </w:rPr>
        <w:tab/>
      </w:r>
      <w:r w:rsidR="00091C8B" w:rsidRPr="009E4636">
        <w:rPr>
          <w:b/>
          <w:bCs/>
          <w:spacing w:val="4"/>
          <w:rtl/>
          <w:lang w:val="en-US"/>
        </w:rPr>
        <w:t>تعديل التشريعات المتعلقة بالبحث العلمي بقصد إدخال الالتزام بنشر بيانات البحث بشكل عام تحت الطلب ما لم يكن هناك تضارب مصالح</w:t>
      </w:r>
      <w:r w:rsidR="0032072C" w:rsidRPr="009E4636">
        <w:rPr>
          <w:b/>
          <w:bCs/>
          <w:spacing w:val="4"/>
          <w:rtl/>
          <w:lang w:val="en-US"/>
        </w:rPr>
        <w:t>،</w:t>
      </w:r>
      <w:r w:rsidR="00091C8B" w:rsidRPr="009E4636">
        <w:rPr>
          <w:b/>
          <w:bCs/>
          <w:spacing w:val="4"/>
          <w:rtl/>
          <w:lang w:val="en-US"/>
        </w:rPr>
        <w:t xml:space="preserve"> وبما يتوافق مع مبادئ إدارة البيانات العلمية.</w:t>
      </w:r>
    </w:p>
    <w:p w14:paraId="52A953F1" w14:textId="557830B3" w:rsidR="00091C8B" w:rsidRPr="009E4636" w:rsidRDefault="00E24D19" w:rsidP="00E24D19">
      <w:pPr>
        <w:pStyle w:val="H1GA"/>
      </w:pPr>
      <w:r w:rsidRPr="009E4636">
        <w:rPr>
          <w:rtl/>
        </w:rPr>
        <w:tab/>
      </w:r>
      <w:r w:rsidR="00091C8B" w:rsidRPr="009E4636">
        <w:rPr>
          <w:rtl/>
        </w:rPr>
        <w:t>دال-</w:t>
      </w:r>
      <w:r w:rsidR="00091C8B" w:rsidRPr="009E4636">
        <w:rPr>
          <w:rtl/>
        </w:rPr>
        <w:tab/>
        <w:t>توصيات أخرى</w:t>
      </w:r>
    </w:p>
    <w:p w14:paraId="450630BF" w14:textId="77777777" w:rsidR="00091C8B" w:rsidRPr="009E4636" w:rsidRDefault="00091C8B" w:rsidP="00091C8B">
      <w:pPr>
        <w:pStyle w:val="SingleTxtGA"/>
        <w:rPr>
          <w:b/>
          <w:bCs/>
          <w:lang w:val="en-US"/>
        </w:rPr>
      </w:pPr>
      <w:r w:rsidRPr="009E4636">
        <w:rPr>
          <w:rtl/>
          <w:lang w:val="en-US"/>
        </w:rPr>
        <w:t>52</w:t>
      </w:r>
      <w:r w:rsidRPr="00091C8B">
        <w:rPr>
          <w:rtl/>
          <w:lang w:val="en-US"/>
        </w:rPr>
        <w:t>-</w:t>
      </w:r>
      <w:r w:rsidRPr="00091C8B">
        <w:rPr>
          <w:rtl/>
          <w:lang w:val="en-US"/>
        </w:rPr>
        <w:tab/>
      </w:r>
      <w:r w:rsidRPr="009E4636">
        <w:rPr>
          <w:b/>
          <w:bCs/>
          <w:rtl/>
          <w:lang w:val="en-US"/>
        </w:rPr>
        <w:t>تشجع اللجنة الدولة الطرف على التوقيع والتصديق على البروتوكول الاختياري الملحق بالعهد الدولي الخاص بالحقوق الاقتصادية والاجتماعية والثقافية.</w:t>
      </w:r>
    </w:p>
    <w:p w14:paraId="1988F451" w14:textId="77777777" w:rsidR="00091C8B" w:rsidRPr="009E4636" w:rsidRDefault="00091C8B" w:rsidP="00091C8B">
      <w:pPr>
        <w:pStyle w:val="SingleTxtGA"/>
        <w:rPr>
          <w:b/>
          <w:bCs/>
          <w:lang w:val="en-US"/>
        </w:rPr>
      </w:pPr>
      <w:r w:rsidRPr="009E4636">
        <w:rPr>
          <w:rtl/>
          <w:lang w:val="en-US"/>
        </w:rPr>
        <w:t>53</w:t>
      </w:r>
      <w:r w:rsidRPr="00091C8B">
        <w:rPr>
          <w:rtl/>
          <w:lang w:val="en-US"/>
        </w:rPr>
        <w:t>-</w:t>
      </w:r>
      <w:r w:rsidRPr="00091C8B">
        <w:rPr>
          <w:rtl/>
          <w:lang w:val="en-US"/>
        </w:rPr>
        <w:tab/>
      </w:r>
      <w:r w:rsidRPr="009E4636">
        <w:rPr>
          <w:rFonts w:ascii="Times New Roman Bold" w:hAnsi="Times New Roman Bold"/>
          <w:b/>
          <w:bCs/>
          <w:spacing w:val="-4"/>
          <w:rtl/>
          <w:lang w:val="en-US"/>
        </w:rPr>
        <w:t>وتوصي اللجنة بأن تنظر الدولة الطرف في التصديق على الاتفاقية الدولية لحماية حقوق جميع</w:t>
      </w:r>
      <w:r w:rsidRPr="009E4636">
        <w:rPr>
          <w:b/>
          <w:bCs/>
          <w:rtl/>
          <w:lang w:val="en-US"/>
        </w:rPr>
        <w:t xml:space="preserve"> العمال المهاجرين وأفراد أسرهم.</w:t>
      </w:r>
    </w:p>
    <w:p w14:paraId="3611949A" w14:textId="5DBB0483" w:rsidR="00091C8B" w:rsidRPr="009E4636" w:rsidRDefault="00091C8B" w:rsidP="00091C8B">
      <w:pPr>
        <w:pStyle w:val="SingleTxtGA"/>
        <w:rPr>
          <w:b/>
          <w:bCs/>
          <w:lang w:val="en-US"/>
        </w:rPr>
      </w:pPr>
      <w:r w:rsidRPr="009E4636">
        <w:rPr>
          <w:rtl/>
          <w:lang w:val="en-US"/>
        </w:rPr>
        <w:t>54</w:t>
      </w:r>
      <w:r w:rsidRPr="00364683">
        <w:rPr>
          <w:rtl/>
          <w:lang w:val="en-US"/>
        </w:rPr>
        <w:t>-</w:t>
      </w:r>
      <w:r w:rsidRPr="00364683">
        <w:rPr>
          <w:rtl/>
          <w:lang w:val="en-US"/>
        </w:rPr>
        <w:tab/>
      </w:r>
      <w:r w:rsidRPr="009E4636">
        <w:rPr>
          <w:b/>
          <w:bCs/>
          <w:rtl/>
          <w:lang w:val="en-US"/>
        </w:rPr>
        <w:t>وتوصي اللجنة بأن تراعي الدولة الطرف التزاماتها بموجب العهد مراعاة تامة وبأن تكفل التمتع الكامل بالحقوق المكرسة فيه أثناء تنفيذ خطة التنمية المستدامة لعام 2030 على الصعيد الوطني</w:t>
      </w:r>
      <w:r w:rsidR="0032072C" w:rsidRPr="009E4636">
        <w:rPr>
          <w:b/>
          <w:bCs/>
          <w:rtl/>
          <w:lang w:val="en-US"/>
        </w:rPr>
        <w:t>،</w:t>
      </w:r>
      <w:r w:rsidRPr="009E4636">
        <w:rPr>
          <w:b/>
          <w:bCs/>
          <w:rtl/>
          <w:lang w:val="en-US"/>
        </w:rPr>
        <w:t xml:space="preserve"> وحتى في مرحلة التعافي من جائحة كوفيد-19. وستيسر الدولة الطرف إلى حد كبير تحقيق أهداف التنمية المستدامة بإنشاء آليات مستقلة لرصد ما يتحقق من تقدم ومعاملة المستفيدين من البرامج العامة بصفتهم ذوي حقوق يمكنهم المطالبة باستحقاقاتهم. وعلاوة على ذلك</w:t>
      </w:r>
      <w:r w:rsidR="0032072C" w:rsidRPr="009E4636">
        <w:rPr>
          <w:b/>
          <w:bCs/>
          <w:rtl/>
          <w:lang w:val="en-US"/>
        </w:rPr>
        <w:t>،</w:t>
      </w:r>
      <w:r w:rsidRPr="009E4636">
        <w:rPr>
          <w:b/>
          <w:bCs/>
          <w:rtl/>
          <w:lang w:val="en-US"/>
        </w:rPr>
        <w:t xml:space="preserve"> توصي اللجنة بأن تدعم الدولة الطرف الالتزام العالمي بعقد العمل من أجل تحقيق أهداف التنمية المستدامة. وسيكفل تنفيذ الأهداف الإنمائية للألفية</w:t>
      </w:r>
      <w:r w:rsidR="0032072C" w:rsidRPr="009E4636">
        <w:rPr>
          <w:b/>
          <w:bCs/>
          <w:rtl/>
          <w:lang w:val="en-US"/>
        </w:rPr>
        <w:t>،</w:t>
      </w:r>
      <w:r w:rsidRPr="009E4636">
        <w:rPr>
          <w:b/>
          <w:bCs/>
          <w:rtl/>
          <w:lang w:val="en-US"/>
        </w:rPr>
        <w:t xml:space="preserve"> على أساس مبادئ المشاركة والمساءلة وعدم التمييز</w:t>
      </w:r>
      <w:r w:rsidR="0032072C" w:rsidRPr="009E4636">
        <w:rPr>
          <w:b/>
          <w:bCs/>
          <w:rtl/>
          <w:lang w:val="en-US"/>
        </w:rPr>
        <w:t>،</w:t>
      </w:r>
      <w:r w:rsidRPr="009E4636">
        <w:rPr>
          <w:b/>
          <w:bCs/>
          <w:rtl/>
          <w:lang w:val="en-US"/>
        </w:rPr>
        <w:t xml:space="preserve"> عدم تخلُّف أحد عن الركب. وفي هذا الصدد</w:t>
      </w:r>
      <w:r w:rsidR="0032072C" w:rsidRPr="009E4636">
        <w:rPr>
          <w:b/>
          <w:bCs/>
          <w:rtl/>
          <w:lang w:val="en-US"/>
        </w:rPr>
        <w:t>،</w:t>
      </w:r>
      <w:r w:rsidRPr="009E4636">
        <w:rPr>
          <w:b/>
          <w:bCs/>
          <w:rtl/>
          <w:lang w:val="en-US"/>
        </w:rPr>
        <w:t xml:space="preserve"> توجه اللجنة انتباه الدولة الطرف إلى بيانها بشأن التعهد بعدم ترك أحد خلف </w:t>
      </w:r>
      <w:proofErr w:type="gramStart"/>
      <w:r w:rsidRPr="009E4636">
        <w:rPr>
          <w:b/>
          <w:bCs/>
          <w:rtl/>
          <w:lang w:val="en-US"/>
        </w:rPr>
        <w:t>الركب</w:t>
      </w:r>
      <w:r w:rsidRPr="009E4636">
        <w:rPr>
          <w:b/>
          <w:bCs/>
          <w:vertAlign w:val="superscript"/>
          <w:rtl/>
          <w:lang w:val="en-US"/>
        </w:rPr>
        <w:t>(</w:t>
      </w:r>
      <w:proofErr w:type="gramEnd"/>
      <w:r w:rsidRPr="009E4636">
        <w:rPr>
          <w:rStyle w:val="FootnoteReference"/>
          <w:b/>
          <w:bCs/>
          <w:szCs w:val="22"/>
          <w:lang w:val="en-US"/>
        </w:rPr>
        <w:footnoteReference w:id="9"/>
      </w:r>
      <w:r w:rsidRPr="009E4636">
        <w:rPr>
          <w:b/>
          <w:bCs/>
          <w:vertAlign w:val="superscript"/>
          <w:rtl/>
          <w:lang w:val="en-US"/>
        </w:rPr>
        <w:t>)</w:t>
      </w:r>
      <w:r w:rsidRPr="009E4636">
        <w:rPr>
          <w:b/>
          <w:bCs/>
          <w:rtl/>
          <w:lang w:val="en-US"/>
        </w:rPr>
        <w:t>.</w:t>
      </w:r>
    </w:p>
    <w:p w14:paraId="5B7EB53B" w14:textId="0B93B759" w:rsidR="00091C8B" w:rsidRPr="009E4636" w:rsidRDefault="00091C8B" w:rsidP="00091C8B">
      <w:pPr>
        <w:pStyle w:val="SingleTxtGA"/>
        <w:rPr>
          <w:b/>
          <w:bCs/>
          <w:lang w:val="en-US"/>
        </w:rPr>
      </w:pPr>
      <w:r w:rsidRPr="009E4636">
        <w:rPr>
          <w:rtl/>
          <w:lang w:val="en-US"/>
        </w:rPr>
        <w:lastRenderedPageBreak/>
        <w:t>55</w:t>
      </w:r>
      <w:r w:rsidRPr="00091C8B">
        <w:rPr>
          <w:rtl/>
          <w:lang w:val="en-US"/>
        </w:rPr>
        <w:t>-</w:t>
      </w:r>
      <w:r w:rsidRPr="00091C8B">
        <w:rPr>
          <w:rtl/>
          <w:lang w:val="en-US"/>
        </w:rPr>
        <w:tab/>
      </w:r>
      <w:r w:rsidRPr="009E4636">
        <w:rPr>
          <w:b/>
          <w:bCs/>
          <w:rtl/>
          <w:lang w:val="en-US"/>
        </w:rPr>
        <w:t>وتطلب اللجنة إلى الدولة الطرف أن تنشر هذه الملاحظات الختامية على نطاق واسع على جميع مستويات المجتمع</w:t>
      </w:r>
      <w:r w:rsidR="0032072C" w:rsidRPr="009E4636">
        <w:rPr>
          <w:b/>
          <w:bCs/>
          <w:rtl/>
          <w:lang w:val="en-US"/>
        </w:rPr>
        <w:t>،</w:t>
      </w:r>
      <w:r w:rsidRPr="009E4636">
        <w:rPr>
          <w:b/>
          <w:bCs/>
          <w:rtl/>
          <w:lang w:val="en-US"/>
        </w:rPr>
        <w:t xml:space="preserve"> بما فيها على الصعيد الوطني والإقليمي والبلدي</w:t>
      </w:r>
      <w:r w:rsidR="0032072C" w:rsidRPr="009E4636">
        <w:rPr>
          <w:b/>
          <w:bCs/>
          <w:rtl/>
          <w:lang w:val="en-US"/>
        </w:rPr>
        <w:t>،</w:t>
      </w:r>
      <w:r w:rsidRPr="009E4636">
        <w:rPr>
          <w:b/>
          <w:bCs/>
          <w:rtl/>
          <w:lang w:val="en-US"/>
        </w:rPr>
        <w:t xml:space="preserve"> ولا سيما في صفوف البرلمانيين والموظفين العموميين والسلطات القضائية</w:t>
      </w:r>
      <w:r w:rsidR="0032072C" w:rsidRPr="009E4636">
        <w:rPr>
          <w:b/>
          <w:bCs/>
          <w:rtl/>
          <w:lang w:val="en-US"/>
        </w:rPr>
        <w:t>،</w:t>
      </w:r>
      <w:r w:rsidRPr="009E4636">
        <w:rPr>
          <w:b/>
          <w:bCs/>
          <w:rtl/>
          <w:lang w:val="en-US"/>
        </w:rPr>
        <w:t xml:space="preserve"> وأن تبلغ اللجنة في تقريرها الدوري المقبل بما</w:t>
      </w:r>
      <w:r w:rsidR="00364683" w:rsidRPr="009E4636">
        <w:rPr>
          <w:rFonts w:hint="cs"/>
          <w:b/>
          <w:bCs/>
          <w:rtl/>
          <w:lang w:val="en-US"/>
        </w:rPr>
        <w:t> </w:t>
      </w:r>
      <w:r w:rsidRPr="009E4636">
        <w:rPr>
          <w:b/>
          <w:bCs/>
          <w:rtl/>
          <w:lang w:val="en-US"/>
        </w:rPr>
        <w:t>اتخذته من خطوات لتنفيذها. وتشجع اللجنة الدولة الطرف على العمل مع هيئة الدفاع العام عن الحقوق (أمانة المظالم)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14:paraId="26FB77BF" w14:textId="7EC20E3B" w:rsidR="00091C8B" w:rsidRPr="009E4636" w:rsidRDefault="00091C8B" w:rsidP="00091C8B">
      <w:pPr>
        <w:pStyle w:val="SingleTxtGA"/>
        <w:rPr>
          <w:b/>
          <w:bCs/>
          <w:lang w:val="en-US"/>
        </w:rPr>
      </w:pPr>
      <w:r w:rsidRPr="009E4636">
        <w:rPr>
          <w:rtl/>
          <w:lang w:val="en-US"/>
        </w:rPr>
        <w:t>56</w:t>
      </w:r>
      <w:r w:rsidRPr="00091C8B">
        <w:rPr>
          <w:rtl/>
          <w:lang w:val="en-US"/>
        </w:rPr>
        <w:t>-</w:t>
      </w:r>
      <w:r w:rsidRPr="00091C8B">
        <w:rPr>
          <w:rtl/>
          <w:lang w:val="en-US"/>
        </w:rPr>
        <w:tab/>
      </w:r>
      <w:r w:rsidRPr="009E4636">
        <w:rPr>
          <w:b/>
          <w:bCs/>
          <w:rtl/>
          <w:lang w:val="en-US"/>
        </w:rPr>
        <w:t>ووفقا</w:t>
      </w:r>
      <w:r w:rsidR="002A349E" w:rsidRPr="009E4636">
        <w:rPr>
          <w:rFonts w:hint="cs"/>
          <w:b/>
          <w:bCs/>
          <w:rtl/>
          <w:lang w:val="en-US"/>
        </w:rPr>
        <w:t>ً</w:t>
      </w:r>
      <w:r w:rsidRPr="009E4636">
        <w:rPr>
          <w:b/>
          <w:bCs/>
          <w:rtl/>
          <w:lang w:val="en-US"/>
        </w:rPr>
        <w:t xml:space="preserve"> لإجراء متابعة الملاحظات الختامية الذي اعتمدته اللجنة</w:t>
      </w:r>
      <w:r w:rsidR="0032072C" w:rsidRPr="009E4636">
        <w:rPr>
          <w:b/>
          <w:bCs/>
          <w:rtl/>
          <w:lang w:val="en-US"/>
        </w:rPr>
        <w:t>،</w:t>
      </w:r>
      <w:r w:rsidRPr="009E4636">
        <w:rPr>
          <w:b/>
          <w:bCs/>
          <w:rtl/>
          <w:lang w:val="en-US"/>
        </w:rPr>
        <w:t xml:space="preserve"> يُطلب إلى الدولة الطرف أن تقدم</w:t>
      </w:r>
      <w:r w:rsidR="0032072C" w:rsidRPr="009E4636">
        <w:rPr>
          <w:b/>
          <w:bCs/>
          <w:rtl/>
          <w:lang w:val="en-US"/>
        </w:rPr>
        <w:t>،</w:t>
      </w:r>
      <w:r w:rsidRPr="009E4636">
        <w:rPr>
          <w:b/>
          <w:bCs/>
          <w:rtl/>
          <w:lang w:val="en-US"/>
        </w:rPr>
        <w:t xml:space="preserve"> في غضون 24 شهر</w:t>
      </w:r>
      <w:r w:rsidR="00364683" w:rsidRPr="009E4636">
        <w:rPr>
          <w:b/>
          <w:bCs/>
          <w:rtl/>
          <w:lang w:val="en-US"/>
        </w:rPr>
        <w:t xml:space="preserve">اً </w:t>
      </w:r>
      <w:r w:rsidRPr="009E4636">
        <w:rPr>
          <w:b/>
          <w:bCs/>
          <w:rtl/>
          <w:lang w:val="en-US"/>
        </w:rPr>
        <w:t>من تاريخ اعتماد هذه الملاحظات الختامية</w:t>
      </w:r>
      <w:r w:rsidR="0032072C" w:rsidRPr="009E4636">
        <w:rPr>
          <w:b/>
          <w:bCs/>
          <w:rtl/>
          <w:lang w:val="en-US"/>
        </w:rPr>
        <w:t>،</w:t>
      </w:r>
      <w:r w:rsidRPr="009E4636">
        <w:rPr>
          <w:b/>
          <w:bCs/>
          <w:rtl/>
          <w:lang w:val="en-US"/>
        </w:rPr>
        <w:t xml:space="preserve"> معلومات عن تنفيذ التوصيات الواردة في الفقرات 19(أ) (الفجوة في الأجور بين الجنسين) و31(ب) (الأطفال المودعين في مؤسسات) و37(أ) (السكن اللائق) أعلاه.</w:t>
      </w:r>
    </w:p>
    <w:p w14:paraId="182D8FAA" w14:textId="1A606AEA" w:rsidR="00091C8B" w:rsidRPr="009E4636" w:rsidRDefault="00091C8B" w:rsidP="00091C8B">
      <w:pPr>
        <w:pStyle w:val="SingleTxtGA"/>
        <w:rPr>
          <w:b/>
          <w:bCs/>
          <w:lang w:val="en-US"/>
        </w:rPr>
      </w:pPr>
      <w:r w:rsidRPr="009E4636">
        <w:rPr>
          <w:rtl/>
          <w:lang w:val="en-US"/>
        </w:rPr>
        <w:t>57</w:t>
      </w:r>
      <w:r w:rsidRPr="00091C8B">
        <w:rPr>
          <w:rtl/>
          <w:lang w:val="en-US"/>
        </w:rPr>
        <w:t>-</w:t>
      </w:r>
      <w:r w:rsidRPr="00091C8B">
        <w:rPr>
          <w:rtl/>
          <w:lang w:val="en-US"/>
        </w:rPr>
        <w:tab/>
      </w:r>
      <w:r w:rsidRPr="009E4636">
        <w:rPr>
          <w:b/>
          <w:bCs/>
          <w:rtl/>
          <w:lang w:val="en-US"/>
        </w:rPr>
        <w:t>وتطلب اللجنة إلى الدولة الطرف أن تقدم تقريرها الدوري الرابع وفق</w:t>
      </w:r>
      <w:r w:rsidR="00364683" w:rsidRPr="009E4636">
        <w:rPr>
          <w:b/>
          <w:bCs/>
          <w:rtl/>
          <w:lang w:val="en-US"/>
        </w:rPr>
        <w:t xml:space="preserve">اً </w:t>
      </w:r>
      <w:r w:rsidRPr="009E4636">
        <w:rPr>
          <w:b/>
          <w:bCs/>
          <w:rtl/>
          <w:lang w:val="en-US"/>
        </w:rPr>
        <w:t>للمادة 16 من العهد بحلول 31 آذار/مارس 2027</w:t>
      </w:r>
      <w:r w:rsidR="0032072C" w:rsidRPr="009E4636">
        <w:rPr>
          <w:b/>
          <w:bCs/>
          <w:rtl/>
          <w:lang w:val="en-US"/>
        </w:rPr>
        <w:t>،</w:t>
      </w:r>
      <w:r w:rsidRPr="009E4636">
        <w:rPr>
          <w:b/>
          <w:bCs/>
          <w:rtl/>
          <w:lang w:val="en-US"/>
        </w:rPr>
        <w:t xml:space="preserve"> ما لم تُخطَر بخلاف ذلك نتيجة تغييرٍ في دورة الاستعراض. ووفق</w:t>
      </w:r>
      <w:r w:rsidR="00364683" w:rsidRPr="009E4636">
        <w:rPr>
          <w:b/>
          <w:bCs/>
          <w:rtl/>
          <w:lang w:val="en-US"/>
        </w:rPr>
        <w:t xml:space="preserve">اً </w:t>
      </w:r>
      <w:r w:rsidRPr="009E4636">
        <w:rPr>
          <w:b/>
          <w:bCs/>
          <w:rtl/>
          <w:lang w:val="en-US"/>
        </w:rPr>
        <w:t>لقرار الجمعية العامة 68/268</w:t>
      </w:r>
      <w:r w:rsidR="0032072C" w:rsidRPr="009E4636">
        <w:rPr>
          <w:b/>
          <w:bCs/>
          <w:rtl/>
          <w:lang w:val="en-US"/>
        </w:rPr>
        <w:t>،</w:t>
      </w:r>
      <w:r w:rsidRPr="009E4636">
        <w:rPr>
          <w:b/>
          <w:bCs/>
          <w:rtl/>
          <w:lang w:val="en-US"/>
        </w:rPr>
        <w:t xml:space="preserve"> يكون الحد الأقصى لعدد كلمات التقرير هو 200 21 كلمة.</w:t>
      </w:r>
    </w:p>
    <w:p w14:paraId="6272CD56" w14:textId="32CD3BFB" w:rsidR="00B54045" w:rsidRPr="00091C8B" w:rsidRDefault="00091C8B" w:rsidP="00091C8B">
      <w:pPr>
        <w:pStyle w:val="SingleTxtGA"/>
        <w:jc w:val="center"/>
        <w:rPr>
          <w:rFonts w:hint="cs"/>
          <w:u w:val="single"/>
          <w:rtl/>
        </w:rPr>
      </w:pPr>
      <w:r>
        <w:rPr>
          <w:u w:val="single"/>
          <w:rtl/>
        </w:rPr>
        <w:tab/>
      </w:r>
      <w:r>
        <w:rPr>
          <w:u w:val="single"/>
          <w:rtl/>
        </w:rPr>
        <w:tab/>
      </w:r>
      <w:r>
        <w:rPr>
          <w:u w:val="single"/>
          <w:rtl/>
        </w:rPr>
        <w:tab/>
      </w:r>
    </w:p>
    <w:sectPr w:rsidR="00B54045" w:rsidRPr="00091C8B" w:rsidSect="00D349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CBBA" w14:textId="77777777" w:rsidR="007A264E" w:rsidRPr="002901D9" w:rsidRDefault="007A264E" w:rsidP="00485999">
      <w:pPr>
        <w:spacing w:after="60" w:line="240" w:lineRule="auto"/>
        <w:ind w:left="57"/>
        <w:rPr>
          <w:i/>
          <w:iCs/>
        </w:rPr>
      </w:pPr>
      <w:r>
        <w:rPr>
          <w:rFonts w:hint="cs"/>
          <w:i/>
          <w:iCs/>
          <w:rtl/>
        </w:rPr>
        <w:t>الحواشي</w:t>
      </w:r>
    </w:p>
  </w:endnote>
  <w:endnote w:type="continuationSeparator" w:id="0">
    <w:p w14:paraId="11FFD3CE" w14:textId="77777777" w:rsidR="007A264E" w:rsidRDefault="007A26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137B" w14:textId="4FEC3EFA" w:rsidR="00D57590" w:rsidRPr="00D57590" w:rsidRDefault="00D57590" w:rsidP="00D57590">
    <w:pPr>
      <w:pStyle w:val="Footer"/>
      <w:tabs>
        <w:tab w:val="right" w:pos="9638"/>
      </w:tabs>
      <w:rPr>
        <w:b/>
        <w:sz w:val="18"/>
        <w:lang w:val="en-US"/>
      </w:rPr>
    </w:pPr>
    <w:r>
      <w:rPr>
        <w:lang w:val="en-US"/>
      </w:rPr>
      <w:t>GE.22-04532</w:t>
    </w:r>
    <w:r>
      <w:rPr>
        <w:lang w:val="en-US"/>
      </w:rPr>
      <w:tab/>
    </w:r>
    <w:r w:rsidRPr="00D57590">
      <w:rPr>
        <w:b/>
        <w:sz w:val="18"/>
        <w:lang w:val="en-US"/>
      </w:rPr>
      <w:fldChar w:fldCharType="begin"/>
    </w:r>
    <w:r w:rsidRPr="00D57590">
      <w:rPr>
        <w:b/>
        <w:sz w:val="18"/>
        <w:lang w:val="en-US"/>
      </w:rPr>
      <w:instrText xml:space="preserve"> PAGE  \* MERGEFORMAT </w:instrText>
    </w:r>
    <w:r w:rsidRPr="00D57590">
      <w:rPr>
        <w:b/>
        <w:sz w:val="18"/>
        <w:lang w:val="en-US"/>
      </w:rPr>
      <w:fldChar w:fldCharType="separate"/>
    </w:r>
    <w:r w:rsidRPr="00D57590">
      <w:rPr>
        <w:b/>
        <w:noProof/>
        <w:sz w:val="18"/>
        <w:lang w:val="en-US"/>
      </w:rPr>
      <w:t>2</w:t>
    </w:r>
    <w:r w:rsidRPr="00D5759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2BAE" w14:textId="6AEE0F1A" w:rsidR="006959B0" w:rsidRPr="00D57590" w:rsidRDefault="00D57590" w:rsidP="00D5759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GE.22-04532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60AB" w14:textId="20C504A6" w:rsidR="00FD4BC9" w:rsidRPr="00D57590" w:rsidRDefault="00D57590" w:rsidP="00D57590">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9664623" wp14:editId="7B1B532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22-04532 (A)</w:t>
    </w:r>
    <w:r>
      <w:rPr>
        <w:noProof/>
        <w:sz w:val="20"/>
        <w:lang w:val="en-US"/>
      </w:rPr>
      <w:drawing>
        <wp:anchor distT="0" distB="0" distL="114300" distR="114300" simplePos="0" relativeHeight="251659264" behindDoc="0" locked="0" layoutInCell="1" allowOverlap="1" wp14:anchorId="770747B7" wp14:editId="4D7137A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700F" w14:textId="77777777" w:rsidR="007A264E" w:rsidRPr="00EE401A" w:rsidRDefault="007A264E"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0601E20" w14:textId="77777777" w:rsidR="007A264E" w:rsidRDefault="007A264E" w:rsidP="00656392">
      <w:pPr>
        <w:spacing w:line="240" w:lineRule="auto"/>
      </w:pPr>
      <w:r>
        <w:continuationSeparator/>
      </w:r>
    </w:p>
  </w:footnote>
  <w:footnote w:id="1">
    <w:p w14:paraId="123E1028" w14:textId="4575907C" w:rsidR="00091C8B" w:rsidRPr="00091C8B" w:rsidRDefault="00091C8B" w:rsidP="00091C8B">
      <w:pPr>
        <w:pStyle w:val="FootnoteText1"/>
        <w:rPr>
          <w:rFonts w:hint="cs"/>
          <w:rtl/>
        </w:rPr>
      </w:pPr>
      <w:r>
        <w:rPr>
          <w:rtl/>
        </w:rPr>
        <w:t>*</w:t>
      </w:r>
      <w:r>
        <w:rPr>
          <w:rtl/>
        </w:rPr>
        <w:tab/>
      </w:r>
      <w:r>
        <w:rPr>
          <w:rtl/>
        </w:rPr>
        <w:t xml:space="preserve">اعتمدته اللجنة في دورتها الحادية والسبعين </w:t>
      </w:r>
      <w:r>
        <w:rPr>
          <w:rFonts w:ascii="Traditional Arabic"/>
          <w:szCs w:val="20"/>
          <w:rtl/>
        </w:rPr>
        <w:t>(</w:t>
      </w:r>
      <w:r w:rsidRPr="009E4636">
        <w:rPr>
          <w:rFonts w:ascii="Traditional Arabic"/>
          <w:szCs w:val="20"/>
          <w:rtl/>
        </w:rPr>
        <w:t>14</w:t>
      </w:r>
      <w:r>
        <w:rPr>
          <w:rtl/>
        </w:rPr>
        <w:t xml:space="preserve"> شباط/فبراير - </w:t>
      </w:r>
      <w:r w:rsidRPr="009E4636">
        <w:rPr>
          <w:rFonts w:ascii="Traditional Arabic"/>
          <w:szCs w:val="20"/>
          <w:rtl/>
        </w:rPr>
        <w:t>4</w:t>
      </w:r>
      <w:r>
        <w:rPr>
          <w:rtl/>
        </w:rPr>
        <w:t xml:space="preserve"> آذار/مارس </w:t>
      </w:r>
      <w:r w:rsidRPr="009E4636">
        <w:rPr>
          <w:rFonts w:ascii="Traditional Arabic"/>
          <w:szCs w:val="20"/>
          <w:rtl/>
        </w:rPr>
        <w:t>2022</w:t>
      </w:r>
      <w:r>
        <w:rPr>
          <w:rFonts w:ascii="Traditional Arabic"/>
          <w:szCs w:val="20"/>
          <w:rtl/>
        </w:rPr>
        <w:t>)</w:t>
      </w:r>
      <w:r>
        <w:rPr>
          <w:rtl/>
        </w:rPr>
        <w:t>.</w:t>
      </w:r>
    </w:p>
  </w:footnote>
  <w:footnote w:id="2">
    <w:p w14:paraId="5A1055AF" w14:textId="77777777" w:rsidR="003A6240" w:rsidRPr="003A6240" w:rsidRDefault="003A6240" w:rsidP="003A6240">
      <w:pPr>
        <w:pStyle w:val="FootnoteText1"/>
        <w:textDirection w:val="tbRlV"/>
        <w:rPr>
          <w:lang w:val="es-ES"/>
        </w:rPr>
      </w:pPr>
      <w:r w:rsidRPr="00091C8B">
        <w:rPr>
          <w:rtl/>
        </w:rPr>
        <w:t>(</w:t>
      </w:r>
      <w:r w:rsidRPr="009E4636">
        <w:rPr>
          <w:rStyle w:val="FootnoteReference"/>
          <w:vertAlign w:val="baseline"/>
        </w:rPr>
        <w:footnoteRef/>
      </w:r>
      <w:r w:rsidRPr="00091C8B">
        <w:rPr>
          <w:rtl/>
        </w:rPr>
        <w:t>)</w:t>
      </w:r>
      <w:r>
        <w:rPr>
          <w:rtl/>
        </w:rPr>
        <w:tab/>
      </w:r>
      <w:hyperlink r:id="rId1" w:history="1">
        <w:r w:rsidRPr="003A6240">
          <w:rPr>
            <w:rStyle w:val="Hyperlink"/>
            <w:lang w:val="es-ES"/>
          </w:rPr>
          <w:t>E/C.</w:t>
        </w:r>
        <w:r w:rsidRPr="009E4636">
          <w:rPr>
            <w:rStyle w:val="Hyperlink"/>
            <w:lang w:val="es-ES"/>
          </w:rPr>
          <w:t>12</w:t>
        </w:r>
        <w:r w:rsidRPr="003A6240">
          <w:rPr>
            <w:rStyle w:val="Hyperlink"/>
            <w:lang w:val="es-ES"/>
          </w:rPr>
          <w:t>/CZE/</w:t>
        </w:r>
        <w:r w:rsidRPr="009E4636">
          <w:rPr>
            <w:rStyle w:val="Hyperlink"/>
            <w:lang w:val="es-ES"/>
          </w:rPr>
          <w:t>3</w:t>
        </w:r>
      </w:hyperlink>
      <w:r>
        <w:rPr>
          <w:rtl/>
        </w:rPr>
        <w:t>.</w:t>
      </w:r>
    </w:p>
  </w:footnote>
  <w:footnote w:id="3">
    <w:p w14:paraId="7FEA9316" w14:textId="77777777" w:rsidR="003A6240" w:rsidRPr="00091C8B" w:rsidRDefault="003A6240" w:rsidP="003A6240">
      <w:pPr>
        <w:pStyle w:val="FootnoteText1"/>
        <w:textDirection w:val="tbRlV"/>
      </w:pPr>
      <w:r w:rsidRPr="00091C8B">
        <w:rPr>
          <w:rtl/>
        </w:rPr>
        <w:t>(</w:t>
      </w:r>
      <w:r w:rsidRPr="009E4636">
        <w:rPr>
          <w:rStyle w:val="FootnoteReference"/>
          <w:vertAlign w:val="baseline"/>
        </w:rPr>
        <w:footnoteRef/>
      </w:r>
      <w:r w:rsidRPr="00091C8B">
        <w:rPr>
          <w:rtl/>
        </w:rPr>
        <w:t>)</w:t>
      </w:r>
      <w:r>
        <w:rPr>
          <w:rtl/>
        </w:rPr>
        <w:tab/>
        <w:t xml:space="preserve">انظر </w:t>
      </w:r>
      <w:hyperlink r:id="rId2" w:history="1">
        <w:r w:rsidRPr="0032072C">
          <w:rPr>
            <w:rStyle w:val="Hyperlink"/>
          </w:rPr>
          <w:t>E/C.</w:t>
        </w:r>
        <w:r w:rsidRPr="009E4636">
          <w:rPr>
            <w:rStyle w:val="Hyperlink"/>
          </w:rPr>
          <w:t>12</w:t>
        </w:r>
        <w:r w:rsidRPr="0032072C">
          <w:rPr>
            <w:rStyle w:val="Hyperlink"/>
          </w:rPr>
          <w:t>/</w:t>
        </w:r>
        <w:r w:rsidRPr="009E4636">
          <w:rPr>
            <w:rStyle w:val="Hyperlink"/>
          </w:rPr>
          <w:t>2022</w:t>
        </w:r>
        <w:r w:rsidRPr="0032072C">
          <w:rPr>
            <w:rStyle w:val="Hyperlink"/>
          </w:rPr>
          <w:t>/SR.</w:t>
        </w:r>
        <w:r w:rsidRPr="009E4636">
          <w:rPr>
            <w:rStyle w:val="Hyperlink"/>
          </w:rPr>
          <w:t>8</w:t>
        </w:r>
      </w:hyperlink>
      <w:r>
        <w:rPr>
          <w:rtl/>
        </w:rPr>
        <w:t xml:space="preserve"> و</w:t>
      </w:r>
      <w:hyperlink r:id="rId3" w:history="1">
        <w:r w:rsidRPr="0032072C">
          <w:rPr>
            <w:rStyle w:val="Hyperlink"/>
          </w:rPr>
          <w:t>E/C.</w:t>
        </w:r>
        <w:r w:rsidRPr="009E4636">
          <w:rPr>
            <w:rStyle w:val="Hyperlink"/>
          </w:rPr>
          <w:t>12</w:t>
        </w:r>
        <w:r w:rsidRPr="0032072C">
          <w:rPr>
            <w:rStyle w:val="Hyperlink"/>
          </w:rPr>
          <w:t>/</w:t>
        </w:r>
        <w:r w:rsidRPr="009E4636">
          <w:rPr>
            <w:rStyle w:val="Hyperlink"/>
          </w:rPr>
          <w:t>2022</w:t>
        </w:r>
        <w:r w:rsidRPr="0032072C">
          <w:rPr>
            <w:rStyle w:val="Hyperlink"/>
          </w:rPr>
          <w:t>/SR.</w:t>
        </w:r>
        <w:r w:rsidRPr="009E4636">
          <w:rPr>
            <w:rStyle w:val="Hyperlink"/>
          </w:rPr>
          <w:t>9</w:t>
        </w:r>
      </w:hyperlink>
      <w:r>
        <w:rPr>
          <w:rtl/>
        </w:rPr>
        <w:t xml:space="preserve"> و</w:t>
      </w:r>
      <w:hyperlink r:id="rId4" w:history="1">
        <w:r w:rsidRPr="0032072C">
          <w:rPr>
            <w:rStyle w:val="Hyperlink"/>
          </w:rPr>
          <w:t>E/C.</w:t>
        </w:r>
        <w:r w:rsidRPr="009E4636">
          <w:rPr>
            <w:rStyle w:val="Hyperlink"/>
          </w:rPr>
          <w:t>12</w:t>
        </w:r>
        <w:r w:rsidRPr="0032072C">
          <w:rPr>
            <w:rStyle w:val="Hyperlink"/>
          </w:rPr>
          <w:t>/</w:t>
        </w:r>
        <w:r w:rsidRPr="009E4636">
          <w:rPr>
            <w:rStyle w:val="Hyperlink"/>
          </w:rPr>
          <w:t>2022</w:t>
        </w:r>
        <w:r w:rsidRPr="0032072C">
          <w:rPr>
            <w:rStyle w:val="Hyperlink"/>
          </w:rPr>
          <w:t>/SR.</w:t>
        </w:r>
        <w:r w:rsidRPr="009E4636">
          <w:rPr>
            <w:rStyle w:val="Hyperlink"/>
          </w:rPr>
          <w:t>10</w:t>
        </w:r>
      </w:hyperlink>
      <w:r>
        <w:rPr>
          <w:rtl/>
        </w:rPr>
        <w:t>.</w:t>
      </w:r>
    </w:p>
  </w:footnote>
  <w:footnote w:id="4">
    <w:p w14:paraId="4A88B301" w14:textId="2B7CA9C5" w:rsidR="00091C8B" w:rsidRPr="003A6240" w:rsidRDefault="00091C8B" w:rsidP="00091C8B">
      <w:pPr>
        <w:pStyle w:val="FootnoteText1"/>
        <w:textDirection w:val="tbRlV"/>
        <w:rPr>
          <w:lang w:val="es-ES"/>
        </w:rPr>
      </w:pPr>
      <w:r w:rsidRPr="00091C8B">
        <w:rPr>
          <w:rtl/>
        </w:rPr>
        <w:t>(</w:t>
      </w:r>
      <w:r w:rsidRPr="009E4636">
        <w:rPr>
          <w:rStyle w:val="FootnoteReference"/>
          <w:vertAlign w:val="baseline"/>
        </w:rPr>
        <w:footnoteRef/>
      </w:r>
      <w:r w:rsidRPr="00091C8B">
        <w:rPr>
          <w:rtl/>
        </w:rPr>
        <w:t>)</w:t>
      </w:r>
      <w:r>
        <w:rPr>
          <w:rtl/>
        </w:rPr>
        <w:tab/>
      </w:r>
      <w:hyperlink r:id="rId5" w:history="1">
        <w:r w:rsidRPr="003A6240">
          <w:rPr>
            <w:rStyle w:val="Hyperlink"/>
            <w:lang w:val="es-ES"/>
          </w:rPr>
          <w:t>E/C.</w:t>
        </w:r>
        <w:r w:rsidRPr="009E4636">
          <w:rPr>
            <w:rStyle w:val="Hyperlink"/>
            <w:lang w:val="es-ES"/>
          </w:rPr>
          <w:t>12</w:t>
        </w:r>
        <w:r w:rsidRPr="003A6240">
          <w:rPr>
            <w:rStyle w:val="Hyperlink"/>
            <w:lang w:val="es-ES"/>
          </w:rPr>
          <w:t>/CZE/RQ/</w:t>
        </w:r>
        <w:r w:rsidRPr="009E4636">
          <w:rPr>
            <w:rStyle w:val="Hyperlink"/>
            <w:lang w:val="es-ES"/>
          </w:rPr>
          <w:t>3</w:t>
        </w:r>
      </w:hyperlink>
      <w:r>
        <w:rPr>
          <w:rtl/>
        </w:rPr>
        <w:t>.</w:t>
      </w:r>
    </w:p>
  </w:footnote>
  <w:footnote w:id="5">
    <w:p w14:paraId="03B7A8D5" w14:textId="5412663D" w:rsidR="00091C8B" w:rsidRPr="00091C8B" w:rsidRDefault="00091C8B" w:rsidP="0032072C">
      <w:pPr>
        <w:pStyle w:val="FootnoteText1"/>
        <w:spacing w:line="260" w:lineRule="exact"/>
        <w:textDirection w:val="tbRlV"/>
      </w:pPr>
      <w:r w:rsidRPr="00091C8B">
        <w:rPr>
          <w:rtl/>
        </w:rPr>
        <w:t>(</w:t>
      </w:r>
      <w:r w:rsidRPr="009E4636">
        <w:rPr>
          <w:rStyle w:val="FootnoteReference"/>
          <w:vertAlign w:val="baseline"/>
        </w:rPr>
        <w:footnoteRef/>
      </w:r>
      <w:r w:rsidRPr="00091C8B">
        <w:rPr>
          <w:rtl/>
        </w:rPr>
        <w:t>)</w:t>
      </w:r>
      <w:r>
        <w:rPr>
          <w:rtl/>
        </w:rPr>
        <w:tab/>
      </w:r>
      <w:hyperlink r:id="rId6" w:history="1">
        <w:r w:rsidRPr="0032072C">
          <w:rPr>
            <w:rStyle w:val="Hyperlink"/>
          </w:rPr>
          <w:t>E/C.</w:t>
        </w:r>
        <w:r w:rsidRPr="009E4636">
          <w:rPr>
            <w:rStyle w:val="Hyperlink"/>
          </w:rPr>
          <w:t>12</w:t>
        </w:r>
        <w:r w:rsidRPr="0032072C">
          <w:rPr>
            <w:rStyle w:val="Hyperlink"/>
          </w:rPr>
          <w:t>/</w:t>
        </w:r>
        <w:r w:rsidRPr="009E4636">
          <w:rPr>
            <w:rStyle w:val="Hyperlink"/>
          </w:rPr>
          <w:t>2018</w:t>
        </w:r>
        <w:r w:rsidRPr="0032072C">
          <w:rPr>
            <w:rStyle w:val="Hyperlink"/>
          </w:rPr>
          <w:t>/</w:t>
        </w:r>
        <w:r w:rsidRPr="009E4636">
          <w:rPr>
            <w:rStyle w:val="Hyperlink"/>
          </w:rPr>
          <w:t>1</w:t>
        </w:r>
      </w:hyperlink>
      <w:r>
        <w:rPr>
          <w:rtl/>
        </w:rPr>
        <w:t>.</w:t>
      </w:r>
    </w:p>
  </w:footnote>
  <w:footnote w:id="6">
    <w:p w14:paraId="3E5B0E42" w14:textId="091B1EF3" w:rsidR="00091C8B" w:rsidRPr="00091C8B" w:rsidRDefault="00091C8B" w:rsidP="00091C8B">
      <w:pPr>
        <w:pStyle w:val="FootnoteText1"/>
        <w:textDirection w:val="tbRlV"/>
      </w:pPr>
      <w:r w:rsidRPr="00091C8B">
        <w:rPr>
          <w:rtl/>
        </w:rPr>
        <w:t>(</w:t>
      </w:r>
      <w:r w:rsidRPr="009E4636">
        <w:rPr>
          <w:rStyle w:val="FootnoteReference"/>
          <w:vertAlign w:val="baseline"/>
        </w:rPr>
        <w:footnoteRef/>
      </w:r>
      <w:r w:rsidRPr="00091C8B">
        <w:rPr>
          <w:rtl/>
        </w:rPr>
        <w:t>)</w:t>
      </w:r>
      <w:r>
        <w:rPr>
          <w:rtl/>
        </w:rPr>
        <w:tab/>
      </w:r>
      <w:hyperlink r:id="rId7" w:history="1">
        <w:r w:rsidRPr="0032072C">
          <w:rPr>
            <w:rStyle w:val="Hyperlink"/>
          </w:rPr>
          <w:t>E/C.</w:t>
        </w:r>
        <w:r w:rsidRPr="009E4636">
          <w:rPr>
            <w:rStyle w:val="Hyperlink"/>
          </w:rPr>
          <w:t>12</w:t>
        </w:r>
        <w:r w:rsidRPr="0032072C">
          <w:rPr>
            <w:rStyle w:val="Hyperlink"/>
          </w:rPr>
          <w:t>/</w:t>
        </w:r>
        <w:r w:rsidRPr="009E4636">
          <w:rPr>
            <w:rStyle w:val="Hyperlink"/>
          </w:rPr>
          <w:t>2017</w:t>
        </w:r>
        <w:r w:rsidRPr="0032072C">
          <w:rPr>
            <w:rStyle w:val="Hyperlink"/>
          </w:rPr>
          <w:t>/</w:t>
        </w:r>
        <w:r w:rsidRPr="009E4636">
          <w:rPr>
            <w:rStyle w:val="Hyperlink"/>
          </w:rPr>
          <w:t>1</w:t>
        </w:r>
      </w:hyperlink>
      <w:r>
        <w:rPr>
          <w:rtl/>
        </w:rPr>
        <w:t>.</w:t>
      </w:r>
    </w:p>
  </w:footnote>
  <w:footnote w:id="7">
    <w:p w14:paraId="77657917" w14:textId="6436489B" w:rsidR="00091C8B" w:rsidRPr="00091C8B" w:rsidRDefault="00091C8B" w:rsidP="00091C8B">
      <w:pPr>
        <w:pStyle w:val="FootnoteText1"/>
        <w:textDirection w:val="tbRlV"/>
      </w:pPr>
      <w:r w:rsidRPr="00091C8B">
        <w:rPr>
          <w:rtl/>
        </w:rPr>
        <w:t>(</w:t>
      </w:r>
      <w:r w:rsidRPr="009E4636">
        <w:rPr>
          <w:rStyle w:val="FootnoteReference"/>
          <w:vertAlign w:val="baseline"/>
        </w:rPr>
        <w:footnoteRef/>
      </w:r>
      <w:r w:rsidRPr="00091C8B">
        <w:rPr>
          <w:rtl/>
        </w:rPr>
        <w:t>)</w:t>
      </w:r>
      <w:r>
        <w:rPr>
          <w:rtl/>
        </w:rPr>
        <w:tab/>
      </w:r>
      <w:hyperlink r:id="rId8" w:history="1">
        <w:r w:rsidRPr="0032072C">
          <w:rPr>
            <w:rStyle w:val="Hyperlink"/>
          </w:rPr>
          <w:t>E/C.</w:t>
        </w:r>
        <w:r w:rsidRPr="009E4636">
          <w:rPr>
            <w:rStyle w:val="Hyperlink"/>
          </w:rPr>
          <w:t>12</w:t>
        </w:r>
        <w:r w:rsidRPr="0032072C">
          <w:rPr>
            <w:rStyle w:val="Hyperlink"/>
          </w:rPr>
          <w:t>/</w:t>
        </w:r>
        <w:r w:rsidRPr="009E4636">
          <w:rPr>
            <w:rStyle w:val="Hyperlink"/>
          </w:rPr>
          <w:t>2020</w:t>
        </w:r>
        <w:r w:rsidRPr="0032072C">
          <w:rPr>
            <w:rStyle w:val="Hyperlink"/>
          </w:rPr>
          <w:t>/</w:t>
        </w:r>
        <w:r w:rsidRPr="009E4636">
          <w:rPr>
            <w:rStyle w:val="Hyperlink"/>
          </w:rPr>
          <w:t>1</w:t>
        </w:r>
      </w:hyperlink>
      <w:r>
        <w:rPr>
          <w:rtl/>
        </w:rPr>
        <w:t>.</w:t>
      </w:r>
    </w:p>
  </w:footnote>
  <w:footnote w:id="8">
    <w:p w14:paraId="349B83D5" w14:textId="6474A54D" w:rsidR="00091C8B" w:rsidRPr="00091C8B" w:rsidRDefault="00091C8B" w:rsidP="00091C8B">
      <w:pPr>
        <w:pStyle w:val="FootnoteText1"/>
        <w:textDirection w:val="tbRlV"/>
      </w:pPr>
      <w:r w:rsidRPr="00091C8B">
        <w:rPr>
          <w:rtl/>
        </w:rPr>
        <w:t>(</w:t>
      </w:r>
      <w:r w:rsidRPr="009E4636">
        <w:rPr>
          <w:rStyle w:val="FootnoteReference"/>
          <w:vertAlign w:val="baseline"/>
        </w:rPr>
        <w:footnoteRef/>
      </w:r>
      <w:r w:rsidRPr="00091C8B">
        <w:rPr>
          <w:rtl/>
        </w:rPr>
        <w:t>)</w:t>
      </w:r>
      <w:r>
        <w:rPr>
          <w:rtl/>
        </w:rPr>
        <w:tab/>
      </w:r>
      <w:hyperlink r:id="rId9" w:history="1">
        <w:r w:rsidRPr="0032072C">
          <w:rPr>
            <w:rStyle w:val="Hyperlink"/>
          </w:rPr>
          <w:t>E/C.</w:t>
        </w:r>
        <w:r w:rsidRPr="009E4636">
          <w:rPr>
            <w:rStyle w:val="Hyperlink"/>
          </w:rPr>
          <w:t>12</w:t>
        </w:r>
        <w:r w:rsidRPr="0032072C">
          <w:rPr>
            <w:rStyle w:val="Hyperlink"/>
          </w:rPr>
          <w:t>/</w:t>
        </w:r>
        <w:r w:rsidRPr="009E4636">
          <w:rPr>
            <w:rStyle w:val="Hyperlink"/>
          </w:rPr>
          <w:t>2020</w:t>
        </w:r>
        <w:r w:rsidRPr="0032072C">
          <w:rPr>
            <w:rStyle w:val="Hyperlink"/>
          </w:rPr>
          <w:t>/</w:t>
        </w:r>
        <w:r w:rsidRPr="009E4636">
          <w:rPr>
            <w:rStyle w:val="Hyperlink"/>
          </w:rPr>
          <w:t>2</w:t>
        </w:r>
      </w:hyperlink>
      <w:r>
        <w:rPr>
          <w:rtl/>
        </w:rPr>
        <w:t>.</w:t>
      </w:r>
    </w:p>
  </w:footnote>
  <w:footnote w:id="9">
    <w:p w14:paraId="0A4DA0DA" w14:textId="065D0D4D" w:rsidR="00091C8B" w:rsidRPr="00091C8B" w:rsidRDefault="00E24D19" w:rsidP="00091C8B">
      <w:pPr>
        <w:pStyle w:val="FootnoteText1"/>
        <w:textDirection w:val="tbRlV"/>
      </w:pPr>
      <w:r w:rsidRPr="00091C8B">
        <w:rPr>
          <w:rtl/>
        </w:rPr>
        <w:t>(</w:t>
      </w:r>
      <w:r w:rsidRPr="009E4636">
        <w:rPr>
          <w:rStyle w:val="FootnoteReference"/>
          <w:vertAlign w:val="baseline"/>
        </w:rPr>
        <w:footnoteRef/>
      </w:r>
      <w:r w:rsidRPr="00091C8B">
        <w:rPr>
          <w:rtl/>
        </w:rPr>
        <w:t>)</w:t>
      </w:r>
      <w:r>
        <w:rPr>
          <w:rtl/>
        </w:rPr>
        <w:tab/>
      </w:r>
      <w:hyperlink r:id="rId10" w:history="1">
        <w:r w:rsidR="00091C8B" w:rsidRPr="0032072C">
          <w:rPr>
            <w:rStyle w:val="Hyperlink"/>
          </w:rPr>
          <w:t>E/C.</w:t>
        </w:r>
        <w:r w:rsidR="00091C8B" w:rsidRPr="009E4636">
          <w:rPr>
            <w:rStyle w:val="Hyperlink"/>
          </w:rPr>
          <w:t>12</w:t>
        </w:r>
        <w:r w:rsidR="00091C8B" w:rsidRPr="0032072C">
          <w:rPr>
            <w:rStyle w:val="Hyperlink"/>
          </w:rPr>
          <w:t>/</w:t>
        </w:r>
        <w:r w:rsidR="00091C8B" w:rsidRPr="009E4636">
          <w:rPr>
            <w:rStyle w:val="Hyperlink"/>
          </w:rPr>
          <w:t>2019</w:t>
        </w:r>
        <w:r w:rsidR="00091C8B" w:rsidRPr="0032072C">
          <w:rPr>
            <w:rStyle w:val="Hyperlink"/>
          </w:rPr>
          <w:t>/</w:t>
        </w:r>
        <w:r w:rsidR="00091C8B" w:rsidRPr="009E4636">
          <w:rPr>
            <w:rStyle w:val="Hyperlink"/>
          </w:rPr>
          <w:t>1</w:t>
        </w:r>
      </w:hyperlink>
      <w:r w:rsidR="00091C8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A92" w14:textId="420FBB2E" w:rsidR="00D57590" w:rsidRPr="00D57590" w:rsidRDefault="00D57590" w:rsidP="00D5759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E/C.12/CZE/CO/3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16F7" w14:textId="21C02A56" w:rsidR="00D57590" w:rsidRPr="00D57590" w:rsidRDefault="00D57590" w:rsidP="00D5759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E/C.12/CZE/CO/3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1FE1"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4E"/>
    <w:rsid w:val="000076D5"/>
    <w:rsid w:val="000148E3"/>
    <w:rsid w:val="00043663"/>
    <w:rsid w:val="000505CF"/>
    <w:rsid w:val="00091C8B"/>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D5A74"/>
    <w:rsid w:val="001E1CAD"/>
    <w:rsid w:val="001E290D"/>
    <w:rsid w:val="002144FA"/>
    <w:rsid w:val="0023469A"/>
    <w:rsid w:val="00242AA9"/>
    <w:rsid w:val="00243C8A"/>
    <w:rsid w:val="00263FCF"/>
    <w:rsid w:val="00267A0E"/>
    <w:rsid w:val="002901D9"/>
    <w:rsid w:val="002976C2"/>
    <w:rsid w:val="002A349E"/>
    <w:rsid w:val="00310E12"/>
    <w:rsid w:val="0032072C"/>
    <w:rsid w:val="00325CC1"/>
    <w:rsid w:val="003260FF"/>
    <w:rsid w:val="00343D95"/>
    <w:rsid w:val="00360ABA"/>
    <w:rsid w:val="00364683"/>
    <w:rsid w:val="00374341"/>
    <w:rsid w:val="0039755E"/>
    <w:rsid w:val="003A6240"/>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1197E"/>
    <w:rsid w:val="00722B34"/>
    <w:rsid w:val="00733704"/>
    <w:rsid w:val="00740188"/>
    <w:rsid w:val="0078071A"/>
    <w:rsid w:val="007A264E"/>
    <w:rsid w:val="007A70BB"/>
    <w:rsid w:val="007C1C49"/>
    <w:rsid w:val="00852A9A"/>
    <w:rsid w:val="00871544"/>
    <w:rsid w:val="008864E6"/>
    <w:rsid w:val="008930DB"/>
    <w:rsid w:val="00895D16"/>
    <w:rsid w:val="008F49E1"/>
    <w:rsid w:val="0090370F"/>
    <w:rsid w:val="00912FE7"/>
    <w:rsid w:val="009269D2"/>
    <w:rsid w:val="00942135"/>
    <w:rsid w:val="009521B0"/>
    <w:rsid w:val="009A7E9F"/>
    <w:rsid w:val="009E0EDE"/>
    <w:rsid w:val="009E4636"/>
    <w:rsid w:val="009E5018"/>
    <w:rsid w:val="00A072C6"/>
    <w:rsid w:val="00A12B37"/>
    <w:rsid w:val="00A15998"/>
    <w:rsid w:val="00A15B97"/>
    <w:rsid w:val="00A50EC0"/>
    <w:rsid w:val="00A74331"/>
    <w:rsid w:val="00A862CC"/>
    <w:rsid w:val="00AB6758"/>
    <w:rsid w:val="00B13763"/>
    <w:rsid w:val="00B24420"/>
    <w:rsid w:val="00B477A4"/>
    <w:rsid w:val="00B54045"/>
    <w:rsid w:val="00BA1F0F"/>
    <w:rsid w:val="00BA641F"/>
    <w:rsid w:val="00C022F5"/>
    <w:rsid w:val="00C438D7"/>
    <w:rsid w:val="00C53FE8"/>
    <w:rsid w:val="00C81B50"/>
    <w:rsid w:val="00CA655B"/>
    <w:rsid w:val="00CB3C3C"/>
    <w:rsid w:val="00CD1801"/>
    <w:rsid w:val="00CE29BB"/>
    <w:rsid w:val="00D10EF1"/>
    <w:rsid w:val="00D349ED"/>
    <w:rsid w:val="00D42810"/>
    <w:rsid w:val="00D57590"/>
    <w:rsid w:val="00D914A7"/>
    <w:rsid w:val="00DD13C3"/>
    <w:rsid w:val="00DD596E"/>
    <w:rsid w:val="00DD621E"/>
    <w:rsid w:val="00DF0575"/>
    <w:rsid w:val="00E049EC"/>
    <w:rsid w:val="00E24D19"/>
    <w:rsid w:val="00E3601B"/>
    <w:rsid w:val="00E70E04"/>
    <w:rsid w:val="00EC05A7"/>
    <w:rsid w:val="00EC4B6B"/>
    <w:rsid w:val="00EC7D11"/>
    <w:rsid w:val="00ED7442"/>
    <w:rsid w:val="00EE0B18"/>
    <w:rsid w:val="00EE2AFF"/>
    <w:rsid w:val="00EE401A"/>
    <w:rsid w:val="00EF1EE5"/>
    <w:rsid w:val="00F6423C"/>
    <w:rsid w:val="00F763B4"/>
    <w:rsid w:val="00F900C3"/>
    <w:rsid w:val="00F90D46"/>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BA0EC"/>
  <w15:docId w15:val="{8AF650A1-291D-4A16-8997-9E39B49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2020/1" TargetMode="External"/><Relationship Id="rId3" Type="http://schemas.openxmlformats.org/officeDocument/2006/relationships/hyperlink" Target="http://undocs.org/ar/E/C.12/2022/SR.9" TargetMode="External"/><Relationship Id="rId7" Type="http://schemas.openxmlformats.org/officeDocument/2006/relationships/hyperlink" Target="http://undocs.org/ar/E/C.12/2017/1" TargetMode="External"/><Relationship Id="rId2" Type="http://schemas.openxmlformats.org/officeDocument/2006/relationships/hyperlink" Target="http://undocs.org/ar/E/C.12/2022/SR.8" TargetMode="External"/><Relationship Id="rId1" Type="http://schemas.openxmlformats.org/officeDocument/2006/relationships/hyperlink" Target="http://undocs.org/ar/E/C.12/CZE/3" TargetMode="External"/><Relationship Id="rId6" Type="http://schemas.openxmlformats.org/officeDocument/2006/relationships/hyperlink" Target="http://undocs.org/ar/E/C.12/2018/1" TargetMode="External"/><Relationship Id="rId5" Type="http://schemas.openxmlformats.org/officeDocument/2006/relationships/hyperlink" Target="http://undocs.org/ar/E/C.12/CZE/RQ/3" TargetMode="External"/><Relationship Id="rId10" Type="http://schemas.openxmlformats.org/officeDocument/2006/relationships/hyperlink" Target="http://undocs.org/ar/E/C.12/2019/1" TargetMode="External"/><Relationship Id="rId4" Type="http://schemas.openxmlformats.org/officeDocument/2006/relationships/hyperlink" Target="http://undocs.org/ar/E/C.12/2022/SR.10" TargetMode="External"/><Relationship Id="rId9" Type="http://schemas.openxmlformats.org/officeDocument/2006/relationships/hyperlink" Target="http://undocs.org/ar/E/C.12/20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14</Pages>
  <Words>3416</Words>
  <Characters>28088</Characters>
  <Application>Microsoft Office Word</Application>
  <DocSecurity>0</DocSecurity>
  <Lines>3511</Lines>
  <Paragraphs>2423</Paragraphs>
  <ScaleCrop>false</ScaleCrop>
  <HeadingPairs>
    <vt:vector size="2" baseType="variant">
      <vt:variant>
        <vt:lpstr>Title</vt:lpstr>
      </vt:variant>
      <vt:variant>
        <vt:i4>1</vt:i4>
      </vt:variant>
    </vt:vector>
  </HeadingPairs>
  <TitlesOfParts>
    <vt:vector size="1" baseType="lpstr">
      <vt:lpstr>E/C.12/CZE/CO/3</vt:lpstr>
    </vt:vector>
  </TitlesOfParts>
  <Company>DCM</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E/C.12/CZE/CO/3</dc:title>
  <dc:subject>GE.2204532(A)</dc:subject>
  <dc:creator>Gamal MAHMOUD - (NABD87</dc:creator>
  <cp:keywords>GE.2229392(A)</cp:keywords>
  <dc:description>Distr.: General_x000d_
28 March 2022_x000d_
Original: English</dc:description>
  <cp:lastModifiedBy>Gamal Mohamed Abdelhamid Mahmoud</cp:lastModifiedBy>
  <cp:revision>2</cp:revision>
  <dcterms:created xsi:type="dcterms:W3CDTF">2022-04-26T15:15:00Z</dcterms:created>
  <dcterms:modified xsi:type="dcterms:W3CDTF">2022-04-26T15:15:00Z</dcterms:modified>
  <cp:category>Final</cp:category>
</cp:coreProperties>
</file>