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E269DD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B7F864" w14:textId="77777777" w:rsidR="002D5AAC" w:rsidRDefault="002D5AAC" w:rsidP="00255DB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C0F79D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5E7E900" w14:textId="203A32F0" w:rsidR="002D5AAC" w:rsidRDefault="00255DB8" w:rsidP="00255DB8">
            <w:pPr>
              <w:jc w:val="right"/>
            </w:pPr>
            <w:r w:rsidRPr="00255DB8">
              <w:rPr>
                <w:sz w:val="40"/>
              </w:rPr>
              <w:t>E</w:t>
            </w:r>
            <w:r>
              <w:t>/C.12/CZE/CO/3</w:t>
            </w:r>
          </w:p>
        </w:tc>
      </w:tr>
      <w:tr w:rsidR="002D5AAC" w:rsidRPr="00772C1B" w14:paraId="521AEC2A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03FF7D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8EF181" wp14:editId="0DD3BF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6D1B71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0B0633" w14:textId="77777777" w:rsidR="002D5AAC" w:rsidRDefault="00255DB8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D6ADB39" w14:textId="77777777" w:rsidR="00255DB8" w:rsidRDefault="00255DB8" w:rsidP="00255D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March 2022</w:t>
            </w:r>
          </w:p>
          <w:p w14:paraId="7A358965" w14:textId="77777777" w:rsidR="00255DB8" w:rsidRDefault="00255DB8" w:rsidP="00255D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5C282A6" w14:textId="535905A9" w:rsidR="00255DB8" w:rsidRPr="00D62A45" w:rsidRDefault="00255DB8" w:rsidP="00255D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C939680" w14:textId="401220D7" w:rsidR="00383810" w:rsidRPr="00383810" w:rsidRDefault="00383810" w:rsidP="00383810">
      <w:pPr>
        <w:spacing w:before="120"/>
        <w:rPr>
          <w:b/>
          <w:sz w:val="32"/>
          <w:szCs w:val="28"/>
        </w:rPr>
      </w:pPr>
      <w:r w:rsidRPr="00383810">
        <w:rPr>
          <w:b/>
          <w:bCs/>
          <w:sz w:val="24"/>
          <w:szCs w:val="28"/>
        </w:rPr>
        <w:t xml:space="preserve">Комитет по экономическим, социальным </w:t>
      </w:r>
      <w:r>
        <w:rPr>
          <w:b/>
          <w:bCs/>
          <w:sz w:val="24"/>
          <w:szCs w:val="28"/>
        </w:rPr>
        <w:br/>
      </w:r>
      <w:r w:rsidRPr="00383810">
        <w:rPr>
          <w:b/>
          <w:bCs/>
          <w:sz w:val="24"/>
          <w:szCs w:val="28"/>
        </w:rPr>
        <w:t>и культурным правам</w:t>
      </w:r>
    </w:p>
    <w:p w14:paraId="55018909" w14:textId="77777777" w:rsidR="00383810" w:rsidRPr="002E5B6E" w:rsidRDefault="00383810" w:rsidP="00383810">
      <w:pPr>
        <w:pStyle w:val="HChG"/>
      </w:pPr>
      <w:r>
        <w:tab/>
      </w:r>
      <w:r>
        <w:tab/>
      </w:r>
      <w:r>
        <w:rPr>
          <w:bCs/>
        </w:rPr>
        <w:t>Заключительные замечания по третьему периодическому докладу Чехии</w:t>
      </w:r>
      <w:r w:rsidRPr="00383810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p w14:paraId="36F3049F" w14:textId="1282A8F5" w:rsidR="00383810" w:rsidRPr="002E5B6E" w:rsidRDefault="00383810" w:rsidP="00383810">
      <w:pPr>
        <w:pStyle w:val="SingleTxtG"/>
        <w:rPr>
          <w:b/>
          <w:bCs/>
        </w:rPr>
      </w:pPr>
      <w:r>
        <w:t>1.</w:t>
      </w:r>
      <w:r>
        <w:tab/>
        <w:t>Комитет рассмотрел третий периодический доклад Чехии</w:t>
      </w:r>
      <w:r w:rsidRPr="00017723">
        <w:rPr>
          <w:rStyle w:val="a8"/>
        </w:rPr>
        <w:footnoteReference w:id="2"/>
      </w:r>
      <w:r>
        <w:t xml:space="preserve"> на своих восьмом, девятом и десятом заседаниях</w:t>
      </w:r>
      <w:r w:rsidRPr="00017723">
        <w:rPr>
          <w:rStyle w:val="a8"/>
        </w:rPr>
        <w:footnoteReference w:id="3"/>
      </w:r>
      <w:r>
        <w:t xml:space="preserve">, состоявшихся 17 и 18 февраля 2022 года, и принял настоящие заключительные замечания на своем тридцатом заседании, состоявшемся </w:t>
      </w:r>
      <w:r>
        <w:br/>
        <w:t>4 марта 2022 года.</w:t>
      </w:r>
    </w:p>
    <w:p w14:paraId="24052640" w14:textId="77777777" w:rsidR="00383810" w:rsidRPr="002E5B6E" w:rsidRDefault="00383810" w:rsidP="00383810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Введение</w:t>
      </w:r>
    </w:p>
    <w:p w14:paraId="74991A99" w14:textId="77777777" w:rsidR="00383810" w:rsidRPr="002E5B6E" w:rsidRDefault="00383810" w:rsidP="00383810">
      <w:pPr>
        <w:pStyle w:val="SingleTxtG"/>
      </w:pPr>
      <w:r>
        <w:t>2.</w:t>
      </w:r>
      <w:r>
        <w:tab/>
        <w:t>Комитет приветствует представление государством-участником своего третьего периодического доклада, дополнительную информацию, представленную в ответах на перечень вопросов</w:t>
      </w:r>
      <w:r w:rsidRPr="00017723">
        <w:rPr>
          <w:rStyle w:val="a8"/>
        </w:rPr>
        <w:footnoteReference w:id="4"/>
      </w:r>
      <w:r>
        <w:t>, и содержащиеся в ней статистические данные. Комитет также высоко оценивает откровенный, открытый и конструктивный диалог с делегацией государства-участника.</w:t>
      </w:r>
    </w:p>
    <w:p w14:paraId="309E4603" w14:textId="77777777" w:rsidR="00383810" w:rsidRPr="002E5B6E" w:rsidRDefault="00383810" w:rsidP="00383810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Позитивные аспекты</w:t>
      </w:r>
    </w:p>
    <w:p w14:paraId="42F0A041" w14:textId="77777777" w:rsidR="00383810" w:rsidRPr="002E5B6E" w:rsidRDefault="00383810" w:rsidP="00383810">
      <w:pPr>
        <w:pStyle w:val="SingleTxtG"/>
      </w:pPr>
      <w:r>
        <w:t>3.</w:t>
      </w:r>
      <w:r>
        <w:tab/>
        <w:t>Комитет приветствует законодательные, институциональные и политические меры, принятые в целях укрепления защиты экономических, социальных и культурных прав в государстве-участнике, включая его стратегию «Чешская Республика 2030» и национальный план восстановления. Комитет приветствует также конкретные стратегии в области здравоохранения, образования, занятости и социальной интеграции на период до 2030 года и другие меры, упомянутые в настоящих заключительных замечаниях.</w:t>
      </w:r>
    </w:p>
    <w:p w14:paraId="2440BC2D" w14:textId="3998721B" w:rsidR="00383810" w:rsidRPr="002E5B6E" w:rsidRDefault="00383810" w:rsidP="00383810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 xml:space="preserve">Основные вопросы, вызывающие обеспокоенность, </w:t>
      </w:r>
      <w:r>
        <w:rPr>
          <w:bCs/>
        </w:rPr>
        <w:br/>
        <w:t>и рекомендации</w:t>
      </w:r>
    </w:p>
    <w:p w14:paraId="627FC6AA" w14:textId="77777777" w:rsidR="00383810" w:rsidRPr="00B96F11" w:rsidRDefault="00383810" w:rsidP="00383810">
      <w:pPr>
        <w:pStyle w:val="H23G"/>
      </w:pPr>
      <w:r>
        <w:tab/>
      </w:r>
      <w:r>
        <w:tab/>
      </w:r>
      <w:r>
        <w:rPr>
          <w:bCs/>
        </w:rPr>
        <w:t>Применение Пакта во внутреннем праве</w:t>
      </w:r>
    </w:p>
    <w:p w14:paraId="5AF54A10" w14:textId="7397110F" w:rsidR="00383810" w:rsidRPr="00033C40" w:rsidRDefault="00383810" w:rsidP="00383810">
      <w:pPr>
        <w:pStyle w:val="SingleTxtG"/>
      </w:pPr>
      <w:r>
        <w:t>4.</w:t>
      </w:r>
      <w:r>
        <w:tab/>
        <w:t xml:space="preserve">Комитет отмечает, что Пакт является частью конституционной системы, </w:t>
      </w:r>
      <w:r>
        <w:br/>
        <w:t xml:space="preserve">и, соответственно, экономические, социальные и культурные права защищены Хартией основных прав и свобод государства-участника. Комитет отмечает также, что Конституционный суд и Верховный административный суд неоднократно ссылались на Пакт. Вместе с тем он сожалеет об отсутствии информации о содержащих ссылки на Пакт решениях, принятых судами низшей инстанции и административными </w:t>
      </w:r>
      <w:r>
        <w:lastRenderedPageBreak/>
        <w:t>инстанциями. Он также обеспокоен тем, что положения статьи 41 (пункт 1) Хартии могут оказать негативное воздействие на обеспечение соблюдения охватываемых ими экономических, социальных и культурных прав, учитывая более широкую свободу усмотрения в отношении мер политики при осуществлении этих прав. Кроме того, Комитет обеспокоен недостаточностью информации, касающейся эффективных средств правовой защиты в случаях нарушения прав, закрепленных в Пакте (ст</w:t>
      </w:r>
      <w:r w:rsidR="00943DD2" w:rsidRPr="00943DD2">
        <w:t>.</w:t>
      </w:r>
      <w:r w:rsidR="00943DD2">
        <w:rPr>
          <w:lang w:val="fr-CH"/>
        </w:rPr>
        <w:t> </w:t>
      </w:r>
      <w:r>
        <w:t>2 (п</w:t>
      </w:r>
      <w:r w:rsidR="00943DD2" w:rsidRPr="00943DD2">
        <w:t>.</w:t>
      </w:r>
      <w:r w:rsidR="00943DD2">
        <w:rPr>
          <w:lang w:val="fr-CH"/>
        </w:rPr>
        <w:t> </w:t>
      </w:r>
      <w:r>
        <w:t>1)).</w:t>
      </w:r>
    </w:p>
    <w:p w14:paraId="0F272DA5" w14:textId="77777777" w:rsidR="00383810" w:rsidRPr="00B96F11" w:rsidRDefault="00383810" w:rsidP="00383810">
      <w:pPr>
        <w:pStyle w:val="SingleTxtG"/>
        <w:rPr>
          <w:b/>
          <w:bCs/>
        </w:rPr>
      </w:pPr>
      <w:r>
        <w:t>5.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D0EC0A5" w14:textId="3EB66869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a)</w:t>
      </w:r>
      <w:r w:rsidRPr="00383810">
        <w:rPr>
          <w:b/>
          <w:bCs/>
        </w:rPr>
        <w:tab/>
        <w:t xml:space="preserve">обеспечить возможность ссылки на экономические, социальные и культурные права судами всех уровней и административными инстанциями, </w:t>
      </w:r>
      <w:r>
        <w:rPr>
          <w:b/>
          <w:bCs/>
        </w:rPr>
        <w:br/>
      </w:r>
      <w:r w:rsidRPr="00383810">
        <w:rPr>
          <w:b/>
          <w:bCs/>
        </w:rPr>
        <w:t>а также облегчить доступ к эффективным средствам правовой защиты жертвам нарушений этих прав;</w:t>
      </w:r>
    </w:p>
    <w:p w14:paraId="6A017280" w14:textId="3F125E3F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b)</w:t>
      </w:r>
      <w:r w:rsidRPr="00383810">
        <w:rPr>
          <w:b/>
          <w:bCs/>
        </w:rPr>
        <w:tab/>
        <w:t xml:space="preserve">расширить профессиональную подготовку сотрудников судебных органов, юристов и государственных служащих по вопросам Пакта и возможности защиты закрепленных в нем прав в судебном порядке, а также повысить осведомленность об этой теме широкой общественности, </w:t>
      </w:r>
      <w:r>
        <w:rPr>
          <w:b/>
          <w:bCs/>
        </w:rPr>
        <w:br/>
      </w:r>
      <w:r w:rsidRPr="00383810">
        <w:rPr>
          <w:b/>
          <w:bCs/>
        </w:rPr>
        <w:t>и, в частности, правообладателей;</w:t>
      </w:r>
    </w:p>
    <w:p w14:paraId="54927C61" w14:textId="0DA99DAB" w:rsidR="00383810" w:rsidRPr="00033C4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c)</w:t>
      </w:r>
      <w:r w:rsidRPr="00383810">
        <w:rPr>
          <w:b/>
          <w:bCs/>
        </w:rPr>
        <w:tab/>
      </w:r>
      <w:r>
        <w:rPr>
          <w:b/>
          <w:bCs/>
        </w:rPr>
        <w:t>учитывать замечание общего порядка № 9 (1998) о применении Пакта во внутреннем праве.</w:t>
      </w:r>
    </w:p>
    <w:p w14:paraId="12BA73F3" w14:textId="77777777" w:rsidR="00383810" w:rsidRPr="002E5B6E" w:rsidRDefault="00383810" w:rsidP="00383810">
      <w:pPr>
        <w:pStyle w:val="H23G"/>
      </w:pPr>
      <w:r>
        <w:tab/>
      </w:r>
      <w:r>
        <w:tab/>
      </w:r>
      <w:r w:rsidRPr="00147DBF">
        <w:rPr>
          <w:bCs/>
        </w:rPr>
        <w:t>Национальное</w:t>
      </w:r>
      <w:r>
        <w:rPr>
          <w:bCs/>
        </w:rPr>
        <w:t xml:space="preserve"> правозащитное учреждение</w:t>
      </w:r>
    </w:p>
    <w:p w14:paraId="15FEFB89" w14:textId="4D8E24EA" w:rsidR="00383810" w:rsidRPr="002E5B6E" w:rsidRDefault="00383810" w:rsidP="00383810">
      <w:pPr>
        <w:pStyle w:val="SingleTxtG"/>
      </w:pPr>
      <w:r>
        <w:t>6.</w:t>
      </w:r>
      <w:r>
        <w:tab/>
        <w:t xml:space="preserve">Признавая важную роль Народного защитника прав (Омбудсмена), Комитет </w:t>
      </w:r>
      <w:r>
        <w:br/>
        <w:t>по-прежнему обеспокоен тем, что в сферу полномочий Омбудсмена не входят все основные права и свободы. Он обеспокоен также тем, что последующие меры в связи с исследованием о создании национального правозащитного учреждения по-прежнему не приняты (ст</w:t>
      </w:r>
      <w:r w:rsidR="00943DD2" w:rsidRPr="00943DD2">
        <w:t>.</w:t>
      </w:r>
      <w:r w:rsidR="00943DD2">
        <w:rPr>
          <w:lang w:val="fr-CH"/>
        </w:rPr>
        <w:t> </w:t>
      </w:r>
      <w:r>
        <w:t>2 (п</w:t>
      </w:r>
      <w:r w:rsidR="00943DD2" w:rsidRPr="00943DD2">
        <w:t>.</w:t>
      </w:r>
      <w:r w:rsidR="00943DD2">
        <w:rPr>
          <w:lang w:val="fr-CH"/>
        </w:rPr>
        <w:t> </w:t>
      </w:r>
      <w:r>
        <w:t>1)).</w:t>
      </w:r>
    </w:p>
    <w:p w14:paraId="72046A78" w14:textId="77777777" w:rsidR="00383810" w:rsidRPr="002E5B6E" w:rsidRDefault="00383810" w:rsidP="00383810">
      <w:pPr>
        <w:pStyle w:val="SingleTxtG"/>
        <w:rPr>
          <w:b/>
        </w:rPr>
      </w:pPr>
      <w:r>
        <w:t>7.</w:t>
      </w:r>
      <w:r>
        <w:tab/>
      </w:r>
      <w:r>
        <w:rPr>
          <w:b/>
          <w:bCs/>
        </w:rPr>
        <w:t>Комитет рекомендует государству-участнику оперативно создать национальное правозащитное учреждение с широким мандатом в соответствии с принципами, касающимися статуса национальных учреждений, занимающихся поощрением и защитой прав человека (Парижские принципы).</w:t>
      </w:r>
      <w:r>
        <w:t xml:space="preserve"> </w:t>
      </w:r>
      <w:r>
        <w:rPr>
          <w:b/>
          <w:bCs/>
        </w:rPr>
        <w:t>Ему также следует обеспечить выделение этому учреждению достаточных людских, технических и финансовых ресурсов, чтобы оно могло в полной мере выполнять свой мандат в отношении экономических, социальных и культурных прав.</w:t>
      </w:r>
    </w:p>
    <w:p w14:paraId="2E75642C" w14:textId="77777777" w:rsidR="00383810" w:rsidRPr="00B96F11" w:rsidRDefault="00383810" w:rsidP="00383810">
      <w:pPr>
        <w:pStyle w:val="H23G"/>
      </w:pPr>
      <w:r>
        <w:tab/>
      </w:r>
      <w:r>
        <w:tab/>
      </w:r>
      <w:r>
        <w:rPr>
          <w:bCs/>
        </w:rPr>
        <w:t>Изменение климата</w:t>
      </w:r>
    </w:p>
    <w:p w14:paraId="6890B915" w14:textId="2B940525" w:rsidR="00383810" w:rsidRPr="00033C40" w:rsidRDefault="00383810" w:rsidP="00383810">
      <w:pPr>
        <w:pStyle w:val="SingleTxtG"/>
      </w:pPr>
      <w:r>
        <w:t>8.</w:t>
      </w:r>
      <w:r>
        <w:tab/>
        <w:t xml:space="preserve">Комитет с удовлетворением отмечает политику защиты климата, прогресс, достигнутый в реализации национального плана действий по адаптации к изменению климата, и такие инициативы, как инвестиционная программа субсидирования котельных установок. Комитет отмечает также существенное сокращение выбросов парниковых газов, но обеспокоен тем, что в последние годы это снижение практически остановилось. Кроме того, он обеспокоен тем, что связанные с экономической деятельностью выбросы в атмосферу остаются одними из самых высоких в Европейском </w:t>
      </w:r>
      <w:r w:rsidR="00304544">
        <w:rPr>
          <w:lang w:val="fr-CH"/>
        </w:rPr>
        <w:t>c</w:t>
      </w:r>
      <w:proofErr w:type="spellStart"/>
      <w:r>
        <w:t>оюзе</w:t>
      </w:r>
      <w:proofErr w:type="spellEnd"/>
      <w:r>
        <w:t xml:space="preserve">. Комитет обеспокоен тем, что государство-участник имеет </w:t>
      </w:r>
      <w:proofErr w:type="spellStart"/>
      <w:r>
        <w:t>углеродоемкую</w:t>
      </w:r>
      <w:proofErr w:type="spellEnd"/>
      <w:r>
        <w:t xml:space="preserve"> экономику, которая подвергает население воздействию сильно загрязненного воздуха (ст</w:t>
      </w:r>
      <w:r w:rsidR="00943DD2" w:rsidRPr="00943DD2">
        <w:t>.</w:t>
      </w:r>
      <w:r w:rsidR="00943DD2">
        <w:rPr>
          <w:lang w:val="fr-CH"/>
        </w:rPr>
        <w:t> </w:t>
      </w:r>
      <w:r>
        <w:t>2 (п</w:t>
      </w:r>
      <w:r w:rsidR="00943DD2" w:rsidRPr="00943DD2">
        <w:t>.</w:t>
      </w:r>
      <w:r w:rsidR="00943DD2">
        <w:rPr>
          <w:lang w:val="fr-CH"/>
        </w:rPr>
        <w:t> </w:t>
      </w:r>
      <w:r>
        <w:t>1)).</w:t>
      </w:r>
    </w:p>
    <w:p w14:paraId="13195750" w14:textId="77777777" w:rsidR="00383810" w:rsidRPr="00B96F11" w:rsidRDefault="00383810" w:rsidP="00383810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E375521" w14:textId="308A770D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a)</w:t>
      </w:r>
      <w:r w:rsidRPr="00383810">
        <w:rPr>
          <w:b/>
          <w:bCs/>
        </w:rPr>
        <w:tab/>
        <w:t>активизировать свои усилия по адаптации к неблагоприятным последствиям изменения климата для экономических, социальных и культурных прав, в том числе путем принятия мер по достижению своего определяемого на национальном уровне вклада в рамках Парижского соглашения в целях сокращения выбросов;</w:t>
      </w:r>
    </w:p>
    <w:p w14:paraId="3BC9AE40" w14:textId="4B05F8E0" w:rsidR="00383810" w:rsidRPr="00033C40" w:rsidRDefault="00383810" w:rsidP="00383810">
      <w:pPr>
        <w:pStyle w:val="SingleTxtG"/>
        <w:rPr>
          <w:b/>
        </w:rPr>
      </w:pPr>
      <w:r>
        <w:rPr>
          <w:b/>
          <w:bCs/>
        </w:rPr>
        <w:tab/>
      </w:r>
      <w:r w:rsidRPr="00383810">
        <w:rPr>
          <w:b/>
          <w:bCs/>
        </w:rPr>
        <w:t>b)</w:t>
      </w:r>
      <w:r w:rsidRPr="00383810">
        <w:rPr>
          <w:b/>
          <w:bCs/>
        </w:rPr>
        <w:tab/>
        <w:t>поощрять альтернативные и возобновляемые источники энергии, например</w:t>
      </w:r>
      <w:r>
        <w:rPr>
          <w:b/>
          <w:bCs/>
        </w:rPr>
        <w:t>, путем проведения реструктуризации в угледобывающих регионах;</w:t>
      </w:r>
    </w:p>
    <w:p w14:paraId="432EB03B" w14:textId="3F298A55" w:rsidR="00383810" w:rsidRPr="00033C40" w:rsidRDefault="00383810" w:rsidP="00383810">
      <w:pPr>
        <w:pStyle w:val="SingleTxtG"/>
        <w:rPr>
          <w:rStyle w:val="a8"/>
        </w:rPr>
      </w:pPr>
      <w:r>
        <w:rPr>
          <w:b/>
          <w:bCs/>
        </w:rPr>
        <w:lastRenderedPageBreak/>
        <w:tab/>
      </w:r>
      <w:r w:rsidRPr="00383810">
        <w:rPr>
          <w:b/>
          <w:bCs/>
        </w:rPr>
        <w:t>c)</w:t>
      </w:r>
      <w:r>
        <w:tab/>
      </w:r>
      <w:r>
        <w:rPr>
          <w:b/>
          <w:bCs/>
        </w:rPr>
        <w:t>учитывать заявление Комитета об изменении климата и Пакте, принятое 8 октября 2018 года</w:t>
      </w:r>
      <w:r w:rsidRPr="00017723">
        <w:rPr>
          <w:rStyle w:val="a8"/>
        </w:rPr>
        <w:footnoteReference w:id="5"/>
      </w:r>
      <w:r>
        <w:rPr>
          <w:b/>
          <w:bCs/>
        </w:rPr>
        <w:t>.</w:t>
      </w:r>
    </w:p>
    <w:p w14:paraId="712B9F3F" w14:textId="77777777" w:rsidR="00383810" w:rsidRPr="00B96F11" w:rsidRDefault="00383810" w:rsidP="00383810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</w:t>
      </w:r>
    </w:p>
    <w:p w14:paraId="31892F98" w14:textId="2C94B34D" w:rsidR="00383810" w:rsidRPr="00033C40" w:rsidRDefault="00383810" w:rsidP="00383810">
      <w:pPr>
        <w:pStyle w:val="SingleTxtG"/>
        <w:rPr>
          <w:b/>
        </w:rPr>
      </w:pPr>
      <w:r>
        <w:t>10.</w:t>
      </w:r>
      <w:r>
        <w:tab/>
        <w:t>Комитет с удовлетворением отмечает, что государство-участник уделяет внимание проблеме изменения климата, в частности, посредством вклада в Зеленый климатический фонд и финансирования деятельности по предотвращению изменения климата и адаптации в странах-получателях. Вместе с тем Комитет сожалеет, что государство-участник не достигло целевого показателя официальной помощи в целях развития в 0,7</w:t>
      </w:r>
      <w:r>
        <w:rPr>
          <w:lang w:val="fr-CH"/>
        </w:rPr>
        <w:t> </w:t>
      </w:r>
      <w:r>
        <w:t>% от валового национального дохода, как это рекомендовано Организацией Объединенных Наций, и даже показателя в 0,33</w:t>
      </w:r>
      <w:r>
        <w:rPr>
          <w:lang w:val="fr-CH"/>
        </w:rPr>
        <w:t> </w:t>
      </w:r>
      <w:r>
        <w:t>%, принятого в рамках Европейского союза. Комитет отмечает, что поддержка механизма климатического финансирования в идеале должна предоставляться в дополнение к официальной помощи в целях развития (ст</w:t>
      </w:r>
      <w:r w:rsidR="00943DD2" w:rsidRPr="00943DD2">
        <w:t>.</w:t>
      </w:r>
      <w:r w:rsidR="00943DD2">
        <w:rPr>
          <w:lang w:val="fr-CH"/>
        </w:rPr>
        <w:t> </w:t>
      </w:r>
      <w:r>
        <w:t>2).</w:t>
      </w:r>
    </w:p>
    <w:p w14:paraId="76F3AFDC" w14:textId="05137BBC" w:rsidR="00383810" w:rsidRPr="002E5B6E" w:rsidRDefault="00383810" w:rsidP="00383810">
      <w:pPr>
        <w:pStyle w:val="SingleTxtG"/>
        <w:rPr>
          <w:bCs/>
          <w:shd w:val="clear" w:color="auto" w:fill="FFFFFF"/>
        </w:rPr>
      </w:pPr>
      <w:r>
        <w:t>11.</w:t>
      </w:r>
      <w:r>
        <w:tab/>
      </w:r>
      <w:r>
        <w:rPr>
          <w:b/>
          <w:bCs/>
        </w:rPr>
        <w:t>Комитет рекомендует государству-участнику активизировать усилия по увеличению своей международной официальной помощи в целях развития сначала до целевого показателя в 0,33</w:t>
      </w:r>
      <w:r>
        <w:rPr>
          <w:b/>
          <w:bCs/>
          <w:lang w:val="fr-CH"/>
        </w:rPr>
        <w:t> </w:t>
      </w:r>
      <w:r>
        <w:rPr>
          <w:b/>
          <w:bCs/>
        </w:rPr>
        <w:t xml:space="preserve">% и </w:t>
      </w:r>
      <w:proofErr w:type="gramStart"/>
      <w:r>
        <w:rPr>
          <w:b/>
          <w:bCs/>
        </w:rPr>
        <w:t>в конечном итоге</w:t>
      </w:r>
      <w:proofErr w:type="gramEnd"/>
      <w:r>
        <w:rPr>
          <w:b/>
          <w:bCs/>
        </w:rPr>
        <w:t xml:space="preserve"> до 0,7</w:t>
      </w:r>
      <w:r>
        <w:rPr>
          <w:b/>
          <w:bCs/>
          <w:lang w:val="fr-CH"/>
        </w:rPr>
        <w:t> </w:t>
      </w:r>
      <w:r>
        <w:rPr>
          <w:b/>
          <w:bCs/>
        </w:rPr>
        <w:t>% своего валового национального дохода, сохранив или увеличив при этом свой вклад в Зеленый климатический фонд.</w:t>
      </w:r>
      <w:r>
        <w:t xml:space="preserve"> </w:t>
      </w:r>
      <w:r>
        <w:rPr>
          <w:b/>
          <w:bCs/>
        </w:rPr>
        <w:t>Он также призывает государство-участник продолжать расширять свою деятельность в области международного сотрудничества.</w:t>
      </w:r>
    </w:p>
    <w:p w14:paraId="7DAE7C5C" w14:textId="77777777" w:rsidR="00383810" w:rsidRPr="002E5B6E" w:rsidRDefault="00383810" w:rsidP="00383810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</w:p>
    <w:p w14:paraId="29E5D5ED" w14:textId="0F4906F9" w:rsidR="00383810" w:rsidRPr="002E5B6E" w:rsidRDefault="00383810" w:rsidP="00383810">
      <w:pPr>
        <w:pStyle w:val="SingleTxtG"/>
      </w:pPr>
      <w:r>
        <w:t>12.</w:t>
      </w:r>
      <w:r>
        <w:tab/>
        <w:t>Отмечая целенаправленные меры политики и стратегии, принятые государством-участником, Комитет обеспокоен продолжающейся дискриминацией, ненавистническими высказываниями, предрассудками и стереотипами, направленными на определенных лиц и маргинализированные и обездоленные группы. Комитет обеспокоен также тем, что принцип переноса бремени доказывания применяется не во всех случаях дискриминации. Он обеспокоен также тем, что нежелание сообщать о дискриминации связано с низкой степенью доверия к государственным институтам. Кроме того, Комитет обеспокоен дискриминацией по признаку гендерной идентичности и сексуальной ориентации и сожалеет, что в отсутствие признания однополых браков зарегистрированные партнерства не обеспечивают защиту, эквивалентную браку (ст</w:t>
      </w:r>
      <w:r w:rsidR="00943DD2" w:rsidRPr="00943DD2">
        <w:t>.</w:t>
      </w:r>
      <w:r w:rsidR="00943DD2">
        <w:rPr>
          <w:lang w:val="fr-CH"/>
        </w:rPr>
        <w:t> </w:t>
      </w:r>
      <w:r>
        <w:t>2 (п</w:t>
      </w:r>
      <w:r w:rsidR="00943DD2" w:rsidRPr="00943DD2">
        <w:t>.</w:t>
      </w:r>
      <w:r w:rsidR="00943DD2">
        <w:rPr>
          <w:lang w:val="fr-CH"/>
        </w:rPr>
        <w:t> </w:t>
      </w:r>
      <w:r>
        <w:t>2)).</w:t>
      </w:r>
    </w:p>
    <w:p w14:paraId="714CAC5A" w14:textId="77777777" w:rsidR="00383810" w:rsidRPr="00B96F11" w:rsidRDefault="00383810" w:rsidP="00383810">
      <w:pPr>
        <w:pStyle w:val="SingleTxtG"/>
        <w:rPr>
          <w:b/>
        </w:rPr>
      </w:pPr>
      <w:r>
        <w:t>13.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57CEEEF" w14:textId="577E86FB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a)</w:t>
      </w:r>
      <w:r w:rsidRPr="00383810">
        <w:rPr>
          <w:b/>
          <w:bCs/>
        </w:rPr>
        <w:tab/>
        <w:t xml:space="preserve">удвоить усилия по предотвращению и пресечению дискриминации, в частности в отношении рома, людей с инвалидностью, мигрантов, беженцев и просителей убежища, лесбиянок, геев, бисексуальных, трансгендерных и интерсекс-людей, в том числе путем реализации стратегий, предусматривающих </w:t>
      </w:r>
      <w:proofErr w:type="spellStart"/>
      <w:r w:rsidRPr="00383810">
        <w:rPr>
          <w:b/>
          <w:bCs/>
        </w:rPr>
        <w:t>межсекторальный</w:t>
      </w:r>
      <w:proofErr w:type="spellEnd"/>
      <w:r w:rsidRPr="00383810">
        <w:rPr>
          <w:b/>
          <w:bCs/>
        </w:rPr>
        <w:t xml:space="preserve"> подход;</w:t>
      </w:r>
    </w:p>
    <w:p w14:paraId="44E71294" w14:textId="2C0D210E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b)</w:t>
      </w:r>
      <w:r w:rsidRPr="00383810">
        <w:rPr>
          <w:b/>
          <w:bCs/>
        </w:rPr>
        <w:tab/>
        <w:t>проводить кампании по повышению осведомленности и предоставлять информацию о процедурах сообщения о случаях дискриминации и механизмах, доступных для жертв;</w:t>
      </w:r>
    </w:p>
    <w:p w14:paraId="6FC083BE" w14:textId="0EB9CFB6" w:rsidR="00383810" w:rsidRPr="00383810" w:rsidRDefault="00383810" w:rsidP="00383810">
      <w:pPr>
        <w:pStyle w:val="SingleTxtG"/>
        <w:rPr>
          <w:b/>
          <w:bCs/>
          <w:shd w:val="clear" w:color="auto" w:fill="FFFFFF"/>
        </w:rPr>
      </w:pPr>
      <w:r>
        <w:rPr>
          <w:b/>
          <w:bCs/>
        </w:rPr>
        <w:tab/>
      </w:r>
      <w:r w:rsidRPr="00383810">
        <w:rPr>
          <w:b/>
          <w:bCs/>
        </w:rPr>
        <w:t>c)</w:t>
      </w:r>
      <w:r w:rsidRPr="00383810">
        <w:rPr>
          <w:b/>
          <w:bCs/>
        </w:rPr>
        <w:tab/>
        <w:t>обеспечивать надлежащую подготовку сотрудников правоохранительных органов, работников судебной системы и других государственных служащих, с тем чтобы они могли профессионально выполнять свои функции и исполнять свои обязанности, придерживаясь ориентированного на жертв подхода;</w:t>
      </w:r>
    </w:p>
    <w:p w14:paraId="478AF0E8" w14:textId="09622062" w:rsidR="00383810" w:rsidRPr="00033C40" w:rsidRDefault="00383810" w:rsidP="00383810">
      <w:pPr>
        <w:pStyle w:val="SingleTxtG"/>
        <w:rPr>
          <w:b/>
        </w:rPr>
      </w:pPr>
      <w:r>
        <w:rPr>
          <w:b/>
          <w:bCs/>
        </w:rPr>
        <w:tab/>
      </w:r>
      <w:r w:rsidRPr="00383810">
        <w:rPr>
          <w:b/>
          <w:bCs/>
        </w:rPr>
        <w:t>d)</w:t>
      </w:r>
      <w:r w:rsidRPr="00383810">
        <w:rPr>
          <w:b/>
          <w:bCs/>
        </w:rPr>
        <w:tab/>
      </w:r>
      <w:r>
        <w:rPr>
          <w:b/>
          <w:bCs/>
        </w:rPr>
        <w:t>внести поправки в Гражданский процессуальный кодекс с целью обеспечения одинакового уровня защиты для всех жертв дискриминации, независимо от оснований и области дискриминации;</w:t>
      </w:r>
    </w:p>
    <w:p w14:paraId="3848C8E0" w14:textId="148109F9" w:rsidR="00383810" w:rsidRPr="00383810" w:rsidRDefault="00383810" w:rsidP="00383810">
      <w:pPr>
        <w:pStyle w:val="SingleTxtG"/>
        <w:rPr>
          <w:b/>
          <w:bCs/>
          <w:shd w:val="clear" w:color="auto" w:fill="FFFFFF"/>
        </w:rPr>
      </w:pPr>
      <w:r>
        <w:rPr>
          <w:b/>
          <w:bCs/>
        </w:rPr>
        <w:lastRenderedPageBreak/>
        <w:tab/>
      </w:r>
      <w:r w:rsidRPr="00383810">
        <w:rPr>
          <w:b/>
          <w:bCs/>
        </w:rPr>
        <w:t>e)</w:t>
      </w:r>
      <w:r w:rsidRPr="00383810">
        <w:rPr>
          <w:b/>
          <w:bCs/>
        </w:rPr>
        <w:tab/>
        <w:t>обеспечить, чтобы зарегистрированные партнерства лиц, состоящих в однополых отношениях, пользовались такой же защитой, как и брак лиц, состоящих в гетеросексуальных отношениях;</w:t>
      </w:r>
    </w:p>
    <w:p w14:paraId="5B4F15FC" w14:textId="35685C0A" w:rsidR="00383810" w:rsidRPr="00033C40" w:rsidRDefault="00383810" w:rsidP="00383810">
      <w:pPr>
        <w:pStyle w:val="SingleTxtG"/>
        <w:rPr>
          <w:b/>
        </w:rPr>
      </w:pPr>
      <w:r>
        <w:rPr>
          <w:b/>
          <w:bCs/>
        </w:rPr>
        <w:tab/>
      </w:r>
      <w:r w:rsidRPr="00383810">
        <w:rPr>
          <w:b/>
          <w:bCs/>
        </w:rPr>
        <w:t>f)</w:t>
      </w:r>
      <w:r>
        <w:tab/>
      </w:r>
      <w:r>
        <w:rPr>
          <w:b/>
          <w:bCs/>
        </w:rPr>
        <w:t>учитывать замечание общего порядка № 20 (2009) о недискриминации при осуществлении экономических, социальных и культурных прав.</w:t>
      </w:r>
    </w:p>
    <w:p w14:paraId="040B51DF" w14:textId="77777777" w:rsidR="00383810" w:rsidRPr="00B96F11" w:rsidRDefault="00383810" w:rsidP="00383810">
      <w:pPr>
        <w:pStyle w:val="H23G"/>
      </w:pPr>
      <w:r>
        <w:tab/>
      </w:r>
      <w:r>
        <w:tab/>
      </w:r>
      <w:r>
        <w:rPr>
          <w:bCs/>
        </w:rPr>
        <w:t>Дискриминация рома</w:t>
      </w:r>
    </w:p>
    <w:p w14:paraId="41508C03" w14:textId="35BAD3E3" w:rsidR="00383810" w:rsidRPr="00033C40" w:rsidRDefault="00383810" w:rsidP="00383810">
      <w:pPr>
        <w:pStyle w:val="SingleTxtG"/>
      </w:pPr>
      <w:r>
        <w:t>14.</w:t>
      </w:r>
      <w:r>
        <w:tab/>
        <w:t xml:space="preserve">Отмечая Стратегию обеспечения равенства, инклюзии и участия рома </w:t>
      </w:r>
      <w:r>
        <w:br/>
        <w:t>на 2021–2030 годы и такие инициативы, как национальная платформа рома, Комитет обеспокоен тем, что рома продолжают страдать от стигматизации, нищеты и широко распространенной дискриминации в области здравоохранения, образования, жилья и занятости. Комитет сожалеет об отсутствии достоверных данных о положении рома в государстве-участнике (ст</w:t>
      </w:r>
      <w:r w:rsidR="00943DD2" w:rsidRPr="00943DD2">
        <w:t>.</w:t>
      </w:r>
      <w:r w:rsidR="00943DD2">
        <w:rPr>
          <w:lang w:val="fr-CH"/>
        </w:rPr>
        <w:t> </w:t>
      </w:r>
      <w:r>
        <w:t>2 (п</w:t>
      </w:r>
      <w:r w:rsidR="00943DD2" w:rsidRPr="00943DD2">
        <w:t>.</w:t>
      </w:r>
      <w:r w:rsidR="00943DD2">
        <w:rPr>
          <w:lang w:val="fr-CH"/>
        </w:rPr>
        <w:t> </w:t>
      </w:r>
      <w:r>
        <w:t>2)).</w:t>
      </w:r>
    </w:p>
    <w:p w14:paraId="4A182B2D" w14:textId="77777777" w:rsidR="00383810" w:rsidRPr="00B96F11" w:rsidRDefault="00383810" w:rsidP="00383810">
      <w:pPr>
        <w:pStyle w:val="SingleTxtG"/>
      </w:pPr>
      <w:r>
        <w:t>15.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C3D4041" w14:textId="3002BDA6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a)</w:t>
      </w:r>
      <w:r w:rsidRPr="00383810">
        <w:rPr>
          <w:b/>
          <w:bCs/>
        </w:rPr>
        <w:tab/>
        <w:t>активизировать усилия по устранению социально-экономического неравенства и дискриминации, с которыми сталкиваются рома в области доступа к здравоохранению, образованию, адекватному жилью, занятости и государственным услугам, уделяя особое внимание женщинам и детям из числа рома;</w:t>
      </w:r>
    </w:p>
    <w:p w14:paraId="74D6CE75" w14:textId="743243F8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b)</w:t>
      </w:r>
      <w:r w:rsidRPr="00383810">
        <w:rPr>
          <w:b/>
          <w:bCs/>
        </w:rPr>
        <w:tab/>
        <w:t>активно бороться с негативными предрассудками и стереотипами в отношении рома, в том числе с помощью кампаний по повышению осведомленности, и предоставлять рома информацию об их правах;</w:t>
      </w:r>
    </w:p>
    <w:p w14:paraId="6FBB5E54" w14:textId="476689EA" w:rsidR="00383810" w:rsidRPr="00033C40" w:rsidRDefault="00383810" w:rsidP="00383810">
      <w:pPr>
        <w:pStyle w:val="SingleTxtG"/>
        <w:rPr>
          <w:b/>
        </w:rPr>
      </w:pPr>
      <w:r>
        <w:rPr>
          <w:b/>
          <w:bCs/>
        </w:rPr>
        <w:tab/>
      </w:r>
      <w:r w:rsidRPr="00383810">
        <w:rPr>
          <w:b/>
          <w:bCs/>
        </w:rPr>
        <w:t>c)</w:t>
      </w:r>
      <w:r w:rsidRPr="00383810">
        <w:rPr>
          <w:b/>
          <w:bCs/>
        </w:rPr>
        <w:tab/>
      </w:r>
      <w:r>
        <w:rPr>
          <w:b/>
          <w:bCs/>
        </w:rPr>
        <w:t>предпринять шаги для преодоления недоверия рома к государственным учреждениям, в том числе путем привлечения представителей рома к разработке, мониторингу и оценке мер политики, касающихся их прав;</w:t>
      </w:r>
    </w:p>
    <w:p w14:paraId="021EB83A" w14:textId="43C5A38F" w:rsidR="00383810" w:rsidRPr="00033C40" w:rsidRDefault="00383810" w:rsidP="00383810">
      <w:pPr>
        <w:pStyle w:val="SingleTxtG"/>
        <w:rPr>
          <w:b/>
        </w:rPr>
      </w:pPr>
      <w:r>
        <w:rPr>
          <w:b/>
          <w:bCs/>
        </w:rPr>
        <w:tab/>
      </w:r>
      <w:r w:rsidRPr="00383810">
        <w:rPr>
          <w:b/>
          <w:bCs/>
        </w:rPr>
        <w:t>d)</w:t>
      </w:r>
      <w:r w:rsidRPr="00383810">
        <w:rPr>
          <w:b/>
          <w:bCs/>
        </w:rPr>
        <w:tab/>
      </w:r>
      <w:r>
        <w:rPr>
          <w:b/>
          <w:bCs/>
        </w:rPr>
        <w:t>усовершенствовать систему сбора данных с целью получения достоверных данных, дезагрегированных по запрещенным признакам дискриминации.</w:t>
      </w:r>
    </w:p>
    <w:p w14:paraId="6F8E3859" w14:textId="77777777" w:rsidR="00383810" w:rsidRPr="002E5B6E" w:rsidRDefault="00383810" w:rsidP="00383810">
      <w:pPr>
        <w:pStyle w:val="H23G"/>
      </w:pPr>
      <w:r>
        <w:tab/>
      </w:r>
      <w:r>
        <w:tab/>
      </w:r>
      <w:r>
        <w:rPr>
          <w:bCs/>
        </w:rPr>
        <w:t>Мигранты, беженцы, просители убежища и лица без гражданства</w:t>
      </w:r>
    </w:p>
    <w:p w14:paraId="3E149FC7" w14:textId="71D138C4" w:rsidR="00383810" w:rsidRPr="002E5B6E" w:rsidRDefault="00383810" w:rsidP="00383810">
      <w:pPr>
        <w:pStyle w:val="SingleTxtG"/>
      </w:pPr>
      <w:r>
        <w:t>16.</w:t>
      </w:r>
      <w:r>
        <w:tab/>
        <w:t>Высоко оценивая Государственную программу интеграции, которая предоставляет одинаковые льготы беженцам и лицам, пользующимся дополнительной защитой, Комитет обеспокоен тем, что в отношении просителей убежища альтернативы содержанию под стражей не применяются систематически. Комитет также отмечает, что в соответствии с Законом об иностранцах допускается заключение под стражу детей до результатов оценки их возраста, а дети старше 15 лет могут быть помещены в центры временного содержания мигрантов. Комитет обеспокоен также тем, что в соответствии с Законом об иностранцах сфера применения процедуры определения безгражданства ограничена и не обеспечивает лицам без гражданства достаточной правовой безопасности. Он обеспокоен также тем, что такие лица сталкиваются с трудностями при получении постоянного вида на жительство, а также тем, что в соответствии с Законом о гражданстве дети, которые в противном случае были бы лицами без гражданства, приобретают гражданство только в том случае, если оба родителя являются лицами без гражданства и хотя бы один из них имеет вид на жительство (ст</w:t>
      </w:r>
      <w:r w:rsidR="00943DD2" w:rsidRPr="00943DD2">
        <w:t>.</w:t>
      </w:r>
      <w:r w:rsidR="00943DD2">
        <w:rPr>
          <w:lang w:val="fr-CH"/>
        </w:rPr>
        <w:t> </w:t>
      </w:r>
      <w:r>
        <w:t>2 (п</w:t>
      </w:r>
      <w:r w:rsidR="00943DD2" w:rsidRPr="00943DD2">
        <w:t>.</w:t>
      </w:r>
      <w:r w:rsidR="00943DD2">
        <w:rPr>
          <w:lang w:val="fr-CH"/>
        </w:rPr>
        <w:t> </w:t>
      </w:r>
      <w:r>
        <w:t>2)).</w:t>
      </w:r>
    </w:p>
    <w:p w14:paraId="38425FFF" w14:textId="77777777" w:rsidR="00383810" w:rsidRPr="00B96F11" w:rsidRDefault="00383810" w:rsidP="00383810">
      <w:pPr>
        <w:pStyle w:val="SingleTxtG"/>
      </w:pPr>
      <w:r>
        <w:t>17.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5699725" w14:textId="1962D196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a)</w:t>
      </w:r>
      <w:r w:rsidRPr="00383810">
        <w:rPr>
          <w:b/>
          <w:bCs/>
        </w:rPr>
        <w:tab/>
        <w:t>обеспечить, чтобы содержание под стражей применялось только в качестве крайней меры, после индивидуальной оценки его разумности, необходимости и пропорциональности, а также изучения альтернатив;</w:t>
      </w:r>
    </w:p>
    <w:p w14:paraId="1ED85AA8" w14:textId="7F0F3557" w:rsidR="00383810" w:rsidRPr="00033C40" w:rsidRDefault="00383810" w:rsidP="00383810">
      <w:pPr>
        <w:pStyle w:val="SingleTxtG"/>
        <w:rPr>
          <w:b/>
        </w:rPr>
      </w:pPr>
      <w:r>
        <w:rPr>
          <w:b/>
          <w:bCs/>
        </w:rPr>
        <w:tab/>
      </w:r>
      <w:r w:rsidRPr="00383810">
        <w:rPr>
          <w:b/>
          <w:bCs/>
        </w:rPr>
        <w:t>b)</w:t>
      </w:r>
      <w:r w:rsidRPr="00383810">
        <w:rPr>
          <w:b/>
          <w:bCs/>
        </w:rPr>
        <w:tab/>
      </w:r>
      <w:r>
        <w:rPr>
          <w:b/>
          <w:bCs/>
        </w:rPr>
        <w:t>принять необходимые меры для прекращения содержания под стражей всех детей, включая тех, у кого есть семьи.</w:t>
      </w:r>
      <w:r>
        <w:t xml:space="preserve"> </w:t>
      </w:r>
      <w:r>
        <w:rPr>
          <w:b/>
          <w:bCs/>
        </w:rPr>
        <w:t>Детей не следует содержать под стражей для целей, связанных с иммиграцией, независимо от их правового/миграционного статуса или статуса их родителей;</w:t>
      </w:r>
    </w:p>
    <w:p w14:paraId="6D1AAE4E" w14:textId="057E403F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lastRenderedPageBreak/>
        <w:tab/>
      </w:r>
      <w:r w:rsidRPr="00383810">
        <w:rPr>
          <w:b/>
          <w:bCs/>
        </w:rPr>
        <w:t>c)</w:t>
      </w:r>
      <w:r w:rsidRPr="00383810">
        <w:rPr>
          <w:b/>
          <w:bCs/>
        </w:rPr>
        <w:tab/>
        <w:t>внести поправки в Закон об иностранцах, с тем чтобы процедура определения безгражданства гарантировала доступ лиц без гражданства к закрепленным в Пакте правам независимо от правового статуса, места жительства и имеющихся у них документов;</w:t>
      </w:r>
    </w:p>
    <w:p w14:paraId="339DC6EB" w14:textId="57736B41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d)</w:t>
      </w:r>
      <w:r w:rsidRPr="00383810">
        <w:rPr>
          <w:b/>
          <w:bCs/>
        </w:rPr>
        <w:tab/>
        <w:t>внести поправки в Закон о гражданстве, с тем чтобы облегчить доступ к гражданству для лиц без гражданства и поощрять родителей детей без гражданства подавать заявления на гражданство от их имени;</w:t>
      </w:r>
    </w:p>
    <w:p w14:paraId="46E50474" w14:textId="01E68990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e)</w:t>
      </w:r>
      <w:r w:rsidRPr="00383810">
        <w:rPr>
          <w:b/>
          <w:bCs/>
        </w:rPr>
        <w:tab/>
        <w:t>собирать достоверные статистические данные о численности и характеристиках лиц без гражданства в государстве-участнике;</w:t>
      </w:r>
    </w:p>
    <w:p w14:paraId="5AE8C33C" w14:textId="043810D7" w:rsidR="00383810" w:rsidRPr="00033C40" w:rsidRDefault="00383810" w:rsidP="00383810">
      <w:pPr>
        <w:pStyle w:val="SingleTxtG"/>
        <w:rPr>
          <w:b/>
        </w:rPr>
      </w:pPr>
      <w:r>
        <w:rPr>
          <w:b/>
          <w:bCs/>
        </w:rPr>
        <w:tab/>
      </w:r>
      <w:r w:rsidRPr="00383810">
        <w:rPr>
          <w:b/>
          <w:bCs/>
        </w:rPr>
        <w:t>f)</w:t>
      </w:r>
      <w:r>
        <w:tab/>
      </w:r>
      <w:r>
        <w:rPr>
          <w:b/>
          <w:bCs/>
        </w:rPr>
        <w:t>учитывать его заявление об обязательствах государств перед беженцами и мигрантами от 2017 года.</w:t>
      </w:r>
    </w:p>
    <w:p w14:paraId="2E96C09F" w14:textId="77777777" w:rsidR="00383810" w:rsidRPr="002E5B6E" w:rsidRDefault="00383810" w:rsidP="00383810">
      <w:pPr>
        <w:pStyle w:val="H23G"/>
      </w:pPr>
      <w:r>
        <w:tab/>
      </w:r>
      <w:r>
        <w:tab/>
      </w:r>
      <w:r>
        <w:rPr>
          <w:bCs/>
        </w:rPr>
        <w:t>Равенство мужчин и женщин</w:t>
      </w:r>
    </w:p>
    <w:p w14:paraId="686855D9" w14:textId="7BCAD168" w:rsidR="00383810" w:rsidRPr="002E5B6E" w:rsidRDefault="00383810" w:rsidP="00383810">
      <w:pPr>
        <w:pStyle w:val="SingleTxtG"/>
        <w:rPr>
          <w:b/>
        </w:rPr>
      </w:pPr>
      <w:r>
        <w:t>18.</w:t>
      </w:r>
      <w:r>
        <w:tab/>
        <w:t>Комитет отмечает усилия государства-участника, направленные на решение проблемы гендерного неравенства, включая Стратегию по обеспечению гендерного равенства на 2021–2030 годы, инициативу «Стратегия +1» и программу «22</w:t>
      </w:r>
      <w:r>
        <w:rPr>
          <w:lang w:val="fr-CH"/>
        </w:rPr>
        <w:t> </w:t>
      </w:r>
      <w:r>
        <w:t xml:space="preserve">% до равенства». Однако Комитет по-прежнему обеспокоен тем, что гендерный разрыв в оплате труда сохраняется, в том числе из-за вертикальной и горизонтальной гендерной сегрегации на рынке труда и слишком большой доли женщин в сфере неполной занятости. Он обеспокоен также гораздо более низким уровнем занятости женщин, преобладанием женщин в профессиях, где традиционно заняты в основном женщины, и сохраняющейся </w:t>
      </w:r>
      <w:proofErr w:type="spellStart"/>
      <w:r>
        <w:t>недопредставленностью</w:t>
      </w:r>
      <w:proofErr w:type="spellEnd"/>
      <w:r>
        <w:t xml:space="preserve"> женщин на руководящих и директивных должностях в государственном и частном секторах (ст</w:t>
      </w:r>
      <w:r w:rsidR="00943DD2" w:rsidRPr="00943DD2">
        <w:t>.</w:t>
      </w:r>
      <w:r w:rsidR="00943DD2">
        <w:rPr>
          <w:lang w:val="fr-CH"/>
        </w:rPr>
        <w:t> </w:t>
      </w:r>
      <w:r>
        <w:t>3 и 7).</w:t>
      </w:r>
    </w:p>
    <w:p w14:paraId="05B2479E" w14:textId="77777777" w:rsidR="00383810" w:rsidRPr="00B96F11" w:rsidRDefault="00383810" w:rsidP="00383810">
      <w:pPr>
        <w:pStyle w:val="SingleTxtG"/>
      </w:pPr>
      <w:r>
        <w:t>19.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3722D73" w14:textId="5A72DDBE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a)</w:t>
      </w:r>
      <w:r w:rsidRPr="00383810">
        <w:rPr>
          <w:b/>
          <w:bCs/>
        </w:rPr>
        <w:tab/>
        <w:t>активизировать усилия по устранению гендерного разрыва в оплате труда путем решения проблемы вертикальной и горизонтальной гендерной сегрегации на рынке труда, пересмотра социальной и налоговой политики и устранения факторов, препятствующих женщинам продолжать карьеру или работать полный рабочий день;</w:t>
      </w:r>
    </w:p>
    <w:p w14:paraId="6E465F54" w14:textId="06CF5169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b)</w:t>
      </w:r>
      <w:r w:rsidRPr="00383810">
        <w:rPr>
          <w:b/>
          <w:bCs/>
        </w:rPr>
        <w:tab/>
        <w:t>активизировать усилия по обеспечению равных возможностей для мужчин и женщин в выборе нетрадиционных дисциплин в сфере образования и вариантов трудоустройства, в том числе путем устранения гендерных стереотипов;</w:t>
      </w:r>
    </w:p>
    <w:p w14:paraId="1CC40F75" w14:textId="24164E87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c)</w:t>
      </w:r>
      <w:r w:rsidRPr="00383810">
        <w:rPr>
          <w:b/>
          <w:bCs/>
        </w:rPr>
        <w:tab/>
        <w:t>разработать стратегии по повышению занятости женщин, в том числе с помощью стратегий, направленных на более гармоничное сочетание работы, личной и семейной жизни;</w:t>
      </w:r>
    </w:p>
    <w:p w14:paraId="2891AB63" w14:textId="6D4C52ED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d)</w:t>
      </w:r>
      <w:r w:rsidRPr="00383810">
        <w:rPr>
          <w:b/>
          <w:bCs/>
        </w:rPr>
        <w:tab/>
        <w:t>поощрять расширение представленности женщин на всех уровнях государственной службы, особенно на руководящих должностях, а также их участия в принятии управленческих решений в частном секторе;</w:t>
      </w:r>
    </w:p>
    <w:p w14:paraId="7768AB0F" w14:textId="46D82691" w:rsidR="00383810" w:rsidRPr="00033C40" w:rsidRDefault="00383810" w:rsidP="00383810">
      <w:pPr>
        <w:pStyle w:val="SingleTxtG"/>
        <w:rPr>
          <w:b/>
        </w:rPr>
      </w:pPr>
      <w:r>
        <w:rPr>
          <w:b/>
          <w:bCs/>
        </w:rPr>
        <w:tab/>
      </w:r>
      <w:r w:rsidRPr="00383810">
        <w:rPr>
          <w:b/>
          <w:bCs/>
        </w:rPr>
        <w:t>e)</w:t>
      </w:r>
      <w:r w:rsidRPr="00383810">
        <w:rPr>
          <w:b/>
          <w:bCs/>
        </w:rPr>
        <w:tab/>
        <w:t>учитывать его замечание общего порядка № 16 (2005) о равном для мужчин и</w:t>
      </w:r>
      <w:r>
        <w:rPr>
          <w:b/>
          <w:bCs/>
        </w:rPr>
        <w:t xml:space="preserve"> женщин праве пользования всеми экономическими, социальными и культурными правами.</w:t>
      </w:r>
    </w:p>
    <w:p w14:paraId="05776433" w14:textId="77777777" w:rsidR="00383810" w:rsidRPr="002E5B6E" w:rsidRDefault="00383810" w:rsidP="00383810">
      <w:pPr>
        <w:pStyle w:val="H23G"/>
      </w:pPr>
      <w:r>
        <w:tab/>
      </w:r>
      <w:r>
        <w:tab/>
      </w:r>
      <w:r>
        <w:rPr>
          <w:bCs/>
        </w:rPr>
        <w:t>Безработица</w:t>
      </w:r>
    </w:p>
    <w:p w14:paraId="504BB4D8" w14:textId="2D2D2318" w:rsidR="00383810" w:rsidRPr="002E5B6E" w:rsidRDefault="00383810" w:rsidP="00383810">
      <w:pPr>
        <w:pStyle w:val="SingleTxtG"/>
      </w:pPr>
      <w:r>
        <w:t>20.</w:t>
      </w:r>
      <w:r>
        <w:tab/>
        <w:t>Комитет с удовлетворением отмечает в целом очень низкий уровень долгосрочной безработицы и такие политические меры, как программа борьбы с коронавирусом, направленная на смягчение последствий пандемии коронавирусного заболевания (COVID-19). Тем не менее Комитет обеспокоен значительными расхождениями в уровне безработицы по регионам. Комитет также выражает свою обеспокоенность тем, что некоторые группы населения сталкиваются с большими трудностями в доступе к работе, многие из них работают в неформальном секторе экономики и непропорционально пострадали от пандемии COVID-19. Кроме того, Комитет сожалеет об отсутствии статистики о неформальной занятости и ограниченной защите работников в этом секторе (</w:t>
      </w:r>
      <w:r w:rsidR="00977938">
        <w:rPr>
          <w:lang w:val="fr-CH"/>
        </w:rPr>
        <w:t>c</w:t>
      </w:r>
      <w:r w:rsidR="00977938">
        <w:t>т.</w:t>
      </w:r>
      <w:r w:rsidR="009D7933">
        <w:t> </w:t>
      </w:r>
      <w:r>
        <w:t>6).</w:t>
      </w:r>
    </w:p>
    <w:p w14:paraId="0365A4C7" w14:textId="77777777" w:rsidR="00383810" w:rsidRPr="00B96F11" w:rsidRDefault="00383810" w:rsidP="00383810">
      <w:pPr>
        <w:pStyle w:val="SingleTxtG"/>
        <w:rPr>
          <w:b/>
        </w:rPr>
      </w:pPr>
      <w:r>
        <w:lastRenderedPageBreak/>
        <w:t>21.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D6F25C1" w14:textId="04C6E3CE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a)</w:t>
      </w:r>
      <w:r w:rsidRPr="00383810">
        <w:rPr>
          <w:b/>
          <w:bCs/>
        </w:rPr>
        <w:tab/>
        <w:t>продолжить усилия по сокращению безработицы во всех регионах страны;</w:t>
      </w:r>
    </w:p>
    <w:p w14:paraId="5C08578B" w14:textId="5DAB040A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b)</w:t>
      </w:r>
      <w:r w:rsidRPr="00383810">
        <w:rPr>
          <w:b/>
          <w:bCs/>
        </w:rPr>
        <w:tab/>
        <w:t>активизировать свои усилия по поддержке рома, людей с инвалидностью, женщин с детьми, молодежи, лиц в возрасте 50 лет и старше и мигрантов в получении доступа к занятости, в том числе путем реализации целевых мер вмешательства, облегчения их доступа к возможностям технического и профессионального обучения и сбора данных об их положении;</w:t>
      </w:r>
    </w:p>
    <w:p w14:paraId="47136835" w14:textId="534D75BF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c)</w:t>
      </w:r>
      <w:r w:rsidRPr="00383810">
        <w:rPr>
          <w:b/>
          <w:bCs/>
        </w:rPr>
        <w:tab/>
        <w:t>следить за тем, чтобы программы, способствующие вовлечению наиболее обездоленных и маргинализированных групп населения в открытый рынок труда, не приводили к сохранению их преимущественной занятости на низкоквалифицированных рабочих местах и в неформальном секторе экономики;</w:t>
      </w:r>
    </w:p>
    <w:p w14:paraId="4E9184A2" w14:textId="52A65D13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d)</w:t>
      </w:r>
      <w:r w:rsidRPr="00383810">
        <w:rPr>
          <w:b/>
          <w:bCs/>
        </w:rPr>
        <w:tab/>
        <w:t xml:space="preserve">предпринять шаги по содействию переходу работников из неформального сектора в формальный сектор экономики, в том числе путем сбора данных об их положении и обеспечения того, чтобы на них распространялось </w:t>
      </w:r>
      <w:proofErr w:type="gramStart"/>
      <w:r w:rsidRPr="00383810">
        <w:rPr>
          <w:b/>
          <w:bCs/>
        </w:rPr>
        <w:t>трудовое законодательство</w:t>
      </w:r>
      <w:proofErr w:type="gramEnd"/>
      <w:r w:rsidRPr="00383810">
        <w:rPr>
          <w:b/>
          <w:bCs/>
        </w:rPr>
        <w:t xml:space="preserve"> и они имели доступ к социальной защите;</w:t>
      </w:r>
    </w:p>
    <w:p w14:paraId="3F9A0A5A" w14:textId="03B1AF7F" w:rsidR="00383810" w:rsidRPr="00033C40" w:rsidRDefault="00383810" w:rsidP="00383810">
      <w:pPr>
        <w:pStyle w:val="SingleTxtG"/>
        <w:rPr>
          <w:b/>
        </w:rPr>
      </w:pPr>
      <w:r>
        <w:rPr>
          <w:b/>
          <w:bCs/>
        </w:rPr>
        <w:tab/>
      </w:r>
      <w:r w:rsidRPr="00383810">
        <w:rPr>
          <w:b/>
          <w:bCs/>
        </w:rPr>
        <w:t>e)</w:t>
      </w:r>
      <w:r w:rsidRPr="00383810">
        <w:rPr>
          <w:b/>
          <w:bCs/>
        </w:rPr>
        <w:tab/>
      </w:r>
      <w:r>
        <w:rPr>
          <w:b/>
          <w:bCs/>
        </w:rPr>
        <w:t>учитывать его замечание общего порядка № 18 (2005) о праве на труд.</w:t>
      </w:r>
    </w:p>
    <w:p w14:paraId="138BEDD3" w14:textId="77777777" w:rsidR="00383810" w:rsidRPr="002E5B6E" w:rsidRDefault="00383810" w:rsidP="00383810">
      <w:pPr>
        <w:pStyle w:val="H23G"/>
        <w:rPr>
          <w:bCs/>
          <w:shd w:val="clear" w:color="auto" w:fill="FFFFFF"/>
        </w:rPr>
      </w:pPr>
      <w:r>
        <w:tab/>
      </w:r>
      <w:r>
        <w:tab/>
      </w:r>
      <w:r>
        <w:rPr>
          <w:bCs/>
        </w:rPr>
        <w:t>Минимальная заработная плата</w:t>
      </w:r>
    </w:p>
    <w:p w14:paraId="7A2F63EF" w14:textId="125A7E05" w:rsidR="00383810" w:rsidRPr="002E5B6E" w:rsidRDefault="00383810" w:rsidP="00383810">
      <w:pPr>
        <w:pStyle w:val="SingleTxtG"/>
        <w:rPr>
          <w:b/>
        </w:rPr>
      </w:pPr>
      <w:r>
        <w:t>22.</w:t>
      </w:r>
      <w:r>
        <w:tab/>
        <w:t>Признавая значительное повышение минимальной заработной платы в последние годы, Комитет обеспокоен ситуацией с выполнением этой задачи, а также тем, что минимальная заработная плата остается одной из самых низких в регионе. Комитет также отмечает, что государство-участник планирует ввести автоматическую индексацию минимальной заработной платы, чтобы ее не приходилось ежегодно пересматривать (</w:t>
      </w:r>
      <w:r w:rsidR="009D7933">
        <w:rPr>
          <w:lang w:val="fr-CH"/>
        </w:rPr>
        <w:t>c</w:t>
      </w:r>
      <w:r w:rsidR="009D7933">
        <w:t>т. </w:t>
      </w:r>
      <w:r>
        <w:t>7).</w:t>
      </w:r>
    </w:p>
    <w:p w14:paraId="0719AF14" w14:textId="77777777" w:rsidR="00383810" w:rsidRPr="00B96F11" w:rsidRDefault="00383810" w:rsidP="00383810">
      <w:pPr>
        <w:pStyle w:val="SingleTxtG"/>
        <w:rPr>
          <w:bCs/>
          <w:shd w:val="clear" w:color="auto" w:fill="FFFFFF"/>
        </w:rPr>
      </w:pPr>
      <w:r>
        <w:t>23.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F5E516D" w14:textId="5D1E0617" w:rsidR="00383810" w:rsidRPr="00383810" w:rsidRDefault="00383810" w:rsidP="00383810">
      <w:pPr>
        <w:pStyle w:val="SingleTxtG"/>
        <w:rPr>
          <w:b/>
          <w:bCs/>
          <w:shd w:val="clear" w:color="auto" w:fill="FFFFFF"/>
        </w:rPr>
      </w:pPr>
      <w:r>
        <w:rPr>
          <w:b/>
          <w:bCs/>
        </w:rPr>
        <w:tab/>
      </w:r>
      <w:r w:rsidRPr="00383810">
        <w:rPr>
          <w:b/>
          <w:bCs/>
        </w:rPr>
        <w:t>a)</w:t>
      </w:r>
      <w:r w:rsidRPr="00383810">
        <w:rPr>
          <w:b/>
          <w:bCs/>
        </w:rPr>
        <w:tab/>
        <w:t xml:space="preserve">активизировать свои усилия по обеспечению того, чтобы всем работникам гарантировалась минимальная заработная </w:t>
      </w:r>
      <w:proofErr w:type="gramStart"/>
      <w:r w:rsidRPr="00383810">
        <w:rPr>
          <w:b/>
          <w:bCs/>
        </w:rPr>
        <w:t>плата</w:t>
      </w:r>
      <w:proofErr w:type="gramEnd"/>
      <w:r w:rsidRPr="00383810">
        <w:rPr>
          <w:b/>
          <w:bCs/>
        </w:rPr>
        <w:t xml:space="preserve"> и чтобы она была установлена на уровне, достаточном для обеспечения работникам и их семьям достойной жизни;</w:t>
      </w:r>
    </w:p>
    <w:p w14:paraId="6066C785" w14:textId="63DC794B" w:rsidR="00383810" w:rsidRPr="00383810" w:rsidRDefault="00383810" w:rsidP="00383810">
      <w:pPr>
        <w:pStyle w:val="SingleTxtG"/>
        <w:rPr>
          <w:b/>
          <w:bCs/>
          <w:shd w:val="clear" w:color="auto" w:fill="FFFFFF"/>
        </w:rPr>
      </w:pPr>
      <w:r>
        <w:rPr>
          <w:b/>
          <w:bCs/>
        </w:rPr>
        <w:tab/>
      </w:r>
      <w:r w:rsidRPr="00383810">
        <w:rPr>
          <w:b/>
          <w:bCs/>
        </w:rPr>
        <w:t>b)</w:t>
      </w:r>
      <w:r w:rsidRPr="00383810">
        <w:rPr>
          <w:b/>
          <w:bCs/>
        </w:rPr>
        <w:tab/>
        <w:t>укреплять потенциал трудовых инспекций, с тем чтобы гарантировать соблюдение выплаты минимальной заработной платы;</w:t>
      </w:r>
    </w:p>
    <w:p w14:paraId="62011C25" w14:textId="1C262364" w:rsidR="00383810" w:rsidRPr="00033C40" w:rsidRDefault="00383810" w:rsidP="00383810">
      <w:pPr>
        <w:pStyle w:val="SingleTxtG"/>
        <w:rPr>
          <w:b/>
          <w:shd w:val="clear" w:color="auto" w:fill="FFFFFF"/>
        </w:rPr>
      </w:pPr>
      <w:r>
        <w:rPr>
          <w:b/>
          <w:bCs/>
        </w:rPr>
        <w:tab/>
      </w:r>
      <w:r w:rsidRPr="00383810">
        <w:rPr>
          <w:b/>
          <w:bCs/>
        </w:rPr>
        <w:t>c)</w:t>
      </w:r>
      <w:r>
        <w:tab/>
      </w:r>
      <w:r>
        <w:rPr>
          <w:b/>
          <w:bCs/>
        </w:rPr>
        <w:t>учитывать его замечание общего порядка № 23 (2016) о праве на справедливые и благоприятные условия труда.</w:t>
      </w:r>
    </w:p>
    <w:p w14:paraId="5FA1A7AF" w14:textId="77777777" w:rsidR="00383810" w:rsidRPr="002E5B6E" w:rsidRDefault="00383810" w:rsidP="00383810">
      <w:pPr>
        <w:pStyle w:val="H23G"/>
      </w:pPr>
      <w:r>
        <w:tab/>
      </w:r>
      <w:r>
        <w:tab/>
      </w:r>
      <w:r>
        <w:rPr>
          <w:bCs/>
        </w:rPr>
        <w:t>Сексуальное домогательство на рабочем месте</w:t>
      </w:r>
    </w:p>
    <w:p w14:paraId="57AAC229" w14:textId="2A4D6AD5" w:rsidR="00383810" w:rsidRPr="002E5B6E" w:rsidRDefault="00383810" w:rsidP="00383810">
      <w:pPr>
        <w:pStyle w:val="SingleTxtG"/>
        <w:rPr>
          <w:bCs/>
          <w:shd w:val="clear" w:color="auto" w:fill="FFFFFF"/>
        </w:rPr>
      </w:pPr>
      <w:r>
        <w:t>24.</w:t>
      </w:r>
      <w:r>
        <w:tab/>
        <w:t>Комитет обеспокоен случаями сексуального домогательства на рабочем месте, о которых сообщалось в ходе опросов в государственном секторе, и недостаточной информацией о стратегии решения этой проблемы в государственном и частном секторах, помимо инструкции для государственных органов и организации курсов повышения осведомленности. Комитет также сожалеет об отсутствии данных о расследовании таких случаев и результатах этих расследований (</w:t>
      </w:r>
      <w:r w:rsidR="009D7933">
        <w:rPr>
          <w:lang w:val="fr-CH"/>
        </w:rPr>
        <w:t>c</w:t>
      </w:r>
      <w:r w:rsidR="009D7933">
        <w:t>т. </w:t>
      </w:r>
      <w:r>
        <w:t>3 и 7).</w:t>
      </w:r>
    </w:p>
    <w:p w14:paraId="4CE773B7" w14:textId="77777777" w:rsidR="00383810" w:rsidRPr="00B96F11" w:rsidRDefault="00383810" w:rsidP="00383810">
      <w:pPr>
        <w:pStyle w:val="SingleTxtG"/>
      </w:pPr>
      <w:r>
        <w:t>25.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64EFEA2" w14:textId="7E287171" w:rsidR="00383810" w:rsidRPr="00033C40" w:rsidRDefault="00383810" w:rsidP="00383810">
      <w:pPr>
        <w:pStyle w:val="SingleTxtG"/>
        <w:rPr>
          <w:b/>
        </w:rPr>
      </w:pPr>
      <w:r>
        <w:rPr>
          <w:b/>
          <w:bCs/>
        </w:rPr>
        <w:tab/>
      </w:r>
      <w:r w:rsidRPr="00383810">
        <w:rPr>
          <w:b/>
          <w:bCs/>
        </w:rPr>
        <w:t>a)</w:t>
      </w:r>
      <w:r>
        <w:tab/>
      </w:r>
      <w:r>
        <w:rPr>
          <w:b/>
          <w:bCs/>
        </w:rPr>
        <w:t>обеспечить действенное применение законодательных положений против сексуального домогательства, включая Трудовой кодекс, и принять превентивные и защитные меры по борьбе с сексуальным домогательством на рабочем месте, включая проведение информационно-просветительских кампаний, внедрение системы мониторинга и реализацию постоянного обучения;</w:t>
      </w:r>
    </w:p>
    <w:p w14:paraId="7F8B6DCE" w14:textId="7094EC24" w:rsidR="00383810" w:rsidRPr="002E5B6E" w:rsidRDefault="00383810" w:rsidP="00383810">
      <w:pPr>
        <w:pStyle w:val="SingleTxtG"/>
        <w:rPr>
          <w:b/>
        </w:rPr>
      </w:pPr>
      <w:r>
        <w:rPr>
          <w:b/>
          <w:bCs/>
        </w:rPr>
        <w:lastRenderedPageBreak/>
        <w:tab/>
      </w:r>
      <w:r w:rsidRPr="00383810">
        <w:rPr>
          <w:b/>
          <w:bCs/>
        </w:rPr>
        <w:t>b)</w:t>
      </w:r>
      <w:r>
        <w:tab/>
      </w:r>
      <w:r>
        <w:rPr>
          <w:b/>
          <w:bCs/>
        </w:rPr>
        <w:t>обеспечить надлежащее расследование и привлечение к ответственности в связи с сообщениями о сексуальном домогательстве, соразмерное наказание виновных и доступ жертв к соответствующему возмещению, включая компенсацию.</w:t>
      </w:r>
    </w:p>
    <w:p w14:paraId="230079B0" w14:textId="77777777" w:rsidR="00383810" w:rsidRPr="00B96F11" w:rsidRDefault="00383810" w:rsidP="00383810">
      <w:pPr>
        <w:pStyle w:val="H23G"/>
        <w:rPr>
          <w:color w:val="000000"/>
        </w:rPr>
      </w:pPr>
      <w:r>
        <w:tab/>
      </w:r>
      <w:r>
        <w:tab/>
      </w:r>
      <w:r>
        <w:rPr>
          <w:bCs/>
        </w:rPr>
        <w:t>Профсоюзные права</w:t>
      </w:r>
    </w:p>
    <w:p w14:paraId="64492688" w14:textId="0EBBB968" w:rsidR="00383810" w:rsidRPr="00033C40" w:rsidRDefault="00383810" w:rsidP="00383810">
      <w:pPr>
        <w:pStyle w:val="SingleTxtG"/>
      </w:pPr>
      <w:r>
        <w:t>26.</w:t>
      </w:r>
      <w:r>
        <w:tab/>
        <w:t xml:space="preserve">Комитет обеспокоен абсолютным запретом на право забастовки для ряда государственных служащих, включая сотрудников полиции, пожарной и спасательной служб, тюремной службы и Управления по внешним связям и информации. </w:t>
      </w:r>
      <w:r>
        <w:br/>
        <w:t>Он обеспокоен также тем, что в Законе о коллективных переговорах установлена высокая планка голосования, требующая двух третей голосов в поддержку объявления забастовки в спорах, касающихся заключения коллективных договоров (</w:t>
      </w:r>
      <w:r w:rsidR="009D7933">
        <w:rPr>
          <w:lang w:val="fr-CH"/>
        </w:rPr>
        <w:t>c</w:t>
      </w:r>
      <w:r w:rsidR="009D7933">
        <w:t>т. </w:t>
      </w:r>
      <w:r>
        <w:t>8).</w:t>
      </w:r>
    </w:p>
    <w:p w14:paraId="65582830" w14:textId="77777777" w:rsidR="00383810" w:rsidRPr="00B96F11" w:rsidRDefault="00383810" w:rsidP="00383810">
      <w:pPr>
        <w:pStyle w:val="SingleTxtG"/>
      </w:pPr>
      <w:r>
        <w:t>27.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20AB227" w14:textId="1566AA7F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a)</w:t>
      </w:r>
      <w:r w:rsidRPr="00383810">
        <w:rPr>
          <w:b/>
          <w:bCs/>
        </w:rPr>
        <w:tab/>
        <w:t>пересмотреть сферу охвата категории основных услуг, чтобы всем тем государственным служащим, чьи услуги не могут обоснованно считаться основными, было предоставлено право на забастовку;</w:t>
      </w:r>
    </w:p>
    <w:p w14:paraId="6F61272E" w14:textId="1EA77526" w:rsidR="00383810" w:rsidRPr="00033C40" w:rsidRDefault="00383810" w:rsidP="00383810">
      <w:pPr>
        <w:pStyle w:val="SingleTxtG"/>
        <w:rPr>
          <w:b/>
        </w:rPr>
      </w:pPr>
      <w:r>
        <w:rPr>
          <w:b/>
          <w:bCs/>
        </w:rPr>
        <w:tab/>
      </w:r>
      <w:r w:rsidRPr="00383810">
        <w:rPr>
          <w:b/>
          <w:bCs/>
        </w:rPr>
        <w:t>b)</w:t>
      </w:r>
      <w:r>
        <w:tab/>
      </w:r>
      <w:r>
        <w:rPr>
          <w:b/>
          <w:bCs/>
        </w:rPr>
        <w:t>провести новые консультации с социальными партнерами о кворуме, необходимом для проведения забастовок, и рассмотреть возможность внесения поправки в Закон о коллективных переговорах для его корректировки.</w:t>
      </w:r>
    </w:p>
    <w:p w14:paraId="7D290592" w14:textId="77777777" w:rsidR="00383810" w:rsidRPr="002E5B6E" w:rsidRDefault="00383810" w:rsidP="00383810">
      <w:pPr>
        <w:pStyle w:val="H23G"/>
      </w:pPr>
      <w:r>
        <w:tab/>
      </w:r>
      <w:r>
        <w:tab/>
      </w:r>
      <w:r>
        <w:rPr>
          <w:bCs/>
        </w:rPr>
        <w:t>Социальное обеспечение</w:t>
      </w:r>
    </w:p>
    <w:p w14:paraId="29C7BE88" w14:textId="562F8707" w:rsidR="00383810" w:rsidRPr="002E5B6E" w:rsidRDefault="00383810" w:rsidP="00383810">
      <w:pPr>
        <w:pStyle w:val="SingleTxtG"/>
        <w:rPr>
          <w:b/>
        </w:rPr>
      </w:pPr>
      <w:r>
        <w:t>28.</w:t>
      </w:r>
      <w:r>
        <w:tab/>
        <w:t>Комитет обеспокоен сообщениями о том, что суды ограничивают правоспособность лиц с интеллектуальной и психосоциальной инвалидностью обращаться за социальными пособиями и пенсиями и не обеспечивают процессуальные коррективы. Он обеспокоен также недостаточной укомплектованностью штата службы медицинской экспертизы, что приводит к задержкам в обработке запросов на получение пособий по инвалидности, и вопросом обеспечения непрерывности ее работы после выхода на пенсию нынешних сотрудников. Кроме того, Комитет обеспокоен тем, что многие беженцы не имеют права на получение пособий по пенсионной программе из-за препятствий в подтверждении необходимого количества лет работы, и тем, что они остаются зависимыми от минимальных прожиточных пособий (</w:t>
      </w:r>
      <w:r w:rsidR="009D7933">
        <w:rPr>
          <w:lang w:val="fr-CH"/>
        </w:rPr>
        <w:t>c</w:t>
      </w:r>
      <w:r w:rsidR="009D7933">
        <w:t>т. </w:t>
      </w:r>
      <w:r>
        <w:t>9).</w:t>
      </w:r>
    </w:p>
    <w:p w14:paraId="6EE5310F" w14:textId="77777777" w:rsidR="00383810" w:rsidRPr="00C365CD" w:rsidRDefault="00383810" w:rsidP="00383810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997FB7E" w14:textId="073D02EE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a)</w:t>
      </w:r>
      <w:r w:rsidRPr="00383810">
        <w:rPr>
          <w:b/>
          <w:bCs/>
        </w:rPr>
        <w:tab/>
        <w:t>провести реформу Гражданского кодекса с целью признания правоспособности всех людей с инвалидностью и внедрить поддерживаемый режим принятия решений, а также обеспечить соблюдение их правоспособности в плане доступа к социальным услугам и программам социального обеспечения;</w:t>
      </w:r>
    </w:p>
    <w:p w14:paraId="0697F21C" w14:textId="57BCF62D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b)</w:t>
      </w:r>
      <w:r w:rsidRPr="00383810">
        <w:rPr>
          <w:b/>
          <w:bCs/>
        </w:rPr>
        <w:tab/>
        <w:t>укрепить программы по наращиванию потенциала судебных органов в отношении правозащитной модели инвалидности, внедрить механизмы для предоставления людям с инвалидностью приспособлений, соответствующих их возрасту, и повысить осведомленность общества о праве людей с инвалидностью на равное признание перед законом;</w:t>
      </w:r>
    </w:p>
    <w:p w14:paraId="0E2FCDC7" w14:textId="4AA60B20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c)</w:t>
      </w:r>
      <w:r w:rsidRPr="00383810">
        <w:rPr>
          <w:b/>
          <w:bCs/>
        </w:rPr>
        <w:tab/>
        <w:t xml:space="preserve">обеспечить надлежащее укомплектование штата службы медицинской экспертизы, чтобы избежать задержек в рассмотрении дел, </w:t>
      </w:r>
      <w:r>
        <w:rPr>
          <w:b/>
          <w:bCs/>
        </w:rPr>
        <w:br/>
      </w:r>
      <w:r w:rsidRPr="00383810">
        <w:rPr>
          <w:b/>
          <w:bCs/>
        </w:rPr>
        <w:t>в частности, в случаях выплаты пособий по уходу, отчислений и выдачи инвалидных удостоверений;</w:t>
      </w:r>
    </w:p>
    <w:p w14:paraId="5AF60835" w14:textId="2B215880" w:rsidR="00383810" w:rsidRPr="00383810" w:rsidRDefault="0038381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Pr="00383810">
        <w:rPr>
          <w:b/>
          <w:bCs/>
        </w:rPr>
        <w:t>d)</w:t>
      </w:r>
      <w:r w:rsidRPr="00383810">
        <w:rPr>
          <w:b/>
          <w:bCs/>
        </w:rPr>
        <w:tab/>
        <w:t>внести поправки в Закон о пенсионном страховании для облегчения доступа беженцев и просителей убежища к национальной пенсионной системе;</w:t>
      </w:r>
    </w:p>
    <w:p w14:paraId="2BA5CCF2" w14:textId="1945F053" w:rsidR="00383810" w:rsidRPr="00033C40" w:rsidRDefault="00383810" w:rsidP="00383810">
      <w:pPr>
        <w:pStyle w:val="SingleTxtG"/>
        <w:rPr>
          <w:b/>
        </w:rPr>
      </w:pPr>
      <w:r>
        <w:rPr>
          <w:b/>
          <w:bCs/>
        </w:rPr>
        <w:tab/>
      </w:r>
      <w:r w:rsidRPr="00383810">
        <w:rPr>
          <w:b/>
          <w:bCs/>
        </w:rPr>
        <w:t>e)</w:t>
      </w:r>
      <w:r w:rsidRPr="00383810">
        <w:rPr>
          <w:b/>
          <w:bCs/>
        </w:rPr>
        <w:tab/>
      </w:r>
      <w:r>
        <w:rPr>
          <w:b/>
          <w:bCs/>
        </w:rPr>
        <w:t>учитывать его замечание общего порядка № 19 (2007) о праве на социальное обеспечение.</w:t>
      </w:r>
    </w:p>
    <w:p w14:paraId="12B424C7" w14:textId="77777777" w:rsidR="00383810" w:rsidRPr="00B96F11" w:rsidRDefault="00383810" w:rsidP="00383810">
      <w:pPr>
        <w:pStyle w:val="H23G"/>
      </w:pPr>
      <w:r>
        <w:lastRenderedPageBreak/>
        <w:tab/>
      </w:r>
      <w:r>
        <w:tab/>
      </w:r>
      <w:r>
        <w:rPr>
          <w:bCs/>
        </w:rPr>
        <w:t>Дети в специальных учреждениях</w:t>
      </w:r>
    </w:p>
    <w:p w14:paraId="23F39700" w14:textId="0A27E3C5" w:rsidR="00383810" w:rsidRPr="00CB7C6F" w:rsidRDefault="00383810" w:rsidP="00383810">
      <w:pPr>
        <w:pStyle w:val="SingleTxtG"/>
        <w:rPr>
          <w:b/>
        </w:rPr>
      </w:pPr>
      <w:r>
        <w:t>30.</w:t>
      </w:r>
      <w:r>
        <w:tab/>
        <w:t xml:space="preserve">Комитет принимает к сведению законодательные и политические усилия государства-участника по сокращению числа случаев помещения детей в специальные учреждения и расширению их передачи на воспитание в приемные семьи, включая национальную стратегию по защите прав детей на 2021–2029 годы и законодательство, запрещающее помещение детей в возрасте до трех лет в специальные учреждения. </w:t>
      </w:r>
      <w:r w:rsidR="00516474">
        <w:br/>
      </w:r>
      <w:r>
        <w:t xml:space="preserve">Тем не менее Комитет обеспокоен очень высоким числом детей в специальных учреждениях в государстве-участнике, в частности детей рома и детей с инвалидностью. Комитет обеспокоен также тем, что система ухода за детьми остается фрагментированной, и отсутствием эффективной политики </w:t>
      </w:r>
      <w:proofErr w:type="spellStart"/>
      <w:r>
        <w:t>деинституционализации</w:t>
      </w:r>
      <w:proofErr w:type="spellEnd"/>
      <w:r>
        <w:t xml:space="preserve"> детей и вариантов ухода в семейном окружении. Кроме того, Комитет выражает свою обеспокоенность тем, что дети с «поведенческими трудностями», которых называют «антисоциальными» или «находящимися в группе риска», помещаются в специальные учреждения в порядке гражданского судопроизводства и не могут воспользоваться юридической помощью (</w:t>
      </w:r>
      <w:r w:rsidR="009D7933">
        <w:rPr>
          <w:lang w:val="fr-CH"/>
        </w:rPr>
        <w:t>c</w:t>
      </w:r>
      <w:r w:rsidR="009D7933">
        <w:t>т. </w:t>
      </w:r>
      <w:r>
        <w:t>10).</w:t>
      </w:r>
    </w:p>
    <w:p w14:paraId="52F49106" w14:textId="77777777" w:rsidR="00383810" w:rsidRPr="00B96F11" w:rsidRDefault="00383810" w:rsidP="00383810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B6C6B99" w14:textId="385800BC" w:rsidR="00383810" w:rsidRPr="00516474" w:rsidRDefault="00516474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a)</w:t>
      </w:r>
      <w:r w:rsidR="00383810" w:rsidRPr="00516474">
        <w:rPr>
          <w:b/>
          <w:bCs/>
        </w:rPr>
        <w:tab/>
        <w:t>обеспечить эффективную координацию между различными министерствами для унификации системы ухода за детьми;</w:t>
      </w:r>
    </w:p>
    <w:p w14:paraId="59688CF2" w14:textId="2320FEF2" w:rsidR="00383810" w:rsidRPr="00516474" w:rsidRDefault="00516474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b)</w:t>
      </w:r>
      <w:r w:rsidR="00383810" w:rsidRPr="00516474">
        <w:rPr>
          <w:b/>
          <w:bCs/>
        </w:rPr>
        <w:tab/>
        <w:t xml:space="preserve">реализовать национальную политику и стратегию и привязанный ко времени план действий в целях ускорения прогресса в направлении </w:t>
      </w:r>
      <w:proofErr w:type="spellStart"/>
      <w:r w:rsidR="00383810" w:rsidRPr="00516474">
        <w:rPr>
          <w:b/>
          <w:bCs/>
        </w:rPr>
        <w:t>деинституционализации</w:t>
      </w:r>
      <w:proofErr w:type="spellEnd"/>
      <w:r w:rsidR="00383810" w:rsidRPr="00516474">
        <w:rPr>
          <w:b/>
          <w:bCs/>
        </w:rPr>
        <w:t xml:space="preserve"> в пользу вариантов, опирающихся на местные сообщества и семьи, уделяя особое внимание детям с инвалидностью, детям рома и детям самого младшего возраста;</w:t>
      </w:r>
    </w:p>
    <w:p w14:paraId="1AF3FAE1" w14:textId="43E14ACD" w:rsidR="00383810" w:rsidRPr="00516474" w:rsidRDefault="00516474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c)</w:t>
      </w:r>
      <w:r w:rsidR="00383810" w:rsidRPr="00516474">
        <w:rPr>
          <w:b/>
          <w:bCs/>
        </w:rPr>
        <w:tab/>
        <w:t>ускорить обсуждение проекта закона о поддержке семей и альтернативном семейном уходе с целью его принятия;</w:t>
      </w:r>
    </w:p>
    <w:p w14:paraId="1CEC50D9" w14:textId="34FF7FDA" w:rsidR="00383810" w:rsidRPr="00516474" w:rsidRDefault="00516474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d)</w:t>
      </w:r>
      <w:r w:rsidR="00383810" w:rsidRPr="00516474">
        <w:rPr>
          <w:b/>
          <w:bCs/>
        </w:rPr>
        <w:tab/>
        <w:t>обеспечить выполнение законодательства, предусматривающего минимальный возраст в три года для помещения ребенка в специальные учреждение по уходу;</w:t>
      </w:r>
    </w:p>
    <w:p w14:paraId="30E656C5" w14:textId="48D89ED1" w:rsidR="00383810" w:rsidRPr="00033C40" w:rsidRDefault="00516474" w:rsidP="00383810">
      <w:pPr>
        <w:pStyle w:val="SingleTxtG"/>
        <w:rPr>
          <w:b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e)</w:t>
      </w:r>
      <w:r w:rsidR="00383810" w:rsidRPr="00516474">
        <w:rPr>
          <w:b/>
          <w:bCs/>
        </w:rPr>
        <w:tab/>
      </w:r>
      <w:r w:rsidR="00383810">
        <w:rPr>
          <w:b/>
          <w:bCs/>
        </w:rPr>
        <w:t>гарантировать адекватное предоставление вариантов ухода в семейном окружении, включая достаточное число прошедших обучение приемных родителей;</w:t>
      </w:r>
    </w:p>
    <w:p w14:paraId="0F9B976A" w14:textId="3951A2D9" w:rsidR="00383810" w:rsidRPr="002E5B6E" w:rsidRDefault="00516474" w:rsidP="00383810">
      <w:pPr>
        <w:pStyle w:val="SingleTxtG"/>
        <w:rPr>
          <w:b/>
        </w:rPr>
      </w:pPr>
      <w:r w:rsidRPr="00516474">
        <w:rPr>
          <w:b/>
          <w:bCs/>
        </w:rPr>
        <w:tab/>
      </w:r>
      <w:r w:rsidR="00383810" w:rsidRPr="00516474">
        <w:rPr>
          <w:b/>
          <w:bCs/>
        </w:rPr>
        <w:t>f)</w:t>
      </w:r>
      <w:r w:rsidR="00383810">
        <w:tab/>
      </w:r>
      <w:r w:rsidR="00383810">
        <w:rPr>
          <w:b/>
          <w:bCs/>
        </w:rPr>
        <w:t>обеспечить, чтобы дети не разлучались со своими семьями и не помещались в альтернативные учреждения по причине наличия у них «поведенческих трудностей».</w:t>
      </w:r>
    </w:p>
    <w:p w14:paraId="5F0C7ACC" w14:textId="77777777" w:rsidR="00383810" w:rsidRPr="002E5B6E" w:rsidRDefault="00383810" w:rsidP="00383810">
      <w:pPr>
        <w:pStyle w:val="H23G"/>
      </w:pPr>
      <w:r>
        <w:tab/>
      </w:r>
      <w:r>
        <w:tab/>
      </w:r>
      <w:r>
        <w:rPr>
          <w:bCs/>
        </w:rPr>
        <w:t>Защита семьи и детей</w:t>
      </w:r>
    </w:p>
    <w:p w14:paraId="7CCFD446" w14:textId="79B25069" w:rsidR="00383810" w:rsidRPr="002E5B6E" w:rsidRDefault="00383810" w:rsidP="00383810">
      <w:pPr>
        <w:pStyle w:val="SingleTxtG"/>
        <w:rPr>
          <w:b/>
          <w:bCs/>
          <w:shd w:val="clear" w:color="auto" w:fill="FFFFFF"/>
        </w:rPr>
      </w:pPr>
      <w:r>
        <w:t>32.</w:t>
      </w:r>
      <w:r>
        <w:tab/>
        <w:t>Приветствуя прогресс, достигнутый в области ухода за детьми, включая детские группы и микро-ясли, Комитет обеспокоен тем, что эти меры недостаточны для решения проблемы перераспределения родительских обязанностей и вариантов ухода за детьми. Комитет обеспокоен также тем, что женщины чаще берут на себя обязанности по домашнему уходу и сталкиваются с проблемой совмещения профессиональной и личной жизни, в том числе испытывают трудности с возвращением на рынок труда после декретного отпуска (</w:t>
      </w:r>
      <w:r w:rsidR="009D7933">
        <w:rPr>
          <w:lang w:val="fr-CH"/>
        </w:rPr>
        <w:t>c</w:t>
      </w:r>
      <w:r w:rsidR="009D7933">
        <w:t>т. </w:t>
      </w:r>
      <w:r>
        <w:t>10).</w:t>
      </w:r>
    </w:p>
    <w:p w14:paraId="4C0F7E69" w14:textId="77777777" w:rsidR="00383810" w:rsidRPr="00B96F11" w:rsidRDefault="00383810" w:rsidP="00383810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9715B17" w14:textId="7329A2A8" w:rsidR="00383810" w:rsidRPr="00516474" w:rsidRDefault="00516474" w:rsidP="00383810">
      <w:pPr>
        <w:pStyle w:val="SingleTxtG"/>
        <w:rPr>
          <w:b/>
          <w:bCs/>
          <w:shd w:val="clear" w:color="auto" w:fill="FFFFFF"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a)</w:t>
      </w:r>
      <w:r w:rsidR="00383810" w:rsidRPr="00516474">
        <w:rPr>
          <w:b/>
          <w:bCs/>
        </w:rPr>
        <w:tab/>
        <w:t>увеличить доступность адекватных высококачественных учреждений и услуг по уходу за детьми, а также гибких схем рабочего графика;</w:t>
      </w:r>
    </w:p>
    <w:p w14:paraId="5CC025C5" w14:textId="1F51FBD9" w:rsidR="00383810" w:rsidRPr="00516474" w:rsidRDefault="00516474" w:rsidP="00383810">
      <w:pPr>
        <w:pStyle w:val="SingleTxtG"/>
        <w:rPr>
          <w:b/>
          <w:bCs/>
          <w:shd w:val="clear" w:color="auto" w:fill="FFFFFF"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b)</w:t>
      </w:r>
      <w:r w:rsidR="00383810" w:rsidRPr="00516474">
        <w:rPr>
          <w:b/>
          <w:bCs/>
        </w:rPr>
        <w:tab/>
        <w:t>принять комплексные меры по искоренению гендерных стереотипов, в том числе с помощью проведения кампаний в средствах массовой информации и привлечения лидеров общественного мнения, а также путем повышения осведомленности среди широкой общественности о равном распределении прав и обязанностей между мужчинами и женщинами в семье и обществе;</w:t>
      </w:r>
    </w:p>
    <w:p w14:paraId="5275DB0B" w14:textId="27376E34" w:rsidR="00383810" w:rsidRPr="00033C40" w:rsidRDefault="00516474" w:rsidP="00383810">
      <w:pPr>
        <w:pStyle w:val="SingleTxtG"/>
        <w:rPr>
          <w:b/>
          <w:bCs/>
          <w:shd w:val="clear" w:color="auto" w:fill="FFFFFF"/>
        </w:rPr>
      </w:pPr>
      <w:r>
        <w:rPr>
          <w:b/>
          <w:bCs/>
        </w:rPr>
        <w:lastRenderedPageBreak/>
        <w:tab/>
      </w:r>
      <w:r w:rsidR="00383810" w:rsidRPr="00516474">
        <w:rPr>
          <w:b/>
          <w:bCs/>
        </w:rPr>
        <w:t>c)</w:t>
      </w:r>
      <w:r w:rsidR="00383810" w:rsidRPr="00516474">
        <w:rPr>
          <w:b/>
          <w:bCs/>
        </w:rPr>
        <w:tab/>
        <w:t>продлить двухнедельный период отпуска по уходу за ребенком, предост</w:t>
      </w:r>
      <w:r w:rsidR="00383810">
        <w:rPr>
          <w:b/>
          <w:bCs/>
        </w:rPr>
        <w:t>авляемого отцам, и обеспечить, чтобы родители в полной мере использовали это время для установления справедливого распределения обязанностей по уходу за ребенком между мужчинами и женщинами.</w:t>
      </w:r>
    </w:p>
    <w:p w14:paraId="0E612518" w14:textId="77777777" w:rsidR="00383810" w:rsidRPr="00B96F11" w:rsidRDefault="00383810" w:rsidP="00383810">
      <w:pPr>
        <w:pStyle w:val="H23G"/>
      </w:pPr>
      <w:r>
        <w:tab/>
      </w:r>
      <w:r>
        <w:tab/>
      </w:r>
      <w:r>
        <w:rPr>
          <w:bCs/>
        </w:rPr>
        <w:t>Достаточный уровень жизни</w:t>
      </w:r>
    </w:p>
    <w:p w14:paraId="3FD8B301" w14:textId="1AE7DFA1" w:rsidR="00383810" w:rsidRPr="00033C40" w:rsidRDefault="00383810" w:rsidP="00383810">
      <w:pPr>
        <w:pStyle w:val="SingleTxtG"/>
        <w:rPr>
          <w:sz w:val="24"/>
          <w:szCs w:val="24"/>
        </w:rPr>
      </w:pPr>
      <w:r>
        <w:t>34.</w:t>
      </w:r>
      <w:r>
        <w:tab/>
        <w:t xml:space="preserve">Отмечая отсутствие крайней нищеты и низкий процент населения, которому угрожает нищета, в государстве-участнике, Комитет обеспокоен тем, что нынешний прожиточный минимум не включает стоимость жилья и адекватно не отражает реальную стоимость жизни. Комитет обеспокоен также тем, что в результате инфляции величина прожиточного минимума постоянно снижается и это оказывает негативное воздействие на людей, которые зависят от социальных пособий, рассчитываемых на основе этого показателя, особенно </w:t>
      </w:r>
      <w:proofErr w:type="gramStart"/>
      <w:r>
        <w:t>на рома</w:t>
      </w:r>
      <w:proofErr w:type="gramEnd"/>
      <w:r>
        <w:t xml:space="preserve"> (</w:t>
      </w:r>
      <w:r w:rsidR="009D7933">
        <w:rPr>
          <w:lang w:val="fr-CH"/>
        </w:rPr>
        <w:t>c</w:t>
      </w:r>
      <w:r w:rsidR="009D7933">
        <w:t>т. </w:t>
      </w:r>
      <w:r>
        <w:t>9 и 11).</w:t>
      </w:r>
    </w:p>
    <w:p w14:paraId="77580A6C" w14:textId="148B877A" w:rsidR="00383810" w:rsidRPr="00033C40" w:rsidRDefault="00383810" w:rsidP="00383810">
      <w:pPr>
        <w:pStyle w:val="SingleTxtG"/>
      </w:pPr>
      <w:r>
        <w:t>35.</w:t>
      </w:r>
      <w:r>
        <w:tab/>
      </w:r>
      <w:r w:rsidRPr="00715089">
        <w:rPr>
          <w:b/>
          <w:bCs/>
        </w:rPr>
        <w:t>Комитет рекомендует государству-участнику ускорить процесс внесения изменений в свой метод расчета прожиточного минимума и увеличить прожиточный минимум путем индексации с учетом стоимости жизни.</w:t>
      </w:r>
      <w:r>
        <w:t xml:space="preserve"> </w:t>
      </w:r>
      <w:r w:rsidR="00516474">
        <w:br/>
      </w:r>
      <w:r>
        <w:rPr>
          <w:b/>
          <w:bCs/>
        </w:rPr>
        <w:t>Он рекомендует также государству-участнику принять адресные меры по защите наиболее обездоленных и маргинализированных групп от бедности и обеспечить в случае необходимости доступность мер социальной защиты, достаточных для обеспечения им адекватного уровня жизни.</w:t>
      </w:r>
    </w:p>
    <w:p w14:paraId="0794C201" w14:textId="77777777" w:rsidR="00383810" w:rsidRPr="002E5B6E" w:rsidRDefault="00383810" w:rsidP="00383810">
      <w:pPr>
        <w:pStyle w:val="H23G"/>
      </w:pPr>
      <w:r>
        <w:tab/>
      </w:r>
      <w:r>
        <w:tab/>
      </w:r>
      <w:r>
        <w:rPr>
          <w:bCs/>
        </w:rPr>
        <w:t>Право на достаточное жилище</w:t>
      </w:r>
    </w:p>
    <w:p w14:paraId="70E36213" w14:textId="22FC8C38" w:rsidR="00383810" w:rsidRPr="002E5B6E" w:rsidRDefault="00383810" w:rsidP="00383810">
      <w:pPr>
        <w:pStyle w:val="SingleTxtG"/>
      </w:pPr>
      <w:r>
        <w:t>36.</w:t>
      </w:r>
      <w:r>
        <w:tab/>
        <w:t>Отмечая различные усилия, такие как реализуемый муниципалитетами проект социального жилья, Комитет выражает свою обеспокоенность тем, что государство-участник еще не ввело комплексную систему социального жилья и не приняло закон о социальном жилье. Комитет обеспокоен отсутствием достаточного количества адекватного жилья, высокой стоимостью жилья и высокими ценами на аренду, а также недостаточным объемом средств, выделяемых на выплату жилищных пособий. Отмечая, что положение, позволяющее создавать «</w:t>
      </w:r>
      <w:proofErr w:type="spellStart"/>
      <w:r>
        <w:t>безльготные</w:t>
      </w:r>
      <w:proofErr w:type="spellEnd"/>
      <w:r>
        <w:t xml:space="preserve"> зоны» в сфере жилья, было отменено в 2021 году Конституционным судом, Комитет по-прежнему обеспокоен сообщениями о том, что рома сталкиваются с многочисленными препятствиями на пути реализации своего права на жилище. Комитет отмечает также, что некоторые собственники неохотно сдают квартиры мигрантам, которые также сталкиваются с тем, что с них взимают арендную плату за некачественное жилье по ставке выше рыночной. Кроме того, он обеспокоен тем, что в государстве-участнике очень велико число бездомных, и сожалеет об отсутствии эффективного механизма предотвращения и решения этой проблемы (</w:t>
      </w:r>
      <w:r w:rsidR="009D7933">
        <w:rPr>
          <w:lang w:val="fr-CH"/>
        </w:rPr>
        <w:t>c</w:t>
      </w:r>
      <w:r w:rsidR="009D7933">
        <w:t>т. </w:t>
      </w:r>
      <w:r>
        <w:t>11).</w:t>
      </w:r>
    </w:p>
    <w:p w14:paraId="5E365834" w14:textId="77777777" w:rsidR="00383810" w:rsidRPr="00B96F11" w:rsidRDefault="00383810" w:rsidP="00383810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5E2B2E8" w14:textId="47D90AD8" w:rsidR="00383810" w:rsidRPr="00516474" w:rsidRDefault="00516474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a)</w:t>
      </w:r>
      <w:r w:rsidR="00383810" w:rsidRPr="00516474">
        <w:rPr>
          <w:b/>
          <w:bCs/>
        </w:rPr>
        <w:tab/>
        <w:t>разработать и эффективно осуществлять основанную на правозащитном подходе национальную жилищную стратегию, выделив для этого необходимые средства и обеспечив систему мониторинга, и с этой целью собирать дезагрегированные статистические данные, особенно о жилищном положении обездоленных и маргинализированных групп населения;</w:t>
      </w:r>
    </w:p>
    <w:p w14:paraId="44F65D53" w14:textId="6C81CACC" w:rsidR="00383810" w:rsidRPr="00516474" w:rsidRDefault="00516474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b)</w:t>
      </w:r>
      <w:r w:rsidR="00383810" w:rsidRPr="00516474">
        <w:rPr>
          <w:b/>
          <w:bCs/>
        </w:rPr>
        <w:tab/>
        <w:t>ускорить принятие закона о социальном жилье;</w:t>
      </w:r>
    </w:p>
    <w:p w14:paraId="3A671A56" w14:textId="1804E21D" w:rsidR="00383810" w:rsidRPr="00516474" w:rsidRDefault="00516474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c)</w:t>
      </w:r>
      <w:r w:rsidR="00383810" w:rsidRPr="00516474">
        <w:rPr>
          <w:b/>
          <w:bCs/>
        </w:rPr>
        <w:tab/>
        <w:t>увеличить наличие адекватного и доступного жилья, в частности путем расширения предложения социального жилья и увеличения объема жилищных субсидий, уделяя особое внимание обездоленным и маргинализированным группам, таким как рома, мигранты, люди с инвалидностью и пожилые люди;</w:t>
      </w:r>
    </w:p>
    <w:p w14:paraId="206A1F46" w14:textId="26F6A89C" w:rsidR="00383810" w:rsidRPr="00516474" w:rsidRDefault="00516474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d)</w:t>
      </w:r>
      <w:r w:rsidR="00383810" w:rsidRPr="00516474">
        <w:rPr>
          <w:b/>
          <w:bCs/>
        </w:rPr>
        <w:tab/>
        <w:t>расследовать сообщения о любой форме дискриминации в контексте доступа к жилью, включая уровень арендной платы и жилищные условия;</w:t>
      </w:r>
    </w:p>
    <w:p w14:paraId="223E8597" w14:textId="5FAF3D0A" w:rsidR="00383810" w:rsidRPr="00033C40" w:rsidRDefault="00516474" w:rsidP="00383810">
      <w:pPr>
        <w:pStyle w:val="SingleTxtG"/>
        <w:rPr>
          <w:b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e)</w:t>
      </w:r>
      <w:r w:rsidR="00383810" w:rsidRPr="00516474">
        <w:rPr>
          <w:b/>
          <w:bCs/>
        </w:rPr>
        <w:tab/>
        <w:t>о</w:t>
      </w:r>
      <w:r w:rsidR="00383810">
        <w:rPr>
          <w:b/>
          <w:bCs/>
        </w:rPr>
        <w:t xml:space="preserve">беспечить, чтобы в результате выселения люди не становились </w:t>
      </w:r>
      <w:proofErr w:type="gramStart"/>
      <w:r w:rsidR="00383810">
        <w:rPr>
          <w:b/>
          <w:bCs/>
        </w:rPr>
        <w:t>бездомными</w:t>
      </w:r>
      <w:proofErr w:type="gramEnd"/>
      <w:r w:rsidR="00383810">
        <w:rPr>
          <w:b/>
          <w:bCs/>
        </w:rPr>
        <w:t xml:space="preserve"> и чтобы в тех случаях, когда затронутые лица не в состоянии обеспечить себя жильем, государство-участник предоставляло им адекватное альтернативное жилье;</w:t>
      </w:r>
    </w:p>
    <w:p w14:paraId="5397BE6E" w14:textId="60C596B3" w:rsidR="00383810" w:rsidRPr="00033C40" w:rsidRDefault="00516474" w:rsidP="00383810">
      <w:pPr>
        <w:pStyle w:val="SingleTxtG"/>
        <w:rPr>
          <w:b/>
        </w:rPr>
      </w:pPr>
      <w:r>
        <w:rPr>
          <w:b/>
          <w:bCs/>
        </w:rPr>
        <w:lastRenderedPageBreak/>
        <w:tab/>
      </w:r>
      <w:r w:rsidR="00383810" w:rsidRPr="00516474">
        <w:rPr>
          <w:b/>
          <w:bCs/>
        </w:rPr>
        <w:t>f)</w:t>
      </w:r>
      <w:r w:rsidR="00383810">
        <w:tab/>
      </w:r>
      <w:r w:rsidR="00383810">
        <w:rPr>
          <w:b/>
          <w:bCs/>
        </w:rPr>
        <w:t>учитывать его замечание общего порядка № 7 (1997) о праве на достаточное жилище.</w:t>
      </w:r>
    </w:p>
    <w:p w14:paraId="7F717439" w14:textId="77777777" w:rsidR="00383810" w:rsidRPr="00B96F11" w:rsidRDefault="00383810" w:rsidP="00383810">
      <w:pPr>
        <w:pStyle w:val="H23G"/>
      </w:pPr>
      <w:r>
        <w:tab/>
      </w:r>
      <w:r>
        <w:tab/>
      </w:r>
      <w:r>
        <w:rPr>
          <w:bCs/>
        </w:rPr>
        <w:t>Право на здоровье</w:t>
      </w:r>
    </w:p>
    <w:p w14:paraId="3E84AEFC" w14:textId="756C53DC" w:rsidR="00383810" w:rsidRPr="00033C40" w:rsidRDefault="00383810" w:rsidP="00383810">
      <w:pPr>
        <w:pStyle w:val="SingleTxtG"/>
        <w:rPr>
          <w:b/>
        </w:rPr>
      </w:pPr>
      <w:r>
        <w:t>38.</w:t>
      </w:r>
      <w:r>
        <w:tab/>
        <w:t>Комитет обеспокоен сохраняющейся дискриминацией мигрантов, которые не соответствуют условиям для охвата системой государственного медицинского страхования и вынуждены заключать договор частного медицинского страхования,</w:t>
      </w:r>
      <w:r w:rsidR="00516474">
        <w:br/>
      </w:r>
      <w:r>
        <w:t>в результате чего не имеют достаточного покрытия и сталкиваются с длительным ожиданием выплаты страхового возмещения и ограничениями максимальной суммы возмещения. Кроме того, Комитет обеспокоен тем, что трансгендерные люди вынуждены проходить процедуру коррекции пола и стерилизации, чтобы изменить свое имя и гендер. Он также обеспокоен отсутствием нормативного регулирования прав интерсекс-людей, в том числе запрета на проведение хирургических процедур в отношении интерсекс-детей, которые зачастую являются необратимыми и неоправданными с медицинской точки зрения (</w:t>
      </w:r>
      <w:r w:rsidR="009D7933">
        <w:rPr>
          <w:lang w:val="fr-CH"/>
        </w:rPr>
        <w:t>c</w:t>
      </w:r>
      <w:r w:rsidR="009D7933">
        <w:t>т. </w:t>
      </w:r>
      <w:r>
        <w:t>9 и 12).</w:t>
      </w:r>
    </w:p>
    <w:p w14:paraId="0339D231" w14:textId="77777777" w:rsidR="00383810" w:rsidRPr="00B96F11" w:rsidRDefault="00383810" w:rsidP="00383810">
      <w:pPr>
        <w:pStyle w:val="SingleTxtG"/>
        <w:keepNext/>
        <w:rPr>
          <w:b/>
          <w:bCs/>
          <w:shd w:val="clear" w:color="auto" w:fill="FFFFFF"/>
        </w:rPr>
      </w:pPr>
      <w:r>
        <w:t>39.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5C4150B4" w14:textId="056F9993" w:rsidR="00383810" w:rsidRPr="00516474" w:rsidRDefault="00516474" w:rsidP="00383810">
      <w:pPr>
        <w:pStyle w:val="SingleTxtG"/>
        <w:keepNext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a)</w:t>
      </w:r>
      <w:r w:rsidR="00383810" w:rsidRPr="00516474">
        <w:rPr>
          <w:b/>
          <w:bCs/>
        </w:rPr>
        <w:tab/>
        <w:t>обеспечить всем лицам, включая мигрантов, равный доступ к профилактическим, лечебным и паллиативным медицинским услугам, независимо от их правового статуса и имеющихся у них документов;</w:t>
      </w:r>
    </w:p>
    <w:p w14:paraId="50C1FE5B" w14:textId="1DDEBFC5" w:rsidR="00383810" w:rsidRPr="00516474" w:rsidRDefault="00516474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b)</w:t>
      </w:r>
      <w:r w:rsidR="00383810" w:rsidRPr="00516474">
        <w:rPr>
          <w:b/>
          <w:bCs/>
        </w:rPr>
        <w:tab/>
        <w:t>гарантировать, чтобы частные страховые компании не навязывали чрезмерно жесткие условия;</w:t>
      </w:r>
    </w:p>
    <w:p w14:paraId="3D47C84B" w14:textId="431F2BC3" w:rsidR="00383810" w:rsidRPr="00516474" w:rsidRDefault="00516474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c)</w:t>
      </w:r>
      <w:r w:rsidR="00383810" w:rsidRPr="00516474">
        <w:rPr>
          <w:b/>
          <w:bCs/>
        </w:rPr>
        <w:tab/>
        <w:t>внести поправки в законодательство в целях отмены требования о стерилизации в рамках процедуры подтверждения гендерного статуса;</w:t>
      </w:r>
    </w:p>
    <w:p w14:paraId="05DBB9EB" w14:textId="7A55A81C" w:rsidR="00383810" w:rsidRPr="00516474" w:rsidRDefault="00516474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d)</w:t>
      </w:r>
      <w:r w:rsidR="00383810" w:rsidRPr="00516474">
        <w:rPr>
          <w:b/>
          <w:bCs/>
        </w:rPr>
        <w:tab/>
        <w:t>обеспечить, чтобы неоправданные с медицинской точки зрения процедуры в отношении интерсекс-детей не проводились до тех пор, пока они не смогут дать свое информированное согласие;</w:t>
      </w:r>
    </w:p>
    <w:p w14:paraId="59782996" w14:textId="382EE6B6" w:rsidR="00383810" w:rsidRPr="00033C40" w:rsidRDefault="00516474" w:rsidP="00383810">
      <w:pPr>
        <w:pStyle w:val="SingleTxtG"/>
        <w:rPr>
          <w:rStyle w:val="a8"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e)</w:t>
      </w:r>
      <w:r w:rsidR="00383810" w:rsidRPr="00516474">
        <w:rPr>
          <w:b/>
          <w:bCs/>
        </w:rPr>
        <w:tab/>
        <w:t>учитывать замечание общего порядка № 14 (2000) о праве на наивысший дос</w:t>
      </w:r>
      <w:r w:rsidR="00383810">
        <w:rPr>
          <w:b/>
          <w:bCs/>
        </w:rPr>
        <w:t>тижимый уровень здоровья и его заявление об обязанностях государств по отношению к беженцам и мигрантам согласно Пакту</w:t>
      </w:r>
      <w:r w:rsidR="00383810" w:rsidRPr="00017723">
        <w:rPr>
          <w:rStyle w:val="a8"/>
        </w:rPr>
        <w:footnoteReference w:id="6"/>
      </w:r>
      <w:r w:rsidR="00383810">
        <w:rPr>
          <w:b/>
          <w:bCs/>
        </w:rPr>
        <w:t>.</w:t>
      </w:r>
    </w:p>
    <w:p w14:paraId="71E048B0" w14:textId="77777777" w:rsidR="00383810" w:rsidRPr="002E5B6E" w:rsidRDefault="00383810" w:rsidP="00383810">
      <w:pPr>
        <w:pStyle w:val="H23G"/>
      </w:pPr>
      <w:r>
        <w:tab/>
      </w:r>
      <w:r>
        <w:tab/>
      </w:r>
      <w:r>
        <w:rPr>
          <w:bCs/>
        </w:rPr>
        <w:t>Принудительная стерилизация женщин рома</w:t>
      </w:r>
    </w:p>
    <w:p w14:paraId="4451890A" w14:textId="64DD8C79" w:rsidR="00383810" w:rsidRPr="002E5B6E" w:rsidRDefault="00383810" w:rsidP="00383810">
      <w:pPr>
        <w:pStyle w:val="SingleTxtG"/>
      </w:pPr>
      <w:r>
        <w:t>40.</w:t>
      </w:r>
      <w:r>
        <w:tab/>
        <w:t>Комитет приветствует принятие в 2021 году закона, касающегося компенсации лицам, которые были принуждены к стерилизации в период с 1966 по 2012 год. Однако Комитет обеспокоен тем, что срок в три года для обращения за компенсацией может оказаться слишком коротким для того, чтобы жертвы могли получить надлежащую информацию и подать свои иски (</w:t>
      </w:r>
      <w:r w:rsidR="009D7933">
        <w:rPr>
          <w:lang w:val="fr-CH"/>
        </w:rPr>
        <w:t>c</w:t>
      </w:r>
      <w:r w:rsidR="009D7933">
        <w:t>т. </w:t>
      </w:r>
      <w:r>
        <w:t>2, 10 и 12).</w:t>
      </w:r>
    </w:p>
    <w:p w14:paraId="07031D47" w14:textId="77777777" w:rsidR="00383810" w:rsidRPr="00B96F11" w:rsidRDefault="00383810" w:rsidP="00383810">
      <w:pPr>
        <w:pStyle w:val="SingleTxtG"/>
      </w:pPr>
      <w:r>
        <w:t>41.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D86DBB3" w14:textId="256347F0" w:rsidR="00383810" w:rsidRPr="00516474" w:rsidRDefault="00516474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a)</w:t>
      </w:r>
      <w:r w:rsidR="00383810" w:rsidRPr="00516474">
        <w:rPr>
          <w:b/>
          <w:bCs/>
        </w:rPr>
        <w:tab/>
        <w:t>обеспечить эффективную компенсацию жертвам принудительной стерилизации и предоставить им адекватную поддержку для получения возмещения, включая помощь в получении компенсации и бесплатную юридическую помощь;</w:t>
      </w:r>
    </w:p>
    <w:p w14:paraId="59A730A0" w14:textId="2C5F5D94" w:rsidR="00383810" w:rsidRPr="00516474" w:rsidRDefault="00516474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b)</w:t>
      </w:r>
      <w:r w:rsidR="00383810" w:rsidRPr="00516474">
        <w:rPr>
          <w:b/>
          <w:bCs/>
        </w:rPr>
        <w:tab/>
        <w:t xml:space="preserve">продлить срок подачи судебных исков о компенсации в случаях принудительной стерилизации настолько, насколько это необходимо, </w:t>
      </w:r>
      <w:r>
        <w:rPr>
          <w:b/>
          <w:bCs/>
        </w:rPr>
        <w:br/>
      </w:r>
      <w:r w:rsidR="00383810" w:rsidRPr="00516474">
        <w:rPr>
          <w:b/>
          <w:bCs/>
        </w:rPr>
        <w:t>и обеспечить гарантии неповторения;</w:t>
      </w:r>
    </w:p>
    <w:p w14:paraId="7E0158B7" w14:textId="577E891F" w:rsidR="00383810" w:rsidRPr="002E5B6E" w:rsidRDefault="00516474" w:rsidP="00383810">
      <w:pPr>
        <w:pStyle w:val="SingleTxtG"/>
        <w:rPr>
          <w:b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c)</w:t>
      </w:r>
      <w:r w:rsidR="00383810" w:rsidRPr="00516474">
        <w:rPr>
          <w:b/>
          <w:bCs/>
        </w:rPr>
        <w:tab/>
        <w:t>принять меры для обеспечения расследования таких случаев и привлечения виновных к ответственности и, в случае осуждения, назначения им надле</w:t>
      </w:r>
      <w:r w:rsidR="00383810">
        <w:rPr>
          <w:b/>
          <w:bCs/>
        </w:rPr>
        <w:t>жащего наказания.</w:t>
      </w:r>
    </w:p>
    <w:p w14:paraId="14B56895" w14:textId="77777777" w:rsidR="00383810" w:rsidRPr="00B96F11" w:rsidRDefault="00383810" w:rsidP="00383810">
      <w:pPr>
        <w:pStyle w:val="H23G"/>
      </w:pPr>
      <w:r>
        <w:lastRenderedPageBreak/>
        <w:tab/>
      </w:r>
      <w:r>
        <w:tab/>
      </w:r>
      <w:proofErr w:type="spellStart"/>
      <w:r>
        <w:rPr>
          <w:bCs/>
        </w:rPr>
        <w:t>Деинституционализация</w:t>
      </w:r>
      <w:proofErr w:type="spellEnd"/>
      <w:r>
        <w:rPr>
          <w:bCs/>
        </w:rPr>
        <w:t xml:space="preserve"> людей с инвалидностью</w:t>
      </w:r>
    </w:p>
    <w:p w14:paraId="0E79D899" w14:textId="46F48826" w:rsidR="00383810" w:rsidRPr="00033C40" w:rsidRDefault="00383810" w:rsidP="00383810">
      <w:pPr>
        <w:pStyle w:val="SingleTxtG"/>
      </w:pPr>
      <w:r>
        <w:t>42.</w:t>
      </w:r>
      <w:r>
        <w:tab/>
        <w:t>Принимая к сведению национальный план по поощрению равных возможностей для людей с инвалидностью на 2021–2025 годы, Комитет обеспокоен большим числом случаев помещения людей с инвалидностью, в частности с интеллектуальной или психосоциальной инвалидностью, в специальные учреждения. Комитет обеспокоен также тем, что государство-участник продолжает выделять ресурсы на специальные учреждения, и сожалеет о недостаточном объеме услуг поддержки, которые позволили бы людям с инвалидностью вести независимый образ жизни в своих местных общинах. Комитет также с озабоченностью отмечает отсутствие четкой политики, направленной на прекращение использования средств ограничения свободы в службах психического здоровья, несмотря на реформу системы психиатрической помощи (</w:t>
      </w:r>
      <w:r w:rsidR="009D7933">
        <w:rPr>
          <w:lang w:val="fr-CH"/>
        </w:rPr>
        <w:t>c</w:t>
      </w:r>
      <w:r w:rsidR="009D7933">
        <w:t>т. </w:t>
      </w:r>
      <w:r>
        <w:t>10 и 12).</w:t>
      </w:r>
    </w:p>
    <w:p w14:paraId="73772F75" w14:textId="77777777" w:rsidR="00383810" w:rsidRPr="00B96F11" w:rsidRDefault="00383810" w:rsidP="00383810">
      <w:pPr>
        <w:pStyle w:val="SingleTxtG"/>
        <w:rPr>
          <w:b/>
        </w:rPr>
      </w:pPr>
      <w:r>
        <w:t>43.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14:paraId="3E649F74" w14:textId="5C06650C" w:rsidR="00383810" w:rsidRPr="00516474" w:rsidRDefault="00516474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a)</w:t>
      </w:r>
      <w:r w:rsidR="00383810" w:rsidRPr="00516474">
        <w:rPr>
          <w:b/>
          <w:bCs/>
        </w:rPr>
        <w:tab/>
        <w:t xml:space="preserve">разработать и реализовать эффективную стратегию </w:t>
      </w:r>
      <w:proofErr w:type="spellStart"/>
      <w:r w:rsidR="00383810" w:rsidRPr="00516474">
        <w:rPr>
          <w:b/>
          <w:bCs/>
        </w:rPr>
        <w:t>деинституционализации</w:t>
      </w:r>
      <w:proofErr w:type="spellEnd"/>
      <w:r w:rsidR="00383810" w:rsidRPr="00516474">
        <w:rPr>
          <w:b/>
          <w:bCs/>
        </w:rPr>
        <w:t xml:space="preserve"> с четкими временными рамками и контрольными показателями при обеспечении на всех этапах консультаций с людьми с инвалидностью через представляющие их организации, и выделить для этого необходимые ресурсы;</w:t>
      </w:r>
    </w:p>
    <w:p w14:paraId="3545FA09" w14:textId="48D2DA1D" w:rsidR="00383810" w:rsidRPr="00516474" w:rsidRDefault="00516474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b)</w:t>
      </w:r>
      <w:r w:rsidR="00383810" w:rsidRPr="00516474">
        <w:rPr>
          <w:b/>
          <w:bCs/>
        </w:rPr>
        <w:tab/>
        <w:t>выделить достаточные ресурсы на развитие служб поддержки в местных сообществах, которые позволят всем людям с инвалидностью свободно выбирать, с кем, где и в каких условиях они будут жить;</w:t>
      </w:r>
    </w:p>
    <w:p w14:paraId="5895FD64" w14:textId="6195BF25" w:rsidR="00383810" w:rsidRPr="002E5B6E" w:rsidRDefault="00516474" w:rsidP="00383810">
      <w:pPr>
        <w:pStyle w:val="SingleTxtG"/>
        <w:rPr>
          <w:b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c)</w:t>
      </w:r>
      <w:r w:rsidR="00383810" w:rsidRPr="00516474">
        <w:rPr>
          <w:b/>
          <w:bCs/>
        </w:rPr>
        <w:tab/>
      </w:r>
      <w:r w:rsidR="00383810">
        <w:rPr>
          <w:b/>
          <w:bCs/>
        </w:rPr>
        <w:t>принять правовые и практические меры для прекращения использования принудительных мер в службах психического здоровья.</w:t>
      </w:r>
    </w:p>
    <w:p w14:paraId="0D26C22B" w14:textId="77777777" w:rsidR="00383810" w:rsidRPr="002E5B6E" w:rsidRDefault="00383810" w:rsidP="00383810">
      <w:pPr>
        <w:pStyle w:val="H23G"/>
      </w:pPr>
      <w:r>
        <w:tab/>
      </w:r>
      <w:r>
        <w:tab/>
      </w:r>
      <w:r>
        <w:rPr>
          <w:bCs/>
        </w:rPr>
        <w:t>Доступ к вакцинам и препаратам против COVID-19</w:t>
      </w:r>
    </w:p>
    <w:p w14:paraId="22F3A11F" w14:textId="6901A611" w:rsidR="00383810" w:rsidRPr="002E5B6E" w:rsidRDefault="00383810" w:rsidP="00383810">
      <w:pPr>
        <w:pStyle w:val="SingleTxtG"/>
        <w:rPr>
          <w:bCs/>
          <w:shd w:val="clear" w:color="auto" w:fill="FFFFFF"/>
        </w:rPr>
      </w:pPr>
      <w:r>
        <w:t>44.</w:t>
      </w:r>
      <w:r>
        <w:tab/>
        <w:t xml:space="preserve">Комитет приветствует представленную делегацией государства-участника информацию о том, что с 2021 года правительство сосредоточило внимание на обеспечении широкой доступности вакцин для всего населения наряду с доступным тестированием и лечением. Он также отмечает усилия государства-участника по сдерживанию распространения COVID-19 и предоставлению пациентам необходимой медицинской помощи. Вместе с тем Комитет отмечает, что государство-участник не играет активной роли в пропаганде всеобщего, справедливого и приемлемого в ценовом отношении доступа к вакцинам и лекарственным препаратам против </w:t>
      </w:r>
      <w:r w:rsidR="00516474">
        <w:br/>
      </w:r>
      <w:r>
        <w:t>COVID-19 в региональных и международных организациях, членом которых оно является (</w:t>
      </w:r>
      <w:r w:rsidR="009D7933">
        <w:rPr>
          <w:lang w:val="fr-CH"/>
        </w:rPr>
        <w:t>c</w:t>
      </w:r>
      <w:r w:rsidR="009D7933">
        <w:t>т. </w:t>
      </w:r>
      <w:r>
        <w:t>2 и 12).</w:t>
      </w:r>
    </w:p>
    <w:p w14:paraId="7778F042" w14:textId="77777777" w:rsidR="00383810" w:rsidRPr="00B96F11" w:rsidRDefault="00383810" w:rsidP="00383810">
      <w:pPr>
        <w:pStyle w:val="SingleTxtG"/>
        <w:rPr>
          <w:bCs/>
          <w:shd w:val="clear" w:color="auto" w:fill="FFFFFF"/>
        </w:rPr>
      </w:pPr>
      <w:r>
        <w:t>45.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5A6178C" w14:textId="730DF543" w:rsidR="00383810" w:rsidRPr="00516474" w:rsidRDefault="00516474" w:rsidP="00383810">
      <w:pPr>
        <w:pStyle w:val="SingleTxtG"/>
        <w:rPr>
          <w:b/>
          <w:bCs/>
          <w:shd w:val="clear" w:color="auto" w:fill="FFFFFF"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a)</w:t>
      </w:r>
      <w:r w:rsidR="00383810" w:rsidRPr="00516474">
        <w:rPr>
          <w:b/>
          <w:bCs/>
        </w:rPr>
        <w:tab/>
        <w:t>активизировать усилия по обеспечению всеобщего и справедливого доступа к тестированию, лечению и иммунизации в связи с COVID-19;</w:t>
      </w:r>
    </w:p>
    <w:p w14:paraId="7FE2548F" w14:textId="42656FC4" w:rsidR="00383810" w:rsidRPr="00516474" w:rsidRDefault="00516474" w:rsidP="00383810">
      <w:pPr>
        <w:pStyle w:val="SingleTxtG"/>
        <w:rPr>
          <w:b/>
          <w:bCs/>
          <w:shd w:val="clear" w:color="auto" w:fill="FFFFFF"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b)</w:t>
      </w:r>
      <w:r w:rsidR="00383810" w:rsidRPr="00516474">
        <w:rPr>
          <w:b/>
          <w:bCs/>
        </w:rPr>
        <w:tab/>
        <w:t xml:space="preserve">прилагать все усилия для использования своего влияния в региональных и международных организациях, членом которых оно является, </w:t>
      </w:r>
      <w:r>
        <w:rPr>
          <w:b/>
          <w:bCs/>
        </w:rPr>
        <w:br/>
      </w:r>
      <w:r w:rsidR="00383810" w:rsidRPr="00516474">
        <w:rPr>
          <w:b/>
          <w:bCs/>
        </w:rPr>
        <w:t>с целью поддержки всеобщего, справедливого и приемлемого в ценовом отношении доступа к вакцинам и лекарственным препаратам против COVID-19, включая возможность поддержки выдвинутых во Всемирной торговой организации предложений об установлении временного отказа от некоторых прав интеллектуальной собственности на вакцины, по крайней мере, до тех пор, пока продолжается пандемия;</w:t>
      </w:r>
    </w:p>
    <w:p w14:paraId="28D2F826" w14:textId="4B9C3336" w:rsidR="00383810" w:rsidRPr="002E5B6E" w:rsidRDefault="00516474" w:rsidP="00383810">
      <w:pPr>
        <w:pStyle w:val="SingleTxtG"/>
        <w:rPr>
          <w:rStyle w:val="a8"/>
        </w:rPr>
      </w:pPr>
      <w:r>
        <w:rPr>
          <w:b/>
          <w:bCs/>
        </w:rPr>
        <w:tab/>
      </w:r>
      <w:r w:rsidR="00383810" w:rsidRPr="00516474">
        <w:rPr>
          <w:b/>
          <w:bCs/>
        </w:rPr>
        <w:t>c)</w:t>
      </w:r>
      <w:r w:rsidR="00383810" w:rsidRPr="00516474">
        <w:rPr>
          <w:b/>
          <w:bCs/>
        </w:rPr>
        <w:tab/>
        <w:t>о</w:t>
      </w:r>
      <w:r w:rsidR="00383810">
        <w:rPr>
          <w:b/>
          <w:bCs/>
        </w:rPr>
        <w:t xml:space="preserve">братить особое внимание на пункт 82 замечания общего порядка Комитета № 25 (2020) о науке и экономических, социальных и культурных правах, а также на заявление Комитета о пандемии COVID-19 и экономических, </w:t>
      </w:r>
      <w:r w:rsidR="00383810">
        <w:rPr>
          <w:b/>
          <w:bCs/>
        </w:rPr>
        <w:lastRenderedPageBreak/>
        <w:t>социальных и культурных правах</w:t>
      </w:r>
      <w:r w:rsidR="00383810" w:rsidRPr="00017723">
        <w:rPr>
          <w:rStyle w:val="a8"/>
        </w:rPr>
        <w:footnoteReference w:id="7"/>
      </w:r>
      <w:r w:rsidR="00383810">
        <w:rPr>
          <w:b/>
          <w:bCs/>
        </w:rPr>
        <w:t xml:space="preserve"> и заявление Комитета о всеобщем и равном доступе к вакцинам против COVID-19</w:t>
      </w:r>
      <w:r w:rsidR="00383810" w:rsidRPr="00017723">
        <w:rPr>
          <w:rStyle w:val="a8"/>
        </w:rPr>
        <w:footnoteReference w:id="8"/>
      </w:r>
      <w:r w:rsidR="00383810">
        <w:rPr>
          <w:b/>
          <w:bCs/>
        </w:rPr>
        <w:t>.</w:t>
      </w:r>
    </w:p>
    <w:p w14:paraId="40868992" w14:textId="77777777" w:rsidR="00383810" w:rsidRPr="00B96F11" w:rsidRDefault="00383810" w:rsidP="00383810">
      <w:pPr>
        <w:pStyle w:val="H23G"/>
      </w:pPr>
      <w:r>
        <w:tab/>
      </w:r>
      <w:r>
        <w:tab/>
      </w:r>
      <w:r>
        <w:rPr>
          <w:bCs/>
        </w:rPr>
        <w:t>Инклюзивное образование</w:t>
      </w:r>
    </w:p>
    <w:p w14:paraId="04586F9F" w14:textId="11DF20F5" w:rsidR="00383810" w:rsidRPr="00033C40" w:rsidRDefault="00383810" w:rsidP="00383810">
      <w:pPr>
        <w:pStyle w:val="SingleTxtG"/>
      </w:pPr>
      <w:r>
        <w:t>46.</w:t>
      </w:r>
      <w:r>
        <w:tab/>
        <w:t>Комитет признает усилия, предпринятые государством-участником для развития инклюзивного образования, такие как планы действий по развитию инклюзивного образования и Указ № 27/2016. При этом Комитет обеспокоен тем, что значительное число детей с инвалидностью, в частности с интеллектуальной инвалидностью и аутизмом, по-прежнему получают образование в специальных школах. Комитет обеспокоен также тем, что служба школьных психологов назначает меры поддержки, руководствуясь преимущественно медицинским подходом. Кроме того, Комитет обеспокоен тем, что разумное приспособление обеспечивается не во всех случаях и что многие учителя не имеют достаточной подготовки в области инклюзивного обучения (</w:t>
      </w:r>
      <w:r w:rsidR="009D7933">
        <w:rPr>
          <w:lang w:val="fr-CH"/>
        </w:rPr>
        <w:t>c</w:t>
      </w:r>
      <w:r w:rsidR="009D7933">
        <w:t>т. </w:t>
      </w:r>
      <w:r>
        <w:t>2 (</w:t>
      </w:r>
      <w:r w:rsidR="009D7933">
        <w:t xml:space="preserve">п. </w:t>
      </w:r>
      <w:r>
        <w:t>2) и 13).</w:t>
      </w:r>
    </w:p>
    <w:p w14:paraId="4FBEE879" w14:textId="77777777" w:rsidR="00383810" w:rsidRPr="00B96F11" w:rsidRDefault="00383810" w:rsidP="00383810">
      <w:pPr>
        <w:pStyle w:val="SingleTxtG"/>
      </w:pPr>
      <w:r>
        <w:t>47.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9E94F42" w14:textId="4F131D75" w:rsidR="00383810" w:rsidRPr="001E68E0" w:rsidRDefault="001E68E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1E68E0">
        <w:rPr>
          <w:b/>
          <w:bCs/>
        </w:rPr>
        <w:t>a)</w:t>
      </w:r>
      <w:r w:rsidR="00383810" w:rsidRPr="001E68E0">
        <w:rPr>
          <w:b/>
          <w:bCs/>
        </w:rPr>
        <w:tab/>
        <w:t>внести изменения в свое законодательство, включая Указ № 27/2016 об обучении школьников с особыми потребностями в области образования и одаренных школьников, в целях обеспечения эффективной инклюзии всех детей с инвалидностью в систему общего образования на всех уровнях;</w:t>
      </w:r>
    </w:p>
    <w:p w14:paraId="369286FF" w14:textId="10D4CEED" w:rsidR="00383810" w:rsidRPr="001E68E0" w:rsidRDefault="001E68E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1E68E0">
        <w:rPr>
          <w:b/>
          <w:bCs/>
        </w:rPr>
        <w:t>b)</w:t>
      </w:r>
      <w:r w:rsidR="00383810" w:rsidRPr="001E68E0">
        <w:rPr>
          <w:b/>
          <w:bCs/>
        </w:rPr>
        <w:tab/>
        <w:t>выделять достаточные кадровые, технические и финансовые ресурсы и обеспечивать доступную и инклюзивную учебную среду, здания и учебные материалы, разумное приспособление и индивидуальную поддержку;</w:t>
      </w:r>
    </w:p>
    <w:p w14:paraId="2E51AD52" w14:textId="24FCC9C2" w:rsidR="00383810" w:rsidRPr="001E68E0" w:rsidRDefault="001E68E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1E68E0">
        <w:rPr>
          <w:b/>
          <w:bCs/>
        </w:rPr>
        <w:t>c)</w:t>
      </w:r>
      <w:r w:rsidR="00383810" w:rsidRPr="001E68E0">
        <w:rPr>
          <w:b/>
          <w:bCs/>
        </w:rPr>
        <w:tab/>
        <w:t>гарантировать принятие мер поддержки в рамках правозащитного подхода к инвалидности и не допустить в результате таких мер какой-либо сегрегации или снижения качества образования;</w:t>
      </w:r>
    </w:p>
    <w:p w14:paraId="0E72DD9C" w14:textId="1FF2142D" w:rsidR="00383810" w:rsidRPr="002E5B6E" w:rsidRDefault="001E68E0" w:rsidP="00383810">
      <w:pPr>
        <w:pStyle w:val="SingleTxtG"/>
        <w:rPr>
          <w:b/>
        </w:rPr>
      </w:pPr>
      <w:r>
        <w:rPr>
          <w:b/>
          <w:bCs/>
        </w:rPr>
        <w:tab/>
      </w:r>
      <w:r w:rsidR="00383810" w:rsidRPr="001E68E0">
        <w:rPr>
          <w:b/>
          <w:bCs/>
        </w:rPr>
        <w:t>d)</w:t>
      </w:r>
      <w:r w:rsidR="00383810" w:rsidRPr="001E68E0">
        <w:rPr>
          <w:b/>
          <w:bCs/>
        </w:rPr>
        <w:tab/>
      </w:r>
      <w:r w:rsidR="00383810">
        <w:rPr>
          <w:b/>
          <w:bCs/>
        </w:rPr>
        <w:t>обеспечить достаточное число подготовленных учителей и адекватно оплачиваемых ассистентов преподавателей.</w:t>
      </w:r>
    </w:p>
    <w:p w14:paraId="67AC73B3" w14:textId="77777777" w:rsidR="00383810" w:rsidRPr="002E5B6E" w:rsidRDefault="00383810" w:rsidP="00383810">
      <w:pPr>
        <w:pStyle w:val="H23G"/>
      </w:pPr>
      <w:r>
        <w:tab/>
      </w:r>
      <w:r>
        <w:tab/>
      </w:r>
      <w:r>
        <w:rPr>
          <w:bCs/>
        </w:rPr>
        <w:t>Инклюзивное образование для детей из числа рома и мигрантов</w:t>
      </w:r>
    </w:p>
    <w:p w14:paraId="5DDF858C" w14:textId="6B574FD1" w:rsidR="00383810" w:rsidRPr="00033C40" w:rsidRDefault="00383810" w:rsidP="00383810">
      <w:pPr>
        <w:pStyle w:val="SingleTxtG"/>
      </w:pPr>
      <w:r>
        <w:t>48.</w:t>
      </w:r>
      <w:r>
        <w:tab/>
        <w:t xml:space="preserve">Комитет принимает к сведению усилия государства-участника по интеграции детей из числа рома и мигрантов в общеобразовательную систему, включая программы «Поддержка интеграции меньшинства рома» и «Поддержка обучения иностранных граждан в школах». При этом Комитет по-прежнему обеспокоен тем, что инклюзия детей из числа рома не обеспечивается, так как во многих случаях они обучаются в отдельных школах или в специальных школах для детей с инвалидностью. Он обеспокоен также недостаточным охватом детей из числа рома дошкольным образованием, высоким уровнем отсева этих учащихся и недостаточным количеством квалифицированных школьных посредников из числа рома. Кроме того, Комитет </w:t>
      </w:r>
      <w:r w:rsidR="00B518AD">
        <w:br/>
      </w:r>
      <w:r>
        <w:t>по-прежнему обеспокоен недостаточной представленностью учащихся из числа мигрантов в старших классах средней школы, а также тем, что детям из стран, не входящих в Европейский союз, для получения такого образования на тех же условиях требуется вид на жительство (</w:t>
      </w:r>
      <w:r w:rsidR="009D7933">
        <w:rPr>
          <w:lang w:val="fr-CH"/>
        </w:rPr>
        <w:t>c</w:t>
      </w:r>
      <w:r w:rsidR="009D7933">
        <w:t>т. </w:t>
      </w:r>
      <w:r>
        <w:t>2 (</w:t>
      </w:r>
      <w:r w:rsidR="009D7933">
        <w:t>п.</w:t>
      </w:r>
      <w:r>
        <w:t xml:space="preserve"> 2) и 13).</w:t>
      </w:r>
    </w:p>
    <w:p w14:paraId="63133ECC" w14:textId="77777777" w:rsidR="00383810" w:rsidRPr="00B96F11" w:rsidRDefault="00383810" w:rsidP="00383810">
      <w:pPr>
        <w:pStyle w:val="SingleTxtG"/>
        <w:rPr>
          <w:b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45D0A5F" w14:textId="1382C276" w:rsidR="00383810" w:rsidRPr="001E68E0" w:rsidRDefault="001E68E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1E68E0">
        <w:rPr>
          <w:b/>
          <w:bCs/>
        </w:rPr>
        <w:t>a)</w:t>
      </w:r>
      <w:r w:rsidR="00383810" w:rsidRPr="001E68E0">
        <w:rPr>
          <w:b/>
          <w:bCs/>
        </w:rPr>
        <w:tab/>
        <w:t>активизировать усилия по обеспечению доступа детей из числа рома к высококачественному общему образованию, включая дошкольное образование;</w:t>
      </w:r>
    </w:p>
    <w:p w14:paraId="3063DECA" w14:textId="4ECC6D1D" w:rsidR="00383810" w:rsidRPr="001E68E0" w:rsidRDefault="001E68E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1E68E0">
        <w:rPr>
          <w:b/>
          <w:bCs/>
        </w:rPr>
        <w:t>b)</w:t>
      </w:r>
      <w:r w:rsidR="00383810" w:rsidRPr="001E68E0">
        <w:rPr>
          <w:b/>
          <w:bCs/>
        </w:rPr>
        <w:tab/>
        <w:t>принять адресные меры по улучшению показателей зачисления в школу и окончания школы среди детей рома, в частности девочек, на различных уровнях образования;</w:t>
      </w:r>
    </w:p>
    <w:p w14:paraId="0266C407" w14:textId="2B5DF6A9" w:rsidR="00383810" w:rsidRPr="00033C40" w:rsidRDefault="001E68E0" w:rsidP="00383810">
      <w:pPr>
        <w:pStyle w:val="SingleTxtG"/>
        <w:rPr>
          <w:b/>
        </w:rPr>
      </w:pPr>
      <w:r>
        <w:rPr>
          <w:b/>
          <w:bCs/>
        </w:rPr>
        <w:lastRenderedPageBreak/>
        <w:tab/>
      </w:r>
      <w:r w:rsidR="00383810" w:rsidRPr="001E68E0">
        <w:rPr>
          <w:b/>
          <w:bCs/>
        </w:rPr>
        <w:t>c)</w:t>
      </w:r>
      <w:r w:rsidR="00383810" w:rsidRPr="001E68E0">
        <w:rPr>
          <w:b/>
          <w:bCs/>
        </w:rPr>
        <w:tab/>
      </w:r>
      <w:r w:rsidR="00383810">
        <w:rPr>
          <w:b/>
          <w:bCs/>
        </w:rPr>
        <w:t>выделить надлежащие бюджетные средства для обеспечения достаточного числа квалифицированных школьных посредников из числа рома, а также обеспечить поддержку детям рома, живущим в нищете и в изолированных районах;</w:t>
      </w:r>
    </w:p>
    <w:p w14:paraId="3B7AEF73" w14:textId="1A6AE2F0" w:rsidR="00383810" w:rsidRPr="001E68E0" w:rsidRDefault="001E68E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1E68E0">
        <w:rPr>
          <w:b/>
          <w:bCs/>
        </w:rPr>
        <w:t>d)</w:t>
      </w:r>
      <w:r w:rsidR="00383810" w:rsidRPr="001E68E0">
        <w:rPr>
          <w:b/>
          <w:bCs/>
        </w:rPr>
        <w:tab/>
        <w:t>проводить информационно-просветительские кампании по поощрению многообразия в школьной среде и налагать санкции на школы, которые не зачисляют детей рома;</w:t>
      </w:r>
    </w:p>
    <w:p w14:paraId="7640DD60" w14:textId="1190E243" w:rsidR="00383810" w:rsidRPr="002E5B6E" w:rsidRDefault="001E68E0" w:rsidP="00383810">
      <w:pPr>
        <w:pStyle w:val="SingleTxtG"/>
        <w:rPr>
          <w:b/>
        </w:rPr>
      </w:pPr>
      <w:r>
        <w:rPr>
          <w:b/>
          <w:bCs/>
        </w:rPr>
        <w:tab/>
      </w:r>
      <w:r w:rsidR="00383810" w:rsidRPr="001E68E0">
        <w:rPr>
          <w:b/>
          <w:bCs/>
        </w:rPr>
        <w:t>e)</w:t>
      </w:r>
      <w:r w:rsidR="00383810" w:rsidRPr="001E68E0">
        <w:rPr>
          <w:b/>
          <w:bCs/>
        </w:rPr>
        <w:tab/>
        <w:t>устранить правовые и административные барьеры для зачисления в школу всех учащихся из числа мигрантов, в том числе учащихся, не имеющих доку</w:t>
      </w:r>
      <w:r w:rsidR="00383810">
        <w:rPr>
          <w:b/>
          <w:bCs/>
        </w:rPr>
        <w:t>ментов, и принять эффективные меры для предоставления им недискриминационного доступа к образованию.</w:t>
      </w:r>
    </w:p>
    <w:p w14:paraId="3179B179" w14:textId="77777777" w:rsidR="00383810" w:rsidRPr="002E5B6E" w:rsidRDefault="00383810" w:rsidP="00383810">
      <w:pPr>
        <w:pStyle w:val="H23G"/>
      </w:pPr>
      <w:r>
        <w:tab/>
      </w:r>
      <w:r>
        <w:tab/>
      </w:r>
      <w:r>
        <w:rPr>
          <w:bCs/>
        </w:rPr>
        <w:t>Культурные права</w:t>
      </w:r>
    </w:p>
    <w:p w14:paraId="249A43B4" w14:textId="05DF4BAB" w:rsidR="00383810" w:rsidRPr="002E5B6E" w:rsidRDefault="00383810" w:rsidP="00383810">
      <w:pPr>
        <w:pStyle w:val="SingleTxtG"/>
      </w:pPr>
      <w:r>
        <w:t>50.</w:t>
      </w:r>
      <w:r>
        <w:tab/>
        <w:t xml:space="preserve">Комитет отмечает различные меры, принятые государством-участником с целью защиты культурных прав, включая Государственную политику в области культуры и Национальную политику исследований, развития и инноваций 2021+. </w:t>
      </w:r>
      <w:r w:rsidR="001E68E0">
        <w:br/>
      </w:r>
      <w:r>
        <w:t xml:space="preserve">Тем не менее Комитет обеспокоен сложностями, с которыми сталкиваются обездоленные и маргинализированные группы населения в плане доступа к культурной жизни и пользования достижениями научных исследований. </w:t>
      </w:r>
      <w:r w:rsidR="001E68E0">
        <w:br/>
      </w:r>
      <w:r>
        <w:t>Он обеспокоен также тем, что образование на языках меньшинств не охватывает все национальные меньшинства и не распространяется на всю страну. Кроме того, Комитет обеспокоен тем, что законодательство о научных исследованиях не соответствует международным стандартам (</w:t>
      </w:r>
      <w:r w:rsidR="009D7933">
        <w:rPr>
          <w:lang w:val="fr-CH"/>
        </w:rPr>
        <w:t>c</w:t>
      </w:r>
      <w:r w:rsidR="009D7933">
        <w:t>т. </w:t>
      </w:r>
      <w:r>
        <w:t>15).</w:t>
      </w:r>
    </w:p>
    <w:p w14:paraId="4D241493" w14:textId="77777777" w:rsidR="00383810" w:rsidRPr="00B96F11" w:rsidRDefault="00383810" w:rsidP="00383810">
      <w:pPr>
        <w:pStyle w:val="SingleTxtG"/>
      </w:pPr>
      <w:r>
        <w:t>51.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C36307A" w14:textId="101C999A" w:rsidR="00383810" w:rsidRPr="001E68E0" w:rsidRDefault="001E68E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1E68E0">
        <w:rPr>
          <w:b/>
          <w:bCs/>
        </w:rPr>
        <w:t>a)</w:t>
      </w:r>
      <w:r w:rsidR="00383810" w:rsidRPr="001E68E0">
        <w:rPr>
          <w:b/>
          <w:bCs/>
        </w:rPr>
        <w:tab/>
        <w:t>активизировать усилия по обеспечению доступности культурной жизни для всех, гарантируя обездоленным и маргинализированным группам населения экономически приемлемый доступ к культурной жизни и возможность пользоваться плодами научного прогресса;</w:t>
      </w:r>
    </w:p>
    <w:p w14:paraId="45EEB9CC" w14:textId="7C241A94" w:rsidR="00383810" w:rsidRPr="001E68E0" w:rsidRDefault="001E68E0" w:rsidP="00383810">
      <w:pPr>
        <w:pStyle w:val="SingleTxtG"/>
        <w:rPr>
          <w:b/>
          <w:bCs/>
        </w:rPr>
      </w:pPr>
      <w:r>
        <w:rPr>
          <w:b/>
          <w:bCs/>
        </w:rPr>
        <w:tab/>
      </w:r>
      <w:r w:rsidR="00383810" w:rsidRPr="001E68E0">
        <w:rPr>
          <w:b/>
          <w:bCs/>
        </w:rPr>
        <w:t>b)</w:t>
      </w:r>
      <w:r w:rsidR="00383810" w:rsidRPr="001E68E0">
        <w:rPr>
          <w:b/>
          <w:bCs/>
        </w:rPr>
        <w:tab/>
        <w:t>рассмотреть возможность пересмотра своей языковой политики и языкового законодательства в области образования с целью поощрения преподавания всех языков меньшинств и обучения на языках меньшинств и обеспечения того, чтобы такая политика и законы не оказывали негативного воздействия на успеваемость детей, принадлежащих к группам меньшинств;</w:t>
      </w:r>
    </w:p>
    <w:p w14:paraId="725A9C26" w14:textId="4B11923D" w:rsidR="00383810" w:rsidRPr="002E5B6E" w:rsidRDefault="001E68E0" w:rsidP="00383810">
      <w:pPr>
        <w:pStyle w:val="SingleTxtG"/>
        <w:rPr>
          <w:b/>
        </w:rPr>
      </w:pPr>
      <w:r>
        <w:rPr>
          <w:b/>
          <w:bCs/>
        </w:rPr>
        <w:tab/>
      </w:r>
      <w:r w:rsidR="00383810" w:rsidRPr="001E68E0">
        <w:rPr>
          <w:b/>
          <w:bCs/>
        </w:rPr>
        <w:t>c)</w:t>
      </w:r>
      <w:r w:rsidR="00383810" w:rsidRPr="001E68E0">
        <w:rPr>
          <w:b/>
          <w:bCs/>
        </w:rPr>
        <w:tab/>
        <w:t>внести изменения в законодательство о научных исследованиях и ввести обяз</w:t>
      </w:r>
      <w:r w:rsidR="00383810">
        <w:rPr>
          <w:b/>
          <w:bCs/>
        </w:rPr>
        <w:t>ательство, согласно которому данные исследований должны согласно общему правилу и при отсутствии конфликта интересов публиковаться по запросу и в соответствии с принципами управления научными данными.</w:t>
      </w:r>
    </w:p>
    <w:p w14:paraId="1925643B" w14:textId="77777777" w:rsidR="00383810" w:rsidRPr="002E5B6E" w:rsidRDefault="00383810" w:rsidP="00383810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Другие рекомендации</w:t>
      </w:r>
    </w:p>
    <w:p w14:paraId="4A82D9D0" w14:textId="77777777" w:rsidR="00383810" w:rsidRPr="002E5B6E" w:rsidRDefault="00383810" w:rsidP="00383810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призывает государство-участник подписать и ратифицировать Факультативный протокол к Международному пакту об экономических, социальных и культурных правах.</w:t>
      </w:r>
    </w:p>
    <w:p w14:paraId="18EAEB1D" w14:textId="77777777" w:rsidR="00383810" w:rsidRPr="002E5B6E" w:rsidRDefault="00383810" w:rsidP="00383810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Комитет рекомендует государству-участнику рассмотреть возможность ратификации Международной конвенции о защите прав всех трудящихся-мигрантов и членов их семей.</w:t>
      </w:r>
    </w:p>
    <w:p w14:paraId="074A7641" w14:textId="77777777" w:rsidR="00383810" w:rsidRPr="00033C40" w:rsidRDefault="00383810" w:rsidP="00383810">
      <w:pPr>
        <w:pStyle w:val="SingleTxtG"/>
        <w:rPr>
          <w:rStyle w:val="a8"/>
        </w:rPr>
      </w:pPr>
      <w:r>
        <w:t>54.</w:t>
      </w:r>
      <w:r>
        <w:tab/>
      </w:r>
      <w:r>
        <w:rPr>
          <w:b/>
          <w:bCs/>
        </w:rPr>
        <w:t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года, в том числе в рамках восстановления после пандемии COVID-19.</w:t>
      </w:r>
      <w:r>
        <w:t xml:space="preserve"> </w:t>
      </w:r>
      <w:r>
        <w:rPr>
          <w:b/>
          <w:bCs/>
        </w:rPr>
        <w:t xml:space="preserve">Государство-участник могло бы существенно содействовать достижению Целей в области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</w:t>
      </w:r>
      <w:r>
        <w:rPr>
          <w:b/>
          <w:bCs/>
        </w:rPr>
        <w:lastRenderedPageBreak/>
        <w:t>с правообладателями, которые могут претендовать на получение причитающихся им льгот.</w:t>
      </w:r>
      <w:r>
        <w:t xml:space="preserve"> </w:t>
      </w:r>
      <w:r>
        <w:rPr>
          <w:b/>
          <w:bCs/>
        </w:rPr>
        <w:t>Кроме того, Комитет рекомендует государству-участнику поддержать глобальное обязательство десятилетия действий по достижению Целей в области устойчивого развития.</w:t>
      </w:r>
      <w:r>
        <w:t xml:space="preserve"> </w:t>
      </w:r>
      <w:r>
        <w:rPr>
          <w:b/>
          <w:bCs/>
        </w:rPr>
        <w:t>Достижение Целей на основе принципов участия, подотчетности и недискриминации будет способствовать обеспечению того, чтобы никто не был забыт.</w:t>
      </w:r>
      <w:r>
        <w:t xml:space="preserve"> </w:t>
      </w:r>
      <w:r>
        <w:rPr>
          <w:b/>
          <w:bCs/>
        </w:rPr>
        <w:t>В этой связи Комитет обращает внимание государства-участника на свое заявление об обязательстве никого не забыть</w:t>
      </w:r>
      <w:r w:rsidRPr="00017723">
        <w:rPr>
          <w:rStyle w:val="a8"/>
        </w:rPr>
        <w:footnoteReference w:id="9"/>
      </w:r>
      <w:r>
        <w:rPr>
          <w:b/>
          <w:bCs/>
        </w:rPr>
        <w:t>.</w:t>
      </w:r>
    </w:p>
    <w:p w14:paraId="4EA7505D" w14:textId="343D69E9" w:rsidR="00383810" w:rsidRPr="00033C40" w:rsidRDefault="00383810" w:rsidP="00383810">
      <w:pPr>
        <w:pStyle w:val="SingleTxtG"/>
        <w:rPr>
          <w:b/>
        </w:rPr>
      </w:pPr>
      <w:r>
        <w:t>55.</w:t>
      </w:r>
      <w:r>
        <w:tab/>
      </w:r>
      <w:r>
        <w:rPr>
          <w:b/>
          <w:bCs/>
        </w:rPr>
        <w:t xml:space="preserve">Комитет просит государство-участник широко распространить настоящие заключительные замечания среди всех слоев общества, в том числе на национальном, региональном и муниципальном уровнях, в частности среди парламентариев, государственных должностных лиц и судебных органов, </w:t>
      </w:r>
      <w:r w:rsidR="001E68E0">
        <w:rPr>
          <w:b/>
          <w:bCs/>
        </w:rPr>
        <w:br/>
      </w:r>
      <w:r>
        <w:rPr>
          <w:b/>
          <w:bCs/>
        </w:rPr>
        <w:t>и в своем следующем периодическом докладе проинформировать Комитет о мерах, принятых с целью их осуществления.</w:t>
      </w:r>
      <w:r>
        <w:t xml:space="preserve"> </w:t>
      </w:r>
      <w:r>
        <w:rPr>
          <w:b/>
          <w:bCs/>
        </w:rPr>
        <w:t>Комитет рекомендует государству-участнику привлечь Народного защитника прав (Омбудсмена), неправительственные организации и других членов гражданского общества к последующей деятельности в связи с настоящими заключительными замечаниями, а также к процессу консультаций на национальном уровне перед представлением следующего периодического доклада.</w:t>
      </w:r>
    </w:p>
    <w:p w14:paraId="03C2D4D5" w14:textId="77777777" w:rsidR="00383810" w:rsidRPr="002E5B6E" w:rsidRDefault="00383810" w:rsidP="00383810">
      <w:pPr>
        <w:pStyle w:val="SingleTxtG"/>
        <w:rPr>
          <w:b/>
          <w:i/>
          <w:iCs/>
        </w:rPr>
      </w:pPr>
      <w:r>
        <w:t>56.</w:t>
      </w:r>
      <w:r>
        <w:tab/>
      </w:r>
      <w:r>
        <w:rPr>
          <w:b/>
          <w:bCs/>
        </w:rPr>
        <w:t>В соответствии с процедурой последующей деятельности по выполнению принятых Комитетом заключительных замечаний Комитет просит государство-участник в течение 24 месяцев с момента принятия настоящих заключительных замечаний предоставить информацию о выполнении рекомендаций, содержащихся в пунктах 19 а) (гендерный разрыв в оплате труда), 31 b) (дети в специальных учреждениях) и 37 а) (достаточное жилище) выше.</w:t>
      </w:r>
    </w:p>
    <w:p w14:paraId="646BA912" w14:textId="77777777" w:rsidR="00383810" w:rsidRPr="002E5B6E" w:rsidRDefault="00383810" w:rsidP="00383810">
      <w:pPr>
        <w:pStyle w:val="SingleTxtG"/>
        <w:rPr>
          <w:b/>
        </w:rPr>
      </w:pPr>
      <w:r>
        <w:t>57.</w:t>
      </w:r>
      <w:r>
        <w:tab/>
      </w:r>
      <w:r>
        <w:rPr>
          <w:b/>
          <w:bCs/>
        </w:rPr>
        <w:t>Комитет просит государство-участник представить свой четвертый периодический доклад в соответствии со статьей 16 Пакта не позднее 31 марта 2027 года, если в результате изменения цикла обзора не поступит иного уведомления.</w:t>
      </w:r>
      <w:r>
        <w:t xml:space="preserve"> </w:t>
      </w:r>
      <w:r>
        <w:rPr>
          <w:b/>
          <w:bCs/>
        </w:rPr>
        <w:t>В соответствии с резолюцией 68/268 Генеральной Ассамблеи объем доклада не должен превышать 21 200 слов.</w:t>
      </w:r>
    </w:p>
    <w:p w14:paraId="11421280" w14:textId="77777777" w:rsidR="00383810" w:rsidRPr="002E5B6E" w:rsidRDefault="00383810" w:rsidP="00383810">
      <w:pPr>
        <w:spacing w:before="240"/>
        <w:jc w:val="center"/>
        <w:rPr>
          <w:u w:val="single"/>
        </w:rPr>
      </w:pPr>
      <w:r w:rsidRPr="002E5B6E">
        <w:rPr>
          <w:u w:val="single"/>
        </w:rPr>
        <w:tab/>
      </w:r>
      <w:r w:rsidRPr="002E5B6E">
        <w:rPr>
          <w:u w:val="single"/>
        </w:rPr>
        <w:tab/>
      </w:r>
      <w:r w:rsidRPr="002E5B6E">
        <w:rPr>
          <w:u w:val="single"/>
        </w:rPr>
        <w:tab/>
      </w:r>
    </w:p>
    <w:p w14:paraId="6DE2DEEC" w14:textId="5F3A97C6" w:rsidR="00255DB8" w:rsidRDefault="00255DB8" w:rsidP="00896BA2"/>
    <w:p w14:paraId="2BE3525B" w14:textId="77777777" w:rsidR="00381C24" w:rsidRPr="00BC18B2" w:rsidRDefault="00381C24" w:rsidP="00896BA2"/>
    <w:sectPr w:rsidR="00381C24" w:rsidRPr="00BC18B2" w:rsidSect="00255DB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0798" w14:textId="77777777" w:rsidR="00E56F66" w:rsidRPr="00A312BC" w:rsidRDefault="00E56F66" w:rsidP="00A312BC"/>
  </w:endnote>
  <w:endnote w:type="continuationSeparator" w:id="0">
    <w:p w14:paraId="56899905" w14:textId="77777777" w:rsidR="00E56F66" w:rsidRPr="00A312BC" w:rsidRDefault="00E56F6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8ECA" w14:textId="51071419" w:rsidR="00255DB8" w:rsidRPr="00255DB8" w:rsidRDefault="00255DB8">
    <w:pPr>
      <w:pStyle w:val="aa"/>
    </w:pPr>
    <w:r w:rsidRPr="00255DB8">
      <w:rPr>
        <w:b/>
        <w:sz w:val="18"/>
      </w:rPr>
      <w:fldChar w:fldCharType="begin"/>
    </w:r>
    <w:r w:rsidRPr="00255DB8">
      <w:rPr>
        <w:b/>
        <w:sz w:val="18"/>
      </w:rPr>
      <w:instrText xml:space="preserve"> PAGE  \* MERGEFORMAT </w:instrText>
    </w:r>
    <w:r w:rsidRPr="00255DB8">
      <w:rPr>
        <w:b/>
        <w:sz w:val="18"/>
      </w:rPr>
      <w:fldChar w:fldCharType="separate"/>
    </w:r>
    <w:r w:rsidRPr="00255DB8">
      <w:rPr>
        <w:b/>
        <w:noProof/>
        <w:sz w:val="18"/>
      </w:rPr>
      <w:t>2</w:t>
    </w:r>
    <w:r w:rsidRPr="00255DB8">
      <w:rPr>
        <w:b/>
        <w:sz w:val="18"/>
      </w:rPr>
      <w:fldChar w:fldCharType="end"/>
    </w:r>
    <w:r>
      <w:rPr>
        <w:b/>
        <w:sz w:val="18"/>
      </w:rPr>
      <w:tab/>
    </w:r>
    <w:r>
      <w:t>GE.22-04532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EF99" w14:textId="57701440" w:rsidR="00255DB8" w:rsidRPr="00255DB8" w:rsidRDefault="00255DB8" w:rsidP="00255DB8">
    <w:pPr>
      <w:pStyle w:val="aa"/>
      <w:tabs>
        <w:tab w:val="clear" w:pos="9639"/>
        <w:tab w:val="right" w:pos="9638"/>
      </w:tabs>
      <w:rPr>
        <w:b/>
        <w:sz w:val="18"/>
      </w:rPr>
    </w:pPr>
    <w:r>
      <w:t>GE.22-04532</w:t>
    </w:r>
    <w:r>
      <w:tab/>
    </w:r>
    <w:r w:rsidRPr="00255DB8">
      <w:rPr>
        <w:b/>
        <w:sz w:val="18"/>
      </w:rPr>
      <w:fldChar w:fldCharType="begin"/>
    </w:r>
    <w:r w:rsidRPr="00255DB8">
      <w:rPr>
        <w:b/>
        <w:sz w:val="18"/>
      </w:rPr>
      <w:instrText xml:space="preserve"> PAGE  \* MERGEFORMAT </w:instrText>
    </w:r>
    <w:r w:rsidRPr="00255DB8">
      <w:rPr>
        <w:b/>
        <w:sz w:val="18"/>
      </w:rPr>
      <w:fldChar w:fldCharType="separate"/>
    </w:r>
    <w:r w:rsidRPr="00255DB8">
      <w:rPr>
        <w:b/>
        <w:noProof/>
        <w:sz w:val="18"/>
      </w:rPr>
      <w:t>3</w:t>
    </w:r>
    <w:r w:rsidRPr="00255D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BCFB" w14:textId="4C1AF829" w:rsidR="00042B72" w:rsidRPr="00255DB8" w:rsidRDefault="00255DB8" w:rsidP="00255DB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56FA05" wp14:editId="3955842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22-04532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09605A" wp14:editId="3CF9468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240522  170622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F315" w14:textId="77777777" w:rsidR="00E56F66" w:rsidRPr="001075E9" w:rsidRDefault="00E56F6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697110" w14:textId="77777777" w:rsidR="00E56F66" w:rsidRDefault="00E56F6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CC6EC0" w14:textId="04CACA2B" w:rsidR="00383810" w:rsidRPr="002E5B6E" w:rsidRDefault="00383810" w:rsidP="00383810">
      <w:pPr>
        <w:pStyle w:val="af"/>
      </w:pPr>
      <w:r>
        <w:tab/>
      </w:r>
      <w:r w:rsidRPr="00383810">
        <w:rPr>
          <w:sz w:val="20"/>
        </w:rPr>
        <w:t>*</w:t>
      </w:r>
      <w:r>
        <w:tab/>
        <w:t xml:space="preserve">Приняты Комитетом на его семьдесят первой сессии (14 февраля </w:t>
      </w:r>
      <w:r w:rsidRPr="008C0920">
        <w:t>—</w:t>
      </w:r>
      <w:r w:rsidRPr="00383810">
        <w:t xml:space="preserve"> </w:t>
      </w:r>
      <w:r>
        <w:t>4 марта 2022 года).</w:t>
      </w:r>
    </w:p>
  </w:footnote>
  <w:footnote w:id="2">
    <w:p w14:paraId="73C182B4" w14:textId="2AA3D22C" w:rsidR="00383810" w:rsidRPr="002E5B6E" w:rsidRDefault="00383810" w:rsidP="00383810">
      <w:pPr>
        <w:pStyle w:val="af"/>
        <w:rPr>
          <w:szCs w:val="18"/>
          <w:lang w:val="de-CH"/>
        </w:rPr>
      </w:pPr>
      <w:r>
        <w:rPr>
          <w:sz w:val="16"/>
          <w:szCs w:val="16"/>
        </w:rPr>
        <w:tab/>
      </w:r>
      <w:r w:rsidRPr="00017723">
        <w:rPr>
          <w:rStyle w:val="a8"/>
        </w:rPr>
        <w:footnoteRef/>
      </w:r>
      <w:r w:rsidRPr="002E5B6E">
        <w:rPr>
          <w:lang w:val="de-CH"/>
        </w:rPr>
        <w:t xml:space="preserve"> </w:t>
      </w:r>
      <w:r w:rsidRPr="002E5B6E">
        <w:rPr>
          <w:lang w:val="de-CH"/>
        </w:rPr>
        <w:tab/>
      </w:r>
      <w:hyperlink r:id="rId1" w:history="1">
        <w:r w:rsidRPr="00583F9B">
          <w:rPr>
            <w:rStyle w:val="a7"/>
            <w:lang w:val="de-CH"/>
          </w:rPr>
          <w:t>E/C.12/CZE/3</w:t>
        </w:r>
      </w:hyperlink>
      <w:r w:rsidRPr="002E5B6E">
        <w:rPr>
          <w:lang w:val="de-CH"/>
        </w:rPr>
        <w:t>.</w:t>
      </w:r>
    </w:p>
  </w:footnote>
  <w:footnote w:id="3">
    <w:p w14:paraId="61C0341E" w14:textId="1BC03B16" w:rsidR="00383810" w:rsidRPr="002E5B6E" w:rsidRDefault="00383810" w:rsidP="00383810">
      <w:pPr>
        <w:pStyle w:val="af"/>
        <w:rPr>
          <w:szCs w:val="18"/>
          <w:lang w:val="de-CH"/>
        </w:rPr>
      </w:pPr>
      <w:r w:rsidRPr="002E5B6E">
        <w:rPr>
          <w:szCs w:val="18"/>
          <w:lang w:val="de-CH"/>
        </w:rPr>
        <w:tab/>
      </w:r>
      <w:r w:rsidRPr="00017723">
        <w:rPr>
          <w:rStyle w:val="a8"/>
        </w:rPr>
        <w:footnoteRef/>
      </w:r>
      <w:r w:rsidRPr="002E5B6E">
        <w:rPr>
          <w:lang w:val="de-CH"/>
        </w:rPr>
        <w:tab/>
      </w:r>
      <w:r>
        <w:t>См</w:t>
      </w:r>
      <w:r w:rsidRPr="002E5B6E">
        <w:rPr>
          <w:lang w:val="de-CH"/>
        </w:rPr>
        <w:t xml:space="preserve">. </w:t>
      </w:r>
      <w:hyperlink r:id="rId2" w:history="1">
        <w:r w:rsidRPr="00583F9B">
          <w:rPr>
            <w:rStyle w:val="a7"/>
            <w:lang w:val="de-CH"/>
          </w:rPr>
          <w:t>E/C.12/2022/SR.8</w:t>
        </w:r>
      </w:hyperlink>
      <w:r w:rsidRPr="002E5B6E">
        <w:rPr>
          <w:lang w:val="de-CH"/>
        </w:rPr>
        <w:t xml:space="preserve">, </w:t>
      </w:r>
      <w:hyperlink r:id="rId3" w:history="1">
        <w:r w:rsidRPr="00583F9B">
          <w:rPr>
            <w:rStyle w:val="a7"/>
            <w:lang w:val="de-CH"/>
          </w:rPr>
          <w:t>E/C.12/2022/SR.9</w:t>
        </w:r>
      </w:hyperlink>
      <w:r w:rsidRPr="002E5B6E">
        <w:rPr>
          <w:lang w:val="de-CH"/>
        </w:rPr>
        <w:t xml:space="preserve"> </w:t>
      </w:r>
      <w:r>
        <w:t>и</w:t>
      </w:r>
      <w:r w:rsidRPr="002E5B6E">
        <w:rPr>
          <w:lang w:val="de-CH"/>
        </w:rPr>
        <w:t xml:space="preserve"> </w:t>
      </w:r>
      <w:hyperlink r:id="rId4" w:history="1">
        <w:r w:rsidRPr="00583F9B">
          <w:rPr>
            <w:rStyle w:val="a7"/>
            <w:lang w:val="de-CH"/>
          </w:rPr>
          <w:t>E/C.12/2022/SR.10</w:t>
        </w:r>
      </w:hyperlink>
      <w:r w:rsidRPr="002E5B6E">
        <w:rPr>
          <w:lang w:val="de-CH"/>
        </w:rPr>
        <w:t>.</w:t>
      </w:r>
    </w:p>
  </w:footnote>
  <w:footnote w:id="4">
    <w:p w14:paraId="259C3F23" w14:textId="6C84A587" w:rsidR="00383810" w:rsidRPr="00B96F11" w:rsidRDefault="00383810" w:rsidP="00383810">
      <w:pPr>
        <w:pStyle w:val="af"/>
        <w:rPr>
          <w:sz w:val="16"/>
          <w:szCs w:val="16"/>
          <w:lang w:val="es-ES"/>
        </w:rPr>
      </w:pPr>
      <w:r w:rsidRPr="002E5B6E">
        <w:rPr>
          <w:szCs w:val="18"/>
          <w:lang w:val="de-CH"/>
        </w:rPr>
        <w:tab/>
      </w:r>
      <w:r w:rsidRPr="00017723">
        <w:rPr>
          <w:rStyle w:val="a8"/>
        </w:rPr>
        <w:footnoteRef/>
      </w:r>
      <w:r w:rsidRPr="00B96F11">
        <w:rPr>
          <w:lang w:val="es-ES"/>
        </w:rPr>
        <w:t xml:space="preserve"> </w:t>
      </w:r>
      <w:r w:rsidRPr="00B96F11">
        <w:rPr>
          <w:lang w:val="es-ES"/>
        </w:rPr>
        <w:tab/>
      </w:r>
      <w:hyperlink r:id="rId5" w:history="1">
        <w:r w:rsidRPr="00583F9B">
          <w:rPr>
            <w:rStyle w:val="a7"/>
            <w:lang w:val="es-ES"/>
          </w:rPr>
          <w:t>E/C.12/CZE/RQ/3</w:t>
        </w:r>
      </w:hyperlink>
      <w:r w:rsidRPr="00B96F11">
        <w:rPr>
          <w:lang w:val="es-ES"/>
        </w:rPr>
        <w:t>.</w:t>
      </w:r>
    </w:p>
  </w:footnote>
  <w:footnote w:id="5">
    <w:p w14:paraId="762EEC31" w14:textId="74BA7CD8" w:rsidR="00383810" w:rsidRPr="00B96F11" w:rsidRDefault="00383810" w:rsidP="00383810">
      <w:pPr>
        <w:pStyle w:val="af"/>
        <w:rPr>
          <w:lang w:val="es-ES"/>
        </w:rPr>
      </w:pPr>
      <w:r w:rsidRPr="00B96F11">
        <w:rPr>
          <w:lang w:val="es-ES"/>
        </w:rPr>
        <w:tab/>
      </w:r>
      <w:r w:rsidRPr="00017723">
        <w:rPr>
          <w:rStyle w:val="a8"/>
        </w:rPr>
        <w:footnoteRef/>
      </w:r>
      <w:r w:rsidRPr="00B96F11">
        <w:rPr>
          <w:lang w:val="es-ES"/>
        </w:rPr>
        <w:tab/>
      </w:r>
      <w:hyperlink r:id="rId6" w:history="1">
        <w:r w:rsidRPr="00583F9B">
          <w:rPr>
            <w:rStyle w:val="a7"/>
            <w:lang w:val="es-ES"/>
          </w:rPr>
          <w:t>E/C.12/2018/1</w:t>
        </w:r>
      </w:hyperlink>
      <w:r w:rsidRPr="00B96F11">
        <w:rPr>
          <w:lang w:val="es-ES"/>
        </w:rPr>
        <w:t>.</w:t>
      </w:r>
    </w:p>
  </w:footnote>
  <w:footnote w:id="6">
    <w:p w14:paraId="012802C6" w14:textId="384887E6" w:rsidR="00383810" w:rsidRPr="00B96F11" w:rsidRDefault="00383810" w:rsidP="00383810">
      <w:pPr>
        <w:pStyle w:val="af"/>
        <w:rPr>
          <w:lang w:val="es-ES"/>
        </w:rPr>
      </w:pPr>
      <w:r w:rsidRPr="00B96F11">
        <w:rPr>
          <w:lang w:val="es-ES"/>
        </w:rPr>
        <w:tab/>
      </w:r>
      <w:r w:rsidRPr="00017723">
        <w:rPr>
          <w:rStyle w:val="a8"/>
        </w:rPr>
        <w:footnoteRef/>
      </w:r>
      <w:r w:rsidRPr="00B96F11">
        <w:rPr>
          <w:lang w:val="es-ES"/>
        </w:rPr>
        <w:tab/>
      </w:r>
      <w:hyperlink r:id="rId7" w:history="1">
        <w:r w:rsidRPr="00A41A24">
          <w:rPr>
            <w:rStyle w:val="a7"/>
            <w:lang w:val="es-ES"/>
          </w:rPr>
          <w:t>E/C.12/2017/1</w:t>
        </w:r>
      </w:hyperlink>
      <w:r w:rsidRPr="00B96F11">
        <w:rPr>
          <w:lang w:val="es-ES"/>
        </w:rPr>
        <w:t>.</w:t>
      </w:r>
    </w:p>
  </w:footnote>
  <w:footnote w:id="7">
    <w:p w14:paraId="76FF19DA" w14:textId="1BAD1235" w:rsidR="00383810" w:rsidRPr="00987664" w:rsidRDefault="00383810" w:rsidP="00383810">
      <w:pPr>
        <w:pStyle w:val="af"/>
      </w:pPr>
      <w:r w:rsidRPr="00B96F11">
        <w:rPr>
          <w:lang w:val="es-ES"/>
        </w:rPr>
        <w:tab/>
      </w:r>
      <w:r w:rsidRPr="00017723">
        <w:rPr>
          <w:rStyle w:val="a8"/>
        </w:rPr>
        <w:footnoteRef/>
      </w:r>
      <w:r>
        <w:tab/>
      </w:r>
      <w:hyperlink r:id="rId8" w:history="1">
        <w:r w:rsidRPr="00A41A24">
          <w:rPr>
            <w:rStyle w:val="a7"/>
          </w:rPr>
          <w:t>E/C.12/2020/1</w:t>
        </w:r>
      </w:hyperlink>
      <w:r>
        <w:t>.</w:t>
      </w:r>
    </w:p>
  </w:footnote>
  <w:footnote w:id="8">
    <w:p w14:paraId="338FBBAE" w14:textId="76E2CD2C" w:rsidR="00383810" w:rsidRDefault="00383810" w:rsidP="00383810">
      <w:pPr>
        <w:pStyle w:val="af"/>
      </w:pPr>
      <w:r w:rsidRPr="00987664">
        <w:tab/>
      </w:r>
      <w:r w:rsidRPr="00017723">
        <w:rPr>
          <w:rStyle w:val="a8"/>
        </w:rPr>
        <w:footnoteRef/>
      </w:r>
      <w:r>
        <w:tab/>
      </w:r>
      <w:hyperlink r:id="rId9" w:history="1">
        <w:r w:rsidRPr="00A41A24">
          <w:rPr>
            <w:rStyle w:val="a7"/>
          </w:rPr>
          <w:t>E/C.12/2020/2</w:t>
        </w:r>
      </w:hyperlink>
      <w:r>
        <w:t>.</w:t>
      </w:r>
    </w:p>
  </w:footnote>
  <w:footnote w:id="9">
    <w:p w14:paraId="2C1FCE6A" w14:textId="160088F1" w:rsidR="00383810" w:rsidRPr="00AA6AA2" w:rsidRDefault="00383810" w:rsidP="00383810">
      <w:pPr>
        <w:pStyle w:val="af"/>
        <w:rPr>
          <w:sz w:val="16"/>
          <w:szCs w:val="16"/>
        </w:rPr>
      </w:pPr>
      <w:r w:rsidRPr="00CE54C2">
        <w:rPr>
          <w:sz w:val="16"/>
          <w:szCs w:val="16"/>
        </w:rPr>
        <w:tab/>
      </w:r>
      <w:r w:rsidRPr="00017723">
        <w:rPr>
          <w:rStyle w:val="a8"/>
        </w:rPr>
        <w:footnoteRef/>
      </w:r>
      <w:r>
        <w:t xml:space="preserve"> </w:t>
      </w:r>
      <w:r>
        <w:tab/>
      </w:r>
      <w:hyperlink r:id="rId10" w:history="1">
        <w:r w:rsidRPr="00A41A24">
          <w:rPr>
            <w:rStyle w:val="a7"/>
          </w:rPr>
          <w:t>E/C.12/2019/1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88C1" w14:textId="0E611A5B" w:rsidR="00255DB8" w:rsidRPr="00255DB8" w:rsidRDefault="00A24530">
    <w:pPr>
      <w:pStyle w:val="a5"/>
    </w:pPr>
    <w:fldSimple w:instr=" TITLE  \* MERGEFORMAT ">
      <w:r>
        <w:t>E/C.12/CZE/CO/3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DA67" w14:textId="3C73069D" w:rsidR="00255DB8" w:rsidRPr="00255DB8" w:rsidRDefault="00A24530" w:rsidP="00255DB8">
    <w:pPr>
      <w:pStyle w:val="a5"/>
      <w:jc w:val="right"/>
    </w:pPr>
    <w:fldSimple w:instr=" TITLE  \* MERGEFORMAT ">
      <w:r>
        <w:t>E/C.12/CZE/CO/3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66"/>
    <w:rsid w:val="00033EE1"/>
    <w:rsid w:val="00042B72"/>
    <w:rsid w:val="00043B08"/>
    <w:rsid w:val="000558BD"/>
    <w:rsid w:val="000857D2"/>
    <w:rsid w:val="000B57E7"/>
    <w:rsid w:val="000B6373"/>
    <w:rsid w:val="000C467B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1E68E0"/>
    <w:rsid w:val="00203065"/>
    <w:rsid w:val="00255DB8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4544"/>
    <w:rsid w:val="00305C08"/>
    <w:rsid w:val="00307FB6"/>
    <w:rsid w:val="00317339"/>
    <w:rsid w:val="00322004"/>
    <w:rsid w:val="003402C2"/>
    <w:rsid w:val="00381C24"/>
    <w:rsid w:val="00383810"/>
    <w:rsid w:val="003958D0"/>
    <w:rsid w:val="003A0D43"/>
    <w:rsid w:val="003B00E5"/>
    <w:rsid w:val="00400333"/>
    <w:rsid w:val="00407B78"/>
    <w:rsid w:val="00424203"/>
    <w:rsid w:val="0042551A"/>
    <w:rsid w:val="00452493"/>
    <w:rsid w:val="00453318"/>
    <w:rsid w:val="00454E07"/>
    <w:rsid w:val="00472C5C"/>
    <w:rsid w:val="004A76AE"/>
    <w:rsid w:val="0050108D"/>
    <w:rsid w:val="00513081"/>
    <w:rsid w:val="00516474"/>
    <w:rsid w:val="00517901"/>
    <w:rsid w:val="00526683"/>
    <w:rsid w:val="005709E0"/>
    <w:rsid w:val="00572E19"/>
    <w:rsid w:val="00583F9B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24515"/>
    <w:rsid w:val="00734ACB"/>
    <w:rsid w:val="00757357"/>
    <w:rsid w:val="00772C1B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43DD2"/>
    <w:rsid w:val="00951972"/>
    <w:rsid w:val="009608F3"/>
    <w:rsid w:val="00977938"/>
    <w:rsid w:val="009A24AC"/>
    <w:rsid w:val="009D7933"/>
    <w:rsid w:val="009F2C10"/>
    <w:rsid w:val="00A14DA8"/>
    <w:rsid w:val="00A21F00"/>
    <w:rsid w:val="00A24530"/>
    <w:rsid w:val="00A312BC"/>
    <w:rsid w:val="00A41A24"/>
    <w:rsid w:val="00A84021"/>
    <w:rsid w:val="00A84D35"/>
    <w:rsid w:val="00A917B3"/>
    <w:rsid w:val="00AA7C57"/>
    <w:rsid w:val="00AB2DBD"/>
    <w:rsid w:val="00AB4B51"/>
    <w:rsid w:val="00AC3430"/>
    <w:rsid w:val="00B10CC7"/>
    <w:rsid w:val="00B36DF7"/>
    <w:rsid w:val="00B518AD"/>
    <w:rsid w:val="00B520D9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56F66"/>
    <w:rsid w:val="00E73F76"/>
    <w:rsid w:val="00E90403"/>
    <w:rsid w:val="00EA2C9F"/>
    <w:rsid w:val="00EA420E"/>
    <w:rsid w:val="00ED0BDA"/>
    <w:rsid w:val="00ED51CE"/>
    <w:rsid w:val="00EE142A"/>
    <w:rsid w:val="00EF1360"/>
    <w:rsid w:val="00EF3220"/>
    <w:rsid w:val="00F25146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FB23ED"/>
  <w15:docId w15:val="{F4AFAED0-8332-4ED5-AC07-4635F963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383810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583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E/C.12/2020/1" TargetMode="External"/><Relationship Id="rId3" Type="http://schemas.openxmlformats.org/officeDocument/2006/relationships/hyperlink" Target="http://undocs.org/en/E/C.12/2022/SR.9" TargetMode="External"/><Relationship Id="rId7" Type="http://schemas.openxmlformats.org/officeDocument/2006/relationships/hyperlink" Target="http://undocs.org/ru/E/C.12/2017/1" TargetMode="External"/><Relationship Id="rId2" Type="http://schemas.openxmlformats.org/officeDocument/2006/relationships/hyperlink" Target="http://undocs.org/en/E/C.12/2022/SR.8" TargetMode="External"/><Relationship Id="rId1" Type="http://schemas.openxmlformats.org/officeDocument/2006/relationships/hyperlink" Target="http://undocs.org/en/E/C.12/CZE/3" TargetMode="External"/><Relationship Id="rId6" Type="http://schemas.openxmlformats.org/officeDocument/2006/relationships/hyperlink" Target="http://undocs.org/ru/E/C.12/2018/1" TargetMode="External"/><Relationship Id="rId5" Type="http://schemas.openxmlformats.org/officeDocument/2006/relationships/hyperlink" Target="http://undocs.org/en/E/C.12/CZE/RQ/3" TargetMode="External"/><Relationship Id="rId10" Type="http://schemas.openxmlformats.org/officeDocument/2006/relationships/hyperlink" Target="http://undocs.org/ru/E/C.12/2019/1" TargetMode="External"/><Relationship Id="rId4" Type="http://schemas.openxmlformats.org/officeDocument/2006/relationships/hyperlink" Target="http://undocs.org/en/E/C.12/2022/SR.10" TargetMode="External"/><Relationship Id="rId9" Type="http://schemas.openxmlformats.org/officeDocument/2006/relationships/hyperlink" Target="http://undocs.org/ru/E/C.12/2020/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14</Pages>
  <Words>5280</Words>
  <Characters>36225</Characters>
  <Application>Microsoft Office Word</Application>
  <DocSecurity>0</DocSecurity>
  <Lines>683</Lines>
  <Paragraphs>205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E/C.12/CZE/CO/3</vt:lpstr>
      <vt:lpstr>A/</vt:lpstr>
      <vt:lpstr>A/</vt:lpstr>
    </vt:vector>
  </TitlesOfParts>
  <Company>DCM</Company>
  <LinksUpToDate>false</LinksUpToDate>
  <CharactersWithSpaces>41300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E/C.12/CZE/CO/3</dc:title>
  <dc:subject/>
  <dc:creator>Ekaterina SALYNSKAYA</dc:creator>
  <cp:keywords/>
  <cp:lastModifiedBy>Tatiana Chvets</cp:lastModifiedBy>
  <cp:revision>2</cp:revision>
  <cp:lastPrinted>2022-06-17T12:52:00Z</cp:lastPrinted>
  <dcterms:created xsi:type="dcterms:W3CDTF">2022-06-17T13:14:00Z</dcterms:created>
  <dcterms:modified xsi:type="dcterms:W3CDTF">2022-06-17T13:14:00Z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