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F464FA" w14:paraId="044ED639" w14:textId="77777777" w:rsidTr="000D1B89">
        <w:trPr>
          <w:cantSplit/>
          <w:trHeight w:hRule="exact" w:val="851"/>
        </w:trPr>
        <w:tc>
          <w:tcPr>
            <w:tcW w:w="1276" w:type="dxa"/>
            <w:tcBorders>
              <w:bottom w:val="single" w:sz="4" w:space="0" w:color="auto"/>
            </w:tcBorders>
            <w:vAlign w:val="bottom"/>
          </w:tcPr>
          <w:p w14:paraId="39A52EDC" w14:textId="77777777" w:rsidR="00717266" w:rsidRPr="00F464FA" w:rsidRDefault="00717266" w:rsidP="000D1B89">
            <w:pPr>
              <w:spacing w:after="80"/>
            </w:pPr>
          </w:p>
        </w:tc>
        <w:tc>
          <w:tcPr>
            <w:tcW w:w="2268" w:type="dxa"/>
            <w:tcBorders>
              <w:bottom w:val="single" w:sz="4" w:space="0" w:color="auto"/>
            </w:tcBorders>
            <w:vAlign w:val="bottom"/>
          </w:tcPr>
          <w:p w14:paraId="110375C8" w14:textId="77777777" w:rsidR="00717266" w:rsidRPr="00F464FA" w:rsidRDefault="00717266" w:rsidP="000D1B89">
            <w:pPr>
              <w:spacing w:after="80" w:line="300" w:lineRule="exact"/>
              <w:rPr>
                <w:b/>
                <w:sz w:val="24"/>
                <w:szCs w:val="24"/>
              </w:rPr>
            </w:pPr>
            <w:r w:rsidRPr="00F464FA">
              <w:rPr>
                <w:sz w:val="28"/>
                <w:szCs w:val="28"/>
              </w:rPr>
              <w:t>United Nations</w:t>
            </w:r>
          </w:p>
        </w:tc>
        <w:tc>
          <w:tcPr>
            <w:tcW w:w="6095" w:type="dxa"/>
            <w:gridSpan w:val="2"/>
            <w:tcBorders>
              <w:bottom w:val="single" w:sz="4" w:space="0" w:color="auto"/>
            </w:tcBorders>
            <w:vAlign w:val="bottom"/>
          </w:tcPr>
          <w:p w14:paraId="4CCA348D" w14:textId="77777777" w:rsidR="00717266" w:rsidRPr="00F464FA" w:rsidRDefault="00221DD4" w:rsidP="00221DD4">
            <w:pPr>
              <w:suppressAutoHyphens w:val="0"/>
              <w:spacing w:after="20"/>
              <w:jc w:val="right"/>
            </w:pPr>
            <w:r w:rsidRPr="00F464FA">
              <w:rPr>
                <w:sz w:val="40"/>
              </w:rPr>
              <w:t>E</w:t>
            </w:r>
            <w:r w:rsidRPr="00F464FA">
              <w:t>/C.12/MWI/1</w:t>
            </w:r>
          </w:p>
        </w:tc>
      </w:tr>
      <w:tr w:rsidR="00717266" w:rsidRPr="00F464FA" w14:paraId="0A04B4CC" w14:textId="77777777" w:rsidTr="000D1B89">
        <w:trPr>
          <w:cantSplit/>
          <w:trHeight w:hRule="exact" w:val="2835"/>
        </w:trPr>
        <w:tc>
          <w:tcPr>
            <w:tcW w:w="1276" w:type="dxa"/>
            <w:tcBorders>
              <w:top w:val="single" w:sz="4" w:space="0" w:color="auto"/>
              <w:bottom w:val="single" w:sz="12" w:space="0" w:color="auto"/>
            </w:tcBorders>
          </w:tcPr>
          <w:p w14:paraId="5F7D09BE" w14:textId="77777777" w:rsidR="00717266" w:rsidRPr="00F464FA" w:rsidRDefault="00717266" w:rsidP="000D1B89">
            <w:pPr>
              <w:spacing w:before="120"/>
            </w:pPr>
            <w:r w:rsidRPr="00F464FA">
              <w:rPr>
                <w:noProof/>
                <w:lang w:eastAsia="fr-CH"/>
              </w:rPr>
              <w:drawing>
                <wp:inline distT="0" distB="0" distL="0" distR="0" wp14:anchorId="7ED59191" wp14:editId="623E5D2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EBB156" w14:textId="77777777" w:rsidR="00717266" w:rsidRPr="00F464FA" w:rsidRDefault="00717266" w:rsidP="000D1B89">
            <w:pPr>
              <w:spacing w:before="120" w:line="420" w:lineRule="exact"/>
              <w:rPr>
                <w:sz w:val="40"/>
                <w:szCs w:val="40"/>
              </w:rPr>
            </w:pPr>
            <w:r w:rsidRPr="00F464FA">
              <w:rPr>
                <w:b/>
                <w:sz w:val="40"/>
                <w:szCs w:val="40"/>
              </w:rPr>
              <w:t>Economic and Social Council</w:t>
            </w:r>
          </w:p>
        </w:tc>
        <w:tc>
          <w:tcPr>
            <w:tcW w:w="2835" w:type="dxa"/>
            <w:tcBorders>
              <w:top w:val="single" w:sz="4" w:space="0" w:color="auto"/>
              <w:bottom w:val="single" w:sz="12" w:space="0" w:color="auto"/>
            </w:tcBorders>
          </w:tcPr>
          <w:p w14:paraId="1B68CE28" w14:textId="77777777" w:rsidR="00221DD4" w:rsidRPr="00F464FA" w:rsidRDefault="00221DD4" w:rsidP="00221DD4">
            <w:pPr>
              <w:suppressAutoHyphens w:val="0"/>
              <w:spacing w:before="240" w:line="240" w:lineRule="exact"/>
            </w:pPr>
            <w:r w:rsidRPr="00F464FA">
              <w:t>Distr.: General</w:t>
            </w:r>
          </w:p>
          <w:p w14:paraId="1EB98430" w14:textId="23D2D408" w:rsidR="00221DD4" w:rsidRPr="00F464FA" w:rsidRDefault="00221DD4" w:rsidP="00221DD4">
            <w:pPr>
              <w:suppressAutoHyphens w:val="0"/>
            </w:pPr>
            <w:r w:rsidRPr="00F464FA">
              <w:t>2</w:t>
            </w:r>
            <w:r w:rsidR="0073478C">
              <w:t>4</w:t>
            </w:r>
            <w:r w:rsidRPr="00F464FA">
              <w:t xml:space="preserve"> June 2022</w:t>
            </w:r>
          </w:p>
          <w:p w14:paraId="4E10ECFE" w14:textId="77777777" w:rsidR="00221DD4" w:rsidRPr="00F464FA" w:rsidRDefault="00221DD4" w:rsidP="00221DD4">
            <w:pPr>
              <w:suppressAutoHyphens w:val="0"/>
            </w:pPr>
          </w:p>
          <w:p w14:paraId="7A60B804" w14:textId="77777777" w:rsidR="00221DD4" w:rsidRPr="00F464FA" w:rsidRDefault="00221DD4" w:rsidP="00221DD4">
            <w:pPr>
              <w:suppressAutoHyphens w:val="0"/>
            </w:pPr>
            <w:r w:rsidRPr="00F464FA">
              <w:t>Original: English</w:t>
            </w:r>
          </w:p>
          <w:p w14:paraId="14833E96" w14:textId="6B80794C" w:rsidR="00221DD4" w:rsidRPr="00F464FA" w:rsidRDefault="00221DD4" w:rsidP="00221DD4">
            <w:pPr>
              <w:suppressAutoHyphens w:val="0"/>
            </w:pPr>
            <w:r w:rsidRPr="00F464FA">
              <w:t>English, French and Spanish only</w:t>
            </w:r>
          </w:p>
        </w:tc>
      </w:tr>
    </w:tbl>
    <w:p w14:paraId="22840EED" w14:textId="77777777" w:rsidR="00221DD4" w:rsidRPr="00F464FA" w:rsidRDefault="00221DD4" w:rsidP="00221DD4">
      <w:pPr>
        <w:spacing w:before="120"/>
        <w:rPr>
          <w:b/>
          <w:sz w:val="24"/>
          <w:szCs w:val="24"/>
        </w:rPr>
      </w:pPr>
      <w:r w:rsidRPr="00F464FA">
        <w:rPr>
          <w:b/>
          <w:sz w:val="24"/>
        </w:rPr>
        <w:t>Committee on Economic, Social and Cultural Rights</w:t>
      </w:r>
    </w:p>
    <w:p w14:paraId="3F3D6879" w14:textId="765616E8" w:rsidR="00221DD4" w:rsidRPr="00F464FA" w:rsidRDefault="00221DD4" w:rsidP="00221DD4">
      <w:pPr>
        <w:pStyle w:val="HMG"/>
      </w:pPr>
      <w:r w:rsidRPr="00F464FA">
        <w:tab/>
      </w:r>
      <w:r w:rsidRPr="00F464FA">
        <w:tab/>
        <w:t>Initial report submitted by Malawi under articles 16 and</w:t>
      </w:r>
      <w:r w:rsidR="001939E4" w:rsidRPr="00F464FA">
        <w:t xml:space="preserve"> </w:t>
      </w:r>
      <w:r w:rsidRPr="00F464FA">
        <w:t>17 of the Covenant, due in 1996</w:t>
      </w:r>
      <w:r w:rsidRPr="00F464FA">
        <w:rPr>
          <w:rStyle w:val="FootnoteReference"/>
          <w:b w:val="0"/>
          <w:bCs/>
          <w:sz w:val="20"/>
          <w:szCs w:val="22"/>
          <w:vertAlign w:val="baseline"/>
        </w:rPr>
        <w:footnoteReference w:customMarkFollows="1" w:id="1"/>
        <w:t>*</w:t>
      </w:r>
    </w:p>
    <w:p w14:paraId="31DDC3A6" w14:textId="77777777" w:rsidR="00221DD4" w:rsidRPr="00F464FA" w:rsidRDefault="00221DD4" w:rsidP="00221DD4">
      <w:pPr>
        <w:pStyle w:val="SingleTxtG"/>
        <w:jc w:val="right"/>
      </w:pPr>
      <w:r w:rsidRPr="00F464FA">
        <w:t>[Date received: 13 April 2022]</w:t>
      </w:r>
    </w:p>
    <w:p w14:paraId="23A77B0B" w14:textId="77777777" w:rsidR="00221DD4" w:rsidRPr="00F464FA" w:rsidRDefault="00221DD4" w:rsidP="00221DD4">
      <w:pPr>
        <w:suppressAutoHyphens w:val="0"/>
        <w:spacing w:after="200" w:line="276" w:lineRule="auto"/>
      </w:pPr>
      <w:r w:rsidRPr="00F464FA">
        <w:br w:type="page"/>
      </w:r>
    </w:p>
    <w:p w14:paraId="6B281043" w14:textId="4C349B19" w:rsidR="00221DD4" w:rsidRPr="00F464FA" w:rsidRDefault="00991E21" w:rsidP="003E07FA">
      <w:pPr>
        <w:pStyle w:val="HChG"/>
      </w:pPr>
      <w:r w:rsidRPr="00F464FA">
        <w:lastRenderedPageBreak/>
        <w:tab/>
      </w:r>
      <w:r w:rsidRPr="00F464FA">
        <w:tab/>
      </w:r>
      <w:r w:rsidR="00221DD4" w:rsidRPr="00F464FA">
        <w:t>Introduction</w:t>
      </w:r>
    </w:p>
    <w:p w14:paraId="7B04CE2D" w14:textId="77777777" w:rsidR="00221DD4" w:rsidRPr="00F464FA" w:rsidRDefault="00221DD4" w:rsidP="00221DD4">
      <w:pPr>
        <w:pStyle w:val="SingleTxtG"/>
      </w:pPr>
      <w:r w:rsidRPr="00F464FA">
        <w:t>1.</w:t>
      </w:r>
      <w:r w:rsidRPr="00F464FA">
        <w:tab/>
        <w:t>The Government of Malawi ratified the International Covenant on Economic, Social and Cultural Rights (ICESCR) on 22nd December, 1993. In accordance with Articles 16 and 17 of the Covenant, which require a State Party to submit a report outlining measures undertaken to implement provisions of the ICESCR. The Government of Malawi is pleased to present its initial report to the Committee on Economic, Social and Cultural Rights (CESCR). The report covers the period from 1994 to 2020.</w:t>
      </w:r>
    </w:p>
    <w:p w14:paraId="02668DA9" w14:textId="65FF917C" w:rsidR="00221DD4" w:rsidRPr="00F464FA" w:rsidRDefault="00221DD4" w:rsidP="00221DD4">
      <w:pPr>
        <w:pStyle w:val="SingleTxtG"/>
      </w:pPr>
      <w:r w:rsidRPr="00F464FA">
        <w:t>2.</w:t>
      </w:r>
      <w:r w:rsidRPr="00F464FA">
        <w:tab/>
        <w:t xml:space="preserve">The report was prepared by the National Task Force (NTF) on the ICESCR which is chaired by the </w:t>
      </w:r>
      <w:bookmarkStart w:id="0" w:name="_Hlk41543859"/>
      <w:r w:rsidRPr="00F464FA">
        <w:t>Ministry of Justice (</w:t>
      </w:r>
      <w:proofErr w:type="spellStart"/>
      <w:r w:rsidRPr="00F464FA">
        <w:t>MoJ</w:t>
      </w:r>
      <w:proofErr w:type="spellEnd"/>
      <w:r w:rsidRPr="00F464FA">
        <w:t>).</w:t>
      </w:r>
      <w:bookmarkEnd w:id="0"/>
      <w:r w:rsidRPr="00F464FA">
        <w:t xml:space="preserve"> The NTF comprises Government </w:t>
      </w:r>
      <w:bookmarkStart w:id="1" w:name="_Hlk41543881"/>
      <w:r w:rsidRPr="00F464FA">
        <w:t>Ministries, Departments and Agencies (MDAs</w:t>
      </w:r>
      <w:bookmarkEnd w:id="1"/>
      <w:r w:rsidRPr="00F464FA">
        <w:t>), governance institutions and Civil Society Organisations (CSOs). The full list of the members of the NTF is attached hereto as Annex 1. Malawi looks forward to further engagement with the Committee during the review of this report.</w:t>
      </w:r>
    </w:p>
    <w:p w14:paraId="335542DE" w14:textId="0D4688ED" w:rsidR="00221DD4" w:rsidRPr="00F464FA" w:rsidRDefault="00221DD4" w:rsidP="00221DD4">
      <w:pPr>
        <w:pStyle w:val="SingleTxtG"/>
      </w:pPr>
      <w:r w:rsidRPr="00F464FA">
        <w:t>3.</w:t>
      </w:r>
      <w:r w:rsidRPr="00F464FA">
        <w:tab/>
        <w:t>We refer the Committee to Malawi’s Common Core Document which gives a narration on Malawi’s historical, political, constitutional, legal and social set-up.</w:t>
      </w:r>
    </w:p>
    <w:p w14:paraId="68F31A83" w14:textId="37C35790" w:rsidR="00221DD4" w:rsidRPr="00F464FA" w:rsidRDefault="00991E21" w:rsidP="003E07FA">
      <w:pPr>
        <w:pStyle w:val="HChG"/>
      </w:pPr>
      <w:r w:rsidRPr="00F464FA">
        <w:tab/>
      </w:r>
      <w:r w:rsidRPr="00F464FA">
        <w:tab/>
      </w:r>
      <w:r w:rsidR="00221DD4" w:rsidRPr="00F464FA">
        <w:t>Part I</w:t>
      </w:r>
    </w:p>
    <w:p w14:paraId="514CF898" w14:textId="795B07AB" w:rsidR="00221DD4" w:rsidRPr="00F464FA" w:rsidRDefault="00991E21" w:rsidP="003E07FA">
      <w:pPr>
        <w:pStyle w:val="H1G"/>
        <w:rPr>
          <w:lang w:val="en-GB"/>
        </w:rPr>
      </w:pPr>
      <w:r w:rsidRPr="00F464FA">
        <w:rPr>
          <w:lang w:val="en-GB"/>
        </w:rPr>
        <w:tab/>
      </w:r>
      <w:r w:rsidRPr="00F464FA">
        <w:rPr>
          <w:lang w:val="en-GB"/>
        </w:rPr>
        <w:tab/>
      </w:r>
      <w:r w:rsidR="00221DD4" w:rsidRPr="00F464FA">
        <w:rPr>
          <w:lang w:val="en-GB"/>
        </w:rPr>
        <w:t>Article 1</w:t>
      </w:r>
      <w:r w:rsidR="000508C8" w:rsidRPr="00F464FA">
        <w:rPr>
          <w:lang w:val="en-GB"/>
        </w:rPr>
        <w:br/>
      </w:r>
      <w:r w:rsidR="00221DD4" w:rsidRPr="00F464FA">
        <w:rPr>
          <w:lang w:val="en-GB"/>
        </w:rPr>
        <w:t>The Right to Self Determination</w:t>
      </w:r>
    </w:p>
    <w:p w14:paraId="10E9B35E" w14:textId="77777777" w:rsidR="00221DD4" w:rsidRPr="00F464FA" w:rsidRDefault="00221DD4" w:rsidP="00221DD4">
      <w:pPr>
        <w:pStyle w:val="SingleTxtG"/>
      </w:pPr>
      <w:r w:rsidRPr="00F464FA">
        <w:t>4.</w:t>
      </w:r>
      <w:r w:rsidRPr="00F464FA">
        <w:tab/>
        <w:t>Malawi became a sovereign State upon attaining independence in 1964 and a republican status in 1966. Section 1 of the 1994 Constitution recognizes this sovereign status with rights and obligations under the law of nations. One of the Principles of National Policy in section 13 of the Constitution reiterates Malawi’s quest to govern in accordance with the law of nations, and the rule of law and actively support the further development in regional and international affairs. Section 3 of the Constitution highlights the territorial integrity of Malawi and the country has, at all times, and respected the borders of other sovereign nations. Where the need has arisen to clarify the borders of Malawi, Government has co-operated with its neighbours in establishing the territorial limits of the countries involved.</w:t>
      </w:r>
    </w:p>
    <w:p w14:paraId="7092CFF2" w14:textId="77777777" w:rsidR="00221DD4" w:rsidRPr="00F464FA" w:rsidRDefault="00221DD4" w:rsidP="00221DD4">
      <w:pPr>
        <w:pStyle w:val="SingleTxtG"/>
      </w:pPr>
      <w:r w:rsidRPr="00F464FA">
        <w:t>5.</w:t>
      </w:r>
      <w:r w:rsidRPr="00F464FA">
        <w:tab/>
        <w:t>The transformation of Malawi from a one-party State to a pluralistic democracy, in 1993, through a referendum is evidence of the right of the people of Malawi to determine their political destiny. Since 1994, Malawians have periodically held credible, free and fair presidential and parliamentary elections to choose their Government. The Constitution that emerged from the 1993 transformation was formally adopted in 1994 and provisionally applied for a year, after which it became substantively applicable as the Constitution of the Republic. The Constitution creates a constitutional order based on the need for an open, democratic and accountable government.</w:t>
      </w:r>
    </w:p>
    <w:p w14:paraId="4B407CF6" w14:textId="77777777" w:rsidR="00221DD4" w:rsidRPr="00F464FA" w:rsidRDefault="00221DD4" w:rsidP="00221DD4">
      <w:pPr>
        <w:pStyle w:val="SingleTxtG"/>
        <w:rPr>
          <w:b/>
        </w:rPr>
      </w:pPr>
      <w:r w:rsidRPr="00F464FA">
        <w:t>6.</w:t>
      </w:r>
      <w:r w:rsidRPr="00F464FA">
        <w:tab/>
        <w:t>The Constitution of the Republic of Malawi does not expressly provide for the right to self-determination. However, the contents and essence of the right are guaranteed under several rights, namely, the right to freely determine one’s political status under section 40 of the Constitution. The right to freely pursue economic social and cultural development is guaranteed in the Constitution under sections 29, 30 and 26 respectively.</w:t>
      </w:r>
    </w:p>
    <w:p w14:paraId="0406C190" w14:textId="05769F11" w:rsidR="00221DD4" w:rsidRPr="00F464FA" w:rsidRDefault="003E07FA" w:rsidP="003E07FA">
      <w:pPr>
        <w:pStyle w:val="HChG"/>
      </w:pPr>
      <w:r w:rsidRPr="00F464FA">
        <w:tab/>
      </w:r>
      <w:r w:rsidRPr="00F464FA">
        <w:tab/>
      </w:r>
      <w:r w:rsidR="00221DD4" w:rsidRPr="00F464FA">
        <w:t>Part II</w:t>
      </w:r>
    </w:p>
    <w:p w14:paraId="123C5CC6" w14:textId="74250EC8" w:rsidR="00221DD4" w:rsidRPr="00F464FA" w:rsidRDefault="003E07FA" w:rsidP="003E07FA">
      <w:pPr>
        <w:pStyle w:val="H1G"/>
        <w:rPr>
          <w:lang w:val="en-GB"/>
        </w:rPr>
      </w:pPr>
      <w:bookmarkStart w:id="2" w:name="_Hlk63780283"/>
      <w:r w:rsidRPr="00F464FA">
        <w:rPr>
          <w:lang w:val="en-GB"/>
        </w:rPr>
        <w:tab/>
      </w:r>
      <w:r w:rsidRPr="00F464FA">
        <w:rPr>
          <w:lang w:val="en-GB"/>
        </w:rPr>
        <w:tab/>
      </w:r>
      <w:r w:rsidR="00221DD4" w:rsidRPr="00F464FA">
        <w:rPr>
          <w:lang w:val="en-GB"/>
        </w:rPr>
        <w:t>Article 2</w:t>
      </w:r>
      <w:r w:rsidRPr="00F464FA">
        <w:rPr>
          <w:lang w:val="en-GB"/>
        </w:rPr>
        <w:br/>
      </w:r>
      <w:r w:rsidR="00221DD4" w:rsidRPr="00F464FA">
        <w:rPr>
          <w:lang w:val="en-GB"/>
        </w:rPr>
        <w:t>The progressive realization of the rights in the Covenant and non-discrimination</w:t>
      </w:r>
    </w:p>
    <w:bookmarkEnd w:id="2"/>
    <w:p w14:paraId="30BFD8E5" w14:textId="25ABB56A" w:rsidR="00221DD4" w:rsidRPr="00F464FA" w:rsidRDefault="00355030" w:rsidP="00355030">
      <w:pPr>
        <w:pStyle w:val="H23G"/>
        <w:rPr>
          <w:lang w:val="en-GB"/>
        </w:rPr>
      </w:pPr>
      <w:r w:rsidRPr="00F464FA">
        <w:rPr>
          <w:lang w:val="en-GB"/>
        </w:rPr>
        <w:tab/>
      </w:r>
      <w:r w:rsidRPr="00F464FA">
        <w:rPr>
          <w:lang w:val="en-GB"/>
        </w:rPr>
        <w:tab/>
      </w:r>
      <w:r w:rsidR="00221DD4" w:rsidRPr="00F464FA">
        <w:rPr>
          <w:lang w:val="en-GB"/>
        </w:rPr>
        <w:t>Progressive Realization of Rights</w:t>
      </w:r>
    </w:p>
    <w:p w14:paraId="4AF08F2D" w14:textId="77777777" w:rsidR="00221DD4" w:rsidRPr="00F464FA" w:rsidRDefault="00221DD4" w:rsidP="00221DD4">
      <w:pPr>
        <w:pStyle w:val="SingleTxtG"/>
      </w:pPr>
      <w:r w:rsidRPr="00F464FA">
        <w:t>7.</w:t>
      </w:r>
      <w:r w:rsidRPr="00F464FA">
        <w:tab/>
        <w:t xml:space="preserve">Malawi has undertaken steps including using the assistance of its international cooperating partners, both at an economic and technical level, to progressively realise the </w:t>
      </w:r>
      <w:r w:rsidRPr="00F464FA">
        <w:lastRenderedPageBreak/>
        <w:t>rights enunciated under the ICESCR. More details will be expounded later in this report. Specifically, Malawi has adopted various legislative measures. Below are the key laws promulgated during the reporting period:</w:t>
      </w:r>
    </w:p>
    <w:p w14:paraId="09B17DDA" w14:textId="2B0FA99E" w:rsidR="00221DD4" w:rsidRPr="00F464FA" w:rsidRDefault="00E62C46" w:rsidP="00E62C46">
      <w:pPr>
        <w:pStyle w:val="SingleTxtG"/>
      </w:pPr>
      <w:r w:rsidRPr="00F464FA">
        <w:tab/>
      </w:r>
      <w:r w:rsidR="00221DD4" w:rsidRPr="00F464FA">
        <w:t>(a)</w:t>
      </w:r>
      <w:r w:rsidR="00221DD4" w:rsidRPr="00F464FA">
        <w:tab/>
        <w:t>Access to Information Act, 2017;</w:t>
      </w:r>
    </w:p>
    <w:p w14:paraId="7935D920" w14:textId="12EAD769" w:rsidR="00221DD4" w:rsidRPr="00F464FA" w:rsidRDefault="00E62C46" w:rsidP="00E62C46">
      <w:pPr>
        <w:pStyle w:val="SingleTxtG"/>
      </w:pPr>
      <w:r w:rsidRPr="00F464FA">
        <w:tab/>
      </w:r>
      <w:r w:rsidR="00221DD4" w:rsidRPr="00F464FA">
        <w:t>(b)</w:t>
      </w:r>
      <w:r w:rsidR="00221DD4" w:rsidRPr="00F464FA">
        <w:tab/>
        <w:t>Child Care, Protection and Justice Act, 2011;</w:t>
      </w:r>
    </w:p>
    <w:p w14:paraId="21D7A507" w14:textId="565695C9" w:rsidR="00221DD4" w:rsidRPr="00F464FA" w:rsidRDefault="00E62C46" w:rsidP="00E62C46">
      <w:pPr>
        <w:pStyle w:val="SingleTxtG"/>
      </w:pPr>
      <w:r w:rsidRPr="00F464FA">
        <w:tab/>
      </w:r>
      <w:r w:rsidR="00221DD4" w:rsidRPr="00F464FA">
        <w:t>(c)</w:t>
      </w:r>
      <w:r w:rsidR="00221DD4" w:rsidRPr="00F464FA">
        <w:tab/>
        <w:t>Citizenship Amendment Act, 2019;</w:t>
      </w:r>
    </w:p>
    <w:p w14:paraId="68E2AF85" w14:textId="42A1D6EB" w:rsidR="00221DD4" w:rsidRPr="00F464FA" w:rsidRDefault="00E62C46" w:rsidP="00E62C46">
      <w:pPr>
        <w:pStyle w:val="SingleTxtG"/>
      </w:pPr>
      <w:r w:rsidRPr="00F464FA">
        <w:tab/>
      </w:r>
      <w:r w:rsidR="00221DD4" w:rsidRPr="00F464FA">
        <w:t>(d)</w:t>
      </w:r>
      <w:r w:rsidR="00221DD4" w:rsidRPr="00F464FA">
        <w:tab/>
        <w:t>Courts Amendment Act, 2016;</w:t>
      </w:r>
    </w:p>
    <w:p w14:paraId="5B746113" w14:textId="55BECD7C" w:rsidR="00221DD4" w:rsidRPr="00F464FA" w:rsidRDefault="00E62C46" w:rsidP="00E62C46">
      <w:pPr>
        <w:pStyle w:val="SingleTxtG"/>
      </w:pPr>
      <w:r w:rsidRPr="00F464FA">
        <w:tab/>
      </w:r>
      <w:r w:rsidR="00221DD4" w:rsidRPr="00F464FA">
        <w:t>(e)</w:t>
      </w:r>
      <w:r w:rsidR="00221DD4" w:rsidRPr="00F464FA">
        <w:tab/>
        <w:t>Customary Land Act, 2016;</w:t>
      </w:r>
    </w:p>
    <w:p w14:paraId="1ABCF4FD" w14:textId="13DDFF44" w:rsidR="00221DD4" w:rsidRPr="00F464FA" w:rsidRDefault="00E62C46" w:rsidP="00E62C46">
      <w:pPr>
        <w:pStyle w:val="SingleTxtG"/>
      </w:pPr>
      <w:r w:rsidRPr="00F464FA">
        <w:tab/>
      </w:r>
      <w:r w:rsidR="00221DD4" w:rsidRPr="00F464FA">
        <w:t>(f)</w:t>
      </w:r>
      <w:r w:rsidR="00221DD4" w:rsidRPr="00F464FA">
        <w:tab/>
        <w:t>Deceased Estates, Wills and Inheritance Act, 2010;</w:t>
      </w:r>
    </w:p>
    <w:p w14:paraId="5E0F54A4" w14:textId="469698C9" w:rsidR="00221DD4" w:rsidRPr="00F464FA" w:rsidRDefault="00E62C46" w:rsidP="00E62C46">
      <w:pPr>
        <w:pStyle w:val="SingleTxtG"/>
      </w:pPr>
      <w:r w:rsidRPr="00F464FA">
        <w:tab/>
      </w:r>
      <w:r w:rsidR="00221DD4" w:rsidRPr="00F464FA">
        <w:t>(g)</w:t>
      </w:r>
      <w:r w:rsidR="00221DD4" w:rsidRPr="00F464FA">
        <w:tab/>
        <w:t>Education Act, 2013;</w:t>
      </w:r>
    </w:p>
    <w:p w14:paraId="0D2F0367" w14:textId="1A7042FE" w:rsidR="00221DD4" w:rsidRPr="00F464FA" w:rsidRDefault="00E62C46" w:rsidP="00E62C46">
      <w:pPr>
        <w:pStyle w:val="SingleTxtG"/>
      </w:pPr>
      <w:r w:rsidRPr="00F464FA">
        <w:tab/>
      </w:r>
      <w:r w:rsidR="00221DD4" w:rsidRPr="00F464FA">
        <w:t>(h)</w:t>
      </w:r>
      <w:r w:rsidR="00221DD4" w:rsidRPr="00F464FA">
        <w:tab/>
        <w:t>Electronic Transactions and Cyber Security Act, 2016;</w:t>
      </w:r>
    </w:p>
    <w:p w14:paraId="5FA24881" w14:textId="5FC6DA4C" w:rsidR="00221DD4" w:rsidRPr="00F464FA" w:rsidRDefault="00E62C46" w:rsidP="00E62C46">
      <w:pPr>
        <w:pStyle w:val="SingleTxtG"/>
      </w:pPr>
      <w:r w:rsidRPr="00F464FA">
        <w:tab/>
      </w:r>
      <w:r w:rsidR="00221DD4" w:rsidRPr="00F464FA">
        <w:t>(</w:t>
      </w:r>
      <w:proofErr w:type="spellStart"/>
      <w:r w:rsidR="00221DD4" w:rsidRPr="00F464FA">
        <w:t>i</w:t>
      </w:r>
      <w:proofErr w:type="spellEnd"/>
      <w:r w:rsidR="00221DD4" w:rsidRPr="00F464FA">
        <w:t>)</w:t>
      </w:r>
      <w:r w:rsidR="00221DD4" w:rsidRPr="00F464FA">
        <w:tab/>
        <w:t>Gender Equality Act, 2014;</w:t>
      </w:r>
    </w:p>
    <w:p w14:paraId="6FC45EA4" w14:textId="6AB16F25" w:rsidR="00221DD4" w:rsidRPr="00F464FA" w:rsidRDefault="00E62C46" w:rsidP="00E62C46">
      <w:pPr>
        <w:pStyle w:val="SingleTxtG"/>
      </w:pPr>
      <w:r w:rsidRPr="00F464FA">
        <w:tab/>
      </w:r>
      <w:r w:rsidR="00221DD4" w:rsidRPr="00F464FA">
        <w:t>(j)</w:t>
      </w:r>
      <w:r w:rsidR="00221DD4" w:rsidRPr="00F464FA">
        <w:tab/>
        <w:t>HIV/AIDS (Prevention and Management) Act, 2018;</w:t>
      </w:r>
    </w:p>
    <w:p w14:paraId="5B6FBB5A" w14:textId="3401E0F8" w:rsidR="00221DD4" w:rsidRPr="00F464FA" w:rsidRDefault="00E62C46" w:rsidP="00E62C46">
      <w:pPr>
        <w:pStyle w:val="SingleTxtG"/>
      </w:pPr>
      <w:r w:rsidRPr="00F464FA">
        <w:tab/>
      </w:r>
      <w:r w:rsidR="00221DD4" w:rsidRPr="00F464FA">
        <w:t>(k)</w:t>
      </w:r>
      <w:r w:rsidR="00221DD4" w:rsidRPr="00F464FA">
        <w:tab/>
        <w:t>Land Act, 2016;</w:t>
      </w:r>
    </w:p>
    <w:p w14:paraId="68735C9C" w14:textId="47204D9B" w:rsidR="00221DD4" w:rsidRPr="00F464FA" w:rsidRDefault="00E62C46" w:rsidP="00E62C46">
      <w:pPr>
        <w:pStyle w:val="SingleTxtG"/>
      </w:pPr>
      <w:r w:rsidRPr="00F464FA">
        <w:tab/>
      </w:r>
      <w:r w:rsidR="00221DD4" w:rsidRPr="00F464FA">
        <w:t>(l)</w:t>
      </w:r>
      <w:r w:rsidR="00221DD4" w:rsidRPr="00F464FA">
        <w:tab/>
        <w:t xml:space="preserve">Land Survey Act, 2016, </w:t>
      </w:r>
    </w:p>
    <w:p w14:paraId="2CB4C29C" w14:textId="3D4E0009" w:rsidR="00221DD4" w:rsidRPr="00F464FA" w:rsidRDefault="00E62C46" w:rsidP="00E62C46">
      <w:pPr>
        <w:pStyle w:val="SingleTxtG"/>
      </w:pPr>
      <w:r w:rsidRPr="00F464FA">
        <w:tab/>
      </w:r>
      <w:r w:rsidR="00221DD4" w:rsidRPr="00F464FA">
        <w:t>(m)</w:t>
      </w:r>
      <w:r w:rsidR="00221DD4" w:rsidRPr="00F464FA">
        <w:tab/>
        <w:t>Marriage Divorce and Family Relations Act 2015;</w:t>
      </w:r>
    </w:p>
    <w:p w14:paraId="2D9AB0C4" w14:textId="7464331B" w:rsidR="00221DD4" w:rsidRPr="00F464FA" w:rsidRDefault="00E62C46" w:rsidP="00E62C46">
      <w:pPr>
        <w:pStyle w:val="SingleTxtG"/>
      </w:pPr>
      <w:r w:rsidRPr="00F464FA">
        <w:tab/>
      </w:r>
      <w:r w:rsidR="00221DD4" w:rsidRPr="00F464FA">
        <w:t>(n)</w:t>
      </w:r>
      <w:r w:rsidR="00221DD4" w:rsidRPr="00F464FA">
        <w:tab/>
        <w:t>Mines and Minerals Act, 2019;</w:t>
      </w:r>
    </w:p>
    <w:p w14:paraId="227C1DBB" w14:textId="43098AD8" w:rsidR="00221DD4" w:rsidRPr="00F464FA" w:rsidRDefault="00E62C46" w:rsidP="00E62C46">
      <w:pPr>
        <w:pStyle w:val="SingleTxtG"/>
      </w:pPr>
      <w:r w:rsidRPr="00F464FA">
        <w:tab/>
      </w:r>
      <w:r w:rsidR="00221DD4" w:rsidRPr="00F464FA">
        <w:t>(o)</w:t>
      </w:r>
      <w:r w:rsidR="00221DD4" w:rsidRPr="00F464FA">
        <w:tab/>
        <w:t>National Planning Commission Act, 2017;</w:t>
      </w:r>
    </w:p>
    <w:p w14:paraId="0E8D5033" w14:textId="60205A02" w:rsidR="00221DD4" w:rsidRPr="00F464FA" w:rsidRDefault="00E62C46" w:rsidP="00E62C46">
      <w:pPr>
        <w:pStyle w:val="SingleTxtG"/>
      </w:pPr>
      <w:r w:rsidRPr="00F464FA">
        <w:tab/>
      </w:r>
      <w:r w:rsidR="00221DD4" w:rsidRPr="00F464FA">
        <w:t>(p)</w:t>
      </w:r>
      <w:r w:rsidR="00221DD4" w:rsidRPr="00F464FA">
        <w:tab/>
        <w:t>Physical Planning Act, 2016;</w:t>
      </w:r>
    </w:p>
    <w:p w14:paraId="5E4A7005" w14:textId="5429DAE3" w:rsidR="00221DD4" w:rsidRPr="00F464FA" w:rsidRDefault="00E62C46" w:rsidP="00E62C46">
      <w:pPr>
        <w:pStyle w:val="SingleTxtG"/>
      </w:pPr>
      <w:r w:rsidRPr="00F464FA">
        <w:tab/>
      </w:r>
      <w:r w:rsidR="00221DD4" w:rsidRPr="00F464FA">
        <w:t>(q)</w:t>
      </w:r>
      <w:r w:rsidR="00221DD4" w:rsidRPr="00F464FA">
        <w:tab/>
        <w:t>Political Parties Act, 2018;</w:t>
      </w:r>
    </w:p>
    <w:p w14:paraId="68B85232" w14:textId="64BF2056" w:rsidR="00221DD4" w:rsidRPr="00F464FA" w:rsidRDefault="00E62C46" w:rsidP="00E62C46">
      <w:pPr>
        <w:pStyle w:val="SingleTxtG"/>
      </w:pPr>
      <w:r w:rsidRPr="00F464FA">
        <w:tab/>
      </w:r>
      <w:r w:rsidR="00221DD4" w:rsidRPr="00F464FA">
        <w:t>(r)</w:t>
      </w:r>
      <w:r w:rsidR="00221DD4" w:rsidRPr="00F464FA">
        <w:tab/>
        <w:t>Prevention of Domestic Violence Act, 2007;</w:t>
      </w:r>
    </w:p>
    <w:p w14:paraId="023634F7" w14:textId="13487656" w:rsidR="00221DD4" w:rsidRPr="00F464FA" w:rsidRDefault="00E62C46" w:rsidP="00E62C46">
      <w:pPr>
        <w:pStyle w:val="SingleTxtG"/>
      </w:pPr>
      <w:r w:rsidRPr="00F464FA">
        <w:tab/>
      </w:r>
      <w:r w:rsidR="00221DD4" w:rsidRPr="00F464FA">
        <w:t>(s)</w:t>
      </w:r>
      <w:r w:rsidR="00221DD4" w:rsidRPr="00F464FA">
        <w:tab/>
        <w:t>Trafficking in Persons Act, 2015.</w:t>
      </w:r>
    </w:p>
    <w:p w14:paraId="749A9150" w14:textId="6CBA8883" w:rsidR="00221DD4" w:rsidRPr="00F464FA" w:rsidRDefault="00E62C46" w:rsidP="00355030">
      <w:pPr>
        <w:pStyle w:val="H23G"/>
        <w:rPr>
          <w:lang w:val="en-GB"/>
        </w:rPr>
      </w:pPr>
      <w:r w:rsidRPr="00F464FA">
        <w:rPr>
          <w:lang w:val="en-GB"/>
        </w:rPr>
        <w:tab/>
      </w:r>
      <w:r w:rsidRPr="00F464FA">
        <w:rPr>
          <w:lang w:val="en-GB"/>
        </w:rPr>
        <w:tab/>
      </w:r>
      <w:r w:rsidR="00221DD4" w:rsidRPr="00F464FA">
        <w:rPr>
          <w:lang w:val="en-GB"/>
        </w:rPr>
        <w:t>Non-discrimination</w:t>
      </w:r>
    </w:p>
    <w:p w14:paraId="68C5A2FF" w14:textId="77777777" w:rsidR="00221DD4" w:rsidRPr="00F464FA" w:rsidRDefault="00221DD4" w:rsidP="00221DD4">
      <w:pPr>
        <w:pStyle w:val="SingleTxtG"/>
      </w:pPr>
      <w:r w:rsidRPr="00F464FA">
        <w:t>8.</w:t>
      </w:r>
      <w:r w:rsidRPr="00F464FA">
        <w:tab/>
        <w:t>Section 20 of the Constitution of the Republic of Malawi guarantees the right to equality and non-discrimination. The section guarantees equal and effective protection against discrimination on grounds of race, colour, sex, language, religion, political or other opinion, national, ethnic or social origin, disability, property, birth or other status or condition.</w:t>
      </w:r>
    </w:p>
    <w:p w14:paraId="010B0800" w14:textId="77777777" w:rsidR="00221DD4" w:rsidRPr="00F464FA" w:rsidRDefault="00221DD4" w:rsidP="00221DD4">
      <w:pPr>
        <w:pStyle w:val="SingleTxtG"/>
      </w:pPr>
      <w:r w:rsidRPr="00F464FA">
        <w:t>9.</w:t>
      </w:r>
      <w:r w:rsidRPr="00F464FA">
        <w:tab/>
        <w:t>Section 24 of the Constitution guarantees women equal protection by the law. Women have the right not to be discriminated against based on their gender or marital status. The section specifically asserts that women will be accorded the same rights as men in civil law, including equal capacity to enter into contracts; to acquire and maintain rights in property, independently or in association with others regardless of their marital status; to acquire and retain custody, guardianship and care of children; to have an equal right in the making of decisions that affect their upbringing and to acquire and retain citizenship and nationality.</w:t>
      </w:r>
    </w:p>
    <w:p w14:paraId="1F3EA90A" w14:textId="5AC6D2D2" w:rsidR="00221DD4" w:rsidRPr="00F464FA" w:rsidRDefault="00221DD4" w:rsidP="00221DD4">
      <w:pPr>
        <w:pStyle w:val="SingleTxtG"/>
      </w:pPr>
      <w:r w:rsidRPr="00F464FA">
        <w:t>10.</w:t>
      </w:r>
      <w:r w:rsidRPr="00F464FA">
        <w:tab/>
        <w:t>Additionally, various laws have been promulgated to address various forms of discrimination. For instance, the Gender Equality Act promotes gender equality, equal integration, influence, empowerment, dignity and opportunities, for men and women in all functions of society. Provisions of the Act further prohibit and provide redress for sex discrimination, harmful practices and sexual harassment and mandate the provision of public awareness in the promotion of gender equality.</w:t>
      </w:r>
    </w:p>
    <w:p w14:paraId="41E7B196" w14:textId="2B81F489" w:rsidR="00221DD4" w:rsidRPr="00F464FA" w:rsidRDefault="00221DD4" w:rsidP="00221DD4">
      <w:pPr>
        <w:pStyle w:val="SingleTxtG"/>
      </w:pPr>
      <w:r w:rsidRPr="00F464FA">
        <w:t>11.</w:t>
      </w:r>
      <w:r w:rsidRPr="00F464FA">
        <w:tab/>
        <w:t>Furthermore, the HIV/AIDS (Prevention and Management) Act, 2018 under section 6, prohibits discrimination of any person on a basis relating to HIV and AIDS and related infections.</w:t>
      </w:r>
    </w:p>
    <w:p w14:paraId="70949B5F" w14:textId="77777777" w:rsidR="00221DD4" w:rsidRPr="00F464FA" w:rsidRDefault="00221DD4" w:rsidP="00221DD4">
      <w:pPr>
        <w:pStyle w:val="SingleTxtG"/>
      </w:pPr>
      <w:r w:rsidRPr="00F464FA">
        <w:t>12.</w:t>
      </w:r>
      <w:r w:rsidRPr="00F464FA">
        <w:tab/>
        <w:t>Part IV of the Disability Act (Cap 33:06 of the Laws of Malawi) guarantees that every person with a disability the entitlement to the same rights and privileges as all other people and in particular, those rights enshrined in the Constitution of Malawi.</w:t>
      </w:r>
    </w:p>
    <w:p w14:paraId="101985CC" w14:textId="338EEFA8" w:rsidR="00221DD4" w:rsidRPr="00F464FA" w:rsidRDefault="00221DD4" w:rsidP="00221DD4">
      <w:pPr>
        <w:pStyle w:val="SingleTxtG"/>
      </w:pPr>
      <w:r w:rsidRPr="00F464FA">
        <w:lastRenderedPageBreak/>
        <w:t>13.</w:t>
      </w:r>
      <w:r w:rsidRPr="00F464FA">
        <w:tab/>
        <w:t>In addition, section 13(g) of the Constitution mandates the State to develop policies that ensure that persons with disabilities are afforded equal opportunities to ensure they participate in all sectors of life to the fullest extent. To give effect to this subsection of the Constitution, the Accelerating Inclusive Local Governance and Participatory Democracy for Effective Social Economic Development Strategy (2017</w:t>
      </w:r>
      <w:r w:rsidR="00273C97" w:rsidRPr="00F464FA">
        <w:t>–</w:t>
      </w:r>
      <w:r w:rsidRPr="00F464FA">
        <w:t xml:space="preserve">2023) has been developed with the aim to mainstream inter alia, disability to enable </w:t>
      </w:r>
      <w:bookmarkStart w:id="3" w:name="_Hlk41548164"/>
      <w:r w:rsidRPr="00F464FA">
        <w:t>persons with disabilities (</w:t>
      </w:r>
      <w:proofErr w:type="spellStart"/>
      <w:r w:rsidRPr="00F464FA">
        <w:t>PwD</w:t>
      </w:r>
      <w:proofErr w:type="spellEnd"/>
      <w:r w:rsidRPr="00F464FA">
        <w:t xml:space="preserve">) </w:t>
      </w:r>
      <w:bookmarkEnd w:id="3"/>
      <w:r w:rsidRPr="00F464FA">
        <w:t>to effectively participate in governance structures.</w:t>
      </w:r>
    </w:p>
    <w:p w14:paraId="3E2EA75F" w14:textId="77777777" w:rsidR="00221DD4" w:rsidRPr="00F464FA" w:rsidRDefault="00221DD4" w:rsidP="00221DD4">
      <w:pPr>
        <w:pStyle w:val="SingleTxtG"/>
      </w:pPr>
      <w:r w:rsidRPr="00F464FA">
        <w:t>14.</w:t>
      </w:r>
      <w:r w:rsidRPr="00F464FA">
        <w:tab/>
        <w:t>Section 13(a) (ii) of the Constitution also mandates the State to develop policies to address gender equality to ensure women are accorded equal opportunities as men. These policies will be outlined under Article 3 below.</w:t>
      </w:r>
    </w:p>
    <w:p w14:paraId="1ED7AD33" w14:textId="25A1D970" w:rsidR="00221DD4" w:rsidRPr="00F464FA" w:rsidRDefault="009B6604" w:rsidP="003E07FA">
      <w:pPr>
        <w:pStyle w:val="H1G"/>
        <w:rPr>
          <w:lang w:val="en-GB"/>
        </w:rPr>
      </w:pPr>
      <w:bookmarkStart w:id="4" w:name="_Hlk63780309"/>
      <w:r w:rsidRPr="00F464FA">
        <w:rPr>
          <w:lang w:val="en-GB"/>
        </w:rPr>
        <w:tab/>
      </w:r>
      <w:r w:rsidRPr="00F464FA">
        <w:rPr>
          <w:lang w:val="en-GB"/>
        </w:rPr>
        <w:tab/>
      </w:r>
      <w:r w:rsidR="00221DD4" w:rsidRPr="00F464FA">
        <w:rPr>
          <w:lang w:val="en-GB"/>
        </w:rPr>
        <w:t>Article 3</w:t>
      </w:r>
      <w:r w:rsidRPr="00F464FA">
        <w:rPr>
          <w:lang w:val="en-GB"/>
        </w:rPr>
        <w:br/>
      </w:r>
      <w:r w:rsidR="00221DD4" w:rsidRPr="00F464FA">
        <w:rPr>
          <w:lang w:val="en-GB"/>
        </w:rPr>
        <w:t>Equal rights for men and women</w:t>
      </w:r>
    </w:p>
    <w:bookmarkEnd w:id="4"/>
    <w:p w14:paraId="531C2E28" w14:textId="77777777" w:rsidR="00221DD4" w:rsidRPr="00F464FA" w:rsidRDefault="00221DD4" w:rsidP="00221DD4">
      <w:pPr>
        <w:pStyle w:val="SingleTxtG"/>
      </w:pPr>
      <w:r w:rsidRPr="00F464FA">
        <w:t>15.</w:t>
      </w:r>
      <w:r w:rsidRPr="00F464FA">
        <w:tab/>
        <w:t>In addition to section 20 of the Constitution quoted under Article 2, above, section 24 of the Constitution quoted in paragraph 9 and the Gender Equality Act guarantee equality of women. Below are the policies that have been adopted to ensure women equally enjoy their rights as men.</w:t>
      </w:r>
    </w:p>
    <w:p w14:paraId="7B2389F2" w14:textId="6D10EE64" w:rsidR="00221DD4" w:rsidRPr="00F464FA" w:rsidRDefault="00221DD4" w:rsidP="00221DD4">
      <w:pPr>
        <w:pStyle w:val="SingleTxtG"/>
      </w:pPr>
      <w:r w:rsidRPr="00F464FA">
        <w:t>16.</w:t>
      </w:r>
      <w:r w:rsidRPr="00F464FA">
        <w:tab/>
        <w:t>The Malawi Growth and Development Strategy III (MGDS III) (2017</w:t>
      </w:r>
      <w:r w:rsidR="00DA3E6A">
        <w:t>–</w:t>
      </w:r>
      <w:r w:rsidRPr="00F464FA">
        <w:t>2022) acknowledges that ensuring that women are treated on equal footing as men are crucial in achieving meaningful national growth. In that regard, the strategy sets gender equality as a goal.</w:t>
      </w:r>
    </w:p>
    <w:p w14:paraId="1D700BD1" w14:textId="77777777" w:rsidR="00221DD4" w:rsidRPr="00F464FA" w:rsidRDefault="00221DD4" w:rsidP="00221DD4">
      <w:pPr>
        <w:pStyle w:val="SingleTxtG"/>
      </w:pPr>
      <w:r w:rsidRPr="00F464FA">
        <w:t>17.</w:t>
      </w:r>
      <w:r w:rsidRPr="00F464FA">
        <w:tab/>
        <w:t>Furthermore, A Gender Equality Act Implementation and Monitoring Plan was adopted. The goal of the plan is to provide gender equality, integration, influence, empowerment, dignity and opportunities for men and women in all functions of society. The plan focuses on five thematic areas namely, gender in education and training; gender in health services and sexual reproductive health rights; mainstreaming gender in development sectors; gender in governance and human rights and capacity of the national gender machinery.</w:t>
      </w:r>
    </w:p>
    <w:p w14:paraId="6E8210FD" w14:textId="77777777" w:rsidR="00221DD4" w:rsidRPr="00F464FA" w:rsidRDefault="00221DD4" w:rsidP="00221DD4">
      <w:pPr>
        <w:pStyle w:val="SingleTxtG"/>
      </w:pPr>
      <w:r w:rsidRPr="00F464FA">
        <w:t>18.</w:t>
      </w:r>
      <w:r w:rsidRPr="00F464FA">
        <w:tab/>
        <w:t xml:space="preserve">A woman’s right to participate in decision-making is crucial in ensuring gender equality. Participation in decision making begins at the household level. In the 2015-16 </w:t>
      </w:r>
      <w:bookmarkStart w:id="5" w:name="_Hlk41548868"/>
      <w:r w:rsidRPr="00F464FA">
        <w:t>Malawi Demographic Health Survey (MDHS)</w:t>
      </w:r>
      <w:bookmarkEnd w:id="5"/>
      <w:r w:rsidRPr="00F464FA">
        <w:t>, married women were asked about their participation in three types of household decisions, namely, health care, making major household purchases, and visits to family or relatives. The survey concluded that married women in Malawi are most likely to have sole or joint decision-making power about visiting family or relatives (78%) and their health care (68%) and less likely to make decisions about major household purchases (55%). Overall, 47percent of married women participate in all three decisions. Since 2000, married women’s participation in decision-making has steadily improved.</w:t>
      </w:r>
    </w:p>
    <w:p w14:paraId="0ED29F5E" w14:textId="77777777" w:rsidR="00221DD4" w:rsidRPr="00F464FA" w:rsidRDefault="00221DD4" w:rsidP="00221DD4">
      <w:pPr>
        <w:pStyle w:val="SingleTxtG"/>
      </w:pPr>
      <w:r w:rsidRPr="00F464FA">
        <w:t>19.</w:t>
      </w:r>
      <w:r w:rsidRPr="00F464FA">
        <w:tab/>
        <w:t>However, with regard to the advancement of women in the political and the public sphere, female representation remains low. Nevertheless, there has been an increase in female candidature in parliamentary seats. There were 309 female parliamentary candidates in the 2019 tripartite elections which was an increase from the 219 female candidates in the 2014 tripartite elections. Furthermore, there were 660 female candidates in 2019 for local government elections, an increase in comparison to 417 female candidates in 2014.</w:t>
      </w:r>
      <w:bookmarkStart w:id="6" w:name="_Hlk42077492"/>
      <w:r w:rsidRPr="00F464FA">
        <w:t xml:space="preserve"> </w:t>
      </w:r>
      <w:bookmarkEnd w:id="6"/>
      <w:r w:rsidRPr="00F464FA">
        <w:t xml:space="preserve">There were also more independent female candidates i.e. about 24% for local government elections and almost 40% for the parliamentary election. From 2014 to 2019, women representation in Parliament has increased from 32 women representing 16.7% in the 2014 elections to 45 women in the 2019 election representing 23.3%. Notably, 66 women have also made it into local government authorities, representing 14.5% compared to 12% in 2014. The improvement in women representation has been possible through the implementation of the 50:50 Campaign. Notwithstanding the improvement in the number of women who participated during the 2014 tripartite elections, there are still several factors that continue to negatively affect the gains made. Firstly, political institutions remain uncommitted to entrenching equality between the sexes within party structures. Secondly, little has been done to eliminate the underlying factors of subordination of women in the political field. Thirdly, the failure by Parliament to pass into law the electoral reform bills contributed in part. It </w:t>
      </w:r>
      <w:r w:rsidRPr="00F464FA">
        <w:lastRenderedPageBreak/>
        <w:t>should also be noted that since 2019, Parliament, for the first time in its history has a female Speaker.</w:t>
      </w:r>
    </w:p>
    <w:p w14:paraId="41388A87" w14:textId="77777777" w:rsidR="00221DD4" w:rsidRPr="00F464FA" w:rsidRDefault="00221DD4" w:rsidP="002F23D4">
      <w:pPr>
        <w:pStyle w:val="SingleTxtG"/>
        <w:spacing w:after="240"/>
      </w:pPr>
      <w:r w:rsidRPr="00F464FA">
        <w:t>20.</w:t>
      </w:r>
      <w:r w:rsidRPr="00F464FA">
        <w:tab/>
        <w:t xml:space="preserve">Additionally, </w:t>
      </w:r>
      <w:r w:rsidRPr="00F464FA">
        <w:rPr>
          <w:bCs/>
        </w:rPr>
        <w:t>the 2019 Gender Profile indicates that there are fewer women than men in decision-making positions (per grade) in the civil service, and oversight institutions. The Profile indicates that women occupy 33% of the positions at the head of public service level and 8% at the deputy head level. In the non-decision-making positions, at the principal and senior officer level, the gender profiling statistics show that women hold 33 % and 30% of the positions respectively. Tables 1 and 2 below show the gender profiling in decision making positions and non-decision-making positions in the civil service and oversight institutions as of March 2019.</w:t>
      </w:r>
    </w:p>
    <w:p w14:paraId="31272B6B" w14:textId="412BB151" w:rsidR="00221DD4" w:rsidRPr="00F464FA" w:rsidRDefault="00221DD4" w:rsidP="00221DD4">
      <w:pPr>
        <w:pStyle w:val="Heading1"/>
      </w:pPr>
      <w:r w:rsidRPr="00F464FA">
        <w:t>Table 1</w:t>
      </w:r>
    </w:p>
    <w:p w14:paraId="46B9818F" w14:textId="77777777" w:rsidR="00221DD4" w:rsidRPr="00F464FA" w:rsidRDefault="00221DD4" w:rsidP="00221DD4">
      <w:pPr>
        <w:pStyle w:val="SingleTxtG"/>
        <w:rPr>
          <w:b/>
        </w:rPr>
      </w:pPr>
      <w:r w:rsidRPr="00F464FA">
        <w:rPr>
          <w:b/>
        </w:rPr>
        <w:t>Gender profile in the decision-making positions (per grade)–Civil Service and oversight institutions March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21"/>
        <w:gridCol w:w="822"/>
        <w:gridCol w:w="822"/>
        <w:gridCol w:w="822"/>
        <w:gridCol w:w="822"/>
      </w:tblGrid>
      <w:tr w:rsidR="007B1E33" w:rsidRPr="00F464FA" w14:paraId="510FA17D" w14:textId="77777777" w:rsidTr="00BD5303">
        <w:trPr>
          <w:tblHeader/>
        </w:trPr>
        <w:tc>
          <w:tcPr>
            <w:tcW w:w="3261" w:type="dxa"/>
            <w:tcBorders>
              <w:top w:val="single" w:sz="4" w:space="0" w:color="auto"/>
              <w:bottom w:val="single" w:sz="12" w:space="0" w:color="auto"/>
            </w:tcBorders>
            <w:shd w:val="clear" w:color="auto" w:fill="auto"/>
            <w:vAlign w:val="bottom"/>
            <w:hideMark/>
          </w:tcPr>
          <w:p w14:paraId="55AC350C" w14:textId="77777777" w:rsidR="00221DD4" w:rsidRPr="00F464FA" w:rsidRDefault="00221DD4" w:rsidP="007B1E33">
            <w:pPr>
              <w:pStyle w:val="SingleTxtG"/>
              <w:tabs>
                <w:tab w:val="clear" w:pos="1701"/>
                <w:tab w:val="clear" w:pos="2268"/>
              </w:tabs>
              <w:suppressAutoHyphens w:val="0"/>
              <w:spacing w:before="80" w:after="80" w:line="200" w:lineRule="exact"/>
              <w:ind w:left="0" w:right="113"/>
              <w:jc w:val="left"/>
              <w:rPr>
                <w:bCs/>
                <w:i/>
                <w:sz w:val="16"/>
              </w:rPr>
            </w:pPr>
            <w:r w:rsidRPr="00F464FA">
              <w:rPr>
                <w:bCs/>
                <w:i/>
                <w:sz w:val="16"/>
              </w:rPr>
              <w:t>Grade</w:t>
            </w:r>
          </w:p>
        </w:tc>
        <w:tc>
          <w:tcPr>
            <w:tcW w:w="821" w:type="dxa"/>
            <w:tcBorders>
              <w:top w:val="single" w:sz="4" w:space="0" w:color="auto"/>
              <w:bottom w:val="single" w:sz="12" w:space="0" w:color="auto"/>
            </w:tcBorders>
            <w:shd w:val="clear" w:color="auto" w:fill="auto"/>
            <w:vAlign w:val="bottom"/>
            <w:hideMark/>
          </w:tcPr>
          <w:p w14:paraId="4A7BEEFE" w14:textId="77777777" w:rsidR="00221DD4" w:rsidRPr="00F464FA" w:rsidRDefault="00221DD4" w:rsidP="007B1E33">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M</w:t>
            </w:r>
          </w:p>
        </w:tc>
        <w:tc>
          <w:tcPr>
            <w:tcW w:w="822" w:type="dxa"/>
            <w:tcBorders>
              <w:top w:val="single" w:sz="4" w:space="0" w:color="auto"/>
              <w:bottom w:val="single" w:sz="12" w:space="0" w:color="auto"/>
            </w:tcBorders>
            <w:shd w:val="clear" w:color="auto" w:fill="auto"/>
            <w:vAlign w:val="bottom"/>
            <w:hideMark/>
          </w:tcPr>
          <w:p w14:paraId="0F8C53C1" w14:textId="77777777" w:rsidR="00221DD4" w:rsidRPr="00F464FA" w:rsidRDefault="00221DD4" w:rsidP="007B1E33">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Percent</w:t>
            </w:r>
          </w:p>
        </w:tc>
        <w:tc>
          <w:tcPr>
            <w:tcW w:w="822" w:type="dxa"/>
            <w:tcBorders>
              <w:top w:val="single" w:sz="4" w:space="0" w:color="auto"/>
              <w:bottom w:val="single" w:sz="12" w:space="0" w:color="auto"/>
            </w:tcBorders>
            <w:shd w:val="clear" w:color="auto" w:fill="auto"/>
            <w:vAlign w:val="bottom"/>
            <w:hideMark/>
          </w:tcPr>
          <w:p w14:paraId="1575BF8C" w14:textId="77777777" w:rsidR="00221DD4" w:rsidRPr="00F464FA" w:rsidRDefault="00221DD4" w:rsidP="007B1E33">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F</w:t>
            </w:r>
          </w:p>
        </w:tc>
        <w:tc>
          <w:tcPr>
            <w:tcW w:w="822" w:type="dxa"/>
            <w:tcBorders>
              <w:top w:val="single" w:sz="4" w:space="0" w:color="auto"/>
              <w:bottom w:val="single" w:sz="12" w:space="0" w:color="auto"/>
            </w:tcBorders>
            <w:shd w:val="clear" w:color="auto" w:fill="auto"/>
            <w:vAlign w:val="bottom"/>
            <w:hideMark/>
          </w:tcPr>
          <w:p w14:paraId="61422CAF" w14:textId="77777777" w:rsidR="00221DD4" w:rsidRPr="00F464FA" w:rsidRDefault="00221DD4" w:rsidP="007B1E33">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w:t>
            </w:r>
          </w:p>
        </w:tc>
        <w:tc>
          <w:tcPr>
            <w:tcW w:w="822" w:type="dxa"/>
            <w:tcBorders>
              <w:top w:val="single" w:sz="4" w:space="0" w:color="auto"/>
              <w:bottom w:val="single" w:sz="12" w:space="0" w:color="auto"/>
            </w:tcBorders>
            <w:shd w:val="clear" w:color="auto" w:fill="auto"/>
            <w:vAlign w:val="bottom"/>
            <w:hideMark/>
          </w:tcPr>
          <w:p w14:paraId="42B912B6" w14:textId="77777777" w:rsidR="00221DD4" w:rsidRPr="00F464FA" w:rsidRDefault="00221DD4" w:rsidP="007B1E33">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Total</w:t>
            </w:r>
          </w:p>
        </w:tc>
      </w:tr>
      <w:tr w:rsidR="007B1E33" w:rsidRPr="00F464FA" w14:paraId="6E8CB565" w14:textId="77777777" w:rsidTr="00BD5303">
        <w:tc>
          <w:tcPr>
            <w:tcW w:w="3261" w:type="dxa"/>
            <w:tcBorders>
              <w:top w:val="single" w:sz="12" w:space="0" w:color="auto"/>
              <w:bottom w:val="nil"/>
            </w:tcBorders>
            <w:shd w:val="clear" w:color="auto" w:fill="auto"/>
            <w:hideMark/>
          </w:tcPr>
          <w:p w14:paraId="5FB31C4A" w14:textId="628A3F7C" w:rsidR="00221DD4" w:rsidRPr="00F464FA" w:rsidRDefault="00221DD4" w:rsidP="007B1E33">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A-</w:t>
            </w:r>
            <w:r w:rsidR="00E232EB">
              <w:rPr>
                <w:bCs/>
                <w:sz w:val="18"/>
              </w:rPr>
              <w:t xml:space="preserve"> </w:t>
            </w:r>
            <w:r w:rsidRPr="00F464FA">
              <w:rPr>
                <w:bCs/>
                <w:sz w:val="18"/>
              </w:rPr>
              <w:t>Head of Public Service Level</w:t>
            </w:r>
          </w:p>
        </w:tc>
        <w:tc>
          <w:tcPr>
            <w:tcW w:w="821" w:type="dxa"/>
            <w:tcBorders>
              <w:top w:val="single" w:sz="12" w:space="0" w:color="auto"/>
              <w:bottom w:val="nil"/>
            </w:tcBorders>
            <w:shd w:val="clear" w:color="auto" w:fill="auto"/>
            <w:vAlign w:val="bottom"/>
            <w:hideMark/>
          </w:tcPr>
          <w:p w14:paraId="75512197" w14:textId="77777777" w:rsidR="00221DD4" w:rsidRPr="00F464FA" w:rsidRDefault="00221DD4" w:rsidP="007B1E33">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p>
        </w:tc>
        <w:tc>
          <w:tcPr>
            <w:tcW w:w="822" w:type="dxa"/>
            <w:tcBorders>
              <w:top w:val="single" w:sz="12" w:space="0" w:color="auto"/>
              <w:bottom w:val="nil"/>
            </w:tcBorders>
            <w:shd w:val="clear" w:color="auto" w:fill="auto"/>
            <w:vAlign w:val="bottom"/>
            <w:hideMark/>
          </w:tcPr>
          <w:p w14:paraId="44828E79" w14:textId="77777777" w:rsidR="00221DD4" w:rsidRPr="00F464FA" w:rsidRDefault="00221DD4" w:rsidP="007B1E33">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67</w:t>
            </w:r>
          </w:p>
        </w:tc>
        <w:tc>
          <w:tcPr>
            <w:tcW w:w="822" w:type="dxa"/>
            <w:tcBorders>
              <w:top w:val="single" w:sz="12" w:space="0" w:color="auto"/>
              <w:bottom w:val="nil"/>
            </w:tcBorders>
            <w:shd w:val="clear" w:color="auto" w:fill="auto"/>
            <w:vAlign w:val="bottom"/>
            <w:hideMark/>
          </w:tcPr>
          <w:p w14:paraId="5FA09218" w14:textId="77777777" w:rsidR="00221DD4" w:rsidRPr="00F464FA" w:rsidRDefault="00221DD4" w:rsidP="007B1E33">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p>
        </w:tc>
        <w:tc>
          <w:tcPr>
            <w:tcW w:w="822" w:type="dxa"/>
            <w:tcBorders>
              <w:top w:val="single" w:sz="12" w:space="0" w:color="auto"/>
              <w:bottom w:val="nil"/>
            </w:tcBorders>
            <w:shd w:val="clear" w:color="auto" w:fill="auto"/>
            <w:vAlign w:val="bottom"/>
            <w:hideMark/>
          </w:tcPr>
          <w:p w14:paraId="2E119044" w14:textId="77777777" w:rsidR="00221DD4" w:rsidRPr="00F464FA" w:rsidRDefault="00221DD4" w:rsidP="007B1E33">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33</w:t>
            </w:r>
          </w:p>
        </w:tc>
        <w:tc>
          <w:tcPr>
            <w:tcW w:w="822" w:type="dxa"/>
            <w:tcBorders>
              <w:top w:val="single" w:sz="12" w:space="0" w:color="auto"/>
              <w:bottom w:val="nil"/>
            </w:tcBorders>
            <w:shd w:val="clear" w:color="auto" w:fill="auto"/>
            <w:vAlign w:val="bottom"/>
            <w:hideMark/>
          </w:tcPr>
          <w:p w14:paraId="72D8499B" w14:textId="77777777" w:rsidR="00221DD4" w:rsidRPr="00F464FA" w:rsidRDefault="00221DD4" w:rsidP="007B1E33">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p>
        </w:tc>
      </w:tr>
      <w:tr w:rsidR="00685176" w:rsidRPr="00F464FA" w14:paraId="3598BE1D" w14:textId="77777777" w:rsidTr="00BD5303">
        <w:tc>
          <w:tcPr>
            <w:tcW w:w="3261" w:type="dxa"/>
            <w:tcBorders>
              <w:top w:val="nil"/>
              <w:bottom w:val="nil"/>
            </w:tcBorders>
            <w:shd w:val="clear" w:color="auto" w:fill="auto"/>
          </w:tcPr>
          <w:p w14:paraId="480CF860" w14:textId="6CB274E0" w:rsidR="00685176" w:rsidRPr="00F464FA" w:rsidRDefault="00685176" w:rsidP="0068517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B</w:t>
            </w:r>
            <w:r w:rsidR="00E232EB">
              <w:rPr>
                <w:bCs/>
                <w:sz w:val="18"/>
              </w:rPr>
              <w:t xml:space="preserve">- </w:t>
            </w:r>
            <w:r w:rsidRPr="00F464FA">
              <w:rPr>
                <w:bCs/>
                <w:sz w:val="18"/>
              </w:rPr>
              <w:t>Deputy Head of Public Service Level</w:t>
            </w:r>
          </w:p>
        </w:tc>
        <w:tc>
          <w:tcPr>
            <w:tcW w:w="821" w:type="dxa"/>
            <w:tcBorders>
              <w:top w:val="nil"/>
              <w:bottom w:val="nil"/>
            </w:tcBorders>
            <w:shd w:val="clear" w:color="auto" w:fill="auto"/>
            <w:vAlign w:val="bottom"/>
          </w:tcPr>
          <w:p w14:paraId="34A148F4" w14:textId="0661EB0D"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12</w:t>
            </w:r>
          </w:p>
        </w:tc>
        <w:tc>
          <w:tcPr>
            <w:tcW w:w="822" w:type="dxa"/>
            <w:tcBorders>
              <w:top w:val="nil"/>
              <w:bottom w:val="nil"/>
            </w:tcBorders>
            <w:shd w:val="clear" w:color="auto" w:fill="auto"/>
            <w:vAlign w:val="bottom"/>
          </w:tcPr>
          <w:p w14:paraId="2A787675" w14:textId="7582F516"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92</w:t>
            </w:r>
          </w:p>
        </w:tc>
        <w:tc>
          <w:tcPr>
            <w:tcW w:w="822" w:type="dxa"/>
            <w:tcBorders>
              <w:top w:val="nil"/>
              <w:bottom w:val="nil"/>
            </w:tcBorders>
            <w:shd w:val="clear" w:color="auto" w:fill="auto"/>
            <w:vAlign w:val="bottom"/>
          </w:tcPr>
          <w:p w14:paraId="6A653AB9" w14:textId="3C014301"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p>
        </w:tc>
        <w:tc>
          <w:tcPr>
            <w:tcW w:w="822" w:type="dxa"/>
            <w:tcBorders>
              <w:top w:val="nil"/>
              <w:bottom w:val="nil"/>
            </w:tcBorders>
            <w:shd w:val="clear" w:color="auto" w:fill="auto"/>
            <w:vAlign w:val="bottom"/>
          </w:tcPr>
          <w:p w14:paraId="488AAB57" w14:textId="17745A80"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8</w:t>
            </w:r>
          </w:p>
        </w:tc>
        <w:tc>
          <w:tcPr>
            <w:tcW w:w="822" w:type="dxa"/>
            <w:tcBorders>
              <w:top w:val="nil"/>
              <w:bottom w:val="nil"/>
            </w:tcBorders>
            <w:shd w:val="clear" w:color="auto" w:fill="auto"/>
            <w:vAlign w:val="bottom"/>
          </w:tcPr>
          <w:p w14:paraId="0ADC042C" w14:textId="65C0B1DF"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13</w:t>
            </w:r>
          </w:p>
        </w:tc>
      </w:tr>
      <w:tr w:rsidR="00685176" w:rsidRPr="00F464FA" w14:paraId="2A689542" w14:textId="77777777" w:rsidTr="00BD5303">
        <w:tc>
          <w:tcPr>
            <w:tcW w:w="3261" w:type="dxa"/>
            <w:shd w:val="clear" w:color="auto" w:fill="auto"/>
            <w:hideMark/>
          </w:tcPr>
          <w:p w14:paraId="61D9AC41" w14:textId="153AA6BF" w:rsidR="00685176" w:rsidRPr="00F464FA" w:rsidRDefault="00685176" w:rsidP="0068517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C-</w:t>
            </w:r>
            <w:r w:rsidR="00E232EB">
              <w:rPr>
                <w:bCs/>
                <w:sz w:val="18"/>
              </w:rPr>
              <w:t xml:space="preserve"> </w:t>
            </w:r>
            <w:r w:rsidRPr="00F464FA">
              <w:rPr>
                <w:bCs/>
                <w:sz w:val="18"/>
              </w:rPr>
              <w:t>Principal Secretary level</w:t>
            </w:r>
          </w:p>
        </w:tc>
        <w:tc>
          <w:tcPr>
            <w:tcW w:w="821" w:type="dxa"/>
            <w:shd w:val="clear" w:color="auto" w:fill="auto"/>
            <w:vAlign w:val="bottom"/>
            <w:hideMark/>
          </w:tcPr>
          <w:p w14:paraId="76B226C8"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22</w:t>
            </w:r>
          </w:p>
        </w:tc>
        <w:tc>
          <w:tcPr>
            <w:tcW w:w="822" w:type="dxa"/>
            <w:shd w:val="clear" w:color="auto" w:fill="auto"/>
            <w:vAlign w:val="bottom"/>
            <w:hideMark/>
          </w:tcPr>
          <w:p w14:paraId="2B86B973"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59</w:t>
            </w:r>
          </w:p>
        </w:tc>
        <w:tc>
          <w:tcPr>
            <w:tcW w:w="822" w:type="dxa"/>
            <w:shd w:val="clear" w:color="auto" w:fill="auto"/>
            <w:vAlign w:val="bottom"/>
            <w:hideMark/>
          </w:tcPr>
          <w:p w14:paraId="6A852EBE"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15</w:t>
            </w:r>
          </w:p>
        </w:tc>
        <w:tc>
          <w:tcPr>
            <w:tcW w:w="822" w:type="dxa"/>
            <w:shd w:val="clear" w:color="auto" w:fill="auto"/>
            <w:vAlign w:val="bottom"/>
            <w:hideMark/>
          </w:tcPr>
          <w:p w14:paraId="125F112F"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41</w:t>
            </w:r>
          </w:p>
        </w:tc>
        <w:tc>
          <w:tcPr>
            <w:tcW w:w="822" w:type="dxa"/>
            <w:shd w:val="clear" w:color="auto" w:fill="auto"/>
            <w:vAlign w:val="bottom"/>
            <w:hideMark/>
          </w:tcPr>
          <w:p w14:paraId="6422E99A"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37</w:t>
            </w:r>
          </w:p>
        </w:tc>
      </w:tr>
      <w:tr w:rsidR="00685176" w:rsidRPr="00F464FA" w14:paraId="5FA1D98F" w14:textId="77777777" w:rsidTr="00BD5303">
        <w:tc>
          <w:tcPr>
            <w:tcW w:w="3261" w:type="dxa"/>
            <w:shd w:val="clear" w:color="auto" w:fill="auto"/>
            <w:hideMark/>
          </w:tcPr>
          <w:p w14:paraId="0932D66D" w14:textId="061B9A1F" w:rsidR="00685176" w:rsidRPr="00F464FA" w:rsidRDefault="00685176" w:rsidP="0068517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D-</w:t>
            </w:r>
            <w:r w:rsidR="00E232EB">
              <w:rPr>
                <w:bCs/>
                <w:sz w:val="18"/>
              </w:rPr>
              <w:t xml:space="preserve"> </w:t>
            </w:r>
            <w:r w:rsidRPr="00F464FA">
              <w:rPr>
                <w:bCs/>
                <w:sz w:val="18"/>
              </w:rPr>
              <w:t>Director Level</w:t>
            </w:r>
          </w:p>
        </w:tc>
        <w:tc>
          <w:tcPr>
            <w:tcW w:w="821" w:type="dxa"/>
            <w:shd w:val="clear" w:color="auto" w:fill="auto"/>
            <w:vAlign w:val="bottom"/>
            <w:hideMark/>
          </w:tcPr>
          <w:p w14:paraId="7E58D814"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143</w:t>
            </w:r>
          </w:p>
        </w:tc>
        <w:tc>
          <w:tcPr>
            <w:tcW w:w="822" w:type="dxa"/>
            <w:shd w:val="clear" w:color="auto" w:fill="auto"/>
            <w:vAlign w:val="bottom"/>
            <w:hideMark/>
          </w:tcPr>
          <w:p w14:paraId="31667838"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77</w:t>
            </w:r>
          </w:p>
        </w:tc>
        <w:tc>
          <w:tcPr>
            <w:tcW w:w="822" w:type="dxa"/>
            <w:shd w:val="clear" w:color="auto" w:fill="auto"/>
            <w:vAlign w:val="bottom"/>
            <w:hideMark/>
          </w:tcPr>
          <w:p w14:paraId="431EC70C"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42</w:t>
            </w:r>
          </w:p>
        </w:tc>
        <w:tc>
          <w:tcPr>
            <w:tcW w:w="822" w:type="dxa"/>
            <w:shd w:val="clear" w:color="auto" w:fill="auto"/>
            <w:vAlign w:val="bottom"/>
            <w:hideMark/>
          </w:tcPr>
          <w:p w14:paraId="0EC6F4E0"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23</w:t>
            </w:r>
          </w:p>
        </w:tc>
        <w:tc>
          <w:tcPr>
            <w:tcW w:w="822" w:type="dxa"/>
            <w:shd w:val="clear" w:color="auto" w:fill="auto"/>
            <w:vAlign w:val="bottom"/>
            <w:hideMark/>
          </w:tcPr>
          <w:p w14:paraId="01ACDCDE"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185</w:t>
            </w:r>
          </w:p>
        </w:tc>
      </w:tr>
      <w:tr w:rsidR="00685176" w:rsidRPr="00F464FA" w14:paraId="529DD925" w14:textId="77777777" w:rsidTr="00BD5303">
        <w:tc>
          <w:tcPr>
            <w:tcW w:w="3261" w:type="dxa"/>
            <w:shd w:val="clear" w:color="auto" w:fill="auto"/>
            <w:hideMark/>
          </w:tcPr>
          <w:p w14:paraId="5F242388" w14:textId="53B6D5BE" w:rsidR="00685176" w:rsidRPr="00F464FA" w:rsidRDefault="00685176" w:rsidP="0068517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E-</w:t>
            </w:r>
            <w:r w:rsidR="00E232EB">
              <w:rPr>
                <w:bCs/>
                <w:sz w:val="18"/>
              </w:rPr>
              <w:t xml:space="preserve"> </w:t>
            </w:r>
            <w:r w:rsidRPr="00F464FA">
              <w:rPr>
                <w:bCs/>
                <w:sz w:val="18"/>
              </w:rPr>
              <w:t>Deputy Director Level</w:t>
            </w:r>
          </w:p>
        </w:tc>
        <w:tc>
          <w:tcPr>
            <w:tcW w:w="821" w:type="dxa"/>
            <w:shd w:val="clear" w:color="auto" w:fill="auto"/>
            <w:vAlign w:val="bottom"/>
            <w:hideMark/>
          </w:tcPr>
          <w:p w14:paraId="08740E6C"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375</w:t>
            </w:r>
          </w:p>
        </w:tc>
        <w:tc>
          <w:tcPr>
            <w:tcW w:w="822" w:type="dxa"/>
            <w:shd w:val="clear" w:color="auto" w:fill="auto"/>
            <w:vAlign w:val="bottom"/>
            <w:hideMark/>
          </w:tcPr>
          <w:p w14:paraId="6759FBEE"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72</w:t>
            </w:r>
          </w:p>
        </w:tc>
        <w:tc>
          <w:tcPr>
            <w:tcW w:w="822" w:type="dxa"/>
            <w:shd w:val="clear" w:color="auto" w:fill="auto"/>
            <w:vAlign w:val="bottom"/>
            <w:hideMark/>
          </w:tcPr>
          <w:p w14:paraId="0222CA3B"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147</w:t>
            </w:r>
          </w:p>
        </w:tc>
        <w:tc>
          <w:tcPr>
            <w:tcW w:w="822" w:type="dxa"/>
            <w:shd w:val="clear" w:color="auto" w:fill="auto"/>
            <w:vAlign w:val="bottom"/>
            <w:hideMark/>
          </w:tcPr>
          <w:p w14:paraId="0BB4FB13"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28</w:t>
            </w:r>
          </w:p>
        </w:tc>
        <w:tc>
          <w:tcPr>
            <w:tcW w:w="822" w:type="dxa"/>
            <w:shd w:val="clear" w:color="auto" w:fill="auto"/>
            <w:vAlign w:val="bottom"/>
            <w:hideMark/>
          </w:tcPr>
          <w:p w14:paraId="3910BFE0"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522</w:t>
            </w:r>
          </w:p>
        </w:tc>
      </w:tr>
      <w:tr w:rsidR="00685176" w:rsidRPr="00F464FA" w14:paraId="2C04926D" w14:textId="77777777" w:rsidTr="00BD5303">
        <w:tc>
          <w:tcPr>
            <w:tcW w:w="3261" w:type="dxa"/>
            <w:tcBorders>
              <w:bottom w:val="single" w:sz="4" w:space="0" w:color="auto"/>
            </w:tcBorders>
            <w:shd w:val="clear" w:color="auto" w:fill="auto"/>
            <w:hideMark/>
          </w:tcPr>
          <w:p w14:paraId="0CA036C3" w14:textId="2832B6C9" w:rsidR="00685176" w:rsidRPr="00F464FA" w:rsidRDefault="00685176" w:rsidP="0068517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F</w:t>
            </w:r>
            <w:r w:rsidR="00E232EB">
              <w:rPr>
                <w:bCs/>
                <w:sz w:val="18"/>
              </w:rPr>
              <w:t xml:space="preserve">- </w:t>
            </w:r>
            <w:r w:rsidRPr="00F464FA">
              <w:rPr>
                <w:bCs/>
                <w:sz w:val="18"/>
              </w:rPr>
              <w:t>Chief Officer Level</w:t>
            </w:r>
          </w:p>
        </w:tc>
        <w:tc>
          <w:tcPr>
            <w:tcW w:w="821" w:type="dxa"/>
            <w:tcBorders>
              <w:bottom w:val="single" w:sz="4" w:space="0" w:color="auto"/>
            </w:tcBorders>
            <w:shd w:val="clear" w:color="auto" w:fill="auto"/>
            <w:vAlign w:val="bottom"/>
            <w:hideMark/>
          </w:tcPr>
          <w:p w14:paraId="796193E7"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608</w:t>
            </w:r>
          </w:p>
        </w:tc>
        <w:tc>
          <w:tcPr>
            <w:tcW w:w="822" w:type="dxa"/>
            <w:tcBorders>
              <w:bottom w:val="single" w:sz="4" w:space="0" w:color="auto"/>
            </w:tcBorders>
            <w:shd w:val="clear" w:color="auto" w:fill="auto"/>
            <w:vAlign w:val="bottom"/>
            <w:hideMark/>
          </w:tcPr>
          <w:p w14:paraId="2F74068C"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77</w:t>
            </w:r>
          </w:p>
        </w:tc>
        <w:tc>
          <w:tcPr>
            <w:tcW w:w="822" w:type="dxa"/>
            <w:tcBorders>
              <w:bottom w:val="single" w:sz="4" w:space="0" w:color="auto"/>
            </w:tcBorders>
            <w:shd w:val="clear" w:color="auto" w:fill="auto"/>
            <w:vAlign w:val="bottom"/>
            <w:hideMark/>
          </w:tcPr>
          <w:p w14:paraId="112BE5A1"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181</w:t>
            </w:r>
          </w:p>
        </w:tc>
        <w:tc>
          <w:tcPr>
            <w:tcW w:w="822" w:type="dxa"/>
            <w:tcBorders>
              <w:bottom w:val="single" w:sz="4" w:space="0" w:color="auto"/>
            </w:tcBorders>
            <w:shd w:val="clear" w:color="auto" w:fill="auto"/>
            <w:vAlign w:val="bottom"/>
            <w:hideMark/>
          </w:tcPr>
          <w:p w14:paraId="5C1510E0"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23</w:t>
            </w:r>
          </w:p>
        </w:tc>
        <w:tc>
          <w:tcPr>
            <w:tcW w:w="822" w:type="dxa"/>
            <w:tcBorders>
              <w:bottom w:val="single" w:sz="4" w:space="0" w:color="auto"/>
            </w:tcBorders>
            <w:shd w:val="clear" w:color="auto" w:fill="auto"/>
            <w:vAlign w:val="bottom"/>
            <w:hideMark/>
          </w:tcPr>
          <w:p w14:paraId="2F3554D7" w14:textId="77777777" w:rsidR="00685176" w:rsidRPr="00F464FA" w:rsidRDefault="00685176" w:rsidP="0068517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789</w:t>
            </w:r>
          </w:p>
        </w:tc>
      </w:tr>
      <w:tr w:rsidR="00685176" w:rsidRPr="00F464FA" w14:paraId="53B568DF" w14:textId="77777777" w:rsidTr="00BD5303">
        <w:tc>
          <w:tcPr>
            <w:tcW w:w="3261" w:type="dxa"/>
            <w:tcBorders>
              <w:top w:val="single" w:sz="4" w:space="0" w:color="auto"/>
            </w:tcBorders>
            <w:shd w:val="clear" w:color="auto" w:fill="auto"/>
            <w:hideMark/>
          </w:tcPr>
          <w:p w14:paraId="46721CAA" w14:textId="77777777" w:rsidR="00685176" w:rsidRPr="00F464FA" w:rsidRDefault="00685176" w:rsidP="0049649B">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Total</w:t>
            </w:r>
          </w:p>
        </w:tc>
        <w:tc>
          <w:tcPr>
            <w:tcW w:w="821" w:type="dxa"/>
            <w:tcBorders>
              <w:top w:val="single" w:sz="4" w:space="0" w:color="auto"/>
            </w:tcBorders>
            <w:shd w:val="clear" w:color="auto" w:fill="auto"/>
            <w:vAlign w:val="bottom"/>
            <w:hideMark/>
          </w:tcPr>
          <w:p w14:paraId="22C28106" w14:textId="6709C532" w:rsidR="00685176" w:rsidRPr="00F464FA" w:rsidRDefault="00685176" w:rsidP="0049649B">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w:t>
            </w:r>
            <w:r w:rsidR="0049649B" w:rsidRPr="00F464FA">
              <w:rPr>
                <w:b/>
                <w:bCs/>
                <w:sz w:val="18"/>
              </w:rPr>
              <w:t xml:space="preserve"> </w:t>
            </w:r>
            <w:r w:rsidRPr="00F464FA">
              <w:rPr>
                <w:b/>
                <w:bCs/>
                <w:sz w:val="18"/>
              </w:rPr>
              <w:t>162</w:t>
            </w:r>
          </w:p>
        </w:tc>
        <w:tc>
          <w:tcPr>
            <w:tcW w:w="822" w:type="dxa"/>
            <w:tcBorders>
              <w:top w:val="single" w:sz="4" w:space="0" w:color="auto"/>
            </w:tcBorders>
            <w:shd w:val="clear" w:color="auto" w:fill="auto"/>
            <w:vAlign w:val="bottom"/>
            <w:hideMark/>
          </w:tcPr>
          <w:p w14:paraId="1ADC7FCD" w14:textId="77777777" w:rsidR="00685176" w:rsidRPr="00F464FA" w:rsidRDefault="00685176" w:rsidP="0049649B">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75</w:t>
            </w:r>
          </w:p>
        </w:tc>
        <w:tc>
          <w:tcPr>
            <w:tcW w:w="822" w:type="dxa"/>
            <w:tcBorders>
              <w:top w:val="single" w:sz="4" w:space="0" w:color="auto"/>
            </w:tcBorders>
            <w:shd w:val="clear" w:color="auto" w:fill="auto"/>
            <w:vAlign w:val="bottom"/>
            <w:hideMark/>
          </w:tcPr>
          <w:p w14:paraId="181F8CEE" w14:textId="77777777" w:rsidR="00685176" w:rsidRPr="00F464FA" w:rsidRDefault="00685176" w:rsidP="0049649B">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387</w:t>
            </w:r>
          </w:p>
        </w:tc>
        <w:tc>
          <w:tcPr>
            <w:tcW w:w="822" w:type="dxa"/>
            <w:tcBorders>
              <w:top w:val="single" w:sz="4" w:space="0" w:color="auto"/>
            </w:tcBorders>
            <w:shd w:val="clear" w:color="auto" w:fill="auto"/>
            <w:vAlign w:val="bottom"/>
            <w:hideMark/>
          </w:tcPr>
          <w:p w14:paraId="0D6E3572" w14:textId="77777777" w:rsidR="00685176" w:rsidRPr="00F464FA" w:rsidRDefault="00685176" w:rsidP="0049649B">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25</w:t>
            </w:r>
          </w:p>
        </w:tc>
        <w:tc>
          <w:tcPr>
            <w:tcW w:w="822" w:type="dxa"/>
            <w:tcBorders>
              <w:top w:val="single" w:sz="4" w:space="0" w:color="auto"/>
            </w:tcBorders>
            <w:shd w:val="clear" w:color="auto" w:fill="auto"/>
            <w:vAlign w:val="bottom"/>
            <w:hideMark/>
          </w:tcPr>
          <w:p w14:paraId="5805059E" w14:textId="7CDF0B18" w:rsidR="00685176" w:rsidRPr="00F464FA" w:rsidRDefault="00685176" w:rsidP="0049649B">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w:t>
            </w:r>
            <w:r w:rsidR="0049649B" w:rsidRPr="00F464FA">
              <w:rPr>
                <w:b/>
                <w:bCs/>
                <w:sz w:val="18"/>
              </w:rPr>
              <w:t xml:space="preserve"> </w:t>
            </w:r>
            <w:r w:rsidRPr="00F464FA">
              <w:rPr>
                <w:b/>
                <w:bCs/>
                <w:sz w:val="18"/>
              </w:rPr>
              <w:t>549</w:t>
            </w:r>
          </w:p>
        </w:tc>
      </w:tr>
    </w:tbl>
    <w:p w14:paraId="7185111E" w14:textId="72ED6D9E" w:rsidR="00221DD4" w:rsidRPr="00F464FA" w:rsidRDefault="00221DD4" w:rsidP="00032BF8">
      <w:pPr>
        <w:spacing w:before="120" w:after="240"/>
        <w:ind w:left="1134" w:right="1134" w:firstLine="170"/>
        <w:rPr>
          <w:sz w:val="18"/>
        </w:rPr>
      </w:pPr>
      <w:r w:rsidRPr="00F464FA">
        <w:rPr>
          <w:i/>
          <w:iCs/>
          <w:sz w:val="18"/>
        </w:rPr>
        <w:t>Source:</w:t>
      </w:r>
      <w:r w:rsidRPr="00F464FA">
        <w:rPr>
          <w:sz w:val="18"/>
        </w:rPr>
        <w:t xml:space="preserve"> Department of Human Resource Management and Development</w:t>
      </w:r>
      <w:r w:rsidR="00032BF8" w:rsidRPr="00F464FA">
        <w:rPr>
          <w:sz w:val="18"/>
        </w:rPr>
        <w:t>.</w:t>
      </w:r>
    </w:p>
    <w:p w14:paraId="18EEB180" w14:textId="571A9B43" w:rsidR="00221DD4" w:rsidRPr="00F464FA" w:rsidRDefault="00221DD4" w:rsidP="00221DD4">
      <w:pPr>
        <w:pStyle w:val="Heading1"/>
      </w:pPr>
      <w:r w:rsidRPr="00F464FA">
        <w:t>Table 2</w:t>
      </w:r>
    </w:p>
    <w:p w14:paraId="181C29E2" w14:textId="276A9B7F" w:rsidR="00221DD4" w:rsidRPr="00F464FA" w:rsidRDefault="00221DD4" w:rsidP="00221DD4">
      <w:pPr>
        <w:pStyle w:val="SingleTxtG"/>
        <w:rPr>
          <w:b/>
        </w:rPr>
      </w:pPr>
      <w:r w:rsidRPr="00F464FA">
        <w:rPr>
          <w:b/>
        </w:rPr>
        <w:t>Gender profile in the non-decision-making positions (per grade)</w:t>
      </w:r>
      <w:r w:rsidR="00C304FF" w:rsidRPr="00F464FA">
        <w:rPr>
          <w:b/>
        </w:rPr>
        <w:t xml:space="preserve"> </w:t>
      </w:r>
      <w:r w:rsidRPr="00F464FA">
        <w:rPr>
          <w:b/>
        </w:rPr>
        <w:t>–</w:t>
      </w:r>
      <w:r w:rsidR="00C304FF" w:rsidRPr="00F464FA">
        <w:rPr>
          <w:b/>
        </w:rPr>
        <w:t xml:space="preserve"> </w:t>
      </w:r>
      <w:r w:rsidRPr="00F464FA">
        <w:rPr>
          <w:b/>
        </w:rPr>
        <w:t>Civil Service and oversight institutions March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21"/>
        <w:gridCol w:w="822"/>
        <w:gridCol w:w="822"/>
        <w:gridCol w:w="822"/>
        <w:gridCol w:w="822"/>
      </w:tblGrid>
      <w:tr w:rsidR="003F5D01" w:rsidRPr="00F464FA" w14:paraId="1D953F25" w14:textId="77777777" w:rsidTr="003F5D01">
        <w:trPr>
          <w:tblHeader/>
        </w:trPr>
        <w:tc>
          <w:tcPr>
            <w:tcW w:w="3261" w:type="dxa"/>
            <w:tcBorders>
              <w:top w:val="single" w:sz="4" w:space="0" w:color="auto"/>
              <w:bottom w:val="single" w:sz="12" w:space="0" w:color="auto"/>
            </w:tcBorders>
            <w:shd w:val="clear" w:color="auto" w:fill="auto"/>
            <w:noWrap/>
            <w:vAlign w:val="bottom"/>
            <w:hideMark/>
          </w:tcPr>
          <w:p w14:paraId="0B7F874A" w14:textId="77777777" w:rsidR="00221DD4" w:rsidRPr="00F464FA" w:rsidRDefault="00221DD4" w:rsidP="003F5D01">
            <w:pPr>
              <w:pStyle w:val="SingleTxtG"/>
              <w:tabs>
                <w:tab w:val="clear" w:pos="1701"/>
                <w:tab w:val="clear" w:pos="2268"/>
              </w:tabs>
              <w:suppressAutoHyphens w:val="0"/>
              <w:spacing w:before="80" w:after="80" w:line="200" w:lineRule="exact"/>
              <w:ind w:left="0" w:right="113"/>
              <w:jc w:val="left"/>
              <w:rPr>
                <w:bCs/>
                <w:i/>
                <w:sz w:val="16"/>
              </w:rPr>
            </w:pPr>
            <w:r w:rsidRPr="00F464FA">
              <w:rPr>
                <w:bCs/>
                <w:i/>
                <w:sz w:val="16"/>
              </w:rPr>
              <w:t>Grade</w:t>
            </w:r>
          </w:p>
        </w:tc>
        <w:tc>
          <w:tcPr>
            <w:tcW w:w="821" w:type="dxa"/>
            <w:tcBorders>
              <w:top w:val="single" w:sz="4" w:space="0" w:color="auto"/>
              <w:bottom w:val="single" w:sz="12" w:space="0" w:color="auto"/>
            </w:tcBorders>
            <w:shd w:val="clear" w:color="auto" w:fill="auto"/>
            <w:noWrap/>
            <w:vAlign w:val="bottom"/>
            <w:hideMark/>
          </w:tcPr>
          <w:p w14:paraId="3675E099" w14:textId="77777777" w:rsidR="00221DD4" w:rsidRPr="00F464FA" w:rsidRDefault="00221DD4" w:rsidP="003F5D01">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M</w:t>
            </w:r>
          </w:p>
        </w:tc>
        <w:tc>
          <w:tcPr>
            <w:tcW w:w="822" w:type="dxa"/>
            <w:tcBorders>
              <w:top w:val="single" w:sz="4" w:space="0" w:color="auto"/>
              <w:bottom w:val="single" w:sz="12" w:space="0" w:color="auto"/>
            </w:tcBorders>
            <w:shd w:val="clear" w:color="auto" w:fill="auto"/>
            <w:noWrap/>
            <w:vAlign w:val="bottom"/>
            <w:hideMark/>
          </w:tcPr>
          <w:p w14:paraId="633628B1" w14:textId="77777777" w:rsidR="00221DD4" w:rsidRPr="00F464FA" w:rsidRDefault="00221DD4" w:rsidP="003F5D01">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w:t>
            </w:r>
          </w:p>
        </w:tc>
        <w:tc>
          <w:tcPr>
            <w:tcW w:w="822" w:type="dxa"/>
            <w:tcBorders>
              <w:top w:val="single" w:sz="4" w:space="0" w:color="auto"/>
              <w:bottom w:val="single" w:sz="12" w:space="0" w:color="auto"/>
            </w:tcBorders>
            <w:shd w:val="clear" w:color="auto" w:fill="auto"/>
            <w:noWrap/>
            <w:vAlign w:val="bottom"/>
            <w:hideMark/>
          </w:tcPr>
          <w:p w14:paraId="2FC409B6" w14:textId="77777777" w:rsidR="00221DD4" w:rsidRPr="00F464FA" w:rsidRDefault="00221DD4" w:rsidP="003F5D01">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F</w:t>
            </w:r>
          </w:p>
        </w:tc>
        <w:tc>
          <w:tcPr>
            <w:tcW w:w="822" w:type="dxa"/>
            <w:tcBorders>
              <w:top w:val="single" w:sz="4" w:space="0" w:color="auto"/>
              <w:bottom w:val="single" w:sz="12" w:space="0" w:color="auto"/>
            </w:tcBorders>
            <w:shd w:val="clear" w:color="auto" w:fill="auto"/>
            <w:noWrap/>
            <w:vAlign w:val="bottom"/>
            <w:hideMark/>
          </w:tcPr>
          <w:p w14:paraId="0EB544D1" w14:textId="77777777" w:rsidR="00221DD4" w:rsidRPr="00F464FA" w:rsidRDefault="00221DD4" w:rsidP="003F5D01">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w:t>
            </w:r>
          </w:p>
        </w:tc>
        <w:tc>
          <w:tcPr>
            <w:tcW w:w="822" w:type="dxa"/>
            <w:tcBorders>
              <w:top w:val="single" w:sz="4" w:space="0" w:color="auto"/>
              <w:bottom w:val="single" w:sz="12" w:space="0" w:color="auto"/>
            </w:tcBorders>
            <w:shd w:val="clear" w:color="auto" w:fill="auto"/>
            <w:noWrap/>
            <w:vAlign w:val="bottom"/>
            <w:hideMark/>
          </w:tcPr>
          <w:p w14:paraId="5B1DB428" w14:textId="77777777" w:rsidR="00221DD4" w:rsidRPr="00F464FA" w:rsidRDefault="00221DD4" w:rsidP="003F5D01">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Total</w:t>
            </w:r>
          </w:p>
        </w:tc>
      </w:tr>
      <w:tr w:rsidR="003F5D01" w:rsidRPr="00F464FA" w14:paraId="4ED9D75C" w14:textId="77777777" w:rsidTr="003F5D01">
        <w:tc>
          <w:tcPr>
            <w:tcW w:w="3261" w:type="dxa"/>
            <w:tcBorders>
              <w:top w:val="single" w:sz="12" w:space="0" w:color="auto"/>
            </w:tcBorders>
            <w:shd w:val="clear" w:color="auto" w:fill="auto"/>
            <w:noWrap/>
            <w:hideMark/>
          </w:tcPr>
          <w:p w14:paraId="01A43567"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G- Principal Officer Level</w:t>
            </w:r>
          </w:p>
        </w:tc>
        <w:tc>
          <w:tcPr>
            <w:tcW w:w="821" w:type="dxa"/>
            <w:tcBorders>
              <w:top w:val="single" w:sz="12" w:space="0" w:color="auto"/>
            </w:tcBorders>
            <w:shd w:val="clear" w:color="auto" w:fill="auto"/>
            <w:noWrap/>
            <w:vAlign w:val="bottom"/>
            <w:hideMark/>
          </w:tcPr>
          <w:p w14:paraId="13A1646C" w14:textId="2CD2E321"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2916A3" w:rsidRPr="00F464FA">
              <w:rPr>
                <w:bCs/>
                <w:sz w:val="18"/>
              </w:rPr>
              <w:t xml:space="preserve"> </w:t>
            </w:r>
            <w:r w:rsidRPr="00F464FA">
              <w:rPr>
                <w:bCs/>
                <w:sz w:val="18"/>
              </w:rPr>
              <w:t>050</w:t>
            </w:r>
          </w:p>
        </w:tc>
        <w:tc>
          <w:tcPr>
            <w:tcW w:w="822" w:type="dxa"/>
            <w:tcBorders>
              <w:top w:val="single" w:sz="12" w:space="0" w:color="auto"/>
            </w:tcBorders>
            <w:shd w:val="clear" w:color="auto" w:fill="auto"/>
            <w:noWrap/>
            <w:vAlign w:val="bottom"/>
            <w:hideMark/>
          </w:tcPr>
          <w:p w14:paraId="319638F6"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70</w:t>
            </w:r>
          </w:p>
        </w:tc>
        <w:tc>
          <w:tcPr>
            <w:tcW w:w="822" w:type="dxa"/>
            <w:tcBorders>
              <w:top w:val="single" w:sz="12" w:space="0" w:color="auto"/>
            </w:tcBorders>
            <w:shd w:val="clear" w:color="auto" w:fill="auto"/>
            <w:noWrap/>
            <w:vAlign w:val="bottom"/>
            <w:hideMark/>
          </w:tcPr>
          <w:p w14:paraId="6B13FD69"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448</w:t>
            </w:r>
          </w:p>
        </w:tc>
        <w:tc>
          <w:tcPr>
            <w:tcW w:w="822" w:type="dxa"/>
            <w:tcBorders>
              <w:top w:val="single" w:sz="12" w:space="0" w:color="auto"/>
            </w:tcBorders>
            <w:shd w:val="clear" w:color="auto" w:fill="auto"/>
            <w:noWrap/>
            <w:vAlign w:val="bottom"/>
            <w:hideMark/>
          </w:tcPr>
          <w:p w14:paraId="78ED84A3"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30</w:t>
            </w:r>
          </w:p>
        </w:tc>
        <w:tc>
          <w:tcPr>
            <w:tcW w:w="822" w:type="dxa"/>
            <w:tcBorders>
              <w:top w:val="single" w:sz="12" w:space="0" w:color="auto"/>
            </w:tcBorders>
            <w:shd w:val="clear" w:color="auto" w:fill="auto"/>
            <w:noWrap/>
            <w:vAlign w:val="bottom"/>
            <w:hideMark/>
          </w:tcPr>
          <w:p w14:paraId="4B066191" w14:textId="2DD087FE"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2916A3" w:rsidRPr="00F464FA">
              <w:rPr>
                <w:bCs/>
                <w:sz w:val="18"/>
              </w:rPr>
              <w:t xml:space="preserve"> </w:t>
            </w:r>
            <w:r w:rsidRPr="00F464FA">
              <w:rPr>
                <w:bCs/>
                <w:sz w:val="18"/>
              </w:rPr>
              <w:t>498</w:t>
            </w:r>
          </w:p>
        </w:tc>
      </w:tr>
      <w:tr w:rsidR="003F5D01" w:rsidRPr="00F464FA" w14:paraId="3C8612FF" w14:textId="77777777" w:rsidTr="003F5D01">
        <w:tc>
          <w:tcPr>
            <w:tcW w:w="3261" w:type="dxa"/>
            <w:shd w:val="clear" w:color="auto" w:fill="auto"/>
            <w:noWrap/>
            <w:hideMark/>
          </w:tcPr>
          <w:p w14:paraId="1627BC8A"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H- Senior Officer Level</w:t>
            </w:r>
          </w:p>
        </w:tc>
        <w:tc>
          <w:tcPr>
            <w:tcW w:w="821" w:type="dxa"/>
            <w:shd w:val="clear" w:color="auto" w:fill="auto"/>
            <w:noWrap/>
            <w:vAlign w:val="bottom"/>
            <w:hideMark/>
          </w:tcPr>
          <w:p w14:paraId="0D78C4FD" w14:textId="31604201"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2916A3" w:rsidRPr="00F464FA">
              <w:rPr>
                <w:bCs/>
                <w:sz w:val="18"/>
              </w:rPr>
              <w:t xml:space="preserve"> </w:t>
            </w:r>
            <w:r w:rsidRPr="00F464FA">
              <w:rPr>
                <w:bCs/>
                <w:sz w:val="18"/>
              </w:rPr>
              <w:t>167</w:t>
            </w:r>
          </w:p>
        </w:tc>
        <w:tc>
          <w:tcPr>
            <w:tcW w:w="822" w:type="dxa"/>
            <w:shd w:val="clear" w:color="auto" w:fill="auto"/>
            <w:noWrap/>
            <w:vAlign w:val="bottom"/>
            <w:hideMark/>
          </w:tcPr>
          <w:p w14:paraId="6D29E2FE"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67</w:t>
            </w:r>
          </w:p>
        </w:tc>
        <w:tc>
          <w:tcPr>
            <w:tcW w:w="822" w:type="dxa"/>
            <w:shd w:val="clear" w:color="auto" w:fill="auto"/>
            <w:noWrap/>
            <w:vAlign w:val="bottom"/>
            <w:hideMark/>
          </w:tcPr>
          <w:p w14:paraId="7AF6163E"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563</w:t>
            </w:r>
          </w:p>
        </w:tc>
        <w:tc>
          <w:tcPr>
            <w:tcW w:w="822" w:type="dxa"/>
            <w:shd w:val="clear" w:color="auto" w:fill="auto"/>
            <w:noWrap/>
            <w:vAlign w:val="bottom"/>
            <w:hideMark/>
          </w:tcPr>
          <w:p w14:paraId="4DC03EFC"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33</w:t>
            </w:r>
          </w:p>
        </w:tc>
        <w:tc>
          <w:tcPr>
            <w:tcW w:w="822" w:type="dxa"/>
            <w:shd w:val="clear" w:color="auto" w:fill="auto"/>
            <w:noWrap/>
            <w:vAlign w:val="bottom"/>
            <w:hideMark/>
          </w:tcPr>
          <w:p w14:paraId="633D2A21" w14:textId="33FDE8C0"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2916A3" w:rsidRPr="00F464FA">
              <w:rPr>
                <w:bCs/>
                <w:sz w:val="18"/>
              </w:rPr>
              <w:t xml:space="preserve"> </w:t>
            </w:r>
            <w:r w:rsidRPr="00F464FA">
              <w:rPr>
                <w:bCs/>
                <w:sz w:val="18"/>
              </w:rPr>
              <w:t>730</w:t>
            </w:r>
          </w:p>
        </w:tc>
      </w:tr>
      <w:tr w:rsidR="003F5D01" w:rsidRPr="00F464FA" w14:paraId="2C0AB98B" w14:textId="77777777" w:rsidTr="003F5D01">
        <w:tc>
          <w:tcPr>
            <w:tcW w:w="3261" w:type="dxa"/>
            <w:shd w:val="clear" w:color="auto" w:fill="auto"/>
            <w:noWrap/>
            <w:hideMark/>
          </w:tcPr>
          <w:p w14:paraId="7E93A6C3"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I- Officer level</w:t>
            </w:r>
          </w:p>
        </w:tc>
        <w:tc>
          <w:tcPr>
            <w:tcW w:w="821" w:type="dxa"/>
            <w:shd w:val="clear" w:color="auto" w:fill="auto"/>
            <w:noWrap/>
            <w:vAlign w:val="bottom"/>
            <w:hideMark/>
          </w:tcPr>
          <w:p w14:paraId="017176C9" w14:textId="54D0F21C"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w:t>
            </w:r>
            <w:r w:rsidR="002916A3" w:rsidRPr="00F464FA">
              <w:rPr>
                <w:bCs/>
                <w:sz w:val="18"/>
              </w:rPr>
              <w:t xml:space="preserve"> </w:t>
            </w:r>
            <w:r w:rsidRPr="00F464FA">
              <w:rPr>
                <w:bCs/>
                <w:sz w:val="18"/>
              </w:rPr>
              <w:t>563</w:t>
            </w:r>
          </w:p>
        </w:tc>
        <w:tc>
          <w:tcPr>
            <w:tcW w:w="822" w:type="dxa"/>
            <w:shd w:val="clear" w:color="auto" w:fill="auto"/>
            <w:noWrap/>
            <w:vAlign w:val="bottom"/>
            <w:hideMark/>
          </w:tcPr>
          <w:p w14:paraId="78E6BEE1"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66</w:t>
            </w:r>
          </w:p>
        </w:tc>
        <w:tc>
          <w:tcPr>
            <w:tcW w:w="822" w:type="dxa"/>
            <w:shd w:val="clear" w:color="auto" w:fill="auto"/>
            <w:noWrap/>
            <w:vAlign w:val="bottom"/>
            <w:hideMark/>
          </w:tcPr>
          <w:p w14:paraId="4735B0FB" w14:textId="6834AFB2"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2916A3" w:rsidRPr="00F464FA">
              <w:rPr>
                <w:bCs/>
                <w:sz w:val="18"/>
              </w:rPr>
              <w:t xml:space="preserve"> </w:t>
            </w:r>
            <w:r w:rsidRPr="00F464FA">
              <w:rPr>
                <w:bCs/>
                <w:sz w:val="18"/>
              </w:rPr>
              <w:t>820</w:t>
            </w:r>
          </w:p>
        </w:tc>
        <w:tc>
          <w:tcPr>
            <w:tcW w:w="822" w:type="dxa"/>
            <w:shd w:val="clear" w:color="auto" w:fill="auto"/>
            <w:noWrap/>
            <w:vAlign w:val="bottom"/>
            <w:hideMark/>
          </w:tcPr>
          <w:p w14:paraId="71D35A22"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34</w:t>
            </w:r>
          </w:p>
        </w:tc>
        <w:tc>
          <w:tcPr>
            <w:tcW w:w="822" w:type="dxa"/>
            <w:shd w:val="clear" w:color="auto" w:fill="auto"/>
            <w:noWrap/>
            <w:vAlign w:val="bottom"/>
            <w:hideMark/>
          </w:tcPr>
          <w:p w14:paraId="5435B918" w14:textId="2ED6E08C"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8</w:t>
            </w:r>
            <w:r w:rsidR="002916A3" w:rsidRPr="00F464FA">
              <w:rPr>
                <w:bCs/>
                <w:sz w:val="18"/>
              </w:rPr>
              <w:t xml:space="preserve"> </w:t>
            </w:r>
            <w:r w:rsidRPr="00F464FA">
              <w:rPr>
                <w:bCs/>
                <w:sz w:val="18"/>
              </w:rPr>
              <w:t>383</w:t>
            </w:r>
          </w:p>
        </w:tc>
      </w:tr>
      <w:tr w:rsidR="003F5D01" w:rsidRPr="00F464FA" w14:paraId="3BFD9493" w14:textId="77777777" w:rsidTr="003F5D01">
        <w:tc>
          <w:tcPr>
            <w:tcW w:w="3261" w:type="dxa"/>
            <w:shd w:val="clear" w:color="auto" w:fill="auto"/>
            <w:noWrap/>
            <w:hideMark/>
          </w:tcPr>
          <w:p w14:paraId="327CCB96"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J- Senior Assistant Officer Level</w:t>
            </w:r>
          </w:p>
        </w:tc>
        <w:tc>
          <w:tcPr>
            <w:tcW w:w="821" w:type="dxa"/>
            <w:shd w:val="clear" w:color="auto" w:fill="auto"/>
            <w:noWrap/>
            <w:vAlign w:val="bottom"/>
            <w:hideMark/>
          </w:tcPr>
          <w:p w14:paraId="789AF4E8" w14:textId="6EE4FC8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w:t>
            </w:r>
            <w:r w:rsidR="002916A3" w:rsidRPr="00F464FA">
              <w:rPr>
                <w:bCs/>
                <w:sz w:val="18"/>
              </w:rPr>
              <w:t xml:space="preserve"> </w:t>
            </w:r>
            <w:r w:rsidRPr="00F464FA">
              <w:rPr>
                <w:bCs/>
                <w:sz w:val="18"/>
              </w:rPr>
              <w:t>520</w:t>
            </w:r>
          </w:p>
        </w:tc>
        <w:tc>
          <w:tcPr>
            <w:tcW w:w="822" w:type="dxa"/>
            <w:shd w:val="clear" w:color="auto" w:fill="auto"/>
            <w:noWrap/>
            <w:vAlign w:val="bottom"/>
            <w:hideMark/>
          </w:tcPr>
          <w:p w14:paraId="6BB26A0E"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64</w:t>
            </w:r>
          </w:p>
        </w:tc>
        <w:tc>
          <w:tcPr>
            <w:tcW w:w="822" w:type="dxa"/>
            <w:shd w:val="clear" w:color="auto" w:fill="auto"/>
            <w:noWrap/>
            <w:vAlign w:val="bottom"/>
            <w:hideMark/>
          </w:tcPr>
          <w:p w14:paraId="369B8C01" w14:textId="48451F6C"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w:t>
            </w:r>
            <w:r w:rsidR="002916A3" w:rsidRPr="00F464FA">
              <w:rPr>
                <w:bCs/>
                <w:sz w:val="18"/>
              </w:rPr>
              <w:t xml:space="preserve"> </w:t>
            </w:r>
            <w:r w:rsidRPr="00F464FA">
              <w:rPr>
                <w:bCs/>
                <w:sz w:val="18"/>
              </w:rPr>
              <w:t>275</w:t>
            </w:r>
          </w:p>
        </w:tc>
        <w:tc>
          <w:tcPr>
            <w:tcW w:w="822" w:type="dxa"/>
            <w:shd w:val="clear" w:color="auto" w:fill="auto"/>
            <w:noWrap/>
            <w:vAlign w:val="bottom"/>
            <w:hideMark/>
          </w:tcPr>
          <w:p w14:paraId="0856D204"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36</w:t>
            </w:r>
          </w:p>
        </w:tc>
        <w:tc>
          <w:tcPr>
            <w:tcW w:w="822" w:type="dxa"/>
            <w:shd w:val="clear" w:color="auto" w:fill="auto"/>
            <w:noWrap/>
            <w:vAlign w:val="bottom"/>
            <w:hideMark/>
          </w:tcPr>
          <w:p w14:paraId="05C39A28" w14:textId="047129B0"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11</w:t>
            </w:r>
            <w:r w:rsidR="002916A3" w:rsidRPr="00F464FA">
              <w:rPr>
                <w:bCs/>
                <w:sz w:val="18"/>
              </w:rPr>
              <w:t xml:space="preserve"> </w:t>
            </w:r>
            <w:r w:rsidRPr="00F464FA">
              <w:rPr>
                <w:bCs/>
                <w:sz w:val="18"/>
              </w:rPr>
              <w:t>795</w:t>
            </w:r>
          </w:p>
        </w:tc>
      </w:tr>
      <w:tr w:rsidR="003F5D01" w:rsidRPr="00F464FA" w14:paraId="77BE3069" w14:textId="77777777" w:rsidTr="003F5D01">
        <w:tc>
          <w:tcPr>
            <w:tcW w:w="3261" w:type="dxa"/>
            <w:shd w:val="clear" w:color="auto" w:fill="auto"/>
            <w:noWrap/>
            <w:hideMark/>
          </w:tcPr>
          <w:p w14:paraId="0A398D0B"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K- Assistant Officer Level</w:t>
            </w:r>
          </w:p>
        </w:tc>
        <w:tc>
          <w:tcPr>
            <w:tcW w:w="821" w:type="dxa"/>
            <w:shd w:val="clear" w:color="auto" w:fill="auto"/>
            <w:noWrap/>
            <w:vAlign w:val="bottom"/>
            <w:hideMark/>
          </w:tcPr>
          <w:p w14:paraId="5CE496F7" w14:textId="61B8B782"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15</w:t>
            </w:r>
            <w:r w:rsidR="002916A3" w:rsidRPr="00F464FA">
              <w:rPr>
                <w:bCs/>
                <w:sz w:val="18"/>
              </w:rPr>
              <w:t xml:space="preserve"> </w:t>
            </w:r>
            <w:r w:rsidRPr="00F464FA">
              <w:rPr>
                <w:bCs/>
                <w:sz w:val="18"/>
              </w:rPr>
              <w:t>074</w:t>
            </w:r>
          </w:p>
        </w:tc>
        <w:tc>
          <w:tcPr>
            <w:tcW w:w="822" w:type="dxa"/>
            <w:shd w:val="clear" w:color="auto" w:fill="auto"/>
            <w:noWrap/>
            <w:vAlign w:val="bottom"/>
            <w:hideMark/>
          </w:tcPr>
          <w:p w14:paraId="488075DE"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66</w:t>
            </w:r>
          </w:p>
        </w:tc>
        <w:tc>
          <w:tcPr>
            <w:tcW w:w="822" w:type="dxa"/>
            <w:shd w:val="clear" w:color="auto" w:fill="auto"/>
            <w:noWrap/>
            <w:vAlign w:val="bottom"/>
            <w:hideMark/>
          </w:tcPr>
          <w:p w14:paraId="0336B452" w14:textId="1ED35152"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w:t>
            </w:r>
            <w:r w:rsidR="002916A3" w:rsidRPr="00F464FA">
              <w:rPr>
                <w:bCs/>
                <w:sz w:val="18"/>
              </w:rPr>
              <w:t xml:space="preserve"> </w:t>
            </w:r>
            <w:r w:rsidRPr="00F464FA">
              <w:rPr>
                <w:bCs/>
                <w:sz w:val="18"/>
              </w:rPr>
              <w:t>792</w:t>
            </w:r>
          </w:p>
        </w:tc>
        <w:tc>
          <w:tcPr>
            <w:tcW w:w="822" w:type="dxa"/>
            <w:shd w:val="clear" w:color="auto" w:fill="auto"/>
            <w:noWrap/>
            <w:vAlign w:val="bottom"/>
            <w:hideMark/>
          </w:tcPr>
          <w:p w14:paraId="64B06C21"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34</w:t>
            </w:r>
          </w:p>
        </w:tc>
        <w:tc>
          <w:tcPr>
            <w:tcW w:w="822" w:type="dxa"/>
            <w:shd w:val="clear" w:color="auto" w:fill="auto"/>
            <w:noWrap/>
            <w:vAlign w:val="bottom"/>
            <w:hideMark/>
          </w:tcPr>
          <w:p w14:paraId="5F310CA0" w14:textId="0458FBB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22</w:t>
            </w:r>
            <w:r w:rsidR="002916A3" w:rsidRPr="00F464FA">
              <w:rPr>
                <w:bCs/>
                <w:sz w:val="18"/>
              </w:rPr>
              <w:t xml:space="preserve"> </w:t>
            </w:r>
            <w:r w:rsidRPr="00F464FA">
              <w:rPr>
                <w:bCs/>
                <w:sz w:val="18"/>
              </w:rPr>
              <w:t>866</w:t>
            </w:r>
          </w:p>
        </w:tc>
      </w:tr>
      <w:tr w:rsidR="003F5D01" w:rsidRPr="00F464FA" w14:paraId="1F146D81" w14:textId="77777777" w:rsidTr="003F5D01">
        <w:tc>
          <w:tcPr>
            <w:tcW w:w="3261" w:type="dxa"/>
            <w:shd w:val="clear" w:color="auto" w:fill="auto"/>
            <w:noWrap/>
            <w:hideMark/>
          </w:tcPr>
          <w:p w14:paraId="565427A0"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L- Senior Clerical Officer Level</w:t>
            </w:r>
          </w:p>
        </w:tc>
        <w:tc>
          <w:tcPr>
            <w:tcW w:w="821" w:type="dxa"/>
            <w:shd w:val="clear" w:color="auto" w:fill="auto"/>
            <w:noWrap/>
            <w:vAlign w:val="bottom"/>
            <w:hideMark/>
          </w:tcPr>
          <w:p w14:paraId="75810C26" w14:textId="0664E8CC"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30</w:t>
            </w:r>
            <w:r w:rsidR="002916A3" w:rsidRPr="00F464FA">
              <w:rPr>
                <w:bCs/>
                <w:sz w:val="18"/>
              </w:rPr>
              <w:t xml:space="preserve"> </w:t>
            </w:r>
            <w:r w:rsidRPr="00F464FA">
              <w:rPr>
                <w:bCs/>
                <w:sz w:val="18"/>
              </w:rPr>
              <w:t>222</w:t>
            </w:r>
          </w:p>
        </w:tc>
        <w:tc>
          <w:tcPr>
            <w:tcW w:w="822" w:type="dxa"/>
            <w:shd w:val="clear" w:color="auto" w:fill="auto"/>
            <w:noWrap/>
            <w:vAlign w:val="bottom"/>
            <w:hideMark/>
          </w:tcPr>
          <w:p w14:paraId="72BC04A3"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58</w:t>
            </w:r>
          </w:p>
        </w:tc>
        <w:tc>
          <w:tcPr>
            <w:tcW w:w="822" w:type="dxa"/>
            <w:shd w:val="clear" w:color="auto" w:fill="auto"/>
            <w:noWrap/>
            <w:vAlign w:val="bottom"/>
            <w:hideMark/>
          </w:tcPr>
          <w:p w14:paraId="320AE4B7" w14:textId="2BE37D86"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21</w:t>
            </w:r>
            <w:r w:rsidR="002916A3" w:rsidRPr="00F464FA">
              <w:rPr>
                <w:bCs/>
                <w:sz w:val="18"/>
              </w:rPr>
              <w:t xml:space="preserve"> </w:t>
            </w:r>
            <w:r w:rsidRPr="00F464FA">
              <w:rPr>
                <w:bCs/>
                <w:sz w:val="18"/>
              </w:rPr>
              <w:t>628</w:t>
            </w:r>
          </w:p>
        </w:tc>
        <w:tc>
          <w:tcPr>
            <w:tcW w:w="822" w:type="dxa"/>
            <w:shd w:val="clear" w:color="auto" w:fill="auto"/>
            <w:noWrap/>
            <w:vAlign w:val="bottom"/>
            <w:hideMark/>
          </w:tcPr>
          <w:p w14:paraId="66F511ED"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42</w:t>
            </w:r>
          </w:p>
        </w:tc>
        <w:tc>
          <w:tcPr>
            <w:tcW w:w="822" w:type="dxa"/>
            <w:shd w:val="clear" w:color="auto" w:fill="auto"/>
            <w:noWrap/>
            <w:vAlign w:val="bottom"/>
            <w:hideMark/>
          </w:tcPr>
          <w:p w14:paraId="62BD9BF2" w14:textId="64BD467D"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51</w:t>
            </w:r>
            <w:r w:rsidR="002916A3" w:rsidRPr="00F464FA">
              <w:rPr>
                <w:bCs/>
                <w:sz w:val="18"/>
              </w:rPr>
              <w:t xml:space="preserve"> </w:t>
            </w:r>
            <w:r w:rsidRPr="00F464FA">
              <w:rPr>
                <w:bCs/>
                <w:sz w:val="18"/>
              </w:rPr>
              <w:t>850</w:t>
            </w:r>
          </w:p>
        </w:tc>
      </w:tr>
      <w:tr w:rsidR="003F5D01" w:rsidRPr="00F464FA" w14:paraId="72EA40D6" w14:textId="77777777" w:rsidTr="003F5D01">
        <w:tc>
          <w:tcPr>
            <w:tcW w:w="3261" w:type="dxa"/>
            <w:shd w:val="clear" w:color="auto" w:fill="auto"/>
            <w:noWrap/>
            <w:hideMark/>
          </w:tcPr>
          <w:p w14:paraId="6DB9B87D"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M- Clerical Officer Level</w:t>
            </w:r>
          </w:p>
        </w:tc>
        <w:tc>
          <w:tcPr>
            <w:tcW w:w="821" w:type="dxa"/>
            <w:shd w:val="clear" w:color="auto" w:fill="auto"/>
            <w:noWrap/>
            <w:vAlign w:val="bottom"/>
            <w:hideMark/>
          </w:tcPr>
          <w:p w14:paraId="08E79052" w14:textId="6843832B"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8</w:t>
            </w:r>
            <w:r w:rsidR="002916A3" w:rsidRPr="00F464FA">
              <w:rPr>
                <w:bCs/>
                <w:sz w:val="18"/>
              </w:rPr>
              <w:t xml:space="preserve"> </w:t>
            </w:r>
            <w:r w:rsidRPr="00F464FA">
              <w:rPr>
                <w:bCs/>
                <w:sz w:val="18"/>
              </w:rPr>
              <w:t>669</w:t>
            </w:r>
          </w:p>
        </w:tc>
        <w:tc>
          <w:tcPr>
            <w:tcW w:w="822" w:type="dxa"/>
            <w:shd w:val="clear" w:color="auto" w:fill="auto"/>
            <w:noWrap/>
            <w:vAlign w:val="bottom"/>
            <w:hideMark/>
          </w:tcPr>
          <w:p w14:paraId="36984579"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60</w:t>
            </w:r>
          </w:p>
        </w:tc>
        <w:tc>
          <w:tcPr>
            <w:tcW w:w="822" w:type="dxa"/>
            <w:shd w:val="clear" w:color="auto" w:fill="auto"/>
            <w:noWrap/>
            <w:vAlign w:val="bottom"/>
            <w:hideMark/>
          </w:tcPr>
          <w:p w14:paraId="0AAE08D4" w14:textId="51534323"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w:t>
            </w:r>
            <w:r w:rsidR="002916A3" w:rsidRPr="00F464FA">
              <w:rPr>
                <w:bCs/>
                <w:sz w:val="18"/>
              </w:rPr>
              <w:t xml:space="preserve"> </w:t>
            </w:r>
            <w:r w:rsidRPr="00F464FA">
              <w:rPr>
                <w:bCs/>
                <w:sz w:val="18"/>
              </w:rPr>
              <w:t>748</w:t>
            </w:r>
          </w:p>
        </w:tc>
        <w:tc>
          <w:tcPr>
            <w:tcW w:w="822" w:type="dxa"/>
            <w:shd w:val="clear" w:color="auto" w:fill="auto"/>
            <w:noWrap/>
            <w:vAlign w:val="bottom"/>
            <w:hideMark/>
          </w:tcPr>
          <w:p w14:paraId="519566A2"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40</w:t>
            </w:r>
          </w:p>
        </w:tc>
        <w:tc>
          <w:tcPr>
            <w:tcW w:w="822" w:type="dxa"/>
            <w:shd w:val="clear" w:color="auto" w:fill="auto"/>
            <w:noWrap/>
            <w:vAlign w:val="bottom"/>
            <w:hideMark/>
          </w:tcPr>
          <w:p w14:paraId="6B8F48D7" w14:textId="4C460D4A"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14</w:t>
            </w:r>
            <w:r w:rsidR="002916A3" w:rsidRPr="00F464FA">
              <w:rPr>
                <w:bCs/>
                <w:sz w:val="18"/>
              </w:rPr>
              <w:t xml:space="preserve"> </w:t>
            </w:r>
            <w:r w:rsidRPr="00F464FA">
              <w:rPr>
                <w:bCs/>
                <w:sz w:val="18"/>
              </w:rPr>
              <w:t>417</w:t>
            </w:r>
          </w:p>
        </w:tc>
      </w:tr>
      <w:tr w:rsidR="003F5D01" w:rsidRPr="00F464FA" w14:paraId="0725C43F" w14:textId="77777777" w:rsidTr="003F5D01">
        <w:tc>
          <w:tcPr>
            <w:tcW w:w="3261" w:type="dxa"/>
            <w:shd w:val="clear" w:color="auto" w:fill="auto"/>
            <w:noWrap/>
            <w:hideMark/>
          </w:tcPr>
          <w:p w14:paraId="1FC63EC4"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N- Driver Level</w:t>
            </w:r>
          </w:p>
        </w:tc>
        <w:tc>
          <w:tcPr>
            <w:tcW w:w="821" w:type="dxa"/>
            <w:shd w:val="clear" w:color="auto" w:fill="auto"/>
            <w:noWrap/>
            <w:vAlign w:val="bottom"/>
            <w:hideMark/>
          </w:tcPr>
          <w:p w14:paraId="1362A3C5" w14:textId="010BF725"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2916A3" w:rsidRPr="00F464FA">
              <w:rPr>
                <w:bCs/>
                <w:sz w:val="18"/>
              </w:rPr>
              <w:t xml:space="preserve"> </w:t>
            </w:r>
            <w:r w:rsidRPr="00F464FA">
              <w:rPr>
                <w:bCs/>
                <w:sz w:val="18"/>
              </w:rPr>
              <w:t>526</w:t>
            </w:r>
          </w:p>
        </w:tc>
        <w:tc>
          <w:tcPr>
            <w:tcW w:w="822" w:type="dxa"/>
            <w:shd w:val="clear" w:color="auto" w:fill="auto"/>
            <w:noWrap/>
            <w:vAlign w:val="bottom"/>
            <w:hideMark/>
          </w:tcPr>
          <w:p w14:paraId="4A3189BE"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84</w:t>
            </w:r>
          </w:p>
        </w:tc>
        <w:tc>
          <w:tcPr>
            <w:tcW w:w="822" w:type="dxa"/>
            <w:shd w:val="clear" w:color="auto" w:fill="auto"/>
            <w:noWrap/>
            <w:vAlign w:val="bottom"/>
            <w:hideMark/>
          </w:tcPr>
          <w:p w14:paraId="697E1B4F"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474</w:t>
            </w:r>
          </w:p>
        </w:tc>
        <w:tc>
          <w:tcPr>
            <w:tcW w:w="822" w:type="dxa"/>
            <w:shd w:val="clear" w:color="auto" w:fill="auto"/>
            <w:noWrap/>
            <w:vAlign w:val="bottom"/>
            <w:hideMark/>
          </w:tcPr>
          <w:p w14:paraId="25EA8503"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16</w:t>
            </w:r>
          </w:p>
        </w:tc>
        <w:tc>
          <w:tcPr>
            <w:tcW w:w="822" w:type="dxa"/>
            <w:shd w:val="clear" w:color="auto" w:fill="auto"/>
            <w:noWrap/>
            <w:vAlign w:val="bottom"/>
            <w:hideMark/>
          </w:tcPr>
          <w:p w14:paraId="30FD795D" w14:textId="3678AE98"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r w:rsidR="002916A3" w:rsidRPr="00F464FA">
              <w:rPr>
                <w:bCs/>
                <w:sz w:val="18"/>
              </w:rPr>
              <w:t xml:space="preserve"> </w:t>
            </w:r>
            <w:r w:rsidRPr="00F464FA">
              <w:rPr>
                <w:bCs/>
                <w:sz w:val="18"/>
              </w:rPr>
              <w:t>000</w:t>
            </w:r>
          </w:p>
        </w:tc>
      </w:tr>
      <w:tr w:rsidR="003F5D01" w:rsidRPr="00F464FA" w14:paraId="06C029F8" w14:textId="77777777" w:rsidTr="003F5D01">
        <w:tc>
          <w:tcPr>
            <w:tcW w:w="3261" w:type="dxa"/>
            <w:shd w:val="clear" w:color="auto" w:fill="auto"/>
            <w:noWrap/>
            <w:hideMark/>
          </w:tcPr>
          <w:p w14:paraId="4EE66819"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O- Head Messenger/ Security Guard Level</w:t>
            </w:r>
          </w:p>
        </w:tc>
        <w:tc>
          <w:tcPr>
            <w:tcW w:w="821" w:type="dxa"/>
            <w:shd w:val="clear" w:color="auto" w:fill="auto"/>
            <w:noWrap/>
            <w:vAlign w:val="bottom"/>
            <w:hideMark/>
          </w:tcPr>
          <w:p w14:paraId="78345E4C" w14:textId="4314F6D8"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2916A3" w:rsidRPr="00F464FA">
              <w:rPr>
                <w:bCs/>
                <w:sz w:val="18"/>
              </w:rPr>
              <w:t xml:space="preserve"> </w:t>
            </w:r>
            <w:r w:rsidRPr="00F464FA">
              <w:rPr>
                <w:bCs/>
                <w:sz w:val="18"/>
              </w:rPr>
              <w:t>188</w:t>
            </w:r>
          </w:p>
        </w:tc>
        <w:tc>
          <w:tcPr>
            <w:tcW w:w="822" w:type="dxa"/>
            <w:shd w:val="clear" w:color="auto" w:fill="auto"/>
            <w:noWrap/>
            <w:vAlign w:val="bottom"/>
            <w:hideMark/>
          </w:tcPr>
          <w:p w14:paraId="0C1273F0"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64</w:t>
            </w:r>
          </w:p>
        </w:tc>
        <w:tc>
          <w:tcPr>
            <w:tcW w:w="822" w:type="dxa"/>
            <w:shd w:val="clear" w:color="auto" w:fill="auto"/>
            <w:noWrap/>
            <w:vAlign w:val="bottom"/>
            <w:hideMark/>
          </w:tcPr>
          <w:p w14:paraId="3AF66813" w14:textId="02437E2B"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2916A3" w:rsidRPr="00F464FA">
              <w:rPr>
                <w:bCs/>
                <w:sz w:val="18"/>
              </w:rPr>
              <w:t xml:space="preserve"> </w:t>
            </w:r>
            <w:r w:rsidRPr="00F464FA">
              <w:rPr>
                <w:bCs/>
                <w:sz w:val="18"/>
              </w:rPr>
              <w:t>245</w:t>
            </w:r>
          </w:p>
        </w:tc>
        <w:tc>
          <w:tcPr>
            <w:tcW w:w="822" w:type="dxa"/>
            <w:shd w:val="clear" w:color="auto" w:fill="auto"/>
            <w:noWrap/>
            <w:vAlign w:val="bottom"/>
            <w:hideMark/>
          </w:tcPr>
          <w:p w14:paraId="1A0368FC"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36</w:t>
            </w:r>
          </w:p>
        </w:tc>
        <w:tc>
          <w:tcPr>
            <w:tcW w:w="822" w:type="dxa"/>
            <w:shd w:val="clear" w:color="auto" w:fill="auto"/>
            <w:noWrap/>
            <w:vAlign w:val="bottom"/>
            <w:hideMark/>
          </w:tcPr>
          <w:p w14:paraId="0FDF5B59" w14:textId="4ECEC779"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r w:rsidR="002916A3" w:rsidRPr="00F464FA">
              <w:rPr>
                <w:bCs/>
                <w:sz w:val="18"/>
              </w:rPr>
              <w:t xml:space="preserve"> </w:t>
            </w:r>
            <w:r w:rsidRPr="00F464FA">
              <w:rPr>
                <w:bCs/>
                <w:sz w:val="18"/>
              </w:rPr>
              <w:t>433</w:t>
            </w:r>
          </w:p>
        </w:tc>
      </w:tr>
      <w:tr w:rsidR="003F5D01" w:rsidRPr="00F464FA" w14:paraId="62DFC6C6" w14:textId="77777777" w:rsidTr="003F5D01">
        <w:tc>
          <w:tcPr>
            <w:tcW w:w="3261" w:type="dxa"/>
            <w:shd w:val="clear" w:color="auto" w:fill="auto"/>
            <w:noWrap/>
            <w:hideMark/>
          </w:tcPr>
          <w:p w14:paraId="1516D142"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P- Messenger/ Security Guard Level</w:t>
            </w:r>
          </w:p>
        </w:tc>
        <w:tc>
          <w:tcPr>
            <w:tcW w:w="821" w:type="dxa"/>
            <w:shd w:val="clear" w:color="auto" w:fill="auto"/>
            <w:noWrap/>
            <w:vAlign w:val="bottom"/>
            <w:hideMark/>
          </w:tcPr>
          <w:p w14:paraId="2766935D" w14:textId="164EA359"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w:t>
            </w:r>
            <w:r w:rsidR="002916A3" w:rsidRPr="00F464FA">
              <w:rPr>
                <w:bCs/>
                <w:sz w:val="18"/>
              </w:rPr>
              <w:t xml:space="preserve"> </w:t>
            </w:r>
            <w:r w:rsidRPr="00F464FA">
              <w:rPr>
                <w:bCs/>
                <w:sz w:val="18"/>
              </w:rPr>
              <w:t>528</w:t>
            </w:r>
          </w:p>
        </w:tc>
        <w:tc>
          <w:tcPr>
            <w:tcW w:w="822" w:type="dxa"/>
            <w:shd w:val="clear" w:color="auto" w:fill="auto"/>
            <w:noWrap/>
            <w:vAlign w:val="bottom"/>
            <w:hideMark/>
          </w:tcPr>
          <w:p w14:paraId="25302E14"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63</w:t>
            </w:r>
          </w:p>
        </w:tc>
        <w:tc>
          <w:tcPr>
            <w:tcW w:w="822" w:type="dxa"/>
            <w:shd w:val="clear" w:color="auto" w:fill="auto"/>
            <w:noWrap/>
            <w:vAlign w:val="bottom"/>
            <w:hideMark/>
          </w:tcPr>
          <w:p w14:paraId="44648032" w14:textId="724BF309"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2916A3" w:rsidRPr="00F464FA">
              <w:rPr>
                <w:bCs/>
                <w:sz w:val="18"/>
              </w:rPr>
              <w:t xml:space="preserve"> </w:t>
            </w:r>
            <w:r w:rsidRPr="00F464FA">
              <w:rPr>
                <w:bCs/>
                <w:sz w:val="18"/>
              </w:rPr>
              <w:t>614</w:t>
            </w:r>
          </w:p>
        </w:tc>
        <w:tc>
          <w:tcPr>
            <w:tcW w:w="822" w:type="dxa"/>
            <w:shd w:val="clear" w:color="auto" w:fill="auto"/>
            <w:noWrap/>
            <w:vAlign w:val="bottom"/>
            <w:hideMark/>
          </w:tcPr>
          <w:p w14:paraId="5E96CA37"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37</w:t>
            </w:r>
          </w:p>
        </w:tc>
        <w:tc>
          <w:tcPr>
            <w:tcW w:w="822" w:type="dxa"/>
            <w:shd w:val="clear" w:color="auto" w:fill="auto"/>
            <w:noWrap/>
            <w:vAlign w:val="bottom"/>
            <w:hideMark/>
          </w:tcPr>
          <w:p w14:paraId="59D887D4" w14:textId="6DC74705"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w:t>
            </w:r>
            <w:r w:rsidR="002916A3" w:rsidRPr="00F464FA">
              <w:rPr>
                <w:bCs/>
                <w:sz w:val="18"/>
              </w:rPr>
              <w:t xml:space="preserve"> </w:t>
            </w:r>
            <w:r w:rsidRPr="00F464FA">
              <w:rPr>
                <w:bCs/>
                <w:sz w:val="18"/>
              </w:rPr>
              <w:t>142</w:t>
            </w:r>
          </w:p>
        </w:tc>
      </w:tr>
      <w:tr w:rsidR="003F5D01" w:rsidRPr="00F464FA" w14:paraId="29D66DB1" w14:textId="77777777" w:rsidTr="003F5D01">
        <w:tc>
          <w:tcPr>
            <w:tcW w:w="3261" w:type="dxa"/>
            <w:shd w:val="clear" w:color="auto" w:fill="auto"/>
            <w:noWrap/>
            <w:hideMark/>
          </w:tcPr>
          <w:p w14:paraId="3DD99650"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Q- Cook/Gardner Level</w:t>
            </w:r>
          </w:p>
        </w:tc>
        <w:tc>
          <w:tcPr>
            <w:tcW w:w="821" w:type="dxa"/>
            <w:shd w:val="clear" w:color="auto" w:fill="auto"/>
            <w:noWrap/>
            <w:vAlign w:val="bottom"/>
            <w:hideMark/>
          </w:tcPr>
          <w:p w14:paraId="5F68429E"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964</w:t>
            </w:r>
          </w:p>
        </w:tc>
        <w:tc>
          <w:tcPr>
            <w:tcW w:w="822" w:type="dxa"/>
            <w:shd w:val="clear" w:color="auto" w:fill="auto"/>
            <w:noWrap/>
            <w:vAlign w:val="bottom"/>
            <w:hideMark/>
          </w:tcPr>
          <w:p w14:paraId="3DD09325"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82</w:t>
            </w:r>
          </w:p>
        </w:tc>
        <w:tc>
          <w:tcPr>
            <w:tcW w:w="822" w:type="dxa"/>
            <w:shd w:val="clear" w:color="auto" w:fill="auto"/>
            <w:noWrap/>
            <w:vAlign w:val="bottom"/>
            <w:hideMark/>
          </w:tcPr>
          <w:p w14:paraId="05A9D3ED"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209</w:t>
            </w:r>
          </w:p>
        </w:tc>
        <w:tc>
          <w:tcPr>
            <w:tcW w:w="822" w:type="dxa"/>
            <w:shd w:val="clear" w:color="auto" w:fill="auto"/>
            <w:noWrap/>
            <w:vAlign w:val="bottom"/>
            <w:hideMark/>
          </w:tcPr>
          <w:p w14:paraId="5F33EAA3"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18</w:t>
            </w:r>
          </w:p>
        </w:tc>
        <w:tc>
          <w:tcPr>
            <w:tcW w:w="822" w:type="dxa"/>
            <w:shd w:val="clear" w:color="auto" w:fill="auto"/>
            <w:noWrap/>
            <w:vAlign w:val="bottom"/>
            <w:hideMark/>
          </w:tcPr>
          <w:p w14:paraId="65BD4A40" w14:textId="10FC7165"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2916A3" w:rsidRPr="00F464FA">
              <w:rPr>
                <w:bCs/>
                <w:sz w:val="18"/>
              </w:rPr>
              <w:t xml:space="preserve"> </w:t>
            </w:r>
            <w:r w:rsidRPr="00F464FA">
              <w:rPr>
                <w:bCs/>
                <w:sz w:val="18"/>
              </w:rPr>
              <w:t>173</w:t>
            </w:r>
          </w:p>
        </w:tc>
      </w:tr>
      <w:tr w:rsidR="003F5D01" w:rsidRPr="00F464FA" w14:paraId="3D65E2FF" w14:textId="77777777" w:rsidTr="00A915B7">
        <w:tc>
          <w:tcPr>
            <w:tcW w:w="3261" w:type="dxa"/>
            <w:tcBorders>
              <w:bottom w:val="single" w:sz="4" w:space="0" w:color="auto"/>
            </w:tcBorders>
            <w:shd w:val="clear" w:color="auto" w:fill="auto"/>
            <w:noWrap/>
            <w:hideMark/>
          </w:tcPr>
          <w:p w14:paraId="223ADD1E"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R- Ground Labour Level</w:t>
            </w:r>
          </w:p>
        </w:tc>
        <w:tc>
          <w:tcPr>
            <w:tcW w:w="821" w:type="dxa"/>
            <w:tcBorders>
              <w:bottom w:val="single" w:sz="4" w:space="0" w:color="auto"/>
            </w:tcBorders>
            <w:shd w:val="clear" w:color="auto" w:fill="auto"/>
            <w:noWrap/>
            <w:vAlign w:val="bottom"/>
            <w:hideMark/>
          </w:tcPr>
          <w:p w14:paraId="47419C1E" w14:textId="61DD5B55"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2916A3" w:rsidRPr="00F464FA">
              <w:rPr>
                <w:bCs/>
                <w:sz w:val="18"/>
              </w:rPr>
              <w:t xml:space="preserve"> </w:t>
            </w:r>
            <w:r w:rsidRPr="00F464FA">
              <w:rPr>
                <w:bCs/>
                <w:sz w:val="18"/>
              </w:rPr>
              <w:t>056</w:t>
            </w:r>
          </w:p>
        </w:tc>
        <w:tc>
          <w:tcPr>
            <w:tcW w:w="822" w:type="dxa"/>
            <w:tcBorders>
              <w:bottom w:val="single" w:sz="4" w:space="0" w:color="auto"/>
            </w:tcBorders>
            <w:shd w:val="clear" w:color="auto" w:fill="auto"/>
            <w:noWrap/>
            <w:vAlign w:val="bottom"/>
            <w:hideMark/>
          </w:tcPr>
          <w:p w14:paraId="3B0F0B08"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79</w:t>
            </w:r>
          </w:p>
        </w:tc>
        <w:tc>
          <w:tcPr>
            <w:tcW w:w="822" w:type="dxa"/>
            <w:tcBorders>
              <w:bottom w:val="single" w:sz="4" w:space="0" w:color="auto"/>
            </w:tcBorders>
            <w:shd w:val="clear" w:color="auto" w:fill="auto"/>
            <w:noWrap/>
            <w:vAlign w:val="bottom"/>
            <w:hideMark/>
          </w:tcPr>
          <w:p w14:paraId="4B270D78"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532</w:t>
            </w:r>
          </w:p>
        </w:tc>
        <w:tc>
          <w:tcPr>
            <w:tcW w:w="822" w:type="dxa"/>
            <w:tcBorders>
              <w:bottom w:val="single" w:sz="4" w:space="0" w:color="auto"/>
            </w:tcBorders>
            <w:shd w:val="clear" w:color="auto" w:fill="auto"/>
            <w:noWrap/>
            <w:vAlign w:val="bottom"/>
            <w:hideMark/>
          </w:tcPr>
          <w:p w14:paraId="343C8D16" w14:textId="77777777"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21</w:t>
            </w:r>
          </w:p>
        </w:tc>
        <w:tc>
          <w:tcPr>
            <w:tcW w:w="822" w:type="dxa"/>
            <w:tcBorders>
              <w:bottom w:val="single" w:sz="4" w:space="0" w:color="auto"/>
            </w:tcBorders>
            <w:shd w:val="clear" w:color="auto" w:fill="auto"/>
            <w:noWrap/>
            <w:vAlign w:val="bottom"/>
            <w:hideMark/>
          </w:tcPr>
          <w:p w14:paraId="11FD4C54" w14:textId="3F96FCCB" w:rsidR="00221DD4" w:rsidRPr="00F464FA" w:rsidRDefault="00221DD4" w:rsidP="003F5D01">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2916A3" w:rsidRPr="00F464FA">
              <w:rPr>
                <w:bCs/>
                <w:sz w:val="18"/>
              </w:rPr>
              <w:t xml:space="preserve"> </w:t>
            </w:r>
            <w:r w:rsidRPr="00F464FA">
              <w:rPr>
                <w:bCs/>
                <w:sz w:val="18"/>
              </w:rPr>
              <w:t>588</w:t>
            </w:r>
          </w:p>
        </w:tc>
      </w:tr>
      <w:tr w:rsidR="003F5D01" w:rsidRPr="00F464FA" w14:paraId="47D26851" w14:textId="77777777" w:rsidTr="00A915B7">
        <w:tc>
          <w:tcPr>
            <w:tcW w:w="3261" w:type="dxa"/>
            <w:tcBorders>
              <w:top w:val="single" w:sz="4" w:space="0" w:color="auto"/>
            </w:tcBorders>
            <w:shd w:val="clear" w:color="auto" w:fill="auto"/>
            <w:noWrap/>
            <w:hideMark/>
          </w:tcPr>
          <w:p w14:paraId="08C2181F" w14:textId="77777777" w:rsidR="00221DD4" w:rsidRPr="00F464FA" w:rsidRDefault="00221DD4" w:rsidP="00A915B7">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Total</w:t>
            </w:r>
          </w:p>
        </w:tc>
        <w:tc>
          <w:tcPr>
            <w:tcW w:w="821" w:type="dxa"/>
            <w:tcBorders>
              <w:top w:val="single" w:sz="4" w:space="0" w:color="auto"/>
            </w:tcBorders>
            <w:shd w:val="clear" w:color="auto" w:fill="auto"/>
            <w:noWrap/>
            <w:vAlign w:val="bottom"/>
            <w:hideMark/>
          </w:tcPr>
          <w:p w14:paraId="19241BAE" w14:textId="0405A918" w:rsidR="00221DD4" w:rsidRPr="00F464FA" w:rsidRDefault="00221DD4" w:rsidP="00A915B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81</w:t>
            </w:r>
            <w:r w:rsidR="002916A3" w:rsidRPr="00F464FA">
              <w:rPr>
                <w:b/>
                <w:bCs/>
                <w:sz w:val="18"/>
              </w:rPr>
              <w:t xml:space="preserve"> </w:t>
            </w:r>
            <w:r w:rsidRPr="00F464FA">
              <w:rPr>
                <w:b/>
                <w:bCs/>
                <w:sz w:val="18"/>
              </w:rPr>
              <w:t>527</w:t>
            </w:r>
          </w:p>
        </w:tc>
        <w:tc>
          <w:tcPr>
            <w:tcW w:w="822" w:type="dxa"/>
            <w:tcBorders>
              <w:top w:val="single" w:sz="4" w:space="0" w:color="auto"/>
            </w:tcBorders>
            <w:shd w:val="clear" w:color="auto" w:fill="auto"/>
            <w:noWrap/>
            <w:vAlign w:val="bottom"/>
            <w:hideMark/>
          </w:tcPr>
          <w:p w14:paraId="1946A174" w14:textId="77777777" w:rsidR="00221DD4" w:rsidRPr="00F464FA" w:rsidRDefault="00221DD4" w:rsidP="00A915B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63</w:t>
            </w:r>
          </w:p>
        </w:tc>
        <w:tc>
          <w:tcPr>
            <w:tcW w:w="822" w:type="dxa"/>
            <w:tcBorders>
              <w:top w:val="single" w:sz="4" w:space="0" w:color="auto"/>
            </w:tcBorders>
            <w:shd w:val="clear" w:color="auto" w:fill="auto"/>
            <w:noWrap/>
            <w:vAlign w:val="bottom"/>
            <w:hideMark/>
          </w:tcPr>
          <w:p w14:paraId="45AC9E4E" w14:textId="66B7A20C" w:rsidR="00221DD4" w:rsidRPr="00F464FA" w:rsidRDefault="00221DD4" w:rsidP="00A915B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48</w:t>
            </w:r>
            <w:r w:rsidR="002916A3" w:rsidRPr="00F464FA">
              <w:rPr>
                <w:b/>
                <w:bCs/>
                <w:sz w:val="18"/>
              </w:rPr>
              <w:t xml:space="preserve"> </w:t>
            </w:r>
            <w:r w:rsidRPr="00F464FA">
              <w:rPr>
                <w:b/>
                <w:bCs/>
                <w:sz w:val="18"/>
              </w:rPr>
              <w:t>348</w:t>
            </w:r>
          </w:p>
        </w:tc>
        <w:tc>
          <w:tcPr>
            <w:tcW w:w="822" w:type="dxa"/>
            <w:tcBorders>
              <w:top w:val="single" w:sz="4" w:space="0" w:color="auto"/>
            </w:tcBorders>
            <w:shd w:val="clear" w:color="auto" w:fill="auto"/>
            <w:noWrap/>
            <w:vAlign w:val="bottom"/>
            <w:hideMark/>
          </w:tcPr>
          <w:p w14:paraId="0A41F4E6" w14:textId="77777777" w:rsidR="00221DD4" w:rsidRPr="00F464FA" w:rsidRDefault="00221DD4" w:rsidP="00A915B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37</w:t>
            </w:r>
          </w:p>
        </w:tc>
        <w:tc>
          <w:tcPr>
            <w:tcW w:w="822" w:type="dxa"/>
            <w:tcBorders>
              <w:top w:val="single" w:sz="4" w:space="0" w:color="auto"/>
            </w:tcBorders>
            <w:shd w:val="clear" w:color="auto" w:fill="auto"/>
            <w:noWrap/>
            <w:vAlign w:val="bottom"/>
            <w:hideMark/>
          </w:tcPr>
          <w:p w14:paraId="1F5CD7E0" w14:textId="1E6CCE11" w:rsidR="00221DD4" w:rsidRPr="00F464FA" w:rsidRDefault="00221DD4" w:rsidP="00A915B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129</w:t>
            </w:r>
            <w:r w:rsidR="002916A3" w:rsidRPr="00F464FA">
              <w:rPr>
                <w:b/>
                <w:bCs/>
                <w:sz w:val="18"/>
              </w:rPr>
              <w:t xml:space="preserve"> </w:t>
            </w:r>
            <w:r w:rsidRPr="00F464FA">
              <w:rPr>
                <w:b/>
                <w:bCs/>
                <w:sz w:val="18"/>
              </w:rPr>
              <w:t>875</w:t>
            </w:r>
          </w:p>
        </w:tc>
      </w:tr>
    </w:tbl>
    <w:p w14:paraId="6DF8D140" w14:textId="2FEED258" w:rsidR="00221DD4" w:rsidRPr="00F464FA" w:rsidRDefault="00221DD4" w:rsidP="00A86F68">
      <w:pPr>
        <w:spacing w:before="120"/>
        <w:ind w:left="1134" w:right="1134" w:firstLine="170"/>
        <w:rPr>
          <w:sz w:val="18"/>
        </w:rPr>
      </w:pPr>
      <w:bookmarkStart w:id="7" w:name="_Hlk63780340"/>
      <w:r w:rsidRPr="00F464FA">
        <w:rPr>
          <w:i/>
          <w:iCs/>
          <w:sz w:val="18"/>
        </w:rPr>
        <w:t>Source:</w:t>
      </w:r>
      <w:r w:rsidRPr="00F464FA">
        <w:rPr>
          <w:sz w:val="18"/>
        </w:rPr>
        <w:t xml:space="preserve"> Department of Human Resource Management and Development</w:t>
      </w:r>
      <w:r w:rsidR="00A86F68" w:rsidRPr="00F464FA">
        <w:rPr>
          <w:sz w:val="18"/>
        </w:rPr>
        <w:t>.</w:t>
      </w:r>
    </w:p>
    <w:p w14:paraId="7D807EAE" w14:textId="75B148EC" w:rsidR="00221DD4" w:rsidRPr="00F464FA" w:rsidRDefault="00A86F68" w:rsidP="003E07FA">
      <w:pPr>
        <w:pStyle w:val="H1G"/>
        <w:rPr>
          <w:lang w:val="en-GB"/>
        </w:rPr>
      </w:pPr>
      <w:r w:rsidRPr="00F464FA">
        <w:rPr>
          <w:lang w:val="en-GB"/>
        </w:rPr>
        <w:lastRenderedPageBreak/>
        <w:tab/>
      </w:r>
      <w:r w:rsidRPr="00F464FA">
        <w:rPr>
          <w:lang w:val="en-GB"/>
        </w:rPr>
        <w:tab/>
      </w:r>
      <w:r w:rsidR="00221DD4" w:rsidRPr="00F464FA">
        <w:rPr>
          <w:lang w:val="en-GB"/>
        </w:rPr>
        <w:t>Article 4 and 5</w:t>
      </w:r>
      <w:r w:rsidRPr="00F464FA">
        <w:rPr>
          <w:lang w:val="en-GB"/>
        </w:rPr>
        <w:br/>
      </w:r>
      <w:r w:rsidR="00221DD4" w:rsidRPr="00F464FA">
        <w:rPr>
          <w:lang w:val="en-GB"/>
        </w:rPr>
        <w:t>Derogations, restrictions and limitations on economic, social and cultural rights</w:t>
      </w:r>
    </w:p>
    <w:bookmarkEnd w:id="7"/>
    <w:p w14:paraId="4588D1EC" w14:textId="77777777" w:rsidR="00221DD4" w:rsidRPr="00F464FA" w:rsidRDefault="00221DD4" w:rsidP="00221DD4">
      <w:pPr>
        <w:pStyle w:val="SingleTxtG"/>
        <w:rPr>
          <w:b/>
          <w:bCs/>
        </w:rPr>
      </w:pPr>
      <w:r w:rsidRPr="00F464FA">
        <w:rPr>
          <w:bCs/>
        </w:rPr>
        <w:t>21.</w:t>
      </w:r>
      <w:r w:rsidRPr="00F464FA">
        <w:rPr>
          <w:bCs/>
        </w:rPr>
        <w:tab/>
      </w:r>
      <w:r w:rsidRPr="00F464FA">
        <w:t>The Constitution of Malawi specifically provides for instances where rights and freedoms can be restricted, limited or derogated from. Section 44 allows restrictions or limitations of rights if the restrictions or limitations are prescribed by law; reasonable; recognized by international human rights standards and necessary in an open and democratic society.</w:t>
      </w:r>
    </w:p>
    <w:p w14:paraId="2CEA1630" w14:textId="352CF5F4" w:rsidR="00221DD4" w:rsidRPr="00F464FA" w:rsidRDefault="00221DD4" w:rsidP="00221DD4">
      <w:pPr>
        <w:pStyle w:val="SingleTxtG"/>
        <w:rPr>
          <w:b/>
          <w:bCs/>
        </w:rPr>
      </w:pPr>
      <w:r w:rsidRPr="00F464FA">
        <w:rPr>
          <w:bCs/>
        </w:rPr>
        <w:t>22.</w:t>
      </w:r>
      <w:r w:rsidRPr="00F464FA">
        <w:rPr>
          <w:bCs/>
        </w:rPr>
        <w:tab/>
      </w:r>
      <w:r w:rsidRPr="00F464FA">
        <w:t>Section 44(2) of the Constitution further proscribes restrictions and limitations that negate the essential content of the right or freedom in question.</w:t>
      </w:r>
    </w:p>
    <w:p w14:paraId="2B6205E8" w14:textId="77777777" w:rsidR="00221DD4" w:rsidRPr="00F464FA" w:rsidRDefault="00221DD4" w:rsidP="00221DD4">
      <w:pPr>
        <w:pStyle w:val="SingleTxtG"/>
        <w:rPr>
          <w:bCs/>
        </w:rPr>
      </w:pPr>
      <w:r w:rsidRPr="00F464FA">
        <w:rPr>
          <w:bCs/>
        </w:rPr>
        <w:t>23.</w:t>
      </w:r>
      <w:r w:rsidRPr="00F464FA">
        <w:rPr>
          <w:bCs/>
        </w:rPr>
        <w:tab/>
        <w:t xml:space="preserve">Section 45 of the Constitution further asserts that </w:t>
      </w:r>
      <w:r w:rsidRPr="00F464FA">
        <w:t>no rights shall be derogated unless there has been a declaration of a state of emergency</w:t>
      </w:r>
      <w:r w:rsidRPr="00F464FA">
        <w:rPr>
          <w:vertAlign w:val="superscript"/>
        </w:rPr>
        <w:footnoteReference w:id="2"/>
      </w:r>
      <w:r w:rsidRPr="00F464FA">
        <w:t>. The section further states that no restrictions to inter alia, the right to equality and recognition before the law and the right to right to freedom of conscience, belief, thought and religion and to academic freedom shall be permissible even in a state of emergency. Such derogations shall also be permissible in a state of emergency only if not inconsistent with obligations of Malawi under international law.</w:t>
      </w:r>
    </w:p>
    <w:p w14:paraId="6A896048" w14:textId="44725B54" w:rsidR="00221DD4" w:rsidRPr="00F464FA" w:rsidRDefault="00716759" w:rsidP="003E07FA">
      <w:pPr>
        <w:pStyle w:val="HChG"/>
      </w:pPr>
      <w:r w:rsidRPr="00F464FA">
        <w:tab/>
      </w:r>
      <w:r w:rsidRPr="00F464FA">
        <w:tab/>
      </w:r>
      <w:r w:rsidR="00221DD4" w:rsidRPr="00F464FA">
        <w:t>Part III</w:t>
      </w:r>
    </w:p>
    <w:p w14:paraId="333FA38B" w14:textId="08D1ED08" w:rsidR="00221DD4" w:rsidRPr="00F464FA" w:rsidRDefault="00716759" w:rsidP="003E07FA">
      <w:pPr>
        <w:pStyle w:val="H1G"/>
        <w:rPr>
          <w:lang w:val="en-GB"/>
        </w:rPr>
      </w:pPr>
      <w:bookmarkStart w:id="8" w:name="_Hlk63780366"/>
      <w:r w:rsidRPr="00F464FA">
        <w:rPr>
          <w:lang w:val="en-GB"/>
        </w:rPr>
        <w:tab/>
      </w:r>
      <w:r w:rsidRPr="00F464FA">
        <w:rPr>
          <w:lang w:val="en-GB"/>
        </w:rPr>
        <w:tab/>
      </w:r>
      <w:r w:rsidR="00221DD4" w:rsidRPr="00F464FA">
        <w:rPr>
          <w:lang w:val="en-GB"/>
        </w:rPr>
        <w:t>Article 6</w:t>
      </w:r>
      <w:r w:rsidRPr="00F464FA">
        <w:rPr>
          <w:lang w:val="en-GB"/>
        </w:rPr>
        <w:br/>
      </w:r>
      <w:r w:rsidR="00221DD4" w:rsidRPr="00F464FA">
        <w:rPr>
          <w:lang w:val="en-GB"/>
        </w:rPr>
        <w:t xml:space="preserve">The Right to Work </w:t>
      </w:r>
    </w:p>
    <w:bookmarkEnd w:id="8"/>
    <w:p w14:paraId="2B71C8DD" w14:textId="77777777" w:rsidR="00221DD4" w:rsidRPr="00F464FA" w:rsidRDefault="00221DD4" w:rsidP="00221DD4">
      <w:pPr>
        <w:pStyle w:val="SingleTxtG"/>
        <w:rPr>
          <w:bCs/>
        </w:rPr>
      </w:pPr>
      <w:r w:rsidRPr="00F464FA">
        <w:rPr>
          <w:bCs/>
        </w:rPr>
        <w:t>24.</w:t>
      </w:r>
      <w:r w:rsidRPr="00F464FA">
        <w:rPr>
          <w:bCs/>
        </w:rPr>
        <w:tab/>
        <w:t>Section 29 of the Constitution of Malawi guarantees the right to development. The content of the right to development includes the right to freely work to earn a living.</w:t>
      </w:r>
    </w:p>
    <w:p w14:paraId="4733970F" w14:textId="18E46EEE" w:rsidR="00221DD4" w:rsidRPr="00F464FA" w:rsidRDefault="00221DD4" w:rsidP="00221DD4">
      <w:pPr>
        <w:pStyle w:val="SingleTxtG"/>
        <w:rPr>
          <w:bCs/>
        </w:rPr>
      </w:pPr>
      <w:r w:rsidRPr="00F464FA">
        <w:rPr>
          <w:bCs/>
        </w:rPr>
        <w:t>25.</w:t>
      </w:r>
      <w:r w:rsidRPr="00F464FA">
        <w:rPr>
          <w:bCs/>
        </w:rPr>
        <w:tab/>
      </w:r>
      <w:r w:rsidRPr="00F464FA">
        <w:t xml:space="preserve">Ministry of Labour, in collaboration with the </w:t>
      </w:r>
      <w:bookmarkStart w:id="9" w:name="_Hlk41554505"/>
      <w:r w:rsidRPr="00F464FA">
        <w:t xml:space="preserve">International Labour Organization (ILO)’s </w:t>
      </w:r>
      <w:bookmarkEnd w:id="9"/>
      <w:r w:rsidRPr="00F464FA">
        <w:t xml:space="preserve">Fundamentals, engaged the </w:t>
      </w:r>
      <w:bookmarkStart w:id="10" w:name="_Hlk41554524"/>
      <w:r w:rsidRPr="00F464FA">
        <w:t xml:space="preserve">National Statistics Office (NSO) </w:t>
      </w:r>
      <w:bookmarkEnd w:id="10"/>
      <w:r w:rsidRPr="00F464FA">
        <w:t xml:space="preserve">to conduct a survey in 2015. The results of the survey were released in 2017. This survey revealed that </w:t>
      </w:r>
      <w:r w:rsidRPr="00F464FA">
        <w:rPr>
          <w:bCs/>
        </w:rPr>
        <w:t>the Employment to population ratio (</w:t>
      </w:r>
      <w:r w:rsidRPr="00F464FA">
        <w:t>the number of persons who are employed as a percentage of the total working-age population)</w:t>
      </w:r>
      <w:r w:rsidRPr="00F464FA">
        <w:rPr>
          <w:bCs/>
        </w:rPr>
        <w:t xml:space="preserve"> was at 39.1%. Whereas the unemployment rate was at 28.7 %. The youth participation rate in the Malawian working population</w:t>
      </w:r>
      <w:r w:rsidRPr="00F464FA">
        <w:rPr>
          <w:bCs/>
          <w:vertAlign w:val="superscript"/>
        </w:rPr>
        <w:footnoteReference w:id="3"/>
      </w:r>
      <w:r w:rsidRPr="00F464FA">
        <w:rPr>
          <w:bCs/>
        </w:rPr>
        <w:t xml:space="preserve"> was 46.1% and the Youth Unemployment rate was 40.5%.</w:t>
      </w:r>
    </w:p>
    <w:p w14:paraId="2136ECF3" w14:textId="0E805969" w:rsidR="00221DD4" w:rsidRPr="00F464FA" w:rsidRDefault="00221DD4" w:rsidP="00FD2B09">
      <w:pPr>
        <w:pStyle w:val="SingleTxtG"/>
        <w:spacing w:after="240"/>
        <w:rPr>
          <w:bCs/>
        </w:rPr>
      </w:pPr>
      <w:r w:rsidRPr="00F464FA">
        <w:rPr>
          <w:bCs/>
        </w:rPr>
        <w:t>26.</w:t>
      </w:r>
      <w:r w:rsidRPr="00F464FA">
        <w:rPr>
          <w:bCs/>
        </w:rPr>
        <w:tab/>
        <w:t xml:space="preserve">The </w:t>
      </w:r>
      <w:bookmarkStart w:id="11" w:name="_Hlk41554656"/>
      <w:r w:rsidRPr="00F464FA">
        <w:rPr>
          <w:bCs/>
        </w:rPr>
        <w:t>Malawi Population and Housing Census (MHPC</w:t>
      </w:r>
      <w:bookmarkEnd w:id="11"/>
      <w:r w:rsidRPr="00F464FA">
        <w:rPr>
          <w:bCs/>
        </w:rPr>
        <w:t>), 2018 revealed that out of Malawi’s working population (comprised all persons aged 15 to 64 years), 72 per cent were economically active whereas 28% were economically inactive. Furthermore, out of the labour force of 6,614,065 persons, 81.5% were employed and 18.5% were unemployed.</w:t>
      </w:r>
    </w:p>
    <w:p w14:paraId="532CD93A" w14:textId="474E2A41" w:rsidR="00221DD4" w:rsidRPr="00F464FA" w:rsidRDefault="00221DD4" w:rsidP="00221DD4">
      <w:pPr>
        <w:pStyle w:val="Heading1"/>
      </w:pPr>
      <w:r w:rsidRPr="00F464FA">
        <w:t>Table 3</w:t>
      </w:r>
    </w:p>
    <w:p w14:paraId="7A9673B0" w14:textId="77777777" w:rsidR="00221DD4" w:rsidRPr="00F464FA" w:rsidRDefault="00221DD4" w:rsidP="00221DD4">
      <w:pPr>
        <w:pStyle w:val="SingleTxtG"/>
        <w:keepNext/>
        <w:keepLines/>
        <w:rPr>
          <w:b/>
        </w:rPr>
      </w:pPr>
      <w:r w:rsidRPr="00F464FA">
        <w:rPr>
          <w:b/>
        </w:rPr>
        <w:t xml:space="preserve">Working age population by sex, 2018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61"/>
        <w:gridCol w:w="1841"/>
        <w:gridCol w:w="1784"/>
        <w:gridCol w:w="1784"/>
      </w:tblGrid>
      <w:tr w:rsidR="001C6416" w:rsidRPr="00F464FA" w14:paraId="40B6C52E" w14:textId="77777777" w:rsidTr="001B0143">
        <w:trPr>
          <w:tblHeader/>
        </w:trPr>
        <w:tc>
          <w:tcPr>
            <w:tcW w:w="1961" w:type="dxa"/>
            <w:tcBorders>
              <w:top w:val="single" w:sz="4" w:space="0" w:color="auto"/>
              <w:bottom w:val="single" w:sz="12" w:space="0" w:color="auto"/>
            </w:tcBorders>
            <w:shd w:val="clear" w:color="auto" w:fill="auto"/>
            <w:vAlign w:val="bottom"/>
          </w:tcPr>
          <w:p w14:paraId="78E11D2C" w14:textId="77777777" w:rsidR="00221DD4" w:rsidRPr="00F464FA" w:rsidRDefault="00221DD4" w:rsidP="001C6416">
            <w:pPr>
              <w:pStyle w:val="SingleTxtG"/>
              <w:tabs>
                <w:tab w:val="clear" w:pos="1701"/>
                <w:tab w:val="clear" w:pos="2268"/>
              </w:tabs>
              <w:suppressAutoHyphens w:val="0"/>
              <w:spacing w:before="80" w:after="80" w:line="200" w:lineRule="exact"/>
              <w:ind w:left="0" w:right="113"/>
              <w:jc w:val="left"/>
              <w:rPr>
                <w:bCs/>
                <w:i/>
                <w:sz w:val="16"/>
              </w:rPr>
            </w:pPr>
            <w:r w:rsidRPr="00F464FA">
              <w:rPr>
                <w:bCs/>
                <w:i/>
                <w:sz w:val="16"/>
              </w:rPr>
              <w:t xml:space="preserve">Population </w:t>
            </w:r>
          </w:p>
        </w:tc>
        <w:tc>
          <w:tcPr>
            <w:tcW w:w="1841" w:type="dxa"/>
            <w:tcBorders>
              <w:top w:val="single" w:sz="4" w:space="0" w:color="auto"/>
              <w:bottom w:val="single" w:sz="12" w:space="0" w:color="auto"/>
            </w:tcBorders>
            <w:shd w:val="clear" w:color="auto" w:fill="auto"/>
            <w:vAlign w:val="bottom"/>
          </w:tcPr>
          <w:p w14:paraId="6F291319" w14:textId="77777777" w:rsidR="00221DD4" w:rsidRPr="00F464FA" w:rsidRDefault="00221DD4" w:rsidP="001C6416">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 xml:space="preserve">Total </w:t>
            </w:r>
          </w:p>
        </w:tc>
        <w:tc>
          <w:tcPr>
            <w:tcW w:w="1784" w:type="dxa"/>
            <w:tcBorders>
              <w:top w:val="single" w:sz="4" w:space="0" w:color="auto"/>
              <w:bottom w:val="single" w:sz="12" w:space="0" w:color="auto"/>
            </w:tcBorders>
            <w:shd w:val="clear" w:color="auto" w:fill="auto"/>
            <w:vAlign w:val="bottom"/>
          </w:tcPr>
          <w:p w14:paraId="15CE9880" w14:textId="77777777" w:rsidR="00221DD4" w:rsidRPr="00F464FA" w:rsidRDefault="00221DD4" w:rsidP="001C6416">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Male</w:t>
            </w:r>
          </w:p>
        </w:tc>
        <w:tc>
          <w:tcPr>
            <w:tcW w:w="1784" w:type="dxa"/>
            <w:tcBorders>
              <w:top w:val="single" w:sz="4" w:space="0" w:color="auto"/>
              <w:bottom w:val="single" w:sz="12" w:space="0" w:color="auto"/>
            </w:tcBorders>
            <w:shd w:val="clear" w:color="auto" w:fill="auto"/>
            <w:vAlign w:val="bottom"/>
          </w:tcPr>
          <w:p w14:paraId="31BD2810" w14:textId="77777777" w:rsidR="00221DD4" w:rsidRPr="00F464FA" w:rsidRDefault="00221DD4" w:rsidP="001C6416">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Female</w:t>
            </w:r>
          </w:p>
        </w:tc>
      </w:tr>
      <w:tr w:rsidR="001B0143" w:rsidRPr="00F464FA" w14:paraId="15EF209A" w14:textId="77777777" w:rsidTr="001B0143">
        <w:trPr>
          <w:trHeight w:hRule="exact" w:val="113"/>
          <w:tblHeader/>
        </w:trPr>
        <w:tc>
          <w:tcPr>
            <w:tcW w:w="1961" w:type="dxa"/>
            <w:tcBorders>
              <w:top w:val="single" w:sz="12" w:space="0" w:color="auto"/>
              <w:bottom w:val="nil"/>
            </w:tcBorders>
            <w:shd w:val="clear" w:color="auto" w:fill="auto"/>
          </w:tcPr>
          <w:p w14:paraId="1B25D8D8" w14:textId="77777777" w:rsidR="001B0143" w:rsidRPr="00F464FA" w:rsidRDefault="001B0143" w:rsidP="001C6416">
            <w:pPr>
              <w:pStyle w:val="SingleTxtG"/>
              <w:tabs>
                <w:tab w:val="clear" w:pos="1701"/>
                <w:tab w:val="clear" w:pos="2268"/>
              </w:tabs>
              <w:suppressAutoHyphens w:val="0"/>
              <w:spacing w:before="40" w:after="40" w:line="220" w:lineRule="exact"/>
              <w:ind w:left="0" w:right="113"/>
              <w:jc w:val="left"/>
              <w:rPr>
                <w:bCs/>
                <w:sz w:val="18"/>
              </w:rPr>
            </w:pPr>
          </w:p>
        </w:tc>
        <w:tc>
          <w:tcPr>
            <w:tcW w:w="1841" w:type="dxa"/>
            <w:tcBorders>
              <w:top w:val="single" w:sz="12" w:space="0" w:color="auto"/>
              <w:bottom w:val="nil"/>
            </w:tcBorders>
            <w:shd w:val="clear" w:color="auto" w:fill="auto"/>
            <w:vAlign w:val="bottom"/>
          </w:tcPr>
          <w:p w14:paraId="15FC9406" w14:textId="77777777" w:rsidR="001B0143" w:rsidRPr="00F464FA" w:rsidRDefault="001B0143" w:rsidP="001C6416">
            <w:pPr>
              <w:pStyle w:val="SingleTxtG"/>
              <w:tabs>
                <w:tab w:val="clear" w:pos="1701"/>
                <w:tab w:val="clear" w:pos="2268"/>
              </w:tabs>
              <w:suppressAutoHyphens w:val="0"/>
              <w:spacing w:before="40" w:after="40" w:line="220" w:lineRule="exact"/>
              <w:ind w:left="0" w:right="113"/>
              <w:jc w:val="right"/>
              <w:rPr>
                <w:bCs/>
                <w:sz w:val="18"/>
              </w:rPr>
            </w:pPr>
          </w:p>
        </w:tc>
        <w:tc>
          <w:tcPr>
            <w:tcW w:w="1784" w:type="dxa"/>
            <w:tcBorders>
              <w:top w:val="single" w:sz="12" w:space="0" w:color="auto"/>
              <w:bottom w:val="nil"/>
            </w:tcBorders>
            <w:shd w:val="clear" w:color="auto" w:fill="auto"/>
            <w:vAlign w:val="bottom"/>
          </w:tcPr>
          <w:p w14:paraId="15C77932" w14:textId="77777777" w:rsidR="001B0143" w:rsidRPr="00F464FA" w:rsidRDefault="001B0143" w:rsidP="001C6416">
            <w:pPr>
              <w:pStyle w:val="SingleTxtG"/>
              <w:tabs>
                <w:tab w:val="clear" w:pos="1701"/>
                <w:tab w:val="clear" w:pos="2268"/>
              </w:tabs>
              <w:suppressAutoHyphens w:val="0"/>
              <w:spacing w:before="40" w:after="40" w:line="220" w:lineRule="exact"/>
              <w:ind w:left="0" w:right="113"/>
              <w:jc w:val="right"/>
              <w:rPr>
                <w:bCs/>
                <w:sz w:val="18"/>
              </w:rPr>
            </w:pPr>
          </w:p>
        </w:tc>
        <w:tc>
          <w:tcPr>
            <w:tcW w:w="1784" w:type="dxa"/>
            <w:tcBorders>
              <w:top w:val="single" w:sz="12" w:space="0" w:color="auto"/>
              <w:bottom w:val="nil"/>
            </w:tcBorders>
            <w:shd w:val="clear" w:color="auto" w:fill="auto"/>
            <w:vAlign w:val="bottom"/>
          </w:tcPr>
          <w:p w14:paraId="2081282E" w14:textId="77777777" w:rsidR="001B0143" w:rsidRPr="00F464FA" w:rsidRDefault="001B0143" w:rsidP="001C6416">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4684CEB3" w14:textId="77777777" w:rsidTr="001B0143">
        <w:tc>
          <w:tcPr>
            <w:tcW w:w="1961" w:type="dxa"/>
            <w:tcBorders>
              <w:top w:val="nil"/>
              <w:bottom w:val="nil"/>
            </w:tcBorders>
            <w:shd w:val="clear" w:color="auto" w:fill="auto"/>
          </w:tcPr>
          <w:p w14:paraId="3EB7479C" w14:textId="77777777" w:rsidR="00221DD4" w:rsidRPr="00F464FA" w:rsidRDefault="00221DD4" w:rsidP="001C6416">
            <w:pPr>
              <w:pStyle w:val="SingleTxtG"/>
              <w:tabs>
                <w:tab w:val="clear" w:pos="1701"/>
                <w:tab w:val="clear" w:pos="2268"/>
              </w:tabs>
              <w:suppressAutoHyphens w:val="0"/>
              <w:spacing w:before="40" w:after="40" w:line="220" w:lineRule="exact"/>
              <w:ind w:left="0" w:right="113"/>
              <w:jc w:val="left"/>
              <w:rPr>
                <w:bCs/>
                <w:sz w:val="18"/>
              </w:rPr>
            </w:pPr>
          </w:p>
        </w:tc>
        <w:tc>
          <w:tcPr>
            <w:tcW w:w="1841" w:type="dxa"/>
            <w:tcBorders>
              <w:top w:val="nil"/>
              <w:bottom w:val="nil"/>
            </w:tcBorders>
            <w:shd w:val="clear" w:color="auto" w:fill="auto"/>
            <w:vAlign w:val="bottom"/>
          </w:tcPr>
          <w:p w14:paraId="1842F39B" w14:textId="084DAA7A"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17</w:t>
            </w:r>
            <w:r w:rsidR="00B100F5" w:rsidRPr="00F464FA">
              <w:rPr>
                <w:bCs/>
                <w:sz w:val="18"/>
              </w:rPr>
              <w:t xml:space="preserve"> </w:t>
            </w:r>
            <w:r w:rsidRPr="00F464FA">
              <w:rPr>
                <w:bCs/>
                <w:sz w:val="18"/>
              </w:rPr>
              <w:t>563</w:t>
            </w:r>
            <w:r w:rsidR="00B100F5" w:rsidRPr="00F464FA">
              <w:rPr>
                <w:bCs/>
                <w:sz w:val="18"/>
              </w:rPr>
              <w:t xml:space="preserve"> </w:t>
            </w:r>
            <w:r w:rsidRPr="00F464FA">
              <w:rPr>
                <w:bCs/>
                <w:sz w:val="18"/>
              </w:rPr>
              <w:t>749</w:t>
            </w:r>
          </w:p>
        </w:tc>
        <w:tc>
          <w:tcPr>
            <w:tcW w:w="1784" w:type="dxa"/>
            <w:tcBorders>
              <w:top w:val="nil"/>
              <w:bottom w:val="nil"/>
            </w:tcBorders>
            <w:shd w:val="clear" w:color="auto" w:fill="auto"/>
            <w:vAlign w:val="bottom"/>
          </w:tcPr>
          <w:p w14:paraId="5B88432B" w14:textId="059AF9E6"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8</w:t>
            </w:r>
            <w:r w:rsidR="00B100F5" w:rsidRPr="00F464FA">
              <w:rPr>
                <w:bCs/>
                <w:sz w:val="18"/>
              </w:rPr>
              <w:t xml:space="preserve"> </w:t>
            </w:r>
            <w:r w:rsidRPr="00F464FA">
              <w:rPr>
                <w:bCs/>
                <w:sz w:val="18"/>
              </w:rPr>
              <w:t>521</w:t>
            </w:r>
            <w:r w:rsidR="00B100F5" w:rsidRPr="00F464FA">
              <w:rPr>
                <w:bCs/>
                <w:sz w:val="18"/>
              </w:rPr>
              <w:t xml:space="preserve"> </w:t>
            </w:r>
            <w:r w:rsidRPr="00F464FA">
              <w:rPr>
                <w:bCs/>
                <w:sz w:val="18"/>
              </w:rPr>
              <w:t>460</w:t>
            </w:r>
          </w:p>
        </w:tc>
        <w:tc>
          <w:tcPr>
            <w:tcW w:w="1784" w:type="dxa"/>
            <w:tcBorders>
              <w:top w:val="nil"/>
              <w:bottom w:val="nil"/>
            </w:tcBorders>
            <w:shd w:val="clear" w:color="auto" w:fill="auto"/>
            <w:vAlign w:val="bottom"/>
          </w:tcPr>
          <w:p w14:paraId="1585BBDD" w14:textId="627168AD"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9</w:t>
            </w:r>
            <w:r w:rsidR="00B100F5" w:rsidRPr="00F464FA">
              <w:rPr>
                <w:bCs/>
                <w:sz w:val="18"/>
              </w:rPr>
              <w:t xml:space="preserve"> </w:t>
            </w:r>
            <w:r w:rsidRPr="00F464FA">
              <w:rPr>
                <w:bCs/>
                <w:sz w:val="18"/>
              </w:rPr>
              <w:t>042</w:t>
            </w:r>
            <w:r w:rsidR="00B100F5" w:rsidRPr="00F464FA">
              <w:rPr>
                <w:bCs/>
                <w:sz w:val="18"/>
              </w:rPr>
              <w:t xml:space="preserve"> </w:t>
            </w:r>
            <w:r w:rsidRPr="00F464FA">
              <w:rPr>
                <w:bCs/>
                <w:sz w:val="18"/>
              </w:rPr>
              <w:t>289</w:t>
            </w:r>
          </w:p>
        </w:tc>
      </w:tr>
      <w:tr w:rsidR="00221DD4" w:rsidRPr="00F464FA" w14:paraId="33F183E4" w14:textId="77777777" w:rsidTr="001B0143">
        <w:tc>
          <w:tcPr>
            <w:tcW w:w="1961" w:type="dxa"/>
            <w:tcBorders>
              <w:top w:val="nil"/>
            </w:tcBorders>
            <w:shd w:val="clear" w:color="auto" w:fill="auto"/>
          </w:tcPr>
          <w:p w14:paraId="6FFA7274" w14:textId="77777777" w:rsidR="00221DD4" w:rsidRPr="00F464FA" w:rsidRDefault="00221DD4" w:rsidP="001C641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Working population</w:t>
            </w:r>
          </w:p>
        </w:tc>
        <w:tc>
          <w:tcPr>
            <w:tcW w:w="1841" w:type="dxa"/>
            <w:tcBorders>
              <w:top w:val="nil"/>
            </w:tcBorders>
            <w:shd w:val="clear" w:color="auto" w:fill="auto"/>
            <w:vAlign w:val="bottom"/>
          </w:tcPr>
          <w:p w14:paraId="7605CCA4" w14:textId="0F0CEA5E"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9</w:t>
            </w:r>
            <w:r w:rsidR="00B100F5" w:rsidRPr="00F464FA">
              <w:rPr>
                <w:bCs/>
                <w:sz w:val="18"/>
              </w:rPr>
              <w:t xml:space="preserve"> </w:t>
            </w:r>
            <w:r w:rsidRPr="00F464FA">
              <w:rPr>
                <w:bCs/>
                <w:sz w:val="18"/>
              </w:rPr>
              <w:t>188</w:t>
            </w:r>
            <w:r w:rsidR="00B100F5" w:rsidRPr="00F464FA">
              <w:rPr>
                <w:bCs/>
                <w:sz w:val="18"/>
              </w:rPr>
              <w:t xml:space="preserve"> </w:t>
            </w:r>
            <w:r w:rsidRPr="00F464FA">
              <w:rPr>
                <w:bCs/>
                <w:sz w:val="18"/>
              </w:rPr>
              <w:t>275</w:t>
            </w:r>
          </w:p>
        </w:tc>
        <w:tc>
          <w:tcPr>
            <w:tcW w:w="1784" w:type="dxa"/>
            <w:tcBorders>
              <w:top w:val="nil"/>
            </w:tcBorders>
            <w:shd w:val="clear" w:color="auto" w:fill="auto"/>
            <w:vAlign w:val="bottom"/>
          </w:tcPr>
          <w:p w14:paraId="57889D32" w14:textId="74EDE890"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w:t>
            </w:r>
            <w:r w:rsidR="00B100F5" w:rsidRPr="00F464FA">
              <w:rPr>
                <w:bCs/>
                <w:sz w:val="18"/>
              </w:rPr>
              <w:t xml:space="preserve"> </w:t>
            </w:r>
            <w:r w:rsidRPr="00F464FA">
              <w:rPr>
                <w:bCs/>
                <w:sz w:val="18"/>
              </w:rPr>
              <w:t>431</w:t>
            </w:r>
            <w:r w:rsidR="00B100F5" w:rsidRPr="00F464FA">
              <w:rPr>
                <w:bCs/>
                <w:sz w:val="18"/>
              </w:rPr>
              <w:t xml:space="preserve"> </w:t>
            </w:r>
            <w:r w:rsidRPr="00F464FA">
              <w:rPr>
                <w:bCs/>
                <w:sz w:val="18"/>
              </w:rPr>
              <w:t>102</w:t>
            </w:r>
          </w:p>
        </w:tc>
        <w:tc>
          <w:tcPr>
            <w:tcW w:w="1784" w:type="dxa"/>
            <w:tcBorders>
              <w:top w:val="nil"/>
            </w:tcBorders>
            <w:shd w:val="clear" w:color="auto" w:fill="auto"/>
            <w:vAlign w:val="bottom"/>
          </w:tcPr>
          <w:p w14:paraId="2F037D7A" w14:textId="606B69DB"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w:t>
            </w:r>
            <w:r w:rsidR="00B100F5" w:rsidRPr="00F464FA">
              <w:rPr>
                <w:bCs/>
                <w:sz w:val="18"/>
              </w:rPr>
              <w:t xml:space="preserve"> </w:t>
            </w:r>
            <w:r w:rsidRPr="00F464FA">
              <w:rPr>
                <w:bCs/>
                <w:sz w:val="18"/>
              </w:rPr>
              <w:t>757</w:t>
            </w:r>
            <w:r w:rsidR="00B100F5" w:rsidRPr="00F464FA">
              <w:rPr>
                <w:bCs/>
                <w:sz w:val="18"/>
              </w:rPr>
              <w:t xml:space="preserve"> </w:t>
            </w:r>
            <w:r w:rsidRPr="00F464FA">
              <w:rPr>
                <w:bCs/>
                <w:sz w:val="18"/>
              </w:rPr>
              <w:t>173</w:t>
            </w:r>
          </w:p>
        </w:tc>
      </w:tr>
      <w:tr w:rsidR="00221DD4" w:rsidRPr="00F464FA" w14:paraId="664A8C2F" w14:textId="77777777" w:rsidTr="001C6416">
        <w:tc>
          <w:tcPr>
            <w:tcW w:w="1961" w:type="dxa"/>
            <w:tcBorders>
              <w:bottom w:val="nil"/>
            </w:tcBorders>
            <w:shd w:val="clear" w:color="auto" w:fill="auto"/>
          </w:tcPr>
          <w:p w14:paraId="535DA21C" w14:textId="77777777" w:rsidR="00221DD4" w:rsidRPr="00F464FA" w:rsidRDefault="00221DD4" w:rsidP="001C641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Economically active</w:t>
            </w:r>
          </w:p>
        </w:tc>
        <w:tc>
          <w:tcPr>
            <w:tcW w:w="1841" w:type="dxa"/>
            <w:tcBorders>
              <w:bottom w:val="nil"/>
            </w:tcBorders>
            <w:shd w:val="clear" w:color="auto" w:fill="auto"/>
            <w:vAlign w:val="bottom"/>
          </w:tcPr>
          <w:p w14:paraId="4A20F5AC" w14:textId="3DA58688"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w:t>
            </w:r>
            <w:r w:rsidR="00B100F5" w:rsidRPr="00F464FA">
              <w:rPr>
                <w:bCs/>
                <w:sz w:val="18"/>
              </w:rPr>
              <w:t xml:space="preserve"> </w:t>
            </w:r>
            <w:r w:rsidRPr="00F464FA">
              <w:rPr>
                <w:bCs/>
                <w:sz w:val="18"/>
              </w:rPr>
              <w:t>614</w:t>
            </w:r>
            <w:r w:rsidR="00B100F5" w:rsidRPr="00F464FA">
              <w:rPr>
                <w:bCs/>
                <w:sz w:val="18"/>
              </w:rPr>
              <w:t xml:space="preserve"> </w:t>
            </w:r>
            <w:r w:rsidRPr="00F464FA">
              <w:rPr>
                <w:bCs/>
                <w:sz w:val="18"/>
              </w:rPr>
              <w:t>065</w:t>
            </w:r>
          </w:p>
        </w:tc>
        <w:tc>
          <w:tcPr>
            <w:tcW w:w="1784" w:type="dxa"/>
            <w:tcBorders>
              <w:bottom w:val="nil"/>
            </w:tcBorders>
            <w:shd w:val="clear" w:color="auto" w:fill="auto"/>
            <w:vAlign w:val="bottom"/>
          </w:tcPr>
          <w:p w14:paraId="6D7D97BB" w14:textId="0B40D551"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r w:rsidR="00B100F5" w:rsidRPr="00F464FA">
              <w:rPr>
                <w:bCs/>
                <w:sz w:val="18"/>
              </w:rPr>
              <w:t xml:space="preserve"> </w:t>
            </w:r>
            <w:r w:rsidRPr="00F464FA">
              <w:rPr>
                <w:bCs/>
                <w:sz w:val="18"/>
              </w:rPr>
              <w:t>242</w:t>
            </w:r>
            <w:r w:rsidR="00B100F5" w:rsidRPr="00F464FA">
              <w:rPr>
                <w:bCs/>
                <w:sz w:val="18"/>
              </w:rPr>
              <w:t xml:space="preserve"> </w:t>
            </w:r>
            <w:r w:rsidRPr="00F464FA">
              <w:rPr>
                <w:bCs/>
                <w:sz w:val="18"/>
              </w:rPr>
              <w:t>280</w:t>
            </w:r>
          </w:p>
        </w:tc>
        <w:tc>
          <w:tcPr>
            <w:tcW w:w="1784" w:type="dxa"/>
            <w:tcBorders>
              <w:bottom w:val="nil"/>
            </w:tcBorders>
            <w:shd w:val="clear" w:color="auto" w:fill="auto"/>
            <w:vAlign w:val="bottom"/>
          </w:tcPr>
          <w:p w14:paraId="0632CF62" w14:textId="629F4651"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r w:rsidR="00B100F5" w:rsidRPr="00F464FA">
              <w:rPr>
                <w:bCs/>
                <w:sz w:val="18"/>
              </w:rPr>
              <w:t xml:space="preserve"> </w:t>
            </w:r>
            <w:r w:rsidRPr="00F464FA">
              <w:rPr>
                <w:bCs/>
                <w:sz w:val="18"/>
              </w:rPr>
              <w:t>371</w:t>
            </w:r>
            <w:r w:rsidR="00B100F5" w:rsidRPr="00F464FA">
              <w:rPr>
                <w:bCs/>
                <w:sz w:val="18"/>
              </w:rPr>
              <w:t xml:space="preserve"> </w:t>
            </w:r>
            <w:r w:rsidRPr="00F464FA">
              <w:rPr>
                <w:bCs/>
                <w:sz w:val="18"/>
              </w:rPr>
              <w:t>785</w:t>
            </w:r>
          </w:p>
        </w:tc>
      </w:tr>
      <w:tr w:rsidR="00221DD4" w:rsidRPr="00F464FA" w14:paraId="177D15DF" w14:textId="77777777" w:rsidTr="001C6416">
        <w:tc>
          <w:tcPr>
            <w:tcW w:w="1961" w:type="dxa"/>
            <w:tcBorders>
              <w:top w:val="nil"/>
              <w:bottom w:val="nil"/>
            </w:tcBorders>
            <w:shd w:val="clear" w:color="auto" w:fill="auto"/>
          </w:tcPr>
          <w:p w14:paraId="54F0E002" w14:textId="77777777" w:rsidR="00221DD4" w:rsidRPr="00F464FA" w:rsidRDefault="00221DD4" w:rsidP="001C641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Economically inactive</w:t>
            </w:r>
          </w:p>
        </w:tc>
        <w:tc>
          <w:tcPr>
            <w:tcW w:w="1841" w:type="dxa"/>
            <w:tcBorders>
              <w:top w:val="nil"/>
              <w:bottom w:val="nil"/>
            </w:tcBorders>
            <w:shd w:val="clear" w:color="auto" w:fill="auto"/>
            <w:vAlign w:val="bottom"/>
          </w:tcPr>
          <w:p w14:paraId="37CE8D03" w14:textId="609B4655"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B100F5" w:rsidRPr="00F464FA">
              <w:rPr>
                <w:bCs/>
                <w:sz w:val="18"/>
              </w:rPr>
              <w:t xml:space="preserve"> </w:t>
            </w:r>
            <w:r w:rsidRPr="00F464FA">
              <w:rPr>
                <w:bCs/>
                <w:sz w:val="18"/>
              </w:rPr>
              <w:t>574</w:t>
            </w:r>
            <w:r w:rsidR="00B100F5" w:rsidRPr="00F464FA">
              <w:rPr>
                <w:bCs/>
                <w:sz w:val="18"/>
              </w:rPr>
              <w:t xml:space="preserve"> </w:t>
            </w:r>
            <w:r w:rsidRPr="00F464FA">
              <w:rPr>
                <w:bCs/>
                <w:sz w:val="18"/>
              </w:rPr>
              <w:t>210</w:t>
            </w:r>
          </w:p>
        </w:tc>
        <w:tc>
          <w:tcPr>
            <w:tcW w:w="1784" w:type="dxa"/>
            <w:tcBorders>
              <w:top w:val="nil"/>
              <w:bottom w:val="nil"/>
            </w:tcBorders>
            <w:shd w:val="clear" w:color="auto" w:fill="auto"/>
            <w:vAlign w:val="bottom"/>
          </w:tcPr>
          <w:p w14:paraId="0A046F3B" w14:textId="7A38CCCB"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B100F5" w:rsidRPr="00F464FA">
              <w:rPr>
                <w:bCs/>
                <w:sz w:val="18"/>
              </w:rPr>
              <w:t xml:space="preserve"> </w:t>
            </w:r>
            <w:r w:rsidRPr="00F464FA">
              <w:rPr>
                <w:bCs/>
                <w:sz w:val="18"/>
              </w:rPr>
              <w:t>188</w:t>
            </w:r>
            <w:r w:rsidR="00B100F5" w:rsidRPr="00F464FA">
              <w:rPr>
                <w:bCs/>
                <w:sz w:val="18"/>
              </w:rPr>
              <w:t xml:space="preserve"> </w:t>
            </w:r>
            <w:r w:rsidRPr="00F464FA">
              <w:rPr>
                <w:bCs/>
                <w:sz w:val="18"/>
              </w:rPr>
              <w:t>822</w:t>
            </w:r>
          </w:p>
        </w:tc>
        <w:tc>
          <w:tcPr>
            <w:tcW w:w="1784" w:type="dxa"/>
            <w:tcBorders>
              <w:top w:val="nil"/>
              <w:bottom w:val="nil"/>
            </w:tcBorders>
            <w:shd w:val="clear" w:color="auto" w:fill="auto"/>
            <w:vAlign w:val="bottom"/>
          </w:tcPr>
          <w:p w14:paraId="672BD451" w14:textId="330D3F3D"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B100F5" w:rsidRPr="00F464FA">
              <w:rPr>
                <w:bCs/>
                <w:sz w:val="18"/>
              </w:rPr>
              <w:t xml:space="preserve"> </w:t>
            </w:r>
            <w:r w:rsidRPr="00F464FA">
              <w:rPr>
                <w:bCs/>
                <w:sz w:val="18"/>
              </w:rPr>
              <w:t>385</w:t>
            </w:r>
            <w:r w:rsidR="00B100F5" w:rsidRPr="00F464FA">
              <w:rPr>
                <w:bCs/>
                <w:sz w:val="18"/>
              </w:rPr>
              <w:t xml:space="preserve"> </w:t>
            </w:r>
            <w:r w:rsidRPr="00F464FA">
              <w:rPr>
                <w:bCs/>
                <w:sz w:val="18"/>
              </w:rPr>
              <w:t xml:space="preserve">388 </w:t>
            </w:r>
          </w:p>
        </w:tc>
      </w:tr>
      <w:tr w:rsidR="00221DD4" w:rsidRPr="00F464FA" w14:paraId="4C497F32" w14:textId="77777777" w:rsidTr="001C6416">
        <w:tc>
          <w:tcPr>
            <w:tcW w:w="7370" w:type="dxa"/>
            <w:gridSpan w:val="4"/>
            <w:tcBorders>
              <w:top w:val="nil"/>
            </w:tcBorders>
            <w:shd w:val="clear" w:color="auto" w:fill="auto"/>
          </w:tcPr>
          <w:p w14:paraId="34BCDBD0" w14:textId="77777777" w:rsidR="00221DD4" w:rsidRPr="00F464FA" w:rsidRDefault="00221DD4" w:rsidP="001C6416">
            <w:pPr>
              <w:pStyle w:val="SingleTxtG"/>
              <w:keepNext/>
              <w:keepLines/>
              <w:tabs>
                <w:tab w:val="clear" w:pos="1701"/>
                <w:tab w:val="clear" w:pos="2268"/>
              </w:tabs>
              <w:suppressAutoHyphens w:val="0"/>
              <w:spacing w:before="40" w:after="40" w:line="220" w:lineRule="exact"/>
              <w:ind w:left="0" w:right="113"/>
              <w:jc w:val="left"/>
              <w:rPr>
                <w:bCs/>
                <w:sz w:val="18"/>
              </w:rPr>
            </w:pPr>
            <w:r w:rsidRPr="00F464FA">
              <w:rPr>
                <w:sz w:val="18"/>
              </w:rPr>
              <w:lastRenderedPageBreak/>
              <w:t xml:space="preserve">Employed and unemployed </w:t>
            </w:r>
          </w:p>
        </w:tc>
      </w:tr>
      <w:tr w:rsidR="00221DD4" w:rsidRPr="00F464FA" w14:paraId="026C05D7" w14:textId="77777777" w:rsidTr="001C6416">
        <w:tc>
          <w:tcPr>
            <w:tcW w:w="1961" w:type="dxa"/>
            <w:shd w:val="clear" w:color="auto" w:fill="auto"/>
          </w:tcPr>
          <w:p w14:paraId="3AA189B1" w14:textId="77777777" w:rsidR="00221DD4" w:rsidRPr="00F464FA" w:rsidRDefault="00221DD4" w:rsidP="001C6416">
            <w:pPr>
              <w:pStyle w:val="SingleTxtG"/>
              <w:tabs>
                <w:tab w:val="clear" w:pos="1701"/>
                <w:tab w:val="clear" w:pos="2268"/>
              </w:tabs>
              <w:suppressAutoHyphens w:val="0"/>
              <w:spacing w:before="40" w:after="40" w:line="220" w:lineRule="exact"/>
              <w:ind w:left="0" w:right="113"/>
              <w:jc w:val="left"/>
              <w:rPr>
                <w:bCs/>
                <w:sz w:val="18"/>
              </w:rPr>
            </w:pPr>
            <w:r w:rsidRPr="00F464FA">
              <w:rPr>
                <w:sz w:val="18"/>
              </w:rPr>
              <w:t>Labour Force</w:t>
            </w:r>
          </w:p>
        </w:tc>
        <w:tc>
          <w:tcPr>
            <w:tcW w:w="1841" w:type="dxa"/>
            <w:shd w:val="clear" w:color="auto" w:fill="auto"/>
            <w:vAlign w:val="bottom"/>
          </w:tcPr>
          <w:p w14:paraId="622C0DAF" w14:textId="72747B53"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6</w:t>
            </w:r>
            <w:r w:rsidR="00B100F5" w:rsidRPr="00F464FA">
              <w:rPr>
                <w:sz w:val="18"/>
              </w:rPr>
              <w:t xml:space="preserve"> </w:t>
            </w:r>
            <w:r w:rsidRPr="00F464FA">
              <w:rPr>
                <w:sz w:val="18"/>
              </w:rPr>
              <w:t>614</w:t>
            </w:r>
            <w:r w:rsidR="00B100F5" w:rsidRPr="00F464FA">
              <w:rPr>
                <w:sz w:val="18"/>
              </w:rPr>
              <w:t xml:space="preserve"> </w:t>
            </w:r>
            <w:r w:rsidRPr="00F464FA">
              <w:rPr>
                <w:sz w:val="18"/>
              </w:rPr>
              <w:t>065</w:t>
            </w:r>
          </w:p>
        </w:tc>
        <w:tc>
          <w:tcPr>
            <w:tcW w:w="1784" w:type="dxa"/>
            <w:shd w:val="clear" w:color="auto" w:fill="auto"/>
            <w:vAlign w:val="bottom"/>
          </w:tcPr>
          <w:p w14:paraId="4F15F03A" w14:textId="60E6FC92"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3</w:t>
            </w:r>
            <w:r w:rsidR="00B100F5" w:rsidRPr="00F464FA">
              <w:rPr>
                <w:sz w:val="18"/>
              </w:rPr>
              <w:t xml:space="preserve"> </w:t>
            </w:r>
            <w:r w:rsidRPr="00F464FA">
              <w:rPr>
                <w:sz w:val="18"/>
              </w:rPr>
              <w:t>242</w:t>
            </w:r>
            <w:r w:rsidR="00B100F5" w:rsidRPr="00F464FA">
              <w:rPr>
                <w:sz w:val="18"/>
              </w:rPr>
              <w:t xml:space="preserve"> </w:t>
            </w:r>
            <w:r w:rsidRPr="00F464FA">
              <w:rPr>
                <w:sz w:val="18"/>
              </w:rPr>
              <w:t>280</w:t>
            </w:r>
          </w:p>
        </w:tc>
        <w:tc>
          <w:tcPr>
            <w:tcW w:w="1784" w:type="dxa"/>
            <w:shd w:val="clear" w:color="auto" w:fill="auto"/>
            <w:vAlign w:val="bottom"/>
          </w:tcPr>
          <w:p w14:paraId="17ADD25D" w14:textId="7B72F301"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3</w:t>
            </w:r>
            <w:r w:rsidR="00B100F5" w:rsidRPr="00F464FA">
              <w:rPr>
                <w:sz w:val="18"/>
              </w:rPr>
              <w:t xml:space="preserve"> </w:t>
            </w:r>
            <w:r w:rsidRPr="00F464FA">
              <w:rPr>
                <w:sz w:val="18"/>
              </w:rPr>
              <w:t>371</w:t>
            </w:r>
            <w:r w:rsidR="00B100F5" w:rsidRPr="00F464FA">
              <w:rPr>
                <w:sz w:val="18"/>
              </w:rPr>
              <w:t xml:space="preserve"> </w:t>
            </w:r>
            <w:r w:rsidRPr="00F464FA">
              <w:rPr>
                <w:sz w:val="18"/>
              </w:rPr>
              <w:t>785</w:t>
            </w:r>
          </w:p>
        </w:tc>
      </w:tr>
      <w:tr w:rsidR="00221DD4" w:rsidRPr="00F464FA" w14:paraId="17BBB88E" w14:textId="77777777" w:rsidTr="001C6416">
        <w:tc>
          <w:tcPr>
            <w:tcW w:w="1961" w:type="dxa"/>
            <w:shd w:val="clear" w:color="auto" w:fill="auto"/>
          </w:tcPr>
          <w:p w14:paraId="0528CA99" w14:textId="77777777" w:rsidR="00221DD4" w:rsidRPr="00F464FA" w:rsidRDefault="00221DD4" w:rsidP="001C6416">
            <w:pPr>
              <w:pStyle w:val="SingleTxtG"/>
              <w:tabs>
                <w:tab w:val="clear" w:pos="1701"/>
                <w:tab w:val="clear" w:pos="2268"/>
              </w:tabs>
              <w:suppressAutoHyphens w:val="0"/>
              <w:spacing w:before="40" w:after="40" w:line="220" w:lineRule="exact"/>
              <w:ind w:left="0" w:right="113"/>
              <w:jc w:val="left"/>
              <w:rPr>
                <w:bCs/>
                <w:sz w:val="18"/>
              </w:rPr>
            </w:pPr>
            <w:r w:rsidRPr="00F464FA">
              <w:rPr>
                <w:sz w:val="18"/>
              </w:rPr>
              <w:t>Employed</w:t>
            </w:r>
          </w:p>
        </w:tc>
        <w:tc>
          <w:tcPr>
            <w:tcW w:w="1841" w:type="dxa"/>
            <w:shd w:val="clear" w:color="auto" w:fill="auto"/>
            <w:vAlign w:val="bottom"/>
          </w:tcPr>
          <w:p w14:paraId="08F0F99F" w14:textId="3CB7CBAF"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5</w:t>
            </w:r>
            <w:r w:rsidR="00B100F5" w:rsidRPr="00F464FA">
              <w:rPr>
                <w:sz w:val="18"/>
              </w:rPr>
              <w:t xml:space="preserve"> </w:t>
            </w:r>
            <w:r w:rsidRPr="00F464FA">
              <w:rPr>
                <w:sz w:val="18"/>
              </w:rPr>
              <w:t>389</w:t>
            </w:r>
            <w:r w:rsidR="00B100F5" w:rsidRPr="00F464FA">
              <w:rPr>
                <w:sz w:val="18"/>
              </w:rPr>
              <w:t xml:space="preserve"> </w:t>
            </w:r>
            <w:r w:rsidRPr="00F464FA">
              <w:rPr>
                <w:sz w:val="18"/>
              </w:rPr>
              <w:t>463</w:t>
            </w:r>
          </w:p>
        </w:tc>
        <w:tc>
          <w:tcPr>
            <w:tcW w:w="1784" w:type="dxa"/>
            <w:shd w:val="clear" w:color="auto" w:fill="auto"/>
            <w:vAlign w:val="bottom"/>
          </w:tcPr>
          <w:p w14:paraId="1FA50F69" w14:textId="56CB5954"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2</w:t>
            </w:r>
            <w:r w:rsidR="00B100F5" w:rsidRPr="00F464FA">
              <w:rPr>
                <w:sz w:val="18"/>
              </w:rPr>
              <w:t xml:space="preserve"> </w:t>
            </w:r>
            <w:r w:rsidRPr="00F464FA">
              <w:rPr>
                <w:sz w:val="18"/>
              </w:rPr>
              <w:t>702</w:t>
            </w:r>
            <w:r w:rsidR="00B100F5" w:rsidRPr="00F464FA">
              <w:rPr>
                <w:sz w:val="18"/>
              </w:rPr>
              <w:t xml:space="preserve"> </w:t>
            </w:r>
            <w:r w:rsidRPr="00F464FA">
              <w:rPr>
                <w:sz w:val="18"/>
              </w:rPr>
              <w:t>506</w:t>
            </w:r>
          </w:p>
        </w:tc>
        <w:tc>
          <w:tcPr>
            <w:tcW w:w="1784" w:type="dxa"/>
            <w:shd w:val="clear" w:color="auto" w:fill="auto"/>
            <w:vAlign w:val="bottom"/>
          </w:tcPr>
          <w:p w14:paraId="1A4D04BE" w14:textId="4047C377"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2</w:t>
            </w:r>
            <w:r w:rsidR="00B100F5" w:rsidRPr="00F464FA">
              <w:rPr>
                <w:sz w:val="18"/>
              </w:rPr>
              <w:t xml:space="preserve"> </w:t>
            </w:r>
            <w:r w:rsidRPr="00F464FA">
              <w:rPr>
                <w:sz w:val="18"/>
              </w:rPr>
              <w:t>686</w:t>
            </w:r>
            <w:r w:rsidR="00B100F5" w:rsidRPr="00F464FA">
              <w:rPr>
                <w:sz w:val="18"/>
              </w:rPr>
              <w:t xml:space="preserve"> </w:t>
            </w:r>
            <w:r w:rsidRPr="00F464FA">
              <w:rPr>
                <w:sz w:val="18"/>
              </w:rPr>
              <w:t>957</w:t>
            </w:r>
          </w:p>
        </w:tc>
      </w:tr>
      <w:tr w:rsidR="00221DD4" w:rsidRPr="00F464FA" w14:paraId="7F277078" w14:textId="77777777" w:rsidTr="001C6416">
        <w:tc>
          <w:tcPr>
            <w:tcW w:w="1961" w:type="dxa"/>
            <w:shd w:val="clear" w:color="auto" w:fill="auto"/>
          </w:tcPr>
          <w:p w14:paraId="17A3D6A9" w14:textId="77777777" w:rsidR="00221DD4" w:rsidRPr="00F464FA" w:rsidRDefault="00221DD4" w:rsidP="001C6416">
            <w:pPr>
              <w:pStyle w:val="SingleTxtG"/>
              <w:tabs>
                <w:tab w:val="clear" w:pos="1701"/>
                <w:tab w:val="clear" w:pos="2268"/>
              </w:tabs>
              <w:suppressAutoHyphens w:val="0"/>
              <w:spacing w:before="40" w:after="40" w:line="220" w:lineRule="exact"/>
              <w:ind w:left="0" w:right="113"/>
              <w:jc w:val="left"/>
              <w:rPr>
                <w:bCs/>
                <w:sz w:val="18"/>
              </w:rPr>
            </w:pPr>
            <w:r w:rsidRPr="00F464FA">
              <w:rPr>
                <w:sz w:val="18"/>
              </w:rPr>
              <w:t>Unemployed</w:t>
            </w:r>
          </w:p>
        </w:tc>
        <w:tc>
          <w:tcPr>
            <w:tcW w:w="1841" w:type="dxa"/>
            <w:shd w:val="clear" w:color="auto" w:fill="auto"/>
            <w:vAlign w:val="bottom"/>
          </w:tcPr>
          <w:p w14:paraId="036ED848" w14:textId="458BB2F3"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1</w:t>
            </w:r>
            <w:r w:rsidR="00B100F5" w:rsidRPr="00F464FA">
              <w:rPr>
                <w:sz w:val="18"/>
              </w:rPr>
              <w:t xml:space="preserve"> </w:t>
            </w:r>
            <w:r w:rsidRPr="00F464FA">
              <w:rPr>
                <w:sz w:val="18"/>
              </w:rPr>
              <w:t>224</w:t>
            </w:r>
            <w:r w:rsidR="00B100F5" w:rsidRPr="00F464FA">
              <w:rPr>
                <w:sz w:val="18"/>
              </w:rPr>
              <w:t xml:space="preserve"> </w:t>
            </w:r>
            <w:r w:rsidRPr="00F464FA">
              <w:rPr>
                <w:sz w:val="18"/>
              </w:rPr>
              <w:t>602</w:t>
            </w:r>
          </w:p>
        </w:tc>
        <w:tc>
          <w:tcPr>
            <w:tcW w:w="1784" w:type="dxa"/>
            <w:shd w:val="clear" w:color="auto" w:fill="auto"/>
            <w:vAlign w:val="bottom"/>
          </w:tcPr>
          <w:p w14:paraId="4E6BEF30" w14:textId="55DD3571" w:rsidR="00221DD4" w:rsidRPr="00F464FA" w:rsidRDefault="00221DD4" w:rsidP="001C6416">
            <w:pPr>
              <w:pStyle w:val="SingleTxtG"/>
              <w:tabs>
                <w:tab w:val="clear" w:pos="1701"/>
                <w:tab w:val="clear" w:pos="2268"/>
              </w:tabs>
              <w:suppressAutoHyphens w:val="0"/>
              <w:spacing w:before="40" w:after="40" w:line="220" w:lineRule="exact"/>
              <w:ind w:left="0" w:right="113"/>
              <w:jc w:val="right"/>
              <w:rPr>
                <w:bCs/>
                <w:sz w:val="18"/>
              </w:rPr>
            </w:pPr>
            <w:r w:rsidRPr="00F464FA">
              <w:rPr>
                <w:sz w:val="18"/>
              </w:rPr>
              <w:t>539</w:t>
            </w:r>
            <w:r w:rsidR="00B100F5" w:rsidRPr="00F464FA">
              <w:rPr>
                <w:sz w:val="18"/>
              </w:rPr>
              <w:t xml:space="preserve"> </w:t>
            </w:r>
            <w:r w:rsidRPr="00F464FA">
              <w:rPr>
                <w:sz w:val="18"/>
              </w:rPr>
              <w:t>774</w:t>
            </w:r>
          </w:p>
        </w:tc>
        <w:tc>
          <w:tcPr>
            <w:tcW w:w="1784" w:type="dxa"/>
            <w:shd w:val="clear" w:color="auto" w:fill="auto"/>
            <w:vAlign w:val="bottom"/>
          </w:tcPr>
          <w:p w14:paraId="1DC3E4A6" w14:textId="28774ADF" w:rsidR="00221DD4" w:rsidRPr="00F464FA" w:rsidRDefault="00221DD4" w:rsidP="001C6416">
            <w:pPr>
              <w:pStyle w:val="SingleTxtG"/>
              <w:tabs>
                <w:tab w:val="clear" w:pos="1701"/>
                <w:tab w:val="clear" w:pos="2268"/>
              </w:tabs>
              <w:suppressAutoHyphens w:val="0"/>
              <w:spacing w:before="40" w:after="40" w:line="220" w:lineRule="exact"/>
              <w:ind w:left="0" w:right="113"/>
              <w:jc w:val="right"/>
              <w:rPr>
                <w:sz w:val="18"/>
              </w:rPr>
            </w:pPr>
            <w:r w:rsidRPr="00F464FA">
              <w:rPr>
                <w:sz w:val="18"/>
              </w:rPr>
              <w:t>684</w:t>
            </w:r>
            <w:r w:rsidR="00B100F5" w:rsidRPr="00F464FA">
              <w:rPr>
                <w:sz w:val="18"/>
              </w:rPr>
              <w:t xml:space="preserve"> </w:t>
            </w:r>
            <w:r w:rsidRPr="00F464FA">
              <w:rPr>
                <w:sz w:val="18"/>
              </w:rPr>
              <w:t>828</w:t>
            </w:r>
          </w:p>
        </w:tc>
      </w:tr>
    </w:tbl>
    <w:p w14:paraId="2712A654" w14:textId="05189A8C" w:rsidR="00221DD4" w:rsidRPr="00F464FA" w:rsidRDefault="00221DD4" w:rsidP="00A16AFF">
      <w:pPr>
        <w:spacing w:before="120" w:after="240"/>
        <w:ind w:left="1134" w:right="1134" w:firstLine="170"/>
        <w:rPr>
          <w:sz w:val="18"/>
        </w:rPr>
      </w:pPr>
      <w:r w:rsidRPr="00F464FA">
        <w:rPr>
          <w:i/>
          <w:iCs/>
          <w:sz w:val="18"/>
        </w:rPr>
        <w:t>Source:</w:t>
      </w:r>
      <w:r w:rsidRPr="00F464FA">
        <w:rPr>
          <w:sz w:val="18"/>
        </w:rPr>
        <w:t xml:space="preserve"> MHPC, 2018</w:t>
      </w:r>
      <w:r w:rsidR="00A16AFF" w:rsidRPr="00F464FA">
        <w:rPr>
          <w:sz w:val="18"/>
        </w:rPr>
        <w:t>.</w:t>
      </w:r>
    </w:p>
    <w:p w14:paraId="1183AC60" w14:textId="77777777" w:rsidR="00221DD4" w:rsidRPr="00F464FA" w:rsidRDefault="00221DD4" w:rsidP="0004753D">
      <w:pPr>
        <w:pStyle w:val="SingleTxtG"/>
        <w:spacing w:after="240"/>
        <w:rPr>
          <w:bCs/>
        </w:rPr>
      </w:pPr>
      <w:r w:rsidRPr="00F464FA">
        <w:rPr>
          <w:bCs/>
        </w:rPr>
        <w:t>27.</w:t>
      </w:r>
      <w:r w:rsidRPr="00F464FA">
        <w:rPr>
          <w:bCs/>
        </w:rPr>
        <w:tab/>
        <w:t xml:space="preserve">The MHPC, 2018 also revealed that the labour force participation rate at national level was 72%, 69% for urban areas and 73% for rural areas. At regional level, the Northern Region had 72% of participation rate, 70% for the Central Region and 74% for the Southern Region. </w:t>
      </w:r>
    </w:p>
    <w:p w14:paraId="037899C6" w14:textId="652F2844" w:rsidR="00221DD4" w:rsidRPr="00F464FA" w:rsidRDefault="00221DD4" w:rsidP="00221DD4">
      <w:pPr>
        <w:pStyle w:val="Heading1"/>
      </w:pPr>
      <w:r w:rsidRPr="00F464FA">
        <w:t>Table 4</w:t>
      </w:r>
    </w:p>
    <w:p w14:paraId="44AFEB90" w14:textId="06A3D226" w:rsidR="00221DD4" w:rsidRPr="00F464FA" w:rsidRDefault="00221DD4" w:rsidP="00221DD4">
      <w:pPr>
        <w:pStyle w:val="SingleTxtG"/>
        <w:rPr>
          <w:b/>
        </w:rPr>
      </w:pPr>
      <w:r w:rsidRPr="00F464FA">
        <w:rPr>
          <w:b/>
        </w:rPr>
        <w:t>Labour force participation rate by urban, rural and region, 2018</w:t>
      </w:r>
    </w:p>
    <w:p w14:paraId="2BECDAB7" w14:textId="77777777" w:rsidR="00221DD4" w:rsidRPr="00F464FA" w:rsidRDefault="00221DD4" w:rsidP="00221DD4">
      <w:pPr>
        <w:pStyle w:val="SingleTxtG"/>
        <w:spacing w:after="0"/>
        <w:rPr>
          <w:bCs/>
        </w:rPr>
      </w:pPr>
      <w:r w:rsidRPr="00F464FA">
        <w:rPr>
          <w:noProof/>
          <w:lang w:eastAsia="en-GB"/>
        </w:rPr>
        <w:drawing>
          <wp:inline distT="0" distB="0" distL="0" distR="0" wp14:anchorId="2C7F01AA" wp14:editId="1F6F95ED">
            <wp:extent cx="4724400" cy="1340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4464" cy="1363245"/>
                    </a:xfrm>
                    <a:prstGeom prst="rect">
                      <a:avLst/>
                    </a:prstGeom>
                    <a:noFill/>
                  </pic:spPr>
                </pic:pic>
              </a:graphicData>
            </a:graphic>
          </wp:inline>
        </w:drawing>
      </w:r>
      <w:r w:rsidRPr="00F464FA">
        <w:rPr>
          <w:bCs/>
          <w:noProof/>
          <w:lang w:eastAsia="en-GB"/>
        </w:rPr>
        <w:drawing>
          <wp:inline distT="0" distB="0" distL="0" distR="0" wp14:anchorId="16D75D4C" wp14:editId="5F22E8ED">
            <wp:extent cx="4724400" cy="10110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6381" cy="1039313"/>
                    </a:xfrm>
                    <a:prstGeom prst="rect">
                      <a:avLst/>
                    </a:prstGeom>
                    <a:noFill/>
                    <a:ln>
                      <a:noFill/>
                    </a:ln>
                  </pic:spPr>
                </pic:pic>
              </a:graphicData>
            </a:graphic>
          </wp:inline>
        </w:drawing>
      </w:r>
    </w:p>
    <w:p w14:paraId="388F6B6F" w14:textId="1B6C357E" w:rsidR="00221DD4" w:rsidRPr="00F464FA" w:rsidRDefault="00221DD4" w:rsidP="001D20E1">
      <w:pPr>
        <w:spacing w:before="120"/>
        <w:ind w:left="1134" w:right="1134" w:firstLine="170"/>
        <w:rPr>
          <w:sz w:val="18"/>
        </w:rPr>
      </w:pPr>
      <w:r w:rsidRPr="00F464FA">
        <w:rPr>
          <w:i/>
          <w:iCs/>
          <w:sz w:val="18"/>
        </w:rPr>
        <w:t>Source:</w:t>
      </w:r>
      <w:r w:rsidRPr="00F464FA">
        <w:rPr>
          <w:sz w:val="18"/>
        </w:rPr>
        <w:t xml:space="preserve"> MHPC, 2018</w:t>
      </w:r>
      <w:r w:rsidR="001D20E1" w:rsidRPr="00F464FA">
        <w:rPr>
          <w:sz w:val="18"/>
        </w:rPr>
        <w:t>.</w:t>
      </w:r>
    </w:p>
    <w:p w14:paraId="711949B4" w14:textId="4F53676C" w:rsidR="00221DD4" w:rsidRPr="00F464FA" w:rsidRDefault="00221DD4" w:rsidP="00355030">
      <w:pPr>
        <w:pStyle w:val="H23G"/>
        <w:rPr>
          <w:lang w:val="en-GB"/>
        </w:rPr>
      </w:pPr>
      <w:r w:rsidRPr="00F464FA">
        <w:rPr>
          <w:lang w:val="en-GB"/>
        </w:rPr>
        <w:tab/>
      </w:r>
      <w:r w:rsidR="006D09FB" w:rsidRPr="00F464FA">
        <w:rPr>
          <w:lang w:val="en-GB"/>
        </w:rPr>
        <w:tab/>
      </w:r>
      <w:r w:rsidR="006D09FB" w:rsidRPr="00F464FA">
        <w:rPr>
          <w:lang w:val="en-GB"/>
        </w:rPr>
        <w:tab/>
      </w:r>
      <w:r w:rsidRPr="00F464FA">
        <w:rPr>
          <w:lang w:val="en-GB"/>
        </w:rPr>
        <w:t>Improving access to Employment Opportunities</w:t>
      </w:r>
    </w:p>
    <w:p w14:paraId="722D6A0F" w14:textId="06F84D03" w:rsidR="00221DD4" w:rsidRPr="00F464FA" w:rsidRDefault="00221DD4" w:rsidP="00221DD4">
      <w:pPr>
        <w:pStyle w:val="SingleTxtG"/>
        <w:rPr>
          <w:bCs/>
        </w:rPr>
      </w:pPr>
      <w:r w:rsidRPr="00F464FA">
        <w:rPr>
          <w:bCs/>
        </w:rPr>
        <w:t>28.</w:t>
      </w:r>
      <w:r w:rsidRPr="00F464FA">
        <w:rPr>
          <w:bCs/>
        </w:rPr>
        <w:tab/>
        <w:t xml:space="preserve">To improve access to employment opportunities, the Government, through the Ministry of Labour, has developed policies such as the </w:t>
      </w:r>
      <w:bookmarkStart w:id="12" w:name="_Hlk43356506"/>
      <w:r w:rsidRPr="00F464FA">
        <w:rPr>
          <w:bCs/>
        </w:rPr>
        <w:t xml:space="preserve">National Employment and Labour policy (NELP). </w:t>
      </w:r>
      <w:bookmarkEnd w:id="12"/>
      <w:r w:rsidRPr="00F464FA">
        <w:rPr>
          <w:bCs/>
        </w:rPr>
        <w:t>The NELP aims to</w:t>
      </w:r>
      <w:r w:rsidR="001939E4" w:rsidRPr="00F464FA">
        <w:t xml:space="preserve"> </w:t>
      </w:r>
      <w:r w:rsidRPr="00F464FA">
        <w:t>implement deliberate efforts that promote employment growth both in terms of quality and quantity, and whether directly or indirectly. The policy provides a framework to promote productive and decent employment in the economy and increased compliance with labour standards by employers, investors and workers. It also aims to unleash the potential for Malawi to move to a development path that is more inclusive, pro-poor and job-rich thereby,</w:t>
      </w:r>
      <w:r w:rsidR="001939E4" w:rsidRPr="00F464FA">
        <w:t xml:space="preserve"> </w:t>
      </w:r>
      <w:r w:rsidRPr="00F464FA">
        <w:t xml:space="preserve">strengthening the link between economic growth and job creation on one hand and poverty reduction on the other hand. The NELP is designed to be linked to the </w:t>
      </w:r>
      <w:bookmarkStart w:id="13" w:name="_Hlk41556550"/>
      <w:r w:rsidRPr="00F464FA">
        <w:t xml:space="preserve">MGDS III </w:t>
      </w:r>
      <w:bookmarkEnd w:id="13"/>
      <w:r w:rsidRPr="00F464FA">
        <w:t>and Agenda 2063 in ensuring job creation to fuel economic growth.</w:t>
      </w:r>
    </w:p>
    <w:p w14:paraId="534AC266" w14:textId="77777777" w:rsidR="00221DD4" w:rsidRPr="00F464FA" w:rsidRDefault="00221DD4" w:rsidP="00221DD4">
      <w:pPr>
        <w:pStyle w:val="SingleTxtG"/>
        <w:rPr>
          <w:bCs/>
        </w:rPr>
      </w:pPr>
      <w:r w:rsidRPr="00F464FA">
        <w:rPr>
          <w:bCs/>
        </w:rPr>
        <w:t>29.</w:t>
      </w:r>
      <w:r w:rsidRPr="00F464FA">
        <w:rPr>
          <w:bCs/>
        </w:rPr>
        <w:tab/>
      </w:r>
      <w:r w:rsidRPr="00F464FA">
        <w:t xml:space="preserve">In addition, in 2018, the Government through the Ministry of Labour, with support from the </w:t>
      </w:r>
      <w:bookmarkStart w:id="14" w:name="_Hlk41556716"/>
      <w:r w:rsidRPr="00F464FA">
        <w:t xml:space="preserve">African Development Bank (ADB) </w:t>
      </w:r>
      <w:bookmarkEnd w:id="14"/>
      <w:r w:rsidRPr="00F464FA">
        <w:t>began implementing a Jobs for Youth Project which seeks to employ graduates from different colleges and universities and vocational training schools as interns in different Government Ministries and Departments. The aim of the project is to equip new graduates with the necessary skills required in the Malawian job market. The second phase ended in January, 2020. The Internship programme employed around 2,227 young people.</w:t>
      </w:r>
    </w:p>
    <w:p w14:paraId="7610B41E" w14:textId="7AA1C6E4" w:rsidR="00221DD4" w:rsidRPr="00F464FA" w:rsidRDefault="005E5A6F" w:rsidP="00355030">
      <w:pPr>
        <w:pStyle w:val="H23G"/>
        <w:rPr>
          <w:lang w:val="en-GB"/>
        </w:rPr>
      </w:pPr>
      <w:r w:rsidRPr="00F464FA">
        <w:rPr>
          <w:lang w:val="en-GB"/>
        </w:rPr>
        <w:tab/>
      </w:r>
      <w:r w:rsidRPr="00F464FA">
        <w:rPr>
          <w:lang w:val="en-GB"/>
        </w:rPr>
        <w:tab/>
      </w:r>
      <w:r w:rsidR="00221DD4" w:rsidRPr="00F464FA">
        <w:rPr>
          <w:lang w:val="en-GB"/>
        </w:rPr>
        <w:t>Child Labour</w:t>
      </w:r>
    </w:p>
    <w:p w14:paraId="79DAE6C5" w14:textId="6169EB56" w:rsidR="00221DD4" w:rsidRPr="00F464FA" w:rsidRDefault="00221DD4" w:rsidP="00221DD4">
      <w:pPr>
        <w:pStyle w:val="SingleTxtG"/>
        <w:rPr>
          <w:bCs/>
        </w:rPr>
      </w:pPr>
      <w:r w:rsidRPr="00F464FA">
        <w:rPr>
          <w:bCs/>
        </w:rPr>
        <w:t>30.</w:t>
      </w:r>
      <w:r w:rsidRPr="00F464FA">
        <w:rPr>
          <w:bCs/>
        </w:rPr>
        <w:tab/>
      </w:r>
      <w:r w:rsidRPr="00F464FA">
        <w:t xml:space="preserve">In furthering the right to work, the Government of Malawi also ensures that children are not employed. </w:t>
      </w:r>
      <w:r w:rsidRPr="00F464FA">
        <w:rPr>
          <w:bCs/>
        </w:rPr>
        <w:t xml:space="preserve">Section 23(4) of the Constitution of Malawi, section 21 of the Education Act (Cap 30:01 of the Laws of Malawi), and the Child Care, Protection and Justice Act (Cap 26:03 of the Laws of Malawi) all prohibit child labour in Malawi. The totality of the law in </w:t>
      </w:r>
      <w:r w:rsidRPr="00F464FA">
        <w:rPr>
          <w:bCs/>
        </w:rPr>
        <w:lastRenderedPageBreak/>
        <w:t>the provisions just referred to is that the welfare of children must always be prioritized and children must never be exposed to conditions that are hazardous to their wellbeing.</w:t>
      </w:r>
    </w:p>
    <w:p w14:paraId="5DD407C7" w14:textId="77777777" w:rsidR="00221DD4" w:rsidRPr="00F464FA" w:rsidRDefault="00221DD4" w:rsidP="00221DD4">
      <w:pPr>
        <w:pStyle w:val="SingleTxtG"/>
      </w:pPr>
      <w:r w:rsidRPr="00F464FA">
        <w:t>31.</w:t>
      </w:r>
      <w:r w:rsidRPr="00F464FA">
        <w:tab/>
        <w:t>The 2015 Labour Survey, asserted that 38 percent of children between 5-17 years are engaged in child labour.</w:t>
      </w:r>
    </w:p>
    <w:p w14:paraId="2A3B5302" w14:textId="77777777" w:rsidR="00221DD4" w:rsidRPr="00F464FA" w:rsidRDefault="00221DD4" w:rsidP="00D4243B">
      <w:pPr>
        <w:pStyle w:val="SingleTxtG"/>
        <w:spacing w:after="240"/>
      </w:pPr>
      <w:r w:rsidRPr="00F464FA">
        <w:t>32.</w:t>
      </w:r>
      <w:r w:rsidRPr="00F464FA">
        <w:tab/>
        <w:t>By age-group, child labour was more prevalent among children aged 10 to 13 years (55 percent) followed by children aged 5 to 9 years (30 percent) and children 14 to 17 at 29 percent.</w:t>
      </w:r>
    </w:p>
    <w:p w14:paraId="40EC34EA" w14:textId="4232F4C1" w:rsidR="00221DD4" w:rsidRPr="00F464FA" w:rsidRDefault="00221DD4" w:rsidP="00221DD4">
      <w:pPr>
        <w:pStyle w:val="Heading1"/>
      </w:pPr>
      <w:r w:rsidRPr="00F464FA">
        <w:t>Table 5</w:t>
      </w:r>
    </w:p>
    <w:p w14:paraId="40B6CFE5" w14:textId="77777777" w:rsidR="00221DD4" w:rsidRPr="00F464FA" w:rsidRDefault="00221DD4" w:rsidP="00221DD4">
      <w:pPr>
        <w:pStyle w:val="SingleTxtG"/>
        <w:rPr>
          <w:b/>
        </w:rPr>
      </w:pPr>
      <w:r w:rsidRPr="00F464FA">
        <w:rPr>
          <w:b/>
        </w:rPr>
        <w:t xml:space="preserve">Percentages of children engaged in child labour by age group and sex </w:t>
      </w:r>
    </w:p>
    <w:p w14:paraId="40526AB2" w14:textId="77777777" w:rsidR="00221DD4" w:rsidRPr="00F464FA" w:rsidRDefault="00221DD4" w:rsidP="00221DD4">
      <w:pPr>
        <w:pStyle w:val="SingleTxtG"/>
        <w:spacing w:after="0"/>
      </w:pPr>
      <w:r w:rsidRPr="00F464FA">
        <w:object w:dxaOrig="11510" w:dyaOrig="5149" w14:anchorId="0BF18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45pt;height:165.75pt" o:ole="">
            <v:imagedata r:id="rId11" o:title=""/>
          </v:shape>
          <o:OLEObject Type="Embed" ProgID="Word.Document.12" ShapeID="_x0000_i1025" DrawAspect="Content" ObjectID="_1717593876" r:id="rId12"/>
        </w:object>
      </w:r>
    </w:p>
    <w:p w14:paraId="34D3F4B9" w14:textId="327FDF0E" w:rsidR="00221DD4" w:rsidRPr="00F464FA" w:rsidRDefault="00221DD4" w:rsidP="00D4243B">
      <w:pPr>
        <w:spacing w:before="120" w:after="240"/>
        <w:ind w:left="1134" w:right="1134" w:firstLine="170"/>
        <w:rPr>
          <w:sz w:val="18"/>
        </w:rPr>
      </w:pPr>
      <w:r w:rsidRPr="00F464FA">
        <w:rPr>
          <w:i/>
          <w:iCs/>
          <w:sz w:val="18"/>
        </w:rPr>
        <w:t>Source:</w:t>
      </w:r>
      <w:r w:rsidRPr="00F464FA">
        <w:rPr>
          <w:sz w:val="18"/>
        </w:rPr>
        <w:t xml:space="preserve"> National Child Labour Survey Report, 2015</w:t>
      </w:r>
      <w:r w:rsidR="00D4243B" w:rsidRPr="00F464FA">
        <w:rPr>
          <w:sz w:val="18"/>
        </w:rPr>
        <w:t>.</w:t>
      </w:r>
    </w:p>
    <w:p w14:paraId="426030AD" w14:textId="22B09CCA" w:rsidR="00221DD4" w:rsidRPr="00F464FA" w:rsidRDefault="00221DD4" w:rsidP="00AD671C">
      <w:pPr>
        <w:pStyle w:val="SingleTxtG"/>
        <w:spacing w:after="240"/>
        <w:rPr>
          <w:b/>
        </w:rPr>
      </w:pPr>
      <w:r w:rsidRPr="00F464FA">
        <w:t>33.</w:t>
      </w:r>
      <w:r w:rsidRPr="00F464FA">
        <w:tab/>
        <w:t xml:space="preserve">The survey also showed that 15.8 percent of children aged 5 to 9 years were engaged in non-hazardous work; 29.2 percent of the children aged 10 to 13 years were engaged in non-hazardous work and 38.7 percent of children </w:t>
      </w:r>
      <w:proofErr w:type="gramStart"/>
      <w:r w:rsidRPr="00F464FA">
        <w:t>age</w:t>
      </w:r>
      <w:proofErr w:type="gramEnd"/>
      <w:r w:rsidRPr="00F464FA">
        <w:t xml:space="preserve"> 10 to 13 years were engaged in hazardous work.</w:t>
      </w:r>
    </w:p>
    <w:p w14:paraId="7F384405" w14:textId="352F7CFD" w:rsidR="00221DD4" w:rsidRPr="00F464FA" w:rsidRDefault="00221DD4" w:rsidP="00221DD4">
      <w:pPr>
        <w:pStyle w:val="Heading1"/>
      </w:pPr>
      <w:r w:rsidRPr="00F464FA">
        <w:t>Table 6</w:t>
      </w:r>
    </w:p>
    <w:p w14:paraId="2C967897" w14:textId="77777777" w:rsidR="00221DD4" w:rsidRPr="00F464FA" w:rsidRDefault="00221DD4" w:rsidP="00221DD4">
      <w:pPr>
        <w:pStyle w:val="SingleTxtG"/>
        <w:rPr>
          <w:b/>
        </w:rPr>
      </w:pPr>
      <w:r w:rsidRPr="00F464FA">
        <w:rPr>
          <w:b/>
        </w:rPr>
        <w:t>Percentage of child engaged in child labour by categorization of hazardous and non-hazardous work and sex</w:t>
      </w:r>
    </w:p>
    <w:bookmarkStart w:id="15" w:name="_MON_1717416522"/>
    <w:bookmarkEnd w:id="15"/>
    <w:p w14:paraId="239D0D9A" w14:textId="6C7BB21E" w:rsidR="00221DD4" w:rsidRPr="00F464FA" w:rsidRDefault="00F504AB" w:rsidP="005C6D68">
      <w:pPr>
        <w:pStyle w:val="SingleTxtG"/>
        <w:spacing w:before="120" w:after="0"/>
        <w:ind w:firstLine="170"/>
        <w:jc w:val="left"/>
        <w:rPr>
          <w:sz w:val="18"/>
          <w:lang w:eastAsia="en-US"/>
        </w:rPr>
      </w:pPr>
      <w:r w:rsidRPr="00F464FA">
        <w:object w:dxaOrig="11510" w:dyaOrig="4361" w14:anchorId="4D0A62FB">
          <v:shape id="_x0000_i1026" type="#_x0000_t75" style="width:338.95pt;height:175.25pt" o:ole="">
            <v:imagedata r:id="rId13" o:title=""/>
          </v:shape>
          <o:OLEObject Type="Embed" ProgID="Word.Document.12" ShapeID="_x0000_i1026" DrawAspect="Content" ObjectID="_1717593877" r:id="rId14"/>
        </w:object>
      </w:r>
      <w:r w:rsidR="00221DD4" w:rsidRPr="00F464FA">
        <w:rPr>
          <w:i/>
          <w:iCs/>
          <w:sz w:val="18"/>
          <w:lang w:eastAsia="en-US"/>
        </w:rPr>
        <w:t>Source:</w:t>
      </w:r>
      <w:r w:rsidR="00221DD4" w:rsidRPr="00F464FA">
        <w:rPr>
          <w:sz w:val="18"/>
          <w:lang w:eastAsia="en-US"/>
        </w:rPr>
        <w:t xml:space="preserve"> National Child Labour Survey Report, 2015</w:t>
      </w:r>
      <w:r w:rsidR="00326EF0">
        <w:rPr>
          <w:sz w:val="18"/>
          <w:lang w:eastAsia="en-US"/>
        </w:rPr>
        <w:t>.</w:t>
      </w:r>
    </w:p>
    <w:p w14:paraId="5B1F9121" w14:textId="2617C58A" w:rsidR="00221DD4" w:rsidRPr="00F464FA" w:rsidRDefault="00221DD4" w:rsidP="00221DD4">
      <w:pPr>
        <w:pStyle w:val="Heading1"/>
        <w:pageBreakBefore/>
      </w:pPr>
      <w:r w:rsidRPr="00F464FA">
        <w:lastRenderedPageBreak/>
        <w:t>Table 7</w:t>
      </w:r>
    </w:p>
    <w:p w14:paraId="650F8411" w14:textId="77777777" w:rsidR="00221DD4" w:rsidRPr="00F464FA" w:rsidRDefault="00221DD4" w:rsidP="00221DD4">
      <w:pPr>
        <w:pStyle w:val="SingleTxtG"/>
        <w:rPr>
          <w:b/>
        </w:rPr>
      </w:pPr>
      <w:r w:rsidRPr="00F464FA">
        <w:rPr>
          <w:b/>
        </w:rPr>
        <w:t xml:space="preserve">Distribution of children (5-17 years) engaged in hazardous work by industries, sex and age-groups </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885"/>
        <w:gridCol w:w="886"/>
        <w:gridCol w:w="886"/>
        <w:gridCol w:w="886"/>
        <w:gridCol w:w="886"/>
        <w:gridCol w:w="886"/>
        <w:gridCol w:w="886"/>
        <w:gridCol w:w="886"/>
      </w:tblGrid>
      <w:tr w:rsidR="00FA10F1" w:rsidRPr="00F464FA" w14:paraId="5B533628" w14:textId="77777777" w:rsidTr="00B25A3C">
        <w:trPr>
          <w:tblHeader/>
        </w:trPr>
        <w:tc>
          <w:tcPr>
            <w:tcW w:w="1418" w:type="dxa"/>
            <w:tcBorders>
              <w:top w:val="single" w:sz="4" w:space="0" w:color="auto"/>
              <w:bottom w:val="single" w:sz="12" w:space="0" w:color="auto"/>
            </w:tcBorders>
            <w:shd w:val="clear" w:color="auto" w:fill="auto"/>
            <w:vAlign w:val="bottom"/>
          </w:tcPr>
          <w:p w14:paraId="05775FD8" w14:textId="2698A953" w:rsidR="00FA10F1" w:rsidRPr="00F464FA" w:rsidRDefault="00FA10F1" w:rsidP="00BF6955">
            <w:pPr>
              <w:pStyle w:val="SingleTxtG"/>
              <w:tabs>
                <w:tab w:val="clear" w:pos="1701"/>
                <w:tab w:val="clear" w:pos="2268"/>
              </w:tabs>
              <w:suppressAutoHyphens w:val="0"/>
              <w:spacing w:before="80" w:after="80" w:line="200" w:lineRule="exact"/>
              <w:ind w:left="0" w:right="113"/>
              <w:jc w:val="left"/>
              <w:rPr>
                <w:i/>
                <w:sz w:val="16"/>
              </w:rPr>
            </w:pPr>
            <w:r w:rsidRPr="00F464FA">
              <w:rPr>
                <w:i/>
                <w:sz w:val="16"/>
              </w:rPr>
              <w:t>Industry 5</w:t>
            </w:r>
            <w:r w:rsidR="005519EF" w:rsidRPr="00F464FA">
              <w:rPr>
                <w:i/>
                <w:sz w:val="16"/>
              </w:rPr>
              <w:t>–</w:t>
            </w:r>
            <w:r w:rsidRPr="00F464FA">
              <w:rPr>
                <w:i/>
                <w:sz w:val="16"/>
              </w:rPr>
              <w:t xml:space="preserve">9 years </w:t>
            </w:r>
          </w:p>
        </w:tc>
        <w:tc>
          <w:tcPr>
            <w:tcW w:w="885" w:type="dxa"/>
            <w:tcBorders>
              <w:top w:val="single" w:sz="4" w:space="0" w:color="auto"/>
              <w:bottom w:val="single" w:sz="12" w:space="0" w:color="auto"/>
            </w:tcBorders>
            <w:shd w:val="clear" w:color="auto" w:fill="auto"/>
            <w:vAlign w:val="bottom"/>
          </w:tcPr>
          <w:p w14:paraId="4FA490E6" w14:textId="77777777" w:rsidR="00FA10F1" w:rsidRPr="00F464FA" w:rsidRDefault="00FA10F1" w:rsidP="00E33675">
            <w:pPr>
              <w:pStyle w:val="SingleTxtG"/>
              <w:tabs>
                <w:tab w:val="clear" w:pos="1701"/>
                <w:tab w:val="clear" w:pos="2268"/>
              </w:tabs>
              <w:suppressAutoHyphens w:val="0"/>
              <w:spacing w:before="80" w:after="80" w:line="200" w:lineRule="exact"/>
              <w:ind w:left="0" w:right="113"/>
              <w:jc w:val="right"/>
              <w:rPr>
                <w:i/>
                <w:sz w:val="16"/>
              </w:rPr>
            </w:pPr>
          </w:p>
        </w:tc>
        <w:tc>
          <w:tcPr>
            <w:tcW w:w="886" w:type="dxa"/>
            <w:tcBorders>
              <w:top w:val="single" w:sz="4" w:space="0" w:color="auto"/>
              <w:bottom w:val="single" w:sz="12" w:space="0" w:color="auto"/>
            </w:tcBorders>
            <w:shd w:val="clear" w:color="auto" w:fill="auto"/>
            <w:vAlign w:val="bottom"/>
          </w:tcPr>
          <w:p w14:paraId="7757A091" w14:textId="77777777" w:rsidR="00FA10F1" w:rsidRPr="00F464FA" w:rsidRDefault="00FA10F1" w:rsidP="00E33675">
            <w:pPr>
              <w:pStyle w:val="SingleTxtG"/>
              <w:tabs>
                <w:tab w:val="clear" w:pos="1701"/>
                <w:tab w:val="clear" w:pos="2268"/>
              </w:tabs>
              <w:suppressAutoHyphens w:val="0"/>
              <w:spacing w:before="80" w:after="80" w:line="200" w:lineRule="exact"/>
              <w:ind w:left="0" w:right="113"/>
              <w:jc w:val="right"/>
              <w:rPr>
                <w:i/>
                <w:sz w:val="16"/>
              </w:rPr>
            </w:pPr>
          </w:p>
        </w:tc>
        <w:tc>
          <w:tcPr>
            <w:tcW w:w="886" w:type="dxa"/>
            <w:tcBorders>
              <w:top w:val="single" w:sz="4" w:space="0" w:color="auto"/>
              <w:bottom w:val="single" w:sz="12" w:space="0" w:color="auto"/>
            </w:tcBorders>
            <w:shd w:val="clear" w:color="auto" w:fill="auto"/>
            <w:vAlign w:val="bottom"/>
          </w:tcPr>
          <w:p w14:paraId="77B7D2C8" w14:textId="07B1236F" w:rsidR="00FA10F1" w:rsidRPr="00F464FA" w:rsidRDefault="00FA10F1" w:rsidP="003E4C1C">
            <w:pPr>
              <w:pStyle w:val="SingleTxtG"/>
              <w:tabs>
                <w:tab w:val="clear" w:pos="1701"/>
                <w:tab w:val="clear" w:pos="2268"/>
              </w:tabs>
              <w:suppressAutoHyphens w:val="0"/>
              <w:spacing w:before="80" w:after="80" w:line="200" w:lineRule="exact"/>
              <w:ind w:left="0" w:right="57"/>
              <w:jc w:val="right"/>
              <w:rPr>
                <w:i/>
                <w:sz w:val="16"/>
              </w:rPr>
            </w:pPr>
            <w:r w:rsidRPr="00F464FA">
              <w:rPr>
                <w:i/>
                <w:sz w:val="16"/>
              </w:rPr>
              <w:t>10</w:t>
            </w:r>
            <w:r w:rsidR="005A68A4" w:rsidRPr="00F464FA">
              <w:rPr>
                <w:i/>
                <w:sz w:val="16"/>
              </w:rPr>
              <w:t>–</w:t>
            </w:r>
            <w:r w:rsidRPr="00F464FA">
              <w:rPr>
                <w:i/>
                <w:sz w:val="16"/>
              </w:rPr>
              <w:t>13 years</w:t>
            </w:r>
          </w:p>
        </w:tc>
        <w:tc>
          <w:tcPr>
            <w:tcW w:w="886" w:type="dxa"/>
            <w:tcBorders>
              <w:top w:val="single" w:sz="4" w:space="0" w:color="auto"/>
              <w:bottom w:val="single" w:sz="12" w:space="0" w:color="auto"/>
            </w:tcBorders>
            <w:shd w:val="clear" w:color="auto" w:fill="auto"/>
            <w:vAlign w:val="bottom"/>
          </w:tcPr>
          <w:p w14:paraId="621E4973" w14:textId="77777777" w:rsidR="00FA10F1" w:rsidRPr="00F464FA" w:rsidRDefault="00FA10F1" w:rsidP="003E4C1C">
            <w:pPr>
              <w:pStyle w:val="SingleTxtG"/>
              <w:tabs>
                <w:tab w:val="clear" w:pos="1701"/>
                <w:tab w:val="clear" w:pos="2268"/>
              </w:tabs>
              <w:suppressAutoHyphens w:val="0"/>
              <w:spacing w:before="80" w:after="80" w:line="200" w:lineRule="exact"/>
              <w:ind w:left="0" w:right="57"/>
              <w:jc w:val="right"/>
              <w:rPr>
                <w:i/>
                <w:sz w:val="16"/>
              </w:rPr>
            </w:pPr>
          </w:p>
        </w:tc>
        <w:tc>
          <w:tcPr>
            <w:tcW w:w="886" w:type="dxa"/>
            <w:tcBorders>
              <w:top w:val="single" w:sz="4" w:space="0" w:color="auto"/>
              <w:bottom w:val="single" w:sz="12" w:space="0" w:color="auto"/>
            </w:tcBorders>
            <w:shd w:val="clear" w:color="auto" w:fill="auto"/>
            <w:vAlign w:val="bottom"/>
          </w:tcPr>
          <w:p w14:paraId="3EF4B84A" w14:textId="56B27B03" w:rsidR="00FA10F1" w:rsidRPr="00F464FA" w:rsidRDefault="00FA10F1" w:rsidP="003E4C1C">
            <w:pPr>
              <w:pStyle w:val="SingleTxtG"/>
              <w:tabs>
                <w:tab w:val="clear" w:pos="1701"/>
                <w:tab w:val="clear" w:pos="2268"/>
              </w:tabs>
              <w:suppressAutoHyphens w:val="0"/>
              <w:spacing w:before="80" w:after="80" w:line="200" w:lineRule="exact"/>
              <w:ind w:left="0" w:right="57"/>
              <w:jc w:val="right"/>
              <w:rPr>
                <w:i/>
                <w:sz w:val="16"/>
              </w:rPr>
            </w:pPr>
            <w:r w:rsidRPr="00F464FA">
              <w:rPr>
                <w:i/>
                <w:sz w:val="16"/>
              </w:rPr>
              <w:t>14</w:t>
            </w:r>
            <w:r w:rsidR="005A68A4" w:rsidRPr="00F464FA">
              <w:rPr>
                <w:i/>
                <w:sz w:val="16"/>
              </w:rPr>
              <w:t>–</w:t>
            </w:r>
            <w:r w:rsidRPr="00F464FA">
              <w:rPr>
                <w:i/>
                <w:sz w:val="16"/>
              </w:rPr>
              <w:t>17 years</w:t>
            </w:r>
          </w:p>
        </w:tc>
        <w:tc>
          <w:tcPr>
            <w:tcW w:w="886" w:type="dxa"/>
            <w:tcBorders>
              <w:top w:val="single" w:sz="4" w:space="0" w:color="auto"/>
              <w:bottom w:val="single" w:sz="12" w:space="0" w:color="auto"/>
            </w:tcBorders>
            <w:shd w:val="clear" w:color="auto" w:fill="auto"/>
            <w:vAlign w:val="bottom"/>
          </w:tcPr>
          <w:p w14:paraId="4D4EBDDB" w14:textId="77777777" w:rsidR="00FA10F1" w:rsidRPr="00F464FA" w:rsidRDefault="00FA10F1" w:rsidP="00E33675">
            <w:pPr>
              <w:pStyle w:val="SingleTxtG"/>
              <w:tabs>
                <w:tab w:val="clear" w:pos="1701"/>
                <w:tab w:val="clear" w:pos="2268"/>
              </w:tabs>
              <w:suppressAutoHyphens w:val="0"/>
              <w:spacing w:before="80" w:after="80" w:line="200" w:lineRule="exact"/>
              <w:ind w:left="0" w:right="113"/>
              <w:jc w:val="right"/>
              <w:rPr>
                <w:i/>
                <w:sz w:val="16"/>
              </w:rPr>
            </w:pPr>
          </w:p>
        </w:tc>
        <w:tc>
          <w:tcPr>
            <w:tcW w:w="886" w:type="dxa"/>
            <w:tcBorders>
              <w:top w:val="single" w:sz="4" w:space="0" w:color="auto"/>
              <w:bottom w:val="single" w:sz="12" w:space="0" w:color="auto"/>
            </w:tcBorders>
            <w:shd w:val="clear" w:color="auto" w:fill="auto"/>
            <w:vAlign w:val="bottom"/>
          </w:tcPr>
          <w:p w14:paraId="1F4A5B4A" w14:textId="7E791068" w:rsidR="00FA10F1" w:rsidRPr="00F464FA" w:rsidRDefault="00FA10F1" w:rsidP="00E33675">
            <w:pPr>
              <w:pStyle w:val="SingleTxtG"/>
              <w:tabs>
                <w:tab w:val="clear" w:pos="1701"/>
                <w:tab w:val="clear" w:pos="2268"/>
              </w:tabs>
              <w:suppressAutoHyphens w:val="0"/>
              <w:spacing w:before="80" w:after="80" w:line="200" w:lineRule="exact"/>
              <w:ind w:left="0" w:right="113"/>
              <w:jc w:val="right"/>
              <w:rPr>
                <w:i/>
                <w:sz w:val="16"/>
              </w:rPr>
            </w:pPr>
          </w:p>
        </w:tc>
        <w:tc>
          <w:tcPr>
            <w:tcW w:w="886" w:type="dxa"/>
            <w:tcBorders>
              <w:top w:val="single" w:sz="4" w:space="0" w:color="auto"/>
              <w:bottom w:val="single" w:sz="12" w:space="0" w:color="auto"/>
            </w:tcBorders>
            <w:shd w:val="clear" w:color="auto" w:fill="auto"/>
            <w:vAlign w:val="bottom"/>
          </w:tcPr>
          <w:p w14:paraId="029CFAEE" w14:textId="606D26B4" w:rsidR="00FA10F1" w:rsidRPr="00F464FA" w:rsidRDefault="00F53882" w:rsidP="00E3367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Total</w:t>
            </w:r>
          </w:p>
        </w:tc>
      </w:tr>
      <w:tr w:rsidR="00BF6955" w:rsidRPr="00F464FA" w14:paraId="7C070C13" w14:textId="77777777" w:rsidTr="00F53882">
        <w:tc>
          <w:tcPr>
            <w:tcW w:w="1418" w:type="dxa"/>
            <w:tcBorders>
              <w:top w:val="single" w:sz="12" w:space="0" w:color="auto"/>
              <w:bottom w:val="single" w:sz="4" w:space="0" w:color="auto"/>
            </w:tcBorders>
            <w:shd w:val="clear" w:color="auto" w:fill="auto"/>
          </w:tcPr>
          <w:p w14:paraId="22517121" w14:textId="77777777" w:rsidR="00221DD4" w:rsidRPr="00F464FA" w:rsidRDefault="00221DD4" w:rsidP="00F53882">
            <w:pPr>
              <w:pStyle w:val="SingleTxtG"/>
              <w:tabs>
                <w:tab w:val="clear" w:pos="1701"/>
                <w:tab w:val="clear" w:pos="2268"/>
              </w:tabs>
              <w:suppressAutoHyphens w:val="0"/>
              <w:spacing w:before="80" w:after="80" w:line="220" w:lineRule="exact"/>
              <w:ind w:left="283" w:right="0"/>
              <w:jc w:val="left"/>
              <w:rPr>
                <w:b/>
                <w:sz w:val="18"/>
              </w:rPr>
            </w:pPr>
            <w:r w:rsidRPr="00F464FA">
              <w:rPr>
                <w:b/>
                <w:sz w:val="18"/>
              </w:rPr>
              <w:t>Total</w:t>
            </w:r>
          </w:p>
        </w:tc>
        <w:tc>
          <w:tcPr>
            <w:tcW w:w="885" w:type="dxa"/>
            <w:tcBorders>
              <w:top w:val="single" w:sz="12" w:space="0" w:color="auto"/>
              <w:bottom w:val="single" w:sz="4" w:space="0" w:color="auto"/>
            </w:tcBorders>
            <w:shd w:val="clear" w:color="auto" w:fill="auto"/>
          </w:tcPr>
          <w:p w14:paraId="296DCC3E" w14:textId="17441361"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371</w:t>
            </w:r>
            <w:r w:rsidR="00056EC2" w:rsidRPr="00F464FA">
              <w:rPr>
                <w:b/>
                <w:sz w:val="18"/>
              </w:rPr>
              <w:t xml:space="preserve"> </w:t>
            </w:r>
            <w:r w:rsidRPr="00F464FA">
              <w:rPr>
                <w:b/>
                <w:sz w:val="18"/>
              </w:rPr>
              <w:t>112</w:t>
            </w:r>
          </w:p>
        </w:tc>
        <w:tc>
          <w:tcPr>
            <w:tcW w:w="886" w:type="dxa"/>
            <w:tcBorders>
              <w:top w:val="single" w:sz="12" w:space="0" w:color="auto"/>
              <w:bottom w:val="single" w:sz="4" w:space="0" w:color="auto"/>
            </w:tcBorders>
            <w:shd w:val="clear" w:color="auto" w:fill="auto"/>
          </w:tcPr>
          <w:p w14:paraId="74412469" w14:textId="77777777"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12" w:space="0" w:color="auto"/>
              <w:bottom w:val="single" w:sz="4" w:space="0" w:color="auto"/>
            </w:tcBorders>
            <w:shd w:val="clear" w:color="auto" w:fill="auto"/>
          </w:tcPr>
          <w:p w14:paraId="021ED1B3" w14:textId="317AA025"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391</w:t>
            </w:r>
            <w:r w:rsidR="00056EC2" w:rsidRPr="00F464FA">
              <w:rPr>
                <w:b/>
                <w:sz w:val="18"/>
              </w:rPr>
              <w:t xml:space="preserve"> </w:t>
            </w:r>
            <w:r w:rsidRPr="00F464FA">
              <w:rPr>
                <w:b/>
                <w:sz w:val="18"/>
              </w:rPr>
              <w:t>191</w:t>
            </w:r>
          </w:p>
        </w:tc>
        <w:tc>
          <w:tcPr>
            <w:tcW w:w="886" w:type="dxa"/>
            <w:tcBorders>
              <w:top w:val="single" w:sz="12" w:space="0" w:color="auto"/>
              <w:bottom w:val="single" w:sz="4" w:space="0" w:color="auto"/>
            </w:tcBorders>
            <w:shd w:val="clear" w:color="auto" w:fill="auto"/>
          </w:tcPr>
          <w:p w14:paraId="735F75C0" w14:textId="77777777"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12" w:space="0" w:color="auto"/>
              <w:bottom w:val="single" w:sz="4" w:space="0" w:color="auto"/>
            </w:tcBorders>
            <w:shd w:val="clear" w:color="auto" w:fill="auto"/>
          </w:tcPr>
          <w:p w14:paraId="303529A9" w14:textId="6DDB44F0"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401</w:t>
            </w:r>
            <w:r w:rsidR="00056EC2" w:rsidRPr="00F464FA">
              <w:rPr>
                <w:b/>
                <w:sz w:val="18"/>
              </w:rPr>
              <w:t xml:space="preserve"> </w:t>
            </w:r>
            <w:r w:rsidRPr="00F464FA">
              <w:rPr>
                <w:b/>
                <w:sz w:val="18"/>
              </w:rPr>
              <w:t>336</w:t>
            </w:r>
          </w:p>
        </w:tc>
        <w:tc>
          <w:tcPr>
            <w:tcW w:w="886" w:type="dxa"/>
            <w:tcBorders>
              <w:top w:val="single" w:sz="12" w:space="0" w:color="auto"/>
              <w:bottom w:val="single" w:sz="4" w:space="0" w:color="auto"/>
            </w:tcBorders>
            <w:shd w:val="clear" w:color="auto" w:fill="auto"/>
          </w:tcPr>
          <w:p w14:paraId="028BF9F6" w14:textId="77777777"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12" w:space="0" w:color="auto"/>
              <w:bottom w:val="single" w:sz="4" w:space="0" w:color="auto"/>
            </w:tcBorders>
            <w:shd w:val="clear" w:color="auto" w:fill="auto"/>
          </w:tcPr>
          <w:p w14:paraId="4F01035F" w14:textId="4298FDBC"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w:t>
            </w:r>
            <w:r w:rsidR="00056EC2" w:rsidRPr="00F464FA">
              <w:rPr>
                <w:b/>
                <w:sz w:val="18"/>
              </w:rPr>
              <w:t xml:space="preserve"> </w:t>
            </w:r>
            <w:r w:rsidRPr="00F464FA">
              <w:rPr>
                <w:b/>
                <w:sz w:val="18"/>
              </w:rPr>
              <w:t>163</w:t>
            </w:r>
            <w:r w:rsidR="00056EC2" w:rsidRPr="00F464FA">
              <w:rPr>
                <w:b/>
                <w:sz w:val="18"/>
              </w:rPr>
              <w:t xml:space="preserve"> </w:t>
            </w:r>
            <w:r w:rsidRPr="00F464FA">
              <w:rPr>
                <w:b/>
                <w:sz w:val="18"/>
              </w:rPr>
              <w:t>639</w:t>
            </w:r>
          </w:p>
        </w:tc>
        <w:tc>
          <w:tcPr>
            <w:tcW w:w="886" w:type="dxa"/>
            <w:tcBorders>
              <w:top w:val="single" w:sz="12" w:space="0" w:color="auto"/>
              <w:bottom w:val="single" w:sz="4" w:space="0" w:color="auto"/>
            </w:tcBorders>
            <w:shd w:val="clear" w:color="auto" w:fill="auto"/>
            <w:vAlign w:val="bottom"/>
          </w:tcPr>
          <w:p w14:paraId="74EB2568" w14:textId="77777777" w:rsidR="00221DD4" w:rsidRPr="00F464FA" w:rsidRDefault="00221DD4" w:rsidP="00F53882">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r>
      <w:tr w:rsidR="00BF6955" w:rsidRPr="00F464FA" w14:paraId="332F86AB" w14:textId="77777777" w:rsidTr="005A05E6">
        <w:tc>
          <w:tcPr>
            <w:tcW w:w="1418" w:type="dxa"/>
            <w:tcBorders>
              <w:top w:val="single" w:sz="4" w:space="0" w:color="auto"/>
            </w:tcBorders>
            <w:shd w:val="clear" w:color="auto" w:fill="auto"/>
          </w:tcPr>
          <w:p w14:paraId="35673A80" w14:textId="456F9A53"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Agriculture,</w:t>
            </w:r>
            <w:r w:rsidR="00B25A3C" w:rsidRPr="00F464FA">
              <w:rPr>
                <w:sz w:val="18"/>
              </w:rPr>
              <w:t xml:space="preserve"> Forestry, Fishing</w:t>
            </w:r>
          </w:p>
        </w:tc>
        <w:tc>
          <w:tcPr>
            <w:tcW w:w="885" w:type="dxa"/>
            <w:tcBorders>
              <w:top w:val="single" w:sz="4" w:space="0" w:color="auto"/>
            </w:tcBorders>
            <w:shd w:val="clear" w:color="auto" w:fill="auto"/>
            <w:vAlign w:val="bottom"/>
          </w:tcPr>
          <w:p w14:paraId="543C153E" w14:textId="10D0375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175</w:t>
            </w:r>
            <w:r w:rsidR="00056EC2" w:rsidRPr="00F464FA">
              <w:rPr>
                <w:sz w:val="18"/>
              </w:rPr>
              <w:t xml:space="preserve"> </w:t>
            </w:r>
            <w:r w:rsidRPr="00F464FA">
              <w:rPr>
                <w:sz w:val="18"/>
              </w:rPr>
              <w:t>354</w:t>
            </w:r>
          </w:p>
        </w:tc>
        <w:tc>
          <w:tcPr>
            <w:tcW w:w="886" w:type="dxa"/>
            <w:tcBorders>
              <w:top w:val="single" w:sz="4" w:space="0" w:color="auto"/>
            </w:tcBorders>
            <w:shd w:val="clear" w:color="auto" w:fill="auto"/>
            <w:vAlign w:val="bottom"/>
          </w:tcPr>
          <w:p w14:paraId="2007D613"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47.3%</w:t>
            </w:r>
          </w:p>
        </w:tc>
        <w:tc>
          <w:tcPr>
            <w:tcW w:w="886" w:type="dxa"/>
            <w:tcBorders>
              <w:top w:val="single" w:sz="4" w:space="0" w:color="auto"/>
            </w:tcBorders>
            <w:shd w:val="clear" w:color="auto" w:fill="auto"/>
            <w:vAlign w:val="bottom"/>
          </w:tcPr>
          <w:p w14:paraId="67AC559D" w14:textId="5D097924"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263</w:t>
            </w:r>
            <w:r w:rsidR="00056EC2" w:rsidRPr="00F464FA">
              <w:rPr>
                <w:sz w:val="18"/>
              </w:rPr>
              <w:t xml:space="preserve"> </w:t>
            </w:r>
            <w:r w:rsidRPr="00F464FA">
              <w:rPr>
                <w:sz w:val="18"/>
              </w:rPr>
              <w:t>967</w:t>
            </w:r>
          </w:p>
        </w:tc>
        <w:tc>
          <w:tcPr>
            <w:tcW w:w="886" w:type="dxa"/>
            <w:tcBorders>
              <w:top w:val="single" w:sz="4" w:space="0" w:color="auto"/>
            </w:tcBorders>
            <w:shd w:val="clear" w:color="auto" w:fill="auto"/>
            <w:vAlign w:val="bottom"/>
          </w:tcPr>
          <w:p w14:paraId="595D6983"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67.5%</w:t>
            </w:r>
          </w:p>
        </w:tc>
        <w:tc>
          <w:tcPr>
            <w:tcW w:w="886" w:type="dxa"/>
            <w:tcBorders>
              <w:top w:val="single" w:sz="4" w:space="0" w:color="auto"/>
            </w:tcBorders>
            <w:shd w:val="clear" w:color="auto" w:fill="auto"/>
            <w:vAlign w:val="bottom"/>
          </w:tcPr>
          <w:p w14:paraId="6FA59BA2" w14:textId="7CBA5723"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330</w:t>
            </w:r>
            <w:r w:rsidR="00056EC2" w:rsidRPr="00F464FA">
              <w:rPr>
                <w:sz w:val="18"/>
              </w:rPr>
              <w:t xml:space="preserve"> </w:t>
            </w:r>
            <w:r w:rsidRPr="00F464FA">
              <w:rPr>
                <w:sz w:val="18"/>
              </w:rPr>
              <w:t>606</w:t>
            </w:r>
          </w:p>
        </w:tc>
        <w:tc>
          <w:tcPr>
            <w:tcW w:w="886" w:type="dxa"/>
            <w:tcBorders>
              <w:top w:val="single" w:sz="4" w:space="0" w:color="auto"/>
            </w:tcBorders>
            <w:shd w:val="clear" w:color="auto" w:fill="auto"/>
            <w:vAlign w:val="bottom"/>
          </w:tcPr>
          <w:p w14:paraId="3F5075E9"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82.4%</w:t>
            </w:r>
          </w:p>
        </w:tc>
        <w:tc>
          <w:tcPr>
            <w:tcW w:w="886" w:type="dxa"/>
            <w:tcBorders>
              <w:top w:val="single" w:sz="4" w:space="0" w:color="auto"/>
            </w:tcBorders>
            <w:shd w:val="clear" w:color="auto" w:fill="auto"/>
            <w:vAlign w:val="bottom"/>
          </w:tcPr>
          <w:p w14:paraId="0CC84064" w14:textId="0DF5B07C"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769</w:t>
            </w:r>
            <w:r w:rsidR="00056EC2" w:rsidRPr="00F464FA">
              <w:rPr>
                <w:sz w:val="18"/>
              </w:rPr>
              <w:t xml:space="preserve"> </w:t>
            </w:r>
            <w:r w:rsidRPr="00F464FA">
              <w:rPr>
                <w:sz w:val="18"/>
              </w:rPr>
              <w:t>927</w:t>
            </w:r>
          </w:p>
        </w:tc>
        <w:tc>
          <w:tcPr>
            <w:tcW w:w="886" w:type="dxa"/>
            <w:tcBorders>
              <w:top w:val="single" w:sz="4" w:space="0" w:color="auto"/>
            </w:tcBorders>
            <w:shd w:val="clear" w:color="auto" w:fill="auto"/>
            <w:vAlign w:val="bottom"/>
          </w:tcPr>
          <w:p w14:paraId="795B0082"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66.2%</w:t>
            </w:r>
          </w:p>
        </w:tc>
      </w:tr>
      <w:tr w:rsidR="00BF6955" w:rsidRPr="00F464FA" w14:paraId="0E1893F4" w14:textId="77777777" w:rsidTr="00B25A3C">
        <w:tc>
          <w:tcPr>
            <w:tcW w:w="1418" w:type="dxa"/>
            <w:shd w:val="clear" w:color="auto" w:fill="auto"/>
          </w:tcPr>
          <w:p w14:paraId="79CE6A0E"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Construction</w:t>
            </w:r>
          </w:p>
        </w:tc>
        <w:tc>
          <w:tcPr>
            <w:tcW w:w="885" w:type="dxa"/>
            <w:shd w:val="clear" w:color="auto" w:fill="auto"/>
          </w:tcPr>
          <w:p w14:paraId="7EC7A553" w14:textId="4575024A"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8</w:t>
            </w:r>
            <w:r w:rsidR="00056EC2" w:rsidRPr="00F464FA">
              <w:rPr>
                <w:sz w:val="18"/>
              </w:rPr>
              <w:t xml:space="preserve"> </w:t>
            </w:r>
            <w:r w:rsidRPr="00F464FA">
              <w:rPr>
                <w:sz w:val="18"/>
              </w:rPr>
              <w:t>709</w:t>
            </w:r>
          </w:p>
        </w:tc>
        <w:tc>
          <w:tcPr>
            <w:tcW w:w="886" w:type="dxa"/>
            <w:shd w:val="clear" w:color="auto" w:fill="auto"/>
          </w:tcPr>
          <w:p w14:paraId="4C1E664D"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2.3%</w:t>
            </w:r>
          </w:p>
        </w:tc>
        <w:tc>
          <w:tcPr>
            <w:tcW w:w="886" w:type="dxa"/>
            <w:shd w:val="clear" w:color="auto" w:fill="auto"/>
          </w:tcPr>
          <w:p w14:paraId="45476945" w14:textId="67F9023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12</w:t>
            </w:r>
            <w:r w:rsidR="00056EC2" w:rsidRPr="00F464FA">
              <w:rPr>
                <w:sz w:val="18"/>
              </w:rPr>
              <w:t xml:space="preserve"> </w:t>
            </w:r>
            <w:r w:rsidRPr="00F464FA">
              <w:rPr>
                <w:sz w:val="18"/>
              </w:rPr>
              <w:t>996</w:t>
            </w:r>
          </w:p>
        </w:tc>
        <w:tc>
          <w:tcPr>
            <w:tcW w:w="886" w:type="dxa"/>
            <w:shd w:val="clear" w:color="auto" w:fill="auto"/>
          </w:tcPr>
          <w:p w14:paraId="5F9E58FA"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3.3%</w:t>
            </w:r>
          </w:p>
        </w:tc>
        <w:tc>
          <w:tcPr>
            <w:tcW w:w="886" w:type="dxa"/>
            <w:shd w:val="clear" w:color="auto" w:fill="auto"/>
          </w:tcPr>
          <w:p w14:paraId="58C851A6" w14:textId="0E5567C3"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15</w:t>
            </w:r>
            <w:r w:rsidR="00056EC2" w:rsidRPr="00F464FA">
              <w:rPr>
                <w:sz w:val="18"/>
              </w:rPr>
              <w:t xml:space="preserve"> </w:t>
            </w:r>
            <w:r w:rsidRPr="00F464FA">
              <w:rPr>
                <w:sz w:val="18"/>
              </w:rPr>
              <w:t>052</w:t>
            </w:r>
          </w:p>
        </w:tc>
        <w:tc>
          <w:tcPr>
            <w:tcW w:w="886" w:type="dxa"/>
            <w:shd w:val="clear" w:color="auto" w:fill="auto"/>
          </w:tcPr>
          <w:p w14:paraId="17F13D8D"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3.8%</w:t>
            </w:r>
          </w:p>
        </w:tc>
        <w:tc>
          <w:tcPr>
            <w:tcW w:w="886" w:type="dxa"/>
            <w:shd w:val="clear" w:color="auto" w:fill="auto"/>
          </w:tcPr>
          <w:p w14:paraId="1CD30173" w14:textId="582FBEB6"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36</w:t>
            </w:r>
            <w:r w:rsidR="00056EC2" w:rsidRPr="00F464FA">
              <w:rPr>
                <w:sz w:val="18"/>
              </w:rPr>
              <w:t xml:space="preserve"> </w:t>
            </w:r>
            <w:r w:rsidRPr="00F464FA">
              <w:rPr>
                <w:sz w:val="18"/>
              </w:rPr>
              <w:t>757</w:t>
            </w:r>
          </w:p>
        </w:tc>
        <w:tc>
          <w:tcPr>
            <w:tcW w:w="886" w:type="dxa"/>
            <w:shd w:val="clear" w:color="auto" w:fill="auto"/>
            <w:vAlign w:val="bottom"/>
          </w:tcPr>
          <w:p w14:paraId="65EB473B"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3.2%</w:t>
            </w:r>
          </w:p>
        </w:tc>
      </w:tr>
      <w:tr w:rsidR="00BF6955" w:rsidRPr="00F464FA" w14:paraId="01ABDCC4" w14:textId="77777777" w:rsidTr="004E57EC">
        <w:tc>
          <w:tcPr>
            <w:tcW w:w="1418" w:type="dxa"/>
            <w:shd w:val="clear" w:color="auto" w:fill="auto"/>
          </w:tcPr>
          <w:p w14:paraId="5FF0B23C" w14:textId="7BC4775B"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Wholesale &amp;</w:t>
            </w:r>
            <w:r w:rsidR="00B25A3C" w:rsidRPr="00F464FA">
              <w:rPr>
                <w:sz w:val="18"/>
              </w:rPr>
              <w:t xml:space="preserve"> Retail</w:t>
            </w:r>
          </w:p>
        </w:tc>
        <w:tc>
          <w:tcPr>
            <w:tcW w:w="885" w:type="dxa"/>
            <w:shd w:val="clear" w:color="auto" w:fill="auto"/>
            <w:vAlign w:val="bottom"/>
          </w:tcPr>
          <w:p w14:paraId="2FF28349" w14:textId="2CDEB124"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w:t>
            </w:r>
            <w:r w:rsidR="00056EC2" w:rsidRPr="00F464FA">
              <w:rPr>
                <w:sz w:val="18"/>
              </w:rPr>
              <w:t xml:space="preserve"> </w:t>
            </w:r>
            <w:r w:rsidRPr="00F464FA">
              <w:rPr>
                <w:sz w:val="18"/>
              </w:rPr>
              <w:t>471</w:t>
            </w:r>
          </w:p>
        </w:tc>
        <w:tc>
          <w:tcPr>
            <w:tcW w:w="886" w:type="dxa"/>
            <w:shd w:val="clear" w:color="auto" w:fill="auto"/>
            <w:vAlign w:val="bottom"/>
          </w:tcPr>
          <w:p w14:paraId="05A3590C"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0.9%</w:t>
            </w:r>
          </w:p>
        </w:tc>
        <w:tc>
          <w:tcPr>
            <w:tcW w:w="886" w:type="dxa"/>
            <w:shd w:val="clear" w:color="auto" w:fill="auto"/>
            <w:vAlign w:val="bottom"/>
          </w:tcPr>
          <w:p w14:paraId="669BC672" w14:textId="57F50EC4"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13</w:t>
            </w:r>
            <w:r w:rsidR="00056EC2" w:rsidRPr="00F464FA">
              <w:rPr>
                <w:sz w:val="18"/>
              </w:rPr>
              <w:t xml:space="preserve"> </w:t>
            </w:r>
            <w:r w:rsidRPr="00F464FA">
              <w:rPr>
                <w:sz w:val="18"/>
              </w:rPr>
              <w:t>294</w:t>
            </w:r>
          </w:p>
        </w:tc>
        <w:tc>
          <w:tcPr>
            <w:tcW w:w="886" w:type="dxa"/>
            <w:shd w:val="clear" w:color="auto" w:fill="auto"/>
            <w:vAlign w:val="bottom"/>
          </w:tcPr>
          <w:p w14:paraId="01190040"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3.4%</w:t>
            </w:r>
          </w:p>
        </w:tc>
        <w:tc>
          <w:tcPr>
            <w:tcW w:w="886" w:type="dxa"/>
            <w:shd w:val="clear" w:color="auto" w:fill="auto"/>
            <w:vAlign w:val="bottom"/>
          </w:tcPr>
          <w:p w14:paraId="372B3BE4" w14:textId="2DEC0464"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15</w:t>
            </w:r>
            <w:r w:rsidR="00056EC2" w:rsidRPr="00F464FA">
              <w:rPr>
                <w:sz w:val="18"/>
              </w:rPr>
              <w:t xml:space="preserve"> </w:t>
            </w:r>
            <w:r w:rsidRPr="00F464FA">
              <w:rPr>
                <w:sz w:val="18"/>
              </w:rPr>
              <w:t>620</w:t>
            </w:r>
          </w:p>
        </w:tc>
        <w:tc>
          <w:tcPr>
            <w:tcW w:w="886" w:type="dxa"/>
            <w:shd w:val="clear" w:color="auto" w:fill="auto"/>
            <w:vAlign w:val="bottom"/>
          </w:tcPr>
          <w:p w14:paraId="10A56CDA"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3.9%</w:t>
            </w:r>
          </w:p>
        </w:tc>
        <w:tc>
          <w:tcPr>
            <w:tcW w:w="886" w:type="dxa"/>
            <w:shd w:val="clear" w:color="auto" w:fill="auto"/>
            <w:vAlign w:val="bottom"/>
          </w:tcPr>
          <w:p w14:paraId="354DB007" w14:textId="5A96DA93"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32</w:t>
            </w:r>
            <w:r w:rsidR="00056EC2" w:rsidRPr="00F464FA">
              <w:rPr>
                <w:sz w:val="18"/>
              </w:rPr>
              <w:t xml:space="preserve"> </w:t>
            </w:r>
            <w:r w:rsidRPr="00F464FA">
              <w:rPr>
                <w:sz w:val="18"/>
              </w:rPr>
              <w:t>385</w:t>
            </w:r>
          </w:p>
        </w:tc>
        <w:tc>
          <w:tcPr>
            <w:tcW w:w="886" w:type="dxa"/>
            <w:shd w:val="clear" w:color="auto" w:fill="auto"/>
            <w:vAlign w:val="bottom"/>
          </w:tcPr>
          <w:p w14:paraId="0066C54D"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2.8%</w:t>
            </w:r>
          </w:p>
        </w:tc>
      </w:tr>
      <w:tr w:rsidR="00BF6955" w:rsidRPr="00F464FA" w14:paraId="02C97FE7" w14:textId="77777777" w:rsidTr="00B25A3C">
        <w:tc>
          <w:tcPr>
            <w:tcW w:w="1418" w:type="dxa"/>
            <w:shd w:val="clear" w:color="auto" w:fill="auto"/>
          </w:tcPr>
          <w:p w14:paraId="2AB62C77"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Domestic work</w:t>
            </w:r>
          </w:p>
        </w:tc>
        <w:tc>
          <w:tcPr>
            <w:tcW w:w="885" w:type="dxa"/>
            <w:shd w:val="clear" w:color="auto" w:fill="auto"/>
          </w:tcPr>
          <w:p w14:paraId="29D49DCF" w14:textId="4AF532E6"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180</w:t>
            </w:r>
            <w:r w:rsidR="00056EC2" w:rsidRPr="00F464FA">
              <w:rPr>
                <w:sz w:val="18"/>
              </w:rPr>
              <w:t xml:space="preserve"> </w:t>
            </w:r>
            <w:r w:rsidRPr="00F464FA">
              <w:rPr>
                <w:sz w:val="18"/>
              </w:rPr>
              <w:t>550</w:t>
            </w:r>
          </w:p>
        </w:tc>
        <w:tc>
          <w:tcPr>
            <w:tcW w:w="886" w:type="dxa"/>
            <w:shd w:val="clear" w:color="auto" w:fill="auto"/>
          </w:tcPr>
          <w:p w14:paraId="5CB6DA1A"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48.7%</w:t>
            </w:r>
          </w:p>
        </w:tc>
        <w:tc>
          <w:tcPr>
            <w:tcW w:w="886" w:type="dxa"/>
            <w:shd w:val="clear" w:color="auto" w:fill="auto"/>
          </w:tcPr>
          <w:p w14:paraId="6DD9F15B" w14:textId="325B855C"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99</w:t>
            </w:r>
            <w:r w:rsidR="00056EC2" w:rsidRPr="00F464FA">
              <w:rPr>
                <w:sz w:val="18"/>
              </w:rPr>
              <w:t xml:space="preserve"> </w:t>
            </w:r>
            <w:r w:rsidRPr="00F464FA">
              <w:rPr>
                <w:sz w:val="18"/>
              </w:rPr>
              <w:t>896</w:t>
            </w:r>
          </w:p>
        </w:tc>
        <w:tc>
          <w:tcPr>
            <w:tcW w:w="886" w:type="dxa"/>
            <w:shd w:val="clear" w:color="auto" w:fill="auto"/>
          </w:tcPr>
          <w:p w14:paraId="5D0D2F10"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25.5%</w:t>
            </w:r>
          </w:p>
        </w:tc>
        <w:tc>
          <w:tcPr>
            <w:tcW w:w="886" w:type="dxa"/>
            <w:shd w:val="clear" w:color="auto" w:fill="auto"/>
          </w:tcPr>
          <w:p w14:paraId="5DD34E28" w14:textId="3E643B9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38</w:t>
            </w:r>
            <w:r w:rsidR="00056EC2" w:rsidRPr="00F464FA">
              <w:rPr>
                <w:sz w:val="18"/>
              </w:rPr>
              <w:t xml:space="preserve"> </w:t>
            </w:r>
            <w:r w:rsidRPr="00F464FA">
              <w:rPr>
                <w:sz w:val="18"/>
              </w:rPr>
              <w:t>677</w:t>
            </w:r>
          </w:p>
        </w:tc>
        <w:tc>
          <w:tcPr>
            <w:tcW w:w="886" w:type="dxa"/>
            <w:shd w:val="clear" w:color="auto" w:fill="auto"/>
          </w:tcPr>
          <w:p w14:paraId="0E6A2A1A"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9.6%</w:t>
            </w:r>
          </w:p>
        </w:tc>
        <w:tc>
          <w:tcPr>
            <w:tcW w:w="886" w:type="dxa"/>
            <w:shd w:val="clear" w:color="auto" w:fill="auto"/>
          </w:tcPr>
          <w:p w14:paraId="19DDEB8F" w14:textId="60D4FFC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319</w:t>
            </w:r>
            <w:r w:rsidR="00056EC2" w:rsidRPr="00F464FA">
              <w:rPr>
                <w:sz w:val="18"/>
              </w:rPr>
              <w:t xml:space="preserve"> </w:t>
            </w:r>
            <w:r w:rsidRPr="00F464FA">
              <w:rPr>
                <w:sz w:val="18"/>
              </w:rPr>
              <w:t>123</w:t>
            </w:r>
          </w:p>
        </w:tc>
        <w:tc>
          <w:tcPr>
            <w:tcW w:w="886" w:type="dxa"/>
            <w:shd w:val="clear" w:color="auto" w:fill="auto"/>
            <w:vAlign w:val="bottom"/>
          </w:tcPr>
          <w:p w14:paraId="71A284B1"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27.4%</w:t>
            </w:r>
          </w:p>
        </w:tc>
      </w:tr>
      <w:tr w:rsidR="00BF6955" w:rsidRPr="00F464FA" w14:paraId="577951AD" w14:textId="77777777" w:rsidTr="00B25A3C">
        <w:tc>
          <w:tcPr>
            <w:tcW w:w="1418" w:type="dxa"/>
            <w:shd w:val="clear" w:color="auto" w:fill="auto"/>
          </w:tcPr>
          <w:p w14:paraId="073C6F4D"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Other industries</w:t>
            </w:r>
          </w:p>
        </w:tc>
        <w:tc>
          <w:tcPr>
            <w:tcW w:w="885" w:type="dxa"/>
            <w:shd w:val="clear" w:color="auto" w:fill="auto"/>
          </w:tcPr>
          <w:p w14:paraId="3486A129" w14:textId="7D092DD9"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w:t>
            </w:r>
            <w:r w:rsidR="00056EC2" w:rsidRPr="00F464FA">
              <w:rPr>
                <w:sz w:val="18"/>
              </w:rPr>
              <w:t xml:space="preserve"> </w:t>
            </w:r>
            <w:r w:rsidRPr="00F464FA">
              <w:rPr>
                <w:sz w:val="18"/>
              </w:rPr>
              <w:t>028</w:t>
            </w:r>
          </w:p>
        </w:tc>
        <w:tc>
          <w:tcPr>
            <w:tcW w:w="886" w:type="dxa"/>
            <w:shd w:val="clear" w:color="auto" w:fill="auto"/>
          </w:tcPr>
          <w:p w14:paraId="2BE1779B"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0.8%</w:t>
            </w:r>
          </w:p>
        </w:tc>
        <w:tc>
          <w:tcPr>
            <w:tcW w:w="886" w:type="dxa"/>
            <w:shd w:val="clear" w:color="auto" w:fill="auto"/>
          </w:tcPr>
          <w:p w14:paraId="03B6381C" w14:textId="40DCDB5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056EC2" w:rsidRPr="00F464FA">
              <w:rPr>
                <w:sz w:val="18"/>
              </w:rPr>
              <w:t xml:space="preserve"> </w:t>
            </w:r>
            <w:r w:rsidRPr="00F464FA">
              <w:rPr>
                <w:sz w:val="18"/>
              </w:rPr>
              <w:t>038</w:t>
            </w:r>
          </w:p>
        </w:tc>
        <w:tc>
          <w:tcPr>
            <w:tcW w:w="886" w:type="dxa"/>
            <w:shd w:val="clear" w:color="auto" w:fill="auto"/>
          </w:tcPr>
          <w:p w14:paraId="00934E40"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0.3%</w:t>
            </w:r>
          </w:p>
        </w:tc>
        <w:tc>
          <w:tcPr>
            <w:tcW w:w="886" w:type="dxa"/>
            <w:shd w:val="clear" w:color="auto" w:fill="auto"/>
          </w:tcPr>
          <w:p w14:paraId="2E2D8E55" w14:textId="4C70F372"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056EC2" w:rsidRPr="00F464FA">
              <w:rPr>
                <w:sz w:val="18"/>
              </w:rPr>
              <w:t xml:space="preserve"> </w:t>
            </w:r>
            <w:r w:rsidRPr="00F464FA">
              <w:rPr>
                <w:sz w:val="18"/>
              </w:rPr>
              <w:t>381</w:t>
            </w:r>
          </w:p>
        </w:tc>
        <w:tc>
          <w:tcPr>
            <w:tcW w:w="886" w:type="dxa"/>
            <w:shd w:val="clear" w:color="auto" w:fill="auto"/>
          </w:tcPr>
          <w:p w14:paraId="24BA20F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0.3%</w:t>
            </w:r>
          </w:p>
        </w:tc>
        <w:tc>
          <w:tcPr>
            <w:tcW w:w="886" w:type="dxa"/>
            <w:shd w:val="clear" w:color="auto" w:fill="auto"/>
          </w:tcPr>
          <w:p w14:paraId="13909042" w14:textId="1B74EE10"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5</w:t>
            </w:r>
            <w:r w:rsidR="00056EC2" w:rsidRPr="00F464FA">
              <w:rPr>
                <w:sz w:val="18"/>
              </w:rPr>
              <w:t xml:space="preserve"> </w:t>
            </w:r>
            <w:r w:rsidRPr="00F464FA">
              <w:rPr>
                <w:sz w:val="18"/>
              </w:rPr>
              <w:t>447</w:t>
            </w:r>
          </w:p>
        </w:tc>
        <w:tc>
          <w:tcPr>
            <w:tcW w:w="886" w:type="dxa"/>
            <w:shd w:val="clear" w:color="auto" w:fill="auto"/>
            <w:vAlign w:val="bottom"/>
          </w:tcPr>
          <w:p w14:paraId="2BFB019B"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0.5%</w:t>
            </w:r>
          </w:p>
        </w:tc>
      </w:tr>
      <w:tr w:rsidR="007765C2" w:rsidRPr="00F464FA" w14:paraId="55A121C7" w14:textId="77777777" w:rsidTr="00010163">
        <w:tc>
          <w:tcPr>
            <w:tcW w:w="1418" w:type="dxa"/>
            <w:tcBorders>
              <w:bottom w:val="single" w:sz="4" w:space="0" w:color="auto"/>
            </w:tcBorders>
            <w:shd w:val="clear" w:color="auto" w:fill="auto"/>
          </w:tcPr>
          <w:p w14:paraId="5C2395EB" w14:textId="11DC7CF8" w:rsidR="007765C2" w:rsidRPr="00F464FA" w:rsidRDefault="00010163" w:rsidP="009D7FF3">
            <w:pPr>
              <w:pStyle w:val="SingleTxtG"/>
              <w:tabs>
                <w:tab w:val="clear" w:pos="1701"/>
                <w:tab w:val="clear" w:pos="2268"/>
              </w:tabs>
              <w:suppressAutoHyphens w:val="0"/>
              <w:spacing w:before="40" w:after="40" w:line="220" w:lineRule="exact"/>
              <w:ind w:left="0" w:right="113"/>
              <w:jc w:val="left"/>
              <w:rPr>
                <w:b/>
                <w:bCs/>
                <w:sz w:val="18"/>
              </w:rPr>
            </w:pPr>
            <w:r w:rsidRPr="00F464FA">
              <w:rPr>
                <w:b/>
                <w:bCs/>
                <w:sz w:val="18"/>
              </w:rPr>
              <w:t>Male</w:t>
            </w:r>
          </w:p>
        </w:tc>
        <w:tc>
          <w:tcPr>
            <w:tcW w:w="885" w:type="dxa"/>
            <w:tcBorders>
              <w:bottom w:val="single" w:sz="4" w:space="0" w:color="auto"/>
            </w:tcBorders>
            <w:shd w:val="clear" w:color="auto" w:fill="auto"/>
          </w:tcPr>
          <w:p w14:paraId="5C3B2EB0"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657AF95E"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39BD6669" w14:textId="2971E7F5"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320EAD20"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78147C70"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44F6D065"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4BA58856"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vAlign w:val="bottom"/>
          </w:tcPr>
          <w:p w14:paraId="286C1652"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r>
      <w:tr w:rsidR="00BF6955" w:rsidRPr="00F464FA" w14:paraId="504682B5" w14:textId="77777777" w:rsidTr="00010163">
        <w:tc>
          <w:tcPr>
            <w:tcW w:w="1418" w:type="dxa"/>
            <w:tcBorders>
              <w:top w:val="single" w:sz="4" w:space="0" w:color="auto"/>
              <w:bottom w:val="single" w:sz="4" w:space="0" w:color="auto"/>
            </w:tcBorders>
            <w:shd w:val="clear" w:color="auto" w:fill="auto"/>
          </w:tcPr>
          <w:p w14:paraId="068690D3" w14:textId="77777777" w:rsidR="00221DD4" w:rsidRPr="00F464FA" w:rsidRDefault="00221DD4" w:rsidP="00010163">
            <w:pPr>
              <w:pStyle w:val="SingleTxtG"/>
              <w:tabs>
                <w:tab w:val="clear" w:pos="1701"/>
                <w:tab w:val="clear" w:pos="2268"/>
              </w:tabs>
              <w:suppressAutoHyphens w:val="0"/>
              <w:spacing w:before="80" w:after="80" w:line="220" w:lineRule="exact"/>
              <w:ind w:left="283" w:right="0"/>
              <w:jc w:val="left"/>
              <w:rPr>
                <w:b/>
                <w:sz w:val="18"/>
              </w:rPr>
            </w:pPr>
            <w:r w:rsidRPr="00F464FA">
              <w:rPr>
                <w:b/>
                <w:sz w:val="18"/>
              </w:rPr>
              <w:t>Total</w:t>
            </w:r>
          </w:p>
        </w:tc>
        <w:tc>
          <w:tcPr>
            <w:tcW w:w="885" w:type="dxa"/>
            <w:tcBorders>
              <w:top w:val="single" w:sz="4" w:space="0" w:color="auto"/>
              <w:bottom w:val="single" w:sz="4" w:space="0" w:color="auto"/>
            </w:tcBorders>
            <w:shd w:val="clear" w:color="auto" w:fill="auto"/>
          </w:tcPr>
          <w:p w14:paraId="736EB47C" w14:textId="257231A8"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189</w:t>
            </w:r>
            <w:r w:rsidR="00056EC2" w:rsidRPr="00F464FA">
              <w:rPr>
                <w:b/>
                <w:sz w:val="18"/>
              </w:rPr>
              <w:t xml:space="preserve"> </w:t>
            </w:r>
            <w:r w:rsidRPr="00F464FA">
              <w:rPr>
                <w:b/>
                <w:sz w:val="18"/>
              </w:rPr>
              <w:t>391</w:t>
            </w:r>
          </w:p>
        </w:tc>
        <w:tc>
          <w:tcPr>
            <w:tcW w:w="886" w:type="dxa"/>
            <w:tcBorders>
              <w:top w:val="single" w:sz="4" w:space="0" w:color="auto"/>
              <w:bottom w:val="single" w:sz="4" w:space="0" w:color="auto"/>
            </w:tcBorders>
            <w:shd w:val="clear" w:color="auto" w:fill="auto"/>
          </w:tcPr>
          <w:p w14:paraId="790EDDF9" w14:textId="77777777"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4" w:space="0" w:color="auto"/>
              <w:bottom w:val="single" w:sz="4" w:space="0" w:color="auto"/>
            </w:tcBorders>
            <w:shd w:val="clear" w:color="auto" w:fill="auto"/>
          </w:tcPr>
          <w:p w14:paraId="4A668D12" w14:textId="5C0C197B"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223</w:t>
            </w:r>
            <w:r w:rsidR="00056EC2" w:rsidRPr="00F464FA">
              <w:rPr>
                <w:b/>
                <w:sz w:val="18"/>
              </w:rPr>
              <w:t xml:space="preserve"> </w:t>
            </w:r>
            <w:r w:rsidRPr="00F464FA">
              <w:rPr>
                <w:b/>
                <w:sz w:val="18"/>
              </w:rPr>
              <w:t>592</w:t>
            </w:r>
          </w:p>
        </w:tc>
        <w:tc>
          <w:tcPr>
            <w:tcW w:w="886" w:type="dxa"/>
            <w:tcBorders>
              <w:top w:val="single" w:sz="4" w:space="0" w:color="auto"/>
              <w:bottom w:val="single" w:sz="4" w:space="0" w:color="auto"/>
            </w:tcBorders>
            <w:shd w:val="clear" w:color="auto" w:fill="auto"/>
          </w:tcPr>
          <w:p w14:paraId="5B3ECFDE" w14:textId="77777777"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4" w:space="0" w:color="auto"/>
              <w:bottom w:val="single" w:sz="4" w:space="0" w:color="auto"/>
            </w:tcBorders>
            <w:shd w:val="clear" w:color="auto" w:fill="auto"/>
          </w:tcPr>
          <w:p w14:paraId="13B959CF" w14:textId="7905429A"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211</w:t>
            </w:r>
            <w:r w:rsidR="00056EC2" w:rsidRPr="00F464FA">
              <w:rPr>
                <w:b/>
                <w:sz w:val="18"/>
              </w:rPr>
              <w:t xml:space="preserve"> </w:t>
            </w:r>
            <w:r w:rsidRPr="00F464FA">
              <w:rPr>
                <w:b/>
                <w:sz w:val="18"/>
              </w:rPr>
              <w:t>575</w:t>
            </w:r>
          </w:p>
        </w:tc>
        <w:tc>
          <w:tcPr>
            <w:tcW w:w="886" w:type="dxa"/>
            <w:tcBorders>
              <w:top w:val="single" w:sz="4" w:space="0" w:color="auto"/>
              <w:bottom w:val="single" w:sz="4" w:space="0" w:color="auto"/>
            </w:tcBorders>
            <w:shd w:val="clear" w:color="auto" w:fill="auto"/>
          </w:tcPr>
          <w:p w14:paraId="48B70BBA" w14:textId="77777777"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4" w:space="0" w:color="auto"/>
              <w:bottom w:val="single" w:sz="4" w:space="0" w:color="auto"/>
            </w:tcBorders>
            <w:shd w:val="clear" w:color="auto" w:fill="auto"/>
          </w:tcPr>
          <w:p w14:paraId="3149BAE2" w14:textId="75F82572"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624</w:t>
            </w:r>
            <w:r w:rsidR="00056EC2" w:rsidRPr="00F464FA">
              <w:rPr>
                <w:b/>
                <w:sz w:val="18"/>
              </w:rPr>
              <w:t xml:space="preserve"> </w:t>
            </w:r>
            <w:r w:rsidRPr="00F464FA">
              <w:rPr>
                <w:b/>
                <w:sz w:val="18"/>
              </w:rPr>
              <w:t>558</w:t>
            </w:r>
          </w:p>
        </w:tc>
        <w:tc>
          <w:tcPr>
            <w:tcW w:w="886" w:type="dxa"/>
            <w:tcBorders>
              <w:top w:val="single" w:sz="4" w:space="0" w:color="auto"/>
              <w:bottom w:val="single" w:sz="4" w:space="0" w:color="auto"/>
            </w:tcBorders>
            <w:shd w:val="clear" w:color="auto" w:fill="auto"/>
            <w:vAlign w:val="bottom"/>
          </w:tcPr>
          <w:p w14:paraId="7493418C" w14:textId="77777777" w:rsidR="00221DD4" w:rsidRPr="00F464FA" w:rsidRDefault="00221DD4" w:rsidP="00010163">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r>
      <w:tr w:rsidR="00BF6955" w:rsidRPr="00F464FA" w14:paraId="24111BC2" w14:textId="77777777" w:rsidTr="007D7194">
        <w:tc>
          <w:tcPr>
            <w:tcW w:w="1418" w:type="dxa"/>
            <w:tcBorders>
              <w:top w:val="single" w:sz="4" w:space="0" w:color="auto"/>
            </w:tcBorders>
            <w:shd w:val="clear" w:color="auto" w:fill="auto"/>
          </w:tcPr>
          <w:p w14:paraId="3C11347E" w14:textId="30EF7200"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Agriculture,</w:t>
            </w:r>
            <w:r w:rsidR="007D7194" w:rsidRPr="00F464FA">
              <w:rPr>
                <w:sz w:val="18"/>
              </w:rPr>
              <w:t xml:space="preserve"> Forestry, Fishing</w:t>
            </w:r>
          </w:p>
        </w:tc>
        <w:tc>
          <w:tcPr>
            <w:tcW w:w="885" w:type="dxa"/>
            <w:tcBorders>
              <w:top w:val="single" w:sz="4" w:space="0" w:color="auto"/>
            </w:tcBorders>
            <w:shd w:val="clear" w:color="auto" w:fill="auto"/>
            <w:vAlign w:val="bottom"/>
          </w:tcPr>
          <w:p w14:paraId="7B179E56" w14:textId="5AA3C9BA"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100</w:t>
            </w:r>
            <w:r w:rsidR="00056EC2" w:rsidRPr="00F464FA">
              <w:rPr>
                <w:sz w:val="18"/>
              </w:rPr>
              <w:t xml:space="preserve"> </w:t>
            </w:r>
            <w:r w:rsidRPr="00F464FA">
              <w:rPr>
                <w:sz w:val="18"/>
              </w:rPr>
              <w:t>848</w:t>
            </w:r>
          </w:p>
        </w:tc>
        <w:tc>
          <w:tcPr>
            <w:tcW w:w="886" w:type="dxa"/>
            <w:tcBorders>
              <w:top w:val="single" w:sz="4" w:space="0" w:color="auto"/>
            </w:tcBorders>
            <w:shd w:val="clear" w:color="auto" w:fill="auto"/>
            <w:vAlign w:val="bottom"/>
          </w:tcPr>
          <w:p w14:paraId="54223DE8"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53.2%</w:t>
            </w:r>
          </w:p>
        </w:tc>
        <w:tc>
          <w:tcPr>
            <w:tcW w:w="886" w:type="dxa"/>
            <w:tcBorders>
              <w:top w:val="single" w:sz="4" w:space="0" w:color="auto"/>
            </w:tcBorders>
            <w:shd w:val="clear" w:color="auto" w:fill="auto"/>
            <w:vAlign w:val="bottom"/>
          </w:tcPr>
          <w:p w14:paraId="40ADC014" w14:textId="13F395F2"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156</w:t>
            </w:r>
            <w:r w:rsidR="00056EC2" w:rsidRPr="00F464FA">
              <w:rPr>
                <w:sz w:val="18"/>
              </w:rPr>
              <w:t xml:space="preserve"> </w:t>
            </w:r>
            <w:r w:rsidRPr="00F464FA">
              <w:rPr>
                <w:sz w:val="18"/>
              </w:rPr>
              <w:t>669</w:t>
            </w:r>
          </w:p>
        </w:tc>
        <w:tc>
          <w:tcPr>
            <w:tcW w:w="886" w:type="dxa"/>
            <w:tcBorders>
              <w:top w:val="single" w:sz="4" w:space="0" w:color="auto"/>
            </w:tcBorders>
            <w:shd w:val="clear" w:color="auto" w:fill="auto"/>
            <w:vAlign w:val="bottom"/>
          </w:tcPr>
          <w:p w14:paraId="64AE8E17"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70.1%</w:t>
            </w:r>
          </w:p>
        </w:tc>
        <w:tc>
          <w:tcPr>
            <w:tcW w:w="886" w:type="dxa"/>
            <w:tcBorders>
              <w:top w:val="single" w:sz="4" w:space="0" w:color="auto"/>
            </w:tcBorders>
            <w:shd w:val="clear" w:color="auto" w:fill="auto"/>
            <w:vAlign w:val="bottom"/>
          </w:tcPr>
          <w:p w14:paraId="178DE57E" w14:textId="6BD05A7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174</w:t>
            </w:r>
            <w:r w:rsidR="00056EC2" w:rsidRPr="00F464FA">
              <w:rPr>
                <w:sz w:val="18"/>
              </w:rPr>
              <w:t xml:space="preserve"> </w:t>
            </w:r>
            <w:r w:rsidRPr="00F464FA">
              <w:rPr>
                <w:sz w:val="18"/>
              </w:rPr>
              <w:t>818</w:t>
            </w:r>
          </w:p>
        </w:tc>
        <w:tc>
          <w:tcPr>
            <w:tcW w:w="886" w:type="dxa"/>
            <w:tcBorders>
              <w:top w:val="single" w:sz="4" w:space="0" w:color="auto"/>
            </w:tcBorders>
            <w:shd w:val="clear" w:color="auto" w:fill="auto"/>
            <w:vAlign w:val="bottom"/>
          </w:tcPr>
          <w:p w14:paraId="39A9E425"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82.6%</w:t>
            </w:r>
          </w:p>
        </w:tc>
        <w:tc>
          <w:tcPr>
            <w:tcW w:w="886" w:type="dxa"/>
            <w:tcBorders>
              <w:top w:val="single" w:sz="4" w:space="0" w:color="auto"/>
            </w:tcBorders>
            <w:shd w:val="clear" w:color="auto" w:fill="auto"/>
            <w:vAlign w:val="bottom"/>
          </w:tcPr>
          <w:p w14:paraId="45A24352" w14:textId="472BCEA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432</w:t>
            </w:r>
            <w:r w:rsidR="00056EC2" w:rsidRPr="00F464FA">
              <w:rPr>
                <w:sz w:val="18"/>
              </w:rPr>
              <w:t xml:space="preserve"> </w:t>
            </w:r>
            <w:r w:rsidRPr="00F464FA">
              <w:rPr>
                <w:sz w:val="18"/>
              </w:rPr>
              <w:t>335</w:t>
            </w:r>
          </w:p>
        </w:tc>
        <w:tc>
          <w:tcPr>
            <w:tcW w:w="886" w:type="dxa"/>
            <w:tcBorders>
              <w:top w:val="single" w:sz="4" w:space="0" w:color="auto"/>
            </w:tcBorders>
            <w:shd w:val="clear" w:color="auto" w:fill="auto"/>
            <w:vAlign w:val="bottom"/>
          </w:tcPr>
          <w:p w14:paraId="7CFD7F7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69.2%</w:t>
            </w:r>
          </w:p>
        </w:tc>
      </w:tr>
      <w:tr w:rsidR="00BF6955" w:rsidRPr="00F464FA" w14:paraId="078D9311" w14:textId="77777777" w:rsidTr="00B25A3C">
        <w:tc>
          <w:tcPr>
            <w:tcW w:w="1418" w:type="dxa"/>
            <w:shd w:val="clear" w:color="auto" w:fill="auto"/>
          </w:tcPr>
          <w:p w14:paraId="2E415FA0"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Construction</w:t>
            </w:r>
          </w:p>
        </w:tc>
        <w:tc>
          <w:tcPr>
            <w:tcW w:w="885" w:type="dxa"/>
            <w:shd w:val="clear" w:color="auto" w:fill="auto"/>
          </w:tcPr>
          <w:p w14:paraId="1CFE5385" w14:textId="2674A295"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w:t>
            </w:r>
            <w:r w:rsidR="00056EC2" w:rsidRPr="00F464FA">
              <w:rPr>
                <w:sz w:val="18"/>
              </w:rPr>
              <w:t xml:space="preserve"> </w:t>
            </w:r>
            <w:r w:rsidRPr="00F464FA">
              <w:rPr>
                <w:sz w:val="18"/>
              </w:rPr>
              <w:t>917</w:t>
            </w:r>
          </w:p>
        </w:tc>
        <w:tc>
          <w:tcPr>
            <w:tcW w:w="886" w:type="dxa"/>
            <w:shd w:val="clear" w:color="auto" w:fill="auto"/>
          </w:tcPr>
          <w:p w14:paraId="63D6D959"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2.6%</w:t>
            </w:r>
          </w:p>
        </w:tc>
        <w:tc>
          <w:tcPr>
            <w:tcW w:w="886" w:type="dxa"/>
            <w:shd w:val="clear" w:color="auto" w:fill="auto"/>
          </w:tcPr>
          <w:p w14:paraId="445D28D6" w14:textId="582E2549"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9</w:t>
            </w:r>
            <w:r w:rsidR="00056EC2" w:rsidRPr="00F464FA">
              <w:rPr>
                <w:sz w:val="18"/>
              </w:rPr>
              <w:t xml:space="preserve"> </w:t>
            </w:r>
            <w:r w:rsidRPr="00F464FA">
              <w:rPr>
                <w:sz w:val="18"/>
              </w:rPr>
              <w:t>100</w:t>
            </w:r>
          </w:p>
        </w:tc>
        <w:tc>
          <w:tcPr>
            <w:tcW w:w="886" w:type="dxa"/>
            <w:shd w:val="clear" w:color="auto" w:fill="auto"/>
          </w:tcPr>
          <w:p w14:paraId="44F47D19"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4.1%</w:t>
            </w:r>
          </w:p>
        </w:tc>
        <w:tc>
          <w:tcPr>
            <w:tcW w:w="886" w:type="dxa"/>
            <w:shd w:val="clear" w:color="auto" w:fill="auto"/>
          </w:tcPr>
          <w:p w14:paraId="726FFC60" w14:textId="653B339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8</w:t>
            </w:r>
            <w:r w:rsidR="00056EC2" w:rsidRPr="00F464FA">
              <w:rPr>
                <w:sz w:val="18"/>
              </w:rPr>
              <w:t xml:space="preserve"> </w:t>
            </w:r>
            <w:r w:rsidRPr="00F464FA">
              <w:rPr>
                <w:sz w:val="18"/>
              </w:rPr>
              <w:t>686</w:t>
            </w:r>
          </w:p>
        </w:tc>
        <w:tc>
          <w:tcPr>
            <w:tcW w:w="886" w:type="dxa"/>
            <w:shd w:val="clear" w:color="auto" w:fill="auto"/>
          </w:tcPr>
          <w:p w14:paraId="4D31D5FA"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4.1%</w:t>
            </w:r>
          </w:p>
        </w:tc>
        <w:tc>
          <w:tcPr>
            <w:tcW w:w="886" w:type="dxa"/>
            <w:shd w:val="clear" w:color="auto" w:fill="auto"/>
          </w:tcPr>
          <w:p w14:paraId="0BEAAF44" w14:textId="79FDC7A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22</w:t>
            </w:r>
            <w:r w:rsidR="00056EC2" w:rsidRPr="00F464FA">
              <w:rPr>
                <w:sz w:val="18"/>
              </w:rPr>
              <w:t xml:space="preserve"> </w:t>
            </w:r>
            <w:r w:rsidRPr="00F464FA">
              <w:rPr>
                <w:sz w:val="18"/>
              </w:rPr>
              <w:t>703</w:t>
            </w:r>
          </w:p>
        </w:tc>
        <w:tc>
          <w:tcPr>
            <w:tcW w:w="886" w:type="dxa"/>
            <w:shd w:val="clear" w:color="auto" w:fill="auto"/>
            <w:vAlign w:val="bottom"/>
          </w:tcPr>
          <w:p w14:paraId="45527634"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3.6%</w:t>
            </w:r>
          </w:p>
        </w:tc>
      </w:tr>
      <w:tr w:rsidR="00C21127" w:rsidRPr="00F464FA" w14:paraId="768735DF" w14:textId="77777777" w:rsidTr="008376FF">
        <w:trPr>
          <w:trHeight w:val="610"/>
        </w:trPr>
        <w:tc>
          <w:tcPr>
            <w:tcW w:w="1418" w:type="dxa"/>
            <w:shd w:val="clear" w:color="auto" w:fill="auto"/>
            <w:vAlign w:val="bottom"/>
          </w:tcPr>
          <w:p w14:paraId="5D4FB569" w14:textId="2AEB11C9" w:rsidR="00C21127" w:rsidRPr="00F464FA" w:rsidRDefault="00C21127" w:rsidP="008376FF">
            <w:pPr>
              <w:pStyle w:val="SingleTxtG"/>
              <w:tabs>
                <w:tab w:val="clear" w:pos="1701"/>
                <w:tab w:val="clear" w:pos="2268"/>
              </w:tabs>
              <w:suppressAutoHyphens w:val="0"/>
              <w:spacing w:before="40" w:after="40" w:line="220" w:lineRule="exact"/>
              <w:ind w:left="0" w:right="113"/>
              <w:jc w:val="left"/>
              <w:rPr>
                <w:sz w:val="18"/>
              </w:rPr>
            </w:pPr>
            <w:r w:rsidRPr="00F464FA">
              <w:rPr>
                <w:sz w:val="18"/>
              </w:rPr>
              <w:t>Wholesale &amp;</w:t>
            </w:r>
            <w:r w:rsidR="008376FF">
              <w:rPr>
                <w:sz w:val="18"/>
              </w:rPr>
              <w:t xml:space="preserve"> </w:t>
            </w:r>
            <w:r w:rsidRPr="00F464FA">
              <w:rPr>
                <w:sz w:val="18"/>
              </w:rPr>
              <w:t>Retail</w:t>
            </w:r>
          </w:p>
        </w:tc>
        <w:tc>
          <w:tcPr>
            <w:tcW w:w="885" w:type="dxa"/>
            <w:shd w:val="clear" w:color="auto" w:fill="auto"/>
            <w:vAlign w:val="bottom"/>
          </w:tcPr>
          <w:p w14:paraId="55EF6CDD" w14:textId="5A98F2F9"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2 150</w:t>
            </w:r>
          </w:p>
        </w:tc>
        <w:tc>
          <w:tcPr>
            <w:tcW w:w="886" w:type="dxa"/>
            <w:shd w:val="clear" w:color="auto" w:fill="auto"/>
            <w:vAlign w:val="bottom"/>
          </w:tcPr>
          <w:p w14:paraId="5D302D74" w14:textId="77777777"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1.1%</w:t>
            </w:r>
          </w:p>
        </w:tc>
        <w:tc>
          <w:tcPr>
            <w:tcW w:w="886" w:type="dxa"/>
            <w:shd w:val="clear" w:color="auto" w:fill="auto"/>
            <w:vAlign w:val="bottom"/>
          </w:tcPr>
          <w:p w14:paraId="1C4CACCF" w14:textId="08816278"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6 599</w:t>
            </w:r>
          </w:p>
        </w:tc>
        <w:tc>
          <w:tcPr>
            <w:tcW w:w="886" w:type="dxa"/>
            <w:shd w:val="clear" w:color="auto" w:fill="auto"/>
            <w:vAlign w:val="bottom"/>
          </w:tcPr>
          <w:p w14:paraId="448E49BB" w14:textId="77777777"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3.0%</w:t>
            </w:r>
          </w:p>
        </w:tc>
        <w:tc>
          <w:tcPr>
            <w:tcW w:w="886" w:type="dxa"/>
            <w:shd w:val="clear" w:color="auto" w:fill="auto"/>
            <w:vAlign w:val="bottom"/>
          </w:tcPr>
          <w:p w14:paraId="21AF5E2E" w14:textId="51E8C2B0"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9 568</w:t>
            </w:r>
          </w:p>
        </w:tc>
        <w:tc>
          <w:tcPr>
            <w:tcW w:w="886" w:type="dxa"/>
            <w:shd w:val="clear" w:color="auto" w:fill="auto"/>
            <w:vAlign w:val="bottom"/>
          </w:tcPr>
          <w:p w14:paraId="5FBCDCFB" w14:textId="77777777"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4.5%</w:t>
            </w:r>
          </w:p>
        </w:tc>
        <w:tc>
          <w:tcPr>
            <w:tcW w:w="886" w:type="dxa"/>
            <w:shd w:val="clear" w:color="auto" w:fill="auto"/>
            <w:vAlign w:val="bottom"/>
          </w:tcPr>
          <w:p w14:paraId="6B7673F4" w14:textId="30B80102"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18 317</w:t>
            </w:r>
          </w:p>
        </w:tc>
        <w:tc>
          <w:tcPr>
            <w:tcW w:w="886" w:type="dxa"/>
            <w:shd w:val="clear" w:color="auto" w:fill="auto"/>
            <w:vAlign w:val="bottom"/>
          </w:tcPr>
          <w:p w14:paraId="3A4B51A0" w14:textId="77777777" w:rsidR="00C21127" w:rsidRPr="00F464FA" w:rsidRDefault="00C21127"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2.9%</w:t>
            </w:r>
          </w:p>
        </w:tc>
      </w:tr>
      <w:tr w:rsidR="00BF6955" w:rsidRPr="00F464FA" w14:paraId="71DEDE62" w14:textId="77777777" w:rsidTr="00B25A3C">
        <w:tc>
          <w:tcPr>
            <w:tcW w:w="1418" w:type="dxa"/>
            <w:shd w:val="clear" w:color="auto" w:fill="auto"/>
          </w:tcPr>
          <w:p w14:paraId="6ACB6948"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Domestic work</w:t>
            </w:r>
          </w:p>
        </w:tc>
        <w:tc>
          <w:tcPr>
            <w:tcW w:w="885" w:type="dxa"/>
            <w:shd w:val="clear" w:color="auto" w:fill="auto"/>
          </w:tcPr>
          <w:p w14:paraId="1892EA91" w14:textId="3922561A"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79</w:t>
            </w:r>
            <w:r w:rsidR="00056EC2" w:rsidRPr="00F464FA">
              <w:rPr>
                <w:sz w:val="18"/>
              </w:rPr>
              <w:t xml:space="preserve"> </w:t>
            </w:r>
            <w:r w:rsidRPr="00F464FA">
              <w:rPr>
                <w:sz w:val="18"/>
              </w:rPr>
              <w:t>854</w:t>
            </w:r>
          </w:p>
        </w:tc>
        <w:tc>
          <w:tcPr>
            <w:tcW w:w="886" w:type="dxa"/>
            <w:shd w:val="clear" w:color="auto" w:fill="auto"/>
          </w:tcPr>
          <w:p w14:paraId="573D7672"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42.2%</w:t>
            </w:r>
          </w:p>
        </w:tc>
        <w:tc>
          <w:tcPr>
            <w:tcW w:w="886" w:type="dxa"/>
            <w:shd w:val="clear" w:color="auto" w:fill="auto"/>
          </w:tcPr>
          <w:p w14:paraId="6BF5CEF9" w14:textId="4979A808"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51</w:t>
            </w:r>
            <w:r w:rsidR="00056EC2" w:rsidRPr="00F464FA">
              <w:rPr>
                <w:sz w:val="18"/>
              </w:rPr>
              <w:t xml:space="preserve"> </w:t>
            </w:r>
            <w:r w:rsidRPr="00F464FA">
              <w:rPr>
                <w:sz w:val="18"/>
              </w:rPr>
              <w:t>224</w:t>
            </w:r>
          </w:p>
        </w:tc>
        <w:tc>
          <w:tcPr>
            <w:tcW w:w="886" w:type="dxa"/>
            <w:shd w:val="clear" w:color="auto" w:fill="auto"/>
          </w:tcPr>
          <w:p w14:paraId="5012254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22.9%</w:t>
            </w:r>
          </w:p>
        </w:tc>
        <w:tc>
          <w:tcPr>
            <w:tcW w:w="886" w:type="dxa"/>
            <w:shd w:val="clear" w:color="auto" w:fill="auto"/>
          </w:tcPr>
          <w:p w14:paraId="632E3578" w14:textId="5E4838AE"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17</w:t>
            </w:r>
            <w:r w:rsidR="00056EC2" w:rsidRPr="00F464FA">
              <w:rPr>
                <w:sz w:val="18"/>
              </w:rPr>
              <w:t xml:space="preserve"> </w:t>
            </w:r>
            <w:r w:rsidRPr="00F464FA">
              <w:rPr>
                <w:sz w:val="18"/>
              </w:rPr>
              <w:t>572</w:t>
            </w:r>
          </w:p>
        </w:tc>
        <w:tc>
          <w:tcPr>
            <w:tcW w:w="886" w:type="dxa"/>
            <w:shd w:val="clear" w:color="auto" w:fill="auto"/>
          </w:tcPr>
          <w:p w14:paraId="7EC61A67"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8.3%</w:t>
            </w:r>
          </w:p>
        </w:tc>
        <w:tc>
          <w:tcPr>
            <w:tcW w:w="886" w:type="dxa"/>
            <w:shd w:val="clear" w:color="auto" w:fill="auto"/>
          </w:tcPr>
          <w:p w14:paraId="10EFCB25" w14:textId="5F6715A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148</w:t>
            </w:r>
            <w:r w:rsidR="00056EC2" w:rsidRPr="00F464FA">
              <w:rPr>
                <w:sz w:val="18"/>
              </w:rPr>
              <w:t xml:space="preserve"> </w:t>
            </w:r>
            <w:r w:rsidRPr="00F464FA">
              <w:rPr>
                <w:sz w:val="18"/>
              </w:rPr>
              <w:t>650</w:t>
            </w:r>
          </w:p>
        </w:tc>
        <w:tc>
          <w:tcPr>
            <w:tcW w:w="886" w:type="dxa"/>
            <w:shd w:val="clear" w:color="auto" w:fill="auto"/>
            <w:vAlign w:val="bottom"/>
          </w:tcPr>
          <w:p w14:paraId="5A51094E"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23.8%</w:t>
            </w:r>
          </w:p>
        </w:tc>
      </w:tr>
      <w:tr w:rsidR="00BF6955" w:rsidRPr="00F464FA" w14:paraId="6B7A7556" w14:textId="77777777" w:rsidTr="00B25A3C">
        <w:tc>
          <w:tcPr>
            <w:tcW w:w="1418" w:type="dxa"/>
            <w:shd w:val="clear" w:color="auto" w:fill="auto"/>
          </w:tcPr>
          <w:p w14:paraId="0E0648C5"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Other industries</w:t>
            </w:r>
          </w:p>
        </w:tc>
        <w:tc>
          <w:tcPr>
            <w:tcW w:w="885" w:type="dxa"/>
            <w:shd w:val="clear" w:color="auto" w:fill="auto"/>
          </w:tcPr>
          <w:p w14:paraId="22226816" w14:textId="45BE1C73"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056EC2" w:rsidRPr="00F464FA">
              <w:rPr>
                <w:sz w:val="18"/>
              </w:rPr>
              <w:t xml:space="preserve"> </w:t>
            </w:r>
            <w:r w:rsidRPr="00F464FA">
              <w:rPr>
                <w:sz w:val="18"/>
              </w:rPr>
              <w:t>622</w:t>
            </w:r>
          </w:p>
        </w:tc>
        <w:tc>
          <w:tcPr>
            <w:tcW w:w="886" w:type="dxa"/>
            <w:shd w:val="clear" w:color="auto" w:fill="auto"/>
          </w:tcPr>
          <w:p w14:paraId="1CFFE884"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0.9%</w:t>
            </w:r>
          </w:p>
        </w:tc>
        <w:tc>
          <w:tcPr>
            <w:tcW w:w="886" w:type="dxa"/>
            <w:shd w:val="clear" w:color="auto" w:fill="auto"/>
          </w:tcPr>
          <w:p w14:paraId="2087BF3C"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w:t>
            </w:r>
          </w:p>
        </w:tc>
        <w:tc>
          <w:tcPr>
            <w:tcW w:w="886" w:type="dxa"/>
            <w:shd w:val="clear" w:color="auto" w:fill="auto"/>
          </w:tcPr>
          <w:p w14:paraId="12C02BE1"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0.0%</w:t>
            </w:r>
          </w:p>
        </w:tc>
        <w:tc>
          <w:tcPr>
            <w:tcW w:w="886" w:type="dxa"/>
            <w:shd w:val="clear" w:color="auto" w:fill="auto"/>
          </w:tcPr>
          <w:p w14:paraId="71600A5C"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931</w:t>
            </w:r>
          </w:p>
        </w:tc>
        <w:tc>
          <w:tcPr>
            <w:tcW w:w="886" w:type="dxa"/>
            <w:shd w:val="clear" w:color="auto" w:fill="auto"/>
          </w:tcPr>
          <w:p w14:paraId="0C7A7166"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0.4%</w:t>
            </w:r>
          </w:p>
        </w:tc>
        <w:tc>
          <w:tcPr>
            <w:tcW w:w="886" w:type="dxa"/>
            <w:shd w:val="clear" w:color="auto" w:fill="auto"/>
          </w:tcPr>
          <w:p w14:paraId="505D00D7" w14:textId="6C11E839"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w:t>
            </w:r>
            <w:r w:rsidR="00056EC2" w:rsidRPr="00F464FA">
              <w:rPr>
                <w:sz w:val="18"/>
              </w:rPr>
              <w:t xml:space="preserve"> </w:t>
            </w:r>
            <w:r w:rsidRPr="00F464FA">
              <w:rPr>
                <w:sz w:val="18"/>
              </w:rPr>
              <w:t>553</w:t>
            </w:r>
          </w:p>
        </w:tc>
        <w:tc>
          <w:tcPr>
            <w:tcW w:w="886" w:type="dxa"/>
            <w:shd w:val="clear" w:color="auto" w:fill="auto"/>
            <w:vAlign w:val="bottom"/>
          </w:tcPr>
          <w:p w14:paraId="1AF60715"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0.4%</w:t>
            </w:r>
          </w:p>
        </w:tc>
      </w:tr>
      <w:tr w:rsidR="007765C2" w:rsidRPr="00F464FA" w14:paraId="69505632" w14:textId="77777777" w:rsidTr="00B32B3C">
        <w:tc>
          <w:tcPr>
            <w:tcW w:w="1418" w:type="dxa"/>
            <w:tcBorders>
              <w:bottom w:val="single" w:sz="4" w:space="0" w:color="auto"/>
            </w:tcBorders>
            <w:shd w:val="clear" w:color="auto" w:fill="auto"/>
          </w:tcPr>
          <w:p w14:paraId="08008EC5" w14:textId="3A5DAE93" w:rsidR="007765C2" w:rsidRPr="00F464FA" w:rsidRDefault="007D7194" w:rsidP="009D7FF3">
            <w:pPr>
              <w:pStyle w:val="SingleTxtG"/>
              <w:tabs>
                <w:tab w:val="clear" w:pos="1701"/>
                <w:tab w:val="clear" w:pos="2268"/>
              </w:tabs>
              <w:suppressAutoHyphens w:val="0"/>
              <w:spacing w:before="40" w:after="40" w:line="220" w:lineRule="exact"/>
              <w:ind w:left="0" w:right="113"/>
              <w:jc w:val="left"/>
              <w:rPr>
                <w:b/>
                <w:bCs/>
                <w:sz w:val="18"/>
              </w:rPr>
            </w:pPr>
            <w:r w:rsidRPr="00F464FA">
              <w:rPr>
                <w:b/>
                <w:bCs/>
                <w:sz w:val="18"/>
              </w:rPr>
              <w:t>Female</w:t>
            </w:r>
          </w:p>
        </w:tc>
        <w:tc>
          <w:tcPr>
            <w:tcW w:w="885" w:type="dxa"/>
            <w:tcBorders>
              <w:bottom w:val="single" w:sz="4" w:space="0" w:color="auto"/>
            </w:tcBorders>
            <w:shd w:val="clear" w:color="auto" w:fill="auto"/>
          </w:tcPr>
          <w:p w14:paraId="1871C634"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5FCD79ED"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68CB6C69" w14:textId="6B125BEE"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5F0AE6E3"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40487E23"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381BDF3B"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tcPr>
          <w:p w14:paraId="204F9E19"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c>
          <w:tcPr>
            <w:tcW w:w="886" w:type="dxa"/>
            <w:tcBorders>
              <w:bottom w:val="single" w:sz="4" w:space="0" w:color="auto"/>
            </w:tcBorders>
            <w:shd w:val="clear" w:color="auto" w:fill="auto"/>
            <w:vAlign w:val="bottom"/>
          </w:tcPr>
          <w:p w14:paraId="2970D962" w14:textId="77777777" w:rsidR="007765C2" w:rsidRPr="00F464FA" w:rsidRDefault="007765C2" w:rsidP="00E33675">
            <w:pPr>
              <w:pStyle w:val="SingleTxtG"/>
              <w:tabs>
                <w:tab w:val="clear" w:pos="1701"/>
                <w:tab w:val="clear" w:pos="2268"/>
              </w:tabs>
              <w:suppressAutoHyphens w:val="0"/>
              <w:spacing w:before="40" w:after="40" w:line="220" w:lineRule="exact"/>
              <w:ind w:left="0" w:right="113"/>
              <w:jc w:val="right"/>
              <w:rPr>
                <w:sz w:val="18"/>
              </w:rPr>
            </w:pPr>
          </w:p>
        </w:tc>
      </w:tr>
      <w:tr w:rsidR="00BF6955" w:rsidRPr="00F464FA" w14:paraId="0D8AF437" w14:textId="77777777" w:rsidTr="00B32B3C">
        <w:tc>
          <w:tcPr>
            <w:tcW w:w="1418" w:type="dxa"/>
            <w:tcBorders>
              <w:top w:val="single" w:sz="4" w:space="0" w:color="auto"/>
              <w:bottom w:val="single" w:sz="4" w:space="0" w:color="auto"/>
            </w:tcBorders>
            <w:shd w:val="clear" w:color="auto" w:fill="auto"/>
          </w:tcPr>
          <w:p w14:paraId="339EA321" w14:textId="77777777" w:rsidR="00221DD4" w:rsidRPr="00F464FA" w:rsidRDefault="00221DD4" w:rsidP="00B32B3C">
            <w:pPr>
              <w:pStyle w:val="SingleTxtG"/>
              <w:tabs>
                <w:tab w:val="clear" w:pos="1701"/>
                <w:tab w:val="clear" w:pos="2268"/>
              </w:tabs>
              <w:suppressAutoHyphens w:val="0"/>
              <w:spacing w:before="80" w:after="80" w:line="220" w:lineRule="exact"/>
              <w:ind w:left="283" w:right="0"/>
              <w:jc w:val="left"/>
              <w:rPr>
                <w:b/>
                <w:sz w:val="18"/>
              </w:rPr>
            </w:pPr>
            <w:r w:rsidRPr="00F464FA">
              <w:rPr>
                <w:b/>
                <w:sz w:val="18"/>
              </w:rPr>
              <w:t>Total</w:t>
            </w:r>
          </w:p>
        </w:tc>
        <w:tc>
          <w:tcPr>
            <w:tcW w:w="885" w:type="dxa"/>
            <w:tcBorders>
              <w:top w:val="single" w:sz="4" w:space="0" w:color="auto"/>
              <w:bottom w:val="single" w:sz="4" w:space="0" w:color="auto"/>
            </w:tcBorders>
            <w:shd w:val="clear" w:color="auto" w:fill="auto"/>
          </w:tcPr>
          <w:p w14:paraId="67E4EEAB" w14:textId="4F5480B3"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181</w:t>
            </w:r>
            <w:r w:rsidR="00056EC2" w:rsidRPr="00F464FA">
              <w:rPr>
                <w:b/>
                <w:sz w:val="18"/>
              </w:rPr>
              <w:t xml:space="preserve"> </w:t>
            </w:r>
            <w:r w:rsidRPr="00F464FA">
              <w:rPr>
                <w:b/>
                <w:sz w:val="18"/>
              </w:rPr>
              <w:t>722</w:t>
            </w:r>
          </w:p>
        </w:tc>
        <w:tc>
          <w:tcPr>
            <w:tcW w:w="886" w:type="dxa"/>
            <w:tcBorders>
              <w:top w:val="single" w:sz="4" w:space="0" w:color="auto"/>
              <w:bottom w:val="single" w:sz="4" w:space="0" w:color="auto"/>
            </w:tcBorders>
            <w:shd w:val="clear" w:color="auto" w:fill="auto"/>
          </w:tcPr>
          <w:p w14:paraId="54A5137A" w14:textId="77777777"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4" w:space="0" w:color="auto"/>
              <w:bottom w:val="single" w:sz="4" w:space="0" w:color="auto"/>
            </w:tcBorders>
            <w:shd w:val="clear" w:color="auto" w:fill="auto"/>
          </w:tcPr>
          <w:p w14:paraId="5BE904BD" w14:textId="0A8494F8"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167</w:t>
            </w:r>
            <w:r w:rsidR="00056EC2" w:rsidRPr="00F464FA">
              <w:rPr>
                <w:b/>
                <w:sz w:val="18"/>
              </w:rPr>
              <w:t xml:space="preserve"> </w:t>
            </w:r>
            <w:r w:rsidRPr="00F464FA">
              <w:rPr>
                <w:b/>
                <w:sz w:val="18"/>
              </w:rPr>
              <w:t>599</w:t>
            </w:r>
          </w:p>
        </w:tc>
        <w:tc>
          <w:tcPr>
            <w:tcW w:w="886" w:type="dxa"/>
            <w:tcBorders>
              <w:top w:val="single" w:sz="4" w:space="0" w:color="auto"/>
              <w:bottom w:val="single" w:sz="4" w:space="0" w:color="auto"/>
            </w:tcBorders>
            <w:shd w:val="clear" w:color="auto" w:fill="auto"/>
          </w:tcPr>
          <w:p w14:paraId="1567A333" w14:textId="77777777"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4" w:space="0" w:color="auto"/>
              <w:bottom w:val="single" w:sz="4" w:space="0" w:color="auto"/>
            </w:tcBorders>
            <w:shd w:val="clear" w:color="auto" w:fill="auto"/>
          </w:tcPr>
          <w:p w14:paraId="43EC9B84" w14:textId="702589D5"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189</w:t>
            </w:r>
            <w:r w:rsidR="00056EC2" w:rsidRPr="00F464FA">
              <w:rPr>
                <w:b/>
                <w:sz w:val="18"/>
              </w:rPr>
              <w:t xml:space="preserve"> </w:t>
            </w:r>
            <w:r w:rsidRPr="00F464FA">
              <w:rPr>
                <w:b/>
                <w:sz w:val="18"/>
              </w:rPr>
              <w:t>761</w:t>
            </w:r>
          </w:p>
        </w:tc>
        <w:tc>
          <w:tcPr>
            <w:tcW w:w="886" w:type="dxa"/>
            <w:tcBorders>
              <w:top w:val="single" w:sz="4" w:space="0" w:color="auto"/>
              <w:bottom w:val="single" w:sz="4" w:space="0" w:color="auto"/>
            </w:tcBorders>
            <w:shd w:val="clear" w:color="auto" w:fill="auto"/>
          </w:tcPr>
          <w:p w14:paraId="6716F570" w14:textId="77777777"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c>
          <w:tcPr>
            <w:tcW w:w="886" w:type="dxa"/>
            <w:tcBorders>
              <w:top w:val="single" w:sz="4" w:space="0" w:color="auto"/>
              <w:bottom w:val="single" w:sz="4" w:space="0" w:color="auto"/>
            </w:tcBorders>
            <w:shd w:val="clear" w:color="auto" w:fill="auto"/>
          </w:tcPr>
          <w:p w14:paraId="76D2A566" w14:textId="1E282A92"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539</w:t>
            </w:r>
            <w:r w:rsidR="00056EC2" w:rsidRPr="00F464FA">
              <w:rPr>
                <w:b/>
                <w:sz w:val="18"/>
              </w:rPr>
              <w:t xml:space="preserve"> </w:t>
            </w:r>
            <w:r w:rsidRPr="00F464FA">
              <w:rPr>
                <w:b/>
                <w:sz w:val="18"/>
              </w:rPr>
              <w:t>082</w:t>
            </w:r>
          </w:p>
        </w:tc>
        <w:tc>
          <w:tcPr>
            <w:tcW w:w="886" w:type="dxa"/>
            <w:tcBorders>
              <w:top w:val="single" w:sz="4" w:space="0" w:color="auto"/>
              <w:bottom w:val="single" w:sz="4" w:space="0" w:color="auto"/>
            </w:tcBorders>
            <w:shd w:val="clear" w:color="auto" w:fill="auto"/>
            <w:vAlign w:val="bottom"/>
          </w:tcPr>
          <w:p w14:paraId="0A20207C" w14:textId="77777777" w:rsidR="00221DD4" w:rsidRPr="00F464FA" w:rsidRDefault="00221DD4" w:rsidP="00B32B3C">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100.0%</w:t>
            </w:r>
          </w:p>
        </w:tc>
      </w:tr>
      <w:tr w:rsidR="00BF6955" w:rsidRPr="00F464FA" w14:paraId="4DF70121" w14:textId="77777777" w:rsidTr="0026416D">
        <w:tc>
          <w:tcPr>
            <w:tcW w:w="1418" w:type="dxa"/>
            <w:tcBorders>
              <w:top w:val="single" w:sz="4" w:space="0" w:color="auto"/>
            </w:tcBorders>
            <w:shd w:val="clear" w:color="auto" w:fill="auto"/>
          </w:tcPr>
          <w:p w14:paraId="26C79A2E" w14:textId="1394A0BA"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Agriculture,</w:t>
            </w:r>
            <w:r w:rsidR="004B1F4F" w:rsidRPr="00F464FA">
              <w:rPr>
                <w:sz w:val="18"/>
              </w:rPr>
              <w:t xml:space="preserve"> Forestry, Fishing</w:t>
            </w:r>
          </w:p>
        </w:tc>
        <w:tc>
          <w:tcPr>
            <w:tcW w:w="885" w:type="dxa"/>
            <w:tcBorders>
              <w:top w:val="single" w:sz="4" w:space="0" w:color="auto"/>
            </w:tcBorders>
            <w:shd w:val="clear" w:color="auto" w:fill="auto"/>
            <w:vAlign w:val="bottom"/>
          </w:tcPr>
          <w:p w14:paraId="52729307" w14:textId="45443FD4"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74</w:t>
            </w:r>
            <w:r w:rsidR="00056EC2" w:rsidRPr="00F464FA">
              <w:rPr>
                <w:sz w:val="18"/>
              </w:rPr>
              <w:t xml:space="preserve"> </w:t>
            </w:r>
            <w:r w:rsidRPr="00F464FA">
              <w:rPr>
                <w:sz w:val="18"/>
              </w:rPr>
              <w:t>506</w:t>
            </w:r>
          </w:p>
        </w:tc>
        <w:tc>
          <w:tcPr>
            <w:tcW w:w="886" w:type="dxa"/>
            <w:tcBorders>
              <w:top w:val="single" w:sz="4" w:space="0" w:color="auto"/>
            </w:tcBorders>
            <w:shd w:val="clear" w:color="auto" w:fill="auto"/>
            <w:vAlign w:val="bottom"/>
          </w:tcPr>
          <w:p w14:paraId="107F55DA"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41.0%</w:t>
            </w:r>
          </w:p>
        </w:tc>
        <w:tc>
          <w:tcPr>
            <w:tcW w:w="886" w:type="dxa"/>
            <w:tcBorders>
              <w:top w:val="single" w:sz="4" w:space="0" w:color="auto"/>
            </w:tcBorders>
            <w:shd w:val="clear" w:color="auto" w:fill="auto"/>
            <w:vAlign w:val="bottom"/>
          </w:tcPr>
          <w:p w14:paraId="000D4BAA" w14:textId="6137317C"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107</w:t>
            </w:r>
            <w:r w:rsidR="00056EC2" w:rsidRPr="00F464FA">
              <w:rPr>
                <w:sz w:val="18"/>
              </w:rPr>
              <w:t xml:space="preserve"> </w:t>
            </w:r>
            <w:r w:rsidRPr="00F464FA">
              <w:rPr>
                <w:sz w:val="18"/>
              </w:rPr>
              <w:t>298</w:t>
            </w:r>
          </w:p>
        </w:tc>
        <w:tc>
          <w:tcPr>
            <w:tcW w:w="886" w:type="dxa"/>
            <w:tcBorders>
              <w:top w:val="single" w:sz="4" w:space="0" w:color="auto"/>
            </w:tcBorders>
            <w:shd w:val="clear" w:color="auto" w:fill="auto"/>
            <w:vAlign w:val="bottom"/>
          </w:tcPr>
          <w:p w14:paraId="191C6677"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64.0%</w:t>
            </w:r>
          </w:p>
        </w:tc>
        <w:tc>
          <w:tcPr>
            <w:tcW w:w="886" w:type="dxa"/>
            <w:tcBorders>
              <w:top w:val="single" w:sz="4" w:space="0" w:color="auto"/>
            </w:tcBorders>
            <w:shd w:val="clear" w:color="auto" w:fill="auto"/>
            <w:vAlign w:val="bottom"/>
          </w:tcPr>
          <w:p w14:paraId="7193B56D" w14:textId="46B493FE"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155</w:t>
            </w:r>
            <w:r w:rsidR="00056EC2" w:rsidRPr="00F464FA">
              <w:rPr>
                <w:sz w:val="18"/>
              </w:rPr>
              <w:t xml:space="preserve"> </w:t>
            </w:r>
            <w:r w:rsidRPr="00F464FA">
              <w:rPr>
                <w:sz w:val="18"/>
              </w:rPr>
              <w:t>788</w:t>
            </w:r>
          </w:p>
        </w:tc>
        <w:tc>
          <w:tcPr>
            <w:tcW w:w="886" w:type="dxa"/>
            <w:tcBorders>
              <w:top w:val="single" w:sz="4" w:space="0" w:color="auto"/>
            </w:tcBorders>
            <w:shd w:val="clear" w:color="auto" w:fill="auto"/>
            <w:vAlign w:val="bottom"/>
          </w:tcPr>
          <w:p w14:paraId="4AA4080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82.1%</w:t>
            </w:r>
          </w:p>
        </w:tc>
        <w:tc>
          <w:tcPr>
            <w:tcW w:w="886" w:type="dxa"/>
            <w:tcBorders>
              <w:top w:val="single" w:sz="4" w:space="0" w:color="auto"/>
            </w:tcBorders>
            <w:shd w:val="clear" w:color="auto" w:fill="auto"/>
            <w:vAlign w:val="bottom"/>
          </w:tcPr>
          <w:p w14:paraId="11D5F9A6" w14:textId="0D91CC1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337</w:t>
            </w:r>
            <w:r w:rsidR="00056EC2" w:rsidRPr="00F464FA">
              <w:rPr>
                <w:sz w:val="18"/>
              </w:rPr>
              <w:t xml:space="preserve"> </w:t>
            </w:r>
            <w:r w:rsidRPr="00F464FA">
              <w:rPr>
                <w:sz w:val="18"/>
              </w:rPr>
              <w:t>592</w:t>
            </w:r>
          </w:p>
        </w:tc>
        <w:tc>
          <w:tcPr>
            <w:tcW w:w="886" w:type="dxa"/>
            <w:tcBorders>
              <w:top w:val="single" w:sz="4" w:space="0" w:color="auto"/>
            </w:tcBorders>
            <w:shd w:val="clear" w:color="auto" w:fill="auto"/>
            <w:vAlign w:val="bottom"/>
          </w:tcPr>
          <w:p w14:paraId="58D712B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62.6%</w:t>
            </w:r>
          </w:p>
        </w:tc>
      </w:tr>
      <w:tr w:rsidR="00BF6955" w:rsidRPr="00F464FA" w14:paraId="26FB0F47" w14:textId="77777777" w:rsidTr="00B25A3C">
        <w:tc>
          <w:tcPr>
            <w:tcW w:w="1418" w:type="dxa"/>
            <w:shd w:val="clear" w:color="auto" w:fill="auto"/>
          </w:tcPr>
          <w:p w14:paraId="61F0EB38"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Construction</w:t>
            </w:r>
          </w:p>
        </w:tc>
        <w:tc>
          <w:tcPr>
            <w:tcW w:w="885" w:type="dxa"/>
            <w:shd w:val="clear" w:color="auto" w:fill="auto"/>
          </w:tcPr>
          <w:p w14:paraId="727C9F5A" w14:textId="532D6A9B"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w:t>
            </w:r>
            <w:r w:rsidR="00056EC2" w:rsidRPr="00F464FA">
              <w:rPr>
                <w:sz w:val="18"/>
              </w:rPr>
              <w:t xml:space="preserve"> </w:t>
            </w:r>
            <w:r w:rsidRPr="00F464FA">
              <w:rPr>
                <w:sz w:val="18"/>
              </w:rPr>
              <w:t>792</w:t>
            </w:r>
          </w:p>
        </w:tc>
        <w:tc>
          <w:tcPr>
            <w:tcW w:w="886" w:type="dxa"/>
            <w:shd w:val="clear" w:color="auto" w:fill="auto"/>
          </w:tcPr>
          <w:p w14:paraId="31FA41F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2.1%</w:t>
            </w:r>
          </w:p>
        </w:tc>
        <w:tc>
          <w:tcPr>
            <w:tcW w:w="886" w:type="dxa"/>
            <w:shd w:val="clear" w:color="auto" w:fill="auto"/>
          </w:tcPr>
          <w:p w14:paraId="68C2A8AE" w14:textId="3C8ED2CF"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w:t>
            </w:r>
            <w:r w:rsidR="00056EC2" w:rsidRPr="00F464FA">
              <w:rPr>
                <w:sz w:val="18"/>
              </w:rPr>
              <w:t xml:space="preserve"> </w:t>
            </w:r>
            <w:r w:rsidRPr="00F464FA">
              <w:rPr>
                <w:sz w:val="18"/>
              </w:rPr>
              <w:t>896</w:t>
            </w:r>
          </w:p>
        </w:tc>
        <w:tc>
          <w:tcPr>
            <w:tcW w:w="886" w:type="dxa"/>
            <w:shd w:val="clear" w:color="auto" w:fill="auto"/>
          </w:tcPr>
          <w:p w14:paraId="0ECDFB46"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2.3%</w:t>
            </w:r>
          </w:p>
        </w:tc>
        <w:tc>
          <w:tcPr>
            <w:tcW w:w="886" w:type="dxa"/>
            <w:shd w:val="clear" w:color="auto" w:fill="auto"/>
          </w:tcPr>
          <w:p w14:paraId="0F2D5AAA" w14:textId="24B8DF2C"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w:t>
            </w:r>
            <w:r w:rsidR="00056EC2" w:rsidRPr="00F464FA">
              <w:rPr>
                <w:sz w:val="18"/>
              </w:rPr>
              <w:t xml:space="preserve"> </w:t>
            </w:r>
            <w:r w:rsidRPr="00F464FA">
              <w:rPr>
                <w:sz w:val="18"/>
              </w:rPr>
              <w:t>366</w:t>
            </w:r>
          </w:p>
        </w:tc>
        <w:tc>
          <w:tcPr>
            <w:tcW w:w="886" w:type="dxa"/>
            <w:shd w:val="clear" w:color="auto" w:fill="auto"/>
          </w:tcPr>
          <w:p w14:paraId="59FBE201"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3.4%</w:t>
            </w:r>
          </w:p>
        </w:tc>
        <w:tc>
          <w:tcPr>
            <w:tcW w:w="886" w:type="dxa"/>
            <w:shd w:val="clear" w:color="auto" w:fill="auto"/>
          </w:tcPr>
          <w:p w14:paraId="2F1A2DAF" w14:textId="066AD8BA"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14</w:t>
            </w:r>
            <w:r w:rsidR="00056EC2" w:rsidRPr="00F464FA">
              <w:rPr>
                <w:sz w:val="18"/>
              </w:rPr>
              <w:t xml:space="preserve"> </w:t>
            </w:r>
            <w:r w:rsidRPr="00F464FA">
              <w:rPr>
                <w:sz w:val="18"/>
              </w:rPr>
              <w:t>054</w:t>
            </w:r>
          </w:p>
        </w:tc>
        <w:tc>
          <w:tcPr>
            <w:tcW w:w="886" w:type="dxa"/>
            <w:shd w:val="clear" w:color="auto" w:fill="auto"/>
            <w:vAlign w:val="bottom"/>
          </w:tcPr>
          <w:p w14:paraId="1A576CF1"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2.6%</w:t>
            </w:r>
          </w:p>
        </w:tc>
      </w:tr>
      <w:tr w:rsidR="00BF6955" w:rsidRPr="00F464FA" w14:paraId="7F77C5D5" w14:textId="77777777" w:rsidTr="0026416D">
        <w:tc>
          <w:tcPr>
            <w:tcW w:w="1418" w:type="dxa"/>
            <w:shd w:val="clear" w:color="auto" w:fill="auto"/>
          </w:tcPr>
          <w:p w14:paraId="0885D357" w14:textId="660A14D6"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Wholesale &amp;</w:t>
            </w:r>
            <w:r w:rsidR="004B1F4F" w:rsidRPr="00F464FA">
              <w:rPr>
                <w:sz w:val="18"/>
              </w:rPr>
              <w:t xml:space="preserve"> Retail</w:t>
            </w:r>
          </w:p>
        </w:tc>
        <w:tc>
          <w:tcPr>
            <w:tcW w:w="885" w:type="dxa"/>
            <w:shd w:val="clear" w:color="auto" w:fill="auto"/>
            <w:vAlign w:val="bottom"/>
          </w:tcPr>
          <w:p w14:paraId="11095B18" w14:textId="0FE8B4D5"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056EC2" w:rsidRPr="00F464FA">
              <w:rPr>
                <w:sz w:val="18"/>
              </w:rPr>
              <w:t xml:space="preserve"> </w:t>
            </w:r>
            <w:r w:rsidRPr="00F464FA">
              <w:rPr>
                <w:sz w:val="18"/>
              </w:rPr>
              <w:t>321</w:t>
            </w:r>
          </w:p>
        </w:tc>
        <w:tc>
          <w:tcPr>
            <w:tcW w:w="886" w:type="dxa"/>
            <w:shd w:val="clear" w:color="auto" w:fill="auto"/>
            <w:vAlign w:val="bottom"/>
          </w:tcPr>
          <w:p w14:paraId="2EF85AD2"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0.7%</w:t>
            </w:r>
          </w:p>
        </w:tc>
        <w:tc>
          <w:tcPr>
            <w:tcW w:w="886" w:type="dxa"/>
            <w:shd w:val="clear" w:color="auto" w:fill="auto"/>
            <w:vAlign w:val="bottom"/>
          </w:tcPr>
          <w:p w14:paraId="08C0FF7C" w14:textId="2F062D8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w:t>
            </w:r>
            <w:r w:rsidR="00056EC2" w:rsidRPr="00F464FA">
              <w:rPr>
                <w:sz w:val="18"/>
              </w:rPr>
              <w:t xml:space="preserve"> </w:t>
            </w:r>
            <w:r w:rsidRPr="00F464FA">
              <w:rPr>
                <w:sz w:val="18"/>
              </w:rPr>
              <w:t>695</w:t>
            </w:r>
          </w:p>
        </w:tc>
        <w:tc>
          <w:tcPr>
            <w:tcW w:w="886" w:type="dxa"/>
            <w:shd w:val="clear" w:color="auto" w:fill="auto"/>
            <w:vAlign w:val="bottom"/>
          </w:tcPr>
          <w:p w14:paraId="6F15FFAD"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4.0%</w:t>
            </w:r>
          </w:p>
        </w:tc>
        <w:tc>
          <w:tcPr>
            <w:tcW w:w="886" w:type="dxa"/>
            <w:shd w:val="clear" w:color="auto" w:fill="auto"/>
            <w:vAlign w:val="bottom"/>
          </w:tcPr>
          <w:p w14:paraId="39FE8290" w14:textId="6A7FE854"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6</w:t>
            </w:r>
            <w:r w:rsidR="00056EC2" w:rsidRPr="00F464FA">
              <w:rPr>
                <w:sz w:val="18"/>
              </w:rPr>
              <w:t xml:space="preserve"> </w:t>
            </w:r>
            <w:r w:rsidRPr="00F464FA">
              <w:rPr>
                <w:sz w:val="18"/>
              </w:rPr>
              <w:t>052</w:t>
            </w:r>
          </w:p>
        </w:tc>
        <w:tc>
          <w:tcPr>
            <w:tcW w:w="886" w:type="dxa"/>
            <w:shd w:val="clear" w:color="auto" w:fill="auto"/>
            <w:vAlign w:val="bottom"/>
          </w:tcPr>
          <w:p w14:paraId="73E3ABB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3.2%</w:t>
            </w:r>
          </w:p>
        </w:tc>
        <w:tc>
          <w:tcPr>
            <w:tcW w:w="886" w:type="dxa"/>
            <w:shd w:val="clear" w:color="auto" w:fill="auto"/>
            <w:vAlign w:val="bottom"/>
          </w:tcPr>
          <w:p w14:paraId="0040ABA3" w14:textId="5FD27F8A"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14</w:t>
            </w:r>
            <w:r w:rsidR="00056EC2" w:rsidRPr="00F464FA">
              <w:rPr>
                <w:sz w:val="18"/>
              </w:rPr>
              <w:t xml:space="preserve"> </w:t>
            </w:r>
            <w:r w:rsidRPr="00F464FA">
              <w:rPr>
                <w:sz w:val="18"/>
              </w:rPr>
              <w:t>068</w:t>
            </w:r>
          </w:p>
        </w:tc>
        <w:tc>
          <w:tcPr>
            <w:tcW w:w="886" w:type="dxa"/>
            <w:shd w:val="clear" w:color="auto" w:fill="auto"/>
            <w:vAlign w:val="bottom"/>
          </w:tcPr>
          <w:p w14:paraId="4C053965"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2.6%</w:t>
            </w:r>
          </w:p>
        </w:tc>
      </w:tr>
      <w:tr w:rsidR="00BF6955" w:rsidRPr="00F464FA" w14:paraId="5EC5B5FC" w14:textId="77777777" w:rsidTr="00B25A3C">
        <w:tc>
          <w:tcPr>
            <w:tcW w:w="1418" w:type="dxa"/>
            <w:shd w:val="clear" w:color="auto" w:fill="auto"/>
          </w:tcPr>
          <w:p w14:paraId="5D23FC74"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Domestic work</w:t>
            </w:r>
          </w:p>
        </w:tc>
        <w:tc>
          <w:tcPr>
            <w:tcW w:w="885" w:type="dxa"/>
            <w:shd w:val="clear" w:color="auto" w:fill="auto"/>
          </w:tcPr>
          <w:p w14:paraId="4898D22B" w14:textId="55A0E20F"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100</w:t>
            </w:r>
            <w:r w:rsidR="00056EC2" w:rsidRPr="00F464FA">
              <w:rPr>
                <w:sz w:val="18"/>
              </w:rPr>
              <w:t xml:space="preserve"> </w:t>
            </w:r>
            <w:r w:rsidRPr="00F464FA">
              <w:rPr>
                <w:sz w:val="18"/>
              </w:rPr>
              <w:t>697</w:t>
            </w:r>
          </w:p>
        </w:tc>
        <w:tc>
          <w:tcPr>
            <w:tcW w:w="886" w:type="dxa"/>
            <w:shd w:val="clear" w:color="auto" w:fill="auto"/>
          </w:tcPr>
          <w:p w14:paraId="29C3A845"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55.4%</w:t>
            </w:r>
          </w:p>
        </w:tc>
        <w:tc>
          <w:tcPr>
            <w:tcW w:w="886" w:type="dxa"/>
            <w:shd w:val="clear" w:color="auto" w:fill="auto"/>
          </w:tcPr>
          <w:p w14:paraId="521B2114" w14:textId="4F021DB5"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48</w:t>
            </w:r>
            <w:r w:rsidR="00056EC2" w:rsidRPr="00F464FA">
              <w:rPr>
                <w:sz w:val="18"/>
              </w:rPr>
              <w:t xml:space="preserve"> </w:t>
            </w:r>
            <w:r w:rsidRPr="00F464FA">
              <w:rPr>
                <w:sz w:val="18"/>
              </w:rPr>
              <w:t>672</w:t>
            </w:r>
          </w:p>
        </w:tc>
        <w:tc>
          <w:tcPr>
            <w:tcW w:w="886" w:type="dxa"/>
            <w:shd w:val="clear" w:color="auto" w:fill="auto"/>
          </w:tcPr>
          <w:p w14:paraId="75D0D713"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29.0%</w:t>
            </w:r>
          </w:p>
        </w:tc>
        <w:tc>
          <w:tcPr>
            <w:tcW w:w="886" w:type="dxa"/>
            <w:shd w:val="clear" w:color="auto" w:fill="auto"/>
          </w:tcPr>
          <w:p w14:paraId="67D7F9CC" w14:textId="23A2480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21</w:t>
            </w:r>
            <w:r w:rsidR="00056EC2" w:rsidRPr="00F464FA">
              <w:rPr>
                <w:sz w:val="18"/>
              </w:rPr>
              <w:t xml:space="preserve"> </w:t>
            </w:r>
            <w:r w:rsidRPr="00F464FA">
              <w:rPr>
                <w:sz w:val="18"/>
              </w:rPr>
              <w:t>105</w:t>
            </w:r>
          </w:p>
        </w:tc>
        <w:tc>
          <w:tcPr>
            <w:tcW w:w="886" w:type="dxa"/>
            <w:shd w:val="clear" w:color="auto" w:fill="auto"/>
          </w:tcPr>
          <w:p w14:paraId="6396F7BA"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11.1%</w:t>
            </w:r>
          </w:p>
        </w:tc>
        <w:tc>
          <w:tcPr>
            <w:tcW w:w="886" w:type="dxa"/>
            <w:shd w:val="clear" w:color="auto" w:fill="auto"/>
          </w:tcPr>
          <w:p w14:paraId="31AA74A3" w14:textId="00AAD99B"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170</w:t>
            </w:r>
            <w:r w:rsidR="00056EC2" w:rsidRPr="00F464FA">
              <w:rPr>
                <w:sz w:val="18"/>
              </w:rPr>
              <w:t xml:space="preserve"> </w:t>
            </w:r>
            <w:r w:rsidRPr="00F464FA">
              <w:rPr>
                <w:sz w:val="18"/>
              </w:rPr>
              <w:t>474</w:t>
            </w:r>
          </w:p>
        </w:tc>
        <w:tc>
          <w:tcPr>
            <w:tcW w:w="886" w:type="dxa"/>
            <w:shd w:val="clear" w:color="auto" w:fill="auto"/>
            <w:vAlign w:val="bottom"/>
          </w:tcPr>
          <w:p w14:paraId="7349516D"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31.6%</w:t>
            </w:r>
          </w:p>
        </w:tc>
      </w:tr>
      <w:tr w:rsidR="00BF6955" w:rsidRPr="00F464FA" w14:paraId="77756439" w14:textId="77777777" w:rsidTr="00B25A3C">
        <w:tc>
          <w:tcPr>
            <w:tcW w:w="1418" w:type="dxa"/>
            <w:shd w:val="clear" w:color="auto" w:fill="auto"/>
          </w:tcPr>
          <w:p w14:paraId="61E37A42" w14:textId="77777777" w:rsidR="00221DD4" w:rsidRPr="00F464FA" w:rsidRDefault="00221DD4" w:rsidP="00BF6955">
            <w:pPr>
              <w:pStyle w:val="SingleTxtG"/>
              <w:tabs>
                <w:tab w:val="clear" w:pos="1701"/>
                <w:tab w:val="clear" w:pos="2268"/>
              </w:tabs>
              <w:suppressAutoHyphens w:val="0"/>
              <w:spacing w:before="40" w:after="40" w:line="220" w:lineRule="exact"/>
              <w:ind w:left="0" w:right="113"/>
              <w:jc w:val="left"/>
              <w:rPr>
                <w:sz w:val="18"/>
              </w:rPr>
            </w:pPr>
            <w:r w:rsidRPr="00F464FA">
              <w:rPr>
                <w:sz w:val="18"/>
              </w:rPr>
              <w:t>Other industries</w:t>
            </w:r>
          </w:p>
        </w:tc>
        <w:tc>
          <w:tcPr>
            <w:tcW w:w="885" w:type="dxa"/>
            <w:shd w:val="clear" w:color="auto" w:fill="auto"/>
          </w:tcPr>
          <w:p w14:paraId="6ED61D86" w14:textId="5B4C6FDD"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056EC2" w:rsidRPr="00F464FA">
              <w:rPr>
                <w:sz w:val="18"/>
              </w:rPr>
              <w:t xml:space="preserve"> </w:t>
            </w:r>
            <w:r w:rsidRPr="00F464FA">
              <w:rPr>
                <w:sz w:val="18"/>
              </w:rPr>
              <w:t>406</w:t>
            </w:r>
          </w:p>
        </w:tc>
        <w:tc>
          <w:tcPr>
            <w:tcW w:w="886" w:type="dxa"/>
            <w:shd w:val="clear" w:color="auto" w:fill="auto"/>
          </w:tcPr>
          <w:p w14:paraId="27379EEF"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0.8%</w:t>
            </w:r>
          </w:p>
        </w:tc>
        <w:tc>
          <w:tcPr>
            <w:tcW w:w="886" w:type="dxa"/>
            <w:shd w:val="clear" w:color="auto" w:fill="auto"/>
          </w:tcPr>
          <w:p w14:paraId="1BD8F70A" w14:textId="3EE655A1"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056EC2" w:rsidRPr="00F464FA">
              <w:rPr>
                <w:sz w:val="18"/>
              </w:rPr>
              <w:t xml:space="preserve"> </w:t>
            </w:r>
            <w:r w:rsidRPr="00F464FA">
              <w:rPr>
                <w:sz w:val="18"/>
              </w:rPr>
              <w:t>038</w:t>
            </w:r>
          </w:p>
        </w:tc>
        <w:tc>
          <w:tcPr>
            <w:tcW w:w="886" w:type="dxa"/>
            <w:shd w:val="clear" w:color="auto" w:fill="auto"/>
          </w:tcPr>
          <w:p w14:paraId="6D8A07A8"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0.6%</w:t>
            </w:r>
          </w:p>
        </w:tc>
        <w:tc>
          <w:tcPr>
            <w:tcW w:w="886" w:type="dxa"/>
            <w:shd w:val="clear" w:color="auto" w:fill="auto"/>
          </w:tcPr>
          <w:p w14:paraId="6354ADBE"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450</w:t>
            </w:r>
          </w:p>
        </w:tc>
        <w:tc>
          <w:tcPr>
            <w:tcW w:w="886" w:type="dxa"/>
            <w:shd w:val="clear" w:color="auto" w:fill="auto"/>
          </w:tcPr>
          <w:p w14:paraId="429A39A6"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0.2%</w:t>
            </w:r>
          </w:p>
        </w:tc>
        <w:tc>
          <w:tcPr>
            <w:tcW w:w="886" w:type="dxa"/>
            <w:shd w:val="clear" w:color="auto" w:fill="auto"/>
          </w:tcPr>
          <w:p w14:paraId="31A2772A" w14:textId="4E7D5FDA"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2</w:t>
            </w:r>
            <w:r w:rsidR="00056EC2" w:rsidRPr="00F464FA">
              <w:rPr>
                <w:sz w:val="18"/>
              </w:rPr>
              <w:t xml:space="preserve"> </w:t>
            </w:r>
            <w:r w:rsidRPr="00F464FA">
              <w:rPr>
                <w:sz w:val="18"/>
              </w:rPr>
              <w:t>894</w:t>
            </w:r>
          </w:p>
        </w:tc>
        <w:tc>
          <w:tcPr>
            <w:tcW w:w="886" w:type="dxa"/>
            <w:shd w:val="clear" w:color="auto" w:fill="auto"/>
            <w:vAlign w:val="bottom"/>
          </w:tcPr>
          <w:p w14:paraId="40C24247" w14:textId="77777777" w:rsidR="00221DD4" w:rsidRPr="00F464FA" w:rsidRDefault="00221DD4" w:rsidP="00E33675">
            <w:pPr>
              <w:pStyle w:val="SingleTxtG"/>
              <w:tabs>
                <w:tab w:val="clear" w:pos="1701"/>
                <w:tab w:val="clear" w:pos="2268"/>
              </w:tabs>
              <w:suppressAutoHyphens w:val="0"/>
              <w:spacing w:before="40" w:after="40" w:line="220" w:lineRule="exact"/>
              <w:ind w:left="0" w:right="113"/>
              <w:jc w:val="right"/>
              <w:rPr>
                <w:sz w:val="18"/>
              </w:rPr>
            </w:pPr>
            <w:r w:rsidRPr="00F464FA">
              <w:rPr>
                <w:sz w:val="18"/>
              </w:rPr>
              <w:t>0.5%</w:t>
            </w:r>
          </w:p>
        </w:tc>
      </w:tr>
    </w:tbl>
    <w:p w14:paraId="269190BD" w14:textId="237820EA" w:rsidR="00221DD4" w:rsidRPr="00F464FA" w:rsidRDefault="00221DD4" w:rsidP="00DA06FE">
      <w:pPr>
        <w:spacing w:before="120" w:after="240"/>
        <w:ind w:left="1134" w:right="1134" w:firstLine="170"/>
        <w:rPr>
          <w:sz w:val="18"/>
        </w:rPr>
      </w:pPr>
      <w:r w:rsidRPr="00F464FA">
        <w:rPr>
          <w:i/>
          <w:iCs/>
          <w:sz w:val="18"/>
        </w:rPr>
        <w:t>Source:</w:t>
      </w:r>
      <w:r w:rsidRPr="00F464FA">
        <w:rPr>
          <w:sz w:val="18"/>
        </w:rPr>
        <w:t xml:space="preserve"> National Child Labour Survey Report, 2015</w:t>
      </w:r>
      <w:r w:rsidR="00BF6955" w:rsidRPr="00F464FA">
        <w:rPr>
          <w:sz w:val="18"/>
        </w:rPr>
        <w:t>.</w:t>
      </w:r>
    </w:p>
    <w:p w14:paraId="396A6785" w14:textId="77777777" w:rsidR="00221DD4" w:rsidRPr="00F464FA" w:rsidRDefault="00221DD4" w:rsidP="00221DD4">
      <w:pPr>
        <w:pStyle w:val="SingleTxtG"/>
        <w:rPr>
          <w:bCs/>
        </w:rPr>
      </w:pPr>
      <w:r w:rsidRPr="00F464FA">
        <w:rPr>
          <w:bCs/>
        </w:rPr>
        <w:t>34.</w:t>
      </w:r>
      <w:r w:rsidRPr="00F464FA">
        <w:rPr>
          <w:bCs/>
        </w:rPr>
        <w:tab/>
        <w:t xml:space="preserve">To reduce and eliminate the prevalence of child labour, the Government has implemented legislative and policy measures. </w:t>
      </w:r>
    </w:p>
    <w:p w14:paraId="42123062" w14:textId="77777777" w:rsidR="00221DD4" w:rsidRPr="00F464FA" w:rsidRDefault="00221DD4" w:rsidP="00221DD4">
      <w:pPr>
        <w:pStyle w:val="SingleTxtG"/>
        <w:rPr>
          <w:bCs/>
        </w:rPr>
      </w:pPr>
      <w:r w:rsidRPr="00F464FA">
        <w:rPr>
          <w:bCs/>
        </w:rPr>
        <w:t>35.</w:t>
      </w:r>
      <w:r w:rsidRPr="00F464FA">
        <w:rPr>
          <w:bCs/>
        </w:rPr>
        <w:tab/>
        <w:t xml:space="preserve">The legislative measures include the enactment of </w:t>
      </w:r>
      <w:r w:rsidRPr="00F464FA">
        <w:t>the Employment Act which provides for fourteen years as the minimum age of entry into employment. This is in line with the ILO Convention on Minimum Age of Entry into Employment No. 138. The Government also developed the List of Hazardous Work for children Order of 2012. The list contains specifications of works that children aged between 5-17 years are prohibited from engaging in. The list is also in compliance with the ILO Convention 182 on the Worst Forms of Child Labour which specifies that the state parties shall domesticate the Convention by listing the types of work that children aged between 5 to 17 years are prohibited from carrying out.</w:t>
      </w:r>
    </w:p>
    <w:p w14:paraId="4ED6FBFD" w14:textId="77777777" w:rsidR="00221DD4" w:rsidRPr="00F464FA" w:rsidRDefault="00221DD4" w:rsidP="00221DD4">
      <w:pPr>
        <w:pStyle w:val="SingleTxtG"/>
        <w:rPr>
          <w:bCs/>
        </w:rPr>
      </w:pPr>
      <w:r w:rsidRPr="00F464FA">
        <w:rPr>
          <w:bCs/>
        </w:rPr>
        <w:t>36.</w:t>
      </w:r>
      <w:r w:rsidRPr="00F464FA">
        <w:rPr>
          <w:bCs/>
        </w:rPr>
        <w:tab/>
        <w:t xml:space="preserve">The policy measures the Government of Malawi has implemented include the </w:t>
      </w:r>
      <w:r w:rsidRPr="00F464FA">
        <w:t xml:space="preserve">development of the National Code of Conduct on Child Labour. The National Code of Conduct is a tool used to guide the institutions in the elimination of child labour. The Government also developed the National Action Plan on Child Labour. This is an overarching document in the elimination of child labour in Malawi. This Plan of Action was implemented from 2010 to 2016 and it is currently undergoing a review alongside the </w:t>
      </w:r>
      <w:bookmarkStart w:id="16" w:name="_Hlk41557743"/>
      <w:r w:rsidRPr="00F464FA">
        <w:t>Malawi Decent Work Country Programme (MDWCP)</w:t>
      </w:r>
      <w:bookmarkEnd w:id="16"/>
      <w:r w:rsidRPr="00F464FA">
        <w:t xml:space="preserve">, another important document in the elimination of child </w:t>
      </w:r>
      <w:r w:rsidRPr="00F464FA">
        <w:lastRenderedPageBreak/>
        <w:t xml:space="preserve">labour. The MDWCP promotes decent work for adults so that they are able to support their children attending school to prevent them from engaging in child labour. </w:t>
      </w:r>
    </w:p>
    <w:p w14:paraId="288DF154" w14:textId="21D1C860" w:rsidR="00221DD4" w:rsidRPr="00F464FA" w:rsidRDefault="00221DD4" w:rsidP="00221DD4">
      <w:pPr>
        <w:pStyle w:val="SingleTxtG"/>
        <w:rPr>
          <w:bCs/>
        </w:rPr>
      </w:pPr>
      <w:r w:rsidRPr="00F464FA">
        <w:rPr>
          <w:bCs/>
        </w:rPr>
        <w:t>37.</w:t>
      </w:r>
      <w:r w:rsidRPr="00F464FA">
        <w:rPr>
          <w:bCs/>
        </w:rPr>
        <w:tab/>
      </w:r>
      <w:r w:rsidRPr="00F464FA">
        <w:t xml:space="preserve">Furthermore, the Government through Ministry of Labour has been working with different institutions in implementing various programmes that include the </w:t>
      </w:r>
      <w:bookmarkStart w:id="17" w:name="_Hlk41558804"/>
      <w:r w:rsidRPr="00F464FA">
        <w:t>Child Labour Elimination in Action for Real Change (CLEAR)</w:t>
      </w:r>
      <w:bookmarkEnd w:id="17"/>
      <w:r w:rsidRPr="00F464FA">
        <w:t xml:space="preserve"> funded by Elimination of Child Labour in Tobacco Growing Foundation. This programme was implemented in the three districts of </w:t>
      </w:r>
      <w:proofErr w:type="spellStart"/>
      <w:r w:rsidRPr="00F464FA">
        <w:t>Mchinji</w:t>
      </w:r>
      <w:proofErr w:type="spellEnd"/>
      <w:r w:rsidRPr="00F464FA">
        <w:t xml:space="preserve">, </w:t>
      </w:r>
      <w:proofErr w:type="spellStart"/>
      <w:r w:rsidRPr="00F464FA">
        <w:t>Ntchisi</w:t>
      </w:r>
      <w:proofErr w:type="spellEnd"/>
      <w:r w:rsidRPr="00F464FA">
        <w:t xml:space="preserve"> and </w:t>
      </w:r>
      <w:proofErr w:type="spellStart"/>
      <w:r w:rsidRPr="00F464FA">
        <w:t>Rumphi</w:t>
      </w:r>
      <w:proofErr w:type="spellEnd"/>
      <w:r w:rsidRPr="00F464FA">
        <w:t xml:space="preserve">. The programme targeted the communities through provision of food security, awareness raising and advocacy, improvement in education through rehabilitation of school blocks and construction of new blocks. The programme also made provision for safe spaces to the withdrawn children from child labour for them to be rehabilitated before they could be repatriated back to their homes or back to school. The programme constructed one safe space in </w:t>
      </w:r>
      <w:proofErr w:type="spellStart"/>
      <w:r w:rsidRPr="00F464FA">
        <w:t>Rumphi</w:t>
      </w:r>
      <w:proofErr w:type="spellEnd"/>
      <w:r w:rsidRPr="00F464FA">
        <w:t xml:space="preserve"> district. The CLEAR programme is in its third phase and will run for the next four years.</w:t>
      </w:r>
    </w:p>
    <w:p w14:paraId="686FE3E0" w14:textId="77777777" w:rsidR="00221DD4" w:rsidRPr="00F464FA" w:rsidRDefault="00221DD4" w:rsidP="00221DD4">
      <w:pPr>
        <w:pStyle w:val="SingleTxtG"/>
        <w:rPr>
          <w:bCs/>
        </w:rPr>
      </w:pPr>
      <w:r w:rsidRPr="00F464FA">
        <w:rPr>
          <w:bCs/>
        </w:rPr>
        <w:t>38.</w:t>
      </w:r>
      <w:r w:rsidRPr="00F464FA">
        <w:rPr>
          <w:bCs/>
        </w:rPr>
        <w:tab/>
      </w:r>
      <w:r w:rsidRPr="00F464FA">
        <w:t xml:space="preserve">Another programme is the Achieving Reduction of Child Labour in Support of Education (ARISE). This programme was funded by </w:t>
      </w:r>
      <w:bookmarkStart w:id="18" w:name="_Hlk41559060"/>
      <w:r w:rsidRPr="00F464FA">
        <w:t xml:space="preserve">Japan Tobacco International (JTI). </w:t>
      </w:r>
      <w:bookmarkEnd w:id="18"/>
      <w:r w:rsidRPr="00F464FA">
        <w:t xml:space="preserve">It was being implemented by two partners which were the ILO and </w:t>
      </w:r>
      <w:proofErr w:type="spellStart"/>
      <w:r w:rsidRPr="00F464FA">
        <w:t>Winrock</w:t>
      </w:r>
      <w:proofErr w:type="spellEnd"/>
      <w:r w:rsidRPr="00F464FA">
        <w:t xml:space="preserve"> International. The first phase targeted two districts in tobacco growing areas which are Lilongwe and </w:t>
      </w:r>
      <w:proofErr w:type="spellStart"/>
      <w:r w:rsidRPr="00F464FA">
        <w:t>Ntcheu</w:t>
      </w:r>
      <w:proofErr w:type="spellEnd"/>
      <w:r w:rsidRPr="00F464FA">
        <w:t>. In these districts, the programme targeted the communities through the provision of education services, awareness-raising and advocacy, law, policy and regulatory framework among others. These have helped the communities to be economically empowered. The communities were given the services of village savings and loans, goat and chicken raring and other small scale businesses. The ILO will be implementing another programme on child labour elimination that will target districts growing oil generating crops like groundnuts, soya beans and sunflower.</w:t>
      </w:r>
    </w:p>
    <w:p w14:paraId="278609B4" w14:textId="0800D415" w:rsidR="00221DD4" w:rsidRPr="00F464FA" w:rsidRDefault="00221DD4" w:rsidP="00221DD4">
      <w:pPr>
        <w:pStyle w:val="SingleTxtG"/>
        <w:rPr>
          <w:bCs/>
        </w:rPr>
      </w:pPr>
      <w:r w:rsidRPr="00F464FA">
        <w:rPr>
          <w:bCs/>
        </w:rPr>
        <w:t>39.</w:t>
      </w:r>
      <w:r w:rsidRPr="00F464FA">
        <w:rPr>
          <w:bCs/>
        </w:rPr>
        <w:tab/>
      </w:r>
      <w:r w:rsidRPr="00F464FA">
        <w:t>The Ministry of Labour has also developed the National Child Labour Policy. The Policy is at an advanced stage, awaiting the Cabinet’s approval. Once the Policy is approved then it will be a guiding tool in the elimination of child labour in Malawi.</w:t>
      </w:r>
    </w:p>
    <w:p w14:paraId="5C2F057F" w14:textId="75865532" w:rsidR="00221DD4" w:rsidRPr="00F464FA" w:rsidRDefault="004E3AE7" w:rsidP="00355030">
      <w:pPr>
        <w:pStyle w:val="H23G"/>
        <w:rPr>
          <w:lang w:val="en-GB"/>
        </w:rPr>
      </w:pPr>
      <w:r w:rsidRPr="00F464FA">
        <w:rPr>
          <w:lang w:val="en-GB"/>
        </w:rPr>
        <w:tab/>
      </w:r>
      <w:r w:rsidRPr="00F464FA">
        <w:rPr>
          <w:lang w:val="en-GB"/>
        </w:rPr>
        <w:tab/>
      </w:r>
      <w:r w:rsidR="00221DD4" w:rsidRPr="00F464FA">
        <w:rPr>
          <w:lang w:val="en-GB"/>
        </w:rPr>
        <w:t>Informal Economy</w:t>
      </w:r>
    </w:p>
    <w:p w14:paraId="12F2C171" w14:textId="77777777" w:rsidR="00221DD4" w:rsidRPr="00F464FA" w:rsidRDefault="00221DD4" w:rsidP="00221DD4">
      <w:pPr>
        <w:pStyle w:val="SingleTxtG"/>
        <w:rPr>
          <w:bCs/>
        </w:rPr>
      </w:pPr>
      <w:r w:rsidRPr="00F464FA">
        <w:rPr>
          <w:bCs/>
        </w:rPr>
        <w:t>40.</w:t>
      </w:r>
      <w:r w:rsidRPr="00F464FA">
        <w:rPr>
          <w:bCs/>
        </w:rPr>
        <w:tab/>
        <w:t>Informal economy comprises of micro enterprises, home based workers and bare-minimum survival activities such as street vending, domestic work and other such work which is not covered under the established rules and regulations of the formal sector. The informal sector covers a wide range of labour market activities and plays a crucial role in the Malawian economy.</w:t>
      </w:r>
    </w:p>
    <w:p w14:paraId="05F3B989" w14:textId="22D4EEDD" w:rsidR="00221DD4" w:rsidRPr="00F464FA" w:rsidRDefault="00221DD4" w:rsidP="00221DD4">
      <w:pPr>
        <w:pStyle w:val="SingleTxtG"/>
        <w:rPr>
          <w:bCs/>
        </w:rPr>
      </w:pPr>
      <w:r w:rsidRPr="00F464FA">
        <w:rPr>
          <w:bCs/>
        </w:rPr>
        <w:t>41.</w:t>
      </w:r>
      <w:r w:rsidRPr="00F464FA">
        <w:rPr>
          <w:bCs/>
        </w:rPr>
        <w:tab/>
        <w:t xml:space="preserve">The MPHC, 2018 collected information on small businesses operated by any member of the household. Out of 3,984,981 households in Malawi, 651,357 households operated a business of some kind representing 16.3 percent of all the households. Table 8 </w:t>
      </w:r>
      <w:r w:rsidRPr="00F464FA">
        <w:t>shows that 44 percent of the businesses owned by households sell products in the same form that they were bought; 16 percent buy products to sell but add value before selling; 15 percent make products and sell; 7 percent grow and sell while 15 percent household indicated that they were re-selling products after re-packing, re-grading or cooking, which entails light manufacturing especially given that trading in foodstuff is widespread in Malawi.</w:t>
      </w:r>
    </w:p>
    <w:p w14:paraId="72217A0F" w14:textId="5F8813CF" w:rsidR="00221DD4" w:rsidRPr="00F464FA" w:rsidRDefault="00221DD4" w:rsidP="00221DD4">
      <w:pPr>
        <w:pStyle w:val="Heading1"/>
        <w:pageBreakBefore/>
      </w:pPr>
      <w:r w:rsidRPr="00F464FA">
        <w:lastRenderedPageBreak/>
        <w:t>Table 8</w:t>
      </w:r>
    </w:p>
    <w:p w14:paraId="0954819F" w14:textId="77777777" w:rsidR="00221DD4" w:rsidRPr="00F464FA" w:rsidRDefault="00221DD4" w:rsidP="00221DD4">
      <w:pPr>
        <w:pStyle w:val="SingleTxtG"/>
        <w:rPr>
          <w:b/>
        </w:rPr>
      </w:pPr>
      <w:r w:rsidRPr="00F464FA">
        <w:rPr>
          <w:b/>
        </w:rPr>
        <w:t>Percentage of households with business by core business activities, 2018</w:t>
      </w:r>
    </w:p>
    <w:p w14:paraId="09FD6118" w14:textId="77777777" w:rsidR="00221DD4" w:rsidRPr="00F464FA" w:rsidRDefault="00221DD4" w:rsidP="00221DD4">
      <w:pPr>
        <w:pStyle w:val="SingleTxtG"/>
        <w:spacing w:after="0"/>
        <w:rPr>
          <w:bCs/>
        </w:rPr>
      </w:pPr>
      <w:r w:rsidRPr="00F464FA">
        <w:rPr>
          <w:rFonts w:eastAsia="Calibri"/>
          <w:i/>
          <w:noProof/>
          <w:spacing w:val="4"/>
          <w:w w:val="103"/>
          <w:kern w:val="14"/>
          <w:sz w:val="18"/>
          <w:lang w:eastAsia="en-GB"/>
        </w:rPr>
        <w:drawing>
          <wp:inline distT="0" distB="0" distL="0" distR="0" wp14:anchorId="594EAE67" wp14:editId="3A858B3F">
            <wp:extent cx="4686300" cy="229708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4057" cy="2305790"/>
                    </a:xfrm>
                    <a:prstGeom prst="rect">
                      <a:avLst/>
                    </a:prstGeom>
                    <a:noFill/>
                    <a:ln>
                      <a:noFill/>
                    </a:ln>
                  </pic:spPr>
                </pic:pic>
              </a:graphicData>
            </a:graphic>
          </wp:inline>
        </w:drawing>
      </w:r>
    </w:p>
    <w:p w14:paraId="58828F43" w14:textId="754E4252" w:rsidR="00221DD4" w:rsidRPr="00F464FA" w:rsidRDefault="00221DD4" w:rsidP="00B96102">
      <w:pPr>
        <w:spacing w:before="120" w:after="240"/>
        <w:ind w:left="1134" w:right="1134" w:firstLine="170"/>
        <w:rPr>
          <w:sz w:val="18"/>
        </w:rPr>
      </w:pPr>
      <w:r w:rsidRPr="00F464FA">
        <w:rPr>
          <w:rFonts w:eastAsia="Calibri"/>
          <w:i/>
          <w:iCs/>
          <w:sz w:val="18"/>
        </w:rPr>
        <w:t>Source</w:t>
      </w:r>
      <w:r w:rsidRPr="00F464FA">
        <w:rPr>
          <w:i/>
          <w:iCs/>
          <w:sz w:val="18"/>
        </w:rPr>
        <w:t>:</w:t>
      </w:r>
      <w:r w:rsidRPr="00F464FA">
        <w:rPr>
          <w:sz w:val="18"/>
        </w:rPr>
        <w:t xml:space="preserve"> MPHC, 2018</w:t>
      </w:r>
      <w:r w:rsidR="00C13D6E" w:rsidRPr="00F464FA">
        <w:rPr>
          <w:sz w:val="18"/>
        </w:rPr>
        <w:t>.</w:t>
      </w:r>
    </w:p>
    <w:p w14:paraId="23BEEA5D" w14:textId="77777777" w:rsidR="00221DD4" w:rsidRPr="00F464FA" w:rsidRDefault="00221DD4" w:rsidP="00221DD4">
      <w:pPr>
        <w:pStyle w:val="SingleTxtG"/>
        <w:spacing w:before="100" w:beforeAutospacing="1"/>
        <w:rPr>
          <w:bCs/>
        </w:rPr>
      </w:pPr>
      <w:r w:rsidRPr="00F464FA">
        <w:rPr>
          <w:bCs/>
        </w:rPr>
        <w:t>42.</w:t>
      </w:r>
      <w:r w:rsidRPr="00F464FA">
        <w:rPr>
          <w:bCs/>
        </w:rPr>
        <w:tab/>
        <w:t xml:space="preserve">To ensure that the welfare of those working in the informal sector is safeguarded, Trade unions such as the </w:t>
      </w:r>
      <w:bookmarkStart w:id="19" w:name="_Hlk41559763"/>
      <w:r w:rsidRPr="00F464FA">
        <w:rPr>
          <w:bCs/>
        </w:rPr>
        <w:t xml:space="preserve">Malawi Union for the Informal Sector (MUFIS), </w:t>
      </w:r>
      <w:bookmarkEnd w:id="19"/>
      <w:r w:rsidRPr="00F464FA">
        <w:rPr>
          <w:bCs/>
        </w:rPr>
        <w:t xml:space="preserve">an affiliate of the </w:t>
      </w:r>
      <w:bookmarkStart w:id="20" w:name="_Hlk41559782"/>
      <w:r w:rsidRPr="00F464FA">
        <w:rPr>
          <w:bCs/>
        </w:rPr>
        <w:t xml:space="preserve">Malawi Congress of Trade Unions (MCTU), </w:t>
      </w:r>
      <w:bookmarkEnd w:id="20"/>
      <w:r w:rsidRPr="00F464FA">
        <w:rPr>
          <w:bCs/>
        </w:rPr>
        <w:t>whose membership as of 2012, was approximately 14550. MUFIS’s membership comprises home-based workers, street vendors, waste pickers, construction workers, domestic workers and small-scale tea farmers. The Union aims to assist, represent and educate its members to improve their businesses and protect their rights and interests.</w:t>
      </w:r>
    </w:p>
    <w:p w14:paraId="6E31B046" w14:textId="3BDEE565" w:rsidR="00221DD4" w:rsidRPr="00F464FA" w:rsidRDefault="0070336F" w:rsidP="003E07FA">
      <w:pPr>
        <w:pStyle w:val="H1G"/>
        <w:rPr>
          <w:lang w:val="en-GB"/>
        </w:rPr>
      </w:pPr>
      <w:bookmarkStart w:id="21" w:name="_Hlk63780407"/>
      <w:r w:rsidRPr="00F464FA">
        <w:rPr>
          <w:lang w:val="en-GB"/>
        </w:rPr>
        <w:tab/>
      </w:r>
      <w:r w:rsidRPr="00F464FA">
        <w:rPr>
          <w:lang w:val="en-GB"/>
        </w:rPr>
        <w:tab/>
      </w:r>
      <w:r w:rsidR="00221DD4" w:rsidRPr="00F464FA">
        <w:rPr>
          <w:lang w:val="en-GB"/>
        </w:rPr>
        <w:t>Article 7</w:t>
      </w:r>
      <w:r w:rsidRPr="00F464FA">
        <w:rPr>
          <w:lang w:val="en-GB"/>
        </w:rPr>
        <w:br/>
      </w:r>
      <w:r w:rsidR="00221DD4" w:rsidRPr="00F464FA">
        <w:rPr>
          <w:lang w:val="en-GB"/>
        </w:rPr>
        <w:t>The Right to Just and Favourable Conditions of Work</w:t>
      </w:r>
    </w:p>
    <w:bookmarkEnd w:id="21"/>
    <w:p w14:paraId="03445A01" w14:textId="77777777" w:rsidR="00221DD4" w:rsidRPr="00F464FA" w:rsidRDefault="00221DD4" w:rsidP="00221DD4">
      <w:pPr>
        <w:pStyle w:val="SingleTxtG"/>
        <w:rPr>
          <w:bCs/>
        </w:rPr>
      </w:pPr>
      <w:r w:rsidRPr="00F464FA">
        <w:rPr>
          <w:bCs/>
        </w:rPr>
        <w:t>43.</w:t>
      </w:r>
      <w:r w:rsidRPr="00F464FA">
        <w:rPr>
          <w:bCs/>
        </w:rPr>
        <w:tab/>
        <w:t>Section 31(1) of the Constitution of Malawi guarantees every person the right to fair and safe labour practices and fair remuneration. Section 31(3) of the Constitution further asserts that every person shall be entitled to fair wages and equal remuneration for work of equal value without distinction or discrimination of any kind, in particular on basis of gender, disability or race.</w:t>
      </w:r>
    </w:p>
    <w:p w14:paraId="703D937B" w14:textId="77777777" w:rsidR="00221DD4" w:rsidRPr="00F464FA" w:rsidRDefault="00221DD4" w:rsidP="00221DD4">
      <w:pPr>
        <w:pStyle w:val="SingleTxtG"/>
        <w:rPr>
          <w:bCs/>
        </w:rPr>
      </w:pPr>
      <w:r w:rsidRPr="00F464FA">
        <w:rPr>
          <w:bCs/>
        </w:rPr>
        <w:t>44.</w:t>
      </w:r>
      <w:r w:rsidRPr="00F464FA">
        <w:rPr>
          <w:bCs/>
        </w:rPr>
        <w:tab/>
        <w:t>To give effect to the Constitutional provisions, the Employment Act provides for the minimum standards applicable in work settings. Section 4 of the Act prohibits forced labour. Section 5 proscribes discrimination against any employee or prospective employee on the grounds of race, colour, sex, language, religion, political or other opinion, nationality, ethnic or social origin, disability, property, birth, marital or other status or family responsibilities in respect of recruitment, training, promotion, terms and conditions of employment, termination of employment or other matters arising out of the employment relationship.</w:t>
      </w:r>
    </w:p>
    <w:p w14:paraId="054FBB98" w14:textId="5DDC67D4" w:rsidR="00221DD4" w:rsidRPr="00F464FA" w:rsidRDefault="00221DD4" w:rsidP="00221DD4">
      <w:pPr>
        <w:pStyle w:val="SingleTxtG"/>
        <w:rPr>
          <w:bCs/>
        </w:rPr>
      </w:pPr>
      <w:r w:rsidRPr="00F464FA">
        <w:rPr>
          <w:bCs/>
        </w:rPr>
        <w:t>45.</w:t>
      </w:r>
      <w:r w:rsidRPr="00F464FA">
        <w:rPr>
          <w:bCs/>
        </w:rPr>
        <w:tab/>
        <w:t>The Gender Equality Act, under section 7 further mandates the Government to take active measures to ensure that employers have developed and are implementing appropriate policy and procedures aimed at eliminating sexual harassment in the workplace. All persons who have been subjected to sexual harassment in the workplace can raise a grievance about its occurrence and be guaranteed that appropriate disciplinary action shall be taken against the perpetrators. Perpetrators of sexual harassment can be charged with committing a criminal offence liable to a fine of K1,000,000 and a term of imprisonment for five years.</w:t>
      </w:r>
      <w:r w:rsidRPr="00F464FA">
        <w:rPr>
          <w:bCs/>
          <w:vertAlign w:val="superscript"/>
        </w:rPr>
        <w:footnoteReference w:id="4"/>
      </w:r>
      <w:r w:rsidRPr="00F464FA">
        <w:rPr>
          <w:bCs/>
        </w:rPr>
        <w:t xml:space="preserve"> A person who has been subjected to sexual harassment need not exhaust internal sexual harassment procedures within the workplace before prosecution of the offence can be commenced or civil proceedings can be instituted.</w:t>
      </w:r>
      <w:r w:rsidRPr="00F464FA">
        <w:rPr>
          <w:bCs/>
          <w:vertAlign w:val="superscript"/>
        </w:rPr>
        <w:footnoteReference w:id="5"/>
      </w:r>
    </w:p>
    <w:p w14:paraId="5EDC5B9B" w14:textId="7FA0D4C2" w:rsidR="00221DD4" w:rsidRPr="00F464FA" w:rsidRDefault="00221DD4" w:rsidP="00221DD4">
      <w:pPr>
        <w:pStyle w:val="SingleTxtG"/>
        <w:rPr>
          <w:bCs/>
        </w:rPr>
      </w:pPr>
      <w:r w:rsidRPr="00F464FA">
        <w:rPr>
          <w:bCs/>
        </w:rPr>
        <w:lastRenderedPageBreak/>
        <w:t>46.</w:t>
      </w:r>
      <w:r w:rsidRPr="00F464FA">
        <w:rPr>
          <w:bCs/>
        </w:rPr>
        <w:tab/>
        <w:t xml:space="preserve">Furthermore, Part III of the Employment Act provides for the establishment of The Labour Commissioner and labour officers whose function is to inspect workplaces to ensure adherence to favourable minimum working standards. The Ministry of Labour, </w:t>
      </w:r>
      <w:r w:rsidRPr="00F464FA">
        <w:t xml:space="preserve">Youth, Sports and Manpower Development through its labour officers, inspect workplaces. Each workplace must be inspected at least twice every financial year. </w:t>
      </w:r>
    </w:p>
    <w:p w14:paraId="46B33BA6" w14:textId="77777777" w:rsidR="00221DD4" w:rsidRPr="00F464FA" w:rsidRDefault="00221DD4" w:rsidP="00221DD4">
      <w:pPr>
        <w:pStyle w:val="SingleTxtG"/>
        <w:rPr>
          <w:bCs/>
        </w:rPr>
      </w:pPr>
      <w:r w:rsidRPr="00F464FA">
        <w:rPr>
          <w:bCs/>
        </w:rPr>
        <w:t>47.</w:t>
      </w:r>
      <w:r w:rsidRPr="00F464FA">
        <w:rPr>
          <w:bCs/>
        </w:rPr>
        <w:tab/>
        <w:t>Part V and VI of the Act provides for minimum requirements for concluding just and fair terms of employment such as the provision of severance allowance, leave days including maternity leave. Part VIII of the Act provides for the procedure for disciplining and dismissing an employee who respects their rights. For instance, section 57 of the Act provides that an employee must be furnished with reasons for dismissal. Before dismissal, the employee must be provided with an opportunity to defend themselves.</w:t>
      </w:r>
    </w:p>
    <w:p w14:paraId="6504302F" w14:textId="77777777" w:rsidR="00221DD4" w:rsidRPr="00F464FA" w:rsidRDefault="00221DD4" w:rsidP="00221DD4">
      <w:pPr>
        <w:pStyle w:val="SingleTxtG"/>
        <w:rPr>
          <w:bCs/>
        </w:rPr>
      </w:pPr>
      <w:r w:rsidRPr="00F464FA">
        <w:rPr>
          <w:bCs/>
        </w:rPr>
        <w:t>48.</w:t>
      </w:r>
      <w:r w:rsidRPr="00F464FA">
        <w:rPr>
          <w:bCs/>
        </w:rPr>
        <w:tab/>
        <w:t xml:space="preserve">Other laws that provide for the welfare of workers include the Pensions Act, 2011. Which mandates </w:t>
      </w:r>
      <w:r w:rsidRPr="00F464FA">
        <w:t>every employer to which this Act applies, to provide a pension for every employee. The Act further ensures that</w:t>
      </w:r>
      <w:r w:rsidRPr="00F464FA">
        <w:rPr>
          <w:bCs/>
        </w:rPr>
        <w:t xml:space="preserve"> every employee in </w:t>
      </w:r>
      <w:proofErr w:type="spellStart"/>
      <w:r w:rsidRPr="00F464FA">
        <w:rPr>
          <w:bCs/>
        </w:rPr>
        <w:t>Malaŵi</w:t>
      </w:r>
      <w:proofErr w:type="spellEnd"/>
      <w:r w:rsidRPr="00F464FA">
        <w:rPr>
          <w:bCs/>
        </w:rPr>
        <w:t xml:space="preserve"> receives retirement and supplementary benefits as and when due; promotes the safety, soundness and prudent management of pension funds that provide retirement and death benefits to members and beneficiaries; and foster agglomeration of national savings in support of economic growth and development of the country.</w:t>
      </w:r>
    </w:p>
    <w:p w14:paraId="6CB975F4" w14:textId="77777777" w:rsidR="00221DD4" w:rsidRPr="00F464FA" w:rsidRDefault="00221DD4" w:rsidP="00221DD4">
      <w:pPr>
        <w:pStyle w:val="SingleTxtG"/>
        <w:rPr>
          <w:bCs/>
        </w:rPr>
      </w:pPr>
      <w:r w:rsidRPr="00F464FA">
        <w:rPr>
          <w:bCs/>
        </w:rPr>
        <w:t>49.</w:t>
      </w:r>
      <w:r w:rsidRPr="00F464FA">
        <w:rPr>
          <w:bCs/>
        </w:rPr>
        <w:tab/>
        <w:t>Where an employee is of the view that their right to fair labour practices has been violated, they can commence a claim before a specialized court established to deal with labour matters, the Industrial Relations Act (IRC). The IRC is composed of a chairperson, deputy chairperson who are both appointed by the Chief Justice on the recommendation of the Judicial Service Commission and such other persons not exceeding twenty to comprise the employees and employers panel.</w:t>
      </w:r>
    </w:p>
    <w:p w14:paraId="21EF0DA6" w14:textId="49C5DE61" w:rsidR="00221DD4" w:rsidRPr="00F464FA" w:rsidRDefault="00221DD4" w:rsidP="00221DD4">
      <w:pPr>
        <w:pStyle w:val="SingleTxtG"/>
        <w:rPr>
          <w:bCs/>
        </w:rPr>
      </w:pPr>
      <w:r w:rsidRPr="00F464FA">
        <w:rPr>
          <w:bCs/>
        </w:rPr>
        <w:t>50.</w:t>
      </w:r>
      <w:r w:rsidRPr="00F464FA">
        <w:rPr>
          <w:bCs/>
        </w:rPr>
        <w:tab/>
        <w:t>At the policy level, the National Employment and Labour Policy also puts in place measures to ensure that employees enjoy just and favourable working conditions.</w:t>
      </w:r>
    </w:p>
    <w:p w14:paraId="6AEB6475" w14:textId="2E6EC096" w:rsidR="00221DD4" w:rsidRPr="00F464FA" w:rsidRDefault="002C50D2" w:rsidP="003E07FA">
      <w:pPr>
        <w:pStyle w:val="H1G"/>
        <w:rPr>
          <w:lang w:val="en-GB"/>
        </w:rPr>
      </w:pPr>
      <w:bookmarkStart w:id="22" w:name="_Hlk63780431"/>
      <w:r w:rsidRPr="00F464FA">
        <w:rPr>
          <w:lang w:val="en-GB"/>
        </w:rPr>
        <w:tab/>
      </w:r>
      <w:r w:rsidRPr="00F464FA">
        <w:rPr>
          <w:lang w:val="en-GB"/>
        </w:rPr>
        <w:tab/>
      </w:r>
      <w:r w:rsidR="00221DD4" w:rsidRPr="00F464FA">
        <w:rPr>
          <w:lang w:val="en-GB"/>
        </w:rPr>
        <w:t>Article 8</w:t>
      </w:r>
      <w:r w:rsidRPr="00F464FA">
        <w:rPr>
          <w:lang w:val="en-GB"/>
        </w:rPr>
        <w:br/>
      </w:r>
      <w:r w:rsidR="00221DD4" w:rsidRPr="00F464FA">
        <w:rPr>
          <w:lang w:val="en-GB"/>
        </w:rPr>
        <w:t>The Right to Join a Trade Union</w:t>
      </w:r>
    </w:p>
    <w:bookmarkEnd w:id="22"/>
    <w:p w14:paraId="6379BD76" w14:textId="77777777" w:rsidR="00221DD4" w:rsidRPr="00F464FA" w:rsidRDefault="00221DD4" w:rsidP="00221DD4">
      <w:pPr>
        <w:pStyle w:val="SingleTxtG"/>
        <w:rPr>
          <w:bCs/>
        </w:rPr>
      </w:pPr>
      <w:r w:rsidRPr="00F464FA">
        <w:rPr>
          <w:bCs/>
        </w:rPr>
        <w:t>51.</w:t>
      </w:r>
      <w:r w:rsidRPr="00F464FA">
        <w:rPr>
          <w:bCs/>
        </w:rPr>
        <w:tab/>
        <w:t xml:space="preserve">Section 31(2) of the Constitution of Malawi guarantees every person the right to </w:t>
      </w:r>
      <w:r w:rsidRPr="00F464FA">
        <w:t>form and join trade unions or not to form or join trade unions. In addition, Section 32 of the Constitution guarantees every person the right to freedom of association, which includes the freedom to form associations. The right to form trade unions is encompassed in this right. The freedom to join a trade union includes the freedom not to be compelled to join a trade union.</w:t>
      </w:r>
    </w:p>
    <w:p w14:paraId="50663381" w14:textId="46F10C99" w:rsidR="00221DD4" w:rsidRPr="00F464FA" w:rsidRDefault="00221DD4" w:rsidP="00221DD4">
      <w:pPr>
        <w:pStyle w:val="SingleTxtG"/>
        <w:rPr>
          <w:bCs/>
        </w:rPr>
      </w:pPr>
      <w:r w:rsidRPr="00F464FA">
        <w:rPr>
          <w:bCs/>
        </w:rPr>
        <w:t>52.</w:t>
      </w:r>
      <w:r w:rsidRPr="00F464FA">
        <w:rPr>
          <w:bCs/>
        </w:rPr>
        <w:tab/>
        <w:t xml:space="preserve">The Labour Relations Act (LRA) gives effect to the right to join trade unions. </w:t>
      </w:r>
      <w:r w:rsidRPr="00F464FA">
        <w:t>The Act aims at promoting sound labour relations through the protection and promotion of freedom of association, the encouragement of effective collective bargaining and the promotion of orderly and expeditious dispute settlement, conducive to social justice and economic development. The Act applies to both public and private institutions.</w:t>
      </w:r>
    </w:p>
    <w:p w14:paraId="7BD2BB52" w14:textId="77777777" w:rsidR="00221DD4" w:rsidRPr="00F464FA" w:rsidRDefault="00221DD4" w:rsidP="00221DD4">
      <w:pPr>
        <w:pStyle w:val="SingleTxtG"/>
      </w:pPr>
      <w:r w:rsidRPr="00F464FA">
        <w:t>53.</w:t>
      </w:r>
      <w:r w:rsidRPr="00F464FA">
        <w:tab/>
        <w:t>The LRA also prohibits discrimination of any kind in the constitutions of the trade unions or employers’ organizations.</w:t>
      </w:r>
      <w:r w:rsidRPr="00F464FA">
        <w:rPr>
          <w:vertAlign w:val="superscript"/>
        </w:rPr>
        <w:footnoteReference w:id="6"/>
      </w:r>
      <w:r w:rsidRPr="00F464FA">
        <w:t xml:space="preserve"> This does not however preclude any provision, programme or activity aimed at ameliorating the conditions of disadvantaged individuals or groups.</w:t>
      </w:r>
      <w:r w:rsidRPr="00F464FA">
        <w:rPr>
          <w:vertAlign w:val="superscript"/>
        </w:rPr>
        <w:footnoteReference w:id="7"/>
      </w:r>
    </w:p>
    <w:p w14:paraId="5E69225D" w14:textId="287D2FDC" w:rsidR="00221DD4" w:rsidRPr="00F464FA" w:rsidRDefault="00221DD4" w:rsidP="00221DD4">
      <w:pPr>
        <w:pStyle w:val="SingleTxtG"/>
        <w:rPr>
          <w:bCs/>
        </w:rPr>
      </w:pPr>
      <w:r w:rsidRPr="00F464FA">
        <w:rPr>
          <w:bCs/>
        </w:rPr>
        <w:t>54.</w:t>
      </w:r>
      <w:r w:rsidRPr="00F464FA">
        <w:rPr>
          <w:bCs/>
        </w:rPr>
        <w:tab/>
      </w:r>
      <w:r w:rsidRPr="00F464FA">
        <w:t xml:space="preserve">The LRA also provides remedies to parties who believe their freedom of association and its associated rights discussed above are infringed, the Industrial Relations Court is empowered to make such orders as it deems necessary to secure compliance with provisions of the Act. For instance, in the case of </w:t>
      </w:r>
      <w:r w:rsidRPr="00F464FA">
        <w:rPr>
          <w:bCs/>
          <w:i/>
          <w:iCs/>
        </w:rPr>
        <w:t>Trade Union Members v NSCM Milling Division</w:t>
      </w:r>
      <w:r w:rsidRPr="00F464FA">
        <w:t xml:space="preserve"> Matter No. 8 of 1999[2001] the complainants who were involved in a lawful strike were </w:t>
      </w:r>
      <w:r w:rsidRPr="00F464FA">
        <w:lastRenderedPageBreak/>
        <w:t>dismissed by their employer for their participation in a strike. The court held that their dismissal was unfair and ordered the employers to compensate the employees.</w:t>
      </w:r>
    </w:p>
    <w:p w14:paraId="02582115" w14:textId="77777777" w:rsidR="00221DD4" w:rsidRPr="00F464FA" w:rsidRDefault="00221DD4" w:rsidP="00221DD4">
      <w:pPr>
        <w:pStyle w:val="SingleTxtG"/>
        <w:rPr>
          <w:bCs/>
        </w:rPr>
      </w:pPr>
      <w:r w:rsidRPr="00F464FA">
        <w:rPr>
          <w:bCs/>
        </w:rPr>
        <w:t>55.</w:t>
      </w:r>
      <w:r w:rsidRPr="00F464FA">
        <w:rPr>
          <w:bCs/>
        </w:rPr>
        <w:tab/>
        <w:t>The MCTU is a crucial player in the vindication of union rights. It aims to promote the growth of union movements in Malawi, resultantly contributing to the realization of workers’ rights, social justice and improved working conditions through education, networking, research, organizing, advocacy, and policy engagement.</w:t>
      </w:r>
    </w:p>
    <w:p w14:paraId="09F9C733" w14:textId="77777777" w:rsidR="00221DD4" w:rsidRPr="00F464FA" w:rsidRDefault="00221DD4" w:rsidP="00221DD4">
      <w:pPr>
        <w:pStyle w:val="SingleTxtG"/>
        <w:rPr>
          <w:bCs/>
        </w:rPr>
      </w:pPr>
      <w:r w:rsidRPr="00F464FA">
        <w:rPr>
          <w:bCs/>
        </w:rPr>
        <w:t>56.</w:t>
      </w:r>
      <w:r w:rsidRPr="00F464FA">
        <w:rPr>
          <w:bCs/>
        </w:rPr>
        <w:tab/>
        <w:t>The MCTU has 24 affiliate unions such as the MUFIS, Tobacco Tenants and Allied Workers Union (TOTAWUM), Civil Servants Trade Union (CSTU) etc. The MCTU provides advice to affiliate unions to vindicate their members’ labour rights.</w:t>
      </w:r>
    </w:p>
    <w:p w14:paraId="4E5B9538" w14:textId="77777777" w:rsidR="00221DD4" w:rsidRPr="00F464FA" w:rsidRDefault="00221DD4" w:rsidP="00355703">
      <w:pPr>
        <w:pStyle w:val="SingleTxtG"/>
        <w:spacing w:after="240"/>
        <w:rPr>
          <w:bCs/>
        </w:rPr>
      </w:pPr>
      <w:r w:rsidRPr="00F464FA">
        <w:rPr>
          <w:bCs/>
        </w:rPr>
        <w:t>57.</w:t>
      </w:r>
      <w:r w:rsidRPr="00F464FA">
        <w:rPr>
          <w:bCs/>
        </w:rPr>
        <w:tab/>
        <w:t>The 2013 Malawi Labour Survey established that membership to unions and employees’ association among workers is low. Overall, 6% and 4% of persons in wage employment are members of trade union and employees’ associations respectively. Employed persons whose occupations are managers, professionals and clerical support staff have disproportionately high percentages of membership to employees’ associations and trade unions compared to workers in other occupations. Among employed persons who were non-members of trade unions and employees’ associations, the most prevalent reason for not joining trade unions or employees’ associations is lack of knowledge on the existence of the trade union or employee association (52%) and not aware of any union to join at their work place (22%).</w:t>
      </w:r>
    </w:p>
    <w:p w14:paraId="2A785DD4" w14:textId="275E90B4" w:rsidR="00221DD4" w:rsidRPr="00F464FA" w:rsidRDefault="00221DD4" w:rsidP="00221DD4">
      <w:pPr>
        <w:pStyle w:val="Heading1"/>
      </w:pPr>
      <w:r w:rsidRPr="00F464FA">
        <w:t>Table 9</w:t>
      </w:r>
    </w:p>
    <w:p w14:paraId="66B4460F" w14:textId="77777777" w:rsidR="00221DD4" w:rsidRPr="00F464FA" w:rsidRDefault="00221DD4" w:rsidP="00221DD4">
      <w:pPr>
        <w:pStyle w:val="SingleTxtG"/>
        <w:rPr>
          <w:b/>
        </w:rPr>
      </w:pPr>
      <w:r w:rsidRPr="00F464FA">
        <w:rPr>
          <w:b/>
        </w:rPr>
        <w:t>Percentage of Trade union and employee association membership by occupation</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26"/>
        <w:gridCol w:w="622"/>
        <w:gridCol w:w="622"/>
        <w:gridCol w:w="676"/>
        <w:gridCol w:w="622"/>
        <w:gridCol w:w="622"/>
        <w:gridCol w:w="676"/>
        <w:gridCol w:w="622"/>
        <w:gridCol w:w="622"/>
        <w:gridCol w:w="695"/>
      </w:tblGrid>
      <w:tr w:rsidR="004B7AC8" w:rsidRPr="00F464FA" w14:paraId="14570FF3" w14:textId="77777777" w:rsidTr="00EE6776">
        <w:trPr>
          <w:tblHeader/>
        </w:trPr>
        <w:tc>
          <w:tcPr>
            <w:tcW w:w="2726" w:type="dxa"/>
            <w:vMerge w:val="restart"/>
            <w:tcBorders>
              <w:top w:val="single" w:sz="4" w:space="0" w:color="auto"/>
            </w:tcBorders>
            <w:shd w:val="clear" w:color="auto" w:fill="auto"/>
            <w:vAlign w:val="bottom"/>
          </w:tcPr>
          <w:p w14:paraId="2CF0A88F" w14:textId="42A70A60" w:rsidR="004B7AC8" w:rsidRPr="00F464FA" w:rsidRDefault="004B7AC8" w:rsidP="00A56CE5">
            <w:pPr>
              <w:pStyle w:val="SingleTxtG"/>
              <w:spacing w:before="80" w:after="80" w:line="200" w:lineRule="exact"/>
              <w:ind w:left="0" w:right="113"/>
              <w:jc w:val="left"/>
              <w:rPr>
                <w:i/>
                <w:sz w:val="16"/>
              </w:rPr>
            </w:pPr>
            <w:r w:rsidRPr="00F464FA">
              <w:rPr>
                <w:i/>
                <w:sz w:val="16"/>
              </w:rPr>
              <w:t>Occupation</w:t>
            </w:r>
          </w:p>
        </w:tc>
        <w:tc>
          <w:tcPr>
            <w:tcW w:w="1920" w:type="dxa"/>
            <w:gridSpan w:val="3"/>
            <w:tcBorders>
              <w:top w:val="single" w:sz="4" w:space="0" w:color="auto"/>
              <w:bottom w:val="single" w:sz="4" w:space="0" w:color="auto"/>
              <w:right w:val="single" w:sz="24" w:space="0" w:color="FFFFFF" w:themeColor="background1"/>
            </w:tcBorders>
            <w:shd w:val="clear" w:color="auto" w:fill="auto"/>
            <w:vAlign w:val="bottom"/>
          </w:tcPr>
          <w:p w14:paraId="277F3A23"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Trade union membership</w:t>
            </w:r>
          </w:p>
        </w:tc>
        <w:tc>
          <w:tcPr>
            <w:tcW w:w="19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6E60F6E"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Employees Association</w:t>
            </w:r>
          </w:p>
        </w:tc>
        <w:tc>
          <w:tcPr>
            <w:tcW w:w="1939" w:type="dxa"/>
            <w:gridSpan w:val="3"/>
            <w:tcBorders>
              <w:top w:val="single" w:sz="4" w:space="0" w:color="auto"/>
              <w:left w:val="single" w:sz="24" w:space="0" w:color="FFFFFF" w:themeColor="background1"/>
              <w:bottom w:val="single" w:sz="4" w:space="0" w:color="auto"/>
            </w:tcBorders>
            <w:shd w:val="clear" w:color="auto" w:fill="auto"/>
            <w:vAlign w:val="bottom"/>
          </w:tcPr>
          <w:p w14:paraId="52EACA13"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Collective bargaining</w:t>
            </w:r>
          </w:p>
        </w:tc>
      </w:tr>
      <w:tr w:rsidR="004B7AC8" w:rsidRPr="00F464FA" w14:paraId="76639E4D" w14:textId="77777777" w:rsidTr="008A30F0">
        <w:tc>
          <w:tcPr>
            <w:tcW w:w="2726" w:type="dxa"/>
            <w:vMerge/>
            <w:tcBorders>
              <w:bottom w:val="single" w:sz="12" w:space="0" w:color="auto"/>
            </w:tcBorders>
            <w:shd w:val="clear" w:color="auto" w:fill="auto"/>
          </w:tcPr>
          <w:p w14:paraId="6B0B96F8" w14:textId="4CD5D707" w:rsidR="004B7AC8" w:rsidRPr="00F464FA" w:rsidRDefault="004B7AC8" w:rsidP="00A56CE5">
            <w:pPr>
              <w:pStyle w:val="SingleTxtG"/>
              <w:tabs>
                <w:tab w:val="clear" w:pos="1701"/>
                <w:tab w:val="clear" w:pos="2268"/>
              </w:tabs>
              <w:suppressAutoHyphens w:val="0"/>
              <w:spacing w:before="80" w:after="80" w:line="200" w:lineRule="exact"/>
              <w:ind w:left="0" w:right="113"/>
              <w:jc w:val="left"/>
              <w:rPr>
                <w:i/>
                <w:sz w:val="16"/>
              </w:rPr>
            </w:pPr>
          </w:p>
        </w:tc>
        <w:tc>
          <w:tcPr>
            <w:tcW w:w="622" w:type="dxa"/>
            <w:tcBorders>
              <w:top w:val="single" w:sz="4" w:space="0" w:color="auto"/>
              <w:bottom w:val="single" w:sz="12" w:space="0" w:color="auto"/>
            </w:tcBorders>
            <w:shd w:val="clear" w:color="auto" w:fill="auto"/>
            <w:vAlign w:val="bottom"/>
          </w:tcPr>
          <w:p w14:paraId="36ABA30D"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Both</w:t>
            </w:r>
          </w:p>
        </w:tc>
        <w:tc>
          <w:tcPr>
            <w:tcW w:w="622" w:type="dxa"/>
            <w:tcBorders>
              <w:top w:val="single" w:sz="4" w:space="0" w:color="auto"/>
              <w:bottom w:val="single" w:sz="12" w:space="0" w:color="auto"/>
            </w:tcBorders>
            <w:shd w:val="clear" w:color="auto" w:fill="auto"/>
            <w:vAlign w:val="bottom"/>
          </w:tcPr>
          <w:p w14:paraId="719B0668"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Male</w:t>
            </w:r>
          </w:p>
        </w:tc>
        <w:tc>
          <w:tcPr>
            <w:tcW w:w="676" w:type="dxa"/>
            <w:tcBorders>
              <w:top w:val="single" w:sz="4" w:space="0" w:color="auto"/>
              <w:bottom w:val="single" w:sz="12" w:space="0" w:color="auto"/>
              <w:right w:val="single" w:sz="24" w:space="0" w:color="FFFFFF" w:themeColor="background1"/>
            </w:tcBorders>
            <w:shd w:val="clear" w:color="auto" w:fill="auto"/>
            <w:vAlign w:val="bottom"/>
          </w:tcPr>
          <w:p w14:paraId="6351B811"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Female</w:t>
            </w:r>
          </w:p>
        </w:tc>
        <w:tc>
          <w:tcPr>
            <w:tcW w:w="622" w:type="dxa"/>
            <w:tcBorders>
              <w:top w:val="single" w:sz="4" w:space="0" w:color="auto"/>
              <w:left w:val="single" w:sz="24" w:space="0" w:color="FFFFFF" w:themeColor="background1"/>
              <w:bottom w:val="single" w:sz="12" w:space="0" w:color="auto"/>
            </w:tcBorders>
            <w:shd w:val="clear" w:color="auto" w:fill="auto"/>
            <w:vAlign w:val="bottom"/>
          </w:tcPr>
          <w:p w14:paraId="510F60C8"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Both</w:t>
            </w:r>
          </w:p>
        </w:tc>
        <w:tc>
          <w:tcPr>
            <w:tcW w:w="622" w:type="dxa"/>
            <w:tcBorders>
              <w:top w:val="single" w:sz="4" w:space="0" w:color="auto"/>
              <w:bottom w:val="single" w:sz="12" w:space="0" w:color="auto"/>
            </w:tcBorders>
            <w:shd w:val="clear" w:color="auto" w:fill="auto"/>
            <w:vAlign w:val="bottom"/>
          </w:tcPr>
          <w:p w14:paraId="5600B51E"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Male</w:t>
            </w:r>
          </w:p>
        </w:tc>
        <w:tc>
          <w:tcPr>
            <w:tcW w:w="676" w:type="dxa"/>
            <w:tcBorders>
              <w:top w:val="single" w:sz="4" w:space="0" w:color="auto"/>
              <w:bottom w:val="single" w:sz="12" w:space="0" w:color="auto"/>
              <w:right w:val="single" w:sz="24" w:space="0" w:color="FFFFFF" w:themeColor="background1"/>
            </w:tcBorders>
            <w:shd w:val="clear" w:color="auto" w:fill="auto"/>
            <w:vAlign w:val="bottom"/>
          </w:tcPr>
          <w:p w14:paraId="74311F47"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Female</w:t>
            </w:r>
          </w:p>
        </w:tc>
        <w:tc>
          <w:tcPr>
            <w:tcW w:w="622" w:type="dxa"/>
            <w:tcBorders>
              <w:top w:val="single" w:sz="4" w:space="0" w:color="auto"/>
              <w:left w:val="single" w:sz="24" w:space="0" w:color="FFFFFF" w:themeColor="background1"/>
              <w:bottom w:val="single" w:sz="12" w:space="0" w:color="auto"/>
            </w:tcBorders>
            <w:shd w:val="clear" w:color="auto" w:fill="auto"/>
            <w:vAlign w:val="bottom"/>
          </w:tcPr>
          <w:p w14:paraId="1B89EFC4"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Both</w:t>
            </w:r>
          </w:p>
        </w:tc>
        <w:tc>
          <w:tcPr>
            <w:tcW w:w="622" w:type="dxa"/>
            <w:tcBorders>
              <w:top w:val="single" w:sz="4" w:space="0" w:color="auto"/>
              <w:bottom w:val="single" w:sz="12" w:space="0" w:color="auto"/>
            </w:tcBorders>
            <w:shd w:val="clear" w:color="auto" w:fill="auto"/>
            <w:vAlign w:val="bottom"/>
          </w:tcPr>
          <w:p w14:paraId="15BFE72E"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Male</w:t>
            </w:r>
          </w:p>
        </w:tc>
        <w:tc>
          <w:tcPr>
            <w:tcW w:w="695" w:type="dxa"/>
            <w:tcBorders>
              <w:top w:val="single" w:sz="4" w:space="0" w:color="auto"/>
              <w:bottom w:val="single" w:sz="12" w:space="0" w:color="auto"/>
            </w:tcBorders>
            <w:shd w:val="clear" w:color="auto" w:fill="auto"/>
            <w:vAlign w:val="bottom"/>
          </w:tcPr>
          <w:p w14:paraId="7E14934B" w14:textId="77777777" w:rsidR="004B7AC8" w:rsidRPr="00F464FA" w:rsidRDefault="004B7AC8" w:rsidP="00A56CE5">
            <w:pPr>
              <w:pStyle w:val="SingleTxtG"/>
              <w:tabs>
                <w:tab w:val="clear" w:pos="1701"/>
                <w:tab w:val="clear" w:pos="2268"/>
              </w:tabs>
              <w:suppressAutoHyphens w:val="0"/>
              <w:spacing w:before="80" w:after="80" w:line="200" w:lineRule="exact"/>
              <w:ind w:left="0" w:right="113"/>
              <w:jc w:val="right"/>
              <w:rPr>
                <w:i/>
                <w:sz w:val="16"/>
              </w:rPr>
            </w:pPr>
            <w:r w:rsidRPr="00F464FA">
              <w:rPr>
                <w:i/>
                <w:sz w:val="16"/>
              </w:rPr>
              <w:t>Female</w:t>
            </w:r>
          </w:p>
        </w:tc>
      </w:tr>
      <w:tr w:rsidR="00221DD4" w:rsidRPr="008A30F0" w14:paraId="037C61F6" w14:textId="77777777" w:rsidTr="008A30F0">
        <w:tc>
          <w:tcPr>
            <w:tcW w:w="2726" w:type="dxa"/>
            <w:tcBorders>
              <w:top w:val="single" w:sz="12" w:space="0" w:color="auto"/>
              <w:bottom w:val="single" w:sz="4" w:space="0" w:color="auto"/>
            </w:tcBorders>
            <w:shd w:val="clear" w:color="auto" w:fill="auto"/>
          </w:tcPr>
          <w:p w14:paraId="66BCEC20" w14:textId="77777777" w:rsidR="00221DD4" w:rsidRPr="008A30F0" w:rsidRDefault="00221DD4" w:rsidP="008A30F0">
            <w:pPr>
              <w:pStyle w:val="SingleTxtG"/>
              <w:tabs>
                <w:tab w:val="clear" w:pos="1701"/>
                <w:tab w:val="clear" w:pos="2268"/>
              </w:tabs>
              <w:suppressAutoHyphens w:val="0"/>
              <w:spacing w:before="80" w:after="80" w:line="220" w:lineRule="exact"/>
              <w:ind w:left="283" w:right="0"/>
              <w:jc w:val="left"/>
              <w:rPr>
                <w:b/>
                <w:sz w:val="18"/>
              </w:rPr>
            </w:pPr>
            <w:r w:rsidRPr="008A30F0">
              <w:rPr>
                <w:b/>
                <w:sz w:val="18"/>
              </w:rPr>
              <w:t>Total</w:t>
            </w:r>
          </w:p>
        </w:tc>
        <w:tc>
          <w:tcPr>
            <w:tcW w:w="622" w:type="dxa"/>
            <w:tcBorders>
              <w:top w:val="single" w:sz="12" w:space="0" w:color="auto"/>
              <w:bottom w:val="single" w:sz="4" w:space="0" w:color="auto"/>
            </w:tcBorders>
            <w:shd w:val="clear" w:color="auto" w:fill="auto"/>
            <w:vAlign w:val="bottom"/>
          </w:tcPr>
          <w:p w14:paraId="78BB8713"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5.5</w:t>
            </w:r>
          </w:p>
        </w:tc>
        <w:tc>
          <w:tcPr>
            <w:tcW w:w="622" w:type="dxa"/>
            <w:tcBorders>
              <w:top w:val="single" w:sz="12" w:space="0" w:color="auto"/>
              <w:bottom w:val="single" w:sz="4" w:space="0" w:color="auto"/>
            </w:tcBorders>
            <w:shd w:val="clear" w:color="auto" w:fill="auto"/>
            <w:vAlign w:val="bottom"/>
          </w:tcPr>
          <w:p w14:paraId="4D39E2FB"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6.8</w:t>
            </w:r>
          </w:p>
        </w:tc>
        <w:tc>
          <w:tcPr>
            <w:tcW w:w="676" w:type="dxa"/>
            <w:tcBorders>
              <w:top w:val="single" w:sz="12" w:space="0" w:color="auto"/>
              <w:bottom w:val="single" w:sz="4" w:space="0" w:color="auto"/>
            </w:tcBorders>
            <w:shd w:val="clear" w:color="auto" w:fill="auto"/>
            <w:vAlign w:val="bottom"/>
          </w:tcPr>
          <w:p w14:paraId="40C5936C"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3.6</w:t>
            </w:r>
          </w:p>
        </w:tc>
        <w:tc>
          <w:tcPr>
            <w:tcW w:w="622" w:type="dxa"/>
            <w:tcBorders>
              <w:top w:val="single" w:sz="12" w:space="0" w:color="auto"/>
              <w:bottom w:val="single" w:sz="4" w:space="0" w:color="auto"/>
            </w:tcBorders>
            <w:shd w:val="clear" w:color="auto" w:fill="auto"/>
            <w:vAlign w:val="bottom"/>
          </w:tcPr>
          <w:p w14:paraId="76B560B6"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3.6</w:t>
            </w:r>
          </w:p>
        </w:tc>
        <w:tc>
          <w:tcPr>
            <w:tcW w:w="622" w:type="dxa"/>
            <w:tcBorders>
              <w:top w:val="single" w:sz="12" w:space="0" w:color="auto"/>
              <w:bottom w:val="single" w:sz="4" w:space="0" w:color="auto"/>
            </w:tcBorders>
            <w:shd w:val="clear" w:color="auto" w:fill="auto"/>
            <w:vAlign w:val="bottom"/>
          </w:tcPr>
          <w:p w14:paraId="274C1516"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4.1</w:t>
            </w:r>
          </w:p>
        </w:tc>
        <w:tc>
          <w:tcPr>
            <w:tcW w:w="676" w:type="dxa"/>
            <w:tcBorders>
              <w:top w:val="single" w:sz="12" w:space="0" w:color="auto"/>
              <w:bottom w:val="single" w:sz="4" w:space="0" w:color="auto"/>
            </w:tcBorders>
            <w:shd w:val="clear" w:color="auto" w:fill="auto"/>
            <w:vAlign w:val="bottom"/>
          </w:tcPr>
          <w:p w14:paraId="2CD1C748"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2.9</w:t>
            </w:r>
          </w:p>
        </w:tc>
        <w:tc>
          <w:tcPr>
            <w:tcW w:w="622" w:type="dxa"/>
            <w:tcBorders>
              <w:top w:val="single" w:sz="12" w:space="0" w:color="auto"/>
              <w:bottom w:val="single" w:sz="4" w:space="0" w:color="auto"/>
            </w:tcBorders>
            <w:shd w:val="clear" w:color="auto" w:fill="auto"/>
            <w:vAlign w:val="bottom"/>
          </w:tcPr>
          <w:p w14:paraId="06D6EA47"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18.1</w:t>
            </w:r>
          </w:p>
        </w:tc>
        <w:tc>
          <w:tcPr>
            <w:tcW w:w="622" w:type="dxa"/>
            <w:tcBorders>
              <w:top w:val="single" w:sz="12" w:space="0" w:color="auto"/>
              <w:bottom w:val="single" w:sz="4" w:space="0" w:color="auto"/>
            </w:tcBorders>
            <w:shd w:val="clear" w:color="auto" w:fill="auto"/>
            <w:vAlign w:val="bottom"/>
          </w:tcPr>
          <w:p w14:paraId="7DE66674"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21.6</w:t>
            </w:r>
          </w:p>
        </w:tc>
        <w:tc>
          <w:tcPr>
            <w:tcW w:w="695" w:type="dxa"/>
            <w:tcBorders>
              <w:top w:val="single" w:sz="12" w:space="0" w:color="auto"/>
              <w:bottom w:val="single" w:sz="4" w:space="0" w:color="auto"/>
            </w:tcBorders>
            <w:shd w:val="clear" w:color="auto" w:fill="auto"/>
            <w:vAlign w:val="bottom"/>
          </w:tcPr>
          <w:p w14:paraId="0AF566FB" w14:textId="77777777" w:rsidR="00221DD4" w:rsidRPr="008A30F0" w:rsidRDefault="00221DD4" w:rsidP="008A30F0">
            <w:pPr>
              <w:pStyle w:val="SingleTxtG"/>
              <w:tabs>
                <w:tab w:val="clear" w:pos="1701"/>
                <w:tab w:val="clear" w:pos="2268"/>
              </w:tabs>
              <w:suppressAutoHyphens w:val="0"/>
              <w:spacing w:before="80" w:after="80" w:line="220" w:lineRule="exact"/>
              <w:ind w:left="0" w:right="113"/>
              <w:jc w:val="right"/>
              <w:rPr>
                <w:b/>
                <w:sz w:val="18"/>
              </w:rPr>
            </w:pPr>
            <w:r w:rsidRPr="008A30F0">
              <w:rPr>
                <w:b/>
                <w:sz w:val="18"/>
              </w:rPr>
              <w:t>13.3</w:t>
            </w:r>
          </w:p>
        </w:tc>
      </w:tr>
      <w:tr w:rsidR="00221DD4" w:rsidRPr="00F464FA" w14:paraId="132776BD" w14:textId="77777777" w:rsidTr="008A30F0">
        <w:tc>
          <w:tcPr>
            <w:tcW w:w="2726" w:type="dxa"/>
            <w:tcBorders>
              <w:top w:val="single" w:sz="4" w:space="0" w:color="auto"/>
            </w:tcBorders>
            <w:shd w:val="clear" w:color="auto" w:fill="auto"/>
          </w:tcPr>
          <w:p w14:paraId="55C6C560"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left"/>
              <w:rPr>
                <w:sz w:val="18"/>
              </w:rPr>
            </w:pPr>
            <w:r w:rsidRPr="00F464FA">
              <w:rPr>
                <w:sz w:val="18"/>
              </w:rPr>
              <w:t>Manager</w:t>
            </w:r>
          </w:p>
        </w:tc>
        <w:tc>
          <w:tcPr>
            <w:tcW w:w="622" w:type="dxa"/>
            <w:tcBorders>
              <w:top w:val="single" w:sz="4" w:space="0" w:color="auto"/>
            </w:tcBorders>
            <w:shd w:val="clear" w:color="auto" w:fill="auto"/>
            <w:vAlign w:val="bottom"/>
          </w:tcPr>
          <w:p w14:paraId="458ED7C1"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19.9</w:t>
            </w:r>
          </w:p>
        </w:tc>
        <w:tc>
          <w:tcPr>
            <w:tcW w:w="622" w:type="dxa"/>
            <w:tcBorders>
              <w:top w:val="single" w:sz="4" w:space="0" w:color="auto"/>
            </w:tcBorders>
            <w:shd w:val="clear" w:color="auto" w:fill="auto"/>
            <w:vAlign w:val="bottom"/>
          </w:tcPr>
          <w:p w14:paraId="13F7E5D3"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20.3</w:t>
            </w:r>
          </w:p>
        </w:tc>
        <w:tc>
          <w:tcPr>
            <w:tcW w:w="676" w:type="dxa"/>
            <w:tcBorders>
              <w:top w:val="single" w:sz="4" w:space="0" w:color="auto"/>
            </w:tcBorders>
            <w:shd w:val="clear" w:color="auto" w:fill="auto"/>
            <w:vAlign w:val="bottom"/>
          </w:tcPr>
          <w:p w14:paraId="283899E8"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17.4</w:t>
            </w:r>
          </w:p>
        </w:tc>
        <w:tc>
          <w:tcPr>
            <w:tcW w:w="622" w:type="dxa"/>
            <w:tcBorders>
              <w:top w:val="single" w:sz="4" w:space="0" w:color="auto"/>
            </w:tcBorders>
            <w:shd w:val="clear" w:color="auto" w:fill="auto"/>
            <w:vAlign w:val="bottom"/>
          </w:tcPr>
          <w:p w14:paraId="1E753359"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13.9</w:t>
            </w:r>
          </w:p>
        </w:tc>
        <w:tc>
          <w:tcPr>
            <w:tcW w:w="622" w:type="dxa"/>
            <w:tcBorders>
              <w:top w:val="single" w:sz="4" w:space="0" w:color="auto"/>
            </w:tcBorders>
            <w:shd w:val="clear" w:color="auto" w:fill="auto"/>
            <w:vAlign w:val="bottom"/>
          </w:tcPr>
          <w:p w14:paraId="113F9D8C"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15.0</w:t>
            </w:r>
          </w:p>
        </w:tc>
        <w:tc>
          <w:tcPr>
            <w:tcW w:w="676" w:type="dxa"/>
            <w:tcBorders>
              <w:top w:val="single" w:sz="4" w:space="0" w:color="auto"/>
            </w:tcBorders>
            <w:shd w:val="clear" w:color="auto" w:fill="auto"/>
            <w:vAlign w:val="bottom"/>
          </w:tcPr>
          <w:p w14:paraId="508BD0E3"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7.7</w:t>
            </w:r>
          </w:p>
        </w:tc>
        <w:tc>
          <w:tcPr>
            <w:tcW w:w="622" w:type="dxa"/>
            <w:tcBorders>
              <w:top w:val="single" w:sz="4" w:space="0" w:color="auto"/>
            </w:tcBorders>
            <w:shd w:val="clear" w:color="auto" w:fill="auto"/>
            <w:vAlign w:val="bottom"/>
          </w:tcPr>
          <w:p w14:paraId="1ED963D1"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56.1</w:t>
            </w:r>
          </w:p>
        </w:tc>
        <w:tc>
          <w:tcPr>
            <w:tcW w:w="622" w:type="dxa"/>
            <w:tcBorders>
              <w:top w:val="single" w:sz="4" w:space="0" w:color="auto"/>
            </w:tcBorders>
            <w:shd w:val="clear" w:color="auto" w:fill="auto"/>
            <w:vAlign w:val="bottom"/>
          </w:tcPr>
          <w:p w14:paraId="14D70A1E"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57.6</w:t>
            </w:r>
          </w:p>
        </w:tc>
        <w:tc>
          <w:tcPr>
            <w:tcW w:w="695" w:type="dxa"/>
            <w:tcBorders>
              <w:top w:val="single" w:sz="4" w:space="0" w:color="auto"/>
            </w:tcBorders>
            <w:shd w:val="clear" w:color="auto" w:fill="auto"/>
            <w:vAlign w:val="bottom"/>
          </w:tcPr>
          <w:p w14:paraId="18ABD56D"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47.8</w:t>
            </w:r>
          </w:p>
        </w:tc>
      </w:tr>
      <w:tr w:rsidR="00221DD4" w:rsidRPr="00F464FA" w14:paraId="02C99BC6" w14:textId="77777777" w:rsidTr="00A4187D">
        <w:tc>
          <w:tcPr>
            <w:tcW w:w="2726" w:type="dxa"/>
            <w:shd w:val="clear" w:color="auto" w:fill="auto"/>
          </w:tcPr>
          <w:p w14:paraId="6C02F6B7"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left"/>
              <w:rPr>
                <w:sz w:val="18"/>
              </w:rPr>
            </w:pPr>
            <w:r w:rsidRPr="00F464FA">
              <w:rPr>
                <w:sz w:val="18"/>
              </w:rPr>
              <w:t>Professionals</w:t>
            </w:r>
          </w:p>
        </w:tc>
        <w:tc>
          <w:tcPr>
            <w:tcW w:w="622" w:type="dxa"/>
            <w:shd w:val="clear" w:color="auto" w:fill="auto"/>
            <w:vAlign w:val="bottom"/>
          </w:tcPr>
          <w:p w14:paraId="48BFC450"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22.8</w:t>
            </w:r>
          </w:p>
        </w:tc>
        <w:tc>
          <w:tcPr>
            <w:tcW w:w="622" w:type="dxa"/>
            <w:shd w:val="clear" w:color="auto" w:fill="auto"/>
            <w:vAlign w:val="bottom"/>
          </w:tcPr>
          <w:p w14:paraId="7FDB1863"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24.4</w:t>
            </w:r>
          </w:p>
        </w:tc>
        <w:tc>
          <w:tcPr>
            <w:tcW w:w="676" w:type="dxa"/>
            <w:shd w:val="clear" w:color="auto" w:fill="auto"/>
            <w:vAlign w:val="bottom"/>
          </w:tcPr>
          <w:p w14:paraId="13437A50"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20.2</w:t>
            </w:r>
          </w:p>
        </w:tc>
        <w:tc>
          <w:tcPr>
            <w:tcW w:w="622" w:type="dxa"/>
            <w:shd w:val="clear" w:color="auto" w:fill="auto"/>
            <w:vAlign w:val="bottom"/>
          </w:tcPr>
          <w:p w14:paraId="1EB81BB7"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22.8</w:t>
            </w:r>
          </w:p>
        </w:tc>
        <w:tc>
          <w:tcPr>
            <w:tcW w:w="622" w:type="dxa"/>
            <w:shd w:val="clear" w:color="auto" w:fill="auto"/>
            <w:vAlign w:val="bottom"/>
          </w:tcPr>
          <w:p w14:paraId="180C0E5B"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21.0</w:t>
            </w:r>
          </w:p>
        </w:tc>
        <w:tc>
          <w:tcPr>
            <w:tcW w:w="676" w:type="dxa"/>
            <w:shd w:val="clear" w:color="auto" w:fill="auto"/>
            <w:vAlign w:val="bottom"/>
          </w:tcPr>
          <w:p w14:paraId="218F687E"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25.9</w:t>
            </w:r>
          </w:p>
        </w:tc>
        <w:tc>
          <w:tcPr>
            <w:tcW w:w="622" w:type="dxa"/>
            <w:shd w:val="clear" w:color="auto" w:fill="auto"/>
            <w:vAlign w:val="bottom"/>
          </w:tcPr>
          <w:p w14:paraId="15A85C6E"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56.8</w:t>
            </w:r>
          </w:p>
        </w:tc>
        <w:tc>
          <w:tcPr>
            <w:tcW w:w="622" w:type="dxa"/>
            <w:shd w:val="clear" w:color="auto" w:fill="auto"/>
            <w:vAlign w:val="bottom"/>
          </w:tcPr>
          <w:p w14:paraId="76EE9357"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55.8</w:t>
            </w:r>
          </w:p>
        </w:tc>
        <w:tc>
          <w:tcPr>
            <w:tcW w:w="695" w:type="dxa"/>
            <w:shd w:val="clear" w:color="auto" w:fill="auto"/>
            <w:vAlign w:val="bottom"/>
          </w:tcPr>
          <w:p w14:paraId="39977754" w14:textId="77777777" w:rsidR="00221DD4" w:rsidRPr="00F464FA" w:rsidRDefault="00221DD4" w:rsidP="00A56CE5">
            <w:pPr>
              <w:pStyle w:val="SingleTxtG"/>
              <w:tabs>
                <w:tab w:val="clear" w:pos="1701"/>
                <w:tab w:val="clear" w:pos="2268"/>
              </w:tabs>
              <w:suppressAutoHyphens w:val="0"/>
              <w:spacing w:before="40" w:after="40" w:line="220" w:lineRule="exact"/>
              <w:ind w:left="0" w:right="113"/>
              <w:jc w:val="right"/>
              <w:rPr>
                <w:sz w:val="18"/>
              </w:rPr>
            </w:pPr>
            <w:r w:rsidRPr="00F464FA">
              <w:rPr>
                <w:sz w:val="18"/>
              </w:rPr>
              <w:t>58.5</w:t>
            </w:r>
          </w:p>
        </w:tc>
      </w:tr>
      <w:tr w:rsidR="00A4187D" w:rsidRPr="00F464FA" w14:paraId="30C9312B" w14:textId="77777777" w:rsidTr="00A4187D">
        <w:tc>
          <w:tcPr>
            <w:tcW w:w="2726" w:type="dxa"/>
            <w:shd w:val="clear" w:color="auto" w:fill="auto"/>
          </w:tcPr>
          <w:p w14:paraId="0B69AEA2" w14:textId="2B2224F2" w:rsidR="00A4187D" w:rsidRPr="00F464FA" w:rsidRDefault="00A4187D" w:rsidP="00A4187D">
            <w:pPr>
              <w:pStyle w:val="SingleTxtG"/>
              <w:tabs>
                <w:tab w:val="clear" w:pos="1701"/>
                <w:tab w:val="clear" w:pos="2268"/>
              </w:tabs>
              <w:suppressAutoHyphens w:val="0"/>
              <w:spacing w:before="40" w:after="40" w:line="220" w:lineRule="exact"/>
              <w:ind w:left="0" w:right="113"/>
              <w:jc w:val="left"/>
              <w:rPr>
                <w:sz w:val="18"/>
              </w:rPr>
            </w:pPr>
            <w:r w:rsidRPr="00F464FA">
              <w:rPr>
                <w:sz w:val="18"/>
              </w:rPr>
              <w:t>Technicians and associated Professionals</w:t>
            </w:r>
          </w:p>
        </w:tc>
        <w:tc>
          <w:tcPr>
            <w:tcW w:w="622" w:type="dxa"/>
            <w:shd w:val="clear" w:color="auto" w:fill="auto"/>
            <w:vAlign w:val="bottom"/>
          </w:tcPr>
          <w:p w14:paraId="705D3D11" w14:textId="3E3B2132"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3.4</w:t>
            </w:r>
          </w:p>
        </w:tc>
        <w:tc>
          <w:tcPr>
            <w:tcW w:w="622" w:type="dxa"/>
            <w:shd w:val="clear" w:color="auto" w:fill="auto"/>
            <w:vAlign w:val="bottom"/>
          </w:tcPr>
          <w:p w14:paraId="43FC9932" w14:textId="7D755081"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1.0</w:t>
            </w:r>
          </w:p>
        </w:tc>
        <w:tc>
          <w:tcPr>
            <w:tcW w:w="676" w:type="dxa"/>
            <w:shd w:val="clear" w:color="auto" w:fill="auto"/>
            <w:vAlign w:val="bottom"/>
          </w:tcPr>
          <w:p w14:paraId="4C8DF099" w14:textId="189E60CC"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14.1</w:t>
            </w:r>
          </w:p>
        </w:tc>
        <w:tc>
          <w:tcPr>
            <w:tcW w:w="622" w:type="dxa"/>
            <w:shd w:val="clear" w:color="auto" w:fill="auto"/>
            <w:vAlign w:val="bottom"/>
          </w:tcPr>
          <w:p w14:paraId="7C540AD3" w14:textId="0EF4365F"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1.7</w:t>
            </w:r>
          </w:p>
        </w:tc>
        <w:tc>
          <w:tcPr>
            <w:tcW w:w="622" w:type="dxa"/>
            <w:shd w:val="clear" w:color="auto" w:fill="auto"/>
            <w:vAlign w:val="bottom"/>
          </w:tcPr>
          <w:p w14:paraId="3F303A69" w14:textId="49D6A032"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2.1</w:t>
            </w:r>
          </w:p>
        </w:tc>
        <w:tc>
          <w:tcPr>
            <w:tcW w:w="676" w:type="dxa"/>
            <w:shd w:val="clear" w:color="auto" w:fill="auto"/>
            <w:vAlign w:val="bottom"/>
          </w:tcPr>
          <w:p w14:paraId="383DAE6E" w14:textId="49CC7528"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w:t>
            </w:r>
          </w:p>
        </w:tc>
        <w:tc>
          <w:tcPr>
            <w:tcW w:w="622" w:type="dxa"/>
            <w:shd w:val="clear" w:color="auto" w:fill="auto"/>
            <w:vAlign w:val="bottom"/>
          </w:tcPr>
          <w:p w14:paraId="31597519" w14:textId="43B754F3"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33.6</w:t>
            </w:r>
          </w:p>
        </w:tc>
        <w:tc>
          <w:tcPr>
            <w:tcW w:w="622" w:type="dxa"/>
            <w:shd w:val="clear" w:color="auto" w:fill="auto"/>
            <w:vAlign w:val="bottom"/>
          </w:tcPr>
          <w:p w14:paraId="4FEE1054" w14:textId="6B42CAD0"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34.9</w:t>
            </w:r>
          </w:p>
        </w:tc>
        <w:tc>
          <w:tcPr>
            <w:tcW w:w="695" w:type="dxa"/>
            <w:shd w:val="clear" w:color="auto" w:fill="auto"/>
            <w:vAlign w:val="bottom"/>
          </w:tcPr>
          <w:p w14:paraId="7AF554F5" w14:textId="7C6B73E9"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28.0</w:t>
            </w:r>
          </w:p>
        </w:tc>
      </w:tr>
      <w:tr w:rsidR="00A4187D" w:rsidRPr="00F464FA" w14:paraId="3C80B91C" w14:textId="77777777" w:rsidTr="00A4187D">
        <w:tc>
          <w:tcPr>
            <w:tcW w:w="2726" w:type="dxa"/>
            <w:shd w:val="clear" w:color="auto" w:fill="auto"/>
          </w:tcPr>
          <w:p w14:paraId="4025C4F0"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left"/>
              <w:rPr>
                <w:sz w:val="18"/>
              </w:rPr>
            </w:pPr>
            <w:r w:rsidRPr="00F464FA">
              <w:rPr>
                <w:sz w:val="18"/>
              </w:rPr>
              <w:t>Clerical support workers</w:t>
            </w:r>
          </w:p>
        </w:tc>
        <w:tc>
          <w:tcPr>
            <w:tcW w:w="622" w:type="dxa"/>
            <w:shd w:val="clear" w:color="auto" w:fill="auto"/>
            <w:vAlign w:val="bottom"/>
          </w:tcPr>
          <w:p w14:paraId="0400F9CB"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23.3</w:t>
            </w:r>
          </w:p>
        </w:tc>
        <w:tc>
          <w:tcPr>
            <w:tcW w:w="622" w:type="dxa"/>
            <w:shd w:val="clear" w:color="auto" w:fill="auto"/>
            <w:vAlign w:val="bottom"/>
          </w:tcPr>
          <w:p w14:paraId="347B829D"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23.2</w:t>
            </w:r>
          </w:p>
        </w:tc>
        <w:tc>
          <w:tcPr>
            <w:tcW w:w="676" w:type="dxa"/>
            <w:shd w:val="clear" w:color="auto" w:fill="auto"/>
            <w:vAlign w:val="bottom"/>
          </w:tcPr>
          <w:p w14:paraId="014E9EC6"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23.5</w:t>
            </w:r>
          </w:p>
        </w:tc>
        <w:tc>
          <w:tcPr>
            <w:tcW w:w="622" w:type="dxa"/>
            <w:shd w:val="clear" w:color="auto" w:fill="auto"/>
            <w:vAlign w:val="bottom"/>
          </w:tcPr>
          <w:p w14:paraId="402DCE52"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6.1</w:t>
            </w:r>
          </w:p>
        </w:tc>
        <w:tc>
          <w:tcPr>
            <w:tcW w:w="622" w:type="dxa"/>
            <w:shd w:val="clear" w:color="auto" w:fill="auto"/>
            <w:vAlign w:val="bottom"/>
          </w:tcPr>
          <w:p w14:paraId="38510911"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5.6</w:t>
            </w:r>
          </w:p>
        </w:tc>
        <w:tc>
          <w:tcPr>
            <w:tcW w:w="676" w:type="dxa"/>
            <w:shd w:val="clear" w:color="auto" w:fill="auto"/>
            <w:vAlign w:val="bottom"/>
          </w:tcPr>
          <w:p w14:paraId="17D597FC"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6.8</w:t>
            </w:r>
          </w:p>
        </w:tc>
        <w:tc>
          <w:tcPr>
            <w:tcW w:w="622" w:type="dxa"/>
            <w:shd w:val="clear" w:color="auto" w:fill="auto"/>
            <w:vAlign w:val="bottom"/>
          </w:tcPr>
          <w:p w14:paraId="78346AF8"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44.7</w:t>
            </w:r>
          </w:p>
        </w:tc>
        <w:tc>
          <w:tcPr>
            <w:tcW w:w="622" w:type="dxa"/>
            <w:shd w:val="clear" w:color="auto" w:fill="auto"/>
            <w:vAlign w:val="bottom"/>
          </w:tcPr>
          <w:p w14:paraId="0DF8B6CA"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44.8</w:t>
            </w:r>
          </w:p>
        </w:tc>
        <w:tc>
          <w:tcPr>
            <w:tcW w:w="695" w:type="dxa"/>
            <w:shd w:val="clear" w:color="auto" w:fill="auto"/>
            <w:vAlign w:val="bottom"/>
          </w:tcPr>
          <w:p w14:paraId="19891F41"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44.5</w:t>
            </w:r>
          </w:p>
        </w:tc>
      </w:tr>
      <w:tr w:rsidR="00A4187D" w:rsidRPr="00F464FA" w14:paraId="6655A83D" w14:textId="77777777" w:rsidTr="00A4187D">
        <w:tc>
          <w:tcPr>
            <w:tcW w:w="2726" w:type="dxa"/>
            <w:shd w:val="clear" w:color="auto" w:fill="auto"/>
          </w:tcPr>
          <w:p w14:paraId="314A3F5D"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left"/>
              <w:rPr>
                <w:sz w:val="18"/>
              </w:rPr>
            </w:pPr>
            <w:r w:rsidRPr="00F464FA">
              <w:rPr>
                <w:sz w:val="18"/>
              </w:rPr>
              <w:t>Service and sales workers</w:t>
            </w:r>
          </w:p>
        </w:tc>
        <w:tc>
          <w:tcPr>
            <w:tcW w:w="622" w:type="dxa"/>
            <w:shd w:val="clear" w:color="auto" w:fill="auto"/>
            <w:vAlign w:val="bottom"/>
          </w:tcPr>
          <w:p w14:paraId="086DA49C"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8.1</w:t>
            </w:r>
          </w:p>
        </w:tc>
        <w:tc>
          <w:tcPr>
            <w:tcW w:w="622" w:type="dxa"/>
            <w:shd w:val="clear" w:color="auto" w:fill="auto"/>
            <w:vAlign w:val="bottom"/>
          </w:tcPr>
          <w:p w14:paraId="7150B5A2"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7.4</w:t>
            </w:r>
          </w:p>
        </w:tc>
        <w:tc>
          <w:tcPr>
            <w:tcW w:w="676" w:type="dxa"/>
            <w:shd w:val="clear" w:color="auto" w:fill="auto"/>
            <w:vAlign w:val="bottom"/>
          </w:tcPr>
          <w:p w14:paraId="4054F433"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10.5</w:t>
            </w:r>
          </w:p>
        </w:tc>
        <w:tc>
          <w:tcPr>
            <w:tcW w:w="622" w:type="dxa"/>
            <w:shd w:val="clear" w:color="auto" w:fill="auto"/>
            <w:vAlign w:val="bottom"/>
          </w:tcPr>
          <w:p w14:paraId="1629152F"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2.3</w:t>
            </w:r>
          </w:p>
        </w:tc>
        <w:tc>
          <w:tcPr>
            <w:tcW w:w="622" w:type="dxa"/>
            <w:shd w:val="clear" w:color="auto" w:fill="auto"/>
            <w:vAlign w:val="bottom"/>
          </w:tcPr>
          <w:p w14:paraId="411E5895"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2.9</w:t>
            </w:r>
          </w:p>
        </w:tc>
        <w:tc>
          <w:tcPr>
            <w:tcW w:w="676" w:type="dxa"/>
            <w:shd w:val="clear" w:color="auto" w:fill="auto"/>
            <w:vAlign w:val="bottom"/>
          </w:tcPr>
          <w:p w14:paraId="443921EC"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2.1</w:t>
            </w:r>
          </w:p>
        </w:tc>
        <w:tc>
          <w:tcPr>
            <w:tcW w:w="622" w:type="dxa"/>
            <w:shd w:val="clear" w:color="auto" w:fill="auto"/>
            <w:vAlign w:val="bottom"/>
          </w:tcPr>
          <w:p w14:paraId="5ED733BF"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25.9</w:t>
            </w:r>
          </w:p>
        </w:tc>
        <w:tc>
          <w:tcPr>
            <w:tcW w:w="622" w:type="dxa"/>
            <w:shd w:val="clear" w:color="auto" w:fill="auto"/>
            <w:vAlign w:val="bottom"/>
          </w:tcPr>
          <w:p w14:paraId="00E91E80"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26.6</w:t>
            </w:r>
          </w:p>
        </w:tc>
        <w:tc>
          <w:tcPr>
            <w:tcW w:w="695" w:type="dxa"/>
            <w:shd w:val="clear" w:color="auto" w:fill="auto"/>
            <w:vAlign w:val="bottom"/>
          </w:tcPr>
          <w:p w14:paraId="0A43CE80"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23.4</w:t>
            </w:r>
          </w:p>
        </w:tc>
      </w:tr>
      <w:tr w:rsidR="00A4187D" w:rsidRPr="00F464FA" w14:paraId="0531C788" w14:textId="77777777" w:rsidTr="00A4187D">
        <w:tc>
          <w:tcPr>
            <w:tcW w:w="2726" w:type="dxa"/>
            <w:shd w:val="clear" w:color="auto" w:fill="auto"/>
          </w:tcPr>
          <w:p w14:paraId="7F242A26" w14:textId="76A9B9D9" w:rsidR="00A4187D" w:rsidRPr="00F464FA" w:rsidRDefault="00A4187D" w:rsidP="00A4187D">
            <w:pPr>
              <w:pStyle w:val="SingleTxtG"/>
              <w:tabs>
                <w:tab w:val="clear" w:pos="1701"/>
                <w:tab w:val="clear" w:pos="2268"/>
              </w:tabs>
              <w:suppressAutoHyphens w:val="0"/>
              <w:spacing w:before="40" w:after="40" w:line="220" w:lineRule="exact"/>
              <w:ind w:left="0" w:right="113"/>
              <w:jc w:val="left"/>
              <w:rPr>
                <w:sz w:val="18"/>
              </w:rPr>
            </w:pPr>
            <w:r w:rsidRPr="00F464FA">
              <w:rPr>
                <w:sz w:val="18"/>
              </w:rPr>
              <w:t>Skilled agricultural, forestry and fishery workers</w:t>
            </w:r>
          </w:p>
        </w:tc>
        <w:tc>
          <w:tcPr>
            <w:tcW w:w="622" w:type="dxa"/>
            <w:shd w:val="clear" w:color="auto" w:fill="auto"/>
            <w:vAlign w:val="bottom"/>
          </w:tcPr>
          <w:p w14:paraId="2971F13D" w14:textId="6779379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0.4</w:t>
            </w:r>
          </w:p>
        </w:tc>
        <w:tc>
          <w:tcPr>
            <w:tcW w:w="622" w:type="dxa"/>
            <w:shd w:val="clear" w:color="auto" w:fill="auto"/>
            <w:vAlign w:val="bottom"/>
          </w:tcPr>
          <w:p w14:paraId="13406756" w14:textId="305697A3"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0.0</w:t>
            </w:r>
          </w:p>
        </w:tc>
        <w:tc>
          <w:tcPr>
            <w:tcW w:w="676" w:type="dxa"/>
            <w:shd w:val="clear" w:color="auto" w:fill="auto"/>
            <w:vAlign w:val="bottom"/>
          </w:tcPr>
          <w:p w14:paraId="28C90E3C" w14:textId="050424C1"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0.8</w:t>
            </w:r>
          </w:p>
        </w:tc>
        <w:tc>
          <w:tcPr>
            <w:tcW w:w="622" w:type="dxa"/>
            <w:shd w:val="clear" w:color="auto" w:fill="auto"/>
            <w:vAlign w:val="bottom"/>
          </w:tcPr>
          <w:p w14:paraId="4433CBEB" w14:textId="0B02C01B"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0.9</w:t>
            </w:r>
          </w:p>
        </w:tc>
        <w:tc>
          <w:tcPr>
            <w:tcW w:w="622" w:type="dxa"/>
            <w:shd w:val="clear" w:color="auto" w:fill="auto"/>
            <w:vAlign w:val="bottom"/>
          </w:tcPr>
          <w:p w14:paraId="1222D216" w14:textId="039083EF"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0.7</w:t>
            </w:r>
          </w:p>
        </w:tc>
        <w:tc>
          <w:tcPr>
            <w:tcW w:w="676" w:type="dxa"/>
            <w:shd w:val="clear" w:color="auto" w:fill="auto"/>
            <w:vAlign w:val="bottom"/>
          </w:tcPr>
          <w:p w14:paraId="5CE2560E" w14:textId="5A221D2C"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1.1</w:t>
            </w:r>
          </w:p>
        </w:tc>
        <w:tc>
          <w:tcPr>
            <w:tcW w:w="622" w:type="dxa"/>
            <w:shd w:val="clear" w:color="auto" w:fill="auto"/>
            <w:vAlign w:val="bottom"/>
          </w:tcPr>
          <w:p w14:paraId="720C3C89" w14:textId="69C60769"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4.1</w:t>
            </w:r>
          </w:p>
        </w:tc>
        <w:tc>
          <w:tcPr>
            <w:tcW w:w="622" w:type="dxa"/>
            <w:shd w:val="clear" w:color="auto" w:fill="auto"/>
            <w:vAlign w:val="bottom"/>
          </w:tcPr>
          <w:p w14:paraId="5A7B51B9" w14:textId="6D172C98"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7.6</w:t>
            </w:r>
          </w:p>
        </w:tc>
        <w:tc>
          <w:tcPr>
            <w:tcW w:w="695" w:type="dxa"/>
            <w:shd w:val="clear" w:color="auto" w:fill="auto"/>
            <w:vAlign w:val="bottom"/>
          </w:tcPr>
          <w:p w14:paraId="47FB0D15" w14:textId="2D16C12D"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0.8</w:t>
            </w:r>
          </w:p>
        </w:tc>
      </w:tr>
      <w:tr w:rsidR="00A4187D" w:rsidRPr="00F464FA" w14:paraId="7BB37712" w14:textId="77777777" w:rsidTr="00A4187D">
        <w:tc>
          <w:tcPr>
            <w:tcW w:w="2726" w:type="dxa"/>
            <w:shd w:val="clear" w:color="auto" w:fill="auto"/>
          </w:tcPr>
          <w:p w14:paraId="7A8B99AB"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left"/>
              <w:rPr>
                <w:sz w:val="18"/>
              </w:rPr>
            </w:pPr>
            <w:r w:rsidRPr="00F464FA">
              <w:rPr>
                <w:sz w:val="18"/>
              </w:rPr>
              <w:t>Craft and related trades workers</w:t>
            </w:r>
          </w:p>
        </w:tc>
        <w:tc>
          <w:tcPr>
            <w:tcW w:w="622" w:type="dxa"/>
            <w:shd w:val="clear" w:color="auto" w:fill="auto"/>
            <w:vAlign w:val="bottom"/>
          </w:tcPr>
          <w:p w14:paraId="58934189"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6.9</w:t>
            </w:r>
          </w:p>
        </w:tc>
        <w:tc>
          <w:tcPr>
            <w:tcW w:w="622" w:type="dxa"/>
            <w:shd w:val="clear" w:color="auto" w:fill="auto"/>
            <w:vAlign w:val="bottom"/>
          </w:tcPr>
          <w:p w14:paraId="24460DE5"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6.9</w:t>
            </w:r>
          </w:p>
        </w:tc>
        <w:tc>
          <w:tcPr>
            <w:tcW w:w="676" w:type="dxa"/>
            <w:shd w:val="clear" w:color="auto" w:fill="auto"/>
            <w:vAlign w:val="bottom"/>
          </w:tcPr>
          <w:p w14:paraId="2E8FDDF6"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6.8</w:t>
            </w:r>
          </w:p>
        </w:tc>
        <w:tc>
          <w:tcPr>
            <w:tcW w:w="622" w:type="dxa"/>
            <w:shd w:val="clear" w:color="auto" w:fill="auto"/>
            <w:vAlign w:val="bottom"/>
          </w:tcPr>
          <w:p w14:paraId="6043030D"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2.8</w:t>
            </w:r>
          </w:p>
        </w:tc>
        <w:tc>
          <w:tcPr>
            <w:tcW w:w="622" w:type="dxa"/>
            <w:shd w:val="clear" w:color="auto" w:fill="auto"/>
            <w:vAlign w:val="bottom"/>
          </w:tcPr>
          <w:p w14:paraId="05D8FE04"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2.9</w:t>
            </w:r>
          </w:p>
        </w:tc>
        <w:tc>
          <w:tcPr>
            <w:tcW w:w="676" w:type="dxa"/>
            <w:shd w:val="clear" w:color="auto" w:fill="auto"/>
            <w:vAlign w:val="bottom"/>
          </w:tcPr>
          <w:p w14:paraId="70958F54"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2.1</w:t>
            </w:r>
          </w:p>
        </w:tc>
        <w:tc>
          <w:tcPr>
            <w:tcW w:w="622" w:type="dxa"/>
            <w:shd w:val="clear" w:color="auto" w:fill="auto"/>
            <w:vAlign w:val="bottom"/>
          </w:tcPr>
          <w:p w14:paraId="34A88C57"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21.7</w:t>
            </w:r>
          </w:p>
        </w:tc>
        <w:tc>
          <w:tcPr>
            <w:tcW w:w="622" w:type="dxa"/>
            <w:shd w:val="clear" w:color="auto" w:fill="auto"/>
            <w:vAlign w:val="bottom"/>
          </w:tcPr>
          <w:p w14:paraId="411CC524"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21.4</w:t>
            </w:r>
          </w:p>
        </w:tc>
        <w:tc>
          <w:tcPr>
            <w:tcW w:w="695" w:type="dxa"/>
            <w:shd w:val="clear" w:color="auto" w:fill="auto"/>
            <w:vAlign w:val="bottom"/>
          </w:tcPr>
          <w:p w14:paraId="07C3C043"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24.1</w:t>
            </w:r>
          </w:p>
        </w:tc>
      </w:tr>
      <w:tr w:rsidR="00A4187D" w:rsidRPr="00F464FA" w14:paraId="16525F02" w14:textId="77777777" w:rsidTr="00A4187D">
        <w:tc>
          <w:tcPr>
            <w:tcW w:w="2726" w:type="dxa"/>
            <w:shd w:val="clear" w:color="auto" w:fill="auto"/>
          </w:tcPr>
          <w:p w14:paraId="2EEBD83D" w14:textId="1B42F9C4" w:rsidR="00A4187D" w:rsidRPr="00F464FA" w:rsidRDefault="00A4187D" w:rsidP="00A4187D">
            <w:pPr>
              <w:pStyle w:val="SingleTxtG"/>
              <w:tabs>
                <w:tab w:val="clear" w:pos="1701"/>
                <w:tab w:val="clear" w:pos="2268"/>
              </w:tabs>
              <w:suppressAutoHyphens w:val="0"/>
              <w:spacing w:before="40" w:after="40" w:line="220" w:lineRule="exact"/>
              <w:ind w:left="0" w:right="113"/>
              <w:jc w:val="left"/>
              <w:rPr>
                <w:sz w:val="18"/>
              </w:rPr>
            </w:pPr>
            <w:r w:rsidRPr="00F464FA">
              <w:rPr>
                <w:sz w:val="18"/>
              </w:rPr>
              <w:t>Plant and machine operators, and Assemblers</w:t>
            </w:r>
          </w:p>
        </w:tc>
        <w:tc>
          <w:tcPr>
            <w:tcW w:w="622" w:type="dxa"/>
            <w:shd w:val="clear" w:color="auto" w:fill="auto"/>
            <w:vAlign w:val="bottom"/>
          </w:tcPr>
          <w:p w14:paraId="28D368D0" w14:textId="74F787DB"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9.9</w:t>
            </w:r>
          </w:p>
        </w:tc>
        <w:tc>
          <w:tcPr>
            <w:tcW w:w="622" w:type="dxa"/>
            <w:shd w:val="clear" w:color="auto" w:fill="auto"/>
            <w:vAlign w:val="bottom"/>
          </w:tcPr>
          <w:p w14:paraId="5168C66F" w14:textId="5723C395"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11.0</w:t>
            </w:r>
          </w:p>
        </w:tc>
        <w:tc>
          <w:tcPr>
            <w:tcW w:w="676" w:type="dxa"/>
            <w:shd w:val="clear" w:color="auto" w:fill="auto"/>
            <w:vAlign w:val="bottom"/>
          </w:tcPr>
          <w:p w14:paraId="3B91661E" w14:textId="1213220B"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4.2</w:t>
            </w:r>
          </w:p>
        </w:tc>
        <w:tc>
          <w:tcPr>
            <w:tcW w:w="622" w:type="dxa"/>
            <w:shd w:val="clear" w:color="auto" w:fill="auto"/>
            <w:vAlign w:val="bottom"/>
          </w:tcPr>
          <w:p w14:paraId="540765EA" w14:textId="030DBD9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5.0</w:t>
            </w:r>
          </w:p>
        </w:tc>
        <w:tc>
          <w:tcPr>
            <w:tcW w:w="622" w:type="dxa"/>
            <w:shd w:val="clear" w:color="auto" w:fill="auto"/>
            <w:vAlign w:val="bottom"/>
          </w:tcPr>
          <w:p w14:paraId="3ADD93C1" w14:textId="412F092C"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5.8</w:t>
            </w:r>
          </w:p>
        </w:tc>
        <w:tc>
          <w:tcPr>
            <w:tcW w:w="676" w:type="dxa"/>
            <w:shd w:val="clear" w:color="auto" w:fill="auto"/>
            <w:vAlign w:val="bottom"/>
          </w:tcPr>
          <w:p w14:paraId="617A3378" w14:textId="447FA31F"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0.4</w:t>
            </w:r>
          </w:p>
        </w:tc>
        <w:tc>
          <w:tcPr>
            <w:tcW w:w="622" w:type="dxa"/>
            <w:shd w:val="clear" w:color="auto" w:fill="auto"/>
            <w:vAlign w:val="bottom"/>
          </w:tcPr>
          <w:p w14:paraId="28157310" w14:textId="6FA1A756"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30.2</w:t>
            </w:r>
          </w:p>
        </w:tc>
        <w:tc>
          <w:tcPr>
            <w:tcW w:w="622" w:type="dxa"/>
            <w:shd w:val="clear" w:color="auto" w:fill="auto"/>
            <w:vAlign w:val="bottom"/>
          </w:tcPr>
          <w:p w14:paraId="59EBF8F0" w14:textId="279D8E99"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33.7</w:t>
            </w:r>
          </w:p>
        </w:tc>
        <w:tc>
          <w:tcPr>
            <w:tcW w:w="695" w:type="dxa"/>
            <w:shd w:val="clear" w:color="auto" w:fill="auto"/>
            <w:vAlign w:val="bottom"/>
          </w:tcPr>
          <w:p w14:paraId="4CB9FE02" w14:textId="62743CE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10.7</w:t>
            </w:r>
          </w:p>
        </w:tc>
      </w:tr>
      <w:tr w:rsidR="00A4187D" w:rsidRPr="00F464FA" w14:paraId="76C1E636" w14:textId="77777777" w:rsidTr="00A4187D">
        <w:tc>
          <w:tcPr>
            <w:tcW w:w="2726" w:type="dxa"/>
            <w:shd w:val="clear" w:color="auto" w:fill="auto"/>
          </w:tcPr>
          <w:p w14:paraId="542E4945"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left"/>
              <w:rPr>
                <w:sz w:val="18"/>
              </w:rPr>
            </w:pPr>
            <w:r w:rsidRPr="00F464FA">
              <w:rPr>
                <w:sz w:val="18"/>
              </w:rPr>
              <w:t>Elementary occupations</w:t>
            </w:r>
          </w:p>
        </w:tc>
        <w:tc>
          <w:tcPr>
            <w:tcW w:w="622" w:type="dxa"/>
            <w:shd w:val="clear" w:color="auto" w:fill="auto"/>
            <w:vAlign w:val="bottom"/>
          </w:tcPr>
          <w:p w14:paraId="0EBDCDBC"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2.2</w:t>
            </w:r>
          </w:p>
        </w:tc>
        <w:tc>
          <w:tcPr>
            <w:tcW w:w="622" w:type="dxa"/>
            <w:shd w:val="clear" w:color="auto" w:fill="auto"/>
            <w:vAlign w:val="bottom"/>
          </w:tcPr>
          <w:p w14:paraId="228A6DD4"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3.7</w:t>
            </w:r>
          </w:p>
        </w:tc>
        <w:tc>
          <w:tcPr>
            <w:tcW w:w="676" w:type="dxa"/>
            <w:shd w:val="clear" w:color="auto" w:fill="auto"/>
            <w:vAlign w:val="bottom"/>
          </w:tcPr>
          <w:p w14:paraId="33A43143"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0.8</w:t>
            </w:r>
          </w:p>
        </w:tc>
        <w:tc>
          <w:tcPr>
            <w:tcW w:w="622" w:type="dxa"/>
            <w:shd w:val="clear" w:color="auto" w:fill="auto"/>
            <w:vAlign w:val="bottom"/>
          </w:tcPr>
          <w:p w14:paraId="3D02A99D"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1.4</w:t>
            </w:r>
          </w:p>
        </w:tc>
        <w:tc>
          <w:tcPr>
            <w:tcW w:w="622" w:type="dxa"/>
            <w:shd w:val="clear" w:color="auto" w:fill="auto"/>
            <w:vAlign w:val="bottom"/>
          </w:tcPr>
          <w:p w14:paraId="2A31B072"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2.3</w:t>
            </w:r>
          </w:p>
        </w:tc>
        <w:tc>
          <w:tcPr>
            <w:tcW w:w="676" w:type="dxa"/>
            <w:shd w:val="clear" w:color="auto" w:fill="auto"/>
            <w:vAlign w:val="bottom"/>
          </w:tcPr>
          <w:p w14:paraId="4F4AD909"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0.6</w:t>
            </w:r>
          </w:p>
        </w:tc>
        <w:tc>
          <w:tcPr>
            <w:tcW w:w="622" w:type="dxa"/>
            <w:shd w:val="clear" w:color="auto" w:fill="auto"/>
            <w:vAlign w:val="bottom"/>
          </w:tcPr>
          <w:p w14:paraId="0574FD06"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11.8</w:t>
            </w:r>
          </w:p>
        </w:tc>
        <w:tc>
          <w:tcPr>
            <w:tcW w:w="622" w:type="dxa"/>
            <w:shd w:val="clear" w:color="auto" w:fill="auto"/>
            <w:vAlign w:val="bottom"/>
          </w:tcPr>
          <w:p w14:paraId="741B7EFB"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13.5</w:t>
            </w:r>
          </w:p>
        </w:tc>
        <w:tc>
          <w:tcPr>
            <w:tcW w:w="695" w:type="dxa"/>
            <w:shd w:val="clear" w:color="auto" w:fill="auto"/>
            <w:vAlign w:val="bottom"/>
          </w:tcPr>
          <w:p w14:paraId="5DE35F0A" w14:textId="77777777" w:rsidR="00A4187D" w:rsidRPr="00F464FA" w:rsidRDefault="00A4187D" w:rsidP="00A4187D">
            <w:pPr>
              <w:pStyle w:val="SingleTxtG"/>
              <w:tabs>
                <w:tab w:val="clear" w:pos="1701"/>
                <w:tab w:val="clear" w:pos="2268"/>
              </w:tabs>
              <w:suppressAutoHyphens w:val="0"/>
              <w:spacing w:before="40" w:after="40" w:line="220" w:lineRule="exact"/>
              <w:ind w:left="0" w:right="113"/>
              <w:jc w:val="right"/>
              <w:rPr>
                <w:sz w:val="18"/>
              </w:rPr>
            </w:pPr>
            <w:r w:rsidRPr="00F464FA">
              <w:rPr>
                <w:sz w:val="18"/>
              </w:rPr>
              <w:t>10.1</w:t>
            </w:r>
          </w:p>
        </w:tc>
      </w:tr>
    </w:tbl>
    <w:p w14:paraId="07A98ED2" w14:textId="7C8319BE" w:rsidR="00221DD4" w:rsidRPr="00F464FA" w:rsidRDefault="00221DD4" w:rsidP="00EE6776">
      <w:pPr>
        <w:spacing w:before="120"/>
        <w:ind w:left="1134" w:right="1134" w:firstLine="170"/>
        <w:rPr>
          <w:sz w:val="18"/>
        </w:rPr>
      </w:pPr>
      <w:r w:rsidRPr="00F464FA">
        <w:rPr>
          <w:i/>
          <w:iCs/>
          <w:sz w:val="18"/>
        </w:rPr>
        <w:t>Source:</w:t>
      </w:r>
      <w:r w:rsidRPr="00F464FA">
        <w:rPr>
          <w:sz w:val="18"/>
        </w:rPr>
        <w:t xml:space="preserve"> Malawi Labour Survey, 2013</w:t>
      </w:r>
      <w:r w:rsidR="00EE6776" w:rsidRPr="00F464FA">
        <w:rPr>
          <w:sz w:val="18"/>
        </w:rPr>
        <w:t>.</w:t>
      </w:r>
    </w:p>
    <w:p w14:paraId="0ED8C2AB" w14:textId="4EA38112" w:rsidR="00221DD4" w:rsidRPr="00F464FA" w:rsidRDefault="00366CFE" w:rsidP="003E07FA">
      <w:pPr>
        <w:pStyle w:val="H1G"/>
        <w:rPr>
          <w:lang w:val="en-GB"/>
        </w:rPr>
      </w:pPr>
      <w:bookmarkStart w:id="23" w:name="_Hlk63780456"/>
      <w:r w:rsidRPr="00F464FA">
        <w:rPr>
          <w:lang w:val="en-GB"/>
        </w:rPr>
        <w:tab/>
      </w:r>
      <w:r w:rsidRPr="00F464FA">
        <w:rPr>
          <w:lang w:val="en-GB"/>
        </w:rPr>
        <w:tab/>
      </w:r>
      <w:r w:rsidR="00221DD4" w:rsidRPr="00F464FA">
        <w:rPr>
          <w:lang w:val="en-GB"/>
        </w:rPr>
        <w:t>Article 9</w:t>
      </w:r>
      <w:r w:rsidRPr="00F464FA">
        <w:rPr>
          <w:lang w:val="en-GB"/>
        </w:rPr>
        <w:br/>
      </w:r>
      <w:r w:rsidR="00221DD4" w:rsidRPr="00F464FA">
        <w:rPr>
          <w:lang w:val="en-GB"/>
        </w:rPr>
        <w:t>The Right to Social Security</w:t>
      </w:r>
    </w:p>
    <w:bookmarkEnd w:id="23"/>
    <w:p w14:paraId="2CB0CC53" w14:textId="77777777" w:rsidR="00221DD4" w:rsidRPr="00F464FA" w:rsidRDefault="00221DD4" w:rsidP="00221DD4">
      <w:pPr>
        <w:pStyle w:val="SingleTxtG"/>
        <w:rPr>
          <w:b/>
          <w:bCs/>
        </w:rPr>
      </w:pPr>
      <w:r w:rsidRPr="00F464FA">
        <w:rPr>
          <w:bCs/>
        </w:rPr>
        <w:t>58.</w:t>
      </w:r>
      <w:r w:rsidRPr="00F464FA">
        <w:rPr>
          <w:bCs/>
        </w:rPr>
        <w:tab/>
        <w:t>The Constitution of Malawi recognizes the right to economic, social, cultural and political development. Women, children and persons with disabilities in particular shall be given special consideration in the effectuation of this right. To this end, the Constitution charges the State with the responsibility of adopting all necessary measures to ensure that every individual has equal opportunity for access to basic resources.</w:t>
      </w:r>
    </w:p>
    <w:p w14:paraId="159B5A75" w14:textId="14911E00" w:rsidR="00221DD4" w:rsidRPr="00F464FA" w:rsidRDefault="003905AA" w:rsidP="00355030">
      <w:pPr>
        <w:pStyle w:val="H23G"/>
        <w:rPr>
          <w:lang w:val="en-GB"/>
        </w:rPr>
      </w:pPr>
      <w:r w:rsidRPr="00F464FA">
        <w:rPr>
          <w:lang w:val="en-GB"/>
        </w:rPr>
        <w:tab/>
      </w:r>
      <w:r w:rsidRPr="00F464FA">
        <w:rPr>
          <w:lang w:val="en-GB"/>
        </w:rPr>
        <w:tab/>
      </w:r>
      <w:r w:rsidR="00221DD4" w:rsidRPr="00F464FA">
        <w:rPr>
          <w:lang w:val="en-GB"/>
        </w:rPr>
        <w:t>Trends of Poverty in Malawi</w:t>
      </w:r>
    </w:p>
    <w:p w14:paraId="03E9E6DE" w14:textId="77777777" w:rsidR="00221DD4" w:rsidRPr="00F464FA" w:rsidRDefault="00221DD4" w:rsidP="000D5DFD">
      <w:pPr>
        <w:pStyle w:val="SingleTxtG"/>
        <w:spacing w:after="240"/>
        <w:rPr>
          <w:bCs/>
        </w:rPr>
      </w:pPr>
      <w:r w:rsidRPr="00F464FA">
        <w:rPr>
          <w:bCs/>
        </w:rPr>
        <w:t>59.</w:t>
      </w:r>
      <w:r w:rsidRPr="00F464FA">
        <w:rPr>
          <w:bCs/>
        </w:rPr>
        <w:tab/>
        <w:t xml:space="preserve">The Malawi Poverty Report, 2019 provided comparisons in poverty lines for </w:t>
      </w:r>
      <w:bookmarkStart w:id="24" w:name="_Hlk63776689"/>
      <w:r w:rsidRPr="00F464FA">
        <w:rPr>
          <w:bCs/>
        </w:rPr>
        <w:t xml:space="preserve">Integrated Household Survey (IHS) </w:t>
      </w:r>
      <w:bookmarkEnd w:id="24"/>
      <w:r w:rsidRPr="00F464FA">
        <w:rPr>
          <w:bCs/>
        </w:rPr>
        <w:t xml:space="preserve">4 and IHS3. For IHS4, the population which had a total </w:t>
      </w:r>
      <w:r w:rsidRPr="00F464FA">
        <w:rPr>
          <w:bCs/>
        </w:rPr>
        <w:lastRenderedPageBreak/>
        <w:t>consumption below K137, 428 (approximately US$ 183) was deemed poor as compared to K37, 002 (approximately US$49) in the IHS3 while the population that has a total consumption below K85, 260 (approximately US$ 113) was considered to be ultra-poor in the IHS4 while in the IHS3, this was at K22, 956 (approximately US$ 30.60).</w:t>
      </w:r>
    </w:p>
    <w:p w14:paraId="3F4A7424" w14:textId="30D26F8B" w:rsidR="00221DD4" w:rsidRPr="00F464FA" w:rsidRDefault="00221DD4" w:rsidP="00221DD4">
      <w:pPr>
        <w:pStyle w:val="Heading1"/>
      </w:pPr>
      <w:r w:rsidRPr="00F464FA">
        <w:t>Table 10</w:t>
      </w:r>
    </w:p>
    <w:p w14:paraId="26566A56" w14:textId="692D9FCD" w:rsidR="00221DD4" w:rsidRPr="00F464FA" w:rsidRDefault="00221DD4" w:rsidP="00221DD4">
      <w:pPr>
        <w:pStyle w:val="SingleTxtG"/>
        <w:rPr>
          <w:b/>
        </w:rPr>
      </w:pPr>
      <w:r w:rsidRPr="00F464FA">
        <w:rPr>
          <w:b/>
        </w:rPr>
        <w:t>Poverty line in Malawi Kwacha per person per year, Malawi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49"/>
        <w:gridCol w:w="2322"/>
        <w:gridCol w:w="2399"/>
      </w:tblGrid>
      <w:tr w:rsidR="00221DD4" w:rsidRPr="00F464FA" w14:paraId="19BAE716" w14:textId="77777777" w:rsidTr="000D5DFD">
        <w:trPr>
          <w:tblHeader/>
        </w:trPr>
        <w:tc>
          <w:tcPr>
            <w:tcW w:w="2649" w:type="dxa"/>
            <w:tcBorders>
              <w:top w:val="single" w:sz="4" w:space="0" w:color="auto"/>
              <w:bottom w:val="single" w:sz="12" w:space="0" w:color="auto"/>
            </w:tcBorders>
            <w:shd w:val="clear" w:color="auto" w:fill="auto"/>
            <w:noWrap/>
            <w:vAlign w:val="bottom"/>
            <w:hideMark/>
          </w:tcPr>
          <w:p w14:paraId="5C3A363D" w14:textId="0A309033" w:rsidR="00221DD4" w:rsidRPr="00F464FA" w:rsidRDefault="000D5DFD" w:rsidP="000D5DFD">
            <w:pPr>
              <w:pStyle w:val="SingleTxtG"/>
              <w:tabs>
                <w:tab w:val="clear" w:pos="1701"/>
                <w:tab w:val="clear" w:pos="2268"/>
              </w:tabs>
              <w:suppressAutoHyphens w:val="0"/>
              <w:spacing w:before="80" w:after="80" w:line="200" w:lineRule="exact"/>
              <w:ind w:left="0" w:right="113"/>
              <w:jc w:val="left"/>
              <w:rPr>
                <w:bCs/>
                <w:i/>
                <w:sz w:val="16"/>
              </w:rPr>
            </w:pPr>
            <w:r w:rsidRPr="00F464FA">
              <w:rPr>
                <w:bCs/>
                <w:i/>
                <w:sz w:val="16"/>
              </w:rPr>
              <w:t>Poverty line</w:t>
            </w:r>
          </w:p>
        </w:tc>
        <w:tc>
          <w:tcPr>
            <w:tcW w:w="2322" w:type="dxa"/>
            <w:tcBorders>
              <w:top w:val="single" w:sz="4" w:space="0" w:color="auto"/>
              <w:bottom w:val="single" w:sz="12" w:space="0" w:color="auto"/>
            </w:tcBorders>
            <w:shd w:val="clear" w:color="auto" w:fill="auto"/>
            <w:noWrap/>
            <w:vAlign w:val="bottom"/>
            <w:hideMark/>
          </w:tcPr>
          <w:p w14:paraId="403FA990" w14:textId="1405A49F" w:rsidR="00221DD4" w:rsidRPr="00F464FA" w:rsidRDefault="00221DD4" w:rsidP="000D5DFD">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IHS3 (2011)</w:t>
            </w:r>
          </w:p>
        </w:tc>
        <w:tc>
          <w:tcPr>
            <w:tcW w:w="2399" w:type="dxa"/>
            <w:tcBorders>
              <w:top w:val="single" w:sz="4" w:space="0" w:color="auto"/>
              <w:bottom w:val="single" w:sz="12" w:space="0" w:color="auto"/>
            </w:tcBorders>
            <w:shd w:val="clear" w:color="auto" w:fill="auto"/>
            <w:noWrap/>
            <w:vAlign w:val="bottom"/>
            <w:hideMark/>
          </w:tcPr>
          <w:p w14:paraId="6558C643" w14:textId="77777777" w:rsidR="00221DD4" w:rsidRPr="00F464FA" w:rsidRDefault="00221DD4" w:rsidP="000D5DFD">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IHS4 (2017)</w:t>
            </w:r>
          </w:p>
        </w:tc>
      </w:tr>
      <w:tr w:rsidR="00221DD4" w:rsidRPr="00F464FA" w14:paraId="32752034" w14:textId="77777777" w:rsidTr="000D5DFD">
        <w:tc>
          <w:tcPr>
            <w:tcW w:w="2649" w:type="dxa"/>
            <w:tcBorders>
              <w:top w:val="single" w:sz="12" w:space="0" w:color="auto"/>
            </w:tcBorders>
            <w:shd w:val="clear" w:color="auto" w:fill="auto"/>
            <w:noWrap/>
            <w:hideMark/>
          </w:tcPr>
          <w:p w14:paraId="323FFC4D" w14:textId="77777777" w:rsidR="00221DD4" w:rsidRPr="00F464FA" w:rsidRDefault="00221DD4" w:rsidP="000D5DFD">
            <w:pPr>
              <w:pStyle w:val="SingleTxtG"/>
              <w:tabs>
                <w:tab w:val="clear" w:pos="1701"/>
                <w:tab w:val="clear" w:pos="2268"/>
              </w:tabs>
              <w:suppressAutoHyphens w:val="0"/>
              <w:spacing w:before="40" w:after="40" w:line="220" w:lineRule="exact"/>
              <w:ind w:left="0" w:right="113"/>
              <w:jc w:val="left"/>
              <w:rPr>
                <w:sz w:val="18"/>
              </w:rPr>
            </w:pPr>
            <w:r w:rsidRPr="00F464FA">
              <w:rPr>
                <w:sz w:val="18"/>
              </w:rPr>
              <w:t>Food</w:t>
            </w:r>
          </w:p>
        </w:tc>
        <w:tc>
          <w:tcPr>
            <w:tcW w:w="2322" w:type="dxa"/>
            <w:tcBorders>
              <w:top w:val="single" w:sz="12" w:space="0" w:color="auto"/>
            </w:tcBorders>
            <w:shd w:val="clear" w:color="auto" w:fill="auto"/>
            <w:noWrap/>
            <w:vAlign w:val="bottom"/>
            <w:hideMark/>
          </w:tcPr>
          <w:p w14:paraId="5BBEF07C" w14:textId="1F3D8877" w:rsidR="00221DD4" w:rsidRPr="00F464FA" w:rsidRDefault="00221DD4" w:rsidP="000D5DFD">
            <w:pPr>
              <w:pStyle w:val="SingleTxtG"/>
              <w:tabs>
                <w:tab w:val="clear" w:pos="1701"/>
                <w:tab w:val="clear" w:pos="2268"/>
              </w:tabs>
              <w:suppressAutoHyphens w:val="0"/>
              <w:spacing w:before="40" w:after="40" w:line="220" w:lineRule="exact"/>
              <w:ind w:left="0" w:right="113"/>
              <w:jc w:val="right"/>
              <w:rPr>
                <w:sz w:val="18"/>
              </w:rPr>
            </w:pPr>
            <w:r w:rsidRPr="00F464FA">
              <w:rPr>
                <w:sz w:val="18"/>
              </w:rPr>
              <w:t>22</w:t>
            </w:r>
            <w:r w:rsidR="00574339" w:rsidRPr="00F464FA">
              <w:rPr>
                <w:sz w:val="18"/>
              </w:rPr>
              <w:t xml:space="preserve"> </w:t>
            </w:r>
            <w:r w:rsidRPr="00F464FA">
              <w:rPr>
                <w:sz w:val="18"/>
              </w:rPr>
              <w:t>956</w:t>
            </w:r>
          </w:p>
        </w:tc>
        <w:tc>
          <w:tcPr>
            <w:tcW w:w="2399" w:type="dxa"/>
            <w:tcBorders>
              <w:top w:val="single" w:sz="12" w:space="0" w:color="auto"/>
            </w:tcBorders>
            <w:shd w:val="clear" w:color="auto" w:fill="auto"/>
            <w:noWrap/>
            <w:vAlign w:val="bottom"/>
            <w:hideMark/>
          </w:tcPr>
          <w:p w14:paraId="471CAF12" w14:textId="6C9CA51A" w:rsidR="00221DD4" w:rsidRPr="00F464FA" w:rsidRDefault="00221DD4" w:rsidP="000D5DFD">
            <w:pPr>
              <w:pStyle w:val="SingleTxtG"/>
              <w:tabs>
                <w:tab w:val="clear" w:pos="1701"/>
                <w:tab w:val="clear" w:pos="2268"/>
              </w:tabs>
              <w:suppressAutoHyphens w:val="0"/>
              <w:spacing w:before="40" w:after="40" w:line="220" w:lineRule="exact"/>
              <w:ind w:left="0" w:right="113"/>
              <w:jc w:val="right"/>
              <w:rPr>
                <w:sz w:val="18"/>
              </w:rPr>
            </w:pPr>
            <w:r w:rsidRPr="00F464FA">
              <w:rPr>
                <w:sz w:val="18"/>
              </w:rPr>
              <w:t>85</w:t>
            </w:r>
            <w:r w:rsidR="00574339" w:rsidRPr="00F464FA">
              <w:rPr>
                <w:sz w:val="18"/>
              </w:rPr>
              <w:t xml:space="preserve"> </w:t>
            </w:r>
            <w:r w:rsidRPr="00F464FA">
              <w:rPr>
                <w:sz w:val="18"/>
              </w:rPr>
              <w:t>260</w:t>
            </w:r>
          </w:p>
        </w:tc>
      </w:tr>
      <w:tr w:rsidR="00221DD4" w:rsidRPr="00F464FA" w14:paraId="6F1C3505" w14:textId="77777777" w:rsidTr="00574339">
        <w:tc>
          <w:tcPr>
            <w:tcW w:w="2649" w:type="dxa"/>
            <w:tcBorders>
              <w:bottom w:val="single" w:sz="4" w:space="0" w:color="auto"/>
            </w:tcBorders>
            <w:shd w:val="clear" w:color="auto" w:fill="auto"/>
            <w:noWrap/>
            <w:hideMark/>
          </w:tcPr>
          <w:p w14:paraId="52613C7D" w14:textId="77777777" w:rsidR="00221DD4" w:rsidRPr="00F464FA" w:rsidRDefault="00221DD4" w:rsidP="000D5DFD">
            <w:pPr>
              <w:pStyle w:val="SingleTxtG"/>
              <w:tabs>
                <w:tab w:val="clear" w:pos="1701"/>
                <w:tab w:val="clear" w:pos="2268"/>
              </w:tabs>
              <w:suppressAutoHyphens w:val="0"/>
              <w:spacing w:before="40" w:after="40" w:line="220" w:lineRule="exact"/>
              <w:ind w:left="0" w:right="113"/>
              <w:jc w:val="left"/>
              <w:rPr>
                <w:sz w:val="18"/>
              </w:rPr>
            </w:pPr>
            <w:r w:rsidRPr="00F464FA">
              <w:rPr>
                <w:sz w:val="18"/>
              </w:rPr>
              <w:t>Non-Food</w:t>
            </w:r>
          </w:p>
        </w:tc>
        <w:tc>
          <w:tcPr>
            <w:tcW w:w="2322" w:type="dxa"/>
            <w:tcBorders>
              <w:bottom w:val="single" w:sz="4" w:space="0" w:color="auto"/>
            </w:tcBorders>
            <w:shd w:val="clear" w:color="auto" w:fill="auto"/>
            <w:noWrap/>
            <w:vAlign w:val="bottom"/>
            <w:hideMark/>
          </w:tcPr>
          <w:p w14:paraId="775A59D4" w14:textId="76FEF38A" w:rsidR="00221DD4" w:rsidRPr="00F464FA" w:rsidRDefault="00221DD4" w:rsidP="000D5DFD">
            <w:pPr>
              <w:pStyle w:val="SingleTxtG"/>
              <w:tabs>
                <w:tab w:val="clear" w:pos="1701"/>
                <w:tab w:val="clear" w:pos="2268"/>
              </w:tabs>
              <w:suppressAutoHyphens w:val="0"/>
              <w:spacing w:before="40" w:after="40" w:line="220" w:lineRule="exact"/>
              <w:ind w:left="0" w:right="113"/>
              <w:jc w:val="right"/>
              <w:rPr>
                <w:sz w:val="18"/>
              </w:rPr>
            </w:pPr>
            <w:r w:rsidRPr="00F464FA">
              <w:rPr>
                <w:sz w:val="18"/>
              </w:rPr>
              <w:t>14</w:t>
            </w:r>
            <w:r w:rsidR="00574339" w:rsidRPr="00F464FA">
              <w:rPr>
                <w:sz w:val="18"/>
              </w:rPr>
              <w:t xml:space="preserve"> </w:t>
            </w:r>
            <w:r w:rsidRPr="00F464FA">
              <w:rPr>
                <w:sz w:val="18"/>
              </w:rPr>
              <w:t>045</w:t>
            </w:r>
          </w:p>
        </w:tc>
        <w:tc>
          <w:tcPr>
            <w:tcW w:w="2399" w:type="dxa"/>
            <w:tcBorders>
              <w:bottom w:val="single" w:sz="4" w:space="0" w:color="auto"/>
            </w:tcBorders>
            <w:shd w:val="clear" w:color="auto" w:fill="auto"/>
            <w:noWrap/>
            <w:vAlign w:val="bottom"/>
            <w:hideMark/>
          </w:tcPr>
          <w:p w14:paraId="603512B9" w14:textId="6808F53B" w:rsidR="00221DD4" w:rsidRPr="00F464FA" w:rsidRDefault="00221DD4" w:rsidP="000D5DFD">
            <w:pPr>
              <w:pStyle w:val="SingleTxtG"/>
              <w:tabs>
                <w:tab w:val="clear" w:pos="1701"/>
                <w:tab w:val="clear" w:pos="2268"/>
              </w:tabs>
              <w:suppressAutoHyphens w:val="0"/>
              <w:spacing w:before="40" w:after="40" w:line="220" w:lineRule="exact"/>
              <w:ind w:left="0" w:right="113"/>
              <w:jc w:val="right"/>
              <w:rPr>
                <w:sz w:val="18"/>
              </w:rPr>
            </w:pPr>
            <w:r w:rsidRPr="00F464FA">
              <w:rPr>
                <w:sz w:val="18"/>
              </w:rPr>
              <w:t>52</w:t>
            </w:r>
            <w:r w:rsidR="00574339" w:rsidRPr="00F464FA">
              <w:rPr>
                <w:sz w:val="18"/>
              </w:rPr>
              <w:t xml:space="preserve"> </w:t>
            </w:r>
            <w:r w:rsidRPr="00F464FA">
              <w:rPr>
                <w:sz w:val="18"/>
              </w:rPr>
              <w:t>168</w:t>
            </w:r>
          </w:p>
        </w:tc>
      </w:tr>
      <w:tr w:rsidR="00221DD4" w:rsidRPr="00F464FA" w14:paraId="1311E35C" w14:textId="77777777" w:rsidTr="00574339">
        <w:tc>
          <w:tcPr>
            <w:tcW w:w="2649" w:type="dxa"/>
            <w:tcBorders>
              <w:top w:val="single" w:sz="4" w:space="0" w:color="auto"/>
            </w:tcBorders>
            <w:shd w:val="clear" w:color="auto" w:fill="auto"/>
            <w:noWrap/>
            <w:hideMark/>
          </w:tcPr>
          <w:p w14:paraId="282AFDA6" w14:textId="77777777" w:rsidR="00221DD4" w:rsidRPr="00F464FA" w:rsidRDefault="00221DD4" w:rsidP="00574339">
            <w:pPr>
              <w:pStyle w:val="SingleTxtG"/>
              <w:tabs>
                <w:tab w:val="clear" w:pos="1701"/>
                <w:tab w:val="clear" w:pos="2268"/>
              </w:tabs>
              <w:suppressAutoHyphens w:val="0"/>
              <w:spacing w:before="80" w:after="80" w:line="220" w:lineRule="exact"/>
              <w:ind w:left="283" w:right="0"/>
              <w:jc w:val="left"/>
              <w:rPr>
                <w:b/>
                <w:sz w:val="18"/>
              </w:rPr>
            </w:pPr>
            <w:r w:rsidRPr="00F464FA">
              <w:rPr>
                <w:b/>
                <w:sz w:val="18"/>
              </w:rPr>
              <w:t>Total</w:t>
            </w:r>
          </w:p>
        </w:tc>
        <w:tc>
          <w:tcPr>
            <w:tcW w:w="2322" w:type="dxa"/>
            <w:tcBorders>
              <w:top w:val="single" w:sz="4" w:space="0" w:color="auto"/>
            </w:tcBorders>
            <w:shd w:val="clear" w:color="auto" w:fill="auto"/>
            <w:noWrap/>
            <w:vAlign w:val="bottom"/>
            <w:hideMark/>
          </w:tcPr>
          <w:p w14:paraId="14519476" w14:textId="42898932" w:rsidR="00221DD4" w:rsidRPr="00F464FA" w:rsidRDefault="00221DD4" w:rsidP="00574339">
            <w:pPr>
              <w:pStyle w:val="SingleTxtG"/>
              <w:tabs>
                <w:tab w:val="clear" w:pos="1701"/>
                <w:tab w:val="clear" w:pos="2268"/>
              </w:tabs>
              <w:suppressAutoHyphens w:val="0"/>
              <w:spacing w:before="80" w:after="80" w:line="220" w:lineRule="exact"/>
              <w:ind w:left="0" w:right="113"/>
              <w:jc w:val="right"/>
              <w:rPr>
                <w:b/>
                <w:sz w:val="18"/>
              </w:rPr>
            </w:pPr>
            <w:r w:rsidRPr="00F464FA">
              <w:rPr>
                <w:b/>
                <w:sz w:val="18"/>
              </w:rPr>
              <w:t>37</w:t>
            </w:r>
            <w:r w:rsidR="00574339" w:rsidRPr="00F464FA">
              <w:rPr>
                <w:b/>
                <w:sz w:val="18"/>
              </w:rPr>
              <w:t xml:space="preserve"> </w:t>
            </w:r>
            <w:r w:rsidRPr="00F464FA">
              <w:rPr>
                <w:b/>
                <w:sz w:val="18"/>
              </w:rPr>
              <w:t>002</w:t>
            </w:r>
          </w:p>
        </w:tc>
        <w:tc>
          <w:tcPr>
            <w:tcW w:w="2399" w:type="dxa"/>
            <w:tcBorders>
              <w:top w:val="single" w:sz="4" w:space="0" w:color="auto"/>
            </w:tcBorders>
            <w:shd w:val="clear" w:color="auto" w:fill="auto"/>
            <w:noWrap/>
            <w:vAlign w:val="bottom"/>
            <w:hideMark/>
          </w:tcPr>
          <w:p w14:paraId="18B92D77" w14:textId="7457EFE8" w:rsidR="00221DD4" w:rsidRPr="00F464FA" w:rsidRDefault="00221DD4" w:rsidP="00574339">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137</w:t>
            </w:r>
            <w:r w:rsidR="00574339" w:rsidRPr="00F464FA">
              <w:rPr>
                <w:b/>
                <w:sz w:val="18"/>
              </w:rPr>
              <w:t xml:space="preserve"> </w:t>
            </w:r>
            <w:r w:rsidRPr="00F464FA">
              <w:rPr>
                <w:b/>
                <w:sz w:val="18"/>
              </w:rPr>
              <w:t>428</w:t>
            </w:r>
          </w:p>
        </w:tc>
      </w:tr>
    </w:tbl>
    <w:p w14:paraId="304BEB95" w14:textId="46A1FC7C" w:rsidR="00221DD4" w:rsidRPr="00F464FA" w:rsidRDefault="00221DD4" w:rsidP="00AC33DD">
      <w:pPr>
        <w:pStyle w:val="SingleTxtG"/>
        <w:spacing w:before="120" w:after="0"/>
        <w:ind w:firstLine="170"/>
        <w:jc w:val="left"/>
        <w:rPr>
          <w:bCs/>
          <w:sz w:val="18"/>
        </w:rPr>
      </w:pPr>
      <w:r w:rsidRPr="00F464FA">
        <w:rPr>
          <w:i/>
          <w:iCs/>
          <w:sz w:val="18"/>
          <w:lang w:eastAsia="en-US"/>
        </w:rPr>
        <w:t>Source:</w:t>
      </w:r>
      <w:r w:rsidRPr="00F464FA">
        <w:rPr>
          <w:sz w:val="18"/>
          <w:lang w:eastAsia="en-US"/>
        </w:rPr>
        <w:t xml:space="preserve"> Integrated Household Survey 3 (2010/2011) and Integrated House Survey 4 (2016/2017) Malawi</w:t>
      </w:r>
      <w:r w:rsidR="00AC33DD" w:rsidRPr="00F464FA">
        <w:rPr>
          <w:sz w:val="18"/>
          <w:lang w:eastAsia="en-US"/>
        </w:rPr>
        <w:t>.</w:t>
      </w:r>
    </w:p>
    <w:p w14:paraId="6B997E94" w14:textId="77777777" w:rsidR="00221DD4" w:rsidRPr="00F464FA" w:rsidRDefault="00221DD4" w:rsidP="009915CC">
      <w:pPr>
        <w:pStyle w:val="SingleTxtG"/>
        <w:spacing w:before="240" w:after="240"/>
        <w:rPr>
          <w:bCs/>
        </w:rPr>
      </w:pPr>
      <w:r w:rsidRPr="00F464FA">
        <w:rPr>
          <w:bCs/>
        </w:rPr>
        <w:t>60.</w:t>
      </w:r>
      <w:r w:rsidRPr="00F464FA">
        <w:rPr>
          <w:bCs/>
        </w:rPr>
        <w:tab/>
        <w:t xml:space="preserve">The Malawi Poverty report, 2020 shows using the IHS4 and IHS5 that the population that had a total consumption below K165, 879 </w:t>
      </w:r>
      <w:bookmarkStart w:id="25" w:name="_Hlk94177675"/>
      <w:r w:rsidRPr="00F464FA">
        <w:rPr>
          <w:bCs/>
        </w:rPr>
        <w:t xml:space="preserve">(approximately US$ </w:t>
      </w:r>
      <w:bookmarkEnd w:id="25"/>
      <w:r w:rsidRPr="00F464FA">
        <w:rPr>
          <w:bCs/>
        </w:rPr>
        <w:t>221) were deemed poor in 2019/2020 as compared to K137, 428 (approximately US$ 183) in 2016/2017. As regards ultra-poverty, the population that had a total consumption below K101,293 (approximately US$ 135) in 2019/2020 was considered to be ultra-poor in the IHS5 while in 2016/2017, this was at K85, 260 (approximately US$ 113).</w:t>
      </w:r>
    </w:p>
    <w:p w14:paraId="7A99F098" w14:textId="311727F0" w:rsidR="00221DD4" w:rsidRPr="00F464FA" w:rsidRDefault="00221DD4" w:rsidP="00221DD4">
      <w:pPr>
        <w:pStyle w:val="Heading1"/>
      </w:pPr>
      <w:r w:rsidRPr="00F464FA">
        <w:t>Table 11</w:t>
      </w:r>
    </w:p>
    <w:p w14:paraId="7EAFE8BB" w14:textId="77777777" w:rsidR="00221DD4" w:rsidRPr="00F464FA" w:rsidRDefault="00221DD4" w:rsidP="00221DD4">
      <w:pPr>
        <w:pStyle w:val="SingleTxtG"/>
        <w:rPr>
          <w:b/>
        </w:rPr>
      </w:pPr>
      <w:r w:rsidRPr="00F464FA">
        <w:rPr>
          <w:b/>
        </w:rPr>
        <w:t xml:space="preserve">Poverty Line in Malawi Kwacha per Person per Year, Malawi 2020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7"/>
        <w:gridCol w:w="2552"/>
        <w:gridCol w:w="2441"/>
      </w:tblGrid>
      <w:tr w:rsidR="00E25709" w:rsidRPr="00F464FA" w14:paraId="7C7797C9" w14:textId="77777777" w:rsidTr="00E25709">
        <w:trPr>
          <w:tblHeader/>
        </w:trPr>
        <w:tc>
          <w:tcPr>
            <w:tcW w:w="2377" w:type="dxa"/>
            <w:vMerge w:val="restart"/>
            <w:tcBorders>
              <w:top w:val="single" w:sz="4" w:space="0" w:color="auto"/>
            </w:tcBorders>
            <w:shd w:val="clear" w:color="auto" w:fill="auto"/>
            <w:vAlign w:val="bottom"/>
          </w:tcPr>
          <w:p w14:paraId="3D805554" w14:textId="0D85A0B6" w:rsidR="00E25709" w:rsidRPr="00F464FA" w:rsidRDefault="00E25709" w:rsidP="002E68F1">
            <w:pPr>
              <w:pStyle w:val="SingleTxtG"/>
              <w:tabs>
                <w:tab w:val="clear" w:pos="1701"/>
                <w:tab w:val="clear" w:pos="2268"/>
              </w:tabs>
              <w:suppressAutoHyphens w:val="0"/>
              <w:spacing w:before="80" w:after="80" w:line="200" w:lineRule="exact"/>
              <w:ind w:left="0" w:right="113"/>
              <w:jc w:val="left"/>
              <w:rPr>
                <w:i/>
                <w:sz w:val="16"/>
              </w:rPr>
            </w:pPr>
            <w:r w:rsidRPr="00F464FA">
              <w:rPr>
                <w:i/>
                <w:sz w:val="16"/>
              </w:rPr>
              <w:t>Poverty line</w:t>
            </w:r>
          </w:p>
        </w:tc>
        <w:tc>
          <w:tcPr>
            <w:tcW w:w="2552" w:type="dxa"/>
            <w:tcBorders>
              <w:top w:val="single" w:sz="4" w:space="0" w:color="auto"/>
              <w:bottom w:val="single" w:sz="4" w:space="0" w:color="auto"/>
              <w:right w:val="single" w:sz="24" w:space="0" w:color="FFFFFF" w:themeColor="background1"/>
            </w:tcBorders>
            <w:shd w:val="clear" w:color="auto" w:fill="auto"/>
            <w:vAlign w:val="bottom"/>
          </w:tcPr>
          <w:p w14:paraId="7F565A0B" w14:textId="77777777" w:rsidR="00E25709" w:rsidRPr="00F464FA" w:rsidRDefault="00E25709" w:rsidP="00E25709">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IHS4</w:t>
            </w:r>
          </w:p>
        </w:tc>
        <w:tc>
          <w:tcPr>
            <w:tcW w:w="2441" w:type="dxa"/>
            <w:tcBorders>
              <w:top w:val="single" w:sz="4" w:space="0" w:color="auto"/>
              <w:left w:val="single" w:sz="24" w:space="0" w:color="FFFFFF" w:themeColor="background1"/>
              <w:bottom w:val="single" w:sz="4" w:space="0" w:color="auto"/>
            </w:tcBorders>
            <w:shd w:val="clear" w:color="auto" w:fill="auto"/>
            <w:vAlign w:val="bottom"/>
          </w:tcPr>
          <w:p w14:paraId="2EC952BB" w14:textId="77777777" w:rsidR="00E25709" w:rsidRPr="00F464FA" w:rsidRDefault="00E25709" w:rsidP="00E25709">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IHS5</w:t>
            </w:r>
          </w:p>
        </w:tc>
      </w:tr>
      <w:tr w:rsidR="00E25709" w:rsidRPr="00F464FA" w14:paraId="34D77E92" w14:textId="77777777" w:rsidTr="00E25709">
        <w:tc>
          <w:tcPr>
            <w:tcW w:w="2377" w:type="dxa"/>
            <w:vMerge/>
            <w:tcBorders>
              <w:bottom w:val="single" w:sz="12" w:space="0" w:color="auto"/>
            </w:tcBorders>
            <w:shd w:val="clear" w:color="auto" w:fill="auto"/>
          </w:tcPr>
          <w:p w14:paraId="130701A5" w14:textId="77777777" w:rsidR="00E25709" w:rsidRPr="00F464FA" w:rsidRDefault="00E25709" w:rsidP="002E68F1">
            <w:pPr>
              <w:pStyle w:val="SingleTxtG"/>
              <w:tabs>
                <w:tab w:val="clear" w:pos="1701"/>
                <w:tab w:val="clear" w:pos="2268"/>
              </w:tabs>
              <w:suppressAutoHyphens w:val="0"/>
              <w:spacing w:before="40" w:after="40" w:line="220" w:lineRule="exact"/>
              <w:ind w:left="0" w:right="113"/>
              <w:jc w:val="left"/>
              <w:rPr>
                <w:sz w:val="18"/>
              </w:rPr>
            </w:pPr>
          </w:p>
        </w:tc>
        <w:tc>
          <w:tcPr>
            <w:tcW w:w="2552" w:type="dxa"/>
            <w:tcBorders>
              <w:top w:val="single" w:sz="4" w:space="0" w:color="auto"/>
              <w:bottom w:val="single" w:sz="12" w:space="0" w:color="auto"/>
              <w:right w:val="single" w:sz="24" w:space="0" w:color="FFFFFF" w:themeColor="background1"/>
            </w:tcBorders>
            <w:shd w:val="clear" w:color="auto" w:fill="auto"/>
            <w:vAlign w:val="bottom"/>
          </w:tcPr>
          <w:p w14:paraId="0ED6C1BB" w14:textId="77777777" w:rsidR="00E25709" w:rsidRPr="00F464FA" w:rsidRDefault="00E25709" w:rsidP="00E25709">
            <w:pPr>
              <w:pStyle w:val="SingleTxtG"/>
              <w:tabs>
                <w:tab w:val="clear" w:pos="1701"/>
                <w:tab w:val="clear" w:pos="2268"/>
              </w:tabs>
              <w:suppressAutoHyphens w:val="0"/>
              <w:spacing w:before="80" w:after="80" w:line="200" w:lineRule="exact"/>
              <w:ind w:left="0" w:right="113"/>
              <w:jc w:val="right"/>
              <w:rPr>
                <w:i/>
                <w:sz w:val="16"/>
              </w:rPr>
            </w:pPr>
            <w:r w:rsidRPr="00F464FA">
              <w:rPr>
                <w:i/>
                <w:sz w:val="16"/>
              </w:rPr>
              <w:t>(2016/2017)</w:t>
            </w:r>
          </w:p>
        </w:tc>
        <w:tc>
          <w:tcPr>
            <w:tcW w:w="2441" w:type="dxa"/>
            <w:tcBorders>
              <w:top w:val="single" w:sz="4" w:space="0" w:color="auto"/>
              <w:left w:val="single" w:sz="24" w:space="0" w:color="FFFFFF" w:themeColor="background1"/>
              <w:bottom w:val="single" w:sz="12" w:space="0" w:color="auto"/>
            </w:tcBorders>
            <w:shd w:val="clear" w:color="auto" w:fill="auto"/>
            <w:vAlign w:val="bottom"/>
          </w:tcPr>
          <w:p w14:paraId="5FD2CB8B" w14:textId="77777777" w:rsidR="00E25709" w:rsidRPr="00F464FA" w:rsidRDefault="00E25709" w:rsidP="00E25709">
            <w:pPr>
              <w:pStyle w:val="SingleTxtG"/>
              <w:tabs>
                <w:tab w:val="clear" w:pos="1701"/>
                <w:tab w:val="clear" w:pos="2268"/>
              </w:tabs>
              <w:suppressAutoHyphens w:val="0"/>
              <w:spacing w:before="80" w:after="80" w:line="200" w:lineRule="exact"/>
              <w:ind w:left="0" w:right="113"/>
              <w:jc w:val="right"/>
              <w:rPr>
                <w:i/>
                <w:sz w:val="16"/>
              </w:rPr>
            </w:pPr>
            <w:r w:rsidRPr="00F464FA">
              <w:rPr>
                <w:i/>
                <w:sz w:val="16"/>
              </w:rPr>
              <w:t>(2019/2020)</w:t>
            </w:r>
          </w:p>
        </w:tc>
      </w:tr>
      <w:tr w:rsidR="00221DD4" w:rsidRPr="00F464FA" w14:paraId="4B73AAC7" w14:textId="77777777" w:rsidTr="00E25709">
        <w:tc>
          <w:tcPr>
            <w:tcW w:w="2377" w:type="dxa"/>
            <w:tcBorders>
              <w:top w:val="single" w:sz="12" w:space="0" w:color="auto"/>
            </w:tcBorders>
            <w:shd w:val="clear" w:color="auto" w:fill="auto"/>
          </w:tcPr>
          <w:p w14:paraId="4A1F702B" w14:textId="77777777" w:rsidR="00221DD4" w:rsidRPr="00F464FA" w:rsidRDefault="00221DD4" w:rsidP="002E68F1">
            <w:pPr>
              <w:pStyle w:val="SingleTxtG"/>
              <w:tabs>
                <w:tab w:val="clear" w:pos="1701"/>
                <w:tab w:val="clear" w:pos="2268"/>
              </w:tabs>
              <w:suppressAutoHyphens w:val="0"/>
              <w:spacing w:before="40" w:after="40" w:line="220" w:lineRule="exact"/>
              <w:ind w:left="0" w:right="113"/>
              <w:jc w:val="left"/>
              <w:rPr>
                <w:sz w:val="18"/>
              </w:rPr>
            </w:pPr>
            <w:r w:rsidRPr="00F464FA">
              <w:rPr>
                <w:sz w:val="18"/>
              </w:rPr>
              <w:t>Food</w:t>
            </w:r>
          </w:p>
        </w:tc>
        <w:tc>
          <w:tcPr>
            <w:tcW w:w="2552" w:type="dxa"/>
            <w:tcBorders>
              <w:top w:val="single" w:sz="12" w:space="0" w:color="auto"/>
            </w:tcBorders>
            <w:shd w:val="clear" w:color="auto" w:fill="auto"/>
            <w:vAlign w:val="bottom"/>
          </w:tcPr>
          <w:p w14:paraId="331F0640" w14:textId="3A77FB46" w:rsidR="00221DD4" w:rsidRPr="00F464FA" w:rsidRDefault="00221DD4" w:rsidP="002E68F1">
            <w:pPr>
              <w:pStyle w:val="SingleTxtG"/>
              <w:tabs>
                <w:tab w:val="clear" w:pos="1701"/>
                <w:tab w:val="clear" w:pos="2268"/>
              </w:tabs>
              <w:suppressAutoHyphens w:val="0"/>
              <w:spacing w:before="40" w:after="40" w:line="220" w:lineRule="exact"/>
              <w:ind w:left="0" w:right="113"/>
              <w:jc w:val="right"/>
              <w:rPr>
                <w:sz w:val="18"/>
              </w:rPr>
            </w:pPr>
            <w:r w:rsidRPr="00F464FA">
              <w:rPr>
                <w:sz w:val="18"/>
              </w:rPr>
              <w:t>85</w:t>
            </w:r>
            <w:r w:rsidR="00E25709" w:rsidRPr="00F464FA">
              <w:rPr>
                <w:sz w:val="18"/>
              </w:rPr>
              <w:t xml:space="preserve"> </w:t>
            </w:r>
            <w:r w:rsidRPr="00F464FA">
              <w:rPr>
                <w:sz w:val="18"/>
              </w:rPr>
              <w:t>260</w:t>
            </w:r>
          </w:p>
        </w:tc>
        <w:tc>
          <w:tcPr>
            <w:tcW w:w="2441" w:type="dxa"/>
            <w:tcBorders>
              <w:top w:val="single" w:sz="12" w:space="0" w:color="auto"/>
            </w:tcBorders>
            <w:shd w:val="clear" w:color="auto" w:fill="auto"/>
            <w:vAlign w:val="bottom"/>
          </w:tcPr>
          <w:p w14:paraId="483F9CEA" w14:textId="2824CE97" w:rsidR="00221DD4" w:rsidRPr="00F464FA" w:rsidRDefault="00221DD4" w:rsidP="002E68F1">
            <w:pPr>
              <w:pStyle w:val="SingleTxtG"/>
              <w:tabs>
                <w:tab w:val="clear" w:pos="1701"/>
                <w:tab w:val="clear" w:pos="2268"/>
              </w:tabs>
              <w:suppressAutoHyphens w:val="0"/>
              <w:spacing w:before="40" w:after="40" w:line="220" w:lineRule="exact"/>
              <w:ind w:left="0" w:right="113"/>
              <w:jc w:val="right"/>
              <w:rPr>
                <w:sz w:val="18"/>
              </w:rPr>
            </w:pPr>
            <w:r w:rsidRPr="00F464FA">
              <w:rPr>
                <w:sz w:val="18"/>
              </w:rPr>
              <w:t>101</w:t>
            </w:r>
            <w:r w:rsidR="00E25709" w:rsidRPr="00F464FA">
              <w:rPr>
                <w:sz w:val="18"/>
              </w:rPr>
              <w:t xml:space="preserve"> </w:t>
            </w:r>
            <w:r w:rsidRPr="00F464FA">
              <w:rPr>
                <w:sz w:val="18"/>
              </w:rPr>
              <w:t>293</w:t>
            </w:r>
          </w:p>
        </w:tc>
      </w:tr>
      <w:tr w:rsidR="00221DD4" w:rsidRPr="00F464FA" w14:paraId="3E238D03" w14:textId="77777777" w:rsidTr="00E25709">
        <w:tc>
          <w:tcPr>
            <w:tcW w:w="2377" w:type="dxa"/>
            <w:tcBorders>
              <w:bottom w:val="single" w:sz="4" w:space="0" w:color="auto"/>
            </w:tcBorders>
            <w:shd w:val="clear" w:color="auto" w:fill="auto"/>
          </w:tcPr>
          <w:p w14:paraId="2F6B721B" w14:textId="77777777" w:rsidR="00221DD4" w:rsidRPr="00F464FA" w:rsidRDefault="00221DD4" w:rsidP="002E68F1">
            <w:pPr>
              <w:pStyle w:val="SingleTxtG"/>
              <w:tabs>
                <w:tab w:val="clear" w:pos="1701"/>
                <w:tab w:val="clear" w:pos="2268"/>
              </w:tabs>
              <w:suppressAutoHyphens w:val="0"/>
              <w:spacing w:before="40" w:after="40" w:line="220" w:lineRule="exact"/>
              <w:ind w:left="0" w:right="113"/>
              <w:jc w:val="left"/>
              <w:rPr>
                <w:sz w:val="18"/>
              </w:rPr>
            </w:pPr>
            <w:r w:rsidRPr="00F464FA">
              <w:rPr>
                <w:sz w:val="18"/>
              </w:rPr>
              <w:t>Non-Food</w:t>
            </w:r>
          </w:p>
        </w:tc>
        <w:tc>
          <w:tcPr>
            <w:tcW w:w="2552" w:type="dxa"/>
            <w:tcBorders>
              <w:bottom w:val="single" w:sz="4" w:space="0" w:color="auto"/>
            </w:tcBorders>
            <w:shd w:val="clear" w:color="auto" w:fill="auto"/>
            <w:vAlign w:val="bottom"/>
          </w:tcPr>
          <w:p w14:paraId="4805392B" w14:textId="1E592BE2" w:rsidR="00221DD4" w:rsidRPr="00F464FA" w:rsidRDefault="00221DD4" w:rsidP="002E68F1">
            <w:pPr>
              <w:pStyle w:val="SingleTxtG"/>
              <w:tabs>
                <w:tab w:val="clear" w:pos="1701"/>
                <w:tab w:val="clear" w:pos="2268"/>
              </w:tabs>
              <w:suppressAutoHyphens w:val="0"/>
              <w:spacing w:before="40" w:after="40" w:line="220" w:lineRule="exact"/>
              <w:ind w:left="0" w:right="113"/>
              <w:jc w:val="right"/>
              <w:rPr>
                <w:sz w:val="18"/>
              </w:rPr>
            </w:pPr>
            <w:r w:rsidRPr="00F464FA">
              <w:rPr>
                <w:sz w:val="18"/>
              </w:rPr>
              <w:t>52</w:t>
            </w:r>
            <w:r w:rsidR="00E25709" w:rsidRPr="00F464FA">
              <w:rPr>
                <w:sz w:val="18"/>
              </w:rPr>
              <w:t xml:space="preserve"> </w:t>
            </w:r>
            <w:r w:rsidRPr="00F464FA">
              <w:rPr>
                <w:sz w:val="18"/>
              </w:rPr>
              <w:t>168</w:t>
            </w:r>
          </w:p>
        </w:tc>
        <w:tc>
          <w:tcPr>
            <w:tcW w:w="2441" w:type="dxa"/>
            <w:tcBorders>
              <w:bottom w:val="single" w:sz="4" w:space="0" w:color="auto"/>
            </w:tcBorders>
            <w:shd w:val="clear" w:color="auto" w:fill="auto"/>
            <w:vAlign w:val="bottom"/>
          </w:tcPr>
          <w:p w14:paraId="0B6F0BC7" w14:textId="2207D2EE" w:rsidR="00221DD4" w:rsidRPr="00F464FA" w:rsidRDefault="00221DD4" w:rsidP="002E68F1">
            <w:pPr>
              <w:pStyle w:val="SingleTxtG"/>
              <w:tabs>
                <w:tab w:val="clear" w:pos="1701"/>
                <w:tab w:val="clear" w:pos="2268"/>
              </w:tabs>
              <w:suppressAutoHyphens w:val="0"/>
              <w:spacing w:before="40" w:after="40" w:line="220" w:lineRule="exact"/>
              <w:ind w:left="0" w:right="113"/>
              <w:jc w:val="right"/>
              <w:rPr>
                <w:sz w:val="18"/>
              </w:rPr>
            </w:pPr>
            <w:r w:rsidRPr="00F464FA">
              <w:rPr>
                <w:sz w:val="18"/>
              </w:rPr>
              <w:t>64</w:t>
            </w:r>
            <w:r w:rsidR="00E25709" w:rsidRPr="00F464FA">
              <w:rPr>
                <w:sz w:val="18"/>
              </w:rPr>
              <w:t xml:space="preserve"> </w:t>
            </w:r>
            <w:r w:rsidRPr="00F464FA">
              <w:rPr>
                <w:sz w:val="18"/>
              </w:rPr>
              <w:t>586</w:t>
            </w:r>
          </w:p>
        </w:tc>
      </w:tr>
      <w:tr w:rsidR="00221DD4" w:rsidRPr="00F464FA" w14:paraId="71FE60FD" w14:textId="77777777" w:rsidTr="00E25709">
        <w:tc>
          <w:tcPr>
            <w:tcW w:w="2377" w:type="dxa"/>
            <w:tcBorders>
              <w:top w:val="single" w:sz="4" w:space="0" w:color="auto"/>
            </w:tcBorders>
            <w:shd w:val="clear" w:color="auto" w:fill="auto"/>
          </w:tcPr>
          <w:p w14:paraId="74E57D02" w14:textId="77777777" w:rsidR="00221DD4" w:rsidRPr="00F464FA" w:rsidRDefault="00221DD4" w:rsidP="00E25709">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Total</w:t>
            </w:r>
          </w:p>
        </w:tc>
        <w:tc>
          <w:tcPr>
            <w:tcW w:w="2552" w:type="dxa"/>
            <w:tcBorders>
              <w:top w:val="single" w:sz="4" w:space="0" w:color="auto"/>
            </w:tcBorders>
            <w:shd w:val="clear" w:color="auto" w:fill="auto"/>
            <w:vAlign w:val="bottom"/>
          </w:tcPr>
          <w:p w14:paraId="22F9BC86" w14:textId="5ADA5904" w:rsidR="00221DD4" w:rsidRPr="00F464FA" w:rsidRDefault="00221DD4" w:rsidP="00E25709">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137</w:t>
            </w:r>
            <w:r w:rsidR="00E25709" w:rsidRPr="00F464FA">
              <w:rPr>
                <w:b/>
                <w:bCs/>
                <w:sz w:val="18"/>
              </w:rPr>
              <w:t xml:space="preserve"> </w:t>
            </w:r>
            <w:r w:rsidRPr="00F464FA">
              <w:rPr>
                <w:b/>
                <w:bCs/>
                <w:sz w:val="18"/>
              </w:rPr>
              <w:t>428</w:t>
            </w:r>
          </w:p>
        </w:tc>
        <w:tc>
          <w:tcPr>
            <w:tcW w:w="2441" w:type="dxa"/>
            <w:tcBorders>
              <w:top w:val="single" w:sz="4" w:space="0" w:color="auto"/>
            </w:tcBorders>
            <w:shd w:val="clear" w:color="auto" w:fill="auto"/>
            <w:vAlign w:val="bottom"/>
          </w:tcPr>
          <w:p w14:paraId="61C231D3" w14:textId="5ED58F8B" w:rsidR="00221DD4" w:rsidRPr="00F464FA" w:rsidRDefault="00221DD4" w:rsidP="00E25709">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165</w:t>
            </w:r>
            <w:r w:rsidR="00E25709" w:rsidRPr="00F464FA">
              <w:rPr>
                <w:b/>
                <w:bCs/>
                <w:sz w:val="18"/>
              </w:rPr>
              <w:t xml:space="preserve"> </w:t>
            </w:r>
            <w:r w:rsidRPr="00F464FA">
              <w:rPr>
                <w:b/>
                <w:bCs/>
                <w:sz w:val="18"/>
              </w:rPr>
              <w:t>879</w:t>
            </w:r>
          </w:p>
        </w:tc>
      </w:tr>
    </w:tbl>
    <w:p w14:paraId="46DBB4FC" w14:textId="5215CB4D" w:rsidR="00221DD4" w:rsidRPr="00F464FA" w:rsidRDefault="00221DD4" w:rsidP="00C86788">
      <w:pPr>
        <w:spacing w:before="120" w:after="240"/>
        <w:ind w:left="1134" w:right="1134" w:firstLine="170"/>
        <w:rPr>
          <w:sz w:val="18"/>
        </w:rPr>
      </w:pPr>
      <w:bookmarkStart w:id="26" w:name="_Hlk87536952"/>
      <w:r w:rsidRPr="00F464FA">
        <w:rPr>
          <w:i/>
          <w:iCs/>
          <w:sz w:val="18"/>
        </w:rPr>
        <w:t>Source:</w:t>
      </w:r>
      <w:r w:rsidRPr="00F464FA">
        <w:rPr>
          <w:sz w:val="18"/>
        </w:rPr>
        <w:t xml:space="preserve"> Malawi Poverty Report 2020</w:t>
      </w:r>
      <w:r w:rsidR="00C86788" w:rsidRPr="00F464FA">
        <w:rPr>
          <w:sz w:val="18"/>
        </w:rPr>
        <w:t>.</w:t>
      </w:r>
    </w:p>
    <w:p w14:paraId="75BAF0C0" w14:textId="77777777" w:rsidR="00221DD4" w:rsidRPr="00F464FA" w:rsidRDefault="00221DD4" w:rsidP="00221DD4">
      <w:pPr>
        <w:pStyle w:val="SingleTxtG"/>
        <w:rPr>
          <w:bCs/>
        </w:rPr>
      </w:pPr>
      <w:r w:rsidRPr="00F464FA">
        <w:rPr>
          <w:bCs/>
        </w:rPr>
        <w:t>61.</w:t>
      </w:r>
      <w:r w:rsidRPr="00F464FA">
        <w:rPr>
          <w:bCs/>
        </w:rPr>
        <w:tab/>
        <w:t xml:space="preserve">The Malawi Poverty Report, 2020 </w:t>
      </w:r>
      <w:bookmarkEnd w:id="26"/>
      <w:r w:rsidRPr="00F464FA">
        <w:rPr>
          <w:bCs/>
        </w:rPr>
        <w:t>further indicates that the proportion of the population that was poor reduced from 51.5% in 2016/2017 to 50.7% 2019/2020. This means that slightly over half of the population in Malawi lived in poverty.</w:t>
      </w:r>
    </w:p>
    <w:p w14:paraId="1FB2E159" w14:textId="77777777" w:rsidR="00221DD4" w:rsidRPr="00F464FA" w:rsidRDefault="00221DD4" w:rsidP="00221DD4">
      <w:pPr>
        <w:pStyle w:val="SingleTxtG"/>
        <w:rPr>
          <w:bCs/>
        </w:rPr>
      </w:pPr>
      <w:r w:rsidRPr="00F464FA">
        <w:rPr>
          <w:bCs/>
        </w:rPr>
        <w:t>62.</w:t>
      </w:r>
      <w:r w:rsidRPr="00F464FA">
        <w:rPr>
          <w:bCs/>
        </w:rPr>
        <w:tab/>
        <w:t>The Malawi Poverty Report, 2020, also shows that 56.6% of people from rural areas were poor compared to 19.2% in urban areas in 2019/2020. The proportion of the population that was poor in urban areas was higher in 2019/2020 at 19.2% than 17.7% in 2016/2017.</w:t>
      </w:r>
    </w:p>
    <w:p w14:paraId="2C7BE6E1" w14:textId="77777777" w:rsidR="00221DD4" w:rsidRPr="00F464FA" w:rsidRDefault="00221DD4" w:rsidP="00221DD4">
      <w:pPr>
        <w:pStyle w:val="SingleTxtG"/>
        <w:rPr>
          <w:bCs/>
        </w:rPr>
      </w:pPr>
      <w:r w:rsidRPr="00F464FA">
        <w:rPr>
          <w:bCs/>
        </w:rPr>
        <w:t>63.</w:t>
      </w:r>
      <w:r w:rsidRPr="00F464FA">
        <w:rPr>
          <w:bCs/>
        </w:rPr>
        <w:tab/>
        <w:t>The Report also makes an analysis of poverty levels by sex of household head. The report shows that 56.8% of people in female-headed households were poor in 2019/2020 compared to 48.5% in male-headed households. The proportion of people that were poor in female-headed households decreased from 58.3% in 2016/2017 to 56.8% in 2019/2020.</w:t>
      </w:r>
    </w:p>
    <w:p w14:paraId="28550D85" w14:textId="38747E01" w:rsidR="00221DD4" w:rsidRPr="00F464FA" w:rsidRDefault="00221DD4" w:rsidP="00221DD4">
      <w:pPr>
        <w:pStyle w:val="SingleTxtG"/>
        <w:rPr>
          <w:bCs/>
        </w:rPr>
      </w:pPr>
      <w:r w:rsidRPr="00F464FA">
        <w:rPr>
          <w:bCs/>
        </w:rPr>
        <w:t>64.</w:t>
      </w:r>
      <w:r w:rsidRPr="00F464FA">
        <w:rPr>
          <w:bCs/>
        </w:rPr>
        <w:tab/>
        <w:t xml:space="preserve">To alleviate the poverty levels in Malawi, the </w:t>
      </w:r>
      <w:bookmarkStart w:id="27" w:name="_Hlk41562416"/>
      <w:bookmarkStart w:id="28" w:name="_Hlk40146853"/>
      <w:r w:rsidRPr="00F464FA">
        <w:rPr>
          <w:bCs/>
        </w:rPr>
        <w:t xml:space="preserve">National Social Support Policy (NSSP) </w:t>
      </w:r>
      <w:bookmarkEnd w:id="27"/>
      <w:r w:rsidRPr="00F464FA">
        <w:rPr>
          <w:bCs/>
        </w:rPr>
        <w:t xml:space="preserve">(2012) and </w:t>
      </w:r>
      <w:bookmarkStart w:id="29" w:name="_Hlk41562443"/>
      <w:r w:rsidRPr="00F464FA">
        <w:rPr>
          <w:bCs/>
        </w:rPr>
        <w:t>Malawi National Social Support Programme (MNSSP)</w:t>
      </w:r>
      <w:bookmarkEnd w:id="29"/>
      <w:r w:rsidRPr="00F464FA">
        <w:rPr>
          <w:bCs/>
        </w:rPr>
        <w:t xml:space="preserve"> </w:t>
      </w:r>
      <w:bookmarkEnd w:id="28"/>
      <w:r w:rsidRPr="00F464FA">
        <w:rPr>
          <w:bCs/>
        </w:rPr>
        <w:t>I (2012) set the building blocks of the country’s strategy in the field of social protection in Malawi. However, despite having these policies, the approach to implementing social protection programmes has not been harmonised and coordination under a comprehensive guiding vision was not fully achieved. Lack of a comprehensive vision of social development and weak institutional capacities have led to gaps in the delivery of social services and entitlements.</w:t>
      </w:r>
    </w:p>
    <w:p w14:paraId="61F4819A" w14:textId="6812C587" w:rsidR="00221DD4" w:rsidRPr="00F464FA" w:rsidRDefault="00221DD4" w:rsidP="00221DD4">
      <w:pPr>
        <w:pStyle w:val="SingleTxtG"/>
        <w:rPr>
          <w:bCs/>
        </w:rPr>
      </w:pPr>
      <w:r w:rsidRPr="00F464FA">
        <w:rPr>
          <w:bCs/>
        </w:rPr>
        <w:t>65.</w:t>
      </w:r>
      <w:r w:rsidRPr="00F464FA">
        <w:rPr>
          <w:bCs/>
        </w:rPr>
        <w:tab/>
        <w:t>The NSSP emphasizes the need to provide a holistic framework for designing, implementing, coordinating, monitoring and evaluating social support interventions. In line with this, crucial measures recommended for implementation to ensure social protection and inclusion include:</w:t>
      </w:r>
    </w:p>
    <w:p w14:paraId="7C1CEC6C" w14:textId="3330ABBA" w:rsidR="00221DD4" w:rsidRPr="00F464FA" w:rsidRDefault="008B29EE" w:rsidP="008B29EE">
      <w:pPr>
        <w:pStyle w:val="SingleTxtG"/>
        <w:rPr>
          <w:bCs/>
        </w:rPr>
      </w:pPr>
      <w:r w:rsidRPr="00F464FA">
        <w:rPr>
          <w:bCs/>
        </w:rPr>
        <w:lastRenderedPageBreak/>
        <w:tab/>
      </w:r>
      <w:r w:rsidR="00221DD4" w:rsidRPr="00F464FA">
        <w:rPr>
          <w:bCs/>
        </w:rPr>
        <w:t>(a)</w:t>
      </w:r>
      <w:r w:rsidR="00221DD4" w:rsidRPr="00F464FA">
        <w:rPr>
          <w:bCs/>
        </w:rPr>
        <w:tab/>
        <w:t>Preparing a comprehensive national social protection framework;</w:t>
      </w:r>
    </w:p>
    <w:p w14:paraId="7CA6F89F" w14:textId="6D38D6AF" w:rsidR="00221DD4" w:rsidRPr="00F464FA" w:rsidRDefault="008B29EE" w:rsidP="008B29EE">
      <w:pPr>
        <w:pStyle w:val="SingleTxtG"/>
        <w:rPr>
          <w:bCs/>
        </w:rPr>
      </w:pPr>
      <w:r w:rsidRPr="00F464FA">
        <w:rPr>
          <w:bCs/>
        </w:rPr>
        <w:tab/>
      </w:r>
      <w:r w:rsidR="00221DD4" w:rsidRPr="00F464FA">
        <w:rPr>
          <w:bCs/>
        </w:rPr>
        <w:t>(b)</w:t>
      </w:r>
      <w:r w:rsidR="00221DD4" w:rsidRPr="00F464FA">
        <w:rPr>
          <w:bCs/>
        </w:rPr>
        <w:tab/>
        <w:t>Strengthening coordination of social sector policies and programmes across sectors;</w:t>
      </w:r>
    </w:p>
    <w:p w14:paraId="2C9CE2AD" w14:textId="3890E8CB" w:rsidR="00221DD4" w:rsidRPr="00F464FA" w:rsidRDefault="008B29EE" w:rsidP="008B29EE">
      <w:pPr>
        <w:pStyle w:val="SingleTxtG"/>
        <w:rPr>
          <w:bCs/>
        </w:rPr>
      </w:pPr>
      <w:r w:rsidRPr="00F464FA">
        <w:rPr>
          <w:bCs/>
        </w:rPr>
        <w:tab/>
      </w:r>
      <w:r w:rsidR="00221DD4" w:rsidRPr="00F464FA">
        <w:rPr>
          <w:bCs/>
        </w:rPr>
        <w:t>(c)</w:t>
      </w:r>
      <w:r w:rsidR="00221DD4" w:rsidRPr="00F464FA">
        <w:rPr>
          <w:bCs/>
        </w:rPr>
        <w:tab/>
        <w:t>Providing adequate resources or social protection;</w:t>
      </w:r>
    </w:p>
    <w:p w14:paraId="19B0C484" w14:textId="2A3F78E8" w:rsidR="00221DD4" w:rsidRPr="00F464FA" w:rsidRDefault="008B29EE" w:rsidP="008B29EE">
      <w:pPr>
        <w:pStyle w:val="SingleTxtG"/>
        <w:rPr>
          <w:bCs/>
        </w:rPr>
      </w:pPr>
      <w:r w:rsidRPr="00F464FA">
        <w:rPr>
          <w:bCs/>
        </w:rPr>
        <w:tab/>
      </w:r>
      <w:r w:rsidR="00221DD4" w:rsidRPr="00F464FA">
        <w:rPr>
          <w:bCs/>
        </w:rPr>
        <w:t>(d)</w:t>
      </w:r>
      <w:r w:rsidR="00221DD4" w:rsidRPr="00F464FA">
        <w:rPr>
          <w:bCs/>
        </w:rPr>
        <w:tab/>
        <w:t>Extending social protection coverage to a large number of beneficiaries;</w:t>
      </w:r>
    </w:p>
    <w:p w14:paraId="2D6FC23D" w14:textId="14D1EB14" w:rsidR="00221DD4" w:rsidRPr="00F464FA" w:rsidRDefault="008B29EE" w:rsidP="008B29EE">
      <w:pPr>
        <w:pStyle w:val="SingleTxtG"/>
        <w:rPr>
          <w:bCs/>
        </w:rPr>
      </w:pPr>
      <w:r w:rsidRPr="00F464FA">
        <w:rPr>
          <w:bCs/>
        </w:rPr>
        <w:tab/>
      </w:r>
      <w:r w:rsidR="00221DD4" w:rsidRPr="00F464FA">
        <w:rPr>
          <w:bCs/>
        </w:rPr>
        <w:t>(e)</w:t>
      </w:r>
      <w:r w:rsidR="00221DD4" w:rsidRPr="00F464FA">
        <w:rPr>
          <w:bCs/>
        </w:rPr>
        <w:tab/>
        <w:t>Improving targeting of existing social protection programmes;</w:t>
      </w:r>
    </w:p>
    <w:p w14:paraId="337B602C" w14:textId="54340C92" w:rsidR="00221DD4" w:rsidRPr="00F464FA" w:rsidRDefault="008B29EE" w:rsidP="008B29EE">
      <w:pPr>
        <w:pStyle w:val="SingleTxtG"/>
        <w:rPr>
          <w:bCs/>
        </w:rPr>
      </w:pPr>
      <w:r w:rsidRPr="00F464FA">
        <w:rPr>
          <w:bCs/>
        </w:rPr>
        <w:tab/>
      </w:r>
      <w:r w:rsidR="00221DD4" w:rsidRPr="00F464FA">
        <w:rPr>
          <w:bCs/>
        </w:rPr>
        <w:t>(f)</w:t>
      </w:r>
      <w:r w:rsidR="00221DD4" w:rsidRPr="00F464FA">
        <w:rPr>
          <w:bCs/>
        </w:rPr>
        <w:tab/>
        <w:t>Mainstreaming social protection into sector and district planning; and</w:t>
      </w:r>
    </w:p>
    <w:p w14:paraId="1F2552CD" w14:textId="6BD3209E" w:rsidR="00221DD4" w:rsidRPr="00F464FA" w:rsidRDefault="008B29EE" w:rsidP="008B29EE">
      <w:pPr>
        <w:pStyle w:val="SingleTxtG"/>
        <w:rPr>
          <w:bCs/>
        </w:rPr>
      </w:pPr>
      <w:r w:rsidRPr="00F464FA">
        <w:rPr>
          <w:bCs/>
        </w:rPr>
        <w:tab/>
      </w:r>
      <w:r w:rsidR="00221DD4" w:rsidRPr="00F464FA">
        <w:rPr>
          <w:bCs/>
        </w:rPr>
        <w:t>(g)</w:t>
      </w:r>
      <w:r w:rsidR="00221DD4" w:rsidRPr="00F464FA">
        <w:rPr>
          <w:bCs/>
        </w:rPr>
        <w:tab/>
        <w:t>Strengthening monitoring of social protection programmes.</w:t>
      </w:r>
    </w:p>
    <w:p w14:paraId="75E63BA4" w14:textId="77777777" w:rsidR="00221DD4" w:rsidRPr="00F464FA" w:rsidRDefault="00221DD4" w:rsidP="00221DD4">
      <w:pPr>
        <w:pStyle w:val="SingleTxtG"/>
        <w:rPr>
          <w:bCs/>
        </w:rPr>
      </w:pPr>
      <w:r w:rsidRPr="00F464FA">
        <w:rPr>
          <w:bCs/>
        </w:rPr>
        <w:t>66.</w:t>
      </w:r>
      <w:r w:rsidRPr="00F464FA">
        <w:rPr>
          <w:bCs/>
        </w:rPr>
        <w:tab/>
        <w:t>The Malawi National Support Programme II (MNSSP II) (2018-2023) builds on the objectives of the NSSP and MNSSP I. The Programme is organized around thematic priority areas and provides guidance on promoting linkages, strengthening systems and improving monitoring activities. The priority support areas include:</w:t>
      </w:r>
    </w:p>
    <w:p w14:paraId="1C8AF31F" w14:textId="5C0CB6C1" w:rsidR="00221DD4" w:rsidRPr="00F464FA" w:rsidRDefault="00A74629" w:rsidP="00A74629">
      <w:pPr>
        <w:pStyle w:val="SingleTxtG"/>
        <w:rPr>
          <w:bCs/>
        </w:rPr>
      </w:pPr>
      <w:r w:rsidRPr="00F464FA">
        <w:rPr>
          <w:bCs/>
        </w:rPr>
        <w:tab/>
      </w:r>
      <w:r w:rsidR="00221DD4" w:rsidRPr="00F464FA">
        <w:rPr>
          <w:bCs/>
        </w:rPr>
        <w:t>(a)</w:t>
      </w:r>
      <w:r w:rsidR="00221DD4" w:rsidRPr="00F464FA">
        <w:rPr>
          <w:bCs/>
        </w:rPr>
        <w:tab/>
        <w:t>Consumption support – The provision of consumption support through timely, predictable and adequate cash and/or in-kind transfers to poor and vulnerable people throughout their life cycles;</w:t>
      </w:r>
    </w:p>
    <w:p w14:paraId="199DBF82" w14:textId="3F86B285" w:rsidR="00221DD4" w:rsidRPr="00F464FA" w:rsidRDefault="00A74629" w:rsidP="00A74629">
      <w:pPr>
        <w:pStyle w:val="SingleTxtG"/>
        <w:rPr>
          <w:bCs/>
        </w:rPr>
      </w:pPr>
      <w:r w:rsidRPr="00F464FA">
        <w:rPr>
          <w:bCs/>
        </w:rPr>
        <w:tab/>
      </w:r>
      <w:r w:rsidR="00221DD4" w:rsidRPr="00F464FA">
        <w:rPr>
          <w:bCs/>
        </w:rPr>
        <w:t>(b)</w:t>
      </w:r>
      <w:r w:rsidR="00221DD4" w:rsidRPr="00F464FA">
        <w:rPr>
          <w:bCs/>
        </w:rPr>
        <w:tab/>
        <w:t xml:space="preserve">Resilient livelihoods – Promoting resilient livelihoods through tailored packages based on individual, household, and community needs via poverty graduation pathways and inter-programme linkages and by facilitating access to and the utilisation of services beyond the MNSSP II programmes; </w:t>
      </w:r>
    </w:p>
    <w:p w14:paraId="53C8B07F" w14:textId="2D7B6B43" w:rsidR="00221DD4" w:rsidRPr="00F464FA" w:rsidRDefault="00A74629" w:rsidP="00A74629">
      <w:pPr>
        <w:pStyle w:val="SingleTxtG"/>
        <w:rPr>
          <w:bCs/>
        </w:rPr>
      </w:pPr>
      <w:r w:rsidRPr="00F464FA">
        <w:rPr>
          <w:bCs/>
        </w:rPr>
        <w:tab/>
      </w:r>
      <w:r w:rsidR="00221DD4" w:rsidRPr="00F464FA">
        <w:rPr>
          <w:bCs/>
        </w:rPr>
        <w:t>(c)</w:t>
      </w:r>
      <w:r w:rsidR="00221DD4" w:rsidRPr="00F464FA">
        <w:rPr>
          <w:bCs/>
        </w:rPr>
        <w:tab/>
        <w:t>Shock-sensitive social protection – The development of a shock-sensitive social protection system that meets seasonal needs, prepares for and responds to unpredictable shocks in cooperation with the humanitarian sector and supports recovery and the return to regular programming.</w:t>
      </w:r>
    </w:p>
    <w:p w14:paraId="5527E2E9" w14:textId="6ECC01D9" w:rsidR="00221DD4" w:rsidRPr="00F464FA" w:rsidRDefault="00221DD4" w:rsidP="00221DD4">
      <w:pPr>
        <w:pStyle w:val="SingleTxtG"/>
        <w:rPr>
          <w:bCs/>
        </w:rPr>
      </w:pPr>
      <w:r w:rsidRPr="00F464FA">
        <w:rPr>
          <w:bCs/>
        </w:rPr>
        <w:t>67.</w:t>
      </w:r>
      <w:r w:rsidRPr="00F464FA">
        <w:rPr>
          <w:bCs/>
        </w:rPr>
        <w:tab/>
        <w:t>Various social protection schemes and programmes exist in Malawi, implemented using a range of different mechanisms. Some of these programmes are embedded in long-term strategic plans, implemented nationwide and financed through the Government’s consolidated budget. Quite a few are of a short-term nature, or limited in geographical and personal coverage, and based on a volatile and insecure resource base. The various programmes use different mechanisms to deliver the income transfer or service to different population groups. The following categories may be distinguished:</w:t>
      </w:r>
    </w:p>
    <w:p w14:paraId="7638D843" w14:textId="49306E13" w:rsidR="00221DD4" w:rsidRPr="00F464FA" w:rsidRDefault="004F243F" w:rsidP="004F243F">
      <w:pPr>
        <w:pStyle w:val="SingleTxtG"/>
        <w:rPr>
          <w:bCs/>
        </w:rPr>
      </w:pPr>
      <w:r w:rsidRPr="00F464FA">
        <w:rPr>
          <w:bCs/>
        </w:rPr>
        <w:tab/>
      </w:r>
      <w:r w:rsidR="00221DD4" w:rsidRPr="00F464FA">
        <w:rPr>
          <w:bCs/>
        </w:rPr>
        <w:t>(a)</w:t>
      </w:r>
      <w:r w:rsidR="00221DD4" w:rsidRPr="00F464FA">
        <w:rPr>
          <w:bCs/>
        </w:rPr>
        <w:tab/>
        <w:t>Cash transfer programs directed to households or individuals;</w:t>
      </w:r>
    </w:p>
    <w:p w14:paraId="7DCD7773" w14:textId="6A0BC5C4" w:rsidR="00221DD4" w:rsidRPr="00F464FA" w:rsidRDefault="004F243F" w:rsidP="004F243F">
      <w:pPr>
        <w:pStyle w:val="SingleTxtG"/>
        <w:rPr>
          <w:bCs/>
        </w:rPr>
      </w:pPr>
      <w:r w:rsidRPr="00F464FA">
        <w:rPr>
          <w:bCs/>
        </w:rPr>
        <w:tab/>
      </w:r>
      <w:r w:rsidR="00221DD4" w:rsidRPr="00F464FA">
        <w:rPr>
          <w:bCs/>
        </w:rPr>
        <w:t>(b)</w:t>
      </w:r>
      <w:r w:rsidR="00221DD4" w:rsidRPr="00F464FA">
        <w:rPr>
          <w:bCs/>
        </w:rPr>
        <w:tab/>
        <w:t>In kind transfers to households or individuals aiming at facilitating access to health and education;</w:t>
      </w:r>
    </w:p>
    <w:p w14:paraId="4E6C7362" w14:textId="60AEE012" w:rsidR="00221DD4" w:rsidRPr="00F464FA" w:rsidRDefault="004F243F" w:rsidP="004F243F">
      <w:pPr>
        <w:pStyle w:val="SingleTxtG"/>
        <w:rPr>
          <w:bCs/>
        </w:rPr>
      </w:pPr>
      <w:r w:rsidRPr="00F464FA">
        <w:rPr>
          <w:bCs/>
        </w:rPr>
        <w:tab/>
      </w:r>
      <w:r w:rsidR="00221DD4" w:rsidRPr="00F464FA">
        <w:rPr>
          <w:bCs/>
        </w:rPr>
        <w:t>(c)</w:t>
      </w:r>
      <w:r w:rsidR="00221DD4" w:rsidRPr="00F464FA">
        <w:rPr>
          <w:bCs/>
        </w:rPr>
        <w:tab/>
        <w:t>Active labour market programmes; and</w:t>
      </w:r>
    </w:p>
    <w:p w14:paraId="31935324" w14:textId="2FD6F3A6" w:rsidR="00221DD4" w:rsidRPr="00F464FA" w:rsidRDefault="004F243F" w:rsidP="004F243F">
      <w:pPr>
        <w:pStyle w:val="SingleTxtG"/>
        <w:rPr>
          <w:bCs/>
        </w:rPr>
      </w:pPr>
      <w:r w:rsidRPr="00F464FA">
        <w:rPr>
          <w:bCs/>
        </w:rPr>
        <w:tab/>
      </w:r>
      <w:r w:rsidR="00221DD4" w:rsidRPr="00F464FA">
        <w:rPr>
          <w:bCs/>
        </w:rPr>
        <w:t>(d)</w:t>
      </w:r>
      <w:r w:rsidR="00221DD4" w:rsidRPr="00F464FA">
        <w:rPr>
          <w:bCs/>
        </w:rPr>
        <w:tab/>
        <w:t>Subsidies – either to producers or consumers of certain goods or services.</w:t>
      </w:r>
    </w:p>
    <w:p w14:paraId="7BE94C10" w14:textId="2A7B05EE" w:rsidR="00221DD4" w:rsidRPr="00F464FA" w:rsidRDefault="00AC626D" w:rsidP="00355030">
      <w:pPr>
        <w:pStyle w:val="H23G"/>
        <w:rPr>
          <w:lang w:val="en-GB"/>
        </w:rPr>
      </w:pPr>
      <w:bookmarkStart w:id="30" w:name="_Hlk41563890"/>
      <w:r w:rsidRPr="00F464FA">
        <w:rPr>
          <w:lang w:val="en-GB"/>
        </w:rPr>
        <w:tab/>
      </w:r>
      <w:r w:rsidRPr="00F464FA">
        <w:rPr>
          <w:lang w:val="en-GB"/>
        </w:rPr>
        <w:tab/>
      </w:r>
      <w:r w:rsidR="00221DD4" w:rsidRPr="00F464FA">
        <w:rPr>
          <w:lang w:val="en-GB"/>
        </w:rPr>
        <w:t>Social Cash Transfer Programme (SCTP)</w:t>
      </w:r>
    </w:p>
    <w:p w14:paraId="401806A9" w14:textId="77777777" w:rsidR="00221DD4" w:rsidRPr="00F464FA" w:rsidRDefault="00221DD4" w:rsidP="00221DD4">
      <w:pPr>
        <w:pStyle w:val="SingleTxtG"/>
        <w:rPr>
          <w:bCs/>
        </w:rPr>
      </w:pPr>
      <w:bookmarkStart w:id="31" w:name="_Hlk43360703"/>
      <w:bookmarkEnd w:id="30"/>
      <w:r w:rsidRPr="00F464FA">
        <w:rPr>
          <w:bCs/>
        </w:rPr>
        <w:t>68.</w:t>
      </w:r>
      <w:r w:rsidRPr="00F464FA">
        <w:rPr>
          <w:bCs/>
        </w:rPr>
        <w:tab/>
        <w:t xml:space="preserve">The Government through the </w:t>
      </w:r>
      <w:bookmarkStart w:id="32" w:name="_Hlk63776764"/>
      <w:r w:rsidRPr="00F464FA">
        <w:rPr>
          <w:bCs/>
        </w:rPr>
        <w:t>Ministry of Gender, Community Development and Social Welfare (</w:t>
      </w:r>
      <w:proofErr w:type="spellStart"/>
      <w:r w:rsidRPr="00F464FA">
        <w:rPr>
          <w:bCs/>
        </w:rPr>
        <w:t>MoGCDSW</w:t>
      </w:r>
      <w:proofErr w:type="spellEnd"/>
      <w:r w:rsidRPr="00F464FA">
        <w:rPr>
          <w:bCs/>
        </w:rPr>
        <w:t xml:space="preserve">) </w:t>
      </w:r>
      <w:bookmarkEnd w:id="32"/>
      <w:r w:rsidRPr="00F464FA">
        <w:rPr>
          <w:bCs/>
        </w:rPr>
        <w:t xml:space="preserve">with the assistance of development partners put in place the SCTP. It is an unconditional cash transfer programme targeting the ultra-poor, labour-constrained households in order to inter alia, alleviate children turning to labour to help support their families. The programme began as a pilot in </w:t>
      </w:r>
      <w:proofErr w:type="spellStart"/>
      <w:r w:rsidRPr="00F464FA">
        <w:rPr>
          <w:bCs/>
        </w:rPr>
        <w:t>Mchinji</w:t>
      </w:r>
      <w:proofErr w:type="spellEnd"/>
      <w:r w:rsidRPr="00F464FA">
        <w:rPr>
          <w:bCs/>
        </w:rPr>
        <w:t xml:space="preserve"> district in 2006. Since 2009, the programme has expanded to reach 18 out of 28 districts in Malawi. The programme experienced impressive growth beginning from 2012 to 2015. By December 2015, the SCTP had reached over 163,000 beneficiary households. According to the SCTP End-line Impact Evaluation Report of 2016, the SCTP has registered positive effects on reducing child labour, reduced school drop-out rate and increased enrolment of children in schools.</w:t>
      </w:r>
    </w:p>
    <w:bookmarkEnd w:id="31"/>
    <w:p w14:paraId="74C45D2E" w14:textId="08AE8616" w:rsidR="00221DD4" w:rsidRPr="00F464FA" w:rsidRDefault="00221DD4" w:rsidP="00221DD4">
      <w:pPr>
        <w:pStyle w:val="Heading1"/>
        <w:pageBreakBefore/>
      </w:pPr>
      <w:r w:rsidRPr="00F464FA">
        <w:lastRenderedPageBreak/>
        <w:t>Table 12</w:t>
      </w:r>
    </w:p>
    <w:p w14:paraId="2C379B1C" w14:textId="77777777" w:rsidR="00221DD4" w:rsidRPr="00F464FA" w:rsidRDefault="00221DD4" w:rsidP="00221DD4">
      <w:pPr>
        <w:pStyle w:val="SingleTxtG"/>
        <w:spacing w:after="0"/>
        <w:rPr>
          <w:b/>
        </w:rPr>
      </w:pPr>
      <w:r w:rsidRPr="00F464FA">
        <w:rPr>
          <w:b/>
        </w:rPr>
        <w:t>Effects of the SCTP on Child Labour (by percentage)</w:t>
      </w:r>
    </w:p>
    <w:p w14:paraId="6C463C23" w14:textId="77777777" w:rsidR="00221DD4" w:rsidRPr="00F464FA" w:rsidRDefault="00221DD4" w:rsidP="00221DD4">
      <w:pPr>
        <w:pStyle w:val="SingleTxtG"/>
        <w:rPr>
          <w:b/>
        </w:rPr>
      </w:pPr>
      <w:r w:rsidRPr="00F464FA">
        <w:rPr>
          <w:b/>
        </w:rPr>
        <w:t>Overall effects of SCTP on Child Labour</w:t>
      </w:r>
    </w:p>
    <w:p w14:paraId="5D7E090B" w14:textId="77777777" w:rsidR="00221DD4" w:rsidRPr="00F464FA" w:rsidRDefault="00221DD4" w:rsidP="004E38F6">
      <w:pPr>
        <w:pStyle w:val="SingleTxtG"/>
        <w:rPr>
          <w:b/>
        </w:rPr>
      </w:pPr>
      <w:r w:rsidRPr="004E38F6">
        <w:rPr>
          <w:noProof/>
        </w:rPr>
        <w:drawing>
          <wp:inline distT="0" distB="0" distL="0" distR="0" wp14:anchorId="303BC3F5" wp14:editId="7FD96032">
            <wp:extent cx="4589188" cy="33909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93911" cy="3394390"/>
                    </a:xfrm>
                    <a:prstGeom prst="rect">
                      <a:avLst/>
                    </a:prstGeom>
                  </pic:spPr>
                </pic:pic>
              </a:graphicData>
            </a:graphic>
          </wp:inline>
        </w:drawing>
      </w:r>
    </w:p>
    <w:p w14:paraId="472DCE6D" w14:textId="753CA79C" w:rsidR="00221DD4" w:rsidRPr="00F464FA" w:rsidRDefault="00221DD4" w:rsidP="00C56946">
      <w:pPr>
        <w:spacing w:before="120" w:after="240"/>
        <w:ind w:left="1134" w:right="1134" w:firstLine="170"/>
        <w:rPr>
          <w:sz w:val="18"/>
        </w:rPr>
      </w:pPr>
      <w:r w:rsidRPr="00F464FA">
        <w:rPr>
          <w:i/>
          <w:iCs/>
          <w:sz w:val="18"/>
        </w:rPr>
        <w:t>Source:</w:t>
      </w:r>
      <w:r w:rsidRPr="00F464FA">
        <w:rPr>
          <w:sz w:val="18"/>
        </w:rPr>
        <w:t xml:space="preserve"> Malawi Social Cash Transfer Programme </w:t>
      </w:r>
      <w:proofErr w:type="spellStart"/>
      <w:r w:rsidRPr="00F464FA">
        <w:rPr>
          <w:sz w:val="18"/>
        </w:rPr>
        <w:t>Endline</w:t>
      </w:r>
      <w:proofErr w:type="spellEnd"/>
      <w:r w:rsidRPr="00F464FA">
        <w:rPr>
          <w:sz w:val="18"/>
        </w:rPr>
        <w:t xml:space="preserve"> Report</w:t>
      </w:r>
      <w:r w:rsidR="00C56946" w:rsidRPr="00F464FA">
        <w:rPr>
          <w:sz w:val="18"/>
        </w:rPr>
        <w:t>.</w:t>
      </w:r>
    </w:p>
    <w:p w14:paraId="435506DC" w14:textId="43F6E5C6" w:rsidR="00221DD4" w:rsidRPr="00F464FA" w:rsidRDefault="00221DD4" w:rsidP="00221DD4">
      <w:pPr>
        <w:pStyle w:val="Heading1"/>
      </w:pPr>
      <w:r w:rsidRPr="00F464FA">
        <w:t>Table 13</w:t>
      </w:r>
    </w:p>
    <w:p w14:paraId="2FF508E7" w14:textId="545E1907" w:rsidR="00221DD4" w:rsidRPr="00F464FA" w:rsidRDefault="00221DD4" w:rsidP="00221DD4">
      <w:pPr>
        <w:pStyle w:val="SingleTxtG"/>
        <w:rPr>
          <w:b/>
        </w:rPr>
      </w:pPr>
      <w:r w:rsidRPr="00F464FA">
        <w:rPr>
          <w:b/>
        </w:rPr>
        <w:t xml:space="preserve">Social cash transfer Programme household heads and beneficiaries by gender (July 2015) </w:t>
      </w:r>
      <w:r w:rsidR="00C56946" w:rsidRPr="00F464FA">
        <w:rPr>
          <w:b/>
        </w:rPr>
        <w:t>–</w:t>
      </w:r>
      <w:r w:rsidRPr="00F464FA">
        <w:rPr>
          <w:b/>
        </w:rPr>
        <w:t xml:space="preserve"> Social cash transfer household and beneficiary characteristics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7766D6" w:rsidRPr="00F464FA" w14:paraId="0945D31F" w14:textId="77777777" w:rsidTr="007766D6">
        <w:trPr>
          <w:tblHeader/>
        </w:trPr>
        <w:tc>
          <w:tcPr>
            <w:tcW w:w="1474" w:type="dxa"/>
            <w:tcBorders>
              <w:top w:val="single" w:sz="4" w:space="0" w:color="auto"/>
              <w:bottom w:val="single" w:sz="12" w:space="0" w:color="auto"/>
            </w:tcBorders>
            <w:shd w:val="clear" w:color="auto" w:fill="auto"/>
            <w:vAlign w:val="bottom"/>
          </w:tcPr>
          <w:p w14:paraId="19727743" w14:textId="31D0B9DD" w:rsidR="007766D6" w:rsidRPr="00F464FA" w:rsidRDefault="007766D6" w:rsidP="007766D6">
            <w:pPr>
              <w:suppressAutoHyphens w:val="0"/>
              <w:spacing w:before="80" w:after="80" w:line="200" w:lineRule="exact"/>
              <w:ind w:right="113"/>
              <w:rPr>
                <w:i/>
                <w:sz w:val="16"/>
                <w:szCs w:val="24"/>
              </w:rPr>
            </w:pPr>
          </w:p>
        </w:tc>
        <w:tc>
          <w:tcPr>
            <w:tcW w:w="1474" w:type="dxa"/>
            <w:tcBorders>
              <w:top w:val="single" w:sz="4" w:space="0" w:color="auto"/>
              <w:bottom w:val="single" w:sz="12" w:space="0" w:color="auto"/>
            </w:tcBorders>
            <w:shd w:val="clear" w:color="auto" w:fill="auto"/>
            <w:vAlign w:val="bottom"/>
          </w:tcPr>
          <w:p w14:paraId="66635DBB" w14:textId="2F772123" w:rsidR="007766D6" w:rsidRPr="00F464FA" w:rsidRDefault="007766D6" w:rsidP="007766D6">
            <w:pPr>
              <w:suppressAutoHyphens w:val="0"/>
              <w:spacing w:before="80" w:after="80" w:line="200" w:lineRule="exact"/>
              <w:ind w:right="113"/>
              <w:jc w:val="right"/>
              <w:rPr>
                <w:i/>
                <w:sz w:val="16"/>
                <w:szCs w:val="24"/>
              </w:rPr>
            </w:pPr>
            <w:r w:rsidRPr="00F464FA">
              <w:rPr>
                <w:i/>
                <w:sz w:val="16"/>
                <w:szCs w:val="24"/>
              </w:rPr>
              <w:t>Beneficiaries</w:t>
            </w:r>
          </w:p>
        </w:tc>
        <w:tc>
          <w:tcPr>
            <w:tcW w:w="1474" w:type="dxa"/>
            <w:tcBorders>
              <w:top w:val="single" w:sz="4" w:space="0" w:color="auto"/>
              <w:bottom w:val="single" w:sz="12" w:space="0" w:color="auto"/>
            </w:tcBorders>
            <w:shd w:val="clear" w:color="auto" w:fill="auto"/>
            <w:vAlign w:val="bottom"/>
          </w:tcPr>
          <w:p w14:paraId="0D0FCAA5" w14:textId="77777777" w:rsidR="007766D6" w:rsidRPr="00F464FA" w:rsidRDefault="007766D6" w:rsidP="007766D6">
            <w:pPr>
              <w:suppressAutoHyphens w:val="0"/>
              <w:spacing w:before="80" w:after="80" w:line="200" w:lineRule="exact"/>
              <w:ind w:right="113"/>
              <w:jc w:val="right"/>
              <w:rPr>
                <w:i/>
                <w:sz w:val="16"/>
                <w:szCs w:val="24"/>
              </w:rPr>
            </w:pPr>
            <w:r w:rsidRPr="00F464FA">
              <w:rPr>
                <w:i/>
                <w:sz w:val="16"/>
                <w:szCs w:val="24"/>
              </w:rPr>
              <w:t xml:space="preserve">Percentage </w:t>
            </w:r>
          </w:p>
        </w:tc>
        <w:tc>
          <w:tcPr>
            <w:tcW w:w="1474" w:type="dxa"/>
            <w:tcBorders>
              <w:top w:val="single" w:sz="4" w:space="0" w:color="auto"/>
              <w:bottom w:val="single" w:sz="12" w:space="0" w:color="auto"/>
            </w:tcBorders>
            <w:shd w:val="clear" w:color="auto" w:fill="auto"/>
            <w:vAlign w:val="bottom"/>
          </w:tcPr>
          <w:p w14:paraId="31DDCB26" w14:textId="77777777" w:rsidR="007766D6" w:rsidRPr="00F464FA" w:rsidRDefault="007766D6" w:rsidP="007766D6">
            <w:pPr>
              <w:suppressAutoHyphens w:val="0"/>
              <w:spacing w:before="80" w:after="80" w:line="200" w:lineRule="exact"/>
              <w:ind w:right="113"/>
              <w:jc w:val="right"/>
              <w:rPr>
                <w:i/>
                <w:sz w:val="16"/>
                <w:szCs w:val="24"/>
              </w:rPr>
            </w:pPr>
            <w:r w:rsidRPr="00F464FA">
              <w:rPr>
                <w:i/>
                <w:sz w:val="16"/>
                <w:szCs w:val="24"/>
              </w:rPr>
              <w:t xml:space="preserve">Household head </w:t>
            </w:r>
          </w:p>
        </w:tc>
        <w:tc>
          <w:tcPr>
            <w:tcW w:w="1474" w:type="dxa"/>
            <w:tcBorders>
              <w:top w:val="single" w:sz="4" w:space="0" w:color="auto"/>
              <w:bottom w:val="single" w:sz="12" w:space="0" w:color="auto"/>
            </w:tcBorders>
            <w:shd w:val="clear" w:color="auto" w:fill="auto"/>
            <w:vAlign w:val="bottom"/>
          </w:tcPr>
          <w:p w14:paraId="24C734EB" w14:textId="77777777" w:rsidR="007766D6" w:rsidRPr="00F464FA" w:rsidRDefault="007766D6" w:rsidP="007766D6">
            <w:pPr>
              <w:suppressAutoHyphens w:val="0"/>
              <w:spacing w:before="80" w:after="80" w:line="200" w:lineRule="exact"/>
              <w:ind w:right="113"/>
              <w:jc w:val="right"/>
              <w:rPr>
                <w:i/>
                <w:sz w:val="16"/>
                <w:szCs w:val="24"/>
              </w:rPr>
            </w:pPr>
            <w:r w:rsidRPr="00F464FA">
              <w:rPr>
                <w:i/>
                <w:sz w:val="16"/>
                <w:szCs w:val="24"/>
              </w:rPr>
              <w:t xml:space="preserve">Percentage </w:t>
            </w:r>
          </w:p>
        </w:tc>
      </w:tr>
      <w:tr w:rsidR="00221DD4" w:rsidRPr="00F464FA" w14:paraId="1610543E" w14:textId="77777777" w:rsidTr="007766D6">
        <w:tc>
          <w:tcPr>
            <w:tcW w:w="1474" w:type="dxa"/>
            <w:tcBorders>
              <w:top w:val="single" w:sz="12" w:space="0" w:color="auto"/>
            </w:tcBorders>
            <w:shd w:val="clear" w:color="auto" w:fill="auto"/>
          </w:tcPr>
          <w:p w14:paraId="56C10522" w14:textId="77777777" w:rsidR="00221DD4" w:rsidRPr="00F464FA" w:rsidRDefault="00221DD4" w:rsidP="007766D6">
            <w:pPr>
              <w:suppressAutoHyphens w:val="0"/>
              <w:spacing w:before="40" w:after="40" w:line="220" w:lineRule="exact"/>
              <w:ind w:right="113"/>
              <w:rPr>
                <w:sz w:val="18"/>
                <w:szCs w:val="24"/>
              </w:rPr>
            </w:pPr>
            <w:r w:rsidRPr="00F464FA">
              <w:rPr>
                <w:sz w:val="18"/>
                <w:szCs w:val="24"/>
              </w:rPr>
              <w:t xml:space="preserve">Male </w:t>
            </w:r>
          </w:p>
        </w:tc>
        <w:tc>
          <w:tcPr>
            <w:tcW w:w="1474" w:type="dxa"/>
            <w:tcBorders>
              <w:top w:val="single" w:sz="12" w:space="0" w:color="auto"/>
            </w:tcBorders>
            <w:shd w:val="clear" w:color="auto" w:fill="auto"/>
          </w:tcPr>
          <w:p w14:paraId="45EEBE05" w14:textId="738C97CD" w:rsidR="00221DD4" w:rsidRPr="00F464FA" w:rsidRDefault="00221DD4" w:rsidP="007766D6">
            <w:pPr>
              <w:suppressAutoHyphens w:val="0"/>
              <w:spacing w:before="40" w:after="40" w:line="220" w:lineRule="exact"/>
              <w:ind w:right="113"/>
              <w:jc w:val="right"/>
              <w:rPr>
                <w:sz w:val="18"/>
                <w:szCs w:val="24"/>
              </w:rPr>
            </w:pPr>
            <w:r w:rsidRPr="00F464FA">
              <w:rPr>
                <w:sz w:val="18"/>
                <w:szCs w:val="24"/>
              </w:rPr>
              <w:t>295</w:t>
            </w:r>
            <w:r w:rsidR="007766D6" w:rsidRPr="00F464FA">
              <w:rPr>
                <w:sz w:val="18"/>
                <w:szCs w:val="24"/>
              </w:rPr>
              <w:t xml:space="preserve"> </w:t>
            </w:r>
            <w:r w:rsidRPr="00F464FA">
              <w:rPr>
                <w:sz w:val="18"/>
                <w:szCs w:val="24"/>
              </w:rPr>
              <w:t xml:space="preserve">730 </w:t>
            </w:r>
          </w:p>
        </w:tc>
        <w:tc>
          <w:tcPr>
            <w:tcW w:w="1474" w:type="dxa"/>
            <w:tcBorders>
              <w:top w:val="single" w:sz="12" w:space="0" w:color="auto"/>
            </w:tcBorders>
            <w:shd w:val="clear" w:color="auto" w:fill="auto"/>
            <w:vAlign w:val="bottom"/>
          </w:tcPr>
          <w:p w14:paraId="72FCA965" w14:textId="77777777" w:rsidR="00221DD4" w:rsidRPr="00F464FA" w:rsidRDefault="00221DD4" w:rsidP="007766D6">
            <w:pPr>
              <w:suppressAutoHyphens w:val="0"/>
              <w:spacing w:before="40" w:after="40" w:line="220" w:lineRule="exact"/>
              <w:ind w:right="113"/>
              <w:jc w:val="right"/>
              <w:rPr>
                <w:sz w:val="18"/>
                <w:szCs w:val="24"/>
              </w:rPr>
            </w:pPr>
            <w:r w:rsidRPr="00F464FA">
              <w:rPr>
                <w:sz w:val="18"/>
                <w:szCs w:val="24"/>
              </w:rPr>
              <w:t xml:space="preserve">44.1 </w:t>
            </w:r>
          </w:p>
        </w:tc>
        <w:tc>
          <w:tcPr>
            <w:tcW w:w="1474" w:type="dxa"/>
            <w:tcBorders>
              <w:top w:val="single" w:sz="12" w:space="0" w:color="auto"/>
            </w:tcBorders>
            <w:shd w:val="clear" w:color="auto" w:fill="auto"/>
            <w:vAlign w:val="bottom"/>
          </w:tcPr>
          <w:p w14:paraId="61FB70E4" w14:textId="23813941" w:rsidR="00221DD4" w:rsidRPr="00F464FA" w:rsidRDefault="00221DD4" w:rsidP="007766D6">
            <w:pPr>
              <w:suppressAutoHyphens w:val="0"/>
              <w:spacing w:before="40" w:after="40" w:line="220" w:lineRule="exact"/>
              <w:ind w:right="113"/>
              <w:jc w:val="right"/>
              <w:rPr>
                <w:sz w:val="18"/>
                <w:szCs w:val="24"/>
              </w:rPr>
            </w:pPr>
            <w:r w:rsidRPr="00F464FA">
              <w:rPr>
                <w:sz w:val="18"/>
                <w:szCs w:val="24"/>
              </w:rPr>
              <w:t>40</w:t>
            </w:r>
            <w:r w:rsidR="007766D6" w:rsidRPr="00F464FA">
              <w:rPr>
                <w:sz w:val="18"/>
                <w:szCs w:val="24"/>
              </w:rPr>
              <w:t xml:space="preserve"> </w:t>
            </w:r>
            <w:r w:rsidRPr="00F464FA">
              <w:rPr>
                <w:sz w:val="18"/>
                <w:szCs w:val="24"/>
              </w:rPr>
              <w:t xml:space="preserve">259 </w:t>
            </w:r>
          </w:p>
        </w:tc>
        <w:tc>
          <w:tcPr>
            <w:tcW w:w="1474" w:type="dxa"/>
            <w:tcBorders>
              <w:top w:val="single" w:sz="12" w:space="0" w:color="auto"/>
            </w:tcBorders>
            <w:shd w:val="clear" w:color="auto" w:fill="auto"/>
            <w:vAlign w:val="bottom"/>
          </w:tcPr>
          <w:p w14:paraId="0626B592" w14:textId="77777777" w:rsidR="00221DD4" w:rsidRPr="00F464FA" w:rsidRDefault="00221DD4" w:rsidP="007766D6">
            <w:pPr>
              <w:suppressAutoHyphens w:val="0"/>
              <w:spacing w:before="40" w:after="40" w:line="220" w:lineRule="exact"/>
              <w:ind w:right="113"/>
              <w:jc w:val="right"/>
              <w:rPr>
                <w:sz w:val="18"/>
                <w:szCs w:val="24"/>
              </w:rPr>
            </w:pPr>
            <w:r w:rsidRPr="00F464FA">
              <w:rPr>
                <w:sz w:val="18"/>
                <w:szCs w:val="24"/>
              </w:rPr>
              <w:t xml:space="preserve">26.6 </w:t>
            </w:r>
          </w:p>
        </w:tc>
      </w:tr>
      <w:tr w:rsidR="00221DD4" w:rsidRPr="00F464FA" w14:paraId="75F82EC7" w14:textId="77777777" w:rsidTr="007766D6">
        <w:tc>
          <w:tcPr>
            <w:tcW w:w="1474" w:type="dxa"/>
            <w:shd w:val="clear" w:color="auto" w:fill="auto"/>
          </w:tcPr>
          <w:p w14:paraId="7A2D4552" w14:textId="77777777" w:rsidR="00221DD4" w:rsidRPr="00F464FA" w:rsidRDefault="00221DD4" w:rsidP="007766D6">
            <w:pPr>
              <w:suppressAutoHyphens w:val="0"/>
              <w:spacing w:before="40" w:after="40" w:line="220" w:lineRule="exact"/>
              <w:ind w:right="113"/>
              <w:rPr>
                <w:sz w:val="18"/>
                <w:szCs w:val="24"/>
              </w:rPr>
            </w:pPr>
            <w:r w:rsidRPr="00F464FA">
              <w:rPr>
                <w:sz w:val="18"/>
                <w:szCs w:val="24"/>
              </w:rPr>
              <w:t xml:space="preserve">Female </w:t>
            </w:r>
          </w:p>
        </w:tc>
        <w:tc>
          <w:tcPr>
            <w:tcW w:w="1474" w:type="dxa"/>
            <w:shd w:val="clear" w:color="auto" w:fill="auto"/>
          </w:tcPr>
          <w:p w14:paraId="35C94A49" w14:textId="1867F0EC" w:rsidR="00221DD4" w:rsidRPr="00F464FA" w:rsidRDefault="00221DD4" w:rsidP="007766D6">
            <w:pPr>
              <w:suppressAutoHyphens w:val="0"/>
              <w:spacing w:before="40" w:after="40" w:line="220" w:lineRule="exact"/>
              <w:ind w:right="113"/>
              <w:jc w:val="right"/>
              <w:rPr>
                <w:sz w:val="18"/>
                <w:szCs w:val="24"/>
              </w:rPr>
            </w:pPr>
            <w:r w:rsidRPr="00F464FA">
              <w:rPr>
                <w:sz w:val="18"/>
                <w:szCs w:val="24"/>
              </w:rPr>
              <w:t>374</w:t>
            </w:r>
            <w:r w:rsidR="007766D6" w:rsidRPr="00F464FA">
              <w:rPr>
                <w:sz w:val="18"/>
                <w:szCs w:val="24"/>
              </w:rPr>
              <w:t xml:space="preserve"> </w:t>
            </w:r>
            <w:r w:rsidRPr="00F464FA">
              <w:rPr>
                <w:sz w:val="18"/>
                <w:szCs w:val="24"/>
              </w:rPr>
              <w:t xml:space="preserve">752 </w:t>
            </w:r>
          </w:p>
        </w:tc>
        <w:tc>
          <w:tcPr>
            <w:tcW w:w="1474" w:type="dxa"/>
            <w:shd w:val="clear" w:color="auto" w:fill="auto"/>
            <w:vAlign w:val="bottom"/>
          </w:tcPr>
          <w:p w14:paraId="063390CA" w14:textId="77777777" w:rsidR="00221DD4" w:rsidRPr="00F464FA" w:rsidRDefault="00221DD4" w:rsidP="007766D6">
            <w:pPr>
              <w:suppressAutoHyphens w:val="0"/>
              <w:spacing w:before="40" w:after="40" w:line="220" w:lineRule="exact"/>
              <w:ind w:right="113"/>
              <w:jc w:val="right"/>
              <w:rPr>
                <w:sz w:val="18"/>
                <w:szCs w:val="24"/>
              </w:rPr>
            </w:pPr>
            <w:r w:rsidRPr="00F464FA">
              <w:rPr>
                <w:sz w:val="18"/>
                <w:szCs w:val="24"/>
              </w:rPr>
              <w:t xml:space="preserve">55.9 </w:t>
            </w:r>
          </w:p>
        </w:tc>
        <w:tc>
          <w:tcPr>
            <w:tcW w:w="1474" w:type="dxa"/>
            <w:shd w:val="clear" w:color="auto" w:fill="auto"/>
            <w:vAlign w:val="bottom"/>
          </w:tcPr>
          <w:p w14:paraId="034646B1" w14:textId="16AB25F6" w:rsidR="00221DD4" w:rsidRPr="00F464FA" w:rsidRDefault="00221DD4" w:rsidP="007766D6">
            <w:pPr>
              <w:suppressAutoHyphens w:val="0"/>
              <w:spacing w:before="40" w:after="40" w:line="220" w:lineRule="exact"/>
              <w:ind w:right="113"/>
              <w:jc w:val="right"/>
              <w:rPr>
                <w:sz w:val="18"/>
                <w:szCs w:val="24"/>
              </w:rPr>
            </w:pPr>
            <w:r w:rsidRPr="00F464FA">
              <w:rPr>
                <w:sz w:val="18"/>
                <w:szCs w:val="24"/>
              </w:rPr>
              <w:t>111</w:t>
            </w:r>
            <w:r w:rsidR="007766D6" w:rsidRPr="00F464FA">
              <w:rPr>
                <w:sz w:val="18"/>
                <w:szCs w:val="24"/>
              </w:rPr>
              <w:t xml:space="preserve"> </w:t>
            </w:r>
            <w:r w:rsidRPr="00F464FA">
              <w:rPr>
                <w:sz w:val="18"/>
                <w:szCs w:val="24"/>
              </w:rPr>
              <w:t xml:space="preserve">057 </w:t>
            </w:r>
          </w:p>
        </w:tc>
        <w:tc>
          <w:tcPr>
            <w:tcW w:w="1474" w:type="dxa"/>
            <w:shd w:val="clear" w:color="auto" w:fill="auto"/>
            <w:vAlign w:val="bottom"/>
          </w:tcPr>
          <w:p w14:paraId="3A129558" w14:textId="77777777" w:rsidR="00221DD4" w:rsidRPr="00F464FA" w:rsidRDefault="00221DD4" w:rsidP="007766D6">
            <w:pPr>
              <w:suppressAutoHyphens w:val="0"/>
              <w:spacing w:before="40" w:after="40" w:line="220" w:lineRule="exact"/>
              <w:ind w:right="113"/>
              <w:jc w:val="right"/>
              <w:rPr>
                <w:sz w:val="18"/>
                <w:szCs w:val="24"/>
              </w:rPr>
            </w:pPr>
            <w:r w:rsidRPr="00F464FA">
              <w:rPr>
                <w:sz w:val="18"/>
                <w:szCs w:val="24"/>
              </w:rPr>
              <w:t xml:space="preserve">73.4 </w:t>
            </w:r>
          </w:p>
        </w:tc>
      </w:tr>
    </w:tbl>
    <w:p w14:paraId="4D278905" w14:textId="2068ED23" w:rsidR="00221DD4" w:rsidRPr="00F464FA" w:rsidRDefault="00221DD4" w:rsidP="00CA7736">
      <w:pPr>
        <w:spacing w:before="120" w:after="240"/>
        <w:ind w:left="1134" w:right="1134" w:firstLine="170"/>
        <w:rPr>
          <w:sz w:val="18"/>
        </w:rPr>
      </w:pPr>
      <w:r w:rsidRPr="00F464FA">
        <w:rPr>
          <w:sz w:val="18"/>
        </w:rPr>
        <w:t>Source: Ministry of Gender, Children, Disability and Social Welfare, 2015</w:t>
      </w:r>
      <w:r w:rsidR="00CA7736" w:rsidRPr="00F464FA">
        <w:rPr>
          <w:sz w:val="18"/>
        </w:rPr>
        <w:t>.</w:t>
      </w:r>
    </w:p>
    <w:p w14:paraId="00C0610F" w14:textId="3A6E3B59" w:rsidR="00221DD4" w:rsidRPr="00F464FA" w:rsidRDefault="00221DD4" w:rsidP="00221DD4">
      <w:pPr>
        <w:pStyle w:val="Heading1"/>
      </w:pPr>
      <w:r w:rsidRPr="00F464FA">
        <w:t>Table 14</w:t>
      </w:r>
    </w:p>
    <w:p w14:paraId="6F582090" w14:textId="4CD9CC40" w:rsidR="00221DD4" w:rsidRPr="00F464FA" w:rsidRDefault="00221DD4" w:rsidP="00221DD4">
      <w:pPr>
        <w:pStyle w:val="SingleTxtG"/>
        <w:rPr>
          <w:b/>
        </w:rPr>
      </w:pPr>
      <w:r w:rsidRPr="00F464FA">
        <w:rPr>
          <w:b/>
        </w:rPr>
        <w:t>Social Cash Transfer Programme household head characteristics (July 2015) Social cash transfer household and beneficiary characteristics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A131A" w:rsidRPr="00F464FA" w14:paraId="71E466FB" w14:textId="77777777" w:rsidTr="004A131A">
        <w:trPr>
          <w:tblHeader/>
        </w:trPr>
        <w:tc>
          <w:tcPr>
            <w:tcW w:w="3685" w:type="dxa"/>
            <w:tcBorders>
              <w:top w:val="single" w:sz="4" w:space="0" w:color="auto"/>
              <w:bottom w:val="single" w:sz="12" w:space="0" w:color="auto"/>
            </w:tcBorders>
            <w:shd w:val="clear" w:color="auto" w:fill="auto"/>
            <w:vAlign w:val="bottom"/>
          </w:tcPr>
          <w:p w14:paraId="2C803A69" w14:textId="2AA747EB" w:rsidR="004A131A" w:rsidRPr="00F464FA" w:rsidRDefault="004A131A" w:rsidP="004A131A">
            <w:pPr>
              <w:suppressAutoHyphens w:val="0"/>
              <w:autoSpaceDE w:val="0"/>
              <w:autoSpaceDN w:val="0"/>
              <w:adjustRightInd w:val="0"/>
              <w:spacing w:before="80" w:after="80" w:line="200" w:lineRule="exact"/>
              <w:ind w:right="113"/>
              <w:rPr>
                <w:rFonts w:eastAsiaTheme="minorHAnsi"/>
                <w:i/>
                <w:sz w:val="16"/>
                <w:szCs w:val="24"/>
              </w:rPr>
            </w:pPr>
          </w:p>
        </w:tc>
        <w:tc>
          <w:tcPr>
            <w:tcW w:w="3685" w:type="dxa"/>
            <w:tcBorders>
              <w:top w:val="single" w:sz="4" w:space="0" w:color="auto"/>
              <w:bottom w:val="single" w:sz="12" w:space="0" w:color="auto"/>
            </w:tcBorders>
            <w:shd w:val="clear" w:color="auto" w:fill="auto"/>
            <w:vAlign w:val="bottom"/>
          </w:tcPr>
          <w:p w14:paraId="22E62349" w14:textId="6E7ED936" w:rsidR="004A131A" w:rsidRPr="00F464FA" w:rsidRDefault="004A131A" w:rsidP="004A131A">
            <w:pPr>
              <w:suppressAutoHyphens w:val="0"/>
              <w:autoSpaceDE w:val="0"/>
              <w:autoSpaceDN w:val="0"/>
              <w:adjustRightInd w:val="0"/>
              <w:spacing w:before="80" w:after="80" w:line="200" w:lineRule="exact"/>
              <w:ind w:right="113"/>
              <w:jc w:val="right"/>
              <w:rPr>
                <w:rFonts w:eastAsiaTheme="minorHAnsi"/>
                <w:i/>
                <w:sz w:val="16"/>
                <w:szCs w:val="24"/>
              </w:rPr>
            </w:pPr>
            <w:r w:rsidRPr="00F464FA">
              <w:rPr>
                <w:rFonts w:eastAsiaTheme="minorHAnsi"/>
                <w:i/>
                <w:sz w:val="16"/>
                <w:szCs w:val="24"/>
              </w:rPr>
              <w:t>Number</w:t>
            </w:r>
          </w:p>
        </w:tc>
      </w:tr>
      <w:tr w:rsidR="00221DD4" w:rsidRPr="00F464FA" w14:paraId="44D2A0B4" w14:textId="77777777" w:rsidTr="004A131A">
        <w:tc>
          <w:tcPr>
            <w:tcW w:w="3685" w:type="dxa"/>
            <w:tcBorders>
              <w:top w:val="single" w:sz="12" w:space="0" w:color="auto"/>
            </w:tcBorders>
            <w:shd w:val="clear" w:color="auto" w:fill="auto"/>
          </w:tcPr>
          <w:p w14:paraId="249170BF" w14:textId="7F8317A4" w:rsidR="00221DD4" w:rsidRPr="00F464FA" w:rsidRDefault="00221DD4" w:rsidP="004A131A">
            <w:pPr>
              <w:suppressAutoHyphens w:val="0"/>
              <w:autoSpaceDE w:val="0"/>
              <w:autoSpaceDN w:val="0"/>
              <w:adjustRightInd w:val="0"/>
              <w:spacing w:before="40" w:after="40" w:line="220" w:lineRule="exact"/>
              <w:ind w:right="113"/>
              <w:rPr>
                <w:rFonts w:eastAsiaTheme="minorHAnsi"/>
                <w:sz w:val="18"/>
                <w:szCs w:val="24"/>
              </w:rPr>
            </w:pPr>
            <w:r w:rsidRPr="00F464FA">
              <w:rPr>
                <w:rFonts w:eastAsiaTheme="minorHAnsi"/>
                <w:sz w:val="18"/>
                <w:szCs w:val="24"/>
              </w:rPr>
              <w:t>Child headed</w:t>
            </w:r>
            <w:r w:rsidR="00325D27" w:rsidRPr="00F464FA">
              <w:rPr>
                <w:rFonts w:eastAsiaTheme="minorHAnsi"/>
                <w:sz w:val="18"/>
                <w:szCs w:val="24"/>
              </w:rPr>
              <w:t xml:space="preserve"> </w:t>
            </w:r>
            <w:r w:rsidRPr="00F464FA">
              <w:rPr>
                <w:rFonts w:eastAsiaTheme="minorHAnsi"/>
                <w:sz w:val="18"/>
                <w:szCs w:val="24"/>
              </w:rPr>
              <w:t xml:space="preserve">households </w:t>
            </w:r>
          </w:p>
        </w:tc>
        <w:tc>
          <w:tcPr>
            <w:tcW w:w="3685" w:type="dxa"/>
            <w:tcBorders>
              <w:top w:val="single" w:sz="12" w:space="0" w:color="auto"/>
            </w:tcBorders>
            <w:shd w:val="clear" w:color="auto" w:fill="auto"/>
            <w:vAlign w:val="bottom"/>
          </w:tcPr>
          <w:p w14:paraId="7A9F1AC3" w14:textId="5F4CC5CB" w:rsidR="00221DD4" w:rsidRPr="00F464FA" w:rsidRDefault="00221DD4" w:rsidP="004A131A">
            <w:pPr>
              <w:suppressAutoHyphens w:val="0"/>
              <w:autoSpaceDE w:val="0"/>
              <w:autoSpaceDN w:val="0"/>
              <w:adjustRightInd w:val="0"/>
              <w:spacing w:before="40" w:after="40" w:line="220" w:lineRule="exact"/>
              <w:ind w:right="113"/>
              <w:jc w:val="right"/>
              <w:rPr>
                <w:rFonts w:eastAsiaTheme="minorHAnsi"/>
                <w:sz w:val="18"/>
                <w:szCs w:val="24"/>
              </w:rPr>
            </w:pPr>
            <w:r w:rsidRPr="00F464FA">
              <w:rPr>
                <w:rFonts w:eastAsiaTheme="minorHAnsi"/>
                <w:sz w:val="18"/>
                <w:szCs w:val="24"/>
              </w:rPr>
              <w:t>1</w:t>
            </w:r>
            <w:r w:rsidR="004A131A" w:rsidRPr="00F464FA">
              <w:rPr>
                <w:rFonts w:eastAsiaTheme="minorHAnsi"/>
                <w:sz w:val="18"/>
                <w:szCs w:val="24"/>
              </w:rPr>
              <w:t xml:space="preserve"> </w:t>
            </w:r>
            <w:r w:rsidRPr="00F464FA">
              <w:rPr>
                <w:rFonts w:eastAsiaTheme="minorHAnsi"/>
                <w:sz w:val="18"/>
                <w:szCs w:val="24"/>
              </w:rPr>
              <w:t xml:space="preserve">371 </w:t>
            </w:r>
          </w:p>
        </w:tc>
      </w:tr>
      <w:tr w:rsidR="00221DD4" w:rsidRPr="00F464FA" w14:paraId="691F58B9" w14:textId="77777777" w:rsidTr="004A131A">
        <w:tc>
          <w:tcPr>
            <w:tcW w:w="3685" w:type="dxa"/>
            <w:shd w:val="clear" w:color="auto" w:fill="auto"/>
          </w:tcPr>
          <w:p w14:paraId="5F6BE897" w14:textId="77777777" w:rsidR="00221DD4" w:rsidRPr="00F464FA" w:rsidRDefault="00221DD4" w:rsidP="004A131A">
            <w:pPr>
              <w:suppressAutoHyphens w:val="0"/>
              <w:autoSpaceDE w:val="0"/>
              <w:autoSpaceDN w:val="0"/>
              <w:adjustRightInd w:val="0"/>
              <w:spacing w:before="40" w:after="40" w:line="220" w:lineRule="exact"/>
              <w:ind w:right="113"/>
              <w:rPr>
                <w:rFonts w:eastAsiaTheme="minorHAnsi"/>
                <w:sz w:val="18"/>
                <w:szCs w:val="24"/>
              </w:rPr>
            </w:pPr>
            <w:r w:rsidRPr="00F464FA">
              <w:rPr>
                <w:rFonts w:eastAsiaTheme="minorHAnsi"/>
                <w:sz w:val="18"/>
                <w:szCs w:val="24"/>
              </w:rPr>
              <w:t xml:space="preserve">Elderly headed households </w:t>
            </w:r>
          </w:p>
        </w:tc>
        <w:tc>
          <w:tcPr>
            <w:tcW w:w="3685" w:type="dxa"/>
            <w:shd w:val="clear" w:color="auto" w:fill="auto"/>
            <w:vAlign w:val="bottom"/>
          </w:tcPr>
          <w:p w14:paraId="49C6C278" w14:textId="65AAFDCE" w:rsidR="00221DD4" w:rsidRPr="00F464FA" w:rsidRDefault="00221DD4" w:rsidP="004A131A">
            <w:pPr>
              <w:suppressAutoHyphens w:val="0"/>
              <w:autoSpaceDE w:val="0"/>
              <w:autoSpaceDN w:val="0"/>
              <w:adjustRightInd w:val="0"/>
              <w:spacing w:before="40" w:after="40" w:line="220" w:lineRule="exact"/>
              <w:ind w:right="113"/>
              <w:jc w:val="right"/>
              <w:rPr>
                <w:rFonts w:eastAsiaTheme="minorHAnsi"/>
                <w:sz w:val="18"/>
                <w:szCs w:val="24"/>
              </w:rPr>
            </w:pPr>
            <w:r w:rsidRPr="00F464FA">
              <w:rPr>
                <w:rFonts w:eastAsiaTheme="minorHAnsi"/>
                <w:sz w:val="18"/>
                <w:szCs w:val="24"/>
              </w:rPr>
              <w:t>76</w:t>
            </w:r>
            <w:r w:rsidR="004A131A" w:rsidRPr="00F464FA">
              <w:rPr>
                <w:rFonts w:eastAsiaTheme="minorHAnsi"/>
                <w:sz w:val="18"/>
                <w:szCs w:val="24"/>
              </w:rPr>
              <w:t xml:space="preserve"> </w:t>
            </w:r>
            <w:r w:rsidRPr="00F464FA">
              <w:rPr>
                <w:rFonts w:eastAsiaTheme="minorHAnsi"/>
                <w:sz w:val="18"/>
                <w:szCs w:val="24"/>
              </w:rPr>
              <w:t xml:space="preserve">343 </w:t>
            </w:r>
          </w:p>
        </w:tc>
      </w:tr>
      <w:tr w:rsidR="00221DD4" w:rsidRPr="00F464FA" w14:paraId="1F4C59FD" w14:textId="77777777" w:rsidTr="004A131A">
        <w:tc>
          <w:tcPr>
            <w:tcW w:w="3685" w:type="dxa"/>
            <w:shd w:val="clear" w:color="auto" w:fill="auto"/>
          </w:tcPr>
          <w:p w14:paraId="729B96F5" w14:textId="77777777" w:rsidR="00221DD4" w:rsidRPr="00F464FA" w:rsidRDefault="00221DD4" w:rsidP="004A131A">
            <w:pPr>
              <w:suppressAutoHyphens w:val="0"/>
              <w:autoSpaceDE w:val="0"/>
              <w:autoSpaceDN w:val="0"/>
              <w:adjustRightInd w:val="0"/>
              <w:spacing w:before="40" w:after="40" w:line="220" w:lineRule="exact"/>
              <w:ind w:right="113"/>
              <w:rPr>
                <w:rFonts w:eastAsiaTheme="minorHAnsi"/>
                <w:sz w:val="18"/>
                <w:szCs w:val="24"/>
              </w:rPr>
            </w:pPr>
            <w:r w:rsidRPr="00F464FA">
              <w:rPr>
                <w:rFonts w:eastAsiaTheme="minorHAnsi"/>
                <w:sz w:val="18"/>
                <w:szCs w:val="24"/>
              </w:rPr>
              <w:t xml:space="preserve">Household head with disability </w:t>
            </w:r>
          </w:p>
        </w:tc>
        <w:tc>
          <w:tcPr>
            <w:tcW w:w="3685" w:type="dxa"/>
            <w:shd w:val="clear" w:color="auto" w:fill="auto"/>
            <w:vAlign w:val="bottom"/>
          </w:tcPr>
          <w:p w14:paraId="55FB2878" w14:textId="4B341214" w:rsidR="00221DD4" w:rsidRPr="00F464FA" w:rsidRDefault="00221DD4" w:rsidP="004A131A">
            <w:pPr>
              <w:suppressAutoHyphens w:val="0"/>
              <w:autoSpaceDE w:val="0"/>
              <w:autoSpaceDN w:val="0"/>
              <w:adjustRightInd w:val="0"/>
              <w:spacing w:before="40" w:after="40" w:line="220" w:lineRule="exact"/>
              <w:ind w:right="113"/>
              <w:jc w:val="right"/>
              <w:rPr>
                <w:rFonts w:eastAsiaTheme="minorHAnsi"/>
                <w:sz w:val="18"/>
                <w:szCs w:val="24"/>
              </w:rPr>
            </w:pPr>
            <w:r w:rsidRPr="00F464FA">
              <w:rPr>
                <w:rFonts w:eastAsiaTheme="minorHAnsi"/>
                <w:sz w:val="18"/>
                <w:szCs w:val="24"/>
              </w:rPr>
              <w:t>42</w:t>
            </w:r>
            <w:r w:rsidR="004A131A" w:rsidRPr="00F464FA">
              <w:rPr>
                <w:rFonts w:eastAsiaTheme="minorHAnsi"/>
                <w:sz w:val="18"/>
                <w:szCs w:val="24"/>
              </w:rPr>
              <w:t xml:space="preserve"> </w:t>
            </w:r>
            <w:r w:rsidRPr="00F464FA">
              <w:rPr>
                <w:rFonts w:eastAsiaTheme="minorHAnsi"/>
                <w:sz w:val="18"/>
                <w:szCs w:val="24"/>
              </w:rPr>
              <w:t xml:space="preserve">564 </w:t>
            </w:r>
          </w:p>
        </w:tc>
      </w:tr>
      <w:tr w:rsidR="00221DD4" w:rsidRPr="00F464FA" w14:paraId="3A705D71" w14:textId="77777777" w:rsidTr="004A131A">
        <w:tc>
          <w:tcPr>
            <w:tcW w:w="3685" w:type="dxa"/>
            <w:shd w:val="clear" w:color="auto" w:fill="auto"/>
          </w:tcPr>
          <w:p w14:paraId="4F2502F2" w14:textId="77777777" w:rsidR="00221DD4" w:rsidRPr="00F464FA" w:rsidRDefault="00221DD4" w:rsidP="004A131A">
            <w:pPr>
              <w:suppressAutoHyphens w:val="0"/>
              <w:autoSpaceDE w:val="0"/>
              <w:autoSpaceDN w:val="0"/>
              <w:adjustRightInd w:val="0"/>
              <w:spacing w:before="40" w:after="40" w:line="220" w:lineRule="exact"/>
              <w:ind w:right="113"/>
              <w:rPr>
                <w:rFonts w:eastAsiaTheme="minorHAnsi"/>
                <w:sz w:val="18"/>
                <w:szCs w:val="24"/>
              </w:rPr>
            </w:pPr>
            <w:r w:rsidRPr="00F464FA">
              <w:rPr>
                <w:rFonts w:eastAsiaTheme="minorHAnsi"/>
                <w:sz w:val="18"/>
                <w:szCs w:val="24"/>
              </w:rPr>
              <w:t xml:space="preserve">Household head with chronic illness </w:t>
            </w:r>
          </w:p>
        </w:tc>
        <w:tc>
          <w:tcPr>
            <w:tcW w:w="3685" w:type="dxa"/>
            <w:shd w:val="clear" w:color="auto" w:fill="auto"/>
            <w:vAlign w:val="bottom"/>
          </w:tcPr>
          <w:p w14:paraId="59EED50E" w14:textId="360F4AA7" w:rsidR="00221DD4" w:rsidRPr="00F464FA" w:rsidRDefault="00221DD4" w:rsidP="004A131A">
            <w:pPr>
              <w:suppressAutoHyphens w:val="0"/>
              <w:autoSpaceDE w:val="0"/>
              <w:autoSpaceDN w:val="0"/>
              <w:adjustRightInd w:val="0"/>
              <w:spacing w:before="40" w:after="40" w:line="220" w:lineRule="exact"/>
              <w:ind w:right="113"/>
              <w:jc w:val="right"/>
              <w:rPr>
                <w:rFonts w:eastAsiaTheme="minorHAnsi"/>
                <w:sz w:val="18"/>
                <w:szCs w:val="24"/>
              </w:rPr>
            </w:pPr>
            <w:r w:rsidRPr="00F464FA">
              <w:rPr>
                <w:rFonts w:eastAsiaTheme="minorHAnsi"/>
                <w:sz w:val="18"/>
                <w:szCs w:val="24"/>
              </w:rPr>
              <w:t>88</w:t>
            </w:r>
            <w:r w:rsidR="004A131A" w:rsidRPr="00F464FA">
              <w:rPr>
                <w:rFonts w:eastAsiaTheme="minorHAnsi"/>
                <w:sz w:val="18"/>
                <w:szCs w:val="24"/>
              </w:rPr>
              <w:t xml:space="preserve"> </w:t>
            </w:r>
            <w:r w:rsidRPr="00F464FA">
              <w:rPr>
                <w:rFonts w:eastAsiaTheme="minorHAnsi"/>
                <w:sz w:val="18"/>
                <w:szCs w:val="24"/>
              </w:rPr>
              <w:t xml:space="preserve">459 </w:t>
            </w:r>
          </w:p>
        </w:tc>
      </w:tr>
    </w:tbl>
    <w:p w14:paraId="03BD8C59" w14:textId="46C8B19F" w:rsidR="00221DD4" w:rsidRPr="00F464FA" w:rsidRDefault="00221DD4" w:rsidP="00AA78E2">
      <w:pPr>
        <w:spacing w:before="120"/>
        <w:ind w:left="1134" w:right="1134" w:firstLine="170"/>
        <w:rPr>
          <w:sz w:val="18"/>
        </w:rPr>
      </w:pPr>
      <w:bookmarkStart w:id="33" w:name="_Hlk41563864"/>
      <w:r w:rsidRPr="00F464FA">
        <w:rPr>
          <w:i/>
          <w:iCs/>
          <w:sz w:val="18"/>
        </w:rPr>
        <w:t>Source:</w:t>
      </w:r>
      <w:r w:rsidRPr="00F464FA">
        <w:rPr>
          <w:sz w:val="18"/>
        </w:rPr>
        <w:t xml:space="preserve"> Ministry of Gender, Children, Disability and Social Welfare, 2015</w:t>
      </w:r>
      <w:r w:rsidR="00AA78E2" w:rsidRPr="00F464FA">
        <w:rPr>
          <w:sz w:val="18"/>
        </w:rPr>
        <w:t>.</w:t>
      </w:r>
    </w:p>
    <w:p w14:paraId="19BDF313" w14:textId="3647F8E9" w:rsidR="00221DD4" w:rsidRPr="00F464FA" w:rsidRDefault="00AA78E2" w:rsidP="00355030">
      <w:pPr>
        <w:pStyle w:val="H23G"/>
        <w:rPr>
          <w:lang w:val="en-GB"/>
        </w:rPr>
      </w:pPr>
      <w:r w:rsidRPr="00F464FA">
        <w:rPr>
          <w:lang w:val="en-GB"/>
        </w:rPr>
        <w:tab/>
      </w:r>
      <w:r w:rsidRPr="00F464FA">
        <w:rPr>
          <w:lang w:val="en-GB"/>
        </w:rPr>
        <w:tab/>
      </w:r>
      <w:r w:rsidR="00221DD4" w:rsidRPr="00F464FA">
        <w:rPr>
          <w:lang w:val="en-GB"/>
        </w:rPr>
        <w:t>Farmers Input Subsidy Programme (FISP) (Renamed the Affordable Input Programme (AIP))</w:t>
      </w:r>
    </w:p>
    <w:p w14:paraId="2722D0FB" w14:textId="77777777" w:rsidR="00221DD4" w:rsidRPr="00F464FA" w:rsidRDefault="00221DD4" w:rsidP="00221DD4">
      <w:pPr>
        <w:pStyle w:val="SingleTxtG"/>
        <w:rPr>
          <w:bCs/>
        </w:rPr>
      </w:pPr>
      <w:bookmarkStart w:id="34" w:name="_Hlk43361197"/>
      <w:bookmarkEnd w:id="33"/>
      <w:r w:rsidRPr="00F464FA">
        <w:rPr>
          <w:bCs/>
        </w:rPr>
        <w:t>69.</w:t>
      </w:r>
      <w:r w:rsidRPr="00F464FA">
        <w:rPr>
          <w:bCs/>
        </w:rPr>
        <w:tab/>
        <w:t xml:space="preserve">This is a social protection programme aimed at improving food security and income of smallholder farmers by facilitating their access to improved agricultural inputs. The programme commenced in 2005. </w:t>
      </w:r>
      <w:bookmarkEnd w:id="34"/>
      <w:r w:rsidRPr="00F464FA">
        <w:rPr>
          <w:bCs/>
        </w:rPr>
        <w:t xml:space="preserve">The Programme is mainly supported by the Government of Malawi with some help from international development partners. The current cost of the programme is an estimated total cost of USD221 million. The programme targets resource </w:t>
      </w:r>
      <w:r w:rsidRPr="00F464FA">
        <w:rPr>
          <w:bCs/>
        </w:rPr>
        <w:lastRenderedPageBreak/>
        <w:t xml:space="preserve">poor Malawian farmers resident in a village and own a piece of land. The programme also specifically targets elderly resource poor household heads; HIV positive resource poor household head with proof of status; resource poor female headed household head; resource poor child headed household head; resource poor orphan headed household head and resource poor physically challenged household head. The programme is implemented by the </w:t>
      </w:r>
      <w:bookmarkStart w:id="35" w:name="_Hlk41564149"/>
      <w:r w:rsidRPr="00F464FA">
        <w:rPr>
          <w:bCs/>
        </w:rPr>
        <w:t xml:space="preserve">Ministry of Agriculture </w:t>
      </w:r>
      <w:bookmarkEnd w:id="35"/>
      <w:r w:rsidRPr="00F464FA">
        <w:rPr>
          <w:bCs/>
        </w:rPr>
        <w:t>in conjunction with the Ministry of Local Government, through District Assemblies.</w:t>
      </w:r>
    </w:p>
    <w:p w14:paraId="7DB8060C" w14:textId="77777777" w:rsidR="00221DD4" w:rsidRPr="00F464FA" w:rsidRDefault="00221DD4" w:rsidP="00221DD4">
      <w:pPr>
        <w:pStyle w:val="SingleTxtG"/>
        <w:rPr>
          <w:bCs/>
        </w:rPr>
      </w:pPr>
      <w:r w:rsidRPr="00F464FA">
        <w:rPr>
          <w:bCs/>
        </w:rPr>
        <w:t>70.</w:t>
      </w:r>
      <w:r w:rsidRPr="00F464FA">
        <w:rPr>
          <w:bCs/>
        </w:rPr>
        <w:tab/>
        <w:t xml:space="preserve">In the 2018/2019 financial year, the beneficiaries of FISP were fulltime smallholder Malawian farmers who are resource poor of all gender categories. In the districts of Dowa, </w:t>
      </w:r>
      <w:proofErr w:type="spellStart"/>
      <w:r w:rsidRPr="00F464FA">
        <w:rPr>
          <w:bCs/>
        </w:rPr>
        <w:t>Rumphi</w:t>
      </w:r>
      <w:proofErr w:type="spellEnd"/>
      <w:r w:rsidRPr="00F464FA">
        <w:rPr>
          <w:bCs/>
        </w:rPr>
        <w:t xml:space="preserve">, </w:t>
      </w:r>
      <w:proofErr w:type="spellStart"/>
      <w:r w:rsidRPr="00F464FA">
        <w:rPr>
          <w:bCs/>
        </w:rPr>
        <w:t>Salima</w:t>
      </w:r>
      <w:proofErr w:type="spellEnd"/>
      <w:r w:rsidRPr="00F464FA">
        <w:rPr>
          <w:bCs/>
        </w:rPr>
        <w:t xml:space="preserve"> and Mwanza districts only productive small holder farmers were targeted. The fertilizer package targeted 1,000,000 farmers. In addition, these farmers also benefited from hybrid or OPV maize or improved sorghum seed or rice seed based on farmer’s choice and legume seed.</w:t>
      </w:r>
    </w:p>
    <w:p w14:paraId="17CCE489" w14:textId="77777777" w:rsidR="00221DD4" w:rsidRPr="00F464FA" w:rsidRDefault="00221DD4" w:rsidP="00221DD4">
      <w:pPr>
        <w:pStyle w:val="SingleTxtG"/>
        <w:rPr>
          <w:bCs/>
        </w:rPr>
      </w:pPr>
      <w:r w:rsidRPr="00F464FA">
        <w:rPr>
          <w:bCs/>
        </w:rPr>
        <w:t>71.</w:t>
      </w:r>
      <w:r w:rsidRPr="00F464FA">
        <w:rPr>
          <w:bCs/>
        </w:rPr>
        <w:tab/>
        <w:t>In the 2018/2019 financial year, a total of 100,000 metric tons of maize fertilizer (50,000 metric tons of NPK and 50,000 metric tons of Urea) were subsidized. In addition to the fertilizer, the Government also subsidized a maximum of 5,000 metric tons of improved maize seed, 90 metric tons of improved sorghum seed, 90 metric tons of rice 2 seed and a maximum of 2000 metric tons of legumes (groundnuts, beans, soybeans and pigeon peas).</w:t>
      </w:r>
    </w:p>
    <w:p w14:paraId="2A681E15" w14:textId="77777777" w:rsidR="00221DD4" w:rsidRPr="00F464FA" w:rsidRDefault="00221DD4" w:rsidP="00221DD4">
      <w:pPr>
        <w:pStyle w:val="SingleTxtG"/>
        <w:rPr>
          <w:bCs/>
        </w:rPr>
      </w:pPr>
      <w:r w:rsidRPr="00F464FA">
        <w:rPr>
          <w:bCs/>
        </w:rPr>
        <w:t>72.</w:t>
      </w:r>
      <w:r w:rsidRPr="00F464FA">
        <w:rPr>
          <w:bCs/>
        </w:rPr>
        <w:tab/>
        <w:t>The Government also subsidized the price of UREA (50 Kilograms) bag of fertilizer. The fixed value of each fertilizer coupon was pegged at MK15, 000 (approximately US$20). A beneficiary is expected to pay the difference of the coupon value and market price of a 50 Kilograms fertilizer bag.</w:t>
      </w:r>
    </w:p>
    <w:p w14:paraId="7756DBF3" w14:textId="77777777" w:rsidR="00221DD4" w:rsidRPr="00F464FA" w:rsidRDefault="00221DD4" w:rsidP="00221DD4">
      <w:pPr>
        <w:pStyle w:val="SingleTxtG"/>
        <w:rPr>
          <w:bCs/>
        </w:rPr>
      </w:pPr>
      <w:r w:rsidRPr="00F464FA">
        <w:rPr>
          <w:bCs/>
        </w:rPr>
        <w:t>73.</w:t>
      </w:r>
      <w:r w:rsidRPr="00F464FA">
        <w:rPr>
          <w:bCs/>
        </w:rPr>
        <w:tab/>
        <w:t>The seed types included in the FISP include:</w:t>
      </w:r>
    </w:p>
    <w:p w14:paraId="5A40EEB0" w14:textId="26769C68" w:rsidR="00221DD4" w:rsidRPr="00F464FA" w:rsidRDefault="002E0EEB" w:rsidP="002E0EEB">
      <w:pPr>
        <w:pStyle w:val="SingleTxtG"/>
        <w:rPr>
          <w:bCs/>
        </w:rPr>
      </w:pPr>
      <w:r w:rsidRPr="00F464FA">
        <w:rPr>
          <w:bCs/>
        </w:rPr>
        <w:tab/>
      </w:r>
      <w:r w:rsidR="00221DD4" w:rsidRPr="00F464FA">
        <w:rPr>
          <w:bCs/>
        </w:rPr>
        <w:t>(a)</w:t>
      </w:r>
      <w:r w:rsidR="00221DD4" w:rsidRPr="00F464FA">
        <w:rPr>
          <w:bCs/>
        </w:rPr>
        <w:tab/>
        <w:t>Open Pollinated Varieties maize seed;</w:t>
      </w:r>
    </w:p>
    <w:p w14:paraId="0811C80F" w14:textId="2F5AFDBA" w:rsidR="00221DD4" w:rsidRPr="00F464FA" w:rsidRDefault="002E0EEB" w:rsidP="002E0EEB">
      <w:pPr>
        <w:pStyle w:val="SingleTxtG"/>
        <w:rPr>
          <w:bCs/>
        </w:rPr>
      </w:pPr>
      <w:r w:rsidRPr="00F464FA">
        <w:rPr>
          <w:bCs/>
        </w:rPr>
        <w:tab/>
      </w:r>
      <w:r w:rsidR="00221DD4" w:rsidRPr="00F464FA">
        <w:rPr>
          <w:bCs/>
        </w:rPr>
        <w:t>(b)</w:t>
      </w:r>
      <w:r w:rsidR="00221DD4" w:rsidRPr="00F464FA">
        <w:rPr>
          <w:bCs/>
        </w:rPr>
        <w:tab/>
        <w:t>Hybrid maize seed;</w:t>
      </w:r>
    </w:p>
    <w:p w14:paraId="2D348D11" w14:textId="50C48809" w:rsidR="00221DD4" w:rsidRPr="00F464FA" w:rsidRDefault="002E0EEB" w:rsidP="002E0EEB">
      <w:pPr>
        <w:pStyle w:val="SingleTxtG"/>
        <w:rPr>
          <w:bCs/>
        </w:rPr>
      </w:pPr>
      <w:r w:rsidRPr="00F464FA">
        <w:rPr>
          <w:bCs/>
        </w:rPr>
        <w:tab/>
      </w:r>
      <w:r w:rsidR="00221DD4" w:rsidRPr="00F464FA">
        <w:rPr>
          <w:bCs/>
        </w:rPr>
        <w:t>(c)</w:t>
      </w:r>
      <w:r w:rsidR="00221DD4" w:rsidRPr="00F464FA">
        <w:rPr>
          <w:bCs/>
        </w:rPr>
        <w:tab/>
        <w:t>Improved sorghum seed;</w:t>
      </w:r>
    </w:p>
    <w:p w14:paraId="54147FB2" w14:textId="3A34109D" w:rsidR="00221DD4" w:rsidRPr="00F464FA" w:rsidRDefault="002E0EEB" w:rsidP="002E0EEB">
      <w:pPr>
        <w:pStyle w:val="SingleTxtG"/>
        <w:rPr>
          <w:bCs/>
        </w:rPr>
      </w:pPr>
      <w:r w:rsidRPr="00F464FA">
        <w:rPr>
          <w:bCs/>
        </w:rPr>
        <w:tab/>
      </w:r>
      <w:r w:rsidR="00221DD4" w:rsidRPr="00F464FA">
        <w:rPr>
          <w:bCs/>
        </w:rPr>
        <w:t>(d)</w:t>
      </w:r>
      <w:r w:rsidR="00221DD4" w:rsidRPr="00F464FA">
        <w:rPr>
          <w:bCs/>
        </w:rPr>
        <w:tab/>
        <w:t>Improved rice seed;</w:t>
      </w:r>
    </w:p>
    <w:p w14:paraId="3173A42F" w14:textId="1EA39557" w:rsidR="00221DD4" w:rsidRPr="00F464FA" w:rsidRDefault="002E0EEB" w:rsidP="002E0EEB">
      <w:pPr>
        <w:pStyle w:val="SingleTxtG"/>
        <w:rPr>
          <w:bCs/>
        </w:rPr>
      </w:pPr>
      <w:r w:rsidRPr="00F464FA">
        <w:rPr>
          <w:bCs/>
        </w:rPr>
        <w:tab/>
      </w:r>
      <w:r w:rsidR="00221DD4" w:rsidRPr="00F464FA">
        <w:rPr>
          <w:bCs/>
        </w:rPr>
        <w:t>(e)</w:t>
      </w:r>
      <w:r w:rsidR="00221DD4" w:rsidRPr="00F464FA">
        <w:rPr>
          <w:bCs/>
        </w:rPr>
        <w:tab/>
        <w:t>Bean Seed;</w:t>
      </w:r>
    </w:p>
    <w:p w14:paraId="3C6E74B8" w14:textId="04A4FCCE" w:rsidR="00221DD4" w:rsidRPr="00F464FA" w:rsidRDefault="002E0EEB" w:rsidP="002E0EEB">
      <w:pPr>
        <w:pStyle w:val="SingleTxtG"/>
        <w:rPr>
          <w:bCs/>
        </w:rPr>
      </w:pPr>
      <w:r w:rsidRPr="00F464FA">
        <w:rPr>
          <w:bCs/>
        </w:rPr>
        <w:tab/>
      </w:r>
      <w:r w:rsidR="00221DD4" w:rsidRPr="00F464FA">
        <w:rPr>
          <w:bCs/>
        </w:rPr>
        <w:t>(f)</w:t>
      </w:r>
      <w:r w:rsidR="00221DD4" w:rsidRPr="00F464FA">
        <w:rPr>
          <w:bCs/>
        </w:rPr>
        <w:tab/>
        <w:t>Groundnuts seed;</w:t>
      </w:r>
    </w:p>
    <w:p w14:paraId="748081EB" w14:textId="48832847" w:rsidR="00221DD4" w:rsidRPr="00F464FA" w:rsidRDefault="002E0EEB" w:rsidP="002E0EEB">
      <w:pPr>
        <w:pStyle w:val="SingleTxtG"/>
        <w:rPr>
          <w:bCs/>
        </w:rPr>
      </w:pPr>
      <w:r w:rsidRPr="00F464FA">
        <w:rPr>
          <w:bCs/>
        </w:rPr>
        <w:tab/>
      </w:r>
      <w:r w:rsidR="00221DD4" w:rsidRPr="00F464FA">
        <w:rPr>
          <w:bCs/>
        </w:rPr>
        <w:t>(g)</w:t>
      </w:r>
      <w:r w:rsidR="00221DD4" w:rsidRPr="00F464FA">
        <w:rPr>
          <w:bCs/>
        </w:rPr>
        <w:tab/>
        <w:t>Soya beans seed;</w:t>
      </w:r>
    </w:p>
    <w:p w14:paraId="010514BA" w14:textId="4A311222" w:rsidR="00221DD4" w:rsidRPr="00F464FA" w:rsidRDefault="002E0EEB" w:rsidP="002E0EEB">
      <w:pPr>
        <w:pStyle w:val="SingleTxtG"/>
        <w:rPr>
          <w:bCs/>
        </w:rPr>
      </w:pPr>
      <w:r w:rsidRPr="00F464FA">
        <w:rPr>
          <w:bCs/>
        </w:rPr>
        <w:tab/>
      </w:r>
      <w:r w:rsidR="00221DD4" w:rsidRPr="00F464FA">
        <w:rPr>
          <w:bCs/>
        </w:rPr>
        <w:t>(h)</w:t>
      </w:r>
      <w:r w:rsidR="00221DD4" w:rsidRPr="00F464FA">
        <w:rPr>
          <w:bCs/>
        </w:rPr>
        <w:tab/>
        <w:t xml:space="preserve">Pigeon peas; and </w:t>
      </w:r>
    </w:p>
    <w:p w14:paraId="3AF8DCE4" w14:textId="57918182" w:rsidR="00221DD4" w:rsidRPr="00F464FA" w:rsidRDefault="002E0EEB" w:rsidP="002E0EEB">
      <w:pPr>
        <w:pStyle w:val="SingleTxtG"/>
        <w:rPr>
          <w:bCs/>
        </w:rPr>
      </w:pPr>
      <w:r w:rsidRPr="00F464FA">
        <w:rPr>
          <w:bCs/>
        </w:rPr>
        <w:tab/>
      </w:r>
      <w:r w:rsidR="00221DD4" w:rsidRPr="00F464FA">
        <w:rPr>
          <w:bCs/>
        </w:rPr>
        <w:t>(</w:t>
      </w:r>
      <w:proofErr w:type="spellStart"/>
      <w:r w:rsidR="00221DD4" w:rsidRPr="00F464FA">
        <w:rPr>
          <w:bCs/>
        </w:rPr>
        <w:t>i</w:t>
      </w:r>
      <w:proofErr w:type="spellEnd"/>
      <w:r w:rsidR="00221DD4" w:rsidRPr="00F464FA">
        <w:rPr>
          <w:bCs/>
        </w:rPr>
        <w:t>)</w:t>
      </w:r>
      <w:r w:rsidR="00221DD4" w:rsidRPr="00F464FA">
        <w:rPr>
          <w:bCs/>
        </w:rPr>
        <w:tab/>
        <w:t>Cowpea seed.</w:t>
      </w:r>
    </w:p>
    <w:p w14:paraId="783EEEF1" w14:textId="04224C4B" w:rsidR="00221DD4" w:rsidRPr="00F464FA" w:rsidRDefault="00221DD4" w:rsidP="00221DD4">
      <w:pPr>
        <w:pStyle w:val="SingleTxtG"/>
        <w:rPr>
          <w:bCs/>
        </w:rPr>
      </w:pPr>
      <w:r w:rsidRPr="00F464FA">
        <w:rPr>
          <w:bCs/>
        </w:rPr>
        <w:t>74.</w:t>
      </w:r>
      <w:r w:rsidRPr="00F464FA">
        <w:rPr>
          <w:bCs/>
        </w:rPr>
        <w:tab/>
        <w:t xml:space="preserve">In the 2018/2019 season, each beneficiary was entitled to a coupon for purchasing improved maize seed packaged in 5kg packs for either hybrid or OPV or 7 kg packs for improved sorghum seed or Improved rice seed. In addition to improved cereal seed, the beneficiaries were given coupons for purchasing legume seeds (beans, ground nuts, soya beans, cowpeas and pigeon peas). Beans a </w:t>
      </w:r>
      <w:proofErr w:type="spellStart"/>
      <w:r w:rsidRPr="00F464FA">
        <w:rPr>
          <w:bCs/>
        </w:rPr>
        <w:t>nd</w:t>
      </w:r>
      <w:proofErr w:type="spellEnd"/>
      <w:r w:rsidRPr="00F464FA">
        <w:rPr>
          <w:bCs/>
        </w:rPr>
        <w:t xml:space="preserve"> groundnuts were packaged in 1 kg packs while soya beans, pigeon peas and cowpeas were packaged in 2 kg packs. The seed coupon was fixed at a value of MK6,000.00 (approximately US$8) per cereal package and MK2,050.00 (approximately US$ 2.73) per legume package.</w:t>
      </w:r>
      <w:r w:rsidRPr="00F464FA">
        <w:t xml:space="preserve"> </w:t>
      </w:r>
      <w:r w:rsidRPr="00F464FA">
        <w:rPr>
          <w:bCs/>
        </w:rPr>
        <w:t>Like in fertilizer, farmers are required to pay the difference between the pack market value and the coupon value.</w:t>
      </w:r>
    </w:p>
    <w:p w14:paraId="2161903C" w14:textId="7A6E21BC" w:rsidR="00221DD4" w:rsidRPr="00F464FA" w:rsidRDefault="00221DD4" w:rsidP="00221DD4">
      <w:pPr>
        <w:pStyle w:val="SingleTxtG"/>
        <w:rPr>
          <w:bCs/>
        </w:rPr>
      </w:pPr>
      <w:r w:rsidRPr="00F464FA">
        <w:rPr>
          <w:bCs/>
        </w:rPr>
        <w:t>75.</w:t>
      </w:r>
      <w:r w:rsidRPr="00F464FA">
        <w:rPr>
          <w:bCs/>
        </w:rPr>
        <w:tab/>
        <w:t>During the years of its implementation, the programme has undergone some changes to address the challenges noted during its implementation. Some the challenges include, insufficient particularity about the criteria to be used to identify beneficiaries; the timely and cost-effective procurement of the farm inputs and malpractices in the distribution of the coupons.</w:t>
      </w:r>
    </w:p>
    <w:p w14:paraId="36E70ADD" w14:textId="77777777" w:rsidR="00221DD4" w:rsidRPr="00F464FA" w:rsidRDefault="00221DD4" w:rsidP="00221DD4">
      <w:pPr>
        <w:pStyle w:val="SingleTxtG"/>
        <w:rPr>
          <w:bCs/>
        </w:rPr>
      </w:pPr>
      <w:r w:rsidRPr="00F464FA">
        <w:rPr>
          <w:bCs/>
        </w:rPr>
        <w:t>76.</w:t>
      </w:r>
      <w:r w:rsidRPr="00F464FA">
        <w:rPr>
          <w:bCs/>
        </w:rPr>
        <w:tab/>
        <w:t>To address these issues, the Ministry of Agriculture provides the criteria for selecting beneficiaries every year and as much as possible let the selection of beneficiaries occur at the community level. In addition, to reduce malpractices in the distribution of coupons the office of the Anti-Corruption Bureau and the Malawi Police Service provide an oversight role. The coordination and timing of the procurement of the farm inputs has also improved.</w:t>
      </w:r>
    </w:p>
    <w:p w14:paraId="58989B8C" w14:textId="77777777" w:rsidR="00221DD4" w:rsidRPr="00F464FA" w:rsidRDefault="00221DD4" w:rsidP="00221DD4">
      <w:pPr>
        <w:pStyle w:val="SingleTxtG"/>
        <w:rPr>
          <w:bCs/>
        </w:rPr>
      </w:pPr>
      <w:r w:rsidRPr="00F464FA">
        <w:rPr>
          <w:bCs/>
        </w:rPr>
        <w:lastRenderedPageBreak/>
        <w:t>77.</w:t>
      </w:r>
      <w:r w:rsidRPr="00F464FA">
        <w:rPr>
          <w:bCs/>
        </w:rPr>
        <w:tab/>
        <w:t>The reformed FISP, AIP is estimated will cost K 160.2 billion (approximately US$ 214 million).</w:t>
      </w:r>
    </w:p>
    <w:p w14:paraId="71942CD6" w14:textId="03876D60" w:rsidR="00221DD4" w:rsidRPr="00F464FA" w:rsidRDefault="004D34EA" w:rsidP="003E07FA">
      <w:pPr>
        <w:pStyle w:val="H1G"/>
        <w:rPr>
          <w:lang w:val="en-GB"/>
        </w:rPr>
      </w:pPr>
      <w:bookmarkStart w:id="36" w:name="_Hlk63780527"/>
      <w:r w:rsidRPr="00F464FA">
        <w:rPr>
          <w:lang w:val="en-GB"/>
        </w:rPr>
        <w:tab/>
      </w:r>
      <w:r w:rsidRPr="00F464FA">
        <w:rPr>
          <w:lang w:val="en-GB"/>
        </w:rPr>
        <w:tab/>
      </w:r>
      <w:r w:rsidR="00221DD4" w:rsidRPr="00F464FA">
        <w:rPr>
          <w:lang w:val="en-GB"/>
        </w:rPr>
        <w:t>Article 10</w:t>
      </w:r>
      <w:r w:rsidRPr="00F464FA">
        <w:rPr>
          <w:lang w:val="en-GB"/>
        </w:rPr>
        <w:br/>
      </w:r>
      <w:r w:rsidR="00221DD4" w:rsidRPr="00F464FA">
        <w:rPr>
          <w:lang w:val="en-GB"/>
        </w:rPr>
        <w:t>Protection and assistance for the family</w:t>
      </w:r>
    </w:p>
    <w:bookmarkEnd w:id="36"/>
    <w:p w14:paraId="5C890BEC" w14:textId="77777777" w:rsidR="00221DD4" w:rsidRPr="00F464FA" w:rsidRDefault="00221DD4" w:rsidP="00221DD4">
      <w:pPr>
        <w:pStyle w:val="SingleTxtG"/>
        <w:rPr>
          <w:bCs/>
        </w:rPr>
      </w:pPr>
      <w:r w:rsidRPr="00F464FA">
        <w:rPr>
          <w:bCs/>
        </w:rPr>
        <w:t>78.</w:t>
      </w:r>
      <w:r w:rsidRPr="00F464FA">
        <w:rPr>
          <w:bCs/>
        </w:rPr>
        <w:tab/>
        <w:t>Section 22 of the Constitution stipulates that the family is the natural and fundamental group unit of society and is entitled to protection by society and the State. Each member of the family is entitled to enjoy full and equal respect and protection by law against all forms of neglect, cruelty or exploitation. All men and women have the right to marry and found a family. No person shall be forced to enter into marriage. The Constitution also recognizes marriages all marriages at law, custom and marriages by repute or by permanent cohabitation. The provision further proscribes any person under the age of 18 to be married.</w:t>
      </w:r>
    </w:p>
    <w:p w14:paraId="109B3215" w14:textId="6E112D2B" w:rsidR="00221DD4" w:rsidRPr="00F464FA" w:rsidRDefault="00221DD4" w:rsidP="00221DD4">
      <w:pPr>
        <w:pStyle w:val="SingleTxtG"/>
        <w:rPr>
          <w:bCs/>
        </w:rPr>
      </w:pPr>
      <w:r w:rsidRPr="00F464FA">
        <w:rPr>
          <w:bCs/>
        </w:rPr>
        <w:t>79.</w:t>
      </w:r>
      <w:r w:rsidRPr="00F464FA">
        <w:rPr>
          <w:bCs/>
        </w:rPr>
        <w:tab/>
        <w:t>Section 13(</w:t>
      </w:r>
      <w:proofErr w:type="spellStart"/>
      <w:r w:rsidRPr="00F464FA">
        <w:rPr>
          <w:bCs/>
        </w:rPr>
        <w:t>i</w:t>
      </w:r>
      <w:proofErr w:type="spellEnd"/>
      <w:r w:rsidRPr="00F464FA">
        <w:rPr>
          <w:bCs/>
        </w:rPr>
        <w:t>) of the Constitution stipulates that the State has the responsibility of promulgating laws and developing policies to recognize and protect the family as a fundamental and vital social unit.</w:t>
      </w:r>
    </w:p>
    <w:p w14:paraId="2CDCFED6" w14:textId="23FEBED6" w:rsidR="00221DD4" w:rsidRPr="00F464FA" w:rsidRDefault="00221DD4" w:rsidP="00221DD4">
      <w:pPr>
        <w:pStyle w:val="SingleTxtG"/>
        <w:rPr>
          <w:bCs/>
        </w:rPr>
      </w:pPr>
      <w:r w:rsidRPr="00F464FA">
        <w:rPr>
          <w:bCs/>
        </w:rPr>
        <w:t>80.</w:t>
      </w:r>
      <w:r w:rsidRPr="00F464FA">
        <w:rPr>
          <w:bCs/>
        </w:rPr>
        <w:tab/>
        <w:t>To give effect to section 13(</w:t>
      </w:r>
      <w:proofErr w:type="spellStart"/>
      <w:r w:rsidRPr="00F464FA">
        <w:rPr>
          <w:bCs/>
        </w:rPr>
        <w:t>i</w:t>
      </w:r>
      <w:proofErr w:type="spellEnd"/>
      <w:r w:rsidRPr="00F464FA">
        <w:rPr>
          <w:bCs/>
        </w:rPr>
        <w:t>) and section 22 of the Constitution, several laws and policies have been adopted.</w:t>
      </w:r>
    </w:p>
    <w:p w14:paraId="35291BDA" w14:textId="5EDE8876" w:rsidR="00221DD4" w:rsidRPr="00F464FA" w:rsidRDefault="00221DD4" w:rsidP="00221DD4">
      <w:pPr>
        <w:pStyle w:val="SingleTxtG"/>
        <w:rPr>
          <w:bCs/>
        </w:rPr>
      </w:pPr>
      <w:r w:rsidRPr="00F464FA">
        <w:rPr>
          <w:bCs/>
        </w:rPr>
        <w:t>81.</w:t>
      </w:r>
      <w:r w:rsidRPr="00F464FA">
        <w:rPr>
          <w:bCs/>
        </w:rPr>
        <w:tab/>
        <w:t xml:space="preserve">The principal legislation with regard to marriage is the </w:t>
      </w:r>
      <w:bookmarkStart w:id="37" w:name="_Hlk63776931"/>
      <w:r w:rsidRPr="00F464FA">
        <w:rPr>
          <w:bCs/>
        </w:rPr>
        <w:t>Marriage Divorce and Family Relations A</w:t>
      </w:r>
      <w:bookmarkEnd w:id="37"/>
      <w:r w:rsidRPr="00F464FA">
        <w:rPr>
          <w:bCs/>
        </w:rPr>
        <w:t xml:space="preserve">ct (MDFRA) which was promulgated in 2015. The Act replaces the now repealed the Marriage Act( Cap 25:01); African Marriage (Christian Rites) Registration Act(Cap 25;02); </w:t>
      </w:r>
      <w:proofErr w:type="spellStart"/>
      <w:r w:rsidRPr="00F464FA">
        <w:rPr>
          <w:bCs/>
        </w:rPr>
        <w:t>Asiatics</w:t>
      </w:r>
      <w:proofErr w:type="spellEnd"/>
      <w:r w:rsidRPr="00F464FA">
        <w:rPr>
          <w:bCs/>
        </w:rPr>
        <w:t xml:space="preserve"> (Marriage, Divorce and Succession) Act( Cap 25:03); Divorce Act (Cap 25:04; Married Women (Maintenance) Act (Cap 25: 05) and Maintenance Orders (Enforcement) Act (Cap 26:04) which makes provision for marriage, divorce and family relations between spouses and between unmarried couples, their welfare and maintenance, and that of their children.</w:t>
      </w:r>
    </w:p>
    <w:p w14:paraId="051E584F" w14:textId="77777777" w:rsidR="00221DD4" w:rsidRPr="00F464FA" w:rsidRDefault="00221DD4" w:rsidP="00221DD4">
      <w:pPr>
        <w:pStyle w:val="SingleTxtG"/>
        <w:rPr>
          <w:bCs/>
        </w:rPr>
      </w:pPr>
      <w:r w:rsidRPr="00F464FA">
        <w:rPr>
          <w:bCs/>
        </w:rPr>
        <w:t>82.</w:t>
      </w:r>
      <w:r w:rsidRPr="00F464FA">
        <w:rPr>
          <w:bCs/>
        </w:rPr>
        <w:tab/>
        <w:t xml:space="preserve">Other laws that have been promulgated aimed at addressing some of the challenges affecting the family unit include the Prevention of Domestic Violence Act </w:t>
      </w:r>
      <w:bookmarkStart w:id="38" w:name="_Hlk63776956"/>
      <w:r w:rsidRPr="00F464FA">
        <w:rPr>
          <w:bCs/>
        </w:rPr>
        <w:t xml:space="preserve">(PDVA) </w:t>
      </w:r>
      <w:bookmarkEnd w:id="38"/>
      <w:r w:rsidRPr="00F464FA">
        <w:rPr>
          <w:bCs/>
        </w:rPr>
        <w:t>which was enacted in 2006 and makes provision for the prevention of domestic violence and for the protection of persons affected by domestic violence in a bid to contribute towards the protection of the family as an important social unit.</w:t>
      </w:r>
    </w:p>
    <w:p w14:paraId="782E8791" w14:textId="40AABE36" w:rsidR="00221DD4" w:rsidRPr="00F464FA" w:rsidRDefault="00BE3866" w:rsidP="00355030">
      <w:pPr>
        <w:pStyle w:val="H23G"/>
        <w:rPr>
          <w:lang w:val="en-GB"/>
        </w:rPr>
      </w:pPr>
      <w:r w:rsidRPr="00F464FA">
        <w:rPr>
          <w:lang w:val="en-GB"/>
        </w:rPr>
        <w:tab/>
      </w:r>
      <w:r w:rsidRPr="00F464FA">
        <w:rPr>
          <w:lang w:val="en-GB"/>
        </w:rPr>
        <w:tab/>
      </w:r>
      <w:r w:rsidR="00221DD4" w:rsidRPr="00F464FA">
        <w:rPr>
          <w:lang w:val="en-GB"/>
        </w:rPr>
        <w:t>Marriage</w:t>
      </w:r>
    </w:p>
    <w:p w14:paraId="2C13C0B6" w14:textId="77777777" w:rsidR="00221DD4" w:rsidRPr="00F464FA" w:rsidRDefault="00221DD4" w:rsidP="00221DD4">
      <w:pPr>
        <w:pStyle w:val="SingleTxtG"/>
        <w:rPr>
          <w:bCs/>
        </w:rPr>
      </w:pPr>
      <w:r w:rsidRPr="00F464FA">
        <w:rPr>
          <w:bCs/>
        </w:rPr>
        <w:t>83.</w:t>
      </w:r>
      <w:r w:rsidRPr="00F464FA">
        <w:rPr>
          <w:bCs/>
        </w:rPr>
        <w:tab/>
      </w:r>
      <w:r w:rsidRPr="00F464FA">
        <w:t>The MDFRA sets the minimum age of marriage at 18. When reviewing marriage related laws, the Malawi Law Commission noted that in the case of the girl child, marriage below the age of eighteen is a health hazard and that early marriage has negative development implications. To harmonise the minimum age of marriage, the Constitution was amended in 2017 to set the minimum age of the child at 18, and removing parental consent for marriages of persons between the ages of 15 and 18.</w:t>
      </w:r>
    </w:p>
    <w:p w14:paraId="0CD4C37D" w14:textId="1A261187" w:rsidR="00221DD4" w:rsidRPr="00F464FA" w:rsidRDefault="00221DD4" w:rsidP="00221DD4">
      <w:pPr>
        <w:pStyle w:val="SingleTxtG"/>
        <w:rPr>
          <w:bCs/>
        </w:rPr>
      </w:pPr>
      <w:r w:rsidRPr="00F464FA">
        <w:rPr>
          <w:bCs/>
        </w:rPr>
        <w:t>84.</w:t>
      </w:r>
      <w:r w:rsidRPr="00F464FA">
        <w:rPr>
          <w:bCs/>
        </w:rPr>
        <w:tab/>
        <w:t>The Act recognizes civil marriages, customary marriages, religious marriages and marriages by repute or permanent cohabitation. All these marriages have equal legal status.</w:t>
      </w:r>
    </w:p>
    <w:p w14:paraId="595C3CD1" w14:textId="417B28C8" w:rsidR="00221DD4" w:rsidRPr="00F464FA" w:rsidRDefault="00221DD4" w:rsidP="00221DD4">
      <w:pPr>
        <w:pStyle w:val="SingleTxtG"/>
        <w:rPr>
          <w:bCs/>
        </w:rPr>
      </w:pPr>
      <w:r w:rsidRPr="00F464FA">
        <w:rPr>
          <w:bCs/>
        </w:rPr>
        <w:t>85.</w:t>
      </w:r>
      <w:r w:rsidRPr="00F464FA">
        <w:rPr>
          <w:bCs/>
        </w:rPr>
        <w:tab/>
      </w:r>
      <w:r w:rsidRPr="00F464FA">
        <w:t>The MDFRA makes provision for the registration of every marriage celebrated in accordance with the Act. The Registrar enters into the Marriage Register Book all particulars of certificates of marriage. The Marriage Register Book is made available for inspection during office hours and on application.</w:t>
      </w:r>
    </w:p>
    <w:p w14:paraId="429616C9" w14:textId="77777777" w:rsidR="00221DD4" w:rsidRPr="00F464FA" w:rsidRDefault="00221DD4" w:rsidP="00221DD4">
      <w:pPr>
        <w:pStyle w:val="SingleTxtG"/>
        <w:rPr>
          <w:bCs/>
        </w:rPr>
      </w:pPr>
      <w:r w:rsidRPr="00F464FA">
        <w:rPr>
          <w:bCs/>
        </w:rPr>
        <w:t>86.</w:t>
      </w:r>
      <w:r w:rsidRPr="00F464FA">
        <w:rPr>
          <w:bCs/>
        </w:rPr>
        <w:tab/>
      </w:r>
      <w:r w:rsidRPr="00F464FA">
        <w:t>Polygamy in civil marriages is strictly prohibited under Section 16 of the MDFRA. However, considering that these are still recognised at customary law, the law protects the property interests of a woman in reference to section 24 (1) (b) (ii) and (ii) of the Constitution. However, there is no specific marriage law that protects women in polygamous relationships. Considering that the provisions of the MDFRA apply to all marriages equally, women in polygamous relationships can invoke the same provisions where the need arises. In cases of widowhood, the Deceased Estates (Wills, Inheritance and Protection) Act has specific provisions on the protection of a spouse in a polygamous union.</w:t>
      </w:r>
    </w:p>
    <w:p w14:paraId="12F4F656" w14:textId="0B5DDF2F" w:rsidR="00221DD4" w:rsidRPr="00F464FA" w:rsidRDefault="00965FF9" w:rsidP="00355030">
      <w:pPr>
        <w:pStyle w:val="H23G"/>
        <w:rPr>
          <w:lang w:val="en-GB"/>
        </w:rPr>
      </w:pPr>
      <w:r w:rsidRPr="00F464FA">
        <w:rPr>
          <w:lang w:val="en-GB"/>
        </w:rPr>
        <w:lastRenderedPageBreak/>
        <w:tab/>
      </w:r>
      <w:r w:rsidRPr="00F464FA">
        <w:rPr>
          <w:lang w:val="en-GB"/>
        </w:rPr>
        <w:tab/>
      </w:r>
      <w:r w:rsidR="00221DD4" w:rsidRPr="00F464FA">
        <w:rPr>
          <w:lang w:val="en-GB"/>
        </w:rPr>
        <w:t>Protection of Women</w:t>
      </w:r>
    </w:p>
    <w:p w14:paraId="5A9B087F" w14:textId="77777777" w:rsidR="00221DD4" w:rsidRPr="00F464FA" w:rsidRDefault="00221DD4" w:rsidP="00221DD4">
      <w:pPr>
        <w:pStyle w:val="SingleTxtG"/>
        <w:rPr>
          <w:bCs/>
        </w:rPr>
      </w:pPr>
      <w:r w:rsidRPr="00F464FA">
        <w:rPr>
          <w:bCs/>
        </w:rPr>
        <w:t>87.</w:t>
      </w:r>
      <w:r w:rsidRPr="00F464FA">
        <w:rPr>
          <w:bCs/>
        </w:rPr>
        <w:tab/>
        <w:t>In recognition that women are disproportionately negatively affected by issues within a family, the Government has made deliberate efforts to protect women and girls from being forced to marry and marry under the age of 18.</w:t>
      </w:r>
    </w:p>
    <w:p w14:paraId="08A1E661" w14:textId="2CD85819" w:rsidR="00221DD4" w:rsidRPr="00F464FA" w:rsidRDefault="00221DD4" w:rsidP="00221DD4">
      <w:pPr>
        <w:pStyle w:val="SingleTxtG"/>
        <w:rPr>
          <w:bCs/>
        </w:rPr>
      </w:pPr>
      <w:r w:rsidRPr="00F464FA">
        <w:rPr>
          <w:bCs/>
        </w:rPr>
        <w:t>88.</w:t>
      </w:r>
      <w:r w:rsidRPr="00F464FA">
        <w:rPr>
          <w:bCs/>
        </w:rPr>
        <w:tab/>
        <w:t xml:space="preserve">To proscribe child and forced marriages, the </w:t>
      </w:r>
      <w:r w:rsidRPr="00F464FA">
        <w:t xml:space="preserve">Government of Malawi through its projects has embarked on sensitizing communities to modify societal attitude towards such harmful practices. Firstly, the Government has developed guidelines to standardize by-laws’ applicability in the district councils. Through these by-laws, such harmful practices are prohibited. </w:t>
      </w:r>
      <w:r w:rsidRPr="00F464FA">
        <w:rPr>
          <w:bCs/>
        </w:rPr>
        <w:t xml:space="preserve">Secondly, </w:t>
      </w:r>
      <w:r w:rsidRPr="00F464FA">
        <w:t>many traditional leaders are working hand in hand with Government to challenge community systems that promote harmful practices and are enforcing by-laws within their communities. Many by-laws are addressing child marriage by imposing fines on families that perpetuate the practice, as well as penalizing chiefs that are failing to enforce the by-laws in their communities. Thirdly, there is a clear message from the highest political platform that harmful practices are intolerable. On 25 July 2014, the State President Professor Arthur Peter Mutharika became the first SADC Head of State to sign a commitment to end child marriages, which currently affect 50 percent of girls below the age of 18 years in Malawi.</w:t>
      </w:r>
    </w:p>
    <w:p w14:paraId="460FBC7A" w14:textId="77777777" w:rsidR="00221DD4" w:rsidRPr="00F464FA" w:rsidRDefault="00221DD4" w:rsidP="00221DD4">
      <w:pPr>
        <w:pStyle w:val="SingleTxtG"/>
        <w:rPr>
          <w:bCs/>
        </w:rPr>
      </w:pPr>
      <w:r w:rsidRPr="00F464FA">
        <w:rPr>
          <w:bCs/>
        </w:rPr>
        <w:t>89.</w:t>
      </w:r>
      <w:r w:rsidRPr="00F464FA">
        <w:rPr>
          <w:bCs/>
        </w:rPr>
        <w:tab/>
      </w:r>
      <w:r w:rsidRPr="00F464FA">
        <w:t xml:space="preserve">The </w:t>
      </w:r>
      <w:proofErr w:type="spellStart"/>
      <w:r w:rsidRPr="00F464FA">
        <w:t>MoGCDSW</w:t>
      </w:r>
      <w:proofErr w:type="spellEnd"/>
      <w:r w:rsidRPr="00F464FA">
        <w:t xml:space="preserve"> in collaboration with a radio station called </w:t>
      </w:r>
      <w:proofErr w:type="spellStart"/>
      <w:r w:rsidRPr="00F464FA">
        <w:t>Zodiak</w:t>
      </w:r>
      <w:proofErr w:type="spellEnd"/>
      <w:r w:rsidRPr="00F464FA">
        <w:t xml:space="preserve"> Broadcasting Station and United Nations Population Fund (UNFPA) are running a mass media campaign to end child marriages. The media campaign is aimed at sensitizing the public of the dangers of harmful cultural practices.</w:t>
      </w:r>
    </w:p>
    <w:p w14:paraId="64BE78B9" w14:textId="77777777" w:rsidR="00221DD4" w:rsidRPr="00F464FA" w:rsidRDefault="00221DD4" w:rsidP="00221DD4">
      <w:pPr>
        <w:pStyle w:val="SingleTxtG"/>
        <w:rPr>
          <w:bCs/>
        </w:rPr>
      </w:pPr>
      <w:r w:rsidRPr="00F464FA">
        <w:rPr>
          <w:bCs/>
        </w:rPr>
        <w:t>90.</w:t>
      </w:r>
      <w:r w:rsidRPr="00F464FA">
        <w:rPr>
          <w:bCs/>
        </w:rPr>
        <w:tab/>
      </w:r>
      <w:r w:rsidRPr="00F464FA">
        <w:t>CSOs and development partners have also assisted in the efforts towards eliminating the harmful cultural practices listed above. For instance, Plan International Malawi, are running a Girls not Brides Campaign aimed at sensitizing the communities and rescuing children from child marriages with the help of community-based structures. The campaigns are showing positive results so far. YONECO also runs radio programmes aimed at sensitizing children and parents on harmful cultural practices particularly, child marriages.</w:t>
      </w:r>
    </w:p>
    <w:p w14:paraId="7A2A3A54" w14:textId="02B88FF3" w:rsidR="00221DD4" w:rsidRPr="00F464FA" w:rsidRDefault="00221DD4" w:rsidP="00221DD4">
      <w:pPr>
        <w:pStyle w:val="SingleTxtG"/>
        <w:rPr>
          <w:bCs/>
        </w:rPr>
      </w:pPr>
      <w:r w:rsidRPr="00F464FA">
        <w:rPr>
          <w:bCs/>
        </w:rPr>
        <w:t>91.</w:t>
      </w:r>
      <w:r w:rsidRPr="00F464FA">
        <w:rPr>
          <w:bCs/>
        </w:rPr>
        <w:tab/>
        <w:t>In 2019, the Government adopted the National Strategy on Ending Child Marriage (2018</w:t>
      </w:r>
      <w:r w:rsidR="00965FF9" w:rsidRPr="00F464FA">
        <w:rPr>
          <w:bCs/>
        </w:rPr>
        <w:t>–</w:t>
      </w:r>
      <w:r w:rsidRPr="00F464FA">
        <w:rPr>
          <w:bCs/>
        </w:rPr>
        <w:t>2023). This Strategy provides a blueprint for the coordinated responses towards eliminating child marriages.</w:t>
      </w:r>
    </w:p>
    <w:p w14:paraId="410CA2A6" w14:textId="7C76FD45" w:rsidR="00221DD4" w:rsidRPr="00F464FA" w:rsidRDefault="00965FF9" w:rsidP="00355030">
      <w:pPr>
        <w:pStyle w:val="H23G"/>
        <w:rPr>
          <w:lang w:val="en-GB"/>
        </w:rPr>
      </w:pPr>
      <w:r w:rsidRPr="00F464FA">
        <w:rPr>
          <w:lang w:val="en-GB"/>
        </w:rPr>
        <w:tab/>
      </w:r>
      <w:r w:rsidRPr="00F464FA">
        <w:rPr>
          <w:lang w:val="en-GB"/>
        </w:rPr>
        <w:tab/>
      </w:r>
      <w:r w:rsidR="00221DD4" w:rsidRPr="00F464FA">
        <w:rPr>
          <w:lang w:val="en-GB"/>
        </w:rPr>
        <w:t>Women in Employment</w:t>
      </w:r>
    </w:p>
    <w:p w14:paraId="1CC89725" w14:textId="5895702E" w:rsidR="00221DD4" w:rsidRPr="00F464FA" w:rsidRDefault="00221DD4" w:rsidP="00221DD4">
      <w:pPr>
        <w:pStyle w:val="SingleTxtG"/>
        <w:rPr>
          <w:bCs/>
        </w:rPr>
      </w:pPr>
      <w:r w:rsidRPr="00F464FA">
        <w:rPr>
          <w:bCs/>
        </w:rPr>
        <w:t>92.</w:t>
      </w:r>
      <w:r w:rsidRPr="00F464FA">
        <w:rPr>
          <w:bCs/>
        </w:rPr>
        <w:tab/>
        <w:t>Special protection is also accorded to mothers both before and after birth by inter alia, being provided with paid leave. Section 47 of the Employment Act stipulates that a female employee shall be entitled, within every three years, to at least eight weeks maternity leave on full pay. During the period when an employee is on maternity leave, her normal benefits and entitlements, including her contractual rights and accumulation of seniority, shall continue uninterrupted and her period of employment shall not be considered to have been interrupted, reduced or broken. In the event of illness, certified by a registered medical practitioner, arising out of pregnancy or confinement, affecting the employee or her child, the employer shall grant the employee additional leave as the employer may deem fit. Section 48 of the Employment Act further states that upon the expiration of her maternity leave, an employee shall have the right to return to the same job with the same benefits and entitlements as immediately before her absence.</w:t>
      </w:r>
    </w:p>
    <w:p w14:paraId="565B1BF0" w14:textId="77777777" w:rsidR="00221DD4" w:rsidRPr="00F464FA" w:rsidRDefault="00221DD4" w:rsidP="00221DD4">
      <w:pPr>
        <w:pStyle w:val="SingleTxtG"/>
        <w:rPr>
          <w:bCs/>
        </w:rPr>
      </w:pPr>
      <w:r w:rsidRPr="00F464FA">
        <w:rPr>
          <w:bCs/>
        </w:rPr>
        <w:t>93.</w:t>
      </w:r>
      <w:r w:rsidRPr="00F464FA">
        <w:rPr>
          <w:bCs/>
        </w:rPr>
        <w:tab/>
        <w:t>Where an employer terminates the employment of an employee because the employee is pregnant or for any reason connected with her pregnancy shall be guilty of an offence. An employer who is convicted of an offence under the subsection shall be liable to a fine of K20,000 (approximately US$26.67) and imprisonment for five years. In addition to imposing a penalty under subsection (2), the Court may order that the employer reinstate the employee, who shall be treated in all respects as if her employment had not been terminated and</w:t>
      </w:r>
      <w:r w:rsidRPr="00F464FA">
        <w:rPr>
          <w:i/>
          <w:iCs/>
        </w:rPr>
        <w:t xml:space="preserve"> </w:t>
      </w:r>
      <w:r w:rsidRPr="00F464FA">
        <w:rPr>
          <w:bCs/>
        </w:rPr>
        <w:t>award compensation to the female employee. An employer who is ordered to reinstate an employee and refuses to do so shall be guilty of an offence and liable to a fine of MK500 (approximately US$ 0.66) for each day during which the offence continues.</w:t>
      </w:r>
    </w:p>
    <w:p w14:paraId="004BBA8E" w14:textId="3A00960B" w:rsidR="00221DD4" w:rsidRPr="00F464FA" w:rsidRDefault="009629CB" w:rsidP="00355030">
      <w:pPr>
        <w:pStyle w:val="H23G"/>
        <w:rPr>
          <w:lang w:val="en-GB"/>
        </w:rPr>
      </w:pPr>
      <w:r w:rsidRPr="00F464FA">
        <w:rPr>
          <w:lang w:val="en-GB"/>
        </w:rPr>
        <w:lastRenderedPageBreak/>
        <w:tab/>
      </w:r>
      <w:r w:rsidRPr="00F464FA">
        <w:rPr>
          <w:lang w:val="en-GB"/>
        </w:rPr>
        <w:tab/>
      </w:r>
      <w:r w:rsidR="00221DD4" w:rsidRPr="00F464FA">
        <w:rPr>
          <w:lang w:val="en-GB"/>
        </w:rPr>
        <w:t>Protection of Children</w:t>
      </w:r>
    </w:p>
    <w:p w14:paraId="7440906E" w14:textId="77FD6B8D" w:rsidR="00221DD4" w:rsidRPr="00F464FA" w:rsidRDefault="00221DD4" w:rsidP="00221DD4">
      <w:pPr>
        <w:pStyle w:val="SingleTxtG"/>
        <w:rPr>
          <w:bCs/>
        </w:rPr>
      </w:pPr>
      <w:r w:rsidRPr="00F464FA">
        <w:rPr>
          <w:bCs/>
        </w:rPr>
        <w:t>94.</w:t>
      </w:r>
      <w:r w:rsidRPr="00F464FA">
        <w:rPr>
          <w:bCs/>
        </w:rPr>
        <w:tab/>
        <w:t>According to section 23 of the Constitution of Malawi, children are persons under eighteen years of age. The Constitution has guaranteed children additional rights. For example, the Constitution provides that all children, regardless of the circumstances of their birth, are entitled to equal treatment before the law. They have the right to a given name and a family name and the right to a nationality. They also have the right to know, and to be raised by their parents.</w:t>
      </w:r>
    </w:p>
    <w:p w14:paraId="6BF1CAAA" w14:textId="77777777" w:rsidR="00221DD4" w:rsidRPr="00F464FA" w:rsidRDefault="00221DD4" w:rsidP="00221DD4">
      <w:pPr>
        <w:pStyle w:val="SingleTxtG"/>
        <w:rPr>
          <w:bCs/>
        </w:rPr>
      </w:pPr>
      <w:r w:rsidRPr="00F464FA">
        <w:rPr>
          <w:bCs/>
        </w:rPr>
        <w:t>95.</w:t>
      </w:r>
      <w:r w:rsidRPr="00F464FA">
        <w:rPr>
          <w:bCs/>
        </w:rPr>
        <w:tab/>
      </w:r>
      <w:r w:rsidRPr="00F464FA">
        <w:t>Regarding the protection of children in the family, Section 48 (5) of the MDFRA charges spouses to severally, or jointly with the other, exercise responsibility towards the upbringing, nurturing and maintenance of the children of the marriage. The Act specifically states that the spouses have a duty to maintain the children of the marriage. Where a party to a marriage neglects to maintain the other party or to provide the needs of the children to such an extent that the health, safety or security, nutrition and education of such other party or such children, as the case may be, is adversely affected, that neglect constitutes notifiable family misconduct and a parent of a party to the marriage, a next of kin or other close relative shall be under a duty to report the neglect to the Minister responsible for social welfare.</w:t>
      </w:r>
    </w:p>
    <w:p w14:paraId="35F8C9FA" w14:textId="77777777" w:rsidR="00221DD4" w:rsidRPr="00F464FA" w:rsidRDefault="00221DD4" w:rsidP="00221DD4">
      <w:pPr>
        <w:pStyle w:val="SingleTxtG"/>
        <w:rPr>
          <w:bCs/>
        </w:rPr>
      </w:pPr>
      <w:r w:rsidRPr="00F464FA">
        <w:rPr>
          <w:bCs/>
        </w:rPr>
        <w:t>96.</w:t>
      </w:r>
      <w:r w:rsidRPr="00F464FA">
        <w:rPr>
          <w:bCs/>
        </w:rPr>
        <w:tab/>
      </w:r>
      <w:r w:rsidRPr="00F464FA">
        <w:t xml:space="preserve">The Act also charges the court with the protection of children in a marriage that has broken down and is being dissolved by ensuring that minimum distress should be occasioned on the children. The court shall also have the power to award custody in favour of either of the parents based on the best interests of the child. </w:t>
      </w:r>
      <w:r w:rsidRPr="00F464FA">
        <w:rPr>
          <w:bCs/>
        </w:rPr>
        <w:t>The welfare of children is paramount at all times.</w:t>
      </w:r>
    </w:p>
    <w:p w14:paraId="24695D27" w14:textId="77777777" w:rsidR="00221DD4" w:rsidRPr="00F464FA" w:rsidRDefault="00221DD4" w:rsidP="00221DD4">
      <w:pPr>
        <w:pStyle w:val="SingleTxtG"/>
        <w:rPr>
          <w:bCs/>
        </w:rPr>
      </w:pPr>
      <w:r w:rsidRPr="00F464FA">
        <w:rPr>
          <w:bCs/>
        </w:rPr>
        <w:t>97.</w:t>
      </w:r>
      <w:r w:rsidRPr="00F464FA">
        <w:rPr>
          <w:bCs/>
        </w:rPr>
        <w:tab/>
        <w:t xml:space="preserve">Section 3 of the Deceased Estates (Wills &amp; Inheritance) Act (Cap 10:02) makes provision for equal treatment of both children born outside and within wedlock in terms of inheritance. </w:t>
      </w:r>
    </w:p>
    <w:p w14:paraId="79277921" w14:textId="77777777" w:rsidR="00221DD4" w:rsidRPr="00F464FA" w:rsidRDefault="00221DD4" w:rsidP="00221DD4">
      <w:pPr>
        <w:pStyle w:val="SingleTxtG"/>
        <w:rPr>
          <w:bCs/>
        </w:rPr>
      </w:pPr>
      <w:r w:rsidRPr="00F464FA">
        <w:rPr>
          <w:bCs/>
        </w:rPr>
        <w:t>98.</w:t>
      </w:r>
      <w:r w:rsidRPr="00F464FA">
        <w:rPr>
          <w:bCs/>
        </w:rPr>
        <w:tab/>
        <w:t>In addition, parents and guardians are also given rights and duties towards children under the Child Care, Protection and Justice Act, 2010. For example, Section 3 provides that a parent or guardian shall not deprive a child of his or her welfare and has responsibilities whether imposed by law or otherwise towards the child which include the responsibility to protect the child from neglect, discrimination, violence, abuse, exploitation, oppression and exposure to physical, mental, social and moral hazards; provide proper guidance, care, assistance and maintenance for the child to ensure his or her survival and development, including in particular adequate diet, clothing, shelter and medical attention; and to ensure that during the temporary absence of the parent or guardian, the child shall be cared for by a competent person.</w:t>
      </w:r>
    </w:p>
    <w:p w14:paraId="7A5EF0A1" w14:textId="3F455BE5" w:rsidR="00221DD4" w:rsidRPr="00F464FA" w:rsidRDefault="009629CB" w:rsidP="003E07FA">
      <w:pPr>
        <w:pStyle w:val="H1G"/>
        <w:rPr>
          <w:lang w:val="en-GB"/>
        </w:rPr>
      </w:pPr>
      <w:bookmarkStart w:id="39" w:name="_Hlk63780580"/>
      <w:r w:rsidRPr="00F464FA">
        <w:rPr>
          <w:lang w:val="en-GB"/>
        </w:rPr>
        <w:tab/>
      </w:r>
      <w:r w:rsidRPr="00F464FA">
        <w:rPr>
          <w:lang w:val="en-GB"/>
        </w:rPr>
        <w:tab/>
      </w:r>
      <w:r w:rsidR="00221DD4" w:rsidRPr="00F464FA">
        <w:rPr>
          <w:lang w:val="en-GB"/>
        </w:rPr>
        <w:t>Article 11</w:t>
      </w:r>
      <w:r w:rsidRPr="00F464FA">
        <w:rPr>
          <w:lang w:val="en-GB"/>
        </w:rPr>
        <w:br/>
      </w:r>
      <w:r w:rsidR="00221DD4" w:rsidRPr="00F464FA">
        <w:rPr>
          <w:lang w:val="en-GB"/>
        </w:rPr>
        <w:t>The Right to an adequate standard of living</w:t>
      </w:r>
    </w:p>
    <w:bookmarkEnd w:id="39"/>
    <w:p w14:paraId="27424441" w14:textId="5013EE11" w:rsidR="00221DD4" w:rsidRPr="00F464FA" w:rsidRDefault="00221DD4" w:rsidP="00221DD4">
      <w:pPr>
        <w:pStyle w:val="SingleTxtG"/>
      </w:pPr>
      <w:r w:rsidRPr="00F464FA">
        <w:t>99.</w:t>
      </w:r>
      <w:r w:rsidRPr="00F464FA">
        <w:tab/>
        <w:t>Section 30 (2) of the Constitution, obliges the State to adopt</w:t>
      </w:r>
      <w:r w:rsidRPr="00F464FA">
        <w:rPr>
          <w:iCs/>
        </w:rPr>
        <w:t xml:space="preserve"> measures to ensure equality of opportunity for all in their access to basic resources, education, health services, food, shelter, employment and infrastructure.</w:t>
      </w:r>
    </w:p>
    <w:p w14:paraId="34413D84" w14:textId="77777777" w:rsidR="00221DD4" w:rsidRPr="00F464FA" w:rsidRDefault="00221DD4" w:rsidP="00221DD4">
      <w:pPr>
        <w:pStyle w:val="SingleTxtG"/>
      </w:pPr>
      <w:r w:rsidRPr="00F464FA">
        <w:t>100.</w:t>
      </w:r>
      <w:r w:rsidRPr="00F464FA">
        <w:tab/>
        <w:t xml:space="preserve">The Government has sought to improve the economic and social welfare status of the people of Malawi through strategies such as the </w:t>
      </w:r>
      <w:r w:rsidRPr="00F464FA">
        <w:rPr>
          <w:bCs/>
          <w:iCs/>
        </w:rPr>
        <w:t xml:space="preserve">MDGS III (2017 -2022). </w:t>
      </w:r>
      <w:r w:rsidRPr="00F464FA">
        <w:t>The MDGS identifies five key priority areas some of which are Agriculture, Education and Skills Development, Transport and ICT infrastructure; Energy, Industrial and Tourism Development as areas crucial in ensuring that Malawian citizens enjoy an adequate standard of living. The goals of the MGDS III have been further translated and incorporated into sector specific policies covering the above-mentioned priority areas, discussed throughout the report.</w:t>
      </w:r>
    </w:p>
    <w:p w14:paraId="45E1CADE" w14:textId="77777777" w:rsidR="00221DD4" w:rsidRPr="00F464FA" w:rsidRDefault="00221DD4" w:rsidP="00221DD4">
      <w:pPr>
        <w:pStyle w:val="SingleTxtG"/>
      </w:pPr>
      <w:r w:rsidRPr="00F464FA">
        <w:t>101.</w:t>
      </w:r>
      <w:r w:rsidRPr="00F464FA">
        <w:tab/>
        <w:t>Paragraphs 59 to 76 above outlines the national poverty line and the steps taken to address poverty.</w:t>
      </w:r>
    </w:p>
    <w:p w14:paraId="02307F4B" w14:textId="61BB76ED" w:rsidR="00221DD4" w:rsidRPr="00F464FA" w:rsidRDefault="000D0664" w:rsidP="00355030">
      <w:pPr>
        <w:pStyle w:val="H23G"/>
        <w:rPr>
          <w:lang w:val="en-GB"/>
        </w:rPr>
      </w:pPr>
      <w:r w:rsidRPr="00F464FA">
        <w:rPr>
          <w:lang w:val="en-GB"/>
        </w:rPr>
        <w:lastRenderedPageBreak/>
        <w:tab/>
      </w:r>
      <w:r w:rsidRPr="00F464FA">
        <w:rPr>
          <w:lang w:val="en-GB"/>
        </w:rPr>
        <w:tab/>
      </w:r>
      <w:r w:rsidR="00221DD4" w:rsidRPr="00F464FA">
        <w:rPr>
          <w:lang w:val="en-GB"/>
        </w:rPr>
        <w:t>The right to adequate food</w:t>
      </w:r>
    </w:p>
    <w:p w14:paraId="19900F27" w14:textId="77777777" w:rsidR="00221DD4" w:rsidRPr="00F464FA" w:rsidRDefault="00221DD4" w:rsidP="00221DD4">
      <w:pPr>
        <w:pStyle w:val="SingleTxtG"/>
      </w:pPr>
      <w:r w:rsidRPr="00F464FA">
        <w:t>102.</w:t>
      </w:r>
      <w:r w:rsidRPr="00F464FA">
        <w:tab/>
        <w:t xml:space="preserve">To ensure that Malawians enjoy the right to food, several policies and programmes have been implemented. Firstly, since 2005, the Government has been implementing the FISP, renamed, AIP which is outlined in paragraphs 67 to 75 above. The programme ensures that Malawians have access to farm inputs to </w:t>
      </w:r>
      <w:r w:rsidRPr="00F464FA">
        <w:rPr>
          <w:i/>
          <w:iCs/>
        </w:rPr>
        <w:t>inter alia</w:t>
      </w:r>
      <w:r w:rsidRPr="00F464FA">
        <w:t>, grow subsistence crops to ensure food security. Secondly, the Government through the Ministry of Agriculture developed the National Multi-Sector Nutrition Policy (NMNP) (2018–2022). The Policy is intended to provide a guiding framework for the successful implementation of the national nutrition response; address the existing and emerging national and global issues; and consequently, uphold the Government’s commitment towards eliminating all forms of malnutrition. The Policy shall be operationalized through the National Nutrition Strategic Plan 2018–2022.</w:t>
      </w:r>
    </w:p>
    <w:p w14:paraId="46A219C5" w14:textId="6AAA0C93" w:rsidR="00221DD4" w:rsidRPr="00F464FA" w:rsidRDefault="00221DD4" w:rsidP="00221DD4">
      <w:pPr>
        <w:pStyle w:val="SingleTxtG"/>
      </w:pPr>
      <w:r w:rsidRPr="00F464FA">
        <w:t>103.</w:t>
      </w:r>
      <w:r w:rsidRPr="00F464FA">
        <w:tab/>
        <w:t>The Policy has identified eight priority areas which include, the prevention of under nutrition; gender equality, equity, protection, participation and empowerment for improved nutrition; treatment and control of acute malnutrition; prevention and management of overweight and nutrition-related NCDs; nutrition education, social mobilisation, and positive behaviour change; nutrition during emergency situations; creating an enabling environment for nutrition; and nutrition monitoring, evaluation, research and surveillance</w:t>
      </w:r>
      <w:r w:rsidR="0041379E">
        <w:t>.</w:t>
      </w:r>
    </w:p>
    <w:p w14:paraId="53C379CD" w14:textId="18B142DD" w:rsidR="00221DD4" w:rsidRPr="00F464FA" w:rsidRDefault="00221DD4" w:rsidP="00221DD4">
      <w:pPr>
        <w:pStyle w:val="SingleTxtG"/>
      </w:pPr>
      <w:r w:rsidRPr="00F464FA">
        <w:t>104.</w:t>
      </w:r>
      <w:r w:rsidRPr="00F464FA">
        <w:tab/>
        <w:t>Additional supporting operational strategies and guidelines shall be developed to further translate the aspiration into tangible actions. These shall include the following strategies and guidelines: National Nutrition Education and Communication; Infant and Young Child Feeding (IYCF); Micronutrient; Adolescent Nutrition; School Health and Nutrition; Early Childhood Development; Community-based Management of Acute Malnutrition (CMAM); Nutrition Care Support and Treatment (NCST); and prevention and treatment of nutrition-related Non-Communicable Diseases (NCDs).</w:t>
      </w:r>
    </w:p>
    <w:p w14:paraId="0D248225" w14:textId="77777777" w:rsidR="00221DD4" w:rsidRPr="00F464FA" w:rsidRDefault="00221DD4" w:rsidP="00221DD4">
      <w:pPr>
        <w:pStyle w:val="SingleTxtG"/>
      </w:pPr>
      <w:r w:rsidRPr="00F464FA">
        <w:t>105.</w:t>
      </w:r>
      <w:r w:rsidRPr="00F464FA">
        <w:tab/>
        <w:t>With regard to the IYCF, this programme is normally administered in schools, adopting two modalities. The first is provided with the assistance of World Food Programme (WFP) and Mary’s meals. The second modality is provision of food through home grown school feeding programme. This model empowers communities to manage their own school feeding programme, giving local farmers an opportunity to access and benefit from the school feeding market, and provide students with fresh, nutritious, locally-grown food. Both school feeding programme run by all service providers reaches about 3 percent of all primary schools in Malawi. The WFP programme reaches about 18 percent of the primary school students. The feeding programme targets the poorest and most vulnerable and hard to reach areas in Malawi.</w:t>
      </w:r>
    </w:p>
    <w:p w14:paraId="4CA182A8" w14:textId="635EDB7E" w:rsidR="00221DD4" w:rsidRPr="00F464FA" w:rsidRDefault="00221DD4" w:rsidP="00221DD4">
      <w:pPr>
        <w:pStyle w:val="SingleTxtG"/>
      </w:pPr>
      <w:r w:rsidRPr="00F464FA">
        <w:t>106.</w:t>
      </w:r>
      <w:r w:rsidRPr="00F464FA">
        <w:tab/>
        <w:t>According to the preliminary crop estimates from the Ministry of Agriculture, Malawi is expected to produce 3,691,866 metric tons of maize for the 2020/21 consumption year. This is about 25 percent higher than the five-year average and 9 percent higher than the previous year. Production of rice, millet, and pulses is expected to be between 8 to 11 percent above last year. This estimated rise could be attributed to higher-than-normal rainfall and access to wider access to farm inputs.</w:t>
      </w:r>
    </w:p>
    <w:p w14:paraId="6B1E503A" w14:textId="566271E9" w:rsidR="00221DD4" w:rsidRPr="00F464FA" w:rsidRDefault="000D0664" w:rsidP="00355030">
      <w:pPr>
        <w:pStyle w:val="H23G"/>
        <w:rPr>
          <w:lang w:val="en-GB"/>
        </w:rPr>
      </w:pPr>
      <w:r w:rsidRPr="00F464FA">
        <w:rPr>
          <w:lang w:val="en-GB"/>
        </w:rPr>
        <w:tab/>
      </w:r>
      <w:r w:rsidRPr="00F464FA">
        <w:rPr>
          <w:lang w:val="en-GB"/>
        </w:rPr>
        <w:tab/>
      </w:r>
      <w:r w:rsidR="00221DD4" w:rsidRPr="00F464FA">
        <w:rPr>
          <w:lang w:val="en-GB"/>
        </w:rPr>
        <w:t>The right to water</w:t>
      </w:r>
    </w:p>
    <w:p w14:paraId="04F8C22D" w14:textId="49176E5A" w:rsidR="00221DD4" w:rsidRPr="00F464FA" w:rsidRDefault="00221DD4" w:rsidP="000D0664">
      <w:pPr>
        <w:pStyle w:val="SingleTxtG"/>
        <w:spacing w:after="240"/>
      </w:pPr>
      <w:r w:rsidRPr="00F464FA">
        <w:t>107.</w:t>
      </w:r>
      <w:r w:rsidRPr="00F464FA">
        <w:tab/>
        <w:t>The MPHC found that 85 percent of households used improved sources of drinking water which include piped water, public standpipes, tube/protected wells and boreholes. As Table 15 shows below, about 61.7 percent of the population used boreholes, 8.1 percent used community standpipe, and 10.3 percent used piped water into dwelling or plot as main source of drinking water in the dry season.</w:t>
      </w:r>
    </w:p>
    <w:p w14:paraId="563DEAA0" w14:textId="628E509D" w:rsidR="00221DD4" w:rsidRPr="00F464FA" w:rsidRDefault="00221DD4" w:rsidP="000D0664">
      <w:pPr>
        <w:pStyle w:val="Heading1"/>
        <w:keepNext/>
        <w:keepLines/>
      </w:pPr>
      <w:r w:rsidRPr="00F464FA">
        <w:lastRenderedPageBreak/>
        <w:t>Table 15</w:t>
      </w:r>
    </w:p>
    <w:p w14:paraId="205ED165" w14:textId="77777777" w:rsidR="00221DD4" w:rsidRPr="00F464FA" w:rsidRDefault="00221DD4" w:rsidP="000D0664">
      <w:pPr>
        <w:pStyle w:val="SingleTxtG"/>
        <w:keepNext/>
        <w:keepLines/>
        <w:rPr>
          <w:b/>
        </w:rPr>
      </w:pPr>
      <w:r w:rsidRPr="00F464FA">
        <w:rPr>
          <w:b/>
        </w:rPr>
        <w:t>Number and Percentage of population by main source of drinking water during dry season, 2018</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7"/>
        <w:gridCol w:w="996"/>
        <w:gridCol w:w="704"/>
        <w:gridCol w:w="851"/>
        <w:gridCol w:w="852"/>
        <w:gridCol w:w="851"/>
        <w:gridCol w:w="852"/>
        <w:gridCol w:w="851"/>
        <w:gridCol w:w="851"/>
      </w:tblGrid>
      <w:tr w:rsidR="00A65D4A" w:rsidRPr="00F464FA" w14:paraId="7A963DD5" w14:textId="77777777" w:rsidTr="00D51157">
        <w:trPr>
          <w:tblHeader/>
        </w:trPr>
        <w:tc>
          <w:tcPr>
            <w:tcW w:w="998" w:type="pct"/>
            <w:vMerge w:val="restart"/>
            <w:tcBorders>
              <w:top w:val="single" w:sz="4" w:space="0" w:color="auto"/>
              <w:bottom w:val="single" w:sz="12" w:space="0" w:color="auto"/>
            </w:tcBorders>
            <w:shd w:val="clear" w:color="auto" w:fill="auto"/>
            <w:vAlign w:val="bottom"/>
            <w:hideMark/>
          </w:tcPr>
          <w:p w14:paraId="7093DE4A" w14:textId="42CC93BB" w:rsidR="00221DD4" w:rsidRPr="00F464FA" w:rsidRDefault="003D6F3D" w:rsidP="005745EB">
            <w:pPr>
              <w:pStyle w:val="SingleTxtG"/>
              <w:keepNext/>
              <w:keepLines/>
              <w:tabs>
                <w:tab w:val="clear" w:pos="1701"/>
                <w:tab w:val="clear" w:pos="2268"/>
              </w:tabs>
              <w:suppressAutoHyphens w:val="0"/>
              <w:spacing w:before="80" w:after="80" w:line="200" w:lineRule="exact"/>
              <w:ind w:left="0" w:right="113"/>
              <w:jc w:val="left"/>
              <w:rPr>
                <w:i/>
                <w:sz w:val="16"/>
              </w:rPr>
            </w:pPr>
            <w:r w:rsidRPr="00F464FA">
              <w:rPr>
                <w:i/>
                <w:sz w:val="16"/>
              </w:rPr>
              <w:t>Main source of drinki</w:t>
            </w:r>
            <w:r w:rsidR="00221DD4" w:rsidRPr="00F464FA">
              <w:rPr>
                <w:i/>
                <w:sz w:val="16"/>
              </w:rPr>
              <w:t>ng water</w:t>
            </w:r>
          </w:p>
        </w:tc>
        <w:tc>
          <w:tcPr>
            <w:tcW w:w="999" w:type="pct"/>
            <w:gridSpan w:val="2"/>
            <w:tcBorders>
              <w:top w:val="single" w:sz="4" w:space="0" w:color="auto"/>
              <w:bottom w:val="single" w:sz="4" w:space="0" w:color="auto"/>
            </w:tcBorders>
            <w:shd w:val="clear" w:color="auto" w:fill="auto"/>
            <w:noWrap/>
            <w:vAlign w:val="bottom"/>
            <w:hideMark/>
          </w:tcPr>
          <w:p w14:paraId="73C3AB79"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center"/>
              <w:rPr>
                <w:i/>
                <w:sz w:val="16"/>
              </w:rPr>
            </w:pPr>
            <w:r w:rsidRPr="00F464FA">
              <w:rPr>
                <w:i/>
                <w:sz w:val="16"/>
              </w:rPr>
              <w:t>Malawi</w:t>
            </w:r>
          </w:p>
        </w:tc>
        <w:tc>
          <w:tcPr>
            <w:tcW w:w="1001" w:type="pct"/>
            <w:gridSpan w:val="2"/>
            <w:tcBorders>
              <w:top w:val="single" w:sz="4" w:space="0" w:color="auto"/>
              <w:bottom w:val="single" w:sz="4" w:space="0" w:color="auto"/>
            </w:tcBorders>
            <w:shd w:val="clear" w:color="auto" w:fill="auto"/>
            <w:noWrap/>
            <w:vAlign w:val="bottom"/>
            <w:hideMark/>
          </w:tcPr>
          <w:p w14:paraId="3496450E"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center"/>
              <w:rPr>
                <w:i/>
                <w:sz w:val="16"/>
              </w:rPr>
            </w:pPr>
            <w:r w:rsidRPr="00F464FA">
              <w:rPr>
                <w:i/>
                <w:sz w:val="16"/>
              </w:rPr>
              <w:t>Northern Region</w:t>
            </w:r>
          </w:p>
        </w:tc>
        <w:tc>
          <w:tcPr>
            <w:tcW w:w="1001" w:type="pct"/>
            <w:gridSpan w:val="2"/>
            <w:tcBorders>
              <w:top w:val="single" w:sz="4" w:space="0" w:color="auto"/>
              <w:bottom w:val="single" w:sz="4" w:space="0" w:color="auto"/>
            </w:tcBorders>
            <w:shd w:val="clear" w:color="auto" w:fill="auto"/>
            <w:noWrap/>
            <w:vAlign w:val="bottom"/>
            <w:hideMark/>
          </w:tcPr>
          <w:p w14:paraId="03E40CEC"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center"/>
              <w:rPr>
                <w:i/>
                <w:sz w:val="16"/>
              </w:rPr>
            </w:pPr>
            <w:r w:rsidRPr="00F464FA">
              <w:rPr>
                <w:i/>
                <w:sz w:val="16"/>
              </w:rPr>
              <w:t>Central Region</w:t>
            </w:r>
          </w:p>
        </w:tc>
        <w:tc>
          <w:tcPr>
            <w:tcW w:w="1001" w:type="pct"/>
            <w:gridSpan w:val="2"/>
            <w:tcBorders>
              <w:top w:val="single" w:sz="4" w:space="0" w:color="auto"/>
              <w:bottom w:val="single" w:sz="4" w:space="0" w:color="auto"/>
            </w:tcBorders>
            <w:shd w:val="clear" w:color="auto" w:fill="auto"/>
            <w:noWrap/>
            <w:vAlign w:val="bottom"/>
            <w:hideMark/>
          </w:tcPr>
          <w:p w14:paraId="5ED05D40"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center"/>
              <w:rPr>
                <w:i/>
                <w:sz w:val="16"/>
              </w:rPr>
            </w:pPr>
            <w:r w:rsidRPr="00F464FA">
              <w:rPr>
                <w:i/>
                <w:sz w:val="16"/>
              </w:rPr>
              <w:t>Southern Region</w:t>
            </w:r>
          </w:p>
        </w:tc>
      </w:tr>
      <w:tr w:rsidR="00A65D4A" w:rsidRPr="00F464FA" w14:paraId="1F240281" w14:textId="77777777" w:rsidTr="00D51157">
        <w:trPr>
          <w:tblHeader/>
        </w:trPr>
        <w:tc>
          <w:tcPr>
            <w:tcW w:w="998" w:type="pct"/>
            <w:vMerge/>
            <w:tcBorders>
              <w:top w:val="single" w:sz="12" w:space="0" w:color="auto"/>
              <w:bottom w:val="single" w:sz="12" w:space="0" w:color="auto"/>
            </w:tcBorders>
            <w:shd w:val="clear" w:color="auto" w:fill="auto"/>
            <w:vAlign w:val="bottom"/>
            <w:hideMark/>
          </w:tcPr>
          <w:p w14:paraId="70CF0F8F" w14:textId="77777777" w:rsidR="00221DD4" w:rsidRPr="00F464FA" w:rsidRDefault="00221DD4" w:rsidP="005745EB">
            <w:pPr>
              <w:pStyle w:val="SingleTxtG"/>
              <w:keepNext/>
              <w:keepLines/>
              <w:tabs>
                <w:tab w:val="clear" w:pos="1701"/>
                <w:tab w:val="clear" w:pos="2268"/>
              </w:tabs>
              <w:suppressAutoHyphens w:val="0"/>
              <w:spacing w:before="40" w:after="40" w:line="220" w:lineRule="exact"/>
              <w:ind w:left="0" w:right="113"/>
              <w:jc w:val="left"/>
              <w:rPr>
                <w:sz w:val="18"/>
              </w:rPr>
            </w:pPr>
          </w:p>
        </w:tc>
        <w:tc>
          <w:tcPr>
            <w:tcW w:w="586" w:type="pct"/>
            <w:tcBorders>
              <w:top w:val="single" w:sz="4" w:space="0" w:color="auto"/>
              <w:bottom w:val="single" w:sz="12" w:space="0" w:color="auto"/>
            </w:tcBorders>
            <w:shd w:val="clear" w:color="auto" w:fill="auto"/>
            <w:noWrap/>
            <w:vAlign w:val="bottom"/>
            <w:hideMark/>
          </w:tcPr>
          <w:p w14:paraId="5294D277"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414" w:type="pct"/>
            <w:tcBorders>
              <w:top w:val="single" w:sz="4" w:space="0" w:color="auto"/>
              <w:bottom w:val="single" w:sz="12" w:space="0" w:color="auto"/>
            </w:tcBorders>
            <w:shd w:val="clear" w:color="auto" w:fill="auto"/>
            <w:noWrap/>
            <w:vAlign w:val="bottom"/>
            <w:hideMark/>
          </w:tcPr>
          <w:p w14:paraId="325B0044"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Percent</w:t>
            </w:r>
          </w:p>
        </w:tc>
        <w:tc>
          <w:tcPr>
            <w:tcW w:w="500" w:type="pct"/>
            <w:tcBorders>
              <w:top w:val="single" w:sz="4" w:space="0" w:color="auto"/>
              <w:bottom w:val="single" w:sz="12" w:space="0" w:color="auto"/>
            </w:tcBorders>
            <w:shd w:val="clear" w:color="auto" w:fill="auto"/>
            <w:noWrap/>
            <w:vAlign w:val="bottom"/>
            <w:hideMark/>
          </w:tcPr>
          <w:p w14:paraId="6825ECCB"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500" w:type="pct"/>
            <w:tcBorders>
              <w:top w:val="single" w:sz="4" w:space="0" w:color="auto"/>
              <w:bottom w:val="single" w:sz="12" w:space="0" w:color="auto"/>
            </w:tcBorders>
            <w:shd w:val="clear" w:color="auto" w:fill="auto"/>
            <w:noWrap/>
            <w:vAlign w:val="bottom"/>
            <w:hideMark/>
          </w:tcPr>
          <w:p w14:paraId="11FA1B83"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Percent</w:t>
            </w:r>
          </w:p>
        </w:tc>
        <w:tc>
          <w:tcPr>
            <w:tcW w:w="500" w:type="pct"/>
            <w:tcBorders>
              <w:top w:val="single" w:sz="4" w:space="0" w:color="auto"/>
              <w:bottom w:val="single" w:sz="12" w:space="0" w:color="auto"/>
            </w:tcBorders>
            <w:shd w:val="clear" w:color="auto" w:fill="auto"/>
            <w:noWrap/>
            <w:vAlign w:val="bottom"/>
            <w:hideMark/>
          </w:tcPr>
          <w:p w14:paraId="42FE3C6B"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500" w:type="pct"/>
            <w:tcBorders>
              <w:top w:val="single" w:sz="4" w:space="0" w:color="auto"/>
              <w:bottom w:val="single" w:sz="12" w:space="0" w:color="auto"/>
            </w:tcBorders>
            <w:shd w:val="clear" w:color="auto" w:fill="auto"/>
            <w:noWrap/>
            <w:vAlign w:val="bottom"/>
            <w:hideMark/>
          </w:tcPr>
          <w:p w14:paraId="2E60A7D1"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Percent</w:t>
            </w:r>
          </w:p>
        </w:tc>
        <w:tc>
          <w:tcPr>
            <w:tcW w:w="500" w:type="pct"/>
            <w:tcBorders>
              <w:top w:val="single" w:sz="4" w:space="0" w:color="auto"/>
              <w:bottom w:val="single" w:sz="12" w:space="0" w:color="auto"/>
            </w:tcBorders>
            <w:shd w:val="clear" w:color="auto" w:fill="auto"/>
            <w:noWrap/>
            <w:vAlign w:val="bottom"/>
            <w:hideMark/>
          </w:tcPr>
          <w:p w14:paraId="4D12D9B0"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501" w:type="pct"/>
            <w:tcBorders>
              <w:top w:val="single" w:sz="4" w:space="0" w:color="auto"/>
              <w:bottom w:val="single" w:sz="12" w:space="0" w:color="auto"/>
            </w:tcBorders>
            <w:shd w:val="clear" w:color="auto" w:fill="auto"/>
            <w:noWrap/>
            <w:vAlign w:val="bottom"/>
            <w:hideMark/>
          </w:tcPr>
          <w:p w14:paraId="673609D4" w14:textId="77777777" w:rsidR="00221DD4" w:rsidRPr="00F464FA" w:rsidRDefault="00221DD4" w:rsidP="005745EB">
            <w:pPr>
              <w:pStyle w:val="SingleTxtG"/>
              <w:keepNext/>
              <w:keepLines/>
              <w:tabs>
                <w:tab w:val="clear" w:pos="1701"/>
                <w:tab w:val="clear" w:pos="2268"/>
              </w:tabs>
              <w:suppressAutoHyphens w:val="0"/>
              <w:spacing w:before="80" w:after="80" w:line="200" w:lineRule="exact"/>
              <w:ind w:left="0" w:right="113"/>
              <w:jc w:val="right"/>
              <w:rPr>
                <w:i/>
                <w:sz w:val="16"/>
              </w:rPr>
            </w:pPr>
            <w:r w:rsidRPr="00F464FA">
              <w:rPr>
                <w:i/>
                <w:sz w:val="16"/>
              </w:rPr>
              <w:t>Percent</w:t>
            </w:r>
          </w:p>
        </w:tc>
      </w:tr>
      <w:tr w:rsidR="00B91A18" w:rsidRPr="00F464FA" w14:paraId="2BB5D440" w14:textId="77777777" w:rsidTr="00D51157">
        <w:tc>
          <w:tcPr>
            <w:tcW w:w="998" w:type="pct"/>
            <w:tcBorders>
              <w:top w:val="single" w:sz="12" w:space="0" w:color="auto"/>
              <w:bottom w:val="single" w:sz="4" w:space="0" w:color="auto"/>
            </w:tcBorders>
            <w:shd w:val="clear" w:color="auto" w:fill="auto"/>
            <w:noWrap/>
            <w:hideMark/>
          </w:tcPr>
          <w:p w14:paraId="4380C556" w14:textId="77777777" w:rsidR="00221DD4" w:rsidRPr="00F464FA" w:rsidRDefault="00221DD4" w:rsidP="005745EB">
            <w:pPr>
              <w:pStyle w:val="SingleTxtG"/>
              <w:keepNext/>
              <w:keepLines/>
              <w:tabs>
                <w:tab w:val="clear" w:pos="1701"/>
                <w:tab w:val="clear" w:pos="2268"/>
              </w:tabs>
              <w:suppressAutoHyphens w:val="0"/>
              <w:spacing w:before="80" w:after="80" w:line="220" w:lineRule="exact"/>
              <w:ind w:left="283" w:right="0"/>
              <w:jc w:val="left"/>
              <w:rPr>
                <w:b/>
                <w:bCs/>
                <w:sz w:val="18"/>
              </w:rPr>
            </w:pPr>
            <w:r w:rsidRPr="00F464FA">
              <w:rPr>
                <w:b/>
                <w:bCs/>
                <w:sz w:val="18"/>
              </w:rPr>
              <w:t>Total</w:t>
            </w:r>
          </w:p>
        </w:tc>
        <w:tc>
          <w:tcPr>
            <w:tcW w:w="586" w:type="pct"/>
            <w:tcBorders>
              <w:top w:val="single" w:sz="12" w:space="0" w:color="auto"/>
              <w:bottom w:val="single" w:sz="4" w:space="0" w:color="auto"/>
            </w:tcBorders>
            <w:shd w:val="clear" w:color="auto" w:fill="auto"/>
            <w:noWrap/>
            <w:vAlign w:val="bottom"/>
            <w:hideMark/>
          </w:tcPr>
          <w:p w14:paraId="3E1F501B" w14:textId="2BA83B0F"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17</w:t>
            </w:r>
            <w:r w:rsidR="005745EB" w:rsidRPr="00F464FA">
              <w:rPr>
                <w:b/>
                <w:bCs/>
                <w:sz w:val="18"/>
              </w:rPr>
              <w:t xml:space="preserve"> </w:t>
            </w:r>
            <w:r w:rsidRPr="00F464FA">
              <w:rPr>
                <w:b/>
                <w:bCs/>
                <w:sz w:val="18"/>
              </w:rPr>
              <w:t>517</w:t>
            </w:r>
            <w:r w:rsidR="005745EB" w:rsidRPr="00F464FA">
              <w:rPr>
                <w:b/>
                <w:bCs/>
                <w:sz w:val="18"/>
              </w:rPr>
              <w:t xml:space="preserve"> </w:t>
            </w:r>
            <w:r w:rsidRPr="00F464FA">
              <w:rPr>
                <w:b/>
                <w:bCs/>
                <w:sz w:val="18"/>
              </w:rPr>
              <w:t>349</w:t>
            </w:r>
          </w:p>
        </w:tc>
        <w:tc>
          <w:tcPr>
            <w:tcW w:w="414" w:type="pct"/>
            <w:tcBorders>
              <w:top w:val="single" w:sz="12" w:space="0" w:color="auto"/>
              <w:bottom w:val="single" w:sz="4" w:space="0" w:color="auto"/>
            </w:tcBorders>
            <w:shd w:val="clear" w:color="auto" w:fill="auto"/>
            <w:noWrap/>
            <w:vAlign w:val="bottom"/>
            <w:hideMark/>
          </w:tcPr>
          <w:p w14:paraId="5250E9CF" w14:textId="77777777"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100</w:t>
            </w:r>
          </w:p>
        </w:tc>
        <w:tc>
          <w:tcPr>
            <w:tcW w:w="500" w:type="pct"/>
            <w:tcBorders>
              <w:top w:val="single" w:sz="12" w:space="0" w:color="auto"/>
              <w:bottom w:val="single" w:sz="4" w:space="0" w:color="auto"/>
            </w:tcBorders>
            <w:shd w:val="clear" w:color="auto" w:fill="auto"/>
            <w:noWrap/>
            <w:vAlign w:val="bottom"/>
            <w:hideMark/>
          </w:tcPr>
          <w:p w14:paraId="0526876A" w14:textId="02299B93"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2</w:t>
            </w:r>
            <w:r w:rsidR="005745EB" w:rsidRPr="00F464FA">
              <w:rPr>
                <w:b/>
                <w:bCs/>
                <w:sz w:val="18"/>
              </w:rPr>
              <w:t xml:space="preserve"> </w:t>
            </w:r>
            <w:r w:rsidRPr="00F464FA">
              <w:rPr>
                <w:b/>
                <w:bCs/>
                <w:sz w:val="18"/>
              </w:rPr>
              <w:t>281</w:t>
            </w:r>
            <w:r w:rsidR="005745EB" w:rsidRPr="00F464FA">
              <w:rPr>
                <w:b/>
                <w:bCs/>
                <w:sz w:val="18"/>
              </w:rPr>
              <w:t xml:space="preserve"> </w:t>
            </w:r>
            <w:r w:rsidRPr="00F464FA">
              <w:rPr>
                <w:b/>
                <w:bCs/>
                <w:sz w:val="18"/>
              </w:rPr>
              <w:t>105</w:t>
            </w:r>
          </w:p>
        </w:tc>
        <w:tc>
          <w:tcPr>
            <w:tcW w:w="500" w:type="pct"/>
            <w:tcBorders>
              <w:top w:val="single" w:sz="12" w:space="0" w:color="auto"/>
              <w:bottom w:val="single" w:sz="4" w:space="0" w:color="auto"/>
            </w:tcBorders>
            <w:shd w:val="clear" w:color="auto" w:fill="auto"/>
            <w:noWrap/>
            <w:vAlign w:val="bottom"/>
            <w:hideMark/>
          </w:tcPr>
          <w:p w14:paraId="32259F7C" w14:textId="77777777"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100.0</w:t>
            </w:r>
          </w:p>
        </w:tc>
        <w:tc>
          <w:tcPr>
            <w:tcW w:w="500" w:type="pct"/>
            <w:tcBorders>
              <w:top w:val="single" w:sz="12" w:space="0" w:color="auto"/>
              <w:bottom w:val="single" w:sz="4" w:space="0" w:color="auto"/>
            </w:tcBorders>
            <w:shd w:val="clear" w:color="auto" w:fill="auto"/>
            <w:noWrap/>
            <w:vAlign w:val="bottom"/>
            <w:hideMark/>
          </w:tcPr>
          <w:p w14:paraId="686437CE" w14:textId="3B7699D4"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7</w:t>
            </w:r>
            <w:r w:rsidR="005745EB" w:rsidRPr="00F464FA">
              <w:rPr>
                <w:b/>
                <w:bCs/>
                <w:sz w:val="18"/>
              </w:rPr>
              <w:t xml:space="preserve"> </w:t>
            </w:r>
            <w:r w:rsidRPr="00F464FA">
              <w:rPr>
                <w:b/>
                <w:bCs/>
                <w:sz w:val="18"/>
              </w:rPr>
              <w:t>503</w:t>
            </w:r>
            <w:r w:rsidR="005745EB" w:rsidRPr="00F464FA">
              <w:rPr>
                <w:b/>
                <w:bCs/>
                <w:sz w:val="18"/>
              </w:rPr>
              <w:t xml:space="preserve"> </w:t>
            </w:r>
            <w:r w:rsidRPr="00F464FA">
              <w:rPr>
                <w:b/>
                <w:bCs/>
                <w:sz w:val="18"/>
              </w:rPr>
              <w:t>594</w:t>
            </w:r>
          </w:p>
        </w:tc>
        <w:tc>
          <w:tcPr>
            <w:tcW w:w="500" w:type="pct"/>
            <w:tcBorders>
              <w:top w:val="single" w:sz="12" w:space="0" w:color="auto"/>
              <w:bottom w:val="single" w:sz="4" w:space="0" w:color="auto"/>
            </w:tcBorders>
            <w:shd w:val="clear" w:color="auto" w:fill="auto"/>
            <w:noWrap/>
            <w:vAlign w:val="bottom"/>
            <w:hideMark/>
          </w:tcPr>
          <w:p w14:paraId="67BDB8EB" w14:textId="77777777"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100</w:t>
            </w:r>
          </w:p>
        </w:tc>
        <w:tc>
          <w:tcPr>
            <w:tcW w:w="500" w:type="pct"/>
            <w:tcBorders>
              <w:top w:val="single" w:sz="12" w:space="0" w:color="auto"/>
              <w:bottom w:val="single" w:sz="4" w:space="0" w:color="auto"/>
            </w:tcBorders>
            <w:shd w:val="clear" w:color="auto" w:fill="auto"/>
            <w:noWrap/>
            <w:vAlign w:val="bottom"/>
            <w:hideMark/>
          </w:tcPr>
          <w:p w14:paraId="746BFC77" w14:textId="4BA8CF86"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7</w:t>
            </w:r>
            <w:r w:rsidR="005745EB" w:rsidRPr="00F464FA">
              <w:rPr>
                <w:b/>
                <w:bCs/>
                <w:sz w:val="18"/>
              </w:rPr>
              <w:t xml:space="preserve"> </w:t>
            </w:r>
            <w:r w:rsidRPr="00F464FA">
              <w:rPr>
                <w:b/>
                <w:bCs/>
                <w:sz w:val="18"/>
              </w:rPr>
              <w:t>732</w:t>
            </w:r>
            <w:r w:rsidR="005745EB" w:rsidRPr="00F464FA">
              <w:rPr>
                <w:b/>
                <w:bCs/>
                <w:sz w:val="18"/>
              </w:rPr>
              <w:t xml:space="preserve"> </w:t>
            </w:r>
            <w:r w:rsidRPr="00F464FA">
              <w:rPr>
                <w:b/>
                <w:bCs/>
                <w:sz w:val="18"/>
              </w:rPr>
              <w:t>650</w:t>
            </w:r>
          </w:p>
        </w:tc>
        <w:tc>
          <w:tcPr>
            <w:tcW w:w="501" w:type="pct"/>
            <w:tcBorders>
              <w:top w:val="single" w:sz="12" w:space="0" w:color="auto"/>
              <w:bottom w:val="single" w:sz="4" w:space="0" w:color="auto"/>
            </w:tcBorders>
            <w:shd w:val="clear" w:color="auto" w:fill="auto"/>
            <w:noWrap/>
            <w:vAlign w:val="bottom"/>
            <w:hideMark/>
          </w:tcPr>
          <w:p w14:paraId="6DC14D0D" w14:textId="77777777" w:rsidR="00221DD4" w:rsidRPr="00F464FA" w:rsidRDefault="00221DD4" w:rsidP="005745EB">
            <w:pPr>
              <w:pStyle w:val="SingleTxtG"/>
              <w:keepNext/>
              <w:keepLines/>
              <w:tabs>
                <w:tab w:val="clear" w:pos="1701"/>
                <w:tab w:val="clear" w:pos="2268"/>
              </w:tabs>
              <w:suppressAutoHyphens w:val="0"/>
              <w:spacing w:before="80" w:after="80" w:line="220" w:lineRule="exact"/>
              <w:ind w:left="0" w:right="113"/>
              <w:jc w:val="right"/>
              <w:rPr>
                <w:b/>
                <w:bCs/>
                <w:sz w:val="18"/>
              </w:rPr>
            </w:pPr>
            <w:r w:rsidRPr="00F464FA">
              <w:rPr>
                <w:b/>
                <w:bCs/>
                <w:sz w:val="18"/>
              </w:rPr>
              <w:t>100</w:t>
            </w:r>
          </w:p>
        </w:tc>
      </w:tr>
      <w:tr w:rsidR="00B91A18" w:rsidRPr="00F464FA" w14:paraId="2D63A6DF" w14:textId="77777777" w:rsidTr="00D51157">
        <w:tc>
          <w:tcPr>
            <w:tcW w:w="998" w:type="pct"/>
            <w:tcBorders>
              <w:top w:val="single" w:sz="4" w:space="0" w:color="auto"/>
            </w:tcBorders>
            <w:shd w:val="clear" w:color="auto" w:fill="auto"/>
            <w:noWrap/>
            <w:hideMark/>
          </w:tcPr>
          <w:p w14:paraId="799C5DB5"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Piped into dwelling</w:t>
            </w:r>
          </w:p>
        </w:tc>
        <w:tc>
          <w:tcPr>
            <w:tcW w:w="586" w:type="pct"/>
            <w:tcBorders>
              <w:top w:val="single" w:sz="4" w:space="0" w:color="auto"/>
            </w:tcBorders>
            <w:shd w:val="clear" w:color="auto" w:fill="auto"/>
            <w:noWrap/>
            <w:vAlign w:val="bottom"/>
            <w:hideMark/>
          </w:tcPr>
          <w:p w14:paraId="7EC3ED60" w14:textId="46F4B21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510</w:t>
            </w:r>
            <w:r w:rsidR="009F73CE" w:rsidRPr="00F464FA">
              <w:rPr>
                <w:sz w:val="18"/>
              </w:rPr>
              <w:t xml:space="preserve"> </w:t>
            </w:r>
            <w:r w:rsidRPr="00F464FA">
              <w:rPr>
                <w:sz w:val="18"/>
              </w:rPr>
              <w:t>986</w:t>
            </w:r>
          </w:p>
        </w:tc>
        <w:tc>
          <w:tcPr>
            <w:tcW w:w="414" w:type="pct"/>
            <w:tcBorders>
              <w:top w:val="single" w:sz="4" w:space="0" w:color="auto"/>
            </w:tcBorders>
            <w:shd w:val="clear" w:color="auto" w:fill="auto"/>
            <w:noWrap/>
            <w:vAlign w:val="bottom"/>
            <w:hideMark/>
          </w:tcPr>
          <w:p w14:paraId="3D766932"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w:t>
            </w:r>
          </w:p>
        </w:tc>
        <w:tc>
          <w:tcPr>
            <w:tcW w:w="500" w:type="pct"/>
            <w:tcBorders>
              <w:top w:val="single" w:sz="4" w:space="0" w:color="auto"/>
            </w:tcBorders>
            <w:shd w:val="clear" w:color="auto" w:fill="auto"/>
            <w:noWrap/>
            <w:vAlign w:val="bottom"/>
            <w:hideMark/>
          </w:tcPr>
          <w:p w14:paraId="02AE7D9B" w14:textId="0530E098"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77</w:t>
            </w:r>
            <w:r w:rsidR="009F73CE" w:rsidRPr="00F464FA">
              <w:rPr>
                <w:sz w:val="18"/>
              </w:rPr>
              <w:t xml:space="preserve"> </w:t>
            </w:r>
            <w:r w:rsidRPr="00F464FA">
              <w:rPr>
                <w:sz w:val="18"/>
              </w:rPr>
              <w:t>218</w:t>
            </w:r>
          </w:p>
        </w:tc>
        <w:tc>
          <w:tcPr>
            <w:tcW w:w="500" w:type="pct"/>
            <w:tcBorders>
              <w:top w:val="single" w:sz="4" w:space="0" w:color="auto"/>
            </w:tcBorders>
            <w:shd w:val="clear" w:color="auto" w:fill="auto"/>
            <w:noWrap/>
            <w:vAlign w:val="bottom"/>
            <w:hideMark/>
          </w:tcPr>
          <w:p w14:paraId="7B155FFF"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3.4</w:t>
            </w:r>
          </w:p>
        </w:tc>
        <w:tc>
          <w:tcPr>
            <w:tcW w:w="500" w:type="pct"/>
            <w:tcBorders>
              <w:top w:val="single" w:sz="4" w:space="0" w:color="auto"/>
            </w:tcBorders>
            <w:shd w:val="clear" w:color="auto" w:fill="auto"/>
            <w:noWrap/>
            <w:vAlign w:val="bottom"/>
            <w:hideMark/>
          </w:tcPr>
          <w:p w14:paraId="7E10BEC8" w14:textId="0165AD2E"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196</w:t>
            </w:r>
            <w:r w:rsidR="009F73CE" w:rsidRPr="00F464FA">
              <w:rPr>
                <w:sz w:val="18"/>
              </w:rPr>
              <w:t xml:space="preserve"> </w:t>
            </w:r>
            <w:r w:rsidRPr="00F464FA">
              <w:rPr>
                <w:sz w:val="18"/>
              </w:rPr>
              <w:t>629</w:t>
            </w:r>
          </w:p>
        </w:tc>
        <w:tc>
          <w:tcPr>
            <w:tcW w:w="500" w:type="pct"/>
            <w:tcBorders>
              <w:top w:val="single" w:sz="4" w:space="0" w:color="auto"/>
            </w:tcBorders>
            <w:shd w:val="clear" w:color="auto" w:fill="auto"/>
            <w:noWrap/>
            <w:vAlign w:val="bottom"/>
            <w:hideMark/>
          </w:tcPr>
          <w:p w14:paraId="63740D3E"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2.6</w:t>
            </w:r>
          </w:p>
        </w:tc>
        <w:tc>
          <w:tcPr>
            <w:tcW w:w="500" w:type="pct"/>
            <w:tcBorders>
              <w:top w:val="single" w:sz="4" w:space="0" w:color="auto"/>
            </w:tcBorders>
            <w:shd w:val="clear" w:color="auto" w:fill="auto"/>
            <w:noWrap/>
            <w:vAlign w:val="bottom"/>
            <w:hideMark/>
          </w:tcPr>
          <w:p w14:paraId="762CF6D6"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w:t>
            </w:r>
          </w:p>
        </w:tc>
        <w:tc>
          <w:tcPr>
            <w:tcW w:w="501" w:type="pct"/>
            <w:tcBorders>
              <w:top w:val="single" w:sz="4" w:space="0" w:color="auto"/>
            </w:tcBorders>
            <w:shd w:val="clear" w:color="auto" w:fill="auto"/>
            <w:noWrap/>
            <w:vAlign w:val="bottom"/>
            <w:hideMark/>
          </w:tcPr>
          <w:p w14:paraId="36065E7D"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3.1</w:t>
            </w:r>
          </w:p>
        </w:tc>
      </w:tr>
      <w:tr w:rsidR="00B91A18" w:rsidRPr="00F464FA" w14:paraId="35208953" w14:textId="77777777" w:rsidTr="00D51157">
        <w:tc>
          <w:tcPr>
            <w:tcW w:w="998" w:type="pct"/>
            <w:shd w:val="clear" w:color="auto" w:fill="auto"/>
            <w:noWrap/>
            <w:hideMark/>
          </w:tcPr>
          <w:p w14:paraId="63057B19"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Piped into yard/plot</w:t>
            </w:r>
          </w:p>
        </w:tc>
        <w:tc>
          <w:tcPr>
            <w:tcW w:w="586" w:type="pct"/>
            <w:shd w:val="clear" w:color="auto" w:fill="auto"/>
            <w:noWrap/>
            <w:vAlign w:val="bottom"/>
            <w:hideMark/>
          </w:tcPr>
          <w:p w14:paraId="64504FDD" w14:textId="2AB617CF"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9F73CE" w:rsidRPr="00F464FA">
              <w:rPr>
                <w:sz w:val="18"/>
              </w:rPr>
              <w:t xml:space="preserve"> </w:t>
            </w:r>
            <w:r w:rsidRPr="00F464FA">
              <w:rPr>
                <w:sz w:val="18"/>
              </w:rPr>
              <w:t>293</w:t>
            </w:r>
            <w:r w:rsidR="009F73CE" w:rsidRPr="00F464FA">
              <w:rPr>
                <w:sz w:val="18"/>
              </w:rPr>
              <w:t xml:space="preserve"> </w:t>
            </w:r>
            <w:r w:rsidRPr="00F464FA">
              <w:rPr>
                <w:sz w:val="18"/>
              </w:rPr>
              <w:t>387</w:t>
            </w:r>
          </w:p>
        </w:tc>
        <w:tc>
          <w:tcPr>
            <w:tcW w:w="414" w:type="pct"/>
            <w:shd w:val="clear" w:color="auto" w:fill="auto"/>
            <w:noWrap/>
            <w:vAlign w:val="bottom"/>
            <w:hideMark/>
          </w:tcPr>
          <w:p w14:paraId="7814ACB2"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7</w:t>
            </w:r>
          </w:p>
        </w:tc>
        <w:tc>
          <w:tcPr>
            <w:tcW w:w="500" w:type="pct"/>
            <w:shd w:val="clear" w:color="auto" w:fill="auto"/>
            <w:noWrap/>
            <w:vAlign w:val="bottom"/>
            <w:hideMark/>
          </w:tcPr>
          <w:p w14:paraId="4C321995" w14:textId="1A0D8148"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306</w:t>
            </w:r>
            <w:r w:rsidR="009F73CE" w:rsidRPr="00F464FA">
              <w:rPr>
                <w:sz w:val="18"/>
              </w:rPr>
              <w:t xml:space="preserve"> </w:t>
            </w:r>
            <w:r w:rsidRPr="00F464FA">
              <w:rPr>
                <w:sz w:val="18"/>
              </w:rPr>
              <w:t>059</w:t>
            </w:r>
          </w:p>
        </w:tc>
        <w:tc>
          <w:tcPr>
            <w:tcW w:w="500" w:type="pct"/>
            <w:shd w:val="clear" w:color="auto" w:fill="auto"/>
            <w:noWrap/>
            <w:vAlign w:val="bottom"/>
            <w:hideMark/>
          </w:tcPr>
          <w:p w14:paraId="390C38C7"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13.4</w:t>
            </w:r>
          </w:p>
        </w:tc>
        <w:tc>
          <w:tcPr>
            <w:tcW w:w="500" w:type="pct"/>
            <w:shd w:val="clear" w:color="auto" w:fill="auto"/>
            <w:noWrap/>
            <w:vAlign w:val="bottom"/>
            <w:hideMark/>
          </w:tcPr>
          <w:p w14:paraId="24EB075B" w14:textId="1EF6CDB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499</w:t>
            </w:r>
            <w:r w:rsidR="009F73CE" w:rsidRPr="00F464FA">
              <w:rPr>
                <w:sz w:val="18"/>
              </w:rPr>
              <w:t xml:space="preserve"> </w:t>
            </w:r>
            <w:r w:rsidRPr="00F464FA">
              <w:rPr>
                <w:sz w:val="18"/>
              </w:rPr>
              <w:t>771</w:t>
            </w:r>
          </w:p>
        </w:tc>
        <w:tc>
          <w:tcPr>
            <w:tcW w:w="500" w:type="pct"/>
            <w:shd w:val="clear" w:color="auto" w:fill="auto"/>
            <w:noWrap/>
            <w:vAlign w:val="bottom"/>
            <w:hideMark/>
          </w:tcPr>
          <w:p w14:paraId="6785F876"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6.7</w:t>
            </w:r>
          </w:p>
        </w:tc>
        <w:tc>
          <w:tcPr>
            <w:tcW w:w="500" w:type="pct"/>
            <w:shd w:val="clear" w:color="auto" w:fill="auto"/>
            <w:noWrap/>
            <w:vAlign w:val="bottom"/>
            <w:hideMark/>
          </w:tcPr>
          <w:p w14:paraId="1999AEDF" w14:textId="67071F05"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487</w:t>
            </w:r>
            <w:r w:rsidR="009F73CE" w:rsidRPr="00F464FA">
              <w:rPr>
                <w:sz w:val="18"/>
              </w:rPr>
              <w:t xml:space="preserve"> </w:t>
            </w:r>
            <w:r w:rsidRPr="00F464FA">
              <w:rPr>
                <w:sz w:val="18"/>
              </w:rPr>
              <w:t>557</w:t>
            </w:r>
          </w:p>
        </w:tc>
        <w:tc>
          <w:tcPr>
            <w:tcW w:w="501" w:type="pct"/>
            <w:shd w:val="clear" w:color="auto" w:fill="auto"/>
            <w:noWrap/>
            <w:vAlign w:val="bottom"/>
            <w:hideMark/>
          </w:tcPr>
          <w:p w14:paraId="37D658FC"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6.3</w:t>
            </w:r>
          </w:p>
        </w:tc>
      </w:tr>
      <w:tr w:rsidR="00B91A18" w:rsidRPr="00F464FA" w14:paraId="5390F97E" w14:textId="77777777" w:rsidTr="00D51157">
        <w:tc>
          <w:tcPr>
            <w:tcW w:w="998" w:type="pct"/>
            <w:shd w:val="clear" w:color="auto" w:fill="auto"/>
            <w:noWrap/>
            <w:hideMark/>
          </w:tcPr>
          <w:p w14:paraId="3C40FD75" w14:textId="77777777" w:rsidR="00221DD4" w:rsidRPr="00F464FA" w:rsidRDefault="00221DD4" w:rsidP="00D51157">
            <w:pPr>
              <w:pStyle w:val="SingleTxtG"/>
              <w:tabs>
                <w:tab w:val="clear" w:pos="1701"/>
                <w:tab w:val="clear" w:pos="2268"/>
              </w:tabs>
              <w:suppressAutoHyphens w:val="0"/>
              <w:spacing w:before="40" w:after="40" w:line="220" w:lineRule="exact"/>
              <w:ind w:left="0" w:right="0"/>
              <w:jc w:val="left"/>
              <w:rPr>
                <w:sz w:val="18"/>
              </w:rPr>
            </w:pPr>
            <w:r w:rsidRPr="00F464FA">
              <w:rPr>
                <w:sz w:val="18"/>
              </w:rPr>
              <w:t>Community standpipe</w:t>
            </w:r>
          </w:p>
        </w:tc>
        <w:tc>
          <w:tcPr>
            <w:tcW w:w="586" w:type="pct"/>
            <w:shd w:val="clear" w:color="auto" w:fill="auto"/>
            <w:noWrap/>
            <w:vAlign w:val="bottom"/>
            <w:hideMark/>
          </w:tcPr>
          <w:p w14:paraId="24485636" w14:textId="53A2A0DA"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9F73CE" w:rsidRPr="00F464FA">
              <w:rPr>
                <w:sz w:val="18"/>
              </w:rPr>
              <w:t xml:space="preserve"> </w:t>
            </w:r>
            <w:r w:rsidRPr="00F464FA">
              <w:rPr>
                <w:sz w:val="18"/>
              </w:rPr>
              <w:t>415</w:t>
            </w:r>
            <w:r w:rsidR="009F73CE" w:rsidRPr="00F464FA">
              <w:rPr>
                <w:sz w:val="18"/>
              </w:rPr>
              <w:t xml:space="preserve"> </w:t>
            </w:r>
            <w:r w:rsidRPr="00F464FA">
              <w:rPr>
                <w:sz w:val="18"/>
              </w:rPr>
              <w:t>739</w:t>
            </w:r>
          </w:p>
        </w:tc>
        <w:tc>
          <w:tcPr>
            <w:tcW w:w="414" w:type="pct"/>
            <w:shd w:val="clear" w:color="auto" w:fill="auto"/>
            <w:noWrap/>
            <w:vAlign w:val="bottom"/>
            <w:hideMark/>
          </w:tcPr>
          <w:p w14:paraId="06200DE4"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8</w:t>
            </w:r>
          </w:p>
        </w:tc>
        <w:tc>
          <w:tcPr>
            <w:tcW w:w="500" w:type="pct"/>
            <w:shd w:val="clear" w:color="auto" w:fill="auto"/>
            <w:noWrap/>
            <w:vAlign w:val="bottom"/>
            <w:hideMark/>
          </w:tcPr>
          <w:p w14:paraId="16C1A71E" w14:textId="5B3B6CDE"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142</w:t>
            </w:r>
            <w:r w:rsidR="009F73CE" w:rsidRPr="00F464FA">
              <w:rPr>
                <w:sz w:val="18"/>
              </w:rPr>
              <w:t xml:space="preserve"> </w:t>
            </w:r>
            <w:r w:rsidRPr="00F464FA">
              <w:rPr>
                <w:sz w:val="18"/>
              </w:rPr>
              <w:t>737</w:t>
            </w:r>
          </w:p>
        </w:tc>
        <w:tc>
          <w:tcPr>
            <w:tcW w:w="500" w:type="pct"/>
            <w:shd w:val="clear" w:color="auto" w:fill="auto"/>
            <w:noWrap/>
            <w:vAlign w:val="bottom"/>
            <w:hideMark/>
          </w:tcPr>
          <w:p w14:paraId="1E34E1B9"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6.3</w:t>
            </w:r>
          </w:p>
        </w:tc>
        <w:tc>
          <w:tcPr>
            <w:tcW w:w="500" w:type="pct"/>
            <w:shd w:val="clear" w:color="auto" w:fill="auto"/>
            <w:noWrap/>
            <w:vAlign w:val="bottom"/>
            <w:hideMark/>
          </w:tcPr>
          <w:p w14:paraId="6DC4360B" w14:textId="67118695"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520</w:t>
            </w:r>
            <w:r w:rsidR="009F73CE" w:rsidRPr="00F464FA">
              <w:rPr>
                <w:sz w:val="18"/>
              </w:rPr>
              <w:t xml:space="preserve"> </w:t>
            </w:r>
            <w:r w:rsidRPr="00F464FA">
              <w:rPr>
                <w:sz w:val="18"/>
              </w:rPr>
              <w:t>949</w:t>
            </w:r>
          </w:p>
        </w:tc>
        <w:tc>
          <w:tcPr>
            <w:tcW w:w="500" w:type="pct"/>
            <w:shd w:val="clear" w:color="auto" w:fill="auto"/>
            <w:noWrap/>
            <w:vAlign w:val="bottom"/>
            <w:hideMark/>
          </w:tcPr>
          <w:p w14:paraId="1B5A3AE9"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6.9</w:t>
            </w:r>
          </w:p>
        </w:tc>
        <w:tc>
          <w:tcPr>
            <w:tcW w:w="500" w:type="pct"/>
            <w:shd w:val="clear" w:color="auto" w:fill="auto"/>
            <w:noWrap/>
            <w:vAlign w:val="bottom"/>
            <w:hideMark/>
          </w:tcPr>
          <w:p w14:paraId="6F92BA4F" w14:textId="07997C49"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752</w:t>
            </w:r>
            <w:r w:rsidR="009F73CE" w:rsidRPr="00F464FA">
              <w:rPr>
                <w:sz w:val="18"/>
              </w:rPr>
              <w:t xml:space="preserve"> </w:t>
            </w:r>
            <w:r w:rsidRPr="00F464FA">
              <w:rPr>
                <w:sz w:val="18"/>
              </w:rPr>
              <w:t>053</w:t>
            </w:r>
          </w:p>
        </w:tc>
        <w:tc>
          <w:tcPr>
            <w:tcW w:w="501" w:type="pct"/>
            <w:shd w:val="clear" w:color="auto" w:fill="auto"/>
            <w:noWrap/>
            <w:vAlign w:val="bottom"/>
            <w:hideMark/>
          </w:tcPr>
          <w:p w14:paraId="6B025558"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9.7</w:t>
            </w:r>
          </w:p>
        </w:tc>
      </w:tr>
      <w:tr w:rsidR="00B91A18" w:rsidRPr="00F464FA" w14:paraId="532F2214" w14:textId="77777777" w:rsidTr="00D51157">
        <w:tc>
          <w:tcPr>
            <w:tcW w:w="998" w:type="pct"/>
            <w:shd w:val="clear" w:color="auto" w:fill="auto"/>
            <w:noWrap/>
            <w:hideMark/>
          </w:tcPr>
          <w:p w14:paraId="7BC03F98"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Protected well</w:t>
            </w:r>
          </w:p>
        </w:tc>
        <w:tc>
          <w:tcPr>
            <w:tcW w:w="586" w:type="pct"/>
            <w:shd w:val="clear" w:color="auto" w:fill="auto"/>
            <w:noWrap/>
            <w:vAlign w:val="bottom"/>
            <w:hideMark/>
          </w:tcPr>
          <w:p w14:paraId="1954AED8" w14:textId="40CA5E2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910</w:t>
            </w:r>
            <w:r w:rsidR="009F73CE" w:rsidRPr="00F464FA">
              <w:rPr>
                <w:sz w:val="18"/>
              </w:rPr>
              <w:t xml:space="preserve"> </w:t>
            </w:r>
            <w:r w:rsidRPr="00F464FA">
              <w:rPr>
                <w:sz w:val="18"/>
              </w:rPr>
              <w:t>668</w:t>
            </w:r>
          </w:p>
        </w:tc>
        <w:tc>
          <w:tcPr>
            <w:tcW w:w="414" w:type="pct"/>
            <w:shd w:val="clear" w:color="auto" w:fill="auto"/>
            <w:noWrap/>
            <w:vAlign w:val="bottom"/>
            <w:hideMark/>
          </w:tcPr>
          <w:p w14:paraId="60C45B6D"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w:t>
            </w:r>
          </w:p>
        </w:tc>
        <w:tc>
          <w:tcPr>
            <w:tcW w:w="500" w:type="pct"/>
            <w:shd w:val="clear" w:color="auto" w:fill="auto"/>
            <w:noWrap/>
            <w:vAlign w:val="bottom"/>
            <w:hideMark/>
          </w:tcPr>
          <w:p w14:paraId="67F43EF6" w14:textId="2192FF1F"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114</w:t>
            </w:r>
            <w:r w:rsidR="009F73CE" w:rsidRPr="00F464FA">
              <w:rPr>
                <w:sz w:val="18"/>
              </w:rPr>
              <w:t xml:space="preserve"> </w:t>
            </w:r>
            <w:r w:rsidRPr="00F464FA">
              <w:rPr>
                <w:sz w:val="18"/>
              </w:rPr>
              <w:t>547</w:t>
            </w:r>
          </w:p>
        </w:tc>
        <w:tc>
          <w:tcPr>
            <w:tcW w:w="500" w:type="pct"/>
            <w:shd w:val="clear" w:color="auto" w:fill="auto"/>
            <w:noWrap/>
            <w:vAlign w:val="bottom"/>
            <w:hideMark/>
          </w:tcPr>
          <w:p w14:paraId="20203F75"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5.0</w:t>
            </w:r>
          </w:p>
        </w:tc>
        <w:tc>
          <w:tcPr>
            <w:tcW w:w="500" w:type="pct"/>
            <w:shd w:val="clear" w:color="auto" w:fill="auto"/>
            <w:noWrap/>
            <w:vAlign w:val="bottom"/>
            <w:hideMark/>
          </w:tcPr>
          <w:p w14:paraId="102F280D" w14:textId="2AF36824"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550</w:t>
            </w:r>
            <w:r w:rsidR="009F73CE" w:rsidRPr="00F464FA">
              <w:rPr>
                <w:sz w:val="18"/>
              </w:rPr>
              <w:t xml:space="preserve"> </w:t>
            </w:r>
            <w:r w:rsidRPr="00F464FA">
              <w:rPr>
                <w:sz w:val="18"/>
              </w:rPr>
              <w:t>690</w:t>
            </w:r>
          </w:p>
        </w:tc>
        <w:tc>
          <w:tcPr>
            <w:tcW w:w="500" w:type="pct"/>
            <w:shd w:val="clear" w:color="auto" w:fill="auto"/>
            <w:noWrap/>
            <w:vAlign w:val="bottom"/>
            <w:hideMark/>
          </w:tcPr>
          <w:p w14:paraId="7C202534"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7.3</w:t>
            </w:r>
          </w:p>
        </w:tc>
        <w:tc>
          <w:tcPr>
            <w:tcW w:w="500" w:type="pct"/>
            <w:shd w:val="clear" w:color="auto" w:fill="auto"/>
            <w:noWrap/>
            <w:vAlign w:val="bottom"/>
            <w:hideMark/>
          </w:tcPr>
          <w:p w14:paraId="78403BB7" w14:textId="25CA7204"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245</w:t>
            </w:r>
            <w:r w:rsidR="009F73CE" w:rsidRPr="00F464FA">
              <w:rPr>
                <w:sz w:val="18"/>
              </w:rPr>
              <w:t xml:space="preserve"> </w:t>
            </w:r>
            <w:r w:rsidRPr="00F464FA">
              <w:rPr>
                <w:sz w:val="18"/>
              </w:rPr>
              <w:t>431</w:t>
            </w:r>
          </w:p>
        </w:tc>
        <w:tc>
          <w:tcPr>
            <w:tcW w:w="501" w:type="pct"/>
            <w:shd w:val="clear" w:color="auto" w:fill="auto"/>
            <w:noWrap/>
            <w:vAlign w:val="bottom"/>
            <w:hideMark/>
          </w:tcPr>
          <w:p w14:paraId="533FD730"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3.2</w:t>
            </w:r>
          </w:p>
        </w:tc>
      </w:tr>
      <w:tr w:rsidR="00B91A18" w:rsidRPr="00F464FA" w14:paraId="6CA22D85" w14:textId="77777777" w:rsidTr="00D51157">
        <w:tc>
          <w:tcPr>
            <w:tcW w:w="998" w:type="pct"/>
            <w:shd w:val="clear" w:color="auto" w:fill="auto"/>
            <w:noWrap/>
            <w:hideMark/>
          </w:tcPr>
          <w:p w14:paraId="523B4AB5"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Borehole</w:t>
            </w:r>
          </w:p>
        </w:tc>
        <w:tc>
          <w:tcPr>
            <w:tcW w:w="586" w:type="pct"/>
            <w:shd w:val="clear" w:color="auto" w:fill="auto"/>
            <w:noWrap/>
            <w:vAlign w:val="bottom"/>
            <w:hideMark/>
          </w:tcPr>
          <w:p w14:paraId="47ADDBBE" w14:textId="4A4CC33A"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10</w:t>
            </w:r>
            <w:r w:rsidR="009F73CE" w:rsidRPr="00F464FA">
              <w:rPr>
                <w:sz w:val="18"/>
              </w:rPr>
              <w:t xml:space="preserve"> </w:t>
            </w:r>
            <w:r w:rsidRPr="00F464FA">
              <w:rPr>
                <w:sz w:val="18"/>
              </w:rPr>
              <w:t>800</w:t>
            </w:r>
            <w:r w:rsidR="009F73CE" w:rsidRPr="00F464FA">
              <w:rPr>
                <w:sz w:val="18"/>
              </w:rPr>
              <w:t xml:space="preserve"> </w:t>
            </w:r>
            <w:r w:rsidRPr="00F464FA">
              <w:rPr>
                <w:sz w:val="18"/>
              </w:rPr>
              <w:t>408</w:t>
            </w:r>
          </w:p>
        </w:tc>
        <w:tc>
          <w:tcPr>
            <w:tcW w:w="414" w:type="pct"/>
            <w:shd w:val="clear" w:color="auto" w:fill="auto"/>
            <w:noWrap/>
            <w:vAlign w:val="bottom"/>
            <w:hideMark/>
          </w:tcPr>
          <w:p w14:paraId="73D3E7A1"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62</w:t>
            </w:r>
          </w:p>
        </w:tc>
        <w:tc>
          <w:tcPr>
            <w:tcW w:w="500" w:type="pct"/>
            <w:shd w:val="clear" w:color="auto" w:fill="auto"/>
            <w:noWrap/>
            <w:vAlign w:val="bottom"/>
            <w:hideMark/>
          </w:tcPr>
          <w:p w14:paraId="236A0300" w14:textId="7CC504A2"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9F73CE" w:rsidRPr="00F464FA">
              <w:rPr>
                <w:sz w:val="18"/>
              </w:rPr>
              <w:t xml:space="preserve"> </w:t>
            </w:r>
            <w:r w:rsidRPr="00F464FA">
              <w:rPr>
                <w:sz w:val="18"/>
              </w:rPr>
              <w:t>253</w:t>
            </w:r>
            <w:r w:rsidR="009F73CE" w:rsidRPr="00F464FA">
              <w:rPr>
                <w:sz w:val="18"/>
              </w:rPr>
              <w:t xml:space="preserve"> </w:t>
            </w:r>
            <w:r w:rsidRPr="00F464FA">
              <w:rPr>
                <w:sz w:val="18"/>
              </w:rPr>
              <w:t>283</w:t>
            </w:r>
          </w:p>
        </w:tc>
        <w:tc>
          <w:tcPr>
            <w:tcW w:w="500" w:type="pct"/>
            <w:shd w:val="clear" w:color="auto" w:fill="auto"/>
            <w:noWrap/>
            <w:vAlign w:val="bottom"/>
            <w:hideMark/>
          </w:tcPr>
          <w:p w14:paraId="3501E60D"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54.9</w:t>
            </w:r>
          </w:p>
        </w:tc>
        <w:tc>
          <w:tcPr>
            <w:tcW w:w="500" w:type="pct"/>
            <w:shd w:val="clear" w:color="auto" w:fill="auto"/>
            <w:noWrap/>
            <w:vAlign w:val="bottom"/>
            <w:hideMark/>
          </w:tcPr>
          <w:p w14:paraId="24E34C67" w14:textId="659527A3"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w:t>
            </w:r>
            <w:r w:rsidR="009F73CE" w:rsidRPr="00F464FA">
              <w:rPr>
                <w:sz w:val="18"/>
              </w:rPr>
              <w:t xml:space="preserve"> </w:t>
            </w:r>
            <w:r w:rsidRPr="00F464FA">
              <w:rPr>
                <w:sz w:val="18"/>
              </w:rPr>
              <w:t>518</w:t>
            </w:r>
            <w:r w:rsidR="009F73CE" w:rsidRPr="00F464FA">
              <w:rPr>
                <w:sz w:val="18"/>
              </w:rPr>
              <w:t xml:space="preserve"> </w:t>
            </w:r>
            <w:r w:rsidRPr="00F464FA">
              <w:rPr>
                <w:sz w:val="18"/>
              </w:rPr>
              <w:t>415</w:t>
            </w:r>
          </w:p>
        </w:tc>
        <w:tc>
          <w:tcPr>
            <w:tcW w:w="500" w:type="pct"/>
            <w:shd w:val="clear" w:color="auto" w:fill="auto"/>
            <w:noWrap/>
            <w:vAlign w:val="bottom"/>
            <w:hideMark/>
          </w:tcPr>
          <w:p w14:paraId="3EF6D06D"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60.2</w:t>
            </w:r>
          </w:p>
        </w:tc>
        <w:tc>
          <w:tcPr>
            <w:tcW w:w="500" w:type="pct"/>
            <w:shd w:val="clear" w:color="auto" w:fill="auto"/>
            <w:noWrap/>
            <w:vAlign w:val="bottom"/>
            <w:hideMark/>
          </w:tcPr>
          <w:p w14:paraId="1DA6CA9A" w14:textId="1A3D9DDC"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w:t>
            </w:r>
            <w:r w:rsidR="009F73CE" w:rsidRPr="00F464FA">
              <w:rPr>
                <w:sz w:val="18"/>
              </w:rPr>
              <w:t xml:space="preserve"> </w:t>
            </w:r>
            <w:r w:rsidRPr="00F464FA">
              <w:rPr>
                <w:sz w:val="18"/>
              </w:rPr>
              <w:t>028</w:t>
            </w:r>
            <w:r w:rsidR="009F73CE" w:rsidRPr="00F464FA">
              <w:rPr>
                <w:sz w:val="18"/>
              </w:rPr>
              <w:t xml:space="preserve"> </w:t>
            </w:r>
            <w:r w:rsidRPr="00F464FA">
              <w:rPr>
                <w:sz w:val="18"/>
              </w:rPr>
              <w:t>710</w:t>
            </w:r>
          </w:p>
        </w:tc>
        <w:tc>
          <w:tcPr>
            <w:tcW w:w="501" w:type="pct"/>
            <w:shd w:val="clear" w:color="auto" w:fill="auto"/>
            <w:noWrap/>
            <w:vAlign w:val="bottom"/>
            <w:hideMark/>
          </w:tcPr>
          <w:p w14:paraId="22B74A18"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65.0</w:t>
            </w:r>
          </w:p>
        </w:tc>
      </w:tr>
      <w:tr w:rsidR="00B91A18" w:rsidRPr="00F464FA" w14:paraId="08A6BAFF" w14:textId="77777777" w:rsidTr="00D51157">
        <w:tc>
          <w:tcPr>
            <w:tcW w:w="998" w:type="pct"/>
            <w:shd w:val="clear" w:color="auto" w:fill="auto"/>
            <w:noWrap/>
            <w:hideMark/>
          </w:tcPr>
          <w:p w14:paraId="24B92700"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Unprotected well</w:t>
            </w:r>
          </w:p>
        </w:tc>
        <w:tc>
          <w:tcPr>
            <w:tcW w:w="586" w:type="pct"/>
            <w:shd w:val="clear" w:color="auto" w:fill="auto"/>
            <w:noWrap/>
            <w:vAlign w:val="bottom"/>
            <w:hideMark/>
          </w:tcPr>
          <w:p w14:paraId="6E1A0330" w14:textId="3B5EA642"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9F73CE" w:rsidRPr="00F464FA">
              <w:rPr>
                <w:sz w:val="18"/>
              </w:rPr>
              <w:t xml:space="preserve"> </w:t>
            </w:r>
            <w:r w:rsidRPr="00F464FA">
              <w:rPr>
                <w:sz w:val="18"/>
              </w:rPr>
              <w:t>402</w:t>
            </w:r>
            <w:r w:rsidR="009F73CE" w:rsidRPr="00F464FA">
              <w:rPr>
                <w:sz w:val="18"/>
              </w:rPr>
              <w:t xml:space="preserve"> </w:t>
            </w:r>
            <w:r w:rsidRPr="00F464FA">
              <w:rPr>
                <w:sz w:val="18"/>
              </w:rPr>
              <w:t>367</w:t>
            </w:r>
          </w:p>
        </w:tc>
        <w:tc>
          <w:tcPr>
            <w:tcW w:w="414" w:type="pct"/>
            <w:shd w:val="clear" w:color="auto" w:fill="auto"/>
            <w:noWrap/>
            <w:vAlign w:val="bottom"/>
            <w:hideMark/>
          </w:tcPr>
          <w:p w14:paraId="76F9409F"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8</w:t>
            </w:r>
          </w:p>
        </w:tc>
        <w:tc>
          <w:tcPr>
            <w:tcW w:w="500" w:type="pct"/>
            <w:shd w:val="clear" w:color="auto" w:fill="auto"/>
            <w:noWrap/>
            <w:vAlign w:val="bottom"/>
            <w:hideMark/>
          </w:tcPr>
          <w:p w14:paraId="5330FB16" w14:textId="279AE249"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136</w:t>
            </w:r>
            <w:r w:rsidR="009F73CE" w:rsidRPr="00F464FA">
              <w:rPr>
                <w:sz w:val="18"/>
              </w:rPr>
              <w:t xml:space="preserve"> </w:t>
            </w:r>
            <w:r w:rsidRPr="00F464FA">
              <w:rPr>
                <w:sz w:val="18"/>
              </w:rPr>
              <w:t>937</w:t>
            </w:r>
          </w:p>
        </w:tc>
        <w:tc>
          <w:tcPr>
            <w:tcW w:w="500" w:type="pct"/>
            <w:shd w:val="clear" w:color="auto" w:fill="auto"/>
            <w:noWrap/>
            <w:vAlign w:val="bottom"/>
            <w:hideMark/>
          </w:tcPr>
          <w:p w14:paraId="191D676B"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6.0</w:t>
            </w:r>
          </w:p>
        </w:tc>
        <w:tc>
          <w:tcPr>
            <w:tcW w:w="500" w:type="pct"/>
            <w:shd w:val="clear" w:color="auto" w:fill="auto"/>
            <w:noWrap/>
            <w:vAlign w:val="bottom"/>
            <w:hideMark/>
          </w:tcPr>
          <w:p w14:paraId="181520FB" w14:textId="0633FD02"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745</w:t>
            </w:r>
            <w:r w:rsidR="009F73CE" w:rsidRPr="00F464FA">
              <w:rPr>
                <w:sz w:val="18"/>
              </w:rPr>
              <w:t xml:space="preserve"> </w:t>
            </w:r>
            <w:r w:rsidRPr="00F464FA">
              <w:rPr>
                <w:sz w:val="18"/>
              </w:rPr>
              <w:t>593</w:t>
            </w:r>
          </w:p>
        </w:tc>
        <w:tc>
          <w:tcPr>
            <w:tcW w:w="500" w:type="pct"/>
            <w:shd w:val="clear" w:color="auto" w:fill="auto"/>
            <w:noWrap/>
            <w:vAlign w:val="bottom"/>
            <w:hideMark/>
          </w:tcPr>
          <w:p w14:paraId="7D9EFDFE"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9.9</w:t>
            </w:r>
          </w:p>
        </w:tc>
        <w:tc>
          <w:tcPr>
            <w:tcW w:w="500" w:type="pct"/>
            <w:shd w:val="clear" w:color="auto" w:fill="auto"/>
            <w:noWrap/>
            <w:vAlign w:val="bottom"/>
            <w:hideMark/>
          </w:tcPr>
          <w:p w14:paraId="5782FE0C" w14:textId="61203949"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519</w:t>
            </w:r>
            <w:r w:rsidR="009F73CE" w:rsidRPr="00F464FA">
              <w:rPr>
                <w:sz w:val="18"/>
              </w:rPr>
              <w:t xml:space="preserve"> </w:t>
            </w:r>
            <w:r w:rsidRPr="00F464FA">
              <w:rPr>
                <w:sz w:val="18"/>
              </w:rPr>
              <w:t>837</w:t>
            </w:r>
          </w:p>
        </w:tc>
        <w:tc>
          <w:tcPr>
            <w:tcW w:w="501" w:type="pct"/>
            <w:shd w:val="clear" w:color="auto" w:fill="auto"/>
            <w:noWrap/>
            <w:vAlign w:val="bottom"/>
            <w:hideMark/>
          </w:tcPr>
          <w:p w14:paraId="5758E71A"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6.7</w:t>
            </w:r>
          </w:p>
        </w:tc>
      </w:tr>
      <w:tr w:rsidR="00B91A18" w:rsidRPr="00F464FA" w14:paraId="0CB4F627" w14:textId="77777777" w:rsidTr="00D51157">
        <w:tc>
          <w:tcPr>
            <w:tcW w:w="998" w:type="pct"/>
            <w:shd w:val="clear" w:color="auto" w:fill="auto"/>
            <w:noWrap/>
            <w:hideMark/>
          </w:tcPr>
          <w:p w14:paraId="7F608759"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Spring</w:t>
            </w:r>
          </w:p>
        </w:tc>
        <w:tc>
          <w:tcPr>
            <w:tcW w:w="586" w:type="pct"/>
            <w:shd w:val="clear" w:color="auto" w:fill="auto"/>
            <w:noWrap/>
            <w:vAlign w:val="bottom"/>
            <w:hideMark/>
          </w:tcPr>
          <w:p w14:paraId="353562CF" w14:textId="0EC37699"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96</w:t>
            </w:r>
            <w:r w:rsidR="009F73CE" w:rsidRPr="00F464FA">
              <w:rPr>
                <w:sz w:val="18"/>
              </w:rPr>
              <w:t xml:space="preserve"> </w:t>
            </w:r>
            <w:r w:rsidRPr="00F464FA">
              <w:rPr>
                <w:sz w:val="18"/>
              </w:rPr>
              <w:t>997</w:t>
            </w:r>
          </w:p>
        </w:tc>
        <w:tc>
          <w:tcPr>
            <w:tcW w:w="414" w:type="pct"/>
            <w:shd w:val="clear" w:color="auto" w:fill="auto"/>
            <w:noWrap/>
            <w:vAlign w:val="bottom"/>
            <w:hideMark/>
          </w:tcPr>
          <w:p w14:paraId="5C1C743E"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p>
        </w:tc>
        <w:tc>
          <w:tcPr>
            <w:tcW w:w="500" w:type="pct"/>
            <w:shd w:val="clear" w:color="auto" w:fill="auto"/>
            <w:noWrap/>
            <w:vAlign w:val="bottom"/>
            <w:hideMark/>
          </w:tcPr>
          <w:p w14:paraId="4AA44E95" w14:textId="2F17C429"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15</w:t>
            </w:r>
            <w:r w:rsidR="009F73CE" w:rsidRPr="00F464FA">
              <w:rPr>
                <w:sz w:val="18"/>
              </w:rPr>
              <w:t xml:space="preserve"> </w:t>
            </w:r>
            <w:r w:rsidRPr="00F464FA">
              <w:rPr>
                <w:sz w:val="18"/>
              </w:rPr>
              <w:t>348</w:t>
            </w:r>
          </w:p>
        </w:tc>
        <w:tc>
          <w:tcPr>
            <w:tcW w:w="500" w:type="pct"/>
            <w:shd w:val="clear" w:color="auto" w:fill="auto"/>
            <w:noWrap/>
            <w:vAlign w:val="bottom"/>
            <w:hideMark/>
          </w:tcPr>
          <w:p w14:paraId="1C677EBA"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0.7</w:t>
            </w:r>
          </w:p>
        </w:tc>
        <w:tc>
          <w:tcPr>
            <w:tcW w:w="500" w:type="pct"/>
            <w:shd w:val="clear" w:color="auto" w:fill="auto"/>
            <w:noWrap/>
            <w:vAlign w:val="bottom"/>
            <w:hideMark/>
          </w:tcPr>
          <w:p w14:paraId="49755BD1" w14:textId="002C557F"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38</w:t>
            </w:r>
            <w:r w:rsidR="009F73CE" w:rsidRPr="00F464FA">
              <w:rPr>
                <w:sz w:val="18"/>
              </w:rPr>
              <w:t xml:space="preserve"> </w:t>
            </w:r>
            <w:r w:rsidRPr="00F464FA">
              <w:rPr>
                <w:sz w:val="18"/>
              </w:rPr>
              <w:t>057</w:t>
            </w:r>
          </w:p>
        </w:tc>
        <w:tc>
          <w:tcPr>
            <w:tcW w:w="500" w:type="pct"/>
            <w:shd w:val="clear" w:color="auto" w:fill="auto"/>
            <w:noWrap/>
            <w:vAlign w:val="bottom"/>
            <w:hideMark/>
          </w:tcPr>
          <w:p w14:paraId="36504E3F"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0.5</w:t>
            </w:r>
          </w:p>
        </w:tc>
        <w:tc>
          <w:tcPr>
            <w:tcW w:w="500" w:type="pct"/>
            <w:shd w:val="clear" w:color="auto" w:fill="auto"/>
            <w:noWrap/>
            <w:vAlign w:val="bottom"/>
            <w:hideMark/>
          </w:tcPr>
          <w:p w14:paraId="41D6A140" w14:textId="72D7D1E6"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43</w:t>
            </w:r>
            <w:r w:rsidR="009F73CE" w:rsidRPr="00F464FA">
              <w:rPr>
                <w:sz w:val="18"/>
              </w:rPr>
              <w:t xml:space="preserve"> </w:t>
            </w:r>
            <w:r w:rsidRPr="00F464FA">
              <w:rPr>
                <w:sz w:val="18"/>
              </w:rPr>
              <w:t>592</w:t>
            </w:r>
          </w:p>
        </w:tc>
        <w:tc>
          <w:tcPr>
            <w:tcW w:w="501" w:type="pct"/>
            <w:shd w:val="clear" w:color="auto" w:fill="auto"/>
            <w:noWrap/>
            <w:vAlign w:val="bottom"/>
            <w:hideMark/>
          </w:tcPr>
          <w:p w14:paraId="61F4F056"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0.6</w:t>
            </w:r>
          </w:p>
        </w:tc>
      </w:tr>
      <w:tr w:rsidR="00B91A18" w:rsidRPr="00F464FA" w14:paraId="0CE6F316" w14:textId="77777777" w:rsidTr="00D51157">
        <w:tc>
          <w:tcPr>
            <w:tcW w:w="998" w:type="pct"/>
            <w:shd w:val="clear" w:color="auto" w:fill="auto"/>
            <w:noWrap/>
            <w:hideMark/>
          </w:tcPr>
          <w:p w14:paraId="1553E0A8"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River/Stream</w:t>
            </w:r>
          </w:p>
        </w:tc>
        <w:tc>
          <w:tcPr>
            <w:tcW w:w="586" w:type="pct"/>
            <w:shd w:val="clear" w:color="auto" w:fill="auto"/>
            <w:noWrap/>
            <w:vAlign w:val="bottom"/>
            <w:hideMark/>
          </w:tcPr>
          <w:p w14:paraId="4DDE4022" w14:textId="72E9E53A"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870</w:t>
            </w:r>
            <w:r w:rsidR="009F73CE" w:rsidRPr="00F464FA">
              <w:rPr>
                <w:sz w:val="18"/>
              </w:rPr>
              <w:t xml:space="preserve"> </w:t>
            </w:r>
            <w:r w:rsidRPr="00F464FA">
              <w:rPr>
                <w:sz w:val="18"/>
              </w:rPr>
              <w:t>667</w:t>
            </w:r>
          </w:p>
        </w:tc>
        <w:tc>
          <w:tcPr>
            <w:tcW w:w="414" w:type="pct"/>
            <w:shd w:val="clear" w:color="auto" w:fill="auto"/>
            <w:noWrap/>
            <w:vAlign w:val="bottom"/>
            <w:hideMark/>
          </w:tcPr>
          <w:p w14:paraId="624F2D8B"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w:t>
            </w:r>
          </w:p>
        </w:tc>
        <w:tc>
          <w:tcPr>
            <w:tcW w:w="500" w:type="pct"/>
            <w:shd w:val="clear" w:color="auto" w:fill="auto"/>
            <w:noWrap/>
            <w:vAlign w:val="bottom"/>
            <w:hideMark/>
          </w:tcPr>
          <w:p w14:paraId="12931B7E" w14:textId="6A6226DD"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193</w:t>
            </w:r>
            <w:r w:rsidR="009F73CE" w:rsidRPr="00F464FA">
              <w:rPr>
                <w:sz w:val="18"/>
              </w:rPr>
              <w:t xml:space="preserve"> </w:t>
            </w:r>
            <w:r w:rsidRPr="00F464FA">
              <w:rPr>
                <w:sz w:val="18"/>
              </w:rPr>
              <w:t>717</w:t>
            </w:r>
          </w:p>
        </w:tc>
        <w:tc>
          <w:tcPr>
            <w:tcW w:w="500" w:type="pct"/>
            <w:shd w:val="clear" w:color="auto" w:fill="auto"/>
            <w:noWrap/>
            <w:vAlign w:val="bottom"/>
            <w:hideMark/>
          </w:tcPr>
          <w:p w14:paraId="30927D20"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8.5</w:t>
            </w:r>
          </w:p>
        </w:tc>
        <w:tc>
          <w:tcPr>
            <w:tcW w:w="500" w:type="pct"/>
            <w:shd w:val="clear" w:color="auto" w:fill="auto"/>
            <w:noWrap/>
            <w:vAlign w:val="bottom"/>
            <w:hideMark/>
          </w:tcPr>
          <w:p w14:paraId="7ED711FB" w14:textId="2A2A6C51"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366</w:t>
            </w:r>
            <w:r w:rsidR="009F73CE" w:rsidRPr="00F464FA">
              <w:rPr>
                <w:sz w:val="18"/>
              </w:rPr>
              <w:t xml:space="preserve"> </w:t>
            </w:r>
            <w:r w:rsidRPr="00F464FA">
              <w:rPr>
                <w:sz w:val="18"/>
              </w:rPr>
              <w:t>383</w:t>
            </w:r>
          </w:p>
        </w:tc>
        <w:tc>
          <w:tcPr>
            <w:tcW w:w="500" w:type="pct"/>
            <w:shd w:val="clear" w:color="auto" w:fill="auto"/>
            <w:noWrap/>
            <w:vAlign w:val="bottom"/>
            <w:hideMark/>
          </w:tcPr>
          <w:p w14:paraId="1BD9D6D4"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4.9</w:t>
            </w:r>
          </w:p>
        </w:tc>
        <w:tc>
          <w:tcPr>
            <w:tcW w:w="500" w:type="pct"/>
            <w:shd w:val="clear" w:color="auto" w:fill="auto"/>
            <w:noWrap/>
            <w:vAlign w:val="bottom"/>
            <w:hideMark/>
          </w:tcPr>
          <w:p w14:paraId="0F13343F" w14:textId="27E3ACF9"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310</w:t>
            </w:r>
            <w:r w:rsidR="009F73CE" w:rsidRPr="00F464FA">
              <w:rPr>
                <w:sz w:val="18"/>
              </w:rPr>
              <w:t xml:space="preserve"> </w:t>
            </w:r>
            <w:r w:rsidRPr="00F464FA">
              <w:rPr>
                <w:sz w:val="18"/>
              </w:rPr>
              <w:t>567</w:t>
            </w:r>
          </w:p>
        </w:tc>
        <w:tc>
          <w:tcPr>
            <w:tcW w:w="501" w:type="pct"/>
            <w:shd w:val="clear" w:color="auto" w:fill="auto"/>
            <w:noWrap/>
            <w:vAlign w:val="bottom"/>
            <w:hideMark/>
          </w:tcPr>
          <w:p w14:paraId="6EC81553"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4.0</w:t>
            </w:r>
          </w:p>
        </w:tc>
      </w:tr>
      <w:tr w:rsidR="00B91A18" w:rsidRPr="00F464FA" w14:paraId="1EBE2028" w14:textId="77777777" w:rsidTr="00D51157">
        <w:tc>
          <w:tcPr>
            <w:tcW w:w="998" w:type="pct"/>
            <w:shd w:val="clear" w:color="auto" w:fill="auto"/>
            <w:noWrap/>
            <w:hideMark/>
          </w:tcPr>
          <w:p w14:paraId="1308560E"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Pond/Lake</w:t>
            </w:r>
          </w:p>
        </w:tc>
        <w:tc>
          <w:tcPr>
            <w:tcW w:w="586" w:type="pct"/>
            <w:shd w:val="clear" w:color="auto" w:fill="auto"/>
            <w:noWrap/>
            <w:vAlign w:val="bottom"/>
            <w:hideMark/>
          </w:tcPr>
          <w:p w14:paraId="41DA205E" w14:textId="29E12811"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86</w:t>
            </w:r>
            <w:r w:rsidR="009F73CE" w:rsidRPr="00F464FA">
              <w:rPr>
                <w:sz w:val="18"/>
              </w:rPr>
              <w:t xml:space="preserve"> </w:t>
            </w:r>
            <w:r w:rsidRPr="00F464FA">
              <w:rPr>
                <w:sz w:val="18"/>
              </w:rPr>
              <w:t>066</w:t>
            </w:r>
          </w:p>
        </w:tc>
        <w:tc>
          <w:tcPr>
            <w:tcW w:w="414" w:type="pct"/>
            <w:shd w:val="clear" w:color="auto" w:fill="auto"/>
            <w:noWrap/>
            <w:vAlign w:val="bottom"/>
            <w:hideMark/>
          </w:tcPr>
          <w:p w14:paraId="68188259"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p>
        </w:tc>
        <w:tc>
          <w:tcPr>
            <w:tcW w:w="500" w:type="pct"/>
            <w:shd w:val="clear" w:color="auto" w:fill="auto"/>
            <w:noWrap/>
            <w:vAlign w:val="bottom"/>
            <w:hideMark/>
          </w:tcPr>
          <w:p w14:paraId="0F4D861F" w14:textId="2CE34395"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21</w:t>
            </w:r>
            <w:r w:rsidR="009F73CE" w:rsidRPr="00F464FA">
              <w:rPr>
                <w:sz w:val="18"/>
              </w:rPr>
              <w:t xml:space="preserve"> </w:t>
            </w:r>
            <w:r w:rsidRPr="00F464FA">
              <w:rPr>
                <w:sz w:val="18"/>
              </w:rPr>
              <w:t>818</w:t>
            </w:r>
          </w:p>
        </w:tc>
        <w:tc>
          <w:tcPr>
            <w:tcW w:w="500" w:type="pct"/>
            <w:shd w:val="clear" w:color="auto" w:fill="auto"/>
            <w:noWrap/>
            <w:vAlign w:val="bottom"/>
            <w:hideMark/>
          </w:tcPr>
          <w:p w14:paraId="2C1F1B6B"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1.0</w:t>
            </w:r>
          </w:p>
        </w:tc>
        <w:tc>
          <w:tcPr>
            <w:tcW w:w="500" w:type="pct"/>
            <w:shd w:val="clear" w:color="auto" w:fill="auto"/>
            <w:noWrap/>
            <w:vAlign w:val="bottom"/>
            <w:hideMark/>
          </w:tcPr>
          <w:p w14:paraId="406BAEA3" w14:textId="33B90DD4"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19</w:t>
            </w:r>
            <w:r w:rsidR="009F73CE" w:rsidRPr="00F464FA">
              <w:rPr>
                <w:sz w:val="18"/>
              </w:rPr>
              <w:t xml:space="preserve"> </w:t>
            </w:r>
            <w:r w:rsidRPr="00F464FA">
              <w:rPr>
                <w:sz w:val="18"/>
              </w:rPr>
              <w:t>008</w:t>
            </w:r>
          </w:p>
        </w:tc>
        <w:tc>
          <w:tcPr>
            <w:tcW w:w="500" w:type="pct"/>
            <w:shd w:val="clear" w:color="auto" w:fill="auto"/>
            <w:noWrap/>
            <w:vAlign w:val="bottom"/>
            <w:hideMark/>
          </w:tcPr>
          <w:p w14:paraId="7E178A17"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0.3</w:t>
            </w:r>
          </w:p>
        </w:tc>
        <w:tc>
          <w:tcPr>
            <w:tcW w:w="500" w:type="pct"/>
            <w:shd w:val="clear" w:color="auto" w:fill="auto"/>
            <w:noWrap/>
            <w:vAlign w:val="bottom"/>
            <w:hideMark/>
          </w:tcPr>
          <w:p w14:paraId="68197D41" w14:textId="0426477D"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45</w:t>
            </w:r>
            <w:r w:rsidR="009F73CE" w:rsidRPr="00F464FA">
              <w:rPr>
                <w:sz w:val="18"/>
              </w:rPr>
              <w:t xml:space="preserve"> </w:t>
            </w:r>
            <w:r w:rsidRPr="00F464FA">
              <w:rPr>
                <w:sz w:val="18"/>
              </w:rPr>
              <w:t>240</w:t>
            </w:r>
          </w:p>
        </w:tc>
        <w:tc>
          <w:tcPr>
            <w:tcW w:w="501" w:type="pct"/>
            <w:shd w:val="clear" w:color="auto" w:fill="auto"/>
            <w:noWrap/>
            <w:vAlign w:val="bottom"/>
            <w:hideMark/>
          </w:tcPr>
          <w:p w14:paraId="34E70BD8"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0.6</w:t>
            </w:r>
          </w:p>
        </w:tc>
      </w:tr>
      <w:tr w:rsidR="00B91A18" w:rsidRPr="00F464FA" w14:paraId="06158858" w14:textId="77777777" w:rsidTr="00D51157">
        <w:tc>
          <w:tcPr>
            <w:tcW w:w="998" w:type="pct"/>
            <w:shd w:val="clear" w:color="auto" w:fill="auto"/>
            <w:noWrap/>
            <w:hideMark/>
          </w:tcPr>
          <w:p w14:paraId="7EE46B54"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Dam</w:t>
            </w:r>
          </w:p>
        </w:tc>
        <w:tc>
          <w:tcPr>
            <w:tcW w:w="586" w:type="pct"/>
            <w:shd w:val="clear" w:color="auto" w:fill="auto"/>
            <w:noWrap/>
            <w:vAlign w:val="bottom"/>
            <w:hideMark/>
          </w:tcPr>
          <w:p w14:paraId="1BF67CB0" w14:textId="1EDF1A33"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64</w:t>
            </w:r>
            <w:r w:rsidR="009F73CE" w:rsidRPr="00F464FA">
              <w:rPr>
                <w:sz w:val="18"/>
              </w:rPr>
              <w:t xml:space="preserve"> </w:t>
            </w:r>
            <w:r w:rsidRPr="00F464FA">
              <w:rPr>
                <w:sz w:val="18"/>
              </w:rPr>
              <w:t>335</w:t>
            </w:r>
          </w:p>
        </w:tc>
        <w:tc>
          <w:tcPr>
            <w:tcW w:w="414" w:type="pct"/>
            <w:shd w:val="clear" w:color="auto" w:fill="auto"/>
            <w:noWrap/>
            <w:vAlign w:val="bottom"/>
            <w:hideMark/>
          </w:tcPr>
          <w:p w14:paraId="5A1A397D"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w:t>
            </w:r>
          </w:p>
        </w:tc>
        <w:tc>
          <w:tcPr>
            <w:tcW w:w="500" w:type="pct"/>
            <w:shd w:val="clear" w:color="auto" w:fill="auto"/>
            <w:noWrap/>
            <w:vAlign w:val="bottom"/>
            <w:hideMark/>
          </w:tcPr>
          <w:p w14:paraId="3B1C4A2D" w14:textId="4F62BF98"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9</w:t>
            </w:r>
            <w:r w:rsidR="009F73CE" w:rsidRPr="00F464FA">
              <w:rPr>
                <w:sz w:val="18"/>
              </w:rPr>
              <w:t xml:space="preserve"> </w:t>
            </w:r>
            <w:r w:rsidRPr="00F464FA">
              <w:rPr>
                <w:sz w:val="18"/>
              </w:rPr>
              <w:t>292</w:t>
            </w:r>
          </w:p>
        </w:tc>
        <w:tc>
          <w:tcPr>
            <w:tcW w:w="500" w:type="pct"/>
            <w:shd w:val="clear" w:color="auto" w:fill="auto"/>
            <w:noWrap/>
            <w:vAlign w:val="bottom"/>
            <w:hideMark/>
          </w:tcPr>
          <w:p w14:paraId="47566B0D"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0.4</w:t>
            </w:r>
          </w:p>
        </w:tc>
        <w:tc>
          <w:tcPr>
            <w:tcW w:w="500" w:type="pct"/>
            <w:shd w:val="clear" w:color="auto" w:fill="auto"/>
            <w:noWrap/>
            <w:vAlign w:val="bottom"/>
            <w:hideMark/>
          </w:tcPr>
          <w:p w14:paraId="5955AF3B" w14:textId="00F25CC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22</w:t>
            </w:r>
            <w:r w:rsidR="009F73CE" w:rsidRPr="00F464FA">
              <w:rPr>
                <w:sz w:val="18"/>
              </w:rPr>
              <w:t xml:space="preserve"> </w:t>
            </w:r>
            <w:r w:rsidRPr="00F464FA">
              <w:rPr>
                <w:sz w:val="18"/>
              </w:rPr>
              <w:t>984</w:t>
            </w:r>
          </w:p>
        </w:tc>
        <w:tc>
          <w:tcPr>
            <w:tcW w:w="500" w:type="pct"/>
            <w:shd w:val="clear" w:color="auto" w:fill="auto"/>
            <w:noWrap/>
            <w:vAlign w:val="bottom"/>
            <w:hideMark/>
          </w:tcPr>
          <w:p w14:paraId="47305EA6"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0.3</w:t>
            </w:r>
          </w:p>
        </w:tc>
        <w:tc>
          <w:tcPr>
            <w:tcW w:w="500" w:type="pct"/>
            <w:shd w:val="clear" w:color="auto" w:fill="auto"/>
            <w:noWrap/>
            <w:vAlign w:val="bottom"/>
            <w:hideMark/>
          </w:tcPr>
          <w:p w14:paraId="25ABD595" w14:textId="1688C729"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32</w:t>
            </w:r>
            <w:r w:rsidR="009F73CE" w:rsidRPr="00F464FA">
              <w:rPr>
                <w:sz w:val="18"/>
              </w:rPr>
              <w:t xml:space="preserve"> </w:t>
            </w:r>
            <w:r w:rsidRPr="00F464FA">
              <w:rPr>
                <w:sz w:val="18"/>
              </w:rPr>
              <w:t>059</w:t>
            </w:r>
          </w:p>
        </w:tc>
        <w:tc>
          <w:tcPr>
            <w:tcW w:w="501" w:type="pct"/>
            <w:shd w:val="clear" w:color="auto" w:fill="auto"/>
            <w:noWrap/>
            <w:vAlign w:val="bottom"/>
            <w:hideMark/>
          </w:tcPr>
          <w:p w14:paraId="4C2D6F59"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0.4</w:t>
            </w:r>
          </w:p>
        </w:tc>
      </w:tr>
      <w:tr w:rsidR="00A65D4A" w:rsidRPr="00F464FA" w14:paraId="47D248BA" w14:textId="77777777" w:rsidTr="00D51157">
        <w:tc>
          <w:tcPr>
            <w:tcW w:w="998" w:type="pct"/>
            <w:shd w:val="clear" w:color="auto" w:fill="auto"/>
            <w:noWrap/>
            <w:hideMark/>
          </w:tcPr>
          <w:p w14:paraId="031C57BD"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left"/>
              <w:rPr>
                <w:sz w:val="18"/>
              </w:rPr>
            </w:pPr>
            <w:r w:rsidRPr="00F464FA">
              <w:rPr>
                <w:sz w:val="18"/>
              </w:rPr>
              <w:t>Other</w:t>
            </w:r>
          </w:p>
        </w:tc>
        <w:tc>
          <w:tcPr>
            <w:tcW w:w="586" w:type="pct"/>
            <w:shd w:val="clear" w:color="auto" w:fill="auto"/>
            <w:noWrap/>
            <w:vAlign w:val="bottom"/>
            <w:hideMark/>
          </w:tcPr>
          <w:p w14:paraId="715E90E0" w14:textId="6401F1C8"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118</w:t>
            </w:r>
            <w:r w:rsidR="009F73CE" w:rsidRPr="00F464FA">
              <w:rPr>
                <w:sz w:val="18"/>
              </w:rPr>
              <w:t xml:space="preserve"> </w:t>
            </w:r>
            <w:r w:rsidRPr="00F464FA">
              <w:rPr>
                <w:sz w:val="18"/>
              </w:rPr>
              <w:t>410</w:t>
            </w:r>
          </w:p>
        </w:tc>
        <w:tc>
          <w:tcPr>
            <w:tcW w:w="414" w:type="pct"/>
            <w:shd w:val="clear" w:color="auto" w:fill="auto"/>
            <w:noWrap/>
            <w:vAlign w:val="bottom"/>
            <w:hideMark/>
          </w:tcPr>
          <w:p w14:paraId="53E8C974"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p>
        </w:tc>
        <w:tc>
          <w:tcPr>
            <w:tcW w:w="500" w:type="pct"/>
            <w:shd w:val="clear" w:color="auto" w:fill="auto"/>
            <w:noWrap/>
            <w:vAlign w:val="bottom"/>
            <w:hideMark/>
          </w:tcPr>
          <w:p w14:paraId="24853D16" w14:textId="1D5522DF"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10</w:t>
            </w:r>
            <w:r w:rsidR="009F73CE" w:rsidRPr="00F464FA">
              <w:rPr>
                <w:sz w:val="18"/>
              </w:rPr>
              <w:t xml:space="preserve"> </w:t>
            </w:r>
            <w:r w:rsidRPr="00F464FA">
              <w:rPr>
                <w:sz w:val="18"/>
              </w:rPr>
              <w:t>149</w:t>
            </w:r>
          </w:p>
        </w:tc>
        <w:tc>
          <w:tcPr>
            <w:tcW w:w="500" w:type="pct"/>
            <w:shd w:val="clear" w:color="auto" w:fill="auto"/>
            <w:noWrap/>
            <w:vAlign w:val="bottom"/>
            <w:hideMark/>
          </w:tcPr>
          <w:p w14:paraId="26853595"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0.4</w:t>
            </w:r>
          </w:p>
        </w:tc>
        <w:tc>
          <w:tcPr>
            <w:tcW w:w="500" w:type="pct"/>
            <w:shd w:val="clear" w:color="auto" w:fill="auto"/>
            <w:noWrap/>
            <w:vAlign w:val="bottom"/>
            <w:hideMark/>
          </w:tcPr>
          <w:p w14:paraId="5F655EA2" w14:textId="183CABEC"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48</w:t>
            </w:r>
            <w:r w:rsidR="009F73CE" w:rsidRPr="00F464FA">
              <w:rPr>
                <w:sz w:val="18"/>
              </w:rPr>
              <w:t xml:space="preserve"> </w:t>
            </w:r>
            <w:r w:rsidRPr="00F464FA">
              <w:rPr>
                <w:sz w:val="18"/>
              </w:rPr>
              <w:t>477</w:t>
            </w:r>
          </w:p>
        </w:tc>
        <w:tc>
          <w:tcPr>
            <w:tcW w:w="500" w:type="pct"/>
            <w:shd w:val="clear" w:color="auto" w:fill="auto"/>
            <w:noWrap/>
            <w:vAlign w:val="bottom"/>
            <w:hideMark/>
          </w:tcPr>
          <w:p w14:paraId="4EEC4DF5"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0.6</w:t>
            </w:r>
          </w:p>
        </w:tc>
        <w:tc>
          <w:tcPr>
            <w:tcW w:w="500" w:type="pct"/>
            <w:shd w:val="clear" w:color="auto" w:fill="auto"/>
            <w:noWrap/>
            <w:vAlign w:val="bottom"/>
            <w:hideMark/>
          </w:tcPr>
          <w:p w14:paraId="5A77996D" w14:textId="07DDB7AB"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59</w:t>
            </w:r>
            <w:r w:rsidR="009F73CE" w:rsidRPr="00F464FA">
              <w:rPr>
                <w:sz w:val="18"/>
              </w:rPr>
              <w:t xml:space="preserve"> </w:t>
            </w:r>
            <w:r w:rsidRPr="00F464FA">
              <w:rPr>
                <w:sz w:val="18"/>
              </w:rPr>
              <w:t>784</w:t>
            </w:r>
          </w:p>
        </w:tc>
        <w:tc>
          <w:tcPr>
            <w:tcW w:w="501" w:type="pct"/>
            <w:shd w:val="clear" w:color="auto" w:fill="auto"/>
            <w:noWrap/>
            <w:vAlign w:val="bottom"/>
            <w:hideMark/>
          </w:tcPr>
          <w:p w14:paraId="3945DA3E" w14:textId="77777777" w:rsidR="00221DD4" w:rsidRPr="00F464FA" w:rsidRDefault="00221DD4" w:rsidP="003D6F3D">
            <w:pPr>
              <w:pStyle w:val="SingleTxtG"/>
              <w:tabs>
                <w:tab w:val="clear" w:pos="1701"/>
                <w:tab w:val="clear" w:pos="2268"/>
              </w:tabs>
              <w:suppressAutoHyphens w:val="0"/>
              <w:spacing w:before="40" w:after="40" w:line="220" w:lineRule="exact"/>
              <w:ind w:left="0" w:right="113"/>
              <w:jc w:val="right"/>
              <w:rPr>
                <w:sz w:val="18"/>
              </w:rPr>
            </w:pPr>
            <w:r w:rsidRPr="00F464FA">
              <w:rPr>
                <w:sz w:val="18"/>
              </w:rPr>
              <w:t>0.8</w:t>
            </w:r>
          </w:p>
        </w:tc>
      </w:tr>
    </w:tbl>
    <w:p w14:paraId="693CD6FE" w14:textId="19E3BFD0" w:rsidR="00221DD4" w:rsidRPr="00F464FA" w:rsidRDefault="00221DD4" w:rsidP="00CB4FF8">
      <w:pPr>
        <w:spacing w:before="120" w:after="240"/>
        <w:ind w:left="1134" w:right="1134" w:firstLine="170"/>
        <w:rPr>
          <w:sz w:val="18"/>
        </w:rPr>
      </w:pPr>
      <w:r w:rsidRPr="00F464FA">
        <w:rPr>
          <w:i/>
          <w:iCs/>
          <w:sz w:val="18"/>
        </w:rPr>
        <w:t>Source:</w:t>
      </w:r>
      <w:r w:rsidRPr="00F464FA">
        <w:rPr>
          <w:sz w:val="18"/>
        </w:rPr>
        <w:t xml:space="preserve"> MPHC, 2018</w:t>
      </w:r>
      <w:r w:rsidR="00CB4FF8" w:rsidRPr="00F464FA">
        <w:rPr>
          <w:sz w:val="18"/>
        </w:rPr>
        <w:t>.</w:t>
      </w:r>
    </w:p>
    <w:p w14:paraId="5E10BCCB" w14:textId="0C778788" w:rsidR="00221DD4" w:rsidRPr="00F464FA" w:rsidRDefault="00221DD4" w:rsidP="00221DD4">
      <w:pPr>
        <w:pStyle w:val="Heading1"/>
      </w:pPr>
      <w:r w:rsidRPr="00F464FA">
        <w:t>Table 16</w:t>
      </w:r>
    </w:p>
    <w:p w14:paraId="43278E83" w14:textId="22D8D9FB" w:rsidR="00221DD4" w:rsidRPr="00F464FA" w:rsidRDefault="00221DD4" w:rsidP="00221DD4">
      <w:pPr>
        <w:pStyle w:val="SingleTxtG"/>
        <w:rPr>
          <w:b/>
        </w:rPr>
      </w:pPr>
      <w:r w:rsidRPr="00F464FA">
        <w:rPr>
          <w:b/>
        </w:rPr>
        <w:t>Population without basic access to drinking water (1992–2017)</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992"/>
        <w:gridCol w:w="510"/>
        <w:gridCol w:w="510"/>
        <w:gridCol w:w="510"/>
        <w:gridCol w:w="511"/>
        <w:gridCol w:w="510"/>
        <w:gridCol w:w="510"/>
        <w:gridCol w:w="511"/>
        <w:gridCol w:w="510"/>
        <w:gridCol w:w="510"/>
        <w:gridCol w:w="511"/>
        <w:gridCol w:w="853"/>
        <w:gridCol w:w="706"/>
      </w:tblGrid>
      <w:tr w:rsidR="005A1946" w:rsidRPr="00F464FA" w14:paraId="097B2DB6" w14:textId="77777777" w:rsidTr="005A1946">
        <w:trPr>
          <w:trHeight w:val="553"/>
          <w:tblHeader/>
        </w:trPr>
        <w:tc>
          <w:tcPr>
            <w:tcW w:w="1843" w:type="dxa"/>
            <w:gridSpan w:val="2"/>
            <w:vMerge w:val="restart"/>
            <w:tcBorders>
              <w:top w:val="single" w:sz="4" w:space="0" w:color="auto"/>
              <w:bottom w:val="single" w:sz="12" w:space="0" w:color="auto"/>
            </w:tcBorders>
            <w:shd w:val="clear" w:color="auto" w:fill="auto"/>
            <w:noWrap/>
            <w:vAlign w:val="bottom"/>
            <w:hideMark/>
          </w:tcPr>
          <w:p w14:paraId="5F931E77" w14:textId="77777777" w:rsidR="005A1946" w:rsidRPr="00F464FA" w:rsidRDefault="005A1946" w:rsidP="005A1946">
            <w:pPr>
              <w:suppressAutoHyphens w:val="0"/>
              <w:spacing w:before="80" w:after="80" w:line="200" w:lineRule="exact"/>
              <w:ind w:right="113"/>
              <w:rPr>
                <w:i/>
                <w:sz w:val="16"/>
              </w:rPr>
            </w:pPr>
          </w:p>
        </w:tc>
        <w:tc>
          <w:tcPr>
            <w:tcW w:w="5103" w:type="dxa"/>
            <w:gridSpan w:val="10"/>
            <w:tcBorders>
              <w:top w:val="single" w:sz="4" w:space="0" w:color="auto"/>
              <w:bottom w:val="single" w:sz="4" w:space="0" w:color="auto"/>
            </w:tcBorders>
            <w:shd w:val="clear" w:color="auto" w:fill="auto"/>
            <w:noWrap/>
            <w:vAlign w:val="bottom"/>
            <w:hideMark/>
          </w:tcPr>
          <w:p w14:paraId="2A04A422" w14:textId="77777777" w:rsidR="005A1946" w:rsidRPr="00F464FA" w:rsidRDefault="005A1946" w:rsidP="005A1946">
            <w:pPr>
              <w:suppressAutoHyphens w:val="0"/>
              <w:spacing w:before="80" w:after="80" w:line="200" w:lineRule="exact"/>
              <w:ind w:right="113"/>
              <w:jc w:val="center"/>
              <w:rPr>
                <w:bCs/>
                <w:i/>
                <w:sz w:val="16"/>
              </w:rPr>
            </w:pPr>
            <w:r w:rsidRPr="00F464FA">
              <w:rPr>
                <w:bCs/>
                <w:i/>
                <w:sz w:val="16"/>
              </w:rPr>
              <w:t>Population without basic access to water (%)</w:t>
            </w:r>
          </w:p>
        </w:tc>
        <w:tc>
          <w:tcPr>
            <w:tcW w:w="853" w:type="dxa"/>
            <w:vMerge w:val="restart"/>
            <w:tcBorders>
              <w:top w:val="single" w:sz="4" w:space="0" w:color="auto"/>
            </w:tcBorders>
            <w:shd w:val="clear" w:color="auto" w:fill="auto"/>
            <w:noWrap/>
            <w:vAlign w:val="bottom"/>
            <w:hideMark/>
          </w:tcPr>
          <w:p w14:paraId="0F196B38"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 point difference</w:t>
            </w:r>
          </w:p>
        </w:tc>
        <w:tc>
          <w:tcPr>
            <w:tcW w:w="706" w:type="dxa"/>
            <w:vMerge w:val="restart"/>
            <w:tcBorders>
              <w:top w:val="single" w:sz="4" w:space="0" w:color="auto"/>
            </w:tcBorders>
            <w:shd w:val="clear" w:color="auto" w:fill="auto"/>
            <w:noWrap/>
            <w:vAlign w:val="bottom"/>
            <w:hideMark/>
          </w:tcPr>
          <w:p w14:paraId="5D330607"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 xml:space="preserve">% </w:t>
            </w:r>
            <w:proofErr w:type="spellStart"/>
            <w:r w:rsidRPr="00F464FA">
              <w:rPr>
                <w:bCs/>
                <w:i/>
                <w:sz w:val="16"/>
              </w:rPr>
              <w:t>change</w:t>
            </w:r>
            <w:r w:rsidRPr="00F464FA">
              <w:rPr>
                <w:bCs/>
                <w:i/>
                <w:sz w:val="16"/>
                <w:bdr w:val="none" w:sz="0" w:space="0" w:color="auto" w:frame="1"/>
                <w:vertAlign w:val="superscript"/>
              </w:rPr>
              <w:t>a</w:t>
            </w:r>
            <w:proofErr w:type="spellEnd"/>
          </w:p>
        </w:tc>
      </w:tr>
      <w:tr w:rsidR="005A1946" w:rsidRPr="00F464FA" w14:paraId="464BA122" w14:textId="77777777" w:rsidTr="005A1946">
        <w:trPr>
          <w:tblHeader/>
        </w:trPr>
        <w:tc>
          <w:tcPr>
            <w:tcW w:w="1843" w:type="dxa"/>
            <w:gridSpan w:val="2"/>
            <w:vMerge/>
            <w:tcBorders>
              <w:top w:val="single" w:sz="12" w:space="0" w:color="auto"/>
              <w:bottom w:val="single" w:sz="12" w:space="0" w:color="auto"/>
            </w:tcBorders>
            <w:shd w:val="clear" w:color="auto" w:fill="auto"/>
            <w:vAlign w:val="bottom"/>
            <w:hideMark/>
          </w:tcPr>
          <w:p w14:paraId="5595598F" w14:textId="77777777" w:rsidR="005A1946" w:rsidRPr="00F464FA" w:rsidRDefault="005A1946" w:rsidP="005A1946">
            <w:pPr>
              <w:suppressAutoHyphens w:val="0"/>
              <w:spacing w:before="40" w:after="40" w:line="220" w:lineRule="exact"/>
              <w:ind w:right="113"/>
              <w:rPr>
                <w:sz w:val="18"/>
              </w:rPr>
            </w:pPr>
          </w:p>
        </w:tc>
        <w:tc>
          <w:tcPr>
            <w:tcW w:w="510" w:type="dxa"/>
            <w:tcBorders>
              <w:top w:val="single" w:sz="4" w:space="0" w:color="auto"/>
              <w:bottom w:val="single" w:sz="12" w:space="0" w:color="auto"/>
            </w:tcBorders>
            <w:shd w:val="clear" w:color="auto" w:fill="auto"/>
            <w:noWrap/>
            <w:vAlign w:val="bottom"/>
            <w:hideMark/>
          </w:tcPr>
          <w:p w14:paraId="5D99B6DD"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1992</w:t>
            </w:r>
          </w:p>
        </w:tc>
        <w:tc>
          <w:tcPr>
            <w:tcW w:w="510" w:type="dxa"/>
            <w:tcBorders>
              <w:top w:val="single" w:sz="4" w:space="0" w:color="auto"/>
              <w:bottom w:val="single" w:sz="12" w:space="0" w:color="auto"/>
            </w:tcBorders>
            <w:shd w:val="clear" w:color="auto" w:fill="auto"/>
            <w:noWrap/>
            <w:vAlign w:val="bottom"/>
            <w:hideMark/>
          </w:tcPr>
          <w:p w14:paraId="6D09160C"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2000</w:t>
            </w:r>
          </w:p>
        </w:tc>
        <w:tc>
          <w:tcPr>
            <w:tcW w:w="510" w:type="dxa"/>
            <w:tcBorders>
              <w:top w:val="single" w:sz="4" w:space="0" w:color="auto"/>
              <w:bottom w:val="single" w:sz="12" w:space="0" w:color="auto"/>
            </w:tcBorders>
            <w:shd w:val="clear" w:color="auto" w:fill="auto"/>
            <w:noWrap/>
            <w:vAlign w:val="bottom"/>
            <w:hideMark/>
          </w:tcPr>
          <w:p w14:paraId="109FBB6E"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2004</w:t>
            </w:r>
          </w:p>
        </w:tc>
        <w:tc>
          <w:tcPr>
            <w:tcW w:w="511" w:type="dxa"/>
            <w:tcBorders>
              <w:top w:val="single" w:sz="4" w:space="0" w:color="auto"/>
              <w:bottom w:val="single" w:sz="12" w:space="0" w:color="auto"/>
            </w:tcBorders>
            <w:shd w:val="clear" w:color="auto" w:fill="auto"/>
            <w:noWrap/>
            <w:vAlign w:val="bottom"/>
            <w:hideMark/>
          </w:tcPr>
          <w:p w14:paraId="5AE6222F"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2006</w:t>
            </w:r>
          </w:p>
        </w:tc>
        <w:tc>
          <w:tcPr>
            <w:tcW w:w="510" w:type="dxa"/>
            <w:tcBorders>
              <w:top w:val="single" w:sz="4" w:space="0" w:color="auto"/>
              <w:bottom w:val="single" w:sz="12" w:space="0" w:color="auto"/>
            </w:tcBorders>
            <w:shd w:val="clear" w:color="auto" w:fill="auto"/>
            <w:noWrap/>
            <w:vAlign w:val="bottom"/>
            <w:hideMark/>
          </w:tcPr>
          <w:p w14:paraId="49BA39E5"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2010</w:t>
            </w:r>
          </w:p>
        </w:tc>
        <w:tc>
          <w:tcPr>
            <w:tcW w:w="510" w:type="dxa"/>
            <w:tcBorders>
              <w:top w:val="single" w:sz="4" w:space="0" w:color="auto"/>
              <w:bottom w:val="single" w:sz="12" w:space="0" w:color="auto"/>
            </w:tcBorders>
            <w:shd w:val="clear" w:color="auto" w:fill="auto"/>
            <w:noWrap/>
            <w:vAlign w:val="bottom"/>
            <w:hideMark/>
          </w:tcPr>
          <w:p w14:paraId="084BD159"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2012</w:t>
            </w:r>
          </w:p>
        </w:tc>
        <w:tc>
          <w:tcPr>
            <w:tcW w:w="511" w:type="dxa"/>
            <w:tcBorders>
              <w:top w:val="single" w:sz="4" w:space="0" w:color="auto"/>
              <w:bottom w:val="single" w:sz="12" w:space="0" w:color="auto"/>
            </w:tcBorders>
            <w:shd w:val="clear" w:color="auto" w:fill="auto"/>
            <w:noWrap/>
            <w:vAlign w:val="bottom"/>
            <w:hideMark/>
          </w:tcPr>
          <w:p w14:paraId="5FAAFDED"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2013</w:t>
            </w:r>
          </w:p>
        </w:tc>
        <w:tc>
          <w:tcPr>
            <w:tcW w:w="510" w:type="dxa"/>
            <w:tcBorders>
              <w:top w:val="single" w:sz="4" w:space="0" w:color="auto"/>
              <w:bottom w:val="single" w:sz="12" w:space="0" w:color="auto"/>
            </w:tcBorders>
            <w:shd w:val="clear" w:color="auto" w:fill="auto"/>
            <w:noWrap/>
            <w:vAlign w:val="bottom"/>
            <w:hideMark/>
          </w:tcPr>
          <w:p w14:paraId="3DDC4896"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2014</w:t>
            </w:r>
          </w:p>
        </w:tc>
        <w:tc>
          <w:tcPr>
            <w:tcW w:w="510" w:type="dxa"/>
            <w:tcBorders>
              <w:top w:val="single" w:sz="4" w:space="0" w:color="auto"/>
              <w:bottom w:val="single" w:sz="12" w:space="0" w:color="auto"/>
            </w:tcBorders>
            <w:shd w:val="clear" w:color="auto" w:fill="auto"/>
            <w:noWrap/>
            <w:vAlign w:val="bottom"/>
            <w:hideMark/>
          </w:tcPr>
          <w:p w14:paraId="46D97404"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2015</w:t>
            </w:r>
          </w:p>
        </w:tc>
        <w:tc>
          <w:tcPr>
            <w:tcW w:w="511" w:type="dxa"/>
            <w:tcBorders>
              <w:top w:val="single" w:sz="4" w:space="0" w:color="auto"/>
              <w:bottom w:val="single" w:sz="12" w:space="0" w:color="auto"/>
            </w:tcBorders>
            <w:shd w:val="clear" w:color="auto" w:fill="auto"/>
            <w:noWrap/>
            <w:vAlign w:val="bottom"/>
            <w:hideMark/>
          </w:tcPr>
          <w:p w14:paraId="1F4488E9" w14:textId="77777777" w:rsidR="005A1946" w:rsidRPr="00F464FA" w:rsidRDefault="005A1946" w:rsidP="005A1946">
            <w:pPr>
              <w:suppressAutoHyphens w:val="0"/>
              <w:spacing w:before="80" w:after="80" w:line="200" w:lineRule="exact"/>
              <w:ind w:right="113"/>
              <w:jc w:val="right"/>
              <w:rPr>
                <w:bCs/>
                <w:i/>
                <w:sz w:val="16"/>
              </w:rPr>
            </w:pPr>
            <w:r w:rsidRPr="00F464FA">
              <w:rPr>
                <w:bCs/>
                <w:i/>
                <w:sz w:val="16"/>
              </w:rPr>
              <w:t>2017</w:t>
            </w:r>
          </w:p>
        </w:tc>
        <w:tc>
          <w:tcPr>
            <w:tcW w:w="853" w:type="dxa"/>
            <w:vMerge/>
            <w:tcBorders>
              <w:bottom w:val="single" w:sz="12" w:space="0" w:color="auto"/>
            </w:tcBorders>
            <w:shd w:val="clear" w:color="auto" w:fill="auto"/>
            <w:vAlign w:val="bottom"/>
            <w:hideMark/>
          </w:tcPr>
          <w:p w14:paraId="234502C0" w14:textId="77777777" w:rsidR="005A1946" w:rsidRPr="00F464FA" w:rsidRDefault="005A1946" w:rsidP="005A1946">
            <w:pPr>
              <w:suppressAutoHyphens w:val="0"/>
              <w:spacing w:before="40" w:after="40" w:line="220" w:lineRule="exact"/>
              <w:ind w:right="113"/>
              <w:jc w:val="right"/>
              <w:rPr>
                <w:b/>
                <w:bCs/>
                <w:sz w:val="18"/>
              </w:rPr>
            </w:pPr>
          </w:p>
        </w:tc>
        <w:tc>
          <w:tcPr>
            <w:tcW w:w="706" w:type="dxa"/>
            <w:vMerge/>
            <w:tcBorders>
              <w:bottom w:val="single" w:sz="12" w:space="0" w:color="auto"/>
            </w:tcBorders>
            <w:shd w:val="clear" w:color="auto" w:fill="auto"/>
            <w:vAlign w:val="bottom"/>
            <w:hideMark/>
          </w:tcPr>
          <w:p w14:paraId="29874AC1" w14:textId="77777777" w:rsidR="005A1946" w:rsidRPr="00F464FA" w:rsidRDefault="005A1946" w:rsidP="005A1946">
            <w:pPr>
              <w:suppressAutoHyphens w:val="0"/>
              <w:spacing w:before="40" w:after="40" w:line="220" w:lineRule="exact"/>
              <w:ind w:right="113"/>
              <w:jc w:val="right"/>
              <w:rPr>
                <w:b/>
                <w:bCs/>
                <w:sz w:val="18"/>
              </w:rPr>
            </w:pPr>
          </w:p>
        </w:tc>
      </w:tr>
      <w:tr w:rsidR="00221DD4" w:rsidRPr="00F464FA" w14:paraId="7EADB241" w14:textId="77777777" w:rsidTr="005A1946">
        <w:tc>
          <w:tcPr>
            <w:tcW w:w="851" w:type="dxa"/>
            <w:tcBorders>
              <w:top w:val="single" w:sz="12" w:space="0" w:color="auto"/>
            </w:tcBorders>
            <w:shd w:val="clear" w:color="auto" w:fill="auto"/>
            <w:noWrap/>
            <w:hideMark/>
          </w:tcPr>
          <w:p w14:paraId="5E717914" w14:textId="215D5833" w:rsidR="00221DD4" w:rsidRPr="00F464FA" w:rsidRDefault="00221DD4" w:rsidP="005A1946">
            <w:pPr>
              <w:suppressAutoHyphens w:val="0"/>
              <w:spacing w:before="40" w:after="40" w:line="220" w:lineRule="exact"/>
              <w:ind w:right="113"/>
              <w:rPr>
                <w:sz w:val="18"/>
              </w:rPr>
            </w:pPr>
            <w:r w:rsidRPr="00F464FA">
              <w:rPr>
                <w:sz w:val="18"/>
              </w:rPr>
              <w:t>National</w:t>
            </w:r>
            <w:r w:rsidR="001939E4" w:rsidRPr="00F464FA">
              <w:rPr>
                <w:sz w:val="18"/>
              </w:rPr>
              <w:t xml:space="preserve"> </w:t>
            </w:r>
          </w:p>
        </w:tc>
        <w:tc>
          <w:tcPr>
            <w:tcW w:w="992" w:type="dxa"/>
            <w:tcBorders>
              <w:top w:val="single" w:sz="12" w:space="0" w:color="auto"/>
            </w:tcBorders>
            <w:shd w:val="clear" w:color="auto" w:fill="auto"/>
            <w:noWrap/>
            <w:hideMark/>
          </w:tcPr>
          <w:p w14:paraId="423EEB67" w14:textId="3445768B" w:rsidR="00221DD4" w:rsidRPr="00F464FA" w:rsidRDefault="00221DD4" w:rsidP="005A1946">
            <w:pPr>
              <w:suppressAutoHyphens w:val="0"/>
              <w:spacing w:before="40" w:after="40" w:line="220" w:lineRule="exact"/>
              <w:ind w:right="113"/>
              <w:rPr>
                <w:sz w:val="18"/>
              </w:rPr>
            </w:pPr>
          </w:p>
        </w:tc>
        <w:tc>
          <w:tcPr>
            <w:tcW w:w="510" w:type="dxa"/>
            <w:tcBorders>
              <w:top w:val="single" w:sz="12" w:space="0" w:color="auto"/>
            </w:tcBorders>
            <w:shd w:val="clear" w:color="auto" w:fill="auto"/>
            <w:noWrap/>
            <w:vAlign w:val="bottom"/>
            <w:hideMark/>
          </w:tcPr>
          <w:p w14:paraId="02D9A0EB" w14:textId="0AB0766C" w:rsidR="00221DD4" w:rsidRPr="00F464FA" w:rsidRDefault="00221DD4" w:rsidP="005A1946">
            <w:pPr>
              <w:suppressAutoHyphens w:val="0"/>
              <w:spacing w:before="40" w:after="40" w:line="220" w:lineRule="exact"/>
              <w:ind w:right="113"/>
              <w:jc w:val="right"/>
              <w:rPr>
                <w:sz w:val="18"/>
              </w:rPr>
            </w:pPr>
            <w:r w:rsidRPr="00F464FA">
              <w:rPr>
                <w:sz w:val="18"/>
              </w:rPr>
              <w:t>57</w:t>
            </w:r>
          </w:p>
        </w:tc>
        <w:tc>
          <w:tcPr>
            <w:tcW w:w="510" w:type="dxa"/>
            <w:tcBorders>
              <w:top w:val="single" w:sz="12" w:space="0" w:color="auto"/>
            </w:tcBorders>
            <w:shd w:val="clear" w:color="auto" w:fill="auto"/>
            <w:noWrap/>
            <w:vAlign w:val="bottom"/>
            <w:hideMark/>
          </w:tcPr>
          <w:p w14:paraId="71FF0A52" w14:textId="2EBBC8E1" w:rsidR="00221DD4" w:rsidRPr="00F464FA" w:rsidRDefault="00221DD4" w:rsidP="005A1946">
            <w:pPr>
              <w:suppressAutoHyphens w:val="0"/>
              <w:spacing w:before="40" w:after="40" w:line="220" w:lineRule="exact"/>
              <w:ind w:right="113"/>
              <w:jc w:val="right"/>
              <w:rPr>
                <w:sz w:val="18"/>
              </w:rPr>
            </w:pPr>
            <w:r w:rsidRPr="00F464FA">
              <w:rPr>
                <w:sz w:val="18"/>
              </w:rPr>
              <w:t>50</w:t>
            </w:r>
          </w:p>
        </w:tc>
        <w:tc>
          <w:tcPr>
            <w:tcW w:w="510" w:type="dxa"/>
            <w:tcBorders>
              <w:top w:val="single" w:sz="12" w:space="0" w:color="auto"/>
            </w:tcBorders>
            <w:shd w:val="clear" w:color="auto" w:fill="auto"/>
            <w:noWrap/>
            <w:vAlign w:val="bottom"/>
            <w:hideMark/>
          </w:tcPr>
          <w:p w14:paraId="603BD969" w14:textId="751629B1" w:rsidR="00221DD4" w:rsidRPr="00F464FA" w:rsidRDefault="00221DD4" w:rsidP="005A1946">
            <w:pPr>
              <w:suppressAutoHyphens w:val="0"/>
              <w:spacing w:before="40" w:after="40" w:line="220" w:lineRule="exact"/>
              <w:ind w:right="113"/>
              <w:jc w:val="right"/>
              <w:rPr>
                <w:sz w:val="18"/>
              </w:rPr>
            </w:pPr>
            <w:r w:rsidRPr="00F464FA">
              <w:rPr>
                <w:sz w:val="18"/>
              </w:rPr>
              <w:t>50</w:t>
            </w:r>
          </w:p>
        </w:tc>
        <w:tc>
          <w:tcPr>
            <w:tcW w:w="511" w:type="dxa"/>
            <w:tcBorders>
              <w:top w:val="single" w:sz="12" w:space="0" w:color="auto"/>
            </w:tcBorders>
            <w:shd w:val="clear" w:color="auto" w:fill="auto"/>
            <w:noWrap/>
            <w:vAlign w:val="bottom"/>
            <w:hideMark/>
          </w:tcPr>
          <w:p w14:paraId="73107805" w14:textId="6E4A4FDA" w:rsidR="00221DD4" w:rsidRPr="00F464FA" w:rsidRDefault="00221DD4" w:rsidP="005A1946">
            <w:pPr>
              <w:suppressAutoHyphens w:val="0"/>
              <w:spacing w:before="40" w:after="40" w:line="220" w:lineRule="exact"/>
              <w:ind w:right="113"/>
              <w:jc w:val="right"/>
              <w:rPr>
                <w:sz w:val="18"/>
              </w:rPr>
            </w:pPr>
            <w:r w:rsidRPr="00F464FA">
              <w:rPr>
                <w:sz w:val="18"/>
              </w:rPr>
              <w:t>49</w:t>
            </w:r>
          </w:p>
        </w:tc>
        <w:tc>
          <w:tcPr>
            <w:tcW w:w="510" w:type="dxa"/>
            <w:tcBorders>
              <w:top w:val="single" w:sz="12" w:space="0" w:color="auto"/>
            </w:tcBorders>
            <w:shd w:val="clear" w:color="auto" w:fill="auto"/>
            <w:noWrap/>
            <w:vAlign w:val="bottom"/>
            <w:hideMark/>
          </w:tcPr>
          <w:p w14:paraId="59D940B7" w14:textId="33E65568" w:rsidR="00221DD4" w:rsidRPr="00F464FA" w:rsidRDefault="00221DD4" w:rsidP="005A1946">
            <w:pPr>
              <w:suppressAutoHyphens w:val="0"/>
              <w:spacing w:before="40" w:after="40" w:line="220" w:lineRule="exact"/>
              <w:ind w:right="113"/>
              <w:jc w:val="right"/>
              <w:rPr>
                <w:sz w:val="18"/>
              </w:rPr>
            </w:pPr>
            <w:r w:rsidRPr="00F464FA">
              <w:rPr>
                <w:sz w:val="18"/>
              </w:rPr>
              <w:t>40</w:t>
            </w:r>
          </w:p>
        </w:tc>
        <w:tc>
          <w:tcPr>
            <w:tcW w:w="510" w:type="dxa"/>
            <w:tcBorders>
              <w:top w:val="single" w:sz="12" w:space="0" w:color="auto"/>
            </w:tcBorders>
            <w:shd w:val="clear" w:color="auto" w:fill="auto"/>
            <w:noWrap/>
            <w:vAlign w:val="bottom"/>
            <w:hideMark/>
          </w:tcPr>
          <w:p w14:paraId="7E9491B5" w14:textId="26675053" w:rsidR="00221DD4" w:rsidRPr="00F464FA" w:rsidRDefault="00221DD4" w:rsidP="005A1946">
            <w:pPr>
              <w:suppressAutoHyphens w:val="0"/>
              <w:spacing w:before="40" w:after="40" w:line="220" w:lineRule="exact"/>
              <w:ind w:right="113"/>
              <w:jc w:val="right"/>
              <w:rPr>
                <w:sz w:val="18"/>
              </w:rPr>
            </w:pPr>
            <w:r w:rsidRPr="00F464FA">
              <w:rPr>
                <w:sz w:val="18"/>
              </w:rPr>
              <w:t>28</w:t>
            </w:r>
          </w:p>
        </w:tc>
        <w:tc>
          <w:tcPr>
            <w:tcW w:w="511" w:type="dxa"/>
            <w:tcBorders>
              <w:top w:val="single" w:sz="12" w:space="0" w:color="auto"/>
            </w:tcBorders>
            <w:shd w:val="clear" w:color="auto" w:fill="auto"/>
            <w:noWrap/>
            <w:vAlign w:val="bottom"/>
            <w:hideMark/>
          </w:tcPr>
          <w:p w14:paraId="24A6B5CE" w14:textId="648135F3" w:rsidR="00221DD4" w:rsidRPr="00F464FA" w:rsidRDefault="00221DD4" w:rsidP="005A1946">
            <w:pPr>
              <w:suppressAutoHyphens w:val="0"/>
              <w:spacing w:before="40" w:after="40" w:line="220" w:lineRule="exact"/>
              <w:ind w:right="113"/>
              <w:jc w:val="right"/>
              <w:rPr>
                <w:sz w:val="18"/>
              </w:rPr>
            </w:pPr>
            <w:r w:rsidRPr="00F464FA">
              <w:rPr>
                <w:sz w:val="18"/>
              </w:rPr>
              <w:t>44</w:t>
            </w:r>
          </w:p>
        </w:tc>
        <w:tc>
          <w:tcPr>
            <w:tcW w:w="510" w:type="dxa"/>
            <w:tcBorders>
              <w:top w:val="single" w:sz="12" w:space="0" w:color="auto"/>
            </w:tcBorders>
            <w:shd w:val="clear" w:color="auto" w:fill="auto"/>
            <w:noWrap/>
            <w:vAlign w:val="bottom"/>
            <w:hideMark/>
          </w:tcPr>
          <w:p w14:paraId="2A996CCA" w14:textId="4BFF9527" w:rsidR="00221DD4" w:rsidRPr="00F464FA" w:rsidRDefault="00221DD4" w:rsidP="005A1946">
            <w:pPr>
              <w:suppressAutoHyphens w:val="0"/>
              <w:spacing w:before="40" w:after="40" w:line="220" w:lineRule="exact"/>
              <w:ind w:right="113"/>
              <w:jc w:val="right"/>
              <w:rPr>
                <w:sz w:val="18"/>
              </w:rPr>
            </w:pPr>
            <w:r w:rsidRPr="00F464FA">
              <w:rPr>
                <w:sz w:val="18"/>
              </w:rPr>
              <w:t>29</w:t>
            </w:r>
          </w:p>
        </w:tc>
        <w:tc>
          <w:tcPr>
            <w:tcW w:w="510" w:type="dxa"/>
            <w:tcBorders>
              <w:top w:val="single" w:sz="12" w:space="0" w:color="auto"/>
            </w:tcBorders>
            <w:shd w:val="clear" w:color="auto" w:fill="auto"/>
            <w:noWrap/>
            <w:vAlign w:val="bottom"/>
            <w:hideMark/>
          </w:tcPr>
          <w:p w14:paraId="5AEF49C3" w14:textId="2709C5E5" w:rsidR="00221DD4" w:rsidRPr="00F464FA" w:rsidRDefault="00221DD4" w:rsidP="005A1946">
            <w:pPr>
              <w:suppressAutoHyphens w:val="0"/>
              <w:spacing w:before="40" w:after="40" w:line="220" w:lineRule="exact"/>
              <w:ind w:right="113"/>
              <w:jc w:val="right"/>
              <w:rPr>
                <w:sz w:val="18"/>
              </w:rPr>
            </w:pPr>
            <w:r w:rsidRPr="00F464FA">
              <w:rPr>
                <w:sz w:val="18"/>
              </w:rPr>
              <w:t>37</w:t>
            </w:r>
          </w:p>
        </w:tc>
        <w:tc>
          <w:tcPr>
            <w:tcW w:w="511" w:type="dxa"/>
            <w:tcBorders>
              <w:top w:val="single" w:sz="12" w:space="0" w:color="auto"/>
            </w:tcBorders>
            <w:shd w:val="clear" w:color="auto" w:fill="auto"/>
            <w:noWrap/>
            <w:vAlign w:val="bottom"/>
            <w:hideMark/>
          </w:tcPr>
          <w:p w14:paraId="28EDA983" w14:textId="3CF9BC08" w:rsidR="00221DD4" w:rsidRPr="00F464FA" w:rsidRDefault="00221DD4" w:rsidP="005A1946">
            <w:pPr>
              <w:suppressAutoHyphens w:val="0"/>
              <w:spacing w:before="40" w:after="40" w:line="220" w:lineRule="exact"/>
              <w:ind w:right="113"/>
              <w:jc w:val="right"/>
              <w:rPr>
                <w:sz w:val="18"/>
              </w:rPr>
            </w:pPr>
            <w:r w:rsidRPr="00F464FA">
              <w:rPr>
                <w:sz w:val="18"/>
              </w:rPr>
              <w:t>22</w:t>
            </w:r>
          </w:p>
        </w:tc>
        <w:tc>
          <w:tcPr>
            <w:tcW w:w="853" w:type="dxa"/>
            <w:tcBorders>
              <w:top w:val="single" w:sz="12" w:space="0" w:color="auto"/>
            </w:tcBorders>
            <w:shd w:val="clear" w:color="auto" w:fill="auto"/>
            <w:noWrap/>
            <w:vAlign w:val="bottom"/>
            <w:hideMark/>
          </w:tcPr>
          <w:p w14:paraId="408CE11A" w14:textId="53AF5094" w:rsidR="00221DD4" w:rsidRPr="00F464FA" w:rsidRDefault="00221DD4" w:rsidP="005A1946">
            <w:pPr>
              <w:suppressAutoHyphens w:val="0"/>
              <w:spacing w:before="40" w:after="40" w:line="220" w:lineRule="exact"/>
              <w:ind w:right="113"/>
              <w:jc w:val="right"/>
              <w:rPr>
                <w:sz w:val="18"/>
              </w:rPr>
            </w:pPr>
            <w:r w:rsidRPr="00F464FA">
              <w:rPr>
                <w:sz w:val="18"/>
              </w:rPr>
              <w:t>−35</w:t>
            </w:r>
          </w:p>
        </w:tc>
        <w:tc>
          <w:tcPr>
            <w:tcW w:w="706" w:type="dxa"/>
            <w:tcBorders>
              <w:top w:val="single" w:sz="12" w:space="0" w:color="auto"/>
            </w:tcBorders>
            <w:shd w:val="clear" w:color="auto" w:fill="auto"/>
            <w:noWrap/>
            <w:vAlign w:val="bottom"/>
            <w:hideMark/>
          </w:tcPr>
          <w:p w14:paraId="77A48C77" w14:textId="07B31729" w:rsidR="00221DD4" w:rsidRPr="00F464FA" w:rsidRDefault="00221DD4" w:rsidP="005A1946">
            <w:pPr>
              <w:suppressAutoHyphens w:val="0"/>
              <w:spacing w:before="40" w:after="40" w:line="220" w:lineRule="exact"/>
              <w:ind w:right="113"/>
              <w:jc w:val="right"/>
              <w:rPr>
                <w:sz w:val="18"/>
              </w:rPr>
            </w:pPr>
            <w:r w:rsidRPr="00F464FA">
              <w:rPr>
                <w:sz w:val="18"/>
              </w:rPr>
              <w:t>−62</w:t>
            </w:r>
          </w:p>
        </w:tc>
      </w:tr>
      <w:tr w:rsidR="00221DD4" w:rsidRPr="00F464FA" w14:paraId="1BAF6830" w14:textId="77777777" w:rsidTr="005A1946">
        <w:tc>
          <w:tcPr>
            <w:tcW w:w="851" w:type="dxa"/>
            <w:vMerge w:val="restart"/>
            <w:shd w:val="clear" w:color="auto" w:fill="auto"/>
            <w:noWrap/>
            <w:hideMark/>
          </w:tcPr>
          <w:p w14:paraId="689C5FB9" w14:textId="2A30DAE7" w:rsidR="00221DD4" w:rsidRPr="00F464FA" w:rsidRDefault="00221DD4" w:rsidP="005A1946">
            <w:pPr>
              <w:suppressAutoHyphens w:val="0"/>
              <w:spacing w:before="40" w:after="40" w:line="220" w:lineRule="exact"/>
              <w:ind w:right="113"/>
              <w:rPr>
                <w:sz w:val="18"/>
              </w:rPr>
            </w:pPr>
            <w:r w:rsidRPr="00F464FA">
              <w:rPr>
                <w:sz w:val="18"/>
              </w:rPr>
              <w:t>Region</w:t>
            </w:r>
            <w:r w:rsidR="001939E4" w:rsidRPr="00F464FA">
              <w:rPr>
                <w:sz w:val="18"/>
              </w:rPr>
              <w:t xml:space="preserve"> </w:t>
            </w:r>
          </w:p>
        </w:tc>
        <w:tc>
          <w:tcPr>
            <w:tcW w:w="992" w:type="dxa"/>
            <w:shd w:val="clear" w:color="auto" w:fill="auto"/>
            <w:noWrap/>
            <w:hideMark/>
          </w:tcPr>
          <w:p w14:paraId="52111CA4" w14:textId="5DD54F5B" w:rsidR="00221DD4" w:rsidRPr="00F464FA" w:rsidRDefault="00221DD4" w:rsidP="005A1946">
            <w:pPr>
              <w:suppressAutoHyphens w:val="0"/>
              <w:spacing w:before="40" w:after="40" w:line="220" w:lineRule="exact"/>
              <w:ind w:right="113"/>
              <w:rPr>
                <w:sz w:val="18"/>
              </w:rPr>
            </w:pPr>
            <w:r w:rsidRPr="00F464FA">
              <w:rPr>
                <w:sz w:val="18"/>
              </w:rPr>
              <w:t>Northern</w:t>
            </w:r>
            <w:r w:rsidR="001939E4" w:rsidRPr="00F464FA">
              <w:rPr>
                <w:sz w:val="18"/>
              </w:rPr>
              <w:t xml:space="preserve"> </w:t>
            </w:r>
          </w:p>
        </w:tc>
        <w:tc>
          <w:tcPr>
            <w:tcW w:w="510" w:type="dxa"/>
            <w:shd w:val="clear" w:color="auto" w:fill="auto"/>
            <w:noWrap/>
            <w:vAlign w:val="bottom"/>
            <w:hideMark/>
          </w:tcPr>
          <w:p w14:paraId="758490A6" w14:textId="7C8C27C1" w:rsidR="00221DD4" w:rsidRPr="00F464FA" w:rsidRDefault="00221DD4" w:rsidP="005A1946">
            <w:pPr>
              <w:suppressAutoHyphens w:val="0"/>
              <w:spacing w:before="40" w:after="40" w:line="220" w:lineRule="exact"/>
              <w:ind w:right="113"/>
              <w:jc w:val="right"/>
              <w:rPr>
                <w:sz w:val="18"/>
              </w:rPr>
            </w:pPr>
            <w:r w:rsidRPr="00F464FA">
              <w:rPr>
                <w:sz w:val="18"/>
              </w:rPr>
              <w:t>60</w:t>
            </w:r>
          </w:p>
        </w:tc>
        <w:tc>
          <w:tcPr>
            <w:tcW w:w="510" w:type="dxa"/>
            <w:shd w:val="clear" w:color="auto" w:fill="auto"/>
            <w:noWrap/>
            <w:vAlign w:val="bottom"/>
            <w:hideMark/>
          </w:tcPr>
          <w:p w14:paraId="79AE1EAC" w14:textId="27DE093B" w:rsidR="00221DD4" w:rsidRPr="00F464FA" w:rsidRDefault="00221DD4" w:rsidP="005A1946">
            <w:pPr>
              <w:suppressAutoHyphens w:val="0"/>
              <w:spacing w:before="40" w:after="40" w:line="220" w:lineRule="exact"/>
              <w:ind w:right="113"/>
              <w:jc w:val="right"/>
              <w:rPr>
                <w:sz w:val="18"/>
              </w:rPr>
            </w:pPr>
            <w:r w:rsidRPr="00F464FA">
              <w:rPr>
                <w:sz w:val="18"/>
              </w:rPr>
              <w:t>45</w:t>
            </w:r>
          </w:p>
        </w:tc>
        <w:tc>
          <w:tcPr>
            <w:tcW w:w="510" w:type="dxa"/>
            <w:shd w:val="clear" w:color="auto" w:fill="auto"/>
            <w:noWrap/>
            <w:vAlign w:val="bottom"/>
            <w:hideMark/>
          </w:tcPr>
          <w:p w14:paraId="27DB9BC1" w14:textId="0C14E87D" w:rsidR="00221DD4" w:rsidRPr="00F464FA" w:rsidRDefault="00221DD4" w:rsidP="005A1946">
            <w:pPr>
              <w:suppressAutoHyphens w:val="0"/>
              <w:spacing w:before="40" w:after="40" w:line="220" w:lineRule="exact"/>
              <w:ind w:right="113"/>
              <w:jc w:val="right"/>
              <w:rPr>
                <w:sz w:val="18"/>
              </w:rPr>
            </w:pPr>
            <w:r w:rsidRPr="00F464FA">
              <w:rPr>
                <w:sz w:val="18"/>
              </w:rPr>
              <w:t>48</w:t>
            </w:r>
          </w:p>
        </w:tc>
        <w:tc>
          <w:tcPr>
            <w:tcW w:w="511" w:type="dxa"/>
            <w:shd w:val="clear" w:color="auto" w:fill="auto"/>
            <w:noWrap/>
            <w:vAlign w:val="bottom"/>
            <w:hideMark/>
          </w:tcPr>
          <w:p w14:paraId="2EF30AEA" w14:textId="1927C4E6" w:rsidR="00221DD4" w:rsidRPr="00F464FA" w:rsidRDefault="00221DD4" w:rsidP="005A1946">
            <w:pPr>
              <w:suppressAutoHyphens w:val="0"/>
              <w:spacing w:before="40" w:after="40" w:line="220" w:lineRule="exact"/>
              <w:ind w:right="113"/>
              <w:jc w:val="right"/>
              <w:rPr>
                <w:sz w:val="18"/>
              </w:rPr>
            </w:pPr>
            <w:r w:rsidRPr="00F464FA">
              <w:rPr>
                <w:sz w:val="18"/>
              </w:rPr>
              <w:t>40</w:t>
            </w:r>
          </w:p>
        </w:tc>
        <w:tc>
          <w:tcPr>
            <w:tcW w:w="510" w:type="dxa"/>
            <w:shd w:val="clear" w:color="auto" w:fill="auto"/>
            <w:noWrap/>
            <w:vAlign w:val="bottom"/>
            <w:hideMark/>
          </w:tcPr>
          <w:p w14:paraId="3CF677A5" w14:textId="25B97BF4" w:rsidR="00221DD4" w:rsidRPr="00F464FA" w:rsidRDefault="00221DD4" w:rsidP="005A1946">
            <w:pPr>
              <w:suppressAutoHyphens w:val="0"/>
              <w:spacing w:before="40" w:after="40" w:line="220" w:lineRule="exact"/>
              <w:ind w:right="113"/>
              <w:jc w:val="right"/>
              <w:rPr>
                <w:sz w:val="18"/>
              </w:rPr>
            </w:pPr>
            <w:r w:rsidRPr="00F464FA">
              <w:rPr>
                <w:sz w:val="18"/>
              </w:rPr>
              <w:t>34</w:t>
            </w:r>
          </w:p>
        </w:tc>
        <w:tc>
          <w:tcPr>
            <w:tcW w:w="510" w:type="dxa"/>
            <w:shd w:val="clear" w:color="auto" w:fill="auto"/>
            <w:noWrap/>
            <w:vAlign w:val="bottom"/>
            <w:hideMark/>
          </w:tcPr>
          <w:p w14:paraId="5658B71A" w14:textId="57D515A8" w:rsidR="00221DD4" w:rsidRPr="00F464FA" w:rsidRDefault="00221DD4" w:rsidP="005A1946">
            <w:pPr>
              <w:suppressAutoHyphens w:val="0"/>
              <w:spacing w:before="40" w:after="40" w:line="220" w:lineRule="exact"/>
              <w:ind w:right="113"/>
              <w:jc w:val="right"/>
              <w:rPr>
                <w:sz w:val="18"/>
              </w:rPr>
            </w:pPr>
            <w:r w:rsidRPr="00F464FA">
              <w:rPr>
                <w:sz w:val="18"/>
              </w:rPr>
              <w:t>30</w:t>
            </w:r>
          </w:p>
        </w:tc>
        <w:tc>
          <w:tcPr>
            <w:tcW w:w="511" w:type="dxa"/>
            <w:shd w:val="clear" w:color="auto" w:fill="auto"/>
            <w:noWrap/>
            <w:vAlign w:val="bottom"/>
            <w:hideMark/>
          </w:tcPr>
          <w:p w14:paraId="24754932" w14:textId="24ACBBF4" w:rsidR="00221DD4" w:rsidRPr="00F464FA" w:rsidRDefault="00221DD4" w:rsidP="005A1946">
            <w:pPr>
              <w:suppressAutoHyphens w:val="0"/>
              <w:spacing w:before="40" w:after="40" w:line="220" w:lineRule="exact"/>
              <w:ind w:right="113"/>
              <w:jc w:val="right"/>
              <w:rPr>
                <w:sz w:val="18"/>
              </w:rPr>
            </w:pPr>
            <w:r w:rsidRPr="00F464FA">
              <w:rPr>
                <w:sz w:val="18"/>
              </w:rPr>
              <w:t>37</w:t>
            </w:r>
          </w:p>
        </w:tc>
        <w:tc>
          <w:tcPr>
            <w:tcW w:w="510" w:type="dxa"/>
            <w:shd w:val="clear" w:color="auto" w:fill="auto"/>
            <w:noWrap/>
            <w:vAlign w:val="bottom"/>
            <w:hideMark/>
          </w:tcPr>
          <w:p w14:paraId="4285DA75" w14:textId="11B34507" w:rsidR="00221DD4" w:rsidRPr="00F464FA" w:rsidRDefault="00221DD4" w:rsidP="005A1946">
            <w:pPr>
              <w:suppressAutoHyphens w:val="0"/>
              <w:spacing w:before="40" w:after="40" w:line="220" w:lineRule="exact"/>
              <w:ind w:right="113"/>
              <w:jc w:val="right"/>
              <w:rPr>
                <w:sz w:val="18"/>
              </w:rPr>
            </w:pPr>
            <w:r w:rsidRPr="00F464FA">
              <w:rPr>
                <w:sz w:val="18"/>
              </w:rPr>
              <w:t>33</w:t>
            </w:r>
          </w:p>
        </w:tc>
        <w:tc>
          <w:tcPr>
            <w:tcW w:w="510" w:type="dxa"/>
            <w:shd w:val="clear" w:color="auto" w:fill="auto"/>
            <w:noWrap/>
            <w:vAlign w:val="bottom"/>
            <w:hideMark/>
          </w:tcPr>
          <w:p w14:paraId="241A856F" w14:textId="256BD8AA" w:rsidR="00221DD4" w:rsidRPr="00F464FA" w:rsidRDefault="00221DD4" w:rsidP="005A1946">
            <w:pPr>
              <w:suppressAutoHyphens w:val="0"/>
              <w:spacing w:before="40" w:after="40" w:line="220" w:lineRule="exact"/>
              <w:ind w:right="113"/>
              <w:jc w:val="right"/>
              <w:rPr>
                <w:sz w:val="18"/>
              </w:rPr>
            </w:pPr>
            <w:r w:rsidRPr="00F464FA">
              <w:rPr>
                <w:sz w:val="18"/>
              </w:rPr>
              <w:t>34</w:t>
            </w:r>
          </w:p>
        </w:tc>
        <w:tc>
          <w:tcPr>
            <w:tcW w:w="511" w:type="dxa"/>
            <w:shd w:val="clear" w:color="auto" w:fill="auto"/>
            <w:noWrap/>
            <w:vAlign w:val="bottom"/>
            <w:hideMark/>
          </w:tcPr>
          <w:p w14:paraId="287DBF61" w14:textId="3563B14C" w:rsidR="00221DD4" w:rsidRPr="00F464FA" w:rsidRDefault="00221DD4" w:rsidP="005A1946">
            <w:pPr>
              <w:suppressAutoHyphens w:val="0"/>
              <w:spacing w:before="40" w:after="40" w:line="220" w:lineRule="exact"/>
              <w:ind w:right="113"/>
              <w:jc w:val="right"/>
              <w:rPr>
                <w:sz w:val="18"/>
              </w:rPr>
            </w:pPr>
            <w:r w:rsidRPr="00F464FA">
              <w:rPr>
                <w:sz w:val="18"/>
              </w:rPr>
              <w:t>31</w:t>
            </w:r>
          </w:p>
        </w:tc>
        <w:tc>
          <w:tcPr>
            <w:tcW w:w="853" w:type="dxa"/>
            <w:shd w:val="clear" w:color="auto" w:fill="auto"/>
            <w:noWrap/>
            <w:vAlign w:val="bottom"/>
            <w:hideMark/>
          </w:tcPr>
          <w:p w14:paraId="7B23ADB9" w14:textId="4C958BA6" w:rsidR="00221DD4" w:rsidRPr="00F464FA" w:rsidRDefault="00221DD4" w:rsidP="005A1946">
            <w:pPr>
              <w:suppressAutoHyphens w:val="0"/>
              <w:spacing w:before="40" w:after="40" w:line="220" w:lineRule="exact"/>
              <w:ind w:right="113"/>
              <w:jc w:val="right"/>
              <w:rPr>
                <w:sz w:val="18"/>
              </w:rPr>
            </w:pPr>
            <w:r w:rsidRPr="00F464FA">
              <w:rPr>
                <w:sz w:val="18"/>
              </w:rPr>
              <w:t>−28</w:t>
            </w:r>
          </w:p>
        </w:tc>
        <w:tc>
          <w:tcPr>
            <w:tcW w:w="706" w:type="dxa"/>
            <w:shd w:val="clear" w:color="auto" w:fill="auto"/>
            <w:noWrap/>
            <w:vAlign w:val="bottom"/>
            <w:hideMark/>
          </w:tcPr>
          <w:p w14:paraId="22CC88F8" w14:textId="201B2D62" w:rsidR="00221DD4" w:rsidRPr="00F464FA" w:rsidRDefault="00221DD4" w:rsidP="005A1946">
            <w:pPr>
              <w:suppressAutoHyphens w:val="0"/>
              <w:spacing w:before="40" w:after="40" w:line="220" w:lineRule="exact"/>
              <w:ind w:right="113"/>
              <w:jc w:val="right"/>
              <w:rPr>
                <w:sz w:val="18"/>
              </w:rPr>
            </w:pPr>
            <w:r w:rsidRPr="00F464FA">
              <w:rPr>
                <w:sz w:val="18"/>
              </w:rPr>
              <w:t>−48</w:t>
            </w:r>
          </w:p>
        </w:tc>
      </w:tr>
      <w:tr w:rsidR="00221DD4" w:rsidRPr="00F464FA" w14:paraId="12AF692B" w14:textId="77777777" w:rsidTr="005A1946">
        <w:tc>
          <w:tcPr>
            <w:tcW w:w="851" w:type="dxa"/>
            <w:vMerge/>
            <w:shd w:val="clear" w:color="auto" w:fill="auto"/>
            <w:hideMark/>
          </w:tcPr>
          <w:p w14:paraId="333CC7F7"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3DD00FFE" w14:textId="01E50CE7" w:rsidR="00221DD4" w:rsidRPr="00F464FA" w:rsidRDefault="00221DD4" w:rsidP="005A1946">
            <w:pPr>
              <w:suppressAutoHyphens w:val="0"/>
              <w:spacing w:before="40" w:after="40" w:line="220" w:lineRule="exact"/>
              <w:ind w:right="113"/>
              <w:rPr>
                <w:sz w:val="18"/>
              </w:rPr>
            </w:pPr>
            <w:r w:rsidRPr="00F464FA">
              <w:rPr>
                <w:sz w:val="18"/>
              </w:rPr>
              <w:t>Central</w:t>
            </w:r>
            <w:r w:rsidR="001939E4" w:rsidRPr="00F464FA">
              <w:rPr>
                <w:sz w:val="18"/>
              </w:rPr>
              <w:t xml:space="preserve"> </w:t>
            </w:r>
          </w:p>
        </w:tc>
        <w:tc>
          <w:tcPr>
            <w:tcW w:w="510" w:type="dxa"/>
            <w:shd w:val="clear" w:color="auto" w:fill="auto"/>
            <w:noWrap/>
            <w:vAlign w:val="bottom"/>
            <w:hideMark/>
          </w:tcPr>
          <w:p w14:paraId="72026521" w14:textId="4DA8C66B" w:rsidR="00221DD4" w:rsidRPr="00F464FA" w:rsidRDefault="00221DD4" w:rsidP="005A1946">
            <w:pPr>
              <w:suppressAutoHyphens w:val="0"/>
              <w:spacing w:before="40" w:after="40" w:line="220" w:lineRule="exact"/>
              <w:ind w:right="113"/>
              <w:jc w:val="right"/>
              <w:rPr>
                <w:sz w:val="18"/>
              </w:rPr>
            </w:pPr>
            <w:r w:rsidRPr="00F464FA">
              <w:rPr>
                <w:sz w:val="18"/>
              </w:rPr>
              <w:t>60</w:t>
            </w:r>
          </w:p>
        </w:tc>
        <w:tc>
          <w:tcPr>
            <w:tcW w:w="510" w:type="dxa"/>
            <w:shd w:val="clear" w:color="auto" w:fill="auto"/>
            <w:noWrap/>
            <w:vAlign w:val="bottom"/>
            <w:hideMark/>
          </w:tcPr>
          <w:p w14:paraId="60EE855E" w14:textId="5ED0CB17" w:rsidR="00221DD4" w:rsidRPr="00F464FA" w:rsidRDefault="00221DD4" w:rsidP="005A1946">
            <w:pPr>
              <w:suppressAutoHyphens w:val="0"/>
              <w:spacing w:before="40" w:after="40" w:line="220" w:lineRule="exact"/>
              <w:ind w:right="113"/>
              <w:jc w:val="right"/>
              <w:rPr>
                <w:sz w:val="18"/>
              </w:rPr>
            </w:pPr>
            <w:r w:rsidRPr="00F464FA">
              <w:rPr>
                <w:sz w:val="18"/>
              </w:rPr>
              <w:t>53</w:t>
            </w:r>
          </w:p>
        </w:tc>
        <w:tc>
          <w:tcPr>
            <w:tcW w:w="510" w:type="dxa"/>
            <w:shd w:val="clear" w:color="auto" w:fill="auto"/>
            <w:noWrap/>
            <w:vAlign w:val="bottom"/>
            <w:hideMark/>
          </w:tcPr>
          <w:p w14:paraId="397F5405" w14:textId="0B0C117E" w:rsidR="00221DD4" w:rsidRPr="00F464FA" w:rsidRDefault="00221DD4" w:rsidP="005A1946">
            <w:pPr>
              <w:suppressAutoHyphens w:val="0"/>
              <w:spacing w:before="40" w:after="40" w:line="220" w:lineRule="exact"/>
              <w:ind w:right="113"/>
              <w:jc w:val="right"/>
              <w:rPr>
                <w:sz w:val="18"/>
              </w:rPr>
            </w:pPr>
            <w:r w:rsidRPr="00F464FA">
              <w:rPr>
                <w:sz w:val="18"/>
              </w:rPr>
              <w:t>52</w:t>
            </w:r>
          </w:p>
        </w:tc>
        <w:tc>
          <w:tcPr>
            <w:tcW w:w="511" w:type="dxa"/>
            <w:shd w:val="clear" w:color="auto" w:fill="auto"/>
            <w:noWrap/>
            <w:vAlign w:val="bottom"/>
            <w:hideMark/>
          </w:tcPr>
          <w:p w14:paraId="64C71ABB" w14:textId="6907C3F8" w:rsidR="00221DD4" w:rsidRPr="00F464FA" w:rsidRDefault="00221DD4" w:rsidP="005A1946">
            <w:pPr>
              <w:suppressAutoHyphens w:val="0"/>
              <w:spacing w:before="40" w:after="40" w:line="220" w:lineRule="exact"/>
              <w:ind w:right="113"/>
              <w:jc w:val="right"/>
              <w:rPr>
                <w:sz w:val="18"/>
              </w:rPr>
            </w:pPr>
            <w:r w:rsidRPr="00F464FA">
              <w:rPr>
                <w:sz w:val="18"/>
              </w:rPr>
              <w:t>49</w:t>
            </w:r>
          </w:p>
        </w:tc>
        <w:tc>
          <w:tcPr>
            <w:tcW w:w="510" w:type="dxa"/>
            <w:shd w:val="clear" w:color="auto" w:fill="auto"/>
            <w:noWrap/>
            <w:vAlign w:val="bottom"/>
            <w:hideMark/>
          </w:tcPr>
          <w:p w14:paraId="45596CBF" w14:textId="69F5FFF2" w:rsidR="00221DD4" w:rsidRPr="00F464FA" w:rsidRDefault="00221DD4" w:rsidP="005A1946">
            <w:pPr>
              <w:suppressAutoHyphens w:val="0"/>
              <w:spacing w:before="40" w:after="40" w:line="220" w:lineRule="exact"/>
              <w:ind w:right="113"/>
              <w:jc w:val="right"/>
              <w:rPr>
                <w:sz w:val="18"/>
              </w:rPr>
            </w:pPr>
            <w:r w:rsidRPr="00F464FA">
              <w:rPr>
                <w:sz w:val="18"/>
              </w:rPr>
              <w:t>43</w:t>
            </w:r>
          </w:p>
        </w:tc>
        <w:tc>
          <w:tcPr>
            <w:tcW w:w="510" w:type="dxa"/>
            <w:shd w:val="clear" w:color="auto" w:fill="auto"/>
            <w:noWrap/>
            <w:vAlign w:val="bottom"/>
            <w:hideMark/>
          </w:tcPr>
          <w:p w14:paraId="12ADBC0C" w14:textId="1D68D49D" w:rsidR="00221DD4" w:rsidRPr="00F464FA" w:rsidRDefault="00221DD4" w:rsidP="005A1946">
            <w:pPr>
              <w:suppressAutoHyphens w:val="0"/>
              <w:spacing w:before="40" w:after="40" w:line="220" w:lineRule="exact"/>
              <w:ind w:right="113"/>
              <w:jc w:val="right"/>
              <w:rPr>
                <w:sz w:val="18"/>
              </w:rPr>
            </w:pPr>
            <w:r w:rsidRPr="00F464FA">
              <w:rPr>
                <w:sz w:val="18"/>
              </w:rPr>
              <w:t>31</w:t>
            </w:r>
          </w:p>
        </w:tc>
        <w:tc>
          <w:tcPr>
            <w:tcW w:w="511" w:type="dxa"/>
            <w:shd w:val="clear" w:color="auto" w:fill="auto"/>
            <w:noWrap/>
            <w:vAlign w:val="bottom"/>
            <w:hideMark/>
          </w:tcPr>
          <w:p w14:paraId="2E13D7FA" w14:textId="59B13B83" w:rsidR="00221DD4" w:rsidRPr="00F464FA" w:rsidRDefault="00221DD4" w:rsidP="005A1946">
            <w:pPr>
              <w:suppressAutoHyphens w:val="0"/>
              <w:spacing w:before="40" w:after="40" w:line="220" w:lineRule="exact"/>
              <w:ind w:right="113"/>
              <w:jc w:val="right"/>
              <w:rPr>
                <w:sz w:val="18"/>
              </w:rPr>
            </w:pPr>
            <w:r w:rsidRPr="00F464FA">
              <w:rPr>
                <w:sz w:val="18"/>
              </w:rPr>
              <w:t>41</w:t>
            </w:r>
          </w:p>
        </w:tc>
        <w:tc>
          <w:tcPr>
            <w:tcW w:w="510" w:type="dxa"/>
            <w:shd w:val="clear" w:color="auto" w:fill="auto"/>
            <w:noWrap/>
            <w:vAlign w:val="bottom"/>
            <w:hideMark/>
          </w:tcPr>
          <w:p w14:paraId="4A514D77" w14:textId="7F44FE6E" w:rsidR="00221DD4" w:rsidRPr="00F464FA" w:rsidRDefault="00221DD4" w:rsidP="005A1946">
            <w:pPr>
              <w:suppressAutoHyphens w:val="0"/>
              <w:spacing w:before="40" w:after="40" w:line="220" w:lineRule="exact"/>
              <w:ind w:right="113"/>
              <w:jc w:val="right"/>
              <w:rPr>
                <w:sz w:val="18"/>
              </w:rPr>
            </w:pPr>
            <w:r w:rsidRPr="00F464FA">
              <w:rPr>
                <w:sz w:val="18"/>
              </w:rPr>
              <w:t>31</w:t>
            </w:r>
          </w:p>
        </w:tc>
        <w:tc>
          <w:tcPr>
            <w:tcW w:w="510" w:type="dxa"/>
            <w:shd w:val="clear" w:color="auto" w:fill="auto"/>
            <w:noWrap/>
            <w:vAlign w:val="bottom"/>
            <w:hideMark/>
          </w:tcPr>
          <w:p w14:paraId="2C159830" w14:textId="14E1CD1B" w:rsidR="00221DD4" w:rsidRPr="00F464FA" w:rsidRDefault="00221DD4" w:rsidP="005A1946">
            <w:pPr>
              <w:suppressAutoHyphens w:val="0"/>
              <w:spacing w:before="40" w:after="40" w:line="220" w:lineRule="exact"/>
              <w:ind w:right="113"/>
              <w:jc w:val="right"/>
              <w:rPr>
                <w:sz w:val="18"/>
              </w:rPr>
            </w:pPr>
            <w:r w:rsidRPr="00F464FA">
              <w:rPr>
                <w:sz w:val="18"/>
              </w:rPr>
              <w:t>39</w:t>
            </w:r>
          </w:p>
        </w:tc>
        <w:tc>
          <w:tcPr>
            <w:tcW w:w="511" w:type="dxa"/>
            <w:shd w:val="clear" w:color="auto" w:fill="auto"/>
            <w:noWrap/>
            <w:vAlign w:val="bottom"/>
            <w:hideMark/>
          </w:tcPr>
          <w:p w14:paraId="537C27A1" w14:textId="35864420" w:rsidR="00221DD4" w:rsidRPr="00F464FA" w:rsidRDefault="00221DD4" w:rsidP="005A1946">
            <w:pPr>
              <w:suppressAutoHyphens w:val="0"/>
              <w:spacing w:before="40" w:after="40" w:line="220" w:lineRule="exact"/>
              <w:ind w:right="113"/>
              <w:jc w:val="right"/>
              <w:rPr>
                <w:sz w:val="18"/>
              </w:rPr>
            </w:pPr>
            <w:r w:rsidRPr="00F464FA">
              <w:rPr>
                <w:sz w:val="18"/>
              </w:rPr>
              <w:t>23</w:t>
            </w:r>
          </w:p>
        </w:tc>
        <w:tc>
          <w:tcPr>
            <w:tcW w:w="853" w:type="dxa"/>
            <w:shd w:val="clear" w:color="auto" w:fill="auto"/>
            <w:noWrap/>
            <w:vAlign w:val="bottom"/>
            <w:hideMark/>
          </w:tcPr>
          <w:p w14:paraId="5D091C2F" w14:textId="7AF045C1" w:rsidR="00221DD4" w:rsidRPr="00F464FA" w:rsidRDefault="00221DD4" w:rsidP="005A1946">
            <w:pPr>
              <w:suppressAutoHyphens w:val="0"/>
              <w:spacing w:before="40" w:after="40" w:line="220" w:lineRule="exact"/>
              <w:ind w:right="113"/>
              <w:jc w:val="right"/>
              <w:rPr>
                <w:sz w:val="18"/>
              </w:rPr>
            </w:pPr>
            <w:r w:rsidRPr="00F464FA">
              <w:rPr>
                <w:sz w:val="18"/>
              </w:rPr>
              <w:t>−37</w:t>
            </w:r>
          </w:p>
        </w:tc>
        <w:tc>
          <w:tcPr>
            <w:tcW w:w="706" w:type="dxa"/>
            <w:shd w:val="clear" w:color="auto" w:fill="auto"/>
            <w:noWrap/>
            <w:vAlign w:val="bottom"/>
            <w:hideMark/>
          </w:tcPr>
          <w:p w14:paraId="418B28F7" w14:textId="6EB0FDEA" w:rsidR="00221DD4" w:rsidRPr="00F464FA" w:rsidRDefault="00221DD4" w:rsidP="005A1946">
            <w:pPr>
              <w:suppressAutoHyphens w:val="0"/>
              <w:spacing w:before="40" w:after="40" w:line="220" w:lineRule="exact"/>
              <w:ind w:right="113"/>
              <w:jc w:val="right"/>
              <w:rPr>
                <w:sz w:val="18"/>
              </w:rPr>
            </w:pPr>
            <w:r w:rsidRPr="00F464FA">
              <w:rPr>
                <w:sz w:val="18"/>
              </w:rPr>
              <w:t>−62</w:t>
            </w:r>
          </w:p>
        </w:tc>
      </w:tr>
      <w:tr w:rsidR="00221DD4" w:rsidRPr="00F464FA" w14:paraId="332219DE" w14:textId="77777777" w:rsidTr="005A1946">
        <w:tc>
          <w:tcPr>
            <w:tcW w:w="851" w:type="dxa"/>
            <w:vMerge/>
            <w:shd w:val="clear" w:color="auto" w:fill="auto"/>
            <w:hideMark/>
          </w:tcPr>
          <w:p w14:paraId="6E625D80"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4EA9F142" w14:textId="4D077D27" w:rsidR="00221DD4" w:rsidRPr="00F464FA" w:rsidRDefault="00221DD4" w:rsidP="005A1946">
            <w:pPr>
              <w:suppressAutoHyphens w:val="0"/>
              <w:spacing w:before="40" w:after="40" w:line="220" w:lineRule="exact"/>
              <w:ind w:right="113"/>
              <w:rPr>
                <w:sz w:val="18"/>
              </w:rPr>
            </w:pPr>
            <w:r w:rsidRPr="00F464FA">
              <w:rPr>
                <w:sz w:val="18"/>
              </w:rPr>
              <w:t>Southern</w:t>
            </w:r>
            <w:r w:rsidR="001939E4" w:rsidRPr="00F464FA">
              <w:rPr>
                <w:sz w:val="18"/>
              </w:rPr>
              <w:t xml:space="preserve"> </w:t>
            </w:r>
          </w:p>
        </w:tc>
        <w:tc>
          <w:tcPr>
            <w:tcW w:w="510" w:type="dxa"/>
            <w:shd w:val="clear" w:color="auto" w:fill="auto"/>
            <w:noWrap/>
            <w:vAlign w:val="bottom"/>
            <w:hideMark/>
          </w:tcPr>
          <w:p w14:paraId="68995142" w14:textId="1709DD24" w:rsidR="00221DD4" w:rsidRPr="00F464FA" w:rsidRDefault="00221DD4" w:rsidP="005A1946">
            <w:pPr>
              <w:suppressAutoHyphens w:val="0"/>
              <w:spacing w:before="40" w:after="40" w:line="220" w:lineRule="exact"/>
              <w:ind w:right="113"/>
              <w:jc w:val="right"/>
              <w:rPr>
                <w:sz w:val="18"/>
              </w:rPr>
            </w:pPr>
            <w:r w:rsidRPr="00F464FA">
              <w:rPr>
                <w:sz w:val="18"/>
              </w:rPr>
              <w:t>55</w:t>
            </w:r>
          </w:p>
        </w:tc>
        <w:tc>
          <w:tcPr>
            <w:tcW w:w="510" w:type="dxa"/>
            <w:shd w:val="clear" w:color="auto" w:fill="auto"/>
            <w:noWrap/>
            <w:vAlign w:val="bottom"/>
            <w:hideMark/>
          </w:tcPr>
          <w:p w14:paraId="5CCF3A79" w14:textId="70756D8A" w:rsidR="00221DD4" w:rsidRPr="00F464FA" w:rsidRDefault="00221DD4" w:rsidP="005A1946">
            <w:pPr>
              <w:suppressAutoHyphens w:val="0"/>
              <w:spacing w:before="40" w:after="40" w:line="220" w:lineRule="exact"/>
              <w:ind w:right="113"/>
              <w:jc w:val="right"/>
              <w:rPr>
                <w:sz w:val="18"/>
              </w:rPr>
            </w:pPr>
            <w:r w:rsidRPr="00F464FA">
              <w:rPr>
                <w:sz w:val="18"/>
              </w:rPr>
              <w:t>49</w:t>
            </w:r>
          </w:p>
        </w:tc>
        <w:tc>
          <w:tcPr>
            <w:tcW w:w="510" w:type="dxa"/>
            <w:shd w:val="clear" w:color="auto" w:fill="auto"/>
            <w:noWrap/>
            <w:vAlign w:val="bottom"/>
            <w:hideMark/>
          </w:tcPr>
          <w:p w14:paraId="15032A92" w14:textId="63F84190" w:rsidR="00221DD4" w:rsidRPr="00F464FA" w:rsidRDefault="00221DD4" w:rsidP="005A1946">
            <w:pPr>
              <w:suppressAutoHyphens w:val="0"/>
              <w:spacing w:before="40" w:after="40" w:line="220" w:lineRule="exact"/>
              <w:ind w:right="113"/>
              <w:jc w:val="right"/>
              <w:rPr>
                <w:sz w:val="18"/>
              </w:rPr>
            </w:pPr>
            <w:r w:rsidRPr="00F464FA">
              <w:rPr>
                <w:sz w:val="18"/>
              </w:rPr>
              <w:t>49</w:t>
            </w:r>
          </w:p>
        </w:tc>
        <w:tc>
          <w:tcPr>
            <w:tcW w:w="511" w:type="dxa"/>
            <w:shd w:val="clear" w:color="auto" w:fill="auto"/>
            <w:noWrap/>
            <w:vAlign w:val="bottom"/>
            <w:hideMark/>
          </w:tcPr>
          <w:p w14:paraId="3584EB1F" w14:textId="45F82A06" w:rsidR="00221DD4" w:rsidRPr="00F464FA" w:rsidRDefault="00221DD4" w:rsidP="005A1946">
            <w:pPr>
              <w:suppressAutoHyphens w:val="0"/>
              <w:spacing w:before="40" w:after="40" w:line="220" w:lineRule="exact"/>
              <w:ind w:right="113"/>
              <w:jc w:val="right"/>
              <w:rPr>
                <w:sz w:val="18"/>
              </w:rPr>
            </w:pPr>
            <w:r w:rsidRPr="00F464FA">
              <w:rPr>
                <w:sz w:val="18"/>
              </w:rPr>
              <w:t>50</w:t>
            </w:r>
          </w:p>
        </w:tc>
        <w:tc>
          <w:tcPr>
            <w:tcW w:w="510" w:type="dxa"/>
            <w:shd w:val="clear" w:color="auto" w:fill="auto"/>
            <w:noWrap/>
            <w:vAlign w:val="bottom"/>
            <w:hideMark/>
          </w:tcPr>
          <w:p w14:paraId="473CD40F" w14:textId="5C70F38E" w:rsidR="00221DD4" w:rsidRPr="00F464FA" w:rsidRDefault="00221DD4" w:rsidP="005A1946">
            <w:pPr>
              <w:suppressAutoHyphens w:val="0"/>
              <w:spacing w:before="40" w:after="40" w:line="220" w:lineRule="exact"/>
              <w:ind w:right="113"/>
              <w:jc w:val="right"/>
              <w:rPr>
                <w:sz w:val="18"/>
              </w:rPr>
            </w:pPr>
            <w:r w:rsidRPr="00F464FA">
              <w:rPr>
                <w:sz w:val="18"/>
              </w:rPr>
              <w:t>38</w:t>
            </w:r>
          </w:p>
        </w:tc>
        <w:tc>
          <w:tcPr>
            <w:tcW w:w="510" w:type="dxa"/>
            <w:shd w:val="clear" w:color="auto" w:fill="auto"/>
            <w:noWrap/>
            <w:vAlign w:val="bottom"/>
            <w:hideMark/>
          </w:tcPr>
          <w:p w14:paraId="03A02E73" w14:textId="743C8472" w:rsidR="00221DD4" w:rsidRPr="00F464FA" w:rsidRDefault="00221DD4" w:rsidP="005A1946">
            <w:pPr>
              <w:suppressAutoHyphens w:val="0"/>
              <w:spacing w:before="40" w:after="40" w:line="220" w:lineRule="exact"/>
              <w:ind w:right="113"/>
              <w:jc w:val="right"/>
              <w:rPr>
                <w:sz w:val="18"/>
              </w:rPr>
            </w:pPr>
            <w:r w:rsidRPr="00F464FA">
              <w:rPr>
                <w:sz w:val="18"/>
              </w:rPr>
              <w:t>25</w:t>
            </w:r>
          </w:p>
        </w:tc>
        <w:tc>
          <w:tcPr>
            <w:tcW w:w="511" w:type="dxa"/>
            <w:shd w:val="clear" w:color="auto" w:fill="auto"/>
            <w:noWrap/>
            <w:vAlign w:val="bottom"/>
            <w:hideMark/>
          </w:tcPr>
          <w:p w14:paraId="3322B3F1" w14:textId="50B1FEE7" w:rsidR="00221DD4" w:rsidRPr="00F464FA" w:rsidRDefault="00221DD4" w:rsidP="005A1946">
            <w:pPr>
              <w:suppressAutoHyphens w:val="0"/>
              <w:spacing w:before="40" w:after="40" w:line="220" w:lineRule="exact"/>
              <w:ind w:right="113"/>
              <w:jc w:val="right"/>
              <w:rPr>
                <w:sz w:val="18"/>
              </w:rPr>
            </w:pPr>
            <w:r w:rsidRPr="00F464FA">
              <w:rPr>
                <w:sz w:val="18"/>
              </w:rPr>
              <w:t>48</w:t>
            </w:r>
          </w:p>
        </w:tc>
        <w:tc>
          <w:tcPr>
            <w:tcW w:w="510" w:type="dxa"/>
            <w:shd w:val="clear" w:color="auto" w:fill="auto"/>
            <w:noWrap/>
            <w:vAlign w:val="bottom"/>
            <w:hideMark/>
          </w:tcPr>
          <w:p w14:paraId="555DE6F0" w14:textId="578CB690" w:rsidR="00221DD4" w:rsidRPr="00F464FA" w:rsidRDefault="00221DD4" w:rsidP="005A1946">
            <w:pPr>
              <w:suppressAutoHyphens w:val="0"/>
              <w:spacing w:before="40" w:after="40" w:line="220" w:lineRule="exact"/>
              <w:ind w:right="113"/>
              <w:jc w:val="right"/>
              <w:rPr>
                <w:sz w:val="18"/>
              </w:rPr>
            </w:pPr>
            <w:r w:rsidRPr="00F464FA">
              <w:rPr>
                <w:sz w:val="18"/>
              </w:rPr>
              <w:t>26</w:t>
            </w:r>
          </w:p>
        </w:tc>
        <w:tc>
          <w:tcPr>
            <w:tcW w:w="510" w:type="dxa"/>
            <w:shd w:val="clear" w:color="auto" w:fill="auto"/>
            <w:noWrap/>
            <w:vAlign w:val="bottom"/>
            <w:hideMark/>
          </w:tcPr>
          <w:p w14:paraId="0E715C7B" w14:textId="4C449990" w:rsidR="00221DD4" w:rsidRPr="00F464FA" w:rsidRDefault="00221DD4" w:rsidP="005A1946">
            <w:pPr>
              <w:suppressAutoHyphens w:val="0"/>
              <w:spacing w:before="40" w:after="40" w:line="220" w:lineRule="exact"/>
              <w:ind w:right="113"/>
              <w:jc w:val="right"/>
              <w:rPr>
                <w:sz w:val="18"/>
              </w:rPr>
            </w:pPr>
            <w:r w:rsidRPr="00F464FA">
              <w:rPr>
                <w:sz w:val="18"/>
              </w:rPr>
              <w:t>37</w:t>
            </w:r>
          </w:p>
        </w:tc>
        <w:tc>
          <w:tcPr>
            <w:tcW w:w="511" w:type="dxa"/>
            <w:shd w:val="clear" w:color="auto" w:fill="auto"/>
            <w:noWrap/>
            <w:vAlign w:val="bottom"/>
            <w:hideMark/>
          </w:tcPr>
          <w:p w14:paraId="2DF5A59D" w14:textId="7EC40EB0" w:rsidR="00221DD4" w:rsidRPr="00F464FA" w:rsidRDefault="00221DD4" w:rsidP="005A1946">
            <w:pPr>
              <w:suppressAutoHyphens w:val="0"/>
              <w:spacing w:before="40" w:after="40" w:line="220" w:lineRule="exact"/>
              <w:ind w:right="113"/>
              <w:jc w:val="right"/>
              <w:rPr>
                <w:sz w:val="18"/>
              </w:rPr>
            </w:pPr>
            <w:r w:rsidRPr="00F464FA">
              <w:rPr>
                <w:sz w:val="18"/>
              </w:rPr>
              <w:t>18</w:t>
            </w:r>
          </w:p>
        </w:tc>
        <w:tc>
          <w:tcPr>
            <w:tcW w:w="853" w:type="dxa"/>
            <w:shd w:val="clear" w:color="auto" w:fill="auto"/>
            <w:noWrap/>
            <w:vAlign w:val="bottom"/>
            <w:hideMark/>
          </w:tcPr>
          <w:p w14:paraId="43DF4416" w14:textId="42746CEC" w:rsidR="00221DD4" w:rsidRPr="00F464FA" w:rsidRDefault="00221DD4" w:rsidP="005A1946">
            <w:pPr>
              <w:suppressAutoHyphens w:val="0"/>
              <w:spacing w:before="40" w:after="40" w:line="220" w:lineRule="exact"/>
              <w:ind w:right="113"/>
              <w:jc w:val="right"/>
              <w:rPr>
                <w:sz w:val="18"/>
              </w:rPr>
            </w:pPr>
            <w:r w:rsidRPr="00F464FA">
              <w:rPr>
                <w:sz w:val="18"/>
              </w:rPr>
              <w:t>−37</w:t>
            </w:r>
          </w:p>
        </w:tc>
        <w:tc>
          <w:tcPr>
            <w:tcW w:w="706" w:type="dxa"/>
            <w:shd w:val="clear" w:color="auto" w:fill="auto"/>
            <w:noWrap/>
            <w:vAlign w:val="bottom"/>
            <w:hideMark/>
          </w:tcPr>
          <w:p w14:paraId="6743E7D7" w14:textId="078384A9" w:rsidR="00221DD4" w:rsidRPr="00F464FA" w:rsidRDefault="00221DD4" w:rsidP="005A1946">
            <w:pPr>
              <w:suppressAutoHyphens w:val="0"/>
              <w:spacing w:before="40" w:after="40" w:line="220" w:lineRule="exact"/>
              <w:ind w:right="113"/>
              <w:jc w:val="right"/>
              <w:rPr>
                <w:sz w:val="18"/>
              </w:rPr>
            </w:pPr>
            <w:r w:rsidRPr="00F464FA">
              <w:rPr>
                <w:sz w:val="18"/>
              </w:rPr>
              <w:t>−67</w:t>
            </w:r>
          </w:p>
        </w:tc>
      </w:tr>
      <w:tr w:rsidR="00221DD4" w:rsidRPr="00F464FA" w14:paraId="7AC357FA" w14:textId="77777777" w:rsidTr="005A1946">
        <w:tc>
          <w:tcPr>
            <w:tcW w:w="851" w:type="dxa"/>
            <w:vMerge w:val="restart"/>
            <w:shd w:val="clear" w:color="auto" w:fill="auto"/>
            <w:noWrap/>
            <w:hideMark/>
          </w:tcPr>
          <w:p w14:paraId="3E472FAB" w14:textId="3EB00EAC" w:rsidR="00221DD4" w:rsidRPr="00F464FA" w:rsidRDefault="00221DD4" w:rsidP="005A1946">
            <w:pPr>
              <w:suppressAutoHyphens w:val="0"/>
              <w:spacing w:before="40" w:after="40" w:line="220" w:lineRule="exact"/>
              <w:ind w:right="113"/>
              <w:rPr>
                <w:sz w:val="18"/>
              </w:rPr>
            </w:pPr>
            <w:r w:rsidRPr="00F464FA">
              <w:rPr>
                <w:sz w:val="18"/>
              </w:rPr>
              <w:t>Areas</w:t>
            </w:r>
            <w:r w:rsidR="001939E4" w:rsidRPr="00F464FA">
              <w:rPr>
                <w:sz w:val="18"/>
              </w:rPr>
              <w:t xml:space="preserve"> </w:t>
            </w:r>
          </w:p>
        </w:tc>
        <w:tc>
          <w:tcPr>
            <w:tcW w:w="992" w:type="dxa"/>
            <w:shd w:val="clear" w:color="auto" w:fill="auto"/>
            <w:noWrap/>
            <w:hideMark/>
          </w:tcPr>
          <w:p w14:paraId="4BFC7AAD" w14:textId="579509C8" w:rsidR="00221DD4" w:rsidRPr="00F464FA" w:rsidRDefault="00221DD4" w:rsidP="005A1946">
            <w:pPr>
              <w:suppressAutoHyphens w:val="0"/>
              <w:spacing w:before="40" w:after="40" w:line="220" w:lineRule="exact"/>
              <w:ind w:right="113"/>
              <w:rPr>
                <w:sz w:val="18"/>
              </w:rPr>
            </w:pPr>
            <w:r w:rsidRPr="00F464FA">
              <w:rPr>
                <w:sz w:val="18"/>
              </w:rPr>
              <w:t>Rural</w:t>
            </w:r>
            <w:r w:rsidR="001939E4" w:rsidRPr="00F464FA">
              <w:rPr>
                <w:sz w:val="18"/>
              </w:rPr>
              <w:t xml:space="preserve"> </w:t>
            </w:r>
          </w:p>
        </w:tc>
        <w:tc>
          <w:tcPr>
            <w:tcW w:w="510" w:type="dxa"/>
            <w:shd w:val="clear" w:color="auto" w:fill="auto"/>
            <w:noWrap/>
            <w:vAlign w:val="bottom"/>
            <w:hideMark/>
          </w:tcPr>
          <w:p w14:paraId="2FFB2A99" w14:textId="5B850296" w:rsidR="00221DD4" w:rsidRPr="00F464FA" w:rsidRDefault="00221DD4" w:rsidP="005A1946">
            <w:pPr>
              <w:suppressAutoHyphens w:val="0"/>
              <w:spacing w:before="40" w:after="40" w:line="220" w:lineRule="exact"/>
              <w:ind w:right="113"/>
              <w:jc w:val="right"/>
              <w:rPr>
                <w:sz w:val="18"/>
              </w:rPr>
            </w:pPr>
            <w:r w:rsidRPr="00F464FA">
              <w:rPr>
                <w:sz w:val="18"/>
              </w:rPr>
              <w:t>57</w:t>
            </w:r>
          </w:p>
        </w:tc>
        <w:tc>
          <w:tcPr>
            <w:tcW w:w="510" w:type="dxa"/>
            <w:shd w:val="clear" w:color="auto" w:fill="auto"/>
            <w:noWrap/>
            <w:vAlign w:val="bottom"/>
            <w:hideMark/>
          </w:tcPr>
          <w:p w14:paraId="519DEAB3" w14:textId="18C1215E" w:rsidR="00221DD4" w:rsidRPr="00F464FA" w:rsidRDefault="00221DD4" w:rsidP="005A1946">
            <w:pPr>
              <w:suppressAutoHyphens w:val="0"/>
              <w:spacing w:before="40" w:after="40" w:line="220" w:lineRule="exact"/>
              <w:ind w:right="113"/>
              <w:jc w:val="right"/>
              <w:rPr>
                <w:sz w:val="18"/>
              </w:rPr>
            </w:pPr>
            <w:r w:rsidRPr="00F464FA">
              <w:rPr>
                <w:sz w:val="18"/>
              </w:rPr>
              <w:t>50</w:t>
            </w:r>
          </w:p>
        </w:tc>
        <w:tc>
          <w:tcPr>
            <w:tcW w:w="510" w:type="dxa"/>
            <w:shd w:val="clear" w:color="auto" w:fill="auto"/>
            <w:noWrap/>
            <w:vAlign w:val="bottom"/>
            <w:hideMark/>
          </w:tcPr>
          <w:p w14:paraId="3241BAEE" w14:textId="4429C3B4" w:rsidR="00221DD4" w:rsidRPr="00F464FA" w:rsidRDefault="00221DD4" w:rsidP="005A1946">
            <w:pPr>
              <w:suppressAutoHyphens w:val="0"/>
              <w:spacing w:before="40" w:after="40" w:line="220" w:lineRule="exact"/>
              <w:ind w:right="113"/>
              <w:jc w:val="right"/>
              <w:rPr>
                <w:sz w:val="18"/>
              </w:rPr>
            </w:pPr>
            <w:r w:rsidRPr="00F464FA">
              <w:rPr>
                <w:sz w:val="18"/>
              </w:rPr>
              <w:t>57</w:t>
            </w:r>
          </w:p>
        </w:tc>
        <w:tc>
          <w:tcPr>
            <w:tcW w:w="511" w:type="dxa"/>
            <w:shd w:val="clear" w:color="auto" w:fill="auto"/>
            <w:noWrap/>
            <w:vAlign w:val="bottom"/>
            <w:hideMark/>
          </w:tcPr>
          <w:p w14:paraId="1EAD1780" w14:textId="11459ED8" w:rsidR="00221DD4" w:rsidRPr="00F464FA" w:rsidRDefault="00221DD4" w:rsidP="005A1946">
            <w:pPr>
              <w:suppressAutoHyphens w:val="0"/>
              <w:spacing w:before="40" w:after="40" w:line="220" w:lineRule="exact"/>
              <w:ind w:right="113"/>
              <w:jc w:val="right"/>
              <w:rPr>
                <w:sz w:val="18"/>
              </w:rPr>
            </w:pPr>
            <w:r w:rsidRPr="00F464FA">
              <w:rPr>
                <w:sz w:val="18"/>
              </w:rPr>
              <w:t>53</w:t>
            </w:r>
          </w:p>
        </w:tc>
        <w:tc>
          <w:tcPr>
            <w:tcW w:w="510" w:type="dxa"/>
            <w:shd w:val="clear" w:color="auto" w:fill="auto"/>
            <w:noWrap/>
            <w:vAlign w:val="bottom"/>
            <w:hideMark/>
          </w:tcPr>
          <w:p w14:paraId="716B5793" w14:textId="36EB7EC4" w:rsidR="00221DD4" w:rsidRPr="00F464FA" w:rsidRDefault="00221DD4" w:rsidP="005A1946">
            <w:pPr>
              <w:suppressAutoHyphens w:val="0"/>
              <w:spacing w:before="40" w:after="40" w:line="220" w:lineRule="exact"/>
              <w:ind w:right="113"/>
              <w:jc w:val="right"/>
              <w:rPr>
                <w:sz w:val="18"/>
              </w:rPr>
            </w:pPr>
            <w:r w:rsidRPr="00F464FA">
              <w:rPr>
                <w:sz w:val="18"/>
              </w:rPr>
              <w:t>44</w:t>
            </w:r>
          </w:p>
        </w:tc>
        <w:tc>
          <w:tcPr>
            <w:tcW w:w="510" w:type="dxa"/>
            <w:shd w:val="clear" w:color="auto" w:fill="auto"/>
            <w:noWrap/>
            <w:vAlign w:val="bottom"/>
            <w:hideMark/>
          </w:tcPr>
          <w:p w14:paraId="3E0B8695" w14:textId="036AE4D2" w:rsidR="00221DD4" w:rsidRPr="00F464FA" w:rsidRDefault="00221DD4" w:rsidP="005A1946">
            <w:pPr>
              <w:suppressAutoHyphens w:val="0"/>
              <w:spacing w:before="40" w:after="40" w:line="220" w:lineRule="exact"/>
              <w:ind w:right="113"/>
              <w:jc w:val="right"/>
              <w:rPr>
                <w:sz w:val="18"/>
              </w:rPr>
            </w:pPr>
            <w:r w:rsidRPr="00F464FA">
              <w:rPr>
                <w:sz w:val="18"/>
              </w:rPr>
              <w:t>31</w:t>
            </w:r>
          </w:p>
        </w:tc>
        <w:tc>
          <w:tcPr>
            <w:tcW w:w="511" w:type="dxa"/>
            <w:shd w:val="clear" w:color="auto" w:fill="auto"/>
            <w:noWrap/>
            <w:vAlign w:val="bottom"/>
            <w:hideMark/>
          </w:tcPr>
          <w:p w14:paraId="5B36D66C" w14:textId="36D907EF" w:rsidR="00221DD4" w:rsidRPr="00F464FA" w:rsidRDefault="00221DD4" w:rsidP="005A1946">
            <w:pPr>
              <w:suppressAutoHyphens w:val="0"/>
              <w:spacing w:before="40" w:after="40" w:line="220" w:lineRule="exact"/>
              <w:ind w:right="113"/>
              <w:jc w:val="right"/>
              <w:rPr>
                <w:sz w:val="18"/>
              </w:rPr>
            </w:pPr>
            <w:r w:rsidRPr="00F464FA">
              <w:rPr>
                <w:sz w:val="18"/>
              </w:rPr>
              <w:t>49</w:t>
            </w:r>
          </w:p>
        </w:tc>
        <w:tc>
          <w:tcPr>
            <w:tcW w:w="510" w:type="dxa"/>
            <w:shd w:val="clear" w:color="auto" w:fill="auto"/>
            <w:noWrap/>
            <w:vAlign w:val="bottom"/>
            <w:hideMark/>
          </w:tcPr>
          <w:p w14:paraId="61CCD455" w14:textId="3F1225C7" w:rsidR="00221DD4" w:rsidRPr="00F464FA" w:rsidRDefault="00221DD4" w:rsidP="005A1946">
            <w:pPr>
              <w:suppressAutoHyphens w:val="0"/>
              <w:spacing w:before="40" w:after="40" w:line="220" w:lineRule="exact"/>
              <w:ind w:right="113"/>
              <w:jc w:val="right"/>
              <w:rPr>
                <w:sz w:val="18"/>
              </w:rPr>
            </w:pPr>
            <w:r w:rsidRPr="00F464FA">
              <w:rPr>
                <w:sz w:val="18"/>
              </w:rPr>
              <w:t>33</w:t>
            </w:r>
          </w:p>
        </w:tc>
        <w:tc>
          <w:tcPr>
            <w:tcW w:w="510" w:type="dxa"/>
            <w:shd w:val="clear" w:color="auto" w:fill="auto"/>
            <w:noWrap/>
            <w:vAlign w:val="bottom"/>
            <w:hideMark/>
          </w:tcPr>
          <w:p w14:paraId="09FABEB0" w14:textId="364027D9" w:rsidR="00221DD4" w:rsidRPr="00F464FA" w:rsidRDefault="00221DD4" w:rsidP="005A1946">
            <w:pPr>
              <w:suppressAutoHyphens w:val="0"/>
              <w:spacing w:before="40" w:after="40" w:line="220" w:lineRule="exact"/>
              <w:ind w:right="113"/>
              <w:jc w:val="right"/>
              <w:rPr>
                <w:sz w:val="18"/>
              </w:rPr>
            </w:pPr>
            <w:r w:rsidRPr="00F464FA">
              <w:rPr>
                <w:sz w:val="18"/>
              </w:rPr>
              <w:t>41</w:t>
            </w:r>
          </w:p>
        </w:tc>
        <w:tc>
          <w:tcPr>
            <w:tcW w:w="511" w:type="dxa"/>
            <w:shd w:val="clear" w:color="auto" w:fill="auto"/>
            <w:noWrap/>
            <w:vAlign w:val="bottom"/>
            <w:hideMark/>
          </w:tcPr>
          <w:p w14:paraId="73721870" w14:textId="56458087" w:rsidR="00221DD4" w:rsidRPr="00F464FA" w:rsidRDefault="00221DD4" w:rsidP="005A1946">
            <w:pPr>
              <w:suppressAutoHyphens w:val="0"/>
              <w:spacing w:before="40" w:after="40" w:line="220" w:lineRule="exact"/>
              <w:ind w:right="113"/>
              <w:jc w:val="right"/>
              <w:rPr>
                <w:sz w:val="18"/>
              </w:rPr>
            </w:pPr>
            <w:r w:rsidRPr="00F464FA">
              <w:rPr>
                <w:sz w:val="18"/>
              </w:rPr>
              <w:t>25</w:t>
            </w:r>
          </w:p>
        </w:tc>
        <w:tc>
          <w:tcPr>
            <w:tcW w:w="853" w:type="dxa"/>
            <w:shd w:val="clear" w:color="auto" w:fill="auto"/>
            <w:noWrap/>
            <w:vAlign w:val="bottom"/>
            <w:hideMark/>
          </w:tcPr>
          <w:p w14:paraId="7B206ADC" w14:textId="4360ACEF" w:rsidR="00221DD4" w:rsidRPr="00F464FA" w:rsidRDefault="00221DD4" w:rsidP="005A1946">
            <w:pPr>
              <w:suppressAutoHyphens w:val="0"/>
              <w:spacing w:before="40" w:after="40" w:line="220" w:lineRule="exact"/>
              <w:ind w:right="113"/>
              <w:jc w:val="right"/>
              <w:rPr>
                <w:sz w:val="18"/>
              </w:rPr>
            </w:pPr>
            <w:r w:rsidRPr="00F464FA">
              <w:rPr>
                <w:sz w:val="18"/>
              </w:rPr>
              <w:t>−38</w:t>
            </w:r>
          </w:p>
        </w:tc>
        <w:tc>
          <w:tcPr>
            <w:tcW w:w="706" w:type="dxa"/>
            <w:shd w:val="clear" w:color="auto" w:fill="auto"/>
            <w:noWrap/>
            <w:vAlign w:val="bottom"/>
            <w:hideMark/>
          </w:tcPr>
          <w:p w14:paraId="25B06299" w14:textId="6ED72A42" w:rsidR="00221DD4" w:rsidRPr="00F464FA" w:rsidRDefault="00221DD4" w:rsidP="005A1946">
            <w:pPr>
              <w:suppressAutoHyphens w:val="0"/>
              <w:spacing w:before="40" w:after="40" w:line="220" w:lineRule="exact"/>
              <w:ind w:right="113"/>
              <w:jc w:val="right"/>
              <w:rPr>
                <w:sz w:val="18"/>
              </w:rPr>
            </w:pPr>
            <w:r w:rsidRPr="00F464FA">
              <w:rPr>
                <w:sz w:val="18"/>
              </w:rPr>
              <w:t>−61</w:t>
            </w:r>
          </w:p>
        </w:tc>
      </w:tr>
      <w:tr w:rsidR="00221DD4" w:rsidRPr="00F464FA" w14:paraId="588A76A9" w14:textId="77777777" w:rsidTr="005A1946">
        <w:tc>
          <w:tcPr>
            <w:tcW w:w="851" w:type="dxa"/>
            <w:vMerge/>
            <w:shd w:val="clear" w:color="auto" w:fill="auto"/>
            <w:hideMark/>
          </w:tcPr>
          <w:p w14:paraId="33130E34"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7D14A872" w14:textId="59287E8F" w:rsidR="00221DD4" w:rsidRPr="00F464FA" w:rsidRDefault="00221DD4" w:rsidP="005A1946">
            <w:pPr>
              <w:suppressAutoHyphens w:val="0"/>
              <w:spacing w:before="40" w:after="40" w:line="220" w:lineRule="exact"/>
              <w:ind w:right="113"/>
              <w:rPr>
                <w:sz w:val="18"/>
              </w:rPr>
            </w:pPr>
            <w:r w:rsidRPr="00F464FA">
              <w:rPr>
                <w:sz w:val="18"/>
              </w:rPr>
              <w:t>Urban</w:t>
            </w:r>
            <w:r w:rsidR="001939E4" w:rsidRPr="00F464FA">
              <w:rPr>
                <w:sz w:val="18"/>
              </w:rPr>
              <w:t xml:space="preserve"> </w:t>
            </w:r>
          </w:p>
        </w:tc>
        <w:tc>
          <w:tcPr>
            <w:tcW w:w="510" w:type="dxa"/>
            <w:shd w:val="clear" w:color="auto" w:fill="auto"/>
            <w:noWrap/>
            <w:vAlign w:val="bottom"/>
            <w:hideMark/>
          </w:tcPr>
          <w:p w14:paraId="1C8F092A" w14:textId="4F7D1339" w:rsidR="00221DD4" w:rsidRPr="00F464FA" w:rsidRDefault="00221DD4" w:rsidP="005A1946">
            <w:pPr>
              <w:suppressAutoHyphens w:val="0"/>
              <w:spacing w:before="40" w:after="40" w:line="220" w:lineRule="exact"/>
              <w:ind w:right="113"/>
              <w:jc w:val="right"/>
              <w:rPr>
                <w:sz w:val="18"/>
              </w:rPr>
            </w:pPr>
            <w:r w:rsidRPr="00F464FA">
              <w:rPr>
                <w:sz w:val="18"/>
              </w:rPr>
              <w:t>63</w:t>
            </w:r>
          </w:p>
        </w:tc>
        <w:tc>
          <w:tcPr>
            <w:tcW w:w="510" w:type="dxa"/>
            <w:shd w:val="clear" w:color="auto" w:fill="auto"/>
            <w:noWrap/>
            <w:vAlign w:val="bottom"/>
            <w:hideMark/>
          </w:tcPr>
          <w:p w14:paraId="365F4B87" w14:textId="0C574541" w:rsidR="00221DD4" w:rsidRPr="00F464FA" w:rsidRDefault="00221DD4" w:rsidP="005A1946">
            <w:pPr>
              <w:suppressAutoHyphens w:val="0"/>
              <w:spacing w:before="40" w:after="40" w:line="220" w:lineRule="exact"/>
              <w:ind w:right="113"/>
              <w:jc w:val="right"/>
              <w:rPr>
                <w:sz w:val="18"/>
              </w:rPr>
            </w:pPr>
            <w:r w:rsidRPr="00F464FA">
              <w:rPr>
                <w:sz w:val="18"/>
              </w:rPr>
              <w:t>56</w:t>
            </w:r>
          </w:p>
        </w:tc>
        <w:tc>
          <w:tcPr>
            <w:tcW w:w="510" w:type="dxa"/>
            <w:shd w:val="clear" w:color="auto" w:fill="auto"/>
            <w:noWrap/>
            <w:vAlign w:val="bottom"/>
            <w:hideMark/>
          </w:tcPr>
          <w:p w14:paraId="00E14786" w14:textId="0B089666" w:rsidR="00221DD4" w:rsidRPr="00F464FA" w:rsidRDefault="00221DD4" w:rsidP="005A1946">
            <w:pPr>
              <w:suppressAutoHyphens w:val="0"/>
              <w:spacing w:before="40" w:after="40" w:line="220" w:lineRule="exact"/>
              <w:ind w:right="113"/>
              <w:jc w:val="right"/>
              <w:rPr>
                <w:sz w:val="18"/>
              </w:rPr>
            </w:pPr>
            <w:r w:rsidRPr="00F464FA">
              <w:rPr>
                <w:sz w:val="18"/>
              </w:rPr>
              <w:t>16</w:t>
            </w:r>
          </w:p>
        </w:tc>
        <w:tc>
          <w:tcPr>
            <w:tcW w:w="511" w:type="dxa"/>
            <w:shd w:val="clear" w:color="auto" w:fill="auto"/>
            <w:noWrap/>
            <w:vAlign w:val="bottom"/>
            <w:hideMark/>
          </w:tcPr>
          <w:p w14:paraId="5D818C1C" w14:textId="637E7AFA" w:rsidR="00221DD4" w:rsidRPr="00F464FA" w:rsidRDefault="00221DD4" w:rsidP="005A1946">
            <w:pPr>
              <w:suppressAutoHyphens w:val="0"/>
              <w:spacing w:before="40" w:after="40" w:line="220" w:lineRule="exact"/>
              <w:ind w:right="113"/>
              <w:jc w:val="right"/>
              <w:rPr>
                <w:sz w:val="18"/>
              </w:rPr>
            </w:pPr>
            <w:r w:rsidRPr="00F464FA">
              <w:rPr>
                <w:sz w:val="18"/>
              </w:rPr>
              <w:t>21</w:t>
            </w:r>
          </w:p>
        </w:tc>
        <w:tc>
          <w:tcPr>
            <w:tcW w:w="510" w:type="dxa"/>
            <w:shd w:val="clear" w:color="auto" w:fill="auto"/>
            <w:noWrap/>
            <w:vAlign w:val="bottom"/>
            <w:hideMark/>
          </w:tcPr>
          <w:p w14:paraId="4DE9035C" w14:textId="0640C44E" w:rsidR="00221DD4" w:rsidRPr="00F464FA" w:rsidRDefault="00221DD4" w:rsidP="005A1946">
            <w:pPr>
              <w:suppressAutoHyphens w:val="0"/>
              <w:spacing w:before="40" w:after="40" w:line="220" w:lineRule="exact"/>
              <w:ind w:right="113"/>
              <w:jc w:val="right"/>
              <w:rPr>
                <w:sz w:val="18"/>
              </w:rPr>
            </w:pPr>
            <w:r w:rsidRPr="00F464FA">
              <w:rPr>
                <w:sz w:val="18"/>
              </w:rPr>
              <w:t>20</w:t>
            </w:r>
          </w:p>
        </w:tc>
        <w:tc>
          <w:tcPr>
            <w:tcW w:w="510" w:type="dxa"/>
            <w:shd w:val="clear" w:color="auto" w:fill="auto"/>
            <w:noWrap/>
            <w:vAlign w:val="bottom"/>
            <w:hideMark/>
          </w:tcPr>
          <w:p w14:paraId="7F32C905" w14:textId="7DB7A4FF" w:rsidR="00221DD4" w:rsidRPr="00F464FA" w:rsidRDefault="00221DD4" w:rsidP="005A1946">
            <w:pPr>
              <w:suppressAutoHyphens w:val="0"/>
              <w:spacing w:before="40" w:after="40" w:line="220" w:lineRule="exact"/>
              <w:ind w:right="113"/>
              <w:jc w:val="right"/>
              <w:rPr>
                <w:sz w:val="18"/>
              </w:rPr>
            </w:pPr>
            <w:r w:rsidRPr="00F464FA">
              <w:rPr>
                <w:sz w:val="18"/>
              </w:rPr>
              <w:t>11</w:t>
            </w:r>
          </w:p>
        </w:tc>
        <w:tc>
          <w:tcPr>
            <w:tcW w:w="511" w:type="dxa"/>
            <w:shd w:val="clear" w:color="auto" w:fill="auto"/>
            <w:noWrap/>
            <w:vAlign w:val="bottom"/>
            <w:hideMark/>
          </w:tcPr>
          <w:p w14:paraId="5A56B489" w14:textId="0941C17A" w:rsidR="00221DD4" w:rsidRPr="00F464FA" w:rsidRDefault="00221DD4" w:rsidP="005A1946">
            <w:pPr>
              <w:suppressAutoHyphens w:val="0"/>
              <w:spacing w:before="40" w:after="40" w:line="220" w:lineRule="exact"/>
              <w:ind w:right="113"/>
              <w:jc w:val="right"/>
              <w:rPr>
                <w:sz w:val="18"/>
              </w:rPr>
            </w:pPr>
            <w:r w:rsidRPr="00F464FA">
              <w:rPr>
                <w:sz w:val="18"/>
              </w:rPr>
              <w:t>15</w:t>
            </w:r>
          </w:p>
        </w:tc>
        <w:tc>
          <w:tcPr>
            <w:tcW w:w="510" w:type="dxa"/>
            <w:shd w:val="clear" w:color="auto" w:fill="auto"/>
            <w:noWrap/>
            <w:vAlign w:val="bottom"/>
            <w:hideMark/>
          </w:tcPr>
          <w:p w14:paraId="4B58BF04" w14:textId="3AA81C18" w:rsidR="00221DD4" w:rsidRPr="00F464FA" w:rsidRDefault="00221DD4" w:rsidP="005A1946">
            <w:pPr>
              <w:suppressAutoHyphens w:val="0"/>
              <w:spacing w:before="40" w:after="40" w:line="220" w:lineRule="exact"/>
              <w:ind w:right="113"/>
              <w:jc w:val="right"/>
              <w:rPr>
                <w:sz w:val="18"/>
              </w:rPr>
            </w:pPr>
            <w:r w:rsidRPr="00F464FA">
              <w:rPr>
                <w:sz w:val="18"/>
              </w:rPr>
              <w:t>10</w:t>
            </w:r>
          </w:p>
        </w:tc>
        <w:tc>
          <w:tcPr>
            <w:tcW w:w="510" w:type="dxa"/>
            <w:shd w:val="clear" w:color="auto" w:fill="auto"/>
            <w:noWrap/>
            <w:vAlign w:val="bottom"/>
            <w:hideMark/>
          </w:tcPr>
          <w:p w14:paraId="26A4CEBA" w14:textId="5E4A9617" w:rsidR="00221DD4" w:rsidRPr="00F464FA" w:rsidRDefault="00221DD4" w:rsidP="005A1946">
            <w:pPr>
              <w:suppressAutoHyphens w:val="0"/>
              <w:spacing w:before="40" w:after="40" w:line="220" w:lineRule="exact"/>
              <w:ind w:right="113"/>
              <w:jc w:val="right"/>
              <w:rPr>
                <w:sz w:val="18"/>
              </w:rPr>
            </w:pPr>
            <w:r w:rsidRPr="00F464FA">
              <w:rPr>
                <w:sz w:val="18"/>
              </w:rPr>
              <w:t>13</w:t>
            </w:r>
          </w:p>
        </w:tc>
        <w:tc>
          <w:tcPr>
            <w:tcW w:w="511" w:type="dxa"/>
            <w:shd w:val="clear" w:color="auto" w:fill="auto"/>
            <w:noWrap/>
            <w:vAlign w:val="bottom"/>
            <w:hideMark/>
          </w:tcPr>
          <w:p w14:paraId="1B9B79FB" w14:textId="6E6CD43B" w:rsidR="00221DD4" w:rsidRPr="00F464FA" w:rsidRDefault="00221DD4" w:rsidP="005A1946">
            <w:pPr>
              <w:suppressAutoHyphens w:val="0"/>
              <w:spacing w:before="40" w:after="40" w:line="220" w:lineRule="exact"/>
              <w:ind w:right="113"/>
              <w:jc w:val="right"/>
              <w:rPr>
                <w:sz w:val="18"/>
              </w:rPr>
            </w:pPr>
            <w:r w:rsidRPr="00F464FA">
              <w:rPr>
                <w:sz w:val="18"/>
              </w:rPr>
              <w:t>5</w:t>
            </w:r>
          </w:p>
        </w:tc>
        <w:tc>
          <w:tcPr>
            <w:tcW w:w="853" w:type="dxa"/>
            <w:shd w:val="clear" w:color="auto" w:fill="auto"/>
            <w:noWrap/>
            <w:vAlign w:val="bottom"/>
            <w:hideMark/>
          </w:tcPr>
          <w:p w14:paraId="36A365CE" w14:textId="6016E081" w:rsidR="00221DD4" w:rsidRPr="00F464FA" w:rsidRDefault="00221DD4" w:rsidP="005A1946">
            <w:pPr>
              <w:suppressAutoHyphens w:val="0"/>
              <w:spacing w:before="40" w:after="40" w:line="220" w:lineRule="exact"/>
              <w:ind w:right="113"/>
              <w:jc w:val="right"/>
              <w:rPr>
                <w:sz w:val="18"/>
              </w:rPr>
            </w:pPr>
            <w:r w:rsidRPr="00F464FA">
              <w:rPr>
                <w:sz w:val="18"/>
              </w:rPr>
              <w:t>−8</w:t>
            </w:r>
          </w:p>
        </w:tc>
        <w:tc>
          <w:tcPr>
            <w:tcW w:w="706" w:type="dxa"/>
            <w:shd w:val="clear" w:color="auto" w:fill="auto"/>
            <w:noWrap/>
            <w:vAlign w:val="bottom"/>
            <w:hideMark/>
          </w:tcPr>
          <w:p w14:paraId="35855E96" w14:textId="68AFA57A" w:rsidR="00221DD4" w:rsidRPr="00F464FA" w:rsidRDefault="00221DD4" w:rsidP="005A1946">
            <w:pPr>
              <w:suppressAutoHyphens w:val="0"/>
              <w:spacing w:before="40" w:after="40" w:line="220" w:lineRule="exact"/>
              <w:ind w:right="113"/>
              <w:jc w:val="right"/>
              <w:rPr>
                <w:sz w:val="18"/>
              </w:rPr>
            </w:pPr>
            <w:r w:rsidRPr="00F464FA">
              <w:rPr>
                <w:sz w:val="18"/>
              </w:rPr>
              <w:t>−63</w:t>
            </w:r>
          </w:p>
        </w:tc>
      </w:tr>
      <w:tr w:rsidR="00221DD4" w:rsidRPr="00F464FA" w14:paraId="02BD9656" w14:textId="77777777" w:rsidTr="005A1946">
        <w:tc>
          <w:tcPr>
            <w:tcW w:w="851" w:type="dxa"/>
            <w:vMerge w:val="restart"/>
            <w:shd w:val="clear" w:color="auto" w:fill="auto"/>
            <w:noWrap/>
            <w:hideMark/>
          </w:tcPr>
          <w:p w14:paraId="52F706E3" w14:textId="0F5D568B" w:rsidR="00221DD4" w:rsidRPr="00F464FA" w:rsidRDefault="00221DD4" w:rsidP="005A1946">
            <w:pPr>
              <w:suppressAutoHyphens w:val="0"/>
              <w:spacing w:before="40" w:after="40" w:line="220" w:lineRule="exact"/>
              <w:ind w:right="113"/>
              <w:rPr>
                <w:sz w:val="18"/>
              </w:rPr>
            </w:pPr>
            <w:r w:rsidRPr="00F464FA">
              <w:rPr>
                <w:sz w:val="18"/>
              </w:rPr>
              <w:t>Wealth Index</w:t>
            </w:r>
            <w:r w:rsidR="001939E4" w:rsidRPr="00F464FA">
              <w:rPr>
                <w:sz w:val="18"/>
              </w:rPr>
              <w:t xml:space="preserve"> </w:t>
            </w:r>
          </w:p>
        </w:tc>
        <w:tc>
          <w:tcPr>
            <w:tcW w:w="992" w:type="dxa"/>
            <w:shd w:val="clear" w:color="auto" w:fill="auto"/>
            <w:noWrap/>
            <w:hideMark/>
          </w:tcPr>
          <w:p w14:paraId="69D015F8" w14:textId="16610E67" w:rsidR="00221DD4" w:rsidRPr="00F464FA" w:rsidRDefault="00221DD4" w:rsidP="005A1946">
            <w:pPr>
              <w:suppressAutoHyphens w:val="0"/>
              <w:spacing w:before="40" w:after="40" w:line="220" w:lineRule="exact"/>
              <w:ind w:right="113"/>
              <w:rPr>
                <w:sz w:val="18"/>
              </w:rPr>
            </w:pPr>
            <w:r w:rsidRPr="00F464FA">
              <w:rPr>
                <w:sz w:val="18"/>
              </w:rPr>
              <w:t>Poorest</w:t>
            </w:r>
            <w:r w:rsidR="001939E4" w:rsidRPr="00F464FA">
              <w:rPr>
                <w:sz w:val="18"/>
              </w:rPr>
              <w:t xml:space="preserve"> </w:t>
            </w:r>
          </w:p>
        </w:tc>
        <w:tc>
          <w:tcPr>
            <w:tcW w:w="510" w:type="dxa"/>
            <w:shd w:val="clear" w:color="auto" w:fill="auto"/>
            <w:noWrap/>
            <w:vAlign w:val="bottom"/>
            <w:hideMark/>
          </w:tcPr>
          <w:p w14:paraId="6EE7AD52" w14:textId="356C39C0"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48F12803" w14:textId="13F03AF7"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6698D36E" w14:textId="0212E2C3" w:rsidR="00221DD4" w:rsidRPr="00F464FA" w:rsidRDefault="00221DD4" w:rsidP="005A1946">
            <w:pPr>
              <w:suppressAutoHyphens w:val="0"/>
              <w:spacing w:before="40" w:after="40" w:line="220" w:lineRule="exact"/>
              <w:ind w:right="113"/>
              <w:jc w:val="right"/>
              <w:rPr>
                <w:sz w:val="18"/>
              </w:rPr>
            </w:pPr>
            <w:r w:rsidRPr="00F464FA">
              <w:rPr>
                <w:sz w:val="18"/>
              </w:rPr>
              <w:t>66</w:t>
            </w:r>
          </w:p>
        </w:tc>
        <w:tc>
          <w:tcPr>
            <w:tcW w:w="511" w:type="dxa"/>
            <w:shd w:val="clear" w:color="auto" w:fill="auto"/>
            <w:noWrap/>
            <w:vAlign w:val="bottom"/>
            <w:hideMark/>
          </w:tcPr>
          <w:p w14:paraId="0FF402B9" w14:textId="2991FBD4" w:rsidR="00221DD4" w:rsidRPr="00F464FA" w:rsidRDefault="00221DD4" w:rsidP="005A1946">
            <w:pPr>
              <w:suppressAutoHyphens w:val="0"/>
              <w:spacing w:before="40" w:after="40" w:line="220" w:lineRule="exact"/>
              <w:ind w:right="113"/>
              <w:jc w:val="right"/>
              <w:rPr>
                <w:sz w:val="18"/>
              </w:rPr>
            </w:pPr>
            <w:r w:rsidRPr="00F464FA">
              <w:rPr>
                <w:sz w:val="18"/>
              </w:rPr>
              <w:t>59</w:t>
            </w:r>
          </w:p>
        </w:tc>
        <w:tc>
          <w:tcPr>
            <w:tcW w:w="510" w:type="dxa"/>
            <w:shd w:val="clear" w:color="auto" w:fill="auto"/>
            <w:noWrap/>
            <w:vAlign w:val="bottom"/>
            <w:hideMark/>
          </w:tcPr>
          <w:p w14:paraId="1F192BEE" w14:textId="6076B534" w:rsidR="00221DD4" w:rsidRPr="00F464FA" w:rsidRDefault="00221DD4" w:rsidP="005A1946">
            <w:pPr>
              <w:suppressAutoHyphens w:val="0"/>
              <w:spacing w:before="40" w:after="40" w:line="220" w:lineRule="exact"/>
              <w:ind w:right="113"/>
              <w:jc w:val="right"/>
              <w:rPr>
                <w:sz w:val="18"/>
              </w:rPr>
            </w:pPr>
            <w:r w:rsidRPr="00F464FA">
              <w:rPr>
                <w:sz w:val="18"/>
              </w:rPr>
              <w:t>52</w:t>
            </w:r>
          </w:p>
        </w:tc>
        <w:tc>
          <w:tcPr>
            <w:tcW w:w="510" w:type="dxa"/>
            <w:shd w:val="clear" w:color="auto" w:fill="auto"/>
            <w:noWrap/>
            <w:vAlign w:val="bottom"/>
            <w:hideMark/>
          </w:tcPr>
          <w:p w14:paraId="23B71032" w14:textId="45127DC8" w:rsidR="00221DD4" w:rsidRPr="00F464FA" w:rsidRDefault="00221DD4" w:rsidP="005A1946">
            <w:pPr>
              <w:suppressAutoHyphens w:val="0"/>
              <w:spacing w:before="40" w:after="40" w:line="220" w:lineRule="exact"/>
              <w:ind w:right="113"/>
              <w:jc w:val="right"/>
              <w:rPr>
                <w:sz w:val="18"/>
              </w:rPr>
            </w:pPr>
            <w:r w:rsidRPr="00F464FA">
              <w:rPr>
                <w:sz w:val="18"/>
              </w:rPr>
              <w:t>43</w:t>
            </w:r>
          </w:p>
        </w:tc>
        <w:tc>
          <w:tcPr>
            <w:tcW w:w="511" w:type="dxa"/>
            <w:shd w:val="clear" w:color="auto" w:fill="auto"/>
            <w:noWrap/>
            <w:vAlign w:val="bottom"/>
            <w:hideMark/>
          </w:tcPr>
          <w:p w14:paraId="40F5139F" w14:textId="71703F17" w:rsidR="00221DD4" w:rsidRPr="00F464FA" w:rsidRDefault="00221DD4" w:rsidP="005A1946">
            <w:pPr>
              <w:suppressAutoHyphens w:val="0"/>
              <w:spacing w:before="40" w:after="40" w:line="220" w:lineRule="exact"/>
              <w:ind w:right="113"/>
              <w:jc w:val="right"/>
              <w:rPr>
                <w:sz w:val="18"/>
              </w:rPr>
            </w:pPr>
            <w:r w:rsidRPr="00F464FA">
              <w:rPr>
                <w:sz w:val="18"/>
              </w:rPr>
              <w:t>54</w:t>
            </w:r>
          </w:p>
        </w:tc>
        <w:tc>
          <w:tcPr>
            <w:tcW w:w="510" w:type="dxa"/>
            <w:shd w:val="clear" w:color="auto" w:fill="auto"/>
            <w:noWrap/>
            <w:vAlign w:val="bottom"/>
            <w:hideMark/>
          </w:tcPr>
          <w:p w14:paraId="14FEA337" w14:textId="7A314299" w:rsidR="00221DD4" w:rsidRPr="00F464FA" w:rsidRDefault="00221DD4" w:rsidP="005A1946">
            <w:pPr>
              <w:suppressAutoHyphens w:val="0"/>
              <w:spacing w:before="40" w:after="40" w:line="220" w:lineRule="exact"/>
              <w:ind w:right="113"/>
              <w:jc w:val="right"/>
              <w:rPr>
                <w:sz w:val="18"/>
              </w:rPr>
            </w:pPr>
            <w:r w:rsidRPr="00F464FA">
              <w:rPr>
                <w:sz w:val="18"/>
              </w:rPr>
              <w:t>37</w:t>
            </w:r>
          </w:p>
        </w:tc>
        <w:tc>
          <w:tcPr>
            <w:tcW w:w="510" w:type="dxa"/>
            <w:shd w:val="clear" w:color="auto" w:fill="auto"/>
            <w:noWrap/>
            <w:vAlign w:val="bottom"/>
            <w:hideMark/>
          </w:tcPr>
          <w:p w14:paraId="07C83067" w14:textId="4ED4E17D" w:rsidR="00221DD4" w:rsidRPr="00F464FA" w:rsidRDefault="00221DD4" w:rsidP="005A1946">
            <w:pPr>
              <w:suppressAutoHyphens w:val="0"/>
              <w:spacing w:before="40" w:after="40" w:line="220" w:lineRule="exact"/>
              <w:ind w:right="113"/>
              <w:jc w:val="right"/>
              <w:rPr>
                <w:sz w:val="18"/>
              </w:rPr>
            </w:pPr>
            <w:r w:rsidRPr="00F464FA">
              <w:rPr>
                <w:sz w:val="18"/>
              </w:rPr>
              <w:t>46</w:t>
            </w:r>
          </w:p>
        </w:tc>
        <w:tc>
          <w:tcPr>
            <w:tcW w:w="511" w:type="dxa"/>
            <w:shd w:val="clear" w:color="auto" w:fill="auto"/>
            <w:noWrap/>
            <w:vAlign w:val="bottom"/>
            <w:hideMark/>
          </w:tcPr>
          <w:p w14:paraId="25F59478" w14:textId="57DB66A1" w:rsidR="00221DD4" w:rsidRPr="00F464FA" w:rsidRDefault="00221DD4" w:rsidP="005A1946">
            <w:pPr>
              <w:suppressAutoHyphens w:val="0"/>
              <w:spacing w:before="40" w:after="40" w:line="220" w:lineRule="exact"/>
              <w:ind w:right="113"/>
              <w:jc w:val="right"/>
              <w:rPr>
                <w:sz w:val="18"/>
              </w:rPr>
            </w:pPr>
            <w:r w:rsidRPr="00F464FA">
              <w:rPr>
                <w:sz w:val="18"/>
              </w:rPr>
              <w:t>25</w:t>
            </w:r>
          </w:p>
        </w:tc>
        <w:tc>
          <w:tcPr>
            <w:tcW w:w="853" w:type="dxa"/>
            <w:shd w:val="clear" w:color="auto" w:fill="auto"/>
            <w:noWrap/>
            <w:vAlign w:val="bottom"/>
            <w:hideMark/>
          </w:tcPr>
          <w:p w14:paraId="594D8A25" w14:textId="16FD0FBF" w:rsidR="00221DD4" w:rsidRPr="00F464FA" w:rsidRDefault="00221DD4" w:rsidP="005A1946">
            <w:pPr>
              <w:suppressAutoHyphens w:val="0"/>
              <w:spacing w:before="40" w:after="40" w:line="220" w:lineRule="exact"/>
              <w:ind w:right="113"/>
              <w:jc w:val="right"/>
              <w:rPr>
                <w:sz w:val="18"/>
              </w:rPr>
            </w:pPr>
            <w:r w:rsidRPr="00F464FA">
              <w:rPr>
                <w:sz w:val="18"/>
              </w:rPr>
              <w:t>−41</w:t>
            </w:r>
          </w:p>
        </w:tc>
        <w:tc>
          <w:tcPr>
            <w:tcW w:w="706" w:type="dxa"/>
            <w:shd w:val="clear" w:color="auto" w:fill="auto"/>
            <w:noWrap/>
            <w:vAlign w:val="bottom"/>
            <w:hideMark/>
          </w:tcPr>
          <w:p w14:paraId="0EB9A362" w14:textId="0551E363" w:rsidR="00221DD4" w:rsidRPr="00F464FA" w:rsidRDefault="00221DD4" w:rsidP="005A1946">
            <w:pPr>
              <w:suppressAutoHyphens w:val="0"/>
              <w:spacing w:before="40" w:after="40" w:line="220" w:lineRule="exact"/>
              <w:ind w:right="113"/>
              <w:jc w:val="right"/>
              <w:rPr>
                <w:sz w:val="18"/>
              </w:rPr>
            </w:pPr>
            <w:r w:rsidRPr="00F464FA">
              <w:rPr>
                <w:sz w:val="18"/>
              </w:rPr>
              <w:t>−63</w:t>
            </w:r>
          </w:p>
        </w:tc>
      </w:tr>
      <w:tr w:rsidR="00221DD4" w:rsidRPr="00F464FA" w14:paraId="64ED7BDF" w14:textId="77777777" w:rsidTr="005A1946">
        <w:tc>
          <w:tcPr>
            <w:tcW w:w="851" w:type="dxa"/>
            <w:vMerge/>
            <w:shd w:val="clear" w:color="auto" w:fill="auto"/>
            <w:hideMark/>
          </w:tcPr>
          <w:p w14:paraId="3E3D0967"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469E9C0C" w14:textId="1C07B24C" w:rsidR="00221DD4" w:rsidRPr="00F464FA" w:rsidRDefault="00221DD4" w:rsidP="005A1946">
            <w:pPr>
              <w:suppressAutoHyphens w:val="0"/>
              <w:spacing w:before="40" w:after="40" w:line="220" w:lineRule="exact"/>
              <w:ind w:right="113"/>
              <w:rPr>
                <w:sz w:val="18"/>
              </w:rPr>
            </w:pPr>
            <w:r w:rsidRPr="00F464FA">
              <w:rPr>
                <w:sz w:val="18"/>
              </w:rPr>
              <w:t>Poorer</w:t>
            </w:r>
            <w:r w:rsidR="001939E4" w:rsidRPr="00F464FA">
              <w:rPr>
                <w:sz w:val="18"/>
              </w:rPr>
              <w:t xml:space="preserve"> </w:t>
            </w:r>
          </w:p>
        </w:tc>
        <w:tc>
          <w:tcPr>
            <w:tcW w:w="510" w:type="dxa"/>
            <w:shd w:val="clear" w:color="auto" w:fill="auto"/>
            <w:noWrap/>
            <w:vAlign w:val="bottom"/>
            <w:hideMark/>
          </w:tcPr>
          <w:p w14:paraId="4DD54ADB" w14:textId="318D0E01"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0AA58CE0" w14:textId="0B5F0951"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0C1A34A3" w14:textId="57F530CE" w:rsidR="00221DD4" w:rsidRPr="00F464FA" w:rsidRDefault="00221DD4" w:rsidP="005A1946">
            <w:pPr>
              <w:suppressAutoHyphens w:val="0"/>
              <w:spacing w:before="40" w:after="40" w:line="220" w:lineRule="exact"/>
              <w:ind w:right="113"/>
              <w:jc w:val="right"/>
              <w:rPr>
                <w:sz w:val="18"/>
              </w:rPr>
            </w:pPr>
            <w:r w:rsidRPr="00F464FA">
              <w:rPr>
                <w:sz w:val="18"/>
              </w:rPr>
              <w:t>61</w:t>
            </w:r>
          </w:p>
        </w:tc>
        <w:tc>
          <w:tcPr>
            <w:tcW w:w="511" w:type="dxa"/>
            <w:shd w:val="clear" w:color="auto" w:fill="auto"/>
            <w:noWrap/>
            <w:vAlign w:val="bottom"/>
            <w:hideMark/>
          </w:tcPr>
          <w:p w14:paraId="6461FAB9" w14:textId="745E3A81" w:rsidR="00221DD4" w:rsidRPr="00F464FA" w:rsidRDefault="00221DD4" w:rsidP="005A1946">
            <w:pPr>
              <w:suppressAutoHyphens w:val="0"/>
              <w:spacing w:before="40" w:after="40" w:line="220" w:lineRule="exact"/>
              <w:ind w:right="113"/>
              <w:jc w:val="right"/>
              <w:rPr>
                <w:sz w:val="18"/>
              </w:rPr>
            </w:pPr>
            <w:r w:rsidRPr="00F464FA">
              <w:rPr>
                <w:sz w:val="18"/>
              </w:rPr>
              <w:t>56</w:t>
            </w:r>
          </w:p>
        </w:tc>
        <w:tc>
          <w:tcPr>
            <w:tcW w:w="510" w:type="dxa"/>
            <w:shd w:val="clear" w:color="auto" w:fill="auto"/>
            <w:noWrap/>
            <w:vAlign w:val="bottom"/>
            <w:hideMark/>
          </w:tcPr>
          <w:p w14:paraId="1DDC7D2D" w14:textId="5DF767BD" w:rsidR="00221DD4" w:rsidRPr="00F464FA" w:rsidRDefault="00221DD4" w:rsidP="005A1946">
            <w:pPr>
              <w:suppressAutoHyphens w:val="0"/>
              <w:spacing w:before="40" w:after="40" w:line="220" w:lineRule="exact"/>
              <w:ind w:right="113"/>
              <w:jc w:val="right"/>
              <w:rPr>
                <w:sz w:val="18"/>
              </w:rPr>
            </w:pPr>
            <w:r w:rsidRPr="00F464FA">
              <w:rPr>
                <w:sz w:val="18"/>
              </w:rPr>
              <w:t>46</w:t>
            </w:r>
          </w:p>
        </w:tc>
        <w:tc>
          <w:tcPr>
            <w:tcW w:w="510" w:type="dxa"/>
            <w:shd w:val="clear" w:color="auto" w:fill="auto"/>
            <w:noWrap/>
            <w:vAlign w:val="bottom"/>
            <w:hideMark/>
          </w:tcPr>
          <w:p w14:paraId="2EBAE564" w14:textId="7753A7AE" w:rsidR="00221DD4" w:rsidRPr="00F464FA" w:rsidRDefault="00221DD4" w:rsidP="005A1946">
            <w:pPr>
              <w:suppressAutoHyphens w:val="0"/>
              <w:spacing w:before="40" w:after="40" w:line="220" w:lineRule="exact"/>
              <w:ind w:right="113"/>
              <w:jc w:val="right"/>
              <w:rPr>
                <w:sz w:val="18"/>
              </w:rPr>
            </w:pPr>
            <w:r w:rsidRPr="00F464FA">
              <w:rPr>
                <w:sz w:val="18"/>
              </w:rPr>
              <w:t>31</w:t>
            </w:r>
          </w:p>
        </w:tc>
        <w:tc>
          <w:tcPr>
            <w:tcW w:w="511" w:type="dxa"/>
            <w:shd w:val="clear" w:color="auto" w:fill="auto"/>
            <w:noWrap/>
            <w:vAlign w:val="bottom"/>
            <w:hideMark/>
          </w:tcPr>
          <w:p w14:paraId="52FEF017" w14:textId="5F54BF3C" w:rsidR="00221DD4" w:rsidRPr="00F464FA" w:rsidRDefault="00221DD4" w:rsidP="005A1946">
            <w:pPr>
              <w:suppressAutoHyphens w:val="0"/>
              <w:spacing w:before="40" w:after="40" w:line="220" w:lineRule="exact"/>
              <w:ind w:right="113"/>
              <w:jc w:val="right"/>
              <w:rPr>
                <w:sz w:val="18"/>
              </w:rPr>
            </w:pPr>
            <w:r w:rsidRPr="00F464FA">
              <w:rPr>
                <w:sz w:val="18"/>
              </w:rPr>
              <w:t>51</w:t>
            </w:r>
          </w:p>
        </w:tc>
        <w:tc>
          <w:tcPr>
            <w:tcW w:w="510" w:type="dxa"/>
            <w:shd w:val="clear" w:color="auto" w:fill="auto"/>
            <w:noWrap/>
            <w:vAlign w:val="bottom"/>
            <w:hideMark/>
          </w:tcPr>
          <w:p w14:paraId="194D7621" w14:textId="513958E8" w:rsidR="00221DD4" w:rsidRPr="00F464FA" w:rsidRDefault="00221DD4" w:rsidP="005A1946">
            <w:pPr>
              <w:suppressAutoHyphens w:val="0"/>
              <w:spacing w:before="40" w:after="40" w:line="220" w:lineRule="exact"/>
              <w:ind w:right="113"/>
              <w:jc w:val="right"/>
              <w:rPr>
                <w:sz w:val="18"/>
              </w:rPr>
            </w:pPr>
            <w:r w:rsidRPr="00F464FA">
              <w:rPr>
                <w:sz w:val="18"/>
              </w:rPr>
              <w:t>38</w:t>
            </w:r>
          </w:p>
        </w:tc>
        <w:tc>
          <w:tcPr>
            <w:tcW w:w="510" w:type="dxa"/>
            <w:shd w:val="clear" w:color="auto" w:fill="auto"/>
            <w:noWrap/>
            <w:vAlign w:val="bottom"/>
            <w:hideMark/>
          </w:tcPr>
          <w:p w14:paraId="4BB98650" w14:textId="20149CA4" w:rsidR="00221DD4" w:rsidRPr="00F464FA" w:rsidRDefault="00221DD4" w:rsidP="005A1946">
            <w:pPr>
              <w:suppressAutoHyphens w:val="0"/>
              <w:spacing w:before="40" w:after="40" w:line="220" w:lineRule="exact"/>
              <w:ind w:right="113"/>
              <w:jc w:val="right"/>
              <w:rPr>
                <w:sz w:val="18"/>
              </w:rPr>
            </w:pPr>
            <w:r w:rsidRPr="00F464FA">
              <w:rPr>
                <w:sz w:val="18"/>
              </w:rPr>
              <w:t>42</w:t>
            </w:r>
          </w:p>
        </w:tc>
        <w:tc>
          <w:tcPr>
            <w:tcW w:w="511" w:type="dxa"/>
            <w:shd w:val="clear" w:color="auto" w:fill="auto"/>
            <w:noWrap/>
            <w:vAlign w:val="bottom"/>
            <w:hideMark/>
          </w:tcPr>
          <w:p w14:paraId="276278FD" w14:textId="51CA09AE" w:rsidR="00221DD4" w:rsidRPr="00F464FA" w:rsidRDefault="00221DD4" w:rsidP="005A1946">
            <w:pPr>
              <w:suppressAutoHyphens w:val="0"/>
              <w:spacing w:before="40" w:after="40" w:line="220" w:lineRule="exact"/>
              <w:ind w:right="113"/>
              <w:jc w:val="right"/>
              <w:rPr>
                <w:sz w:val="18"/>
              </w:rPr>
            </w:pPr>
            <w:r w:rsidRPr="00F464FA">
              <w:rPr>
                <w:sz w:val="18"/>
              </w:rPr>
              <w:t>27</w:t>
            </w:r>
          </w:p>
        </w:tc>
        <w:tc>
          <w:tcPr>
            <w:tcW w:w="853" w:type="dxa"/>
            <w:shd w:val="clear" w:color="auto" w:fill="auto"/>
            <w:noWrap/>
            <w:vAlign w:val="bottom"/>
            <w:hideMark/>
          </w:tcPr>
          <w:p w14:paraId="07C85828" w14:textId="4EE24AB3" w:rsidR="00221DD4" w:rsidRPr="00F464FA" w:rsidRDefault="00221DD4" w:rsidP="005A1946">
            <w:pPr>
              <w:suppressAutoHyphens w:val="0"/>
              <w:spacing w:before="40" w:after="40" w:line="220" w:lineRule="exact"/>
              <w:ind w:right="113"/>
              <w:jc w:val="right"/>
              <w:rPr>
                <w:sz w:val="18"/>
              </w:rPr>
            </w:pPr>
            <w:r w:rsidRPr="00F464FA">
              <w:rPr>
                <w:sz w:val="18"/>
              </w:rPr>
              <w:t>−34</w:t>
            </w:r>
          </w:p>
        </w:tc>
        <w:tc>
          <w:tcPr>
            <w:tcW w:w="706" w:type="dxa"/>
            <w:shd w:val="clear" w:color="auto" w:fill="auto"/>
            <w:noWrap/>
            <w:vAlign w:val="bottom"/>
            <w:hideMark/>
          </w:tcPr>
          <w:p w14:paraId="2BEAACA2" w14:textId="5A58A3D8" w:rsidR="00221DD4" w:rsidRPr="00F464FA" w:rsidRDefault="00221DD4" w:rsidP="005A1946">
            <w:pPr>
              <w:suppressAutoHyphens w:val="0"/>
              <w:spacing w:before="40" w:after="40" w:line="220" w:lineRule="exact"/>
              <w:ind w:right="113"/>
              <w:jc w:val="right"/>
              <w:rPr>
                <w:sz w:val="18"/>
              </w:rPr>
            </w:pPr>
            <w:r w:rsidRPr="00F464FA">
              <w:rPr>
                <w:sz w:val="18"/>
              </w:rPr>
              <w:t>−56</w:t>
            </w:r>
          </w:p>
        </w:tc>
      </w:tr>
      <w:tr w:rsidR="00221DD4" w:rsidRPr="00F464FA" w14:paraId="06ADBFF5" w14:textId="77777777" w:rsidTr="005A1946">
        <w:tc>
          <w:tcPr>
            <w:tcW w:w="851" w:type="dxa"/>
            <w:vMerge/>
            <w:shd w:val="clear" w:color="auto" w:fill="auto"/>
            <w:hideMark/>
          </w:tcPr>
          <w:p w14:paraId="05B5FC9F"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31A914BD" w14:textId="631D2A53" w:rsidR="00221DD4" w:rsidRPr="00F464FA" w:rsidRDefault="00221DD4" w:rsidP="005A1946">
            <w:pPr>
              <w:suppressAutoHyphens w:val="0"/>
              <w:spacing w:before="40" w:after="40" w:line="220" w:lineRule="exact"/>
              <w:ind w:right="113"/>
              <w:rPr>
                <w:sz w:val="18"/>
              </w:rPr>
            </w:pPr>
            <w:r w:rsidRPr="00F464FA">
              <w:rPr>
                <w:sz w:val="18"/>
              </w:rPr>
              <w:t>Middle</w:t>
            </w:r>
            <w:r w:rsidR="001939E4" w:rsidRPr="00F464FA">
              <w:rPr>
                <w:sz w:val="18"/>
              </w:rPr>
              <w:t xml:space="preserve"> </w:t>
            </w:r>
          </w:p>
        </w:tc>
        <w:tc>
          <w:tcPr>
            <w:tcW w:w="510" w:type="dxa"/>
            <w:shd w:val="clear" w:color="auto" w:fill="auto"/>
            <w:noWrap/>
            <w:vAlign w:val="bottom"/>
            <w:hideMark/>
          </w:tcPr>
          <w:p w14:paraId="3E8D5A3F" w14:textId="1592881D"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4FCBF695" w14:textId="317C7091"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5EBF87D8" w14:textId="0DF72EB7" w:rsidR="00221DD4" w:rsidRPr="00F464FA" w:rsidRDefault="00221DD4" w:rsidP="005A1946">
            <w:pPr>
              <w:suppressAutoHyphens w:val="0"/>
              <w:spacing w:before="40" w:after="40" w:line="220" w:lineRule="exact"/>
              <w:ind w:right="113"/>
              <w:jc w:val="right"/>
              <w:rPr>
                <w:sz w:val="18"/>
              </w:rPr>
            </w:pPr>
            <w:r w:rsidRPr="00F464FA">
              <w:rPr>
                <w:sz w:val="18"/>
              </w:rPr>
              <w:t>56</w:t>
            </w:r>
          </w:p>
        </w:tc>
        <w:tc>
          <w:tcPr>
            <w:tcW w:w="511" w:type="dxa"/>
            <w:shd w:val="clear" w:color="auto" w:fill="auto"/>
            <w:noWrap/>
            <w:vAlign w:val="bottom"/>
            <w:hideMark/>
          </w:tcPr>
          <w:p w14:paraId="74CB61E0" w14:textId="5EC7D342" w:rsidR="00221DD4" w:rsidRPr="00F464FA" w:rsidRDefault="00221DD4" w:rsidP="005A1946">
            <w:pPr>
              <w:suppressAutoHyphens w:val="0"/>
              <w:spacing w:before="40" w:after="40" w:line="220" w:lineRule="exact"/>
              <w:ind w:right="113"/>
              <w:jc w:val="right"/>
              <w:rPr>
                <w:sz w:val="18"/>
              </w:rPr>
            </w:pPr>
            <w:r w:rsidRPr="00F464FA">
              <w:rPr>
                <w:sz w:val="18"/>
              </w:rPr>
              <w:t>53</w:t>
            </w:r>
          </w:p>
        </w:tc>
        <w:tc>
          <w:tcPr>
            <w:tcW w:w="510" w:type="dxa"/>
            <w:shd w:val="clear" w:color="auto" w:fill="auto"/>
            <w:noWrap/>
            <w:vAlign w:val="bottom"/>
            <w:hideMark/>
          </w:tcPr>
          <w:p w14:paraId="3976CA9B" w14:textId="33006E55" w:rsidR="00221DD4" w:rsidRPr="00F464FA" w:rsidRDefault="00221DD4" w:rsidP="005A1946">
            <w:pPr>
              <w:suppressAutoHyphens w:val="0"/>
              <w:spacing w:before="40" w:after="40" w:line="220" w:lineRule="exact"/>
              <w:ind w:right="113"/>
              <w:jc w:val="right"/>
              <w:rPr>
                <w:sz w:val="18"/>
              </w:rPr>
            </w:pPr>
            <w:r w:rsidRPr="00F464FA">
              <w:rPr>
                <w:sz w:val="18"/>
              </w:rPr>
              <w:t>44</w:t>
            </w:r>
          </w:p>
        </w:tc>
        <w:tc>
          <w:tcPr>
            <w:tcW w:w="510" w:type="dxa"/>
            <w:shd w:val="clear" w:color="auto" w:fill="auto"/>
            <w:noWrap/>
            <w:vAlign w:val="bottom"/>
            <w:hideMark/>
          </w:tcPr>
          <w:p w14:paraId="1D477C72" w14:textId="3295872D" w:rsidR="00221DD4" w:rsidRPr="00F464FA" w:rsidRDefault="00221DD4" w:rsidP="005A1946">
            <w:pPr>
              <w:suppressAutoHyphens w:val="0"/>
              <w:spacing w:before="40" w:after="40" w:line="220" w:lineRule="exact"/>
              <w:ind w:right="113"/>
              <w:jc w:val="right"/>
              <w:rPr>
                <w:sz w:val="18"/>
              </w:rPr>
            </w:pPr>
            <w:r w:rsidRPr="00F464FA">
              <w:rPr>
                <w:sz w:val="18"/>
              </w:rPr>
              <w:t>31</w:t>
            </w:r>
          </w:p>
        </w:tc>
        <w:tc>
          <w:tcPr>
            <w:tcW w:w="511" w:type="dxa"/>
            <w:shd w:val="clear" w:color="auto" w:fill="auto"/>
            <w:noWrap/>
            <w:vAlign w:val="bottom"/>
            <w:hideMark/>
          </w:tcPr>
          <w:p w14:paraId="5A7DD69D" w14:textId="2D6F8A16" w:rsidR="00221DD4" w:rsidRPr="00F464FA" w:rsidRDefault="00221DD4" w:rsidP="005A1946">
            <w:pPr>
              <w:suppressAutoHyphens w:val="0"/>
              <w:spacing w:before="40" w:after="40" w:line="220" w:lineRule="exact"/>
              <w:ind w:right="113"/>
              <w:jc w:val="right"/>
              <w:rPr>
                <w:sz w:val="18"/>
              </w:rPr>
            </w:pPr>
            <w:r w:rsidRPr="00F464FA">
              <w:rPr>
                <w:sz w:val="18"/>
              </w:rPr>
              <w:t>50</w:t>
            </w:r>
          </w:p>
        </w:tc>
        <w:tc>
          <w:tcPr>
            <w:tcW w:w="510" w:type="dxa"/>
            <w:shd w:val="clear" w:color="auto" w:fill="auto"/>
            <w:noWrap/>
            <w:vAlign w:val="bottom"/>
            <w:hideMark/>
          </w:tcPr>
          <w:p w14:paraId="289F1D87" w14:textId="2B11456F" w:rsidR="00221DD4" w:rsidRPr="00F464FA" w:rsidRDefault="00221DD4" w:rsidP="005A1946">
            <w:pPr>
              <w:suppressAutoHyphens w:val="0"/>
              <w:spacing w:before="40" w:after="40" w:line="220" w:lineRule="exact"/>
              <w:ind w:right="113"/>
              <w:jc w:val="right"/>
              <w:rPr>
                <w:sz w:val="18"/>
              </w:rPr>
            </w:pPr>
            <w:r w:rsidRPr="00F464FA">
              <w:rPr>
                <w:sz w:val="18"/>
              </w:rPr>
              <w:t>34</w:t>
            </w:r>
          </w:p>
        </w:tc>
        <w:tc>
          <w:tcPr>
            <w:tcW w:w="510" w:type="dxa"/>
            <w:shd w:val="clear" w:color="auto" w:fill="auto"/>
            <w:noWrap/>
            <w:vAlign w:val="bottom"/>
            <w:hideMark/>
          </w:tcPr>
          <w:p w14:paraId="7B3C8B5F" w14:textId="50A18C30" w:rsidR="00221DD4" w:rsidRPr="00F464FA" w:rsidRDefault="00221DD4" w:rsidP="005A1946">
            <w:pPr>
              <w:suppressAutoHyphens w:val="0"/>
              <w:spacing w:before="40" w:after="40" w:line="220" w:lineRule="exact"/>
              <w:ind w:right="113"/>
              <w:jc w:val="right"/>
              <w:rPr>
                <w:sz w:val="18"/>
              </w:rPr>
            </w:pPr>
            <w:r w:rsidRPr="00F464FA">
              <w:rPr>
                <w:sz w:val="18"/>
              </w:rPr>
              <w:t>41</w:t>
            </w:r>
          </w:p>
        </w:tc>
        <w:tc>
          <w:tcPr>
            <w:tcW w:w="511" w:type="dxa"/>
            <w:shd w:val="clear" w:color="auto" w:fill="auto"/>
            <w:noWrap/>
            <w:vAlign w:val="bottom"/>
            <w:hideMark/>
          </w:tcPr>
          <w:p w14:paraId="5CBBB8B7" w14:textId="608BF79C" w:rsidR="00221DD4" w:rsidRPr="00F464FA" w:rsidRDefault="00221DD4" w:rsidP="005A1946">
            <w:pPr>
              <w:suppressAutoHyphens w:val="0"/>
              <w:spacing w:before="40" w:after="40" w:line="220" w:lineRule="exact"/>
              <w:ind w:right="113"/>
              <w:jc w:val="right"/>
              <w:rPr>
                <w:sz w:val="18"/>
              </w:rPr>
            </w:pPr>
            <w:r w:rsidRPr="00F464FA">
              <w:rPr>
                <w:sz w:val="18"/>
              </w:rPr>
              <w:t>28</w:t>
            </w:r>
          </w:p>
        </w:tc>
        <w:tc>
          <w:tcPr>
            <w:tcW w:w="853" w:type="dxa"/>
            <w:shd w:val="clear" w:color="auto" w:fill="auto"/>
            <w:noWrap/>
            <w:vAlign w:val="bottom"/>
            <w:hideMark/>
          </w:tcPr>
          <w:p w14:paraId="28AA3267" w14:textId="74A70445" w:rsidR="00221DD4" w:rsidRPr="00F464FA" w:rsidRDefault="00221DD4" w:rsidP="005A1946">
            <w:pPr>
              <w:suppressAutoHyphens w:val="0"/>
              <w:spacing w:before="40" w:after="40" w:line="220" w:lineRule="exact"/>
              <w:ind w:right="113"/>
              <w:jc w:val="right"/>
              <w:rPr>
                <w:sz w:val="18"/>
              </w:rPr>
            </w:pPr>
            <w:r w:rsidRPr="00F464FA">
              <w:rPr>
                <w:sz w:val="18"/>
              </w:rPr>
              <w:t>−28</w:t>
            </w:r>
          </w:p>
        </w:tc>
        <w:tc>
          <w:tcPr>
            <w:tcW w:w="706" w:type="dxa"/>
            <w:shd w:val="clear" w:color="auto" w:fill="auto"/>
            <w:noWrap/>
            <w:vAlign w:val="bottom"/>
            <w:hideMark/>
          </w:tcPr>
          <w:p w14:paraId="245C5ECE" w14:textId="465BBAC9" w:rsidR="00221DD4" w:rsidRPr="00F464FA" w:rsidRDefault="00221DD4" w:rsidP="005A1946">
            <w:pPr>
              <w:suppressAutoHyphens w:val="0"/>
              <w:spacing w:before="40" w:after="40" w:line="220" w:lineRule="exact"/>
              <w:ind w:right="113"/>
              <w:jc w:val="right"/>
              <w:rPr>
                <w:sz w:val="18"/>
              </w:rPr>
            </w:pPr>
            <w:r w:rsidRPr="00F464FA">
              <w:rPr>
                <w:sz w:val="18"/>
              </w:rPr>
              <w:t>−50</w:t>
            </w:r>
          </w:p>
        </w:tc>
      </w:tr>
      <w:tr w:rsidR="00221DD4" w:rsidRPr="00F464FA" w14:paraId="54C5728D" w14:textId="77777777" w:rsidTr="005A1946">
        <w:tc>
          <w:tcPr>
            <w:tcW w:w="851" w:type="dxa"/>
            <w:vMerge/>
            <w:shd w:val="clear" w:color="auto" w:fill="auto"/>
            <w:hideMark/>
          </w:tcPr>
          <w:p w14:paraId="52A9D98B"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590B8488" w14:textId="5A4249F4" w:rsidR="00221DD4" w:rsidRPr="00F464FA" w:rsidRDefault="00221DD4" w:rsidP="005A1946">
            <w:pPr>
              <w:suppressAutoHyphens w:val="0"/>
              <w:spacing w:before="40" w:after="40" w:line="220" w:lineRule="exact"/>
              <w:ind w:right="113"/>
              <w:rPr>
                <w:sz w:val="18"/>
              </w:rPr>
            </w:pPr>
            <w:r w:rsidRPr="00F464FA">
              <w:rPr>
                <w:sz w:val="18"/>
              </w:rPr>
              <w:t>Richer</w:t>
            </w:r>
            <w:r w:rsidR="001939E4" w:rsidRPr="00F464FA">
              <w:rPr>
                <w:sz w:val="18"/>
              </w:rPr>
              <w:t xml:space="preserve"> </w:t>
            </w:r>
          </w:p>
        </w:tc>
        <w:tc>
          <w:tcPr>
            <w:tcW w:w="510" w:type="dxa"/>
            <w:shd w:val="clear" w:color="auto" w:fill="auto"/>
            <w:noWrap/>
            <w:vAlign w:val="bottom"/>
            <w:hideMark/>
          </w:tcPr>
          <w:p w14:paraId="29E849D9" w14:textId="48198444"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4F65C7A6" w14:textId="15F3F6FA"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0EA8FF87" w14:textId="4B56993B" w:rsidR="00221DD4" w:rsidRPr="00F464FA" w:rsidRDefault="00221DD4" w:rsidP="005A1946">
            <w:pPr>
              <w:suppressAutoHyphens w:val="0"/>
              <w:spacing w:before="40" w:after="40" w:line="220" w:lineRule="exact"/>
              <w:ind w:right="113"/>
              <w:jc w:val="right"/>
              <w:rPr>
                <w:sz w:val="18"/>
              </w:rPr>
            </w:pPr>
            <w:r w:rsidRPr="00F464FA">
              <w:rPr>
                <w:sz w:val="18"/>
              </w:rPr>
              <w:t>50</w:t>
            </w:r>
          </w:p>
        </w:tc>
        <w:tc>
          <w:tcPr>
            <w:tcW w:w="511" w:type="dxa"/>
            <w:shd w:val="clear" w:color="auto" w:fill="auto"/>
            <w:noWrap/>
            <w:vAlign w:val="bottom"/>
            <w:hideMark/>
          </w:tcPr>
          <w:p w14:paraId="045F97D1" w14:textId="5441400D" w:rsidR="00221DD4" w:rsidRPr="00F464FA" w:rsidRDefault="00221DD4" w:rsidP="005A1946">
            <w:pPr>
              <w:suppressAutoHyphens w:val="0"/>
              <w:spacing w:before="40" w:after="40" w:line="220" w:lineRule="exact"/>
              <w:ind w:right="113"/>
              <w:jc w:val="right"/>
              <w:rPr>
                <w:sz w:val="18"/>
              </w:rPr>
            </w:pPr>
            <w:r w:rsidRPr="00F464FA">
              <w:rPr>
                <w:sz w:val="18"/>
              </w:rPr>
              <w:t>48</w:t>
            </w:r>
          </w:p>
        </w:tc>
        <w:tc>
          <w:tcPr>
            <w:tcW w:w="510" w:type="dxa"/>
            <w:shd w:val="clear" w:color="auto" w:fill="auto"/>
            <w:noWrap/>
            <w:vAlign w:val="bottom"/>
            <w:hideMark/>
          </w:tcPr>
          <w:p w14:paraId="624FE220" w14:textId="664327D5" w:rsidR="00221DD4" w:rsidRPr="00F464FA" w:rsidRDefault="00221DD4" w:rsidP="005A1946">
            <w:pPr>
              <w:suppressAutoHyphens w:val="0"/>
              <w:spacing w:before="40" w:after="40" w:line="220" w:lineRule="exact"/>
              <w:ind w:right="113"/>
              <w:jc w:val="right"/>
              <w:rPr>
                <w:sz w:val="18"/>
              </w:rPr>
            </w:pPr>
            <w:r w:rsidRPr="00F464FA">
              <w:rPr>
                <w:sz w:val="18"/>
              </w:rPr>
              <w:t>37</w:t>
            </w:r>
          </w:p>
        </w:tc>
        <w:tc>
          <w:tcPr>
            <w:tcW w:w="510" w:type="dxa"/>
            <w:shd w:val="clear" w:color="auto" w:fill="auto"/>
            <w:noWrap/>
            <w:vAlign w:val="bottom"/>
            <w:hideMark/>
          </w:tcPr>
          <w:p w14:paraId="2DA2BE1E" w14:textId="395C12E9" w:rsidR="00221DD4" w:rsidRPr="00F464FA" w:rsidRDefault="00221DD4" w:rsidP="005A1946">
            <w:pPr>
              <w:suppressAutoHyphens w:val="0"/>
              <w:spacing w:before="40" w:after="40" w:line="220" w:lineRule="exact"/>
              <w:ind w:right="113"/>
              <w:jc w:val="right"/>
              <w:rPr>
                <w:sz w:val="18"/>
              </w:rPr>
            </w:pPr>
            <w:r w:rsidRPr="00F464FA">
              <w:rPr>
                <w:sz w:val="18"/>
              </w:rPr>
              <w:t>28</w:t>
            </w:r>
          </w:p>
        </w:tc>
        <w:tc>
          <w:tcPr>
            <w:tcW w:w="511" w:type="dxa"/>
            <w:shd w:val="clear" w:color="auto" w:fill="auto"/>
            <w:noWrap/>
            <w:vAlign w:val="bottom"/>
            <w:hideMark/>
          </w:tcPr>
          <w:p w14:paraId="57644C3B" w14:textId="1C4E4A24" w:rsidR="00221DD4" w:rsidRPr="00F464FA" w:rsidRDefault="00221DD4" w:rsidP="005A1946">
            <w:pPr>
              <w:suppressAutoHyphens w:val="0"/>
              <w:spacing w:before="40" w:after="40" w:line="220" w:lineRule="exact"/>
              <w:ind w:right="113"/>
              <w:jc w:val="right"/>
              <w:rPr>
                <w:sz w:val="18"/>
              </w:rPr>
            </w:pPr>
            <w:r w:rsidRPr="00F464FA">
              <w:rPr>
                <w:sz w:val="18"/>
              </w:rPr>
              <w:t>46</w:t>
            </w:r>
          </w:p>
        </w:tc>
        <w:tc>
          <w:tcPr>
            <w:tcW w:w="510" w:type="dxa"/>
            <w:shd w:val="clear" w:color="auto" w:fill="auto"/>
            <w:noWrap/>
            <w:vAlign w:val="bottom"/>
            <w:hideMark/>
          </w:tcPr>
          <w:p w14:paraId="3DCD4A47" w14:textId="027F0439" w:rsidR="00221DD4" w:rsidRPr="00F464FA" w:rsidRDefault="00221DD4" w:rsidP="005A1946">
            <w:pPr>
              <w:suppressAutoHyphens w:val="0"/>
              <w:spacing w:before="40" w:after="40" w:line="220" w:lineRule="exact"/>
              <w:ind w:right="113"/>
              <w:jc w:val="right"/>
              <w:rPr>
                <w:sz w:val="18"/>
              </w:rPr>
            </w:pPr>
            <w:r w:rsidRPr="00F464FA">
              <w:rPr>
                <w:sz w:val="18"/>
              </w:rPr>
              <w:t>30</w:t>
            </w:r>
          </w:p>
        </w:tc>
        <w:tc>
          <w:tcPr>
            <w:tcW w:w="510" w:type="dxa"/>
            <w:shd w:val="clear" w:color="auto" w:fill="auto"/>
            <w:noWrap/>
            <w:vAlign w:val="bottom"/>
            <w:hideMark/>
          </w:tcPr>
          <w:p w14:paraId="07A74D47" w14:textId="5DD1BA93" w:rsidR="00221DD4" w:rsidRPr="00F464FA" w:rsidRDefault="00221DD4" w:rsidP="005A1946">
            <w:pPr>
              <w:suppressAutoHyphens w:val="0"/>
              <w:spacing w:before="40" w:after="40" w:line="220" w:lineRule="exact"/>
              <w:ind w:right="113"/>
              <w:jc w:val="right"/>
              <w:rPr>
                <w:sz w:val="18"/>
              </w:rPr>
            </w:pPr>
            <w:r w:rsidRPr="00F464FA">
              <w:rPr>
                <w:sz w:val="18"/>
              </w:rPr>
              <w:t>38</w:t>
            </w:r>
          </w:p>
        </w:tc>
        <w:tc>
          <w:tcPr>
            <w:tcW w:w="511" w:type="dxa"/>
            <w:shd w:val="clear" w:color="auto" w:fill="auto"/>
            <w:noWrap/>
            <w:vAlign w:val="bottom"/>
            <w:hideMark/>
          </w:tcPr>
          <w:p w14:paraId="384C5B36" w14:textId="51EF7843" w:rsidR="00221DD4" w:rsidRPr="00F464FA" w:rsidRDefault="00221DD4" w:rsidP="005A1946">
            <w:pPr>
              <w:suppressAutoHyphens w:val="0"/>
              <w:spacing w:before="40" w:after="40" w:line="220" w:lineRule="exact"/>
              <w:ind w:right="113"/>
              <w:jc w:val="right"/>
              <w:rPr>
                <w:sz w:val="18"/>
              </w:rPr>
            </w:pPr>
            <w:r w:rsidRPr="00F464FA">
              <w:rPr>
                <w:sz w:val="18"/>
              </w:rPr>
              <w:t>21</w:t>
            </w:r>
          </w:p>
        </w:tc>
        <w:tc>
          <w:tcPr>
            <w:tcW w:w="853" w:type="dxa"/>
            <w:shd w:val="clear" w:color="auto" w:fill="auto"/>
            <w:noWrap/>
            <w:vAlign w:val="bottom"/>
            <w:hideMark/>
          </w:tcPr>
          <w:p w14:paraId="6453E5DB" w14:textId="6AE59188" w:rsidR="00221DD4" w:rsidRPr="00F464FA" w:rsidRDefault="00221DD4" w:rsidP="005A1946">
            <w:pPr>
              <w:suppressAutoHyphens w:val="0"/>
              <w:spacing w:before="40" w:after="40" w:line="220" w:lineRule="exact"/>
              <w:ind w:right="113"/>
              <w:jc w:val="right"/>
              <w:rPr>
                <w:sz w:val="18"/>
              </w:rPr>
            </w:pPr>
            <w:r w:rsidRPr="00F464FA">
              <w:rPr>
                <w:sz w:val="18"/>
              </w:rPr>
              <w:t>−29</w:t>
            </w:r>
          </w:p>
        </w:tc>
        <w:tc>
          <w:tcPr>
            <w:tcW w:w="706" w:type="dxa"/>
            <w:shd w:val="clear" w:color="auto" w:fill="auto"/>
            <w:noWrap/>
            <w:vAlign w:val="bottom"/>
            <w:hideMark/>
          </w:tcPr>
          <w:p w14:paraId="01A5E817" w14:textId="040CFD87" w:rsidR="00221DD4" w:rsidRPr="00F464FA" w:rsidRDefault="00221DD4" w:rsidP="005A1946">
            <w:pPr>
              <w:suppressAutoHyphens w:val="0"/>
              <w:spacing w:before="40" w:after="40" w:line="220" w:lineRule="exact"/>
              <w:ind w:right="113"/>
              <w:jc w:val="right"/>
              <w:rPr>
                <w:sz w:val="18"/>
              </w:rPr>
            </w:pPr>
            <w:r w:rsidRPr="00F464FA">
              <w:rPr>
                <w:sz w:val="18"/>
              </w:rPr>
              <w:t>−59</w:t>
            </w:r>
          </w:p>
        </w:tc>
      </w:tr>
      <w:tr w:rsidR="00221DD4" w:rsidRPr="00F464FA" w14:paraId="2705B4A2" w14:textId="77777777" w:rsidTr="005A1946">
        <w:tc>
          <w:tcPr>
            <w:tcW w:w="851" w:type="dxa"/>
            <w:vMerge/>
            <w:shd w:val="clear" w:color="auto" w:fill="auto"/>
            <w:hideMark/>
          </w:tcPr>
          <w:p w14:paraId="35C86DE8"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652D24B0" w14:textId="2E34A0F8" w:rsidR="00221DD4" w:rsidRPr="00F464FA" w:rsidRDefault="00221DD4" w:rsidP="005A1946">
            <w:pPr>
              <w:suppressAutoHyphens w:val="0"/>
              <w:spacing w:before="40" w:after="40" w:line="220" w:lineRule="exact"/>
              <w:ind w:right="113"/>
              <w:rPr>
                <w:sz w:val="18"/>
              </w:rPr>
            </w:pPr>
            <w:r w:rsidRPr="00F464FA">
              <w:rPr>
                <w:sz w:val="18"/>
              </w:rPr>
              <w:t>Richest</w:t>
            </w:r>
            <w:r w:rsidR="001939E4" w:rsidRPr="00F464FA">
              <w:rPr>
                <w:sz w:val="18"/>
              </w:rPr>
              <w:t xml:space="preserve"> </w:t>
            </w:r>
          </w:p>
        </w:tc>
        <w:tc>
          <w:tcPr>
            <w:tcW w:w="510" w:type="dxa"/>
            <w:shd w:val="clear" w:color="auto" w:fill="auto"/>
            <w:noWrap/>
            <w:vAlign w:val="bottom"/>
            <w:hideMark/>
          </w:tcPr>
          <w:p w14:paraId="0FE551C0" w14:textId="0166E5E9"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6B7DF61C" w14:textId="638EC228"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5A577553" w14:textId="76BB604E" w:rsidR="00221DD4" w:rsidRPr="00F464FA" w:rsidRDefault="00221DD4" w:rsidP="005A1946">
            <w:pPr>
              <w:suppressAutoHyphens w:val="0"/>
              <w:spacing w:before="40" w:after="40" w:line="220" w:lineRule="exact"/>
              <w:ind w:right="113"/>
              <w:jc w:val="right"/>
              <w:rPr>
                <w:sz w:val="18"/>
              </w:rPr>
            </w:pPr>
            <w:r w:rsidRPr="00F464FA">
              <w:rPr>
                <w:sz w:val="18"/>
              </w:rPr>
              <w:t>19</w:t>
            </w:r>
          </w:p>
        </w:tc>
        <w:tc>
          <w:tcPr>
            <w:tcW w:w="511" w:type="dxa"/>
            <w:shd w:val="clear" w:color="auto" w:fill="auto"/>
            <w:noWrap/>
            <w:vAlign w:val="bottom"/>
            <w:hideMark/>
          </w:tcPr>
          <w:p w14:paraId="683CD362" w14:textId="0D6A8B99" w:rsidR="00221DD4" w:rsidRPr="00F464FA" w:rsidRDefault="00221DD4" w:rsidP="005A1946">
            <w:pPr>
              <w:suppressAutoHyphens w:val="0"/>
              <w:spacing w:before="40" w:after="40" w:line="220" w:lineRule="exact"/>
              <w:ind w:right="113"/>
              <w:jc w:val="right"/>
              <w:rPr>
                <w:sz w:val="18"/>
              </w:rPr>
            </w:pPr>
            <w:r w:rsidRPr="00F464FA">
              <w:rPr>
                <w:sz w:val="18"/>
              </w:rPr>
              <w:t>28</w:t>
            </w:r>
          </w:p>
        </w:tc>
        <w:tc>
          <w:tcPr>
            <w:tcW w:w="510" w:type="dxa"/>
            <w:shd w:val="clear" w:color="auto" w:fill="auto"/>
            <w:noWrap/>
            <w:vAlign w:val="bottom"/>
            <w:hideMark/>
          </w:tcPr>
          <w:p w14:paraId="00863577" w14:textId="4B7A186A" w:rsidR="00221DD4" w:rsidRPr="00F464FA" w:rsidRDefault="00221DD4" w:rsidP="005A1946">
            <w:pPr>
              <w:suppressAutoHyphens w:val="0"/>
              <w:spacing w:before="40" w:after="40" w:line="220" w:lineRule="exact"/>
              <w:ind w:right="113"/>
              <w:jc w:val="right"/>
              <w:rPr>
                <w:sz w:val="18"/>
              </w:rPr>
            </w:pPr>
            <w:r w:rsidRPr="00F464FA">
              <w:rPr>
                <w:sz w:val="18"/>
              </w:rPr>
              <w:t>20</w:t>
            </w:r>
          </w:p>
        </w:tc>
        <w:tc>
          <w:tcPr>
            <w:tcW w:w="510" w:type="dxa"/>
            <w:shd w:val="clear" w:color="auto" w:fill="auto"/>
            <w:noWrap/>
            <w:vAlign w:val="bottom"/>
            <w:hideMark/>
          </w:tcPr>
          <w:p w14:paraId="37BDC80F" w14:textId="26077E50" w:rsidR="00221DD4" w:rsidRPr="00F464FA" w:rsidRDefault="00221DD4" w:rsidP="005A1946">
            <w:pPr>
              <w:suppressAutoHyphens w:val="0"/>
              <w:spacing w:before="40" w:after="40" w:line="220" w:lineRule="exact"/>
              <w:ind w:right="113"/>
              <w:jc w:val="right"/>
              <w:rPr>
                <w:sz w:val="18"/>
              </w:rPr>
            </w:pPr>
            <w:r w:rsidRPr="00F464FA">
              <w:rPr>
                <w:sz w:val="18"/>
              </w:rPr>
              <w:t>9</w:t>
            </w:r>
          </w:p>
        </w:tc>
        <w:tc>
          <w:tcPr>
            <w:tcW w:w="511" w:type="dxa"/>
            <w:shd w:val="clear" w:color="auto" w:fill="auto"/>
            <w:noWrap/>
            <w:vAlign w:val="bottom"/>
            <w:hideMark/>
          </w:tcPr>
          <w:p w14:paraId="06B0B947" w14:textId="08859ACF" w:rsidR="00221DD4" w:rsidRPr="00F464FA" w:rsidRDefault="00221DD4" w:rsidP="005A1946">
            <w:pPr>
              <w:suppressAutoHyphens w:val="0"/>
              <w:spacing w:before="40" w:after="40" w:line="220" w:lineRule="exact"/>
              <w:ind w:right="113"/>
              <w:jc w:val="right"/>
              <w:rPr>
                <w:sz w:val="18"/>
              </w:rPr>
            </w:pPr>
            <w:r w:rsidRPr="00F464FA">
              <w:rPr>
                <w:sz w:val="18"/>
              </w:rPr>
              <w:t>20</w:t>
            </w:r>
          </w:p>
        </w:tc>
        <w:tc>
          <w:tcPr>
            <w:tcW w:w="510" w:type="dxa"/>
            <w:shd w:val="clear" w:color="auto" w:fill="auto"/>
            <w:noWrap/>
            <w:vAlign w:val="bottom"/>
            <w:hideMark/>
          </w:tcPr>
          <w:p w14:paraId="44C07EDB" w14:textId="08909F37" w:rsidR="00221DD4" w:rsidRPr="00F464FA" w:rsidRDefault="00221DD4" w:rsidP="005A1946">
            <w:pPr>
              <w:suppressAutoHyphens w:val="0"/>
              <w:spacing w:before="40" w:after="40" w:line="220" w:lineRule="exact"/>
              <w:ind w:right="113"/>
              <w:jc w:val="right"/>
              <w:rPr>
                <w:sz w:val="18"/>
              </w:rPr>
            </w:pPr>
            <w:r w:rsidRPr="00F464FA">
              <w:rPr>
                <w:sz w:val="18"/>
              </w:rPr>
              <w:t>7</w:t>
            </w:r>
          </w:p>
        </w:tc>
        <w:tc>
          <w:tcPr>
            <w:tcW w:w="510" w:type="dxa"/>
            <w:shd w:val="clear" w:color="auto" w:fill="auto"/>
            <w:noWrap/>
            <w:vAlign w:val="bottom"/>
            <w:hideMark/>
          </w:tcPr>
          <w:p w14:paraId="27CF7BE4" w14:textId="2F38B44F" w:rsidR="00221DD4" w:rsidRPr="00F464FA" w:rsidRDefault="00221DD4" w:rsidP="005A1946">
            <w:pPr>
              <w:suppressAutoHyphens w:val="0"/>
              <w:spacing w:before="40" w:after="40" w:line="220" w:lineRule="exact"/>
              <w:ind w:right="113"/>
              <w:jc w:val="right"/>
              <w:rPr>
                <w:sz w:val="18"/>
              </w:rPr>
            </w:pPr>
            <w:r w:rsidRPr="00F464FA">
              <w:rPr>
                <w:sz w:val="18"/>
              </w:rPr>
              <w:t>17</w:t>
            </w:r>
          </w:p>
        </w:tc>
        <w:tc>
          <w:tcPr>
            <w:tcW w:w="511" w:type="dxa"/>
            <w:shd w:val="clear" w:color="auto" w:fill="auto"/>
            <w:noWrap/>
            <w:vAlign w:val="bottom"/>
            <w:hideMark/>
          </w:tcPr>
          <w:p w14:paraId="5DD0959F" w14:textId="2D69FE70" w:rsidR="00221DD4" w:rsidRPr="00F464FA" w:rsidRDefault="00221DD4" w:rsidP="005A1946">
            <w:pPr>
              <w:suppressAutoHyphens w:val="0"/>
              <w:spacing w:before="40" w:after="40" w:line="220" w:lineRule="exact"/>
              <w:ind w:right="113"/>
              <w:jc w:val="right"/>
              <w:rPr>
                <w:sz w:val="18"/>
              </w:rPr>
            </w:pPr>
            <w:r w:rsidRPr="00F464FA">
              <w:rPr>
                <w:sz w:val="18"/>
              </w:rPr>
              <w:t>8</w:t>
            </w:r>
          </w:p>
        </w:tc>
        <w:tc>
          <w:tcPr>
            <w:tcW w:w="853" w:type="dxa"/>
            <w:shd w:val="clear" w:color="auto" w:fill="auto"/>
            <w:noWrap/>
            <w:vAlign w:val="bottom"/>
            <w:hideMark/>
          </w:tcPr>
          <w:p w14:paraId="2608CCA8" w14:textId="5652C9F4" w:rsidR="00221DD4" w:rsidRPr="00F464FA" w:rsidRDefault="00221DD4" w:rsidP="005A1946">
            <w:pPr>
              <w:suppressAutoHyphens w:val="0"/>
              <w:spacing w:before="40" w:after="40" w:line="220" w:lineRule="exact"/>
              <w:ind w:right="113"/>
              <w:jc w:val="right"/>
              <w:rPr>
                <w:sz w:val="18"/>
              </w:rPr>
            </w:pPr>
            <w:r w:rsidRPr="00F464FA">
              <w:rPr>
                <w:sz w:val="18"/>
              </w:rPr>
              <w:t>−11</w:t>
            </w:r>
          </w:p>
        </w:tc>
        <w:tc>
          <w:tcPr>
            <w:tcW w:w="706" w:type="dxa"/>
            <w:shd w:val="clear" w:color="auto" w:fill="auto"/>
            <w:noWrap/>
            <w:vAlign w:val="bottom"/>
            <w:hideMark/>
          </w:tcPr>
          <w:p w14:paraId="3A9FFEFB" w14:textId="411A897B" w:rsidR="00221DD4" w:rsidRPr="00F464FA" w:rsidRDefault="00221DD4" w:rsidP="005A1946">
            <w:pPr>
              <w:suppressAutoHyphens w:val="0"/>
              <w:spacing w:before="40" w:after="40" w:line="220" w:lineRule="exact"/>
              <w:ind w:right="113"/>
              <w:jc w:val="right"/>
              <w:rPr>
                <w:sz w:val="18"/>
              </w:rPr>
            </w:pPr>
            <w:r w:rsidRPr="00F464FA">
              <w:rPr>
                <w:sz w:val="18"/>
              </w:rPr>
              <w:t>−57</w:t>
            </w:r>
          </w:p>
        </w:tc>
      </w:tr>
      <w:tr w:rsidR="00221DD4" w:rsidRPr="00F464FA" w14:paraId="7865E55F" w14:textId="77777777" w:rsidTr="005A1946">
        <w:tc>
          <w:tcPr>
            <w:tcW w:w="851" w:type="dxa"/>
            <w:vMerge w:val="restart"/>
            <w:shd w:val="clear" w:color="auto" w:fill="auto"/>
            <w:noWrap/>
            <w:hideMark/>
          </w:tcPr>
          <w:p w14:paraId="20EF6F57" w14:textId="2BD3976A" w:rsidR="00221DD4" w:rsidRPr="00F464FA" w:rsidRDefault="00221DD4" w:rsidP="005A1946">
            <w:pPr>
              <w:suppressAutoHyphens w:val="0"/>
              <w:spacing w:before="40" w:after="40" w:line="220" w:lineRule="exact"/>
              <w:ind w:right="113"/>
              <w:rPr>
                <w:sz w:val="18"/>
              </w:rPr>
            </w:pPr>
            <w:r w:rsidRPr="00F464FA">
              <w:rPr>
                <w:sz w:val="18"/>
              </w:rPr>
              <w:t>Education Level</w:t>
            </w:r>
            <w:r w:rsidR="001939E4" w:rsidRPr="00F464FA">
              <w:rPr>
                <w:sz w:val="18"/>
              </w:rPr>
              <w:t xml:space="preserve"> </w:t>
            </w:r>
          </w:p>
        </w:tc>
        <w:tc>
          <w:tcPr>
            <w:tcW w:w="992" w:type="dxa"/>
            <w:shd w:val="clear" w:color="auto" w:fill="auto"/>
            <w:noWrap/>
            <w:hideMark/>
          </w:tcPr>
          <w:p w14:paraId="1C8F10D5" w14:textId="7D7CEC20" w:rsidR="00221DD4" w:rsidRPr="00F464FA" w:rsidRDefault="00221DD4" w:rsidP="005A1946">
            <w:pPr>
              <w:suppressAutoHyphens w:val="0"/>
              <w:spacing w:before="40" w:after="40" w:line="220" w:lineRule="exact"/>
              <w:ind w:right="113"/>
              <w:rPr>
                <w:sz w:val="18"/>
              </w:rPr>
            </w:pPr>
            <w:r w:rsidRPr="00F464FA">
              <w:rPr>
                <w:sz w:val="18"/>
              </w:rPr>
              <w:t>None</w:t>
            </w:r>
            <w:r w:rsidR="001939E4" w:rsidRPr="00F464FA">
              <w:rPr>
                <w:sz w:val="18"/>
              </w:rPr>
              <w:t xml:space="preserve"> </w:t>
            </w:r>
          </w:p>
        </w:tc>
        <w:tc>
          <w:tcPr>
            <w:tcW w:w="510" w:type="dxa"/>
            <w:shd w:val="clear" w:color="auto" w:fill="auto"/>
            <w:noWrap/>
            <w:vAlign w:val="bottom"/>
            <w:hideMark/>
          </w:tcPr>
          <w:p w14:paraId="37858602" w14:textId="3219067B" w:rsidR="00221DD4" w:rsidRPr="00F464FA" w:rsidRDefault="00221DD4" w:rsidP="005A1946">
            <w:pPr>
              <w:suppressAutoHyphens w:val="0"/>
              <w:spacing w:before="40" w:after="40" w:line="220" w:lineRule="exact"/>
              <w:ind w:right="113"/>
              <w:jc w:val="right"/>
              <w:rPr>
                <w:sz w:val="18"/>
              </w:rPr>
            </w:pPr>
            <w:r w:rsidRPr="00F464FA">
              <w:rPr>
                <w:sz w:val="18"/>
              </w:rPr>
              <w:t>64</w:t>
            </w:r>
          </w:p>
        </w:tc>
        <w:tc>
          <w:tcPr>
            <w:tcW w:w="510" w:type="dxa"/>
            <w:shd w:val="clear" w:color="auto" w:fill="auto"/>
            <w:noWrap/>
            <w:vAlign w:val="bottom"/>
            <w:hideMark/>
          </w:tcPr>
          <w:p w14:paraId="1872D145" w14:textId="051A6B83" w:rsidR="00221DD4" w:rsidRPr="00F464FA" w:rsidRDefault="00221DD4" w:rsidP="005A1946">
            <w:pPr>
              <w:suppressAutoHyphens w:val="0"/>
              <w:spacing w:before="40" w:after="40" w:line="220" w:lineRule="exact"/>
              <w:ind w:right="113"/>
              <w:jc w:val="right"/>
              <w:rPr>
                <w:sz w:val="18"/>
              </w:rPr>
            </w:pPr>
            <w:r w:rsidRPr="00F464FA">
              <w:rPr>
                <w:sz w:val="18"/>
              </w:rPr>
              <w:t>59</w:t>
            </w:r>
          </w:p>
        </w:tc>
        <w:tc>
          <w:tcPr>
            <w:tcW w:w="510" w:type="dxa"/>
            <w:shd w:val="clear" w:color="auto" w:fill="auto"/>
            <w:noWrap/>
            <w:vAlign w:val="bottom"/>
            <w:hideMark/>
          </w:tcPr>
          <w:p w14:paraId="07D3160B" w14:textId="619B375C" w:rsidR="00221DD4" w:rsidRPr="00F464FA" w:rsidRDefault="00221DD4" w:rsidP="005A1946">
            <w:pPr>
              <w:suppressAutoHyphens w:val="0"/>
              <w:spacing w:before="40" w:after="40" w:line="220" w:lineRule="exact"/>
              <w:ind w:right="113"/>
              <w:jc w:val="right"/>
              <w:rPr>
                <w:sz w:val="18"/>
              </w:rPr>
            </w:pPr>
            <w:r w:rsidRPr="00F464FA">
              <w:rPr>
                <w:sz w:val="18"/>
              </w:rPr>
              <w:t>58</w:t>
            </w:r>
          </w:p>
        </w:tc>
        <w:tc>
          <w:tcPr>
            <w:tcW w:w="511" w:type="dxa"/>
            <w:shd w:val="clear" w:color="auto" w:fill="auto"/>
            <w:noWrap/>
            <w:vAlign w:val="bottom"/>
            <w:hideMark/>
          </w:tcPr>
          <w:p w14:paraId="48014C88" w14:textId="1AA7BC29" w:rsidR="00221DD4" w:rsidRPr="00F464FA" w:rsidRDefault="00221DD4" w:rsidP="005A1946">
            <w:pPr>
              <w:suppressAutoHyphens w:val="0"/>
              <w:spacing w:before="40" w:after="40" w:line="220" w:lineRule="exact"/>
              <w:ind w:right="113"/>
              <w:jc w:val="right"/>
              <w:rPr>
                <w:sz w:val="18"/>
              </w:rPr>
            </w:pPr>
            <w:r w:rsidRPr="00F464FA">
              <w:rPr>
                <w:sz w:val="18"/>
              </w:rPr>
              <w:t>55</w:t>
            </w:r>
          </w:p>
        </w:tc>
        <w:tc>
          <w:tcPr>
            <w:tcW w:w="510" w:type="dxa"/>
            <w:shd w:val="clear" w:color="auto" w:fill="auto"/>
            <w:noWrap/>
            <w:vAlign w:val="bottom"/>
            <w:hideMark/>
          </w:tcPr>
          <w:p w14:paraId="74E1E182" w14:textId="2FEA2E69" w:rsidR="00221DD4" w:rsidRPr="00F464FA" w:rsidRDefault="00221DD4" w:rsidP="005A1946">
            <w:pPr>
              <w:suppressAutoHyphens w:val="0"/>
              <w:spacing w:before="40" w:after="40" w:line="220" w:lineRule="exact"/>
              <w:ind w:right="113"/>
              <w:jc w:val="right"/>
              <w:rPr>
                <w:sz w:val="18"/>
              </w:rPr>
            </w:pPr>
            <w:r w:rsidRPr="00F464FA">
              <w:rPr>
                <w:sz w:val="18"/>
              </w:rPr>
              <w:t>45</w:t>
            </w:r>
          </w:p>
        </w:tc>
        <w:tc>
          <w:tcPr>
            <w:tcW w:w="510" w:type="dxa"/>
            <w:shd w:val="clear" w:color="auto" w:fill="auto"/>
            <w:noWrap/>
            <w:vAlign w:val="bottom"/>
            <w:hideMark/>
          </w:tcPr>
          <w:p w14:paraId="18952BD8" w14:textId="460350DB" w:rsidR="00221DD4" w:rsidRPr="00F464FA" w:rsidRDefault="00221DD4" w:rsidP="005A1946">
            <w:pPr>
              <w:suppressAutoHyphens w:val="0"/>
              <w:spacing w:before="40" w:after="40" w:line="220" w:lineRule="exact"/>
              <w:ind w:right="113"/>
              <w:jc w:val="right"/>
              <w:rPr>
                <w:sz w:val="18"/>
              </w:rPr>
            </w:pPr>
          </w:p>
        </w:tc>
        <w:tc>
          <w:tcPr>
            <w:tcW w:w="511" w:type="dxa"/>
            <w:shd w:val="clear" w:color="auto" w:fill="auto"/>
            <w:noWrap/>
            <w:vAlign w:val="bottom"/>
            <w:hideMark/>
          </w:tcPr>
          <w:p w14:paraId="2DBFBB70" w14:textId="0841ABD1" w:rsidR="00221DD4" w:rsidRPr="00F464FA" w:rsidRDefault="00221DD4" w:rsidP="005A1946">
            <w:pPr>
              <w:suppressAutoHyphens w:val="0"/>
              <w:spacing w:before="40" w:after="40" w:line="220" w:lineRule="exact"/>
              <w:ind w:right="113"/>
              <w:jc w:val="right"/>
              <w:rPr>
                <w:sz w:val="18"/>
              </w:rPr>
            </w:pPr>
            <w:r w:rsidRPr="00F464FA">
              <w:rPr>
                <w:sz w:val="18"/>
              </w:rPr>
              <w:t>50</w:t>
            </w:r>
          </w:p>
        </w:tc>
        <w:tc>
          <w:tcPr>
            <w:tcW w:w="510" w:type="dxa"/>
            <w:shd w:val="clear" w:color="auto" w:fill="auto"/>
            <w:noWrap/>
            <w:vAlign w:val="bottom"/>
            <w:hideMark/>
          </w:tcPr>
          <w:p w14:paraId="2F86737B" w14:textId="5A6924A0"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54090D93" w14:textId="0EAEF4B5" w:rsidR="00221DD4" w:rsidRPr="00F464FA" w:rsidRDefault="00221DD4" w:rsidP="005A1946">
            <w:pPr>
              <w:suppressAutoHyphens w:val="0"/>
              <w:spacing w:before="40" w:after="40" w:line="220" w:lineRule="exact"/>
              <w:ind w:right="113"/>
              <w:jc w:val="right"/>
              <w:rPr>
                <w:sz w:val="18"/>
              </w:rPr>
            </w:pPr>
            <w:r w:rsidRPr="00F464FA">
              <w:rPr>
                <w:sz w:val="18"/>
              </w:rPr>
              <w:t>42</w:t>
            </w:r>
          </w:p>
        </w:tc>
        <w:tc>
          <w:tcPr>
            <w:tcW w:w="511" w:type="dxa"/>
            <w:shd w:val="clear" w:color="auto" w:fill="auto"/>
            <w:noWrap/>
            <w:vAlign w:val="bottom"/>
            <w:hideMark/>
          </w:tcPr>
          <w:p w14:paraId="7A5A9CB6" w14:textId="68EE6A6A" w:rsidR="00221DD4" w:rsidRPr="00F464FA" w:rsidRDefault="00221DD4" w:rsidP="005A1946">
            <w:pPr>
              <w:suppressAutoHyphens w:val="0"/>
              <w:spacing w:before="40" w:after="40" w:line="220" w:lineRule="exact"/>
              <w:ind w:right="113"/>
              <w:jc w:val="right"/>
              <w:rPr>
                <w:sz w:val="18"/>
              </w:rPr>
            </w:pPr>
          </w:p>
        </w:tc>
        <w:tc>
          <w:tcPr>
            <w:tcW w:w="853" w:type="dxa"/>
            <w:shd w:val="clear" w:color="auto" w:fill="auto"/>
            <w:noWrap/>
            <w:vAlign w:val="bottom"/>
            <w:hideMark/>
          </w:tcPr>
          <w:p w14:paraId="013AE9EF" w14:textId="1D755A39" w:rsidR="00221DD4" w:rsidRPr="00F464FA" w:rsidRDefault="00221DD4" w:rsidP="005A1946">
            <w:pPr>
              <w:suppressAutoHyphens w:val="0"/>
              <w:spacing w:before="40" w:after="40" w:line="220" w:lineRule="exact"/>
              <w:ind w:right="113"/>
              <w:jc w:val="right"/>
              <w:rPr>
                <w:sz w:val="18"/>
              </w:rPr>
            </w:pPr>
            <w:r w:rsidRPr="00F464FA">
              <w:rPr>
                <w:sz w:val="18"/>
              </w:rPr>
              <w:t>−21</w:t>
            </w:r>
          </w:p>
        </w:tc>
        <w:tc>
          <w:tcPr>
            <w:tcW w:w="706" w:type="dxa"/>
            <w:shd w:val="clear" w:color="auto" w:fill="auto"/>
            <w:noWrap/>
            <w:vAlign w:val="bottom"/>
            <w:hideMark/>
          </w:tcPr>
          <w:p w14:paraId="4C2D1405" w14:textId="3A12FDE5" w:rsidR="00221DD4" w:rsidRPr="00F464FA" w:rsidRDefault="00221DD4" w:rsidP="005A1946">
            <w:pPr>
              <w:suppressAutoHyphens w:val="0"/>
              <w:spacing w:before="40" w:after="40" w:line="220" w:lineRule="exact"/>
              <w:ind w:right="113"/>
              <w:jc w:val="right"/>
              <w:rPr>
                <w:sz w:val="18"/>
              </w:rPr>
            </w:pPr>
            <w:r w:rsidRPr="00F464FA">
              <w:rPr>
                <w:sz w:val="18"/>
              </w:rPr>
              <w:t>−33</w:t>
            </w:r>
          </w:p>
        </w:tc>
      </w:tr>
      <w:tr w:rsidR="00221DD4" w:rsidRPr="00F464FA" w14:paraId="28989466" w14:textId="77777777" w:rsidTr="005A1946">
        <w:tc>
          <w:tcPr>
            <w:tcW w:w="851" w:type="dxa"/>
            <w:vMerge/>
            <w:shd w:val="clear" w:color="auto" w:fill="auto"/>
            <w:hideMark/>
          </w:tcPr>
          <w:p w14:paraId="781D65D8"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1AD904E2" w14:textId="6AF13D2B" w:rsidR="00221DD4" w:rsidRPr="00F464FA" w:rsidRDefault="00221DD4" w:rsidP="005A1946">
            <w:pPr>
              <w:suppressAutoHyphens w:val="0"/>
              <w:spacing w:before="40" w:after="40" w:line="220" w:lineRule="exact"/>
              <w:ind w:right="113"/>
              <w:rPr>
                <w:sz w:val="18"/>
              </w:rPr>
            </w:pPr>
            <w:r w:rsidRPr="00F464FA">
              <w:rPr>
                <w:sz w:val="18"/>
              </w:rPr>
              <w:t>Primary</w:t>
            </w:r>
            <w:r w:rsidR="001939E4" w:rsidRPr="00F464FA">
              <w:rPr>
                <w:sz w:val="18"/>
              </w:rPr>
              <w:t xml:space="preserve"> </w:t>
            </w:r>
          </w:p>
        </w:tc>
        <w:tc>
          <w:tcPr>
            <w:tcW w:w="510" w:type="dxa"/>
            <w:shd w:val="clear" w:color="auto" w:fill="auto"/>
            <w:noWrap/>
            <w:vAlign w:val="bottom"/>
            <w:hideMark/>
          </w:tcPr>
          <w:p w14:paraId="129D1DDB" w14:textId="05A31515" w:rsidR="00221DD4" w:rsidRPr="00F464FA" w:rsidRDefault="00221DD4" w:rsidP="005A1946">
            <w:pPr>
              <w:suppressAutoHyphens w:val="0"/>
              <w:spacing w:before="40" w:after="40" w:line="220" w:lineRule="exact"/>
              <w:ind w:right="113"/>
              <w:jc w:val="right"/>
              <w:rPr>
                <w:sz w:val="18"/>
              </w:rPr>
            </w:pPr>
            <w:r w:rsidRPr="00F464FA">
              <w:rPr>
                <w:sz w:val="18"/>
              </w:rPr>
              <w:t>58</w:t>
            </w:r>
          </w:p>
        </w:tc>
        <w:tc>
          <w:tcPr>
            <w:tcW w:w="510" w:type="dxa"/>
            <w:shd w:val="clear" w:color="auto" w:fill="auto"/>
            <w:noWrap/>
            <w:vAlign w:val="bottom"/>
            <w:hideMark/>
          </w:tcPr>
          <w:p w14:paraId="308F268A" w14:textId="5C6C86C4" w:rsidR="00221DD4" w:rsidRPr="00F464FA" w:rsidRDefault="00221DD4" w:rsidP="005A1946">
            <w:pPr>
              <w:suppressAutoHyphens w:val="0"/>
              <w:spacing w:before="40" w:after="40" w:line="220" w:lineRule="exact"/>
              <w:ind w:right="113"/>
              <w:jc w:val="right"/>
              <w:rPr>
                <w:sz w:val="18"/>
              </w:rPr>
            </w:pPr>
            <w:r w:rsidRPr="00F464FA">
              <w:rPr>
                <w:sz w:val="18"/>
              </w:rPr>
              <w:t>53</w:t>
            </w:r>
          </w:p>
        </w:tc>
        <w:tc>
          <w:tcPr>
            <w:tcW w:w="510" w:type="dxa"/>
            <w:shd w:val="clear" w:color="auto" w:fill="auto"/>
            <w:noWrap/>
            <w:vAlign w:val="bottom"/>
            <w:hideMark/>
          </w:tcPr>
          <w:p w14:paraId="7EC636A6" w14:textId="4A7AF9A0" w:rsidR="00221DD4" w:rsidRPr="00F464FA" w:rsidRDefault="00221DD4" w:rsidP="005A1946">
            <w:pPr>
              <w:suppressAutoHyphens w:val="0"/>
              <w:spacing w:before="40" w:after="40" w:line="220" w:lineRule="exact"/>
              <w:ind w:right="113"/>
              <w:jc w:val="right"/>
              <w:rPr>
                <w:sz w:val="18"/>
              </w:rPr>
            </w:pPr>
            <w:r w:rsidRPr="00F464FA">
              <w:rPr>
                <w:sz w:val="18"/>
              </w:rPr>
              <w:t>54</w:t>
            </w:r>
          </w:p>
        </w:tc>
        <w:tc>
          <w:tcPr>
            <w:tcW w:w="511" w:type="dxa"/>
            <w:shd w:val="clear" w:color="auto" w:fill="auto"/>
            <w:noWrap/>
            <w:vAlign w:val="bottom"/>
            <w:hideMark/>
          </w:tcPr>
          <w:p w14:paraId="152B7931" w14:textId="6AC74298" w:rsidR="00221DD4" w:rsidRPr="00F464FA" w:rsidRDefault="00221DD4" w:rsidP="005A1946">
            <w:pPr>
              <w:suppressAutoHyphens w:val="0"/>
              <w:spacing w:before="40" w:after="40" w:line="220" w:lineRule="exact"/>
              <w:ind w:right="113"/>
              <w:jc w:val="right"/>
              <w:rPr>
                <w:sz w:val="18"/>
              </w:rPr>
            </w:pPr>
            <w:r w:rsidRPr="00F464FA">
              <w:rPr>
                <w:sz w:val="18"/>
              </w:rPr>
              <w:t>51</w:t>
            </w:r>
          </w:p>
        </w:tc>
        <w:tc>
          <w:tcPr>
            <w:tcW w:w="510" w:type="dxa"/>
            <w:shd w:val="clear" w:color="auto" w:fill="auto"/>
            <w:noWrap/>
            <w:vAlign w:val="bottom"/>
            <w:hideMark/>
          </w:tcPr>
          <w:p w14:paraId="3FD4FC15" w14:textId="7952A864" w:rsidR="00221DD4" w:rsidRPr="00F464FA" w:rsidRDefault="00221DD4" w:rsidP="005A1946">
            <w:pPr>
              <w:suppressAutoHyphens w:val="0"/>
              <w:spacing w:before="40" w:after="40" w:line="220" w:lineRule="exact"/>
              <w:ind w:right="113"/>
              <w:jc w:val="right"/>
              <w:rPr>
                <w:sz w:val="18"/>
              </w:rPr>
            </w:pPr>
            <w:r w:rsidRPr="00F464FA">
              <w:rPr>
                <w:sz w:val="18"/>
              </w:rPr>
              <w:t>43</w:t>
            </w:r>
          </w:p>
        </w:tc>
        <w:tc>
          <w:tcPr>
            <w:tcW w:w="510" w:type="dxa"/>
            <w:shd w:val="clear" w:color="auto" w:fill="auto"/>
            <w:noWrap/>
            <w:vAlign w:val="bottom"/>
            <w:hideMark/>
          </w:tcPr>
          <w:p w14:paraId="68D77CB4" w14:textId="7313092C" w:rsidR="00221DD4" w:rsidRPr="00F464FA" w:rsidRDefault="00221DD4" w:rsidP="005A1946">
            <w:pPr>
              <w:suppressAutoHyphens w:val="0"/>
              <w:spacing w:before="40" w:after="40" w:line="220" w:lineRule="exact"/>
              <w:ind w:right="113"/>
              <w:jc w:val="right"/>
              <w:rPr>
                <w:sz w:val="18"/>
              </w:rPr>
            </w:pPr>
          </w:p>
        </w:tc>
        <w:tc>
          <w:tcPr>
            <w:tcW w:w="511" w:type="dxa"/>
            <w:shd w:val="clear" w:color="auto" w:fill="auto"/>
            <w:noWrap/>
            <w:vAlign w:val="bottom"/>
            <w:hideMark/>
          </w:tcPr>
          <w:p w14:paraId="2DD805BF" w14:textId="3C53DF23" w:rsidR="00221DD4" w:rsidRPr="00F464FA" w:rsidRDefault="00221DD4" w:rsidP="005A1946">
            <w:pPr>
              <w:suppressAutoHyphens w:val="0"/>
              <w:spacing w:before="40" w:after="40" w:line="220" w:lineRule="exact"/>
              <w:ind w:right="113"/>
              <w:jc w:val="right"/>
              <w:rPr>
                <w:sz w:val="18"/>
              </w:rPr>
            </w:pPr>
            <w:r w:rsidRPr="00F464FA">
              <w:rPr>
                <w:sz w:val="18"/>
              </w:rPr>
              <w:t>48</w:t>
            </w:r>
          </w:p>
        </w:tc>
        <w:tc>
          <w:tcPr>
            <w:tcW w:w="510" w:type="dxa"/>
            <w:shd w:val="clear" w:color="auto" w:fill="auto"/>
            <w:noWrap/>
            <w:vAlign w:val="bottom"/>
            <w:hideMark/>
          </w:tcPr>
          <w:p w14:paraId="536129A2" w14:textId="78A408D2"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noWrap/>
            <w:vAlign w:val="bottom"/>
            <w:hideMark/>
          </w:tcPr>
          <w:p w14:paraId="5186FD00" w14:textId="47F34897" w:rsidR="00221DD4" w:rsidRPr="00F464FA" w:rsidRDefault="00221DD4" w:rsidP="005A1946">
            <w:pPr>
              <w:suppressAutoHyphens w:val="0"/>
              <w:spacing w:before="40" w:after="40" w:line="220" w:lineRule="exact"/>
              <w:ind w:right="113"/>
              <w:jc w:val="right"/>
              <w:rPr>
                <w:sz w:val="18"/>
              </w:rPr>
            </w:pPr>
            <w:r w:rsidRPr="00F464FA">
              <w:rPr>
                <w:sz w:val="18"/>
              </w:rPr>
              <w:t>40</w:t>
            </w:r>
          </w:p>
        </w:tc>
        <w:tc>
          <w:tcPr>
            <w:tcW w:w="511" w:type="dxa"/>
            <w:shd w:val="clear" w:color="auto" w:fill="auto"/>
            <w:noWrap/>
            <w:vAlign w:val="bottom"/>
            <w:hideMark/>
          </w:tcPr>
          <w:p w14:paraId="42A4B7F9" w14:textId="5B349CB3" w:rsidR="00221DD4" w:rsidRPr="00F464FA" w:rsidRDefault="00221DD4" w:rsidP="005A1946">
            <w:pPr>
              <w:suppressAutoHyphens w:val="0"/>
              <w:spacing w:before="40" w:after="40" w:line="220" w:lineRule="exact"/>
              <w:ind w:right="113"/>
              <w:jc w:val="right"/>
              <w:rPr>
                <w:sz w:val="18"/>
              </w:rPr>
            </w:pPr>
          </w:p>
        </w:tc>
        <w:tc>
          <w:tcPr>
            <w:tcW w:w="853" w:type="dxa"/>
            <w:shd w:val="clear" w:color="auto" w:fill="auto"/>
            <w:noWrap/>
            <w:vAlign w:val="bottom"/>
            <w:hideMark/>
          </w:tcPr>
          <w:p w14:paraId="4432B688" w14:textId="0C6C62AF" w:rsidR="00221DD4" w:rsidRPr="00F464FA" w:rsidRDefault="00221DD4" w:rsidP="005A1946">
            <w:pPr>
              <w:suppressAutoHyphens w:val="0"/>
              <w:spacing w:before="40" w:after="40" w:line="220" w:lineRule="exact"/>
              <w:ind w:right="113"/>
              <w:jc w:val="right"/>
              <w:rPr>
                <w:sz w:val="18"/>
              </w:rPr>
            </w:pPr>
            <w:r w:rsidRPr="00F464FA">
              <w:rPr>
                <w:sz w:val="18"/>
              </w:rPr>
              <w:t>−18</w:t>
            </w:r>
          </w:p>
        </w:tc>
        <w:tc>
          <w:tcPr>
            <w:tcW w:w="706" w:type="dxa"/>
            <w:shd w:val="clear" w:color="auto" w:fill="auto"/>
            <w:noWrap/>
            <w:vAlign w:val="bottom"/>
            <w:hideMark/>
          </w:tcPr>
          <w:p w14:paraId="68914889" w14:textId="35129D61" w:rsidR="00221DD4" w:rsidRPr="00F464FA" w:rsidRDefault="00221DD4" w:rsidP="005A1946">
            <w:pPr>
              <w:suppressAutoHyphens w:val="0"/>
              <w:spacing w:before="40" w:after="40" w:line="220" w:lineRule="exact"/>
              <w:ind w:right="113"/>
              <w:jc w:val="right"/>
              <w:rPr>
                <w:sz w:val="18"/>
              </w:rPr>
            </w:pPr>
            <w:r w:rsidRPr="00F464FA">
              <w:rPr>
                <w:sz w:val="18"/>
              </w:rPr>
              <w:t>−31</w:t>
            </w:r>
          </w:p>
        </w:tc>
      </w:tr>
      <w:tr w:rsidR="00221DD4" w:rsidRPr="00F464FA" w14:paraId="01F84AFF" w14:textId="77777777" w:rsidTr="005A1946">
        <w:tc>
          <w:tcPr>
            <w:tcW w:w="851" w:type="dxa"/>
            <w:vMerge/>
            <w:shd w:val="clear" w:color="auto" w:fill="auto"/>
            <w:hideMark/>
          </w:tcPr>
          <w:p w14:paraId="0081E4BA" w14:textId="77777777" w:rsidR="00221DD4" w:rsidRPr="00F464FA" w:rsidRDefault="00221DD4" w:rsidP="005A1946">
            <w:pPr>
              <w:suppressAutoHyphens w:val="0"/>
              <w:spacing w:before="40" w:after="40" w:line="220" w:lineRule="exact"/>
              <w:ind w:right="113"/>
              <w:rPr>
                <w:sz w:val="18"/>
              </w:rPr>
            </w:pPr>
          </w:p>
        </w:tc>
        <w:tc>
          <w:tcPr>
            <w:tcW w:w="992" w:type="dxa"/>
            <w:shd w:val="clear" w:color="auto" w:fill="auto"/>
            <w:noWrap/>
            <w:hideMark/>
          </w:tcPr>
          <w:p w14:paraId="1230549E" w14:textId="7CCEBFA3" w:rsidR="00221DD4" w:rsidRPr="00F464FA" w:rsidRDefault="00221DD4" w:rsidP="005A1946">
            <w:pPr>
              <w:suppressAutoHyphens w:val="0"/>
              <w:spacing w:before="40" w:after="40" w:line="220" w:lineRule="exact"/>
              <w:ind w:right="113"/>
              <w:rPr>
                <w:sz w:val="18"/>
              </w:rPr>
            </w:pPr>
            <w:r w:rsidRPr="00F464FA">
              <w:rPr>
                <w:sz w:val="18"/>
              </w:rPr>
              <w:t>Secondary</w:t>
            </w:r>
            <w:r w:rsidR="001939E4" w:rsidRPr="00F464FA">
              <w:rPr>
                <w:sz w:val="18"/>
              </w:rPr>
              <w:t xml:space="preserve"> </w:t>
            </w:r>
          </w:p>
        </w:tc>
        <w:tc>
          <w:tcPr>
            <w:tcW w:w="510" w:type="dxa"/>
            <w:shd w:val="clear" w:color="auto" w:fill="auto"/>
            <w:noWrap/>
            <w:vAlign w:val="bottom"/>
            <w:hideMark/>
          </w:tcPr>
          <w:p w14:paraId="632AE8D8" w14:textId="262C68DB" w:rsidR="00221DD4" w:rsidRPr="00F464FA" w:rsidRDefault="00221DD4" w:rsidP="005A1946">
            <w:pPr>
              <w:suppressAutoHyphens w:val="0"/>
              <w:spacing w:before="40" w:after="40" w:line="220" w:lineRule="exact"/>
              <w:ind w:right="113"/>
              <w:jc w:val="right"/>
              <w:rPr>
                <w:sz w:val="18"/>
              </w:rPr>
            </w:pPr>
            <w:r w:rsidRPr="00F464FA">
              <w:rPr>
                <w:sz w:val="18"/>
              </w:rPr>
              <w:t>25</w:t>
            </w:r>
          </w:p>
        </w:tc>
        <w:tc>
          <w:tcPr>
            <w:tcW w:w="510" w:type="dxa"/>
            <w:shd w:val="clear" w:color="auto" w:fill="auto"/>
            <w:noWrap/>
            <w:vAlign w:val="bottom"/>
            <w:hideMark/>
          </w:tcPr>
          <w:p w14:paraId="00339BB3" w14:textId="10BF7280" w:rsidR="00221DD4" w:rsidRPr="00F464FA" w:rsidRDefault="00221DD4" w:rsidP="005A1946">
            <w:pPr>
              <w:suppressAutoHyphens w:val="0"/>
              <w:spacing w:before="40" w:after="40" w:line="220" w:lineRule="exact"/>
              <w:ind w:right="113"/>
              <w:jc w:val="right"/>
              <w:rPr>
                <w:sz w:val="18"/>
              </w:rPr>
            </w:pPr>
            <w:r w:rsidRPr="00F464FA">
              <w:rPr>
                <w:sz w:val="18"/>
              </w:rPr>
              <w:t>24</w:t>
            </w:r>
          </w:p>
        </w:tc>
        <w:tc>
          <w:tcPr>
            <w:tcW w:w="510" w:type="dxa"/>
            <w:shd w:val="clear" w:color="auto" w:fill="auto"/>
            <w:noWrap/>
            <w:vAlign w:val="bottom"/>
            <w:hideMark/>
          </w:tcPr>
          <w:p w14:paraId="56E8C924" w14:textId="1B986348" w:rsidR="00221DD4" w:rsidRPr="00F464FA" w:rsidRDefault="00221DD4" w:rsidP="005A1946">
            <w:pPr>
              <w:suppressAutoHyphens w:val="0"/>
              <w:spacing w:before="40" w:after="40" w:line="220" w:lineRule="exact"/>
              <w:ind w:right="113"/>
              <w:jc w:val="right"/>
              <w:rPr>
                <w:sz w:val="18"/>
              </w:rPr>
            </w:pPr>
            <w:r w:rsidRPr="00F464FA">
              <w:rPr>
                <w:sz w:val="18"/>
              </w:rPr>
              <w:t>28</w:t>
            </w:r>
          </w:p>
        </w:tc>
        <w:tc>
          <w:tcPr>
            <w:tcW w:w="511" w:type="dxa"/>
            <w:shd w:val="clear" w:color="auto" w:fill="auto"/>
            <w:noWrap/>
            <w:vAlign w:val="bottom"/>
            <w:hideMark/>
          </w:tcPr>
          <w:p w14:paraId="3B793CE0" w14:textId="40257F46" w:rsidR="00221DD4" w:rsidRPr="00F464FA" w:rsidRDefault="00221DD4" w:rsidP="005A1946">
            <w:pPr>
              <w:suppressAutoHyphens w:val="0"/>
              <w:spacing w:before="40" w:after="40" w:line="220" w:lineRule="exact"/>
              <w:ind w:right="113"/>
              <w:jc w:val="right"/>
              <w:rPr>
                <w:sz w:val="18"/>
              </w:rPr>
            </w:pPr>
            <w:r w:rsidRPr="00F464FA">
              <w:rPr>
                <w:sz w:val="18"/>
              </w:rPr>
              <w:t>31</w:t>
            </w:r>
          </w:p>
        </w:tc>
        <w:tc>
          <w:tcPr>
            <w:tcW w:w="510" w:type="dxa"/>
            <w:shd w:val="clear" w:color="auto" w:fill="auto"/>
            <w:noWrap/>
            <w:vAlign w:val="bottom"/>
            <w:hideMark/>
          </w:tcPr>
          <w:p w14:paraId="35213A96" w14:textId="79906A28" w:rsidR="00221DD4" w:rsidRPr="00F464FA" w:rsidRDefault="00221DD4" w:rsidP="005A1946">
            <w:pPr>
              <w:suppressAutoHyphens w:val="0"/>
              <w:spacing w:before="40" w:after="40" w:line="220" w:lineRule="exact"/>
              <w:ind w:right="113"/>
              <w:jc w:val="right"/>
              <w:rPr>
                <w:sz w:val="18"/>
              </w:rPr>
            </w:pPr>
            <w:r w:rsidRPr="00F464FA">
              <w:rPr>
                <w:sz w:val="18"/>
              </w:rPr>
              <w:t>24</w:t>
            </w:r>
          </w:p>
        </w:tc>
        <w:tc>
          <w:tcPr>
            <w:tcW w:w="510" w:type="dxa"/>
            <w:shd w:val="clear" w:color="auto" w:fill="auto"/>
            <w:vAlign w:val="bottom"/>
            <w:hideMark/>
          </w:tcPr>
          <w:p w14:paraId="56D164D5" w14:textId="77777777" w:rsidR="00221DD4" w:rsidRPr="00F464FA" w:rsidRDefault="00221DD4" w:rsidP="005A1946">
            <w:pPr>
              <w:suppressAutoHyphens w:val="0"/>
              <w:spacing w:before="40" w:after="40" w:line="220" w:lineRule="exact"/>
              <w:ind w:right="113"/>
              <w:jc w:val="right"/>
              <w:rPr>
                <w:sz w:val="18"/>
              </w:rPr>
            </w:pPr>
          </w:p>
        </w:tc>
        <w:tc>
          <w:tcPr>
            <w:tcW w:w="511" w:type="dxa"/>
            <w:shd w:val="clear" w:color="auto" w:fill="auto"/>
            <w:vAlign w:val="bottom"/>
            <w:hideMark/>
          </w:tcPr>
          <w:p w14:paraId="3A161F23" w14:textId="77777777"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vAlign w:val="bottom"/>
            <w:hideMark/>
          </w:tcPr>
          <w:p w14:paraId="7DB560CC" w14:textId="77777777" w:rsidR="00221DD4" w:rsidRPr="00F464FA" w:rsidRDefault="00221DD4" w:rsidP="005A1946">
            <w:pPr>
              <w:suppressAutoHyphens w:val="0"/>
              <w:spacing w:before="40" w:after="40" w:line="220" w:lineRule="exact"/>
              <w:ind w:right="113"/>
              <w:jc w:val="right"/>
              <w:rPr>
                <w:sz w:val="18"/>
              </w:rPr>
            </w:pPr>
          </w:p>
        </w:tc>
        <w:tc>
          <w:tcPr>
            <w:tcW w:w="510" w:type="dxa"/>
            <w:shd w:val="clear" w:color="auto" w:fill="auto"/>
            <w:vAlign w:val="bottom"/>
            <w:hideMark/>
          </w:tcPr>
          <w:p w14:paraId="324F5F35" w14:textId="77777777" w:rsidR="00221DD4" w:rsidRPr="00F464FA" w:rsidRDefault="00221DD4" w:rsidP="005A1946">
            <w:pPr>
              <w:suppressAutoHyphens w:val="0"/>
              <w:spacing w:before="40" w:after="40" w:line="220" w:lineRule="exact"/>
              <w:ind w:right="113"/>
              <w:jc w:val="right"/>
              <w:rPr>
                <w:sz w:val="18"/>
              </w:rPr>
            </w:pPr>
          </w:p>
        </w:tc>
        <w:tc>
          <w:tcPr>
            <w:tcW w:w="511" w:type="dxa"/>
            <w:shd w:val="clear" w:color="auto" w:fill="auto"/>
            <w:vAlign w:val="bottom"/>
            <w:hideMark/>
          </w:tcPr>
          <w:p w14:paraId="2A0439B7" w14:textId="77777777" w:rsidR="00221DD4" w:rsidRPr="00F464FA" w:rsidRDefault="00221DD4" w:rsidP="005A1946">
            <w:pPr>
              <w:suppressAutoHyphens w:val="0"/>
              <w:spacing w:before="40" w:after="40" w:line="220" w:lineRule="exact"/>
              <w:ind w:right="113"/>
              <w:jc w:val="right"/>
              <w:rPr>
                <w:sz w:val="18"/>
              </w:rPr>
            </w:pPr>
          </w:p>
        </w:tc>
        <w:tc>
          <w:tcPr>
            <w:tcW w:w="853" w:type="dxa"/>
            <w:shd w:val="clear" w:color="auto" w:fill="auto"/>
            <w:vAlign w:val="bottom"/>
            <w:hideMark/>
          </w:tcPr>
          <w:p w14:paraId="7F26E390" w14:textId="77777777" w:rsidR="00221DD4" w:rsidRPr="00F464FA" w:rsidRDefault="00221DD4" w:rsidP="005A1946">
            <w:pPr>
              <w:suppressAutoHyphens w:val="0"/>
              <w:spacing w:before="40" w:after="40" w:line="220" w:lineRule="exact"/>
              <w:ind w:right="113"/>
              <w:jc w:val="right"/>
              <w:rPr>
                <w:sz w:val="18"/>
              </w:rPr>
            </w:pPr>
          </w:p>
        </w:tc>
        <w:tc>
          <w:tcPr>
            <w:tcW w:w="706" w:type="dxa"/>
            <w:shd w:val="clear" w:color="auto" w:fill="auto"/>
            <w:vAlign w:val="bottom"/>
            <w:hideMark/>
          </w:tcPr>
          <w:p w14:paraId="11F51376" w14:textId="77777777" w:rsidR="00221DD4" w:rsidRPr="00F464FA" w:rsidRDefault="00221DD4" w:rsidP="005A1946">
            <w:pPr>
              <w:suppressAutoHyphens w:val="0"/>
              <w:spacing w:before="40" w:after="40" w:line="220" w:lineRule="exact"/>
              <w:ind w:right="113"/>
              <w:jc w:val="right"/>
              <w:rPr>
                <w:sz w:val="18"/>
              </w:rPr>
            </w:pPr>
          </w:p>
        </w:tc>
      </w:tr>
    </w:tbl>
    <w:p w14:paraId="2D61C3CC" w14:textId="6EAA549C" w:rsidR="00221DD4" w:rsidRPr="00F464FA" w:rsidRDefault="00221DD4" w:rsidP="00C21DD7">
      <w:pPr>
        <w:spacing w:before="120" w:after="240"/>
        <w:ind w:left="1134" w:right="1134" w:firstLine="170"/>
        <w:rPr>
          <w:sz w:val="18"/>
        </w:rPr>
      </w:pPr>
      <w:r w:rsidRPr="00F464FA">
        <w:rPr>
          <w:i/>
          <w:iCs/>
          <w:sz w:val="18"/>
        </w:rPr>
        <w:t>Source</w:t>
      </w:r>
      <w:r w:rsidR="00C21DD7" w:rsidRPr="00F464FA">
        <w:rPr>
          <w:i/>
          <w:iCs/>
          <w:sz w:val="18"/>
        </w:rPr>
        <w:t>:</w:t>
      </w:r>
      <w:r w:rsidRPr="00F464FA">
        <w:rPr>
          <w:sz w:val="18"/>
        </w:rPr>
        <w:t xml:space="preserve"> DHS, MICS</w:t>
      </w:r>
      <w:r w:rsidR="00640848" w:rsidRPr="00F464FA">
        <w:rPr>
          <w:sz w:val="18"/>
        </w:rPr>
        <w:t>.</w:t>
      </w:r>
    </w:p>
    <w:p w14:paraId="1AA13491" w14:textId="67E18FA1" w:rsidR="00221DD4" w:rsidRPr="00F464FA" w:rsidRDefault="00221DD4" w:rsidP="00221DD4">
      <w:pPr>
        <w:pStyle w:val="SingleTxtG"/>
        <w:spacing w:before="120"/>
      </w:pPr>
      <w:r w:rsidRPr="00F464FA">
        <w:t>108.</w:t>
      </w:r>
      <w:r w:rsidRPr="00F464FA">
        <w:tab/>
        <w:t>As Table 16 shows, access to drinking water has improved since 1992. This rise is attributed to various policies and programmes implemented by the Government in collaboration with development partners.</w:t>
      </w:r>
    </w:p>
    <w:p w14:paraId="356A65C9" w14:textId="54AAA2FB" w:rsidR="00221DD4" w:rsidRPr="00F464FA" w:rsidRDefault="0012684D" w:rsidP="00355030">
      <w:pPr>
        <w:pStyle w:val="H23G"/>
        <w:rPr>
          <w:lang w:val="en-GB"/>
        </w:rPr>
      </w:pPr>
      <w:r w:rsidRPr="00F464FA">
        <w:rPr>
          <w:lang w:val="en-GB"/>
        </w:rPr>
        <w:tab/>
      </w:r>
      <w:r w:rsidRPr="00F464FA">
        <w:rPr>
          <w:lang w:val="en-GB"/>
        </w:rPr>
        <w:tab/>
      </w:r>
      <w:r w:rsidR="00221DD4" w:rsidRPr="00F464FA">
        <w:rPr>
          <w:lang w:val="en-GB"/>
        </w:rPr>
        <w:t>The right to adequate housing</w:t>
      </w:r>
    </w:p>
    <w:p w14:paraId="4DCF91F5" w14:textId="77777777" w:rsidR="00221DD4" w:rsidRPr="00F464FA" w:rsidRDefault="00221DD4" w:rsidP="00221DD4">
      <w:pPr>
        <w:pStyle w:val="SingleTxtG"/>
      </w:pPr>
      <w:r w:rsidRPr="00F464FA">
        <w:t>109.</w:t>
      </w:r>
      <w:r w:rsidRPr="00F464FA">
        <w:tab/>
        <w:t xml:space="preserve">The Government of Malawi recognizes its obligation to ensure that the people of Malawi have access to decent and adequate housing. Adequate housing encompasses legal </w:t>
      </w:r>
      <w:r w:rsidRPr="00F464FA">
        <w:lastRenderedPageBreak/>
        <w:t xml:space="preserve">security of tenure, including protection against forced eviction; availability of services, materials, facilities and infrastructure, including access to safe drinking water and sanitation; affordability, including for the poorest, through housing subsidies, protection against unreasonable rent levels or rent increases; habitability, including protection from cold, damp, heat, rain, wind and disease vectors; accessibility for disadvantaged groups, including to the elderly, children, persons with disabilities, the terminally ill and victims of natural disasters; location, far from polluted sites or pollution sources but near to health-care, services, schools, child-care </w:t>
      </w:r>
      <w:proofErr w:type="spellStart"/>
      <w:r w:rsidRPr="00F464FA">
        <w:t>centers</w:t>
      </w:r>
      <w:proofErr w:type="spellEnd"/>
      <w:r w:rsidRPr="00F464FA">
        <w:t xml:space="preserve"> and other social facilities.</w:t>
      </w:r>
    </w:p>
    <w:p w14:paraId="2F1F37DA" w14:textId="53500B39" w:rsidR="00221DD4" w:rsidRPr="00F464FA" w:rsidRDefault="00221DD4" w:rsidP="001F4207">
      <w:pPr>
        <w:pStyle w:val="SingleTxtG"/>
        <w:spacing w:after="240"/>
      </w:pPr>
      <w:r w:rsidRPr="00F464FA">
        <w:t>110.</w:t>
      </w:r>
      <w:r w:rsidRPr="00F464FA">
        <w:tab/>
        <w:t>There were 4,805,431 housing units enumerated in the 2018 MPHC. Of these housing units, 41.1% were permanent, 23.0 % were semi-permanent and 35.9% were traditional. In the Northern Region, 53.9% of housing units were permanent, 26.3% were semi-permanent and 35.9% were traditional. For Central Region, 33.6% of housing units were permanent, 22.1% were semi-permanent and 44.3% were traditional. Southern Region had 45.1% permanent housing units, 23.1% semi-permanent and 31.8% traditional housing units.</w:t>
      </w:r>
    </w:p>
    <w:p w14:paraId="5BAE637C" w14:textId="4670C6FA" w:rsidR="00221DD4" w:rsidRPr="00F464FA" w:rsidRDefault="00221DD4" w:rsidP="00221DD4">
      <w:pPr>
        <w:pStyle w:val="Heading1"/>
      </w:pPr>
      <w:r w:rsidRPr="00F464FA">
        <w:t>Table 17</w:t>
      </w:r>
    </w:p>
    <w:p w14:paraId="4C2B7C37" w14:textId="40CB6D96" w:rsidR="00221DD4" w:rsidRPr="00F464FA" w:rsidRDefault="00221DD4" w:rsidP="00221DD4">
      <w:pPr>
        <w:pStyle w:val="SingleTxtG"/>
        <w:rPr>
          <w:b/>
        </w:rPr>
      </w:pPr>
      <w:r w:rsidRPr="00F464FA">
        <w:rPr>
          <w:b/>
        </w:rPr>
        <w:t>Type of housing units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44"/>
        <w:gridCol w:w="1025"/>
        <w:gridCol w:w="690"/>
        <w:gridCol w:w="913"/>
        <w:gridCol w:w="728"/>
        <w:gridCol w:w="1025"/>
        <w:gridCol w:w="765"/>
        <w:gridCol w:w="968"/>
        <w:gridCol w:w="747"/>
      </w:tblGrid>
      <w:tr w:rsidR="00AB14F0" w:rsidRPr="00F464FA" w14:paraId="4F100868" w14:textId="77777777" w:rsidTr="00360BF9">
        <w:trPr>
          <w:tblHeader/>
        </w:trPr>
        <w:tc>
          <w:tcPr>
            <w:tcW w:w="1644" w:type="dxa"/>
            <w:tcBorders>
              <w:top w:val="single" w:sz="4" w:space="0" w:color="auto"/>
              <w:bottom w:val="single" w:sz="4" w:space="0" w:color="auto"/>
            </w:tcBorders>
            <w:shd w:val="clear" w:color="auto" w:fill="auto"/>
            <w:vAlign w:val="bottom"/>
          </w:tcPr>
          <w:p w14:paraId="2F8DED76" w14:textId="4C8C568B" w:rsidR="00AB14F0" w:rsidRPr="00F464FA" w:rsidRDefault="00AB14F0" w:rsidP="00BA5A42">
            <w:pPr>
              <w:pStyle w:val="SingleTxtG"/>
              <w:tabs>
                <w:tab w:val="clear" w:pos="1701"/>
                <w:tab w:val="clear" w:pos="2268"/>
              </w:tabs>
              <w:suppressAutoHyphens w:val="0"/>
              <w:spacing w:before="80" w:after="80" w:line="200" w:lineRule="exact"/>
              <w:ind w:left="0" w:right="113"/>
              <w:jc w:val="left"/>
              <w:rPr>
                <w:i/>
                <w:sz w:val="16"/>
              </w:rPr>
            </w:pPr>
            <w:r w:rsidRPr="00F464FA">
              <w:rPr>
                <w:i/>
                <w:sz w:val="16"/>
              </w:rPr>
              <w:t>Type of Housing</w:t>
            </w:r>
          </w:p>
        </w:tc>
        <w:tc>
          <w:tcPr>
            <w:tcW w:w="1715" w:type="dxa"/>
            <w:gridSpan w:val="2"/>
            <w:tcBorders>
              <w:top w:val="single" w:sz="4" w:space="0" w:color="auto"/>
              <w:bottom w:val="single" w:sz="4" w:space="0" w:color="auto"/>
              <w:right w:val="single" w:sz="24" w:space="0" w:color="FFFFFF" w:themeColor="background1"/>
            </w:tcBorders>
            <w:shd w:val="clear" w:color="auto" w:fill="auto"/>
            <w:vAlign w:val="bottom"/>
          </w:tcPr>
          <w:p w14:paraId="6AB59E04" w14:textId="1D161F1A" w:rsidR="00AB14F0" w:rsidRPr="00F464FA" w:rsidRDefault="00AB14F0" w:rsidP="00AB14F0">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Malawi</w:t>
            </w:r>
          </w:p>
        </w:tc>
        <w:tc>
          <w:tcPr>
            <w:tcW w:w="164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47BED5F" w14:textId="77777777" w:rsidR="00AB14F0" w:rsidRPr="00F464FA" w:rsidRDefault="00AB14F0" w:rsidP="00AB14F0">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Northern Region</w:t>
            </w:r>
          </w:p>
        </w:tc>
        <w:tc>
          <w:tcPr>
            <w:tcW w:w="17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14E4143" w14:textId="77777777" w:rsidR="00AB14F0" w:rsidRPr="00F464FA" w:rsidRDefault="00AB14F0" w:rsidP="00AB14F0">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Central Region</w:t>
            </w:r>
          </w:p>
        </w:tc>
        <w:tc>
          <w:tcPr>
            <w:tcW w:w="1715" w:type="dxa"/>
            <w:gridSpan w:val="2"/>
            <w:tcBorders>
              <w:top w:val="single" w:sz="4" w:space="0" w:color="auto"/>
              <w:left w:val="single" w:sz="24" w:space="0" w:color="FFFFFF" w:themeColor="background1"/>
              <w:bottom w:val="single" w:sz="4" w:space="0" w:color="auto"/>
            </w:tcBorders>
            <w:shd w:val="clear" w:color="auto" w:fill="auto"/>
            <w:vAlign w:val="bottom"/>
          </w:tcPr>
          <w:p w14:paraId="222A6276" w14:textId="77777777" w:rsidR="00AB14F0" w:rsidRPr="00F464FA" w:rsidRDefault="00AB14F0" w:rsidP="00AB14F0">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Southern Region</w:t>
            </w:r>
          </w:p>
        </w:tc>
      </w:tr>
      <w:tr w:rsidR="00F82DD7" w:rsidRPr="00F464FA" w14:paraId="13F49DA9" w14:textId="77777777" w:rsidTr="00360BF9">
        <w:tc>
          <w:tcPr>
            <w:tcW w:w="1644" w:type="dxa"/>
            <w:tcBorders>
              <w:top w:val="single" w:sz="4" w:space="0" w:color="auto"/>
              <w:bottom w:val="single" w:sz="12" w:space="0" w:color="auto"/>
            </w:tcBorders>
            <w:shd w:val="clear" w:color="auto" w:fill="auto"/>
          </w:tcPr>
          <w:p w14:paraId="0E2859F8" w14:textId="5C60DB27" w:rsidR="00F82DD7" w:rsidRPr="00F464FA" w:rsidRDefault="00F82DD7" w:rsidP="00BA5A42">
            <w:pPr>
              <w:pStyle w:val="SingleTxtG"/>
              <w:tabs>
                <w:tab w:val="clear" w:pos="1701"/>
                <w:tab w:val="clear" w:pos="2268"/>
              </w:tabs>
              <w:suppressAutoHyphens w:val="0"/>
              <w:spacing w:before="80" w:after="80" w:line="200" w:lineRule="exact"/>
              <w:ind w:left="0" w:right="113"/>
              <w:jc w:val="left"/>
              <w:rPr>
                <w:i/>
                <w:sz w:val="16"/>
              </w:rPr>
            </w:pPr>
            <w:r w:rsidRPr="00F464FA">
              <w:rPr>
                <w:i/>
                <w:sz w:val="16"/>
              </w:rPr>
              <w:t>Units</w:t>
            </w:r>
          </w:p>
        </w:tc>
        <w:tc>
          <w:tcPr>
            <w:tcW w:w="1025" w:type="dxa"/>
            <w:tcBorders>
              <w:top w:val="single" w:sz="4" w:space="0" w:color="auto"/>
              <w:bottom w:val="single" w:sz="12" w:space="0" w:color="auto"/>
            </w:tcBorders>
            <w:shd w:val="clear" w:color="auto" w:fill="auto"/>
            <w:vAlign w:val="bottom"/>
          </w:tcPr>
          <w:p w14:paraId="3D102CF3"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690" w:type="dxa"/>
            <w:tcBorders>
              <w:top w:val="single" w:sz="4" w:space="0" w:color="auto"/>
              <w:bottom w:val="single" w:sz="12" w:space="0" w:color="auto"/>
              <w:right w:val="single" w:sz="24" w:space="0" w:color="FFFFFF" w:themeColor="background1"/>
            </w:tcBorders>
            <w:shd w:val="clear" w:color="auto" w:fill="auto"/>
            <w:vAlign w:val="bottom"/>
          </w:tcPr>
          <w:p w14:paraId="30994669"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Percent</w:t>
            </w:r>
          </w:p>
        </w:tc>
        <w:tc>
          <w:tcPr>
            <w:tcW w:w="913" w:type="dxa"/>
            <w:tcBorders>
              <w:top w:val="single" w:sz="4" w:space="0" w:color="auto"/>
              <w:left w:val="single" w:sz="24" w:space="0" w:color="FFFFFF" w:themeColor="background1"/>
              <w:bottom w:val="single" w:sz="12" w:space="0" w:color="auto"/>
            </w:tcBorders>
            <w:shd w:val="clear" w:color="auto" w:fill="auto"/>
            <w:vAlign w:val="bottom"/>
          </w:tcPr>
          <w:p w14:paraId="032F05B6"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728" w:type="dxa"/>
            <w:tcBorders>
              <w:top w:val="single" w:sz="4" w:space="0" w:color="auto"/>
              <w:bottom w:val="single" w:sz="12" w:space="0" w:color="auto"/>
              <w:right w:val="single" w:sz="24" w:space="0" w:color="FFFFFF" w:themeColor="background1"/>
            </w:tcBorders>
            <w:shd w:val="clear" w:color="auto" w:fill="auto"/>
            <w:vAlign w:val="bottom"/>
          </w:tcPr>
          <w:p w14:paraId="3DFAC93F"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Percent</w:t>
            </w:r>
          </w:p>
        </w:tc>
        <w:tc>
          <w:tcPr>
            <w:tcW w:w="1025" w:type="dxa"/>
            <w:tcBorders>
              <w:top w:val="single" w:sz="4" w:space="0" w:color="auto"/>
              <w:left w:val="single" w:sz="24" w:space="0" w:color="FFFFFF" w:themeColor="background1"/>
              <w:bottom w:val="single" w:sz="12" w:space="0" w:color="auto"/>
            </w:tcBorders>
            <w:shd w:val="clear" w:color="auto" w:fill="auto"/>
            <w:vAlign w:val="bottom"/>
          </w:tcPr>
          <w:p w14:paraId="59073D38"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765" w:type="dxa"/>
            <w:tcBorders>
              <w:top w:val="single" w:sz="4" w:space="0" w:color="auto"/>
              <w:bottom w:val="single" w:sz="12" w:space="0" w:color="auto"/>
              <w:right w:val="single" w:sz="24" w:space="0" w:color="FFFFFF" w:themeColor="background1"/>
            </w:tcBorders>
            <w:shd w:val="clear" w:color="auto" w:fill="auto"/>
            <w:vAlign w:val="bottom"/>
          </w:tcPr>
          <w:p w14:paraId="05C47B31"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Percent</w:t>
            </w:r>
          </w:p>
        </w:tc>
        <w:tc>
          <w:tcPr>
            <w:tcW w:w="968" w:type="dxa"/>
            <w:tcBorders>
              <w:top w:val="single" w:sz="4" w:space="0" w:color="auto"/>
              <w:left w:val="single" w:sz="24" w:space="0" w:color="FFFFFF" w:themeColor="background1"/>
              <w:bottom w:val="single" w:sz="12" w:space="0" w:color="auto"/>
            </w:tcBorders>
            <w:shd w:val="clear" w:color="auto" w:fill="auto"/>
            <w:vAlign w:val="bottom"/>
          </w:tcPr>
          <w:p w14:paraId="5DB6C537"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Number</w:t>
            </w:r>
          </w:p>
        </w:tc>
        <w:tc>
          <w:tcPr>
            <w:tcW w:w="747" w:type="dxa"/>
            <w:tcBorders>
              <w:top w:val="single" w:sz="4" w:space="0" w:color="auto"/>
              <w:bottom w:val="single" w:sz="12" w:space="0" w:color="auto"/>
            </w:tcBorders>
            <w:shd w:val="clear" w:color="auto" w:fill="auto"/>
            <w:vAlign w:val="bottom"/>
          </w:tcPr>
          <w:p w14:paraId="47B8B495" w14:textId="77777777" w:rsidR="00F82DD7" w:rsidRPr="00F464FA" w:rsidRDefault="00F82DD7" w:rsidP="00BA5A42">
            <w:pPr>
              <w:pStyle w:val="SingleTxtG"/>
              <w:tabs>
                <w:tab w:val="clear" w:pos="1701"/>
                <w:tab w:val="clear" w:pos="2268"/>
              </w:tabs>
              <w:suppressAutoHyphens w:val="0"/>
              <w:spacing w:before="80" w:after="80" w:line="200" w:lineRule="exact"/>
              <w:ind w:left="0" w:right="113"/>
              <w:jc w:val="right"/>
              <w:rPr>
                <w:i/>
                <w:sz w:val="16"/>
              </w:rPr>
            </w:pPr>
            <w:r w:rsidRPr="00F464FA">
              <w:rPr>
                <w:i/>
                <w:sz w:val="16"/>
              </w:rPr>
              <w:t>Percent</w:t>
            </w:r>
          </w:p>
        </w:tc>
      </w:tr>
      <w:tr w:rsidR="00221DD4" w:rsidRPr="00F464FA" w14:paraId="090BCEAB" w14:textId="77777777" w:rsidTr="00AB14F0">
        <w:tc>
          <w:tcPr>
            <w:tcW w:w="1644" w:type="dxa"/>
            <w:tcBorders>
              <w:top w:val="single" w:sz="12" w:space="0" w:color="auto"/>
            </w:tcBorders>
            <w:shd w:val="clear" w:color="auto" w:fill="auto"/>
          </w:tcPr>
          <w:p w14:paraId="2A511498"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left"/>
              <w:rPr>
                <w:sz w:val="18"/>
              </w:rPr>
            </w:pPr>
            <w:r w:rsidRPr="00F464FA">
              <w:rPr>
                <w:sz w:val="18"/>
              </w:rPr>
              <w:t>Total Housing Units</w:t>
            </w:r>
          </w:p>
        </w:tc>
        <w:tc>
          <w:tcPr>
            <w:tcW w:w="1025" w:type="dxa"/>
            <w:tcBorders>
              <w:top w:val="single" w:sz="12" w:space="0" w:color="auto"/>
            </w:tcBorders>
            <w:shd w:val="clear" w:color="auto" w:fill="auto"/>
            <w:vAlign w:val="bottom"/>
          </w:tcPr>
          <w:p w14:paraId="038FC78A" w14:textId="3CDB873F"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4</w:t>
            </w:r>
            <w:r w:rsidR="00BA5A42" w:rsidRPr="00F464FA">
              <w:rPr>
                <w:sz w:val="18"/>
              </w:rPr>
              <w:t xml:space="preserve"> </w:t>
            </w:r>
            <w:r w:rsidRPr="00F464FA">
              <w:rPr>
                <w:sz w:val="18"/>
              </w:rPr>
              <w:t>805</w:t>
            </w:r>
            <w:r w:rsidR="00BA5A42" w:rsidRPr="00F464FA">
              <w:rPr>
                <w:sz w:val="18"/>
              </w:rPr>
              <w:t xml:space="preserve"> </w:t>
            </w:r>
            <w:r w:rsidRPr="00F464FA">
              <w:rPr>
                <w:sz w:val="18"/>
              </w:rPr>
              <w:t>431</w:t>
            </w:r>
          </w:p>
        </w:tc>
        <w:tc>
          <w:tcPr>
            <w:tcW w:w="690" w:type="dxa"/>
            <w:tcBorders>
              <w:top w:val="single" w:sz="12" w:space="0" w:color="auto"/>
            </w:tcBorders>
            <w:shd w:val="clear" w:color="auto" w:fill="auto"/>
            <w:vAlign w:val="bottom"/>
          </w:tcPr>
          <w:p w14:paraId="3DE6B513"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100.0</w:t>
            </w:r>
          </w:p>
        </w:tc>
        <w:tc>
          <w:tcPr>
            <w:tcW w:w="913" w:type="dxa"/>
            <w:tcBorders>
              <w:top w:val="single" w:sz="12" w:space="0" w:color="auto"/>
            </w:tcBorders>
            <w:shd w:val="clear" w:color="auto" w:fill="auto"/>
            <w:vAlign w:val="bottom"/>
          </w:tcPr>
          <w:p w14:paraId="56BD7FBB" w14:textId="539F0541"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565</w:t>
            </w:r>
            <w:r w:rsidR="00BA5A42" w:rsidRPr="00F464FA">
              <w:rPr>
                <w:sz w:val="18"/>
              </w:rPr>
              <w:t xml:space="preserve"> </w:t>
            </w:r>
            <w:r w:rsidRPr="00F464FA">
              <w:rPr>
                <w:sz w:val="18"/>
              </w:rPr>
              <w:t>331</w:t>
            </w:r>
          </w:p>
        </w:tc>
        <w:tc>
          <w:tcPr>
            <w:tcW w:w="728" w:type="dxa"/>
            <w:tcBorders>
              <w:top w:val="single" w:sz="12" w:space="0" w:color="auto"/>
            </w:tcBorders>
            <w:shd w:val="clear" w:color="auto" w:fill="auto"/>
            <w:vAlign w:val="bottom"/>
          </w:tcPr>
          <w:p w14:paraId="3ED9FD01"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100.0</w:t>
            </w:r>
          </w:p>
        </w:tc>
        <w:tc>
          <w:tcPr>
            <w:tcW w:w="1025" w:type="dxa"/>
            <w:tcBorders>
              <w:top w:val="single" w:sz="12" w:space="0" w:color="auto"/>
            </w:tcBorders>
            <w:shd w:val="clear" w:color="auto" w:fill="auto"/>
            <w:vAlign w:val="bottom"/>
          </w:tcPr>
          <w:p w14:paraId="4BCBE18F" w14:textId="33B37EF4"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2</w:t>
            </w:r>
            <w:r w:rsidR="00BA5A42" w:rsidRPr="00F464FA">
              <w:rPr>
                <w:sz w:val="18"/>
              </w:rPr>
              <w:t xml:space="preserve"> </w:t>
            </w:r>
            <w:r w:rsidRPr="00F464FA">
              <w:rPr>
                <w:sz w:val="18"/>
              </w:rPr>
              <w:t>098</w:t>
            </w:r>
            <w:r w:rsidR="00BA5A42" w:rsidRPr="00F464FA">
              <w:rPr>
                <w:sz w:val="18"/>
              </w:rPr>
              <w:t xml:space="preserve"> </w:t>
            </w:r>
            <w:r w:rsidRPr="00F464FA">
              <w:rPr>
                <w:sz w:val="18"/>
              </w:rPr>
              <w:t>353</w:t>
            </w:r>
          </w:p>
        </w:tc>
        <w:tc>
          <w:tcPr>
            <w:tcW w:w="765" w:type="dxa"/>
            <w:tcBorders>
              <w:top w:val="single" w:sz="12" w:space="0" w:color="auto"/>
            </w:tcBorders>
            <w:shd w:val="clear" w:color="auto" w:fill="auto"/>
            <w:vAlign w:val="bottom"/>
          </w:tcPr>
          <w:p w14:paraId="67990EC0"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100.0</w:t>
            </w:r>
          </w:p>
        </w:tc>
        <w:tc>
          <w:tcPr>
            <w:tcW w:w="968" w:type="dxa"/>
            <w:tcBorders>
              <w:top w:val="single" w:sz="12" w:space="0" w:color="auto"/>
            </w:tcBorders>
            <w:shd w:val="clear" w:color="auto" w:fill="auto"/>
            <w:vAlign w:val="bottom"/>
          </w:tcPr>
          <w:p w14:paraId="75D7D9DA" w14:textId="37D6369D"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2</w:t>
            </w:r>
            <w:r w:rsidR="00BA5A42" w:rsidRPr="00F464FA">
              <w:rPr>
                <w:sz w:val="18"/>
              </w:rPr>
              <w:t xml:space="preserve"> </w:t>
            </w:r>
            <w:r w:rsidRPr="00F464FA">
              <w:rPr>
                <w:sz w:val="18"/>
              </w:rPr>
              <w:t>141</w:t>
            </w:r>
            <w:r w:rsidR="00BA5A42" w:rsidRPr="00F464FA">
              <w:rPr>
                <w:sz w:val="18"/>
              </w:rPr>
              <w:t xml:space="preserve"> </w:t>
            </w:r>
            <w:r w:rsidRPr="00F464FA">
              <w:rPr>
                <w:sz w:val="18"/>
              </w:rPr>
              <w:t>747</w:t>
            </w:r>
          </w:p>
        </w:tc>
        <w:tc>
          <w:tcPr>
            <w:tcW w:w="747" w:type="dxa"/>
            <w:tcBorders>
              <w:top w:val="single" w:sz="12" w:space="0" w:color="auto"/>
            </w:tcBorders>
            <w:shd w:val="clear" w:color="auto" w:fill="auto"/>
            <w:vAlign w:val="bottom"/>
          </w:tcPr>
          <w:p w14:paraId="74CD74EE"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100.0</w:t>
            </w:r>
          </w:p>
        </w:tc>
      </w:tr>
      <w:tr w:rsidR="00221DD4" w:rsidRPr="00F464FA" w14:paraId="2672390A" w14:textId="77777777" w:rsidTr="00AB14F0">
        <w:tc>
          <w:tcPr>
            <w:tcW w:w="1644" w:type="dxa"/>
            <w:shd w:val="clear" w:color="auto" w:fill="auto"/>
          </w:tcPr>
          <w:p w14:paraId="25042182"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left"/>
              <w:rPr>
                <w:sz w:val="18"/>
              </w:rPr>
            </w:pPr>
            <w:r w:rsidRPr="00F464FA">
              <w:rPr>
                <w:sz w:val="18"/>
              </w:rPr>
              <w:t>Permanent</w:t>
            </w:r>
          </w:p>
        </w:tc>
        <w:tc>
          <w:tcPr>
            <w:tcW w:w="1025" w:type="dxa"/>
            <w:shd w:val="clear" w:color="auto" w:fill="auto"/>
            <w:vAlign w:val="bottom"/>
          </w:tcPr>
          <w:p w14:paraId="2A863239" w14:textId="6ABB2343"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BA5A42" w:rsidRPr="00F464FA">
              <w:rPr>
                <w:sz w:val="18"/>
              </w:rPr>
              <w:t xml:space="preserve"> </w:t>
            </w:r>
            <w:r w:rsidRPr="00F464FA">
              <w:rPr>
                <w:sz w:val="18"/>
              </w:rPr>
              <w:t>974</w:t>
            </w:r>
            <w:r w:rsidR="00BA5A42" w:rsidRPr="00F464FA">
              <w:rPr>
                <w:sz w:val="18"/>
              </w:rPr>
              <w:t xml:space="preserve"> </w:t>
            </w:r>
            <w:r w:rsidRPr="00F464FA">
              <w:rPr>
                <w:sz w:val="18"/>
              </w:rPr>
              <w:t>613</w:t>
            </w:r>
          </w:p>
        </w:tc>
        <w:tc>
          <w:tcPr>
            <w:tcW w:w="690" w:type="dxa"/>
            <w:shd w:val="clear" w:color="auto" w:fill="auto"/>
            <w:vAlign w:val="bottom"/>
          </w:tcPr>
          <w:p w14:paraId="79417ECF"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41.1</w:t>
            </w:r>
          </w:p>
        </w:tc>
        <w:tc>
          <w:tcPr>
            <w:tcW w:w="913" w:type="dxa"/>
            <w:shd w:val="clear" w:color="auto" w:fill="auto"/>
            <w:vAlign w:val="bottom"/>
          </w:tcPr>
          <w:p w14:paraId="60AABDB0" w14:textId="6FCD6E28"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304</w:t>
            </w:r>
            <w:r w:rsidR="00BA5A42" w:rsidRPr="00F464FA">
              <w:rPr>
                <w:sz w:val="18"/>
              </w:rPr>
              <w:t xml:space="preserve"> </w:t>
            </w:r>
            <w:r w:rsidRPr="00F464FA">
              <w:rPr>
                <w:sz w:val="18"/>
              </w:rPr>
              <w:t>588</w:t>
            </w:r>
          </w:p>
        </w:tc>
        <w:tc>
          <w:tcPr>
            <w:tcW w:w="728" w:type="dxa"/>
            <w:shd w:val="clear" w:color="auto" w:fill="auto"/>
            <w:vAlign w:val="bottom"/>
          </w:tcPr>
          <w:p w14:paraId="113BF7C2"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53.9</w:t>
            </w:r>
          </w:p>
        </w:tc>
        <w:tc>
          <w:tcPr>
            <w:tcW w:w="1025" w:type="dxa"/>
            <w:shd w:val="clear" w:color="auto" w:fill="auto"/>
            <w:vAlign w:val="bottom"/>
          </w:tcPr>
          <w:p w14:paraId="449C99C1" w14:textId="47F3FA14"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704</w:t>
            </w:r>
            <w:r w:rsidR="00BA5A42" w:rsidRPr="00F464FA">
              <w:rPr>
                <w:sz w:val="18"/>
              </w:rPr>
              <w:t xml:space="preserve"> </w:t>
            </w:r>
            <w:r w:rsidRPr="00F464FA">
              <w:rPr>
                <w:sz w:val="18"/>
              </w:rPr>
              <w:t>277</w:t>
            </w:r>
          </w:p>
        </w:tc>
        <w:tc>
          <w:tcPr>
            <w:tcW w:w="765" w:type="dxa"/>
            <w:shd w:val="clear" w:color="auto" w:fill="auto"/>
            <w:vAlign w:val="bottom"/>
          </w:tcPr>
          <w:p w14:paraId="46C35781"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33.6</w:t>
            </w:r>
          </w:p>
        </w:tc>
        <w:tc>
          <w:tcPr>
            <w:tcW w:w="968" w:type="dxa"/>
            <w:shd w:val="clear" w:color="auto" w:fill="auto"/>
            <w:vAlign w:val="bottom"/>
          </w:tcPr>
          <w:p w14:paraId="4F00DA43" w14:textId="70AAFFA3"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965</w:t>
            </w:r>
            <w:r w:rsidR="00BA5A42" w:rsidRPr="00F464FA">
              <w:rPr>
                <w:sz w:val="18"/>
              </w:rPr>
              <w:t xml:space="preserve"> </w:t>
            </w:r>
            <w:r w:rsidRPr="00F464FA">
              <w:rPr>
                <w:sz w:val="18"/>
              </w:rPr>
              <w:t>748</w:t>
            </w:r>
          </w:p>
        </w:tc>
        <w:tc>
          <w:tcPr>
            <w:tcW w:w="747" w:type="dxa"/>
            <w:shd w:val="clear" w:color="auto" w:fill="auto"/>
            <w:vAlign w:val="bottom"/>
          </w:tcPr>
          <w:p w14:paraId="6EC2137B"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45.1</w:t>
            </w:r>
          </w:p>
        </w:tc>
      </w:tr>
      <w:tr w:rsidR="00221DD4" w:rsidRPr="00F464FA" w14:paraId="4055BB87" w14:textId="77777777" w:rsidTr="00AB14F0">
        <w:tc>
          <w:tcPr>
            <w:tcW w:w="1644" w:type="dxa"/>
            <w:shd w:val="clear" w:color="auto" w:fill="auto"/>
          </w:tcPr>
          <w:p w14:paraId="07030915"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left"/>
              <w:rPr>
                <w:sz w:val="18"/>
              </w:rPr>
            </w:pPr>
            <w:r w:rsidRPr="00F464FA">
              <w:rPr>
                <w:sz w:val="18"/>
              </w:rPr>
              <w:t>Semi-permanent</w:t>
            </w:r>
          </w:p>
        </w:tc>
        <w:tc>
          <w:tcPr>
            <w:tcW w:w="1025" w:type="dxa"/>
            <w:shd w:val="clear" w:color="auto" w:fill="auto"/>
            <w:vAlign w:val="bottom"/>
          </w:tcPr>
          <w:p w14:paraId="1A8012F1" w14:textId="206F132E"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BA5A42" w:rsidRPr="00F464FA">
              <w:rPr>
                <w:sz w:val="18"/>
              </w:rPr>
              <w:t xml:space="preserve"> </w:t>
            </w:r>
            <w:r w:rsidRPr="00F464FA">
              <w:rPr>
                <w:sz w:val="18"/>
              </w:rPr>
              <w:t>107</w:t>
            </w:r>
            <w:r w:rsidR="00BA5A42" w:rsidRPr="00F464FA">
              <w:rPr>
                <w:sz w:val="18"/>
              </w:rPr>
              <w:t xml:space="preserve"> </w:t>
            </w:r>
            <w:r w:rsidRPr="00F464FA">
              <w:rPr>
                <w:sz w:val="18"/>
              </w:rPr>
              <w:t>447</w:t>
            </w:r>
          </w:p>
        </w:tc>
        <w:tc>
          <w:tcPr>
            <w:tcW w:w="690" w:type="dxa"/>
            <w:shd w:val="clear" w:color="auto" w:fill="auto"/>
            <w:vAlign w:val="bottom"/>
          </w:tcPr>
          <w:p w14:paraId="3E6376C0"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23.0</w:t>
            </w:r>
          </w:p>
        </w:tc>
        <w:tc>
          <w:tcPr>
            <w:tcW w:w="913" w:type="dxa"/>
            <w:shd w:val="clear" w:color="auto" w:fill="auto"/>
            <w:vAlign w:val="bottom"/>
          </w:tcPr>
          <w:p w14:paraId="08CF7D5E" w14:textId="7F5E01D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148</w:t>
            </w:r>
            <w:r w:rsidR="00BA5A42" w:rsidRPr="00F464FA">
              <w:rPr>
                <w:sz w:val="18"/>
              </w:rPr>
              <w:t xml:space="preserve"> </w:t>
            </w:r>
            <w:r w:rsidRPr="00F464FA">
              <w:rPr>
                <w:sz w:val="18"/>
              </w:rPr>
              <w:t>691</w:t>
            </w:r>
          </w:p>
        </w:tc>
        <w:tc>
          <w:tcPr>
            <w:tcW w:w="728" w:type="dxa"/>
            <w:shd w:val="clear" w:color="auto" w:fill="auto"/>
            <w:vAlign w:val="bottom"/>
          </w:tcPr>
          <w:p w14:paraId="1B093BEB"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26.3</w:t>
            </w:r>
          </w:p>
        </w:tc>
        <w:tc>
          <w:tcPr>
            <w:tcW w:w="1025" w:type="dxa"/>
            <w:shd w:val="clear" w:color="auto" w:fill="auto"/>
            <w:vAlign w:val="bottom"/>
          </w:tcPr>
          <w:p w14:paraId="4C4C65C3" w14:textId="542E8E61"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463</w:t>
            </w:r>
            <w:r w:rsidR="00BA5A42" w:rsidRPr="00F464FA">
              <w:rPr>
                <w:sz w:val="18"/>
              </w:rPr>
              <w:t xml:space="preserve"> </w:t>
            </w:r>
            <w:r w:rsidRPr="00F464FA">
              <w:rPr>
                <w:sz w:val="18"/>
              </w:rPr>
              <w:t>829</w:t>
            </w:r>
          </w:p>
        </w:tc>
        <w:tc>
          <w:tcPr>
            <w:tcW w:w="765" w:type="dxa"/>
            <w:shd w:val="clear" w:color="auto" w:fill="auto"/>
            <w:vAlign w:val="bottom"/>
          </w:tcPr>
          <w:p w14:paraId="29E8B6F1"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22.1</w:t>
            </w:r>
          </w:p>
        </w:tc>
        <w:tc>
          <w:tcPr>
            <w:tcW w:w="968" w:type="dxa"/>
            <w:shd w:val="clear" w:color="auto" w:fill="auto"/>
            <w:vAlign w:val="bottom"/>
          </w:tcPr>
          <w:p w14:paraId="5FBF11DE" w14:textId="6DE76822"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494</w:t>
            </w:r>
            <w:r w:rsidR="00BA5A42" w:rsidRPr="00F464FA">
              <w:rPr>
                <w:sz w:val="18"/>
              </w:rPr>
              <w:t xml:space="preserve"> </w:t>
            </w:r>
            <w:r w:rsidRPr="00F464FA">
              <w:rPr>
                <w:sz w:val="18"/>
              </w:rPr>
              <w:t>927</w:t>
            </w:r>
          </w:p>
        </w:tc>
        <w:tc>
          <w:tcPr>
            <w:tcW w:w="747" w:type="dxa"/>
            <w:shd w:val="clear" w:color="auto" w:fill="auto"/>
            <w:vAlign w:val="bottom"/>
          </w:tcPr>
          <w:p w14:paraId="401D5514"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23.1</w:t>
            </w:r>
          </w:p>
        </w:tc>
      </w:tr>
      <w:tr w:rsidR="00221DD4" w:rsidRPr="00F464FA" w14:paraId="49460D24" w14:textId="77777777" w:rsidTr="00AB14F0">
        <w:tc>
          <w:tcPr>
            <w:tcW w:w="1644" w:type="dxa"/>
            <w:shd w:val="clear" w:color="auto" w:fill="auto"/>
          </w:tcPr>
          <w:p w14:paraId="34080D06"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left"/>
              <w:rPr>
                <w:sz w:val="18"/>
              </w:rPr>
            </w:pPr>
            <w:r w:rsidRPr="00F464FA">
              <w:rPr>
                <w:sz w:val="18"/>
              </w:rPr>
              <w:t>Traditional</w:t>
            </w:r>
          </w:p>
        </w:tc>
        <w:tc>
          <w:tcPr>
            <w:tcW w:w="1025" w:type="dxa"/>
            <w:shd w:val="clear" w:color="auto" w:fill="auto"/>
            <w:vAlign w:val="bottom"/>
          </w:tcPr>
          <w:p w14:paraId="33E876FF" w14:textId="0132CB1D"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w:t>
            </w:r>
            <w:r w:rsidR="00BA5A42" w:rsidRPr="00F464FA">
              <w:rPr>
                <w:sz w:val="18"/>
              </w:rPr>
              <w:t xml:space="preserve"> </w:t>
            </w:r>
            <w:r w:rsidRPr="00F464FA">
              <w:rPr>
                <w:sz w:val="18"/>
              </w:rPr>
              <w:t>723</w:t>
            </w:r>
            <w:r w:rsidR="00BA5A42" w:rsidRPr="00F464FA">
              <w:rPr>
                <w:sz w:val="18"/>
              </w:rPr>
              <w:t xml:space="preserve"> </w:t>
            </w:r>
            <w:r w:rsidRPr="00F464FA">
              <w:rPr>
                <w:sz w:val="18"/>
              </w:rPr>
              <w:t>371</w:t>
            </w:r>
          </w:p>
        </w:tc>
        <w:tc>
          <w:tcPr>
            <w:tcW w:w="690" w:type="dxa"/>
            <w:shd w:val="clear" w:color="auto" w:fill="auto"/>
            <w:vAlign w:val="bottom"/>
          </w:tcPr>
          <w:p w14:paraId="7829E9FA"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35.9</w:t>
            </w:r>
          </w:p>
        </w:tc>
        <w:tc>
          <w:tcPr>
            <w:tcW w:w="913" w:type="dxa"/>
            <w:shd w:val="clear" w:color="auto" w:fill="auto"/>
            <w:vAlign w:val="bottom"/>
          </w:tcPr>
          <w:p w14:paraId="7B0217C0" w14:textId="5FCF4C5A"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112</w:t>
            </w:r>
            <w:r w:rsidR="00BA5A42" w:rsidRPr="00F464FA">
              <w:rPr>
                <w:sz w:val="18"/>
              </w:rPr>
              <w:t xml:space="preserve"> </w:t>
            </w:r>
            <w:r w:rsidRPr="00F464FA">
              <w:rPr>
                <w:sz w:val="18"/>
              </w:rPr>
              <w:t>052</w:t>
            </w:r>
          </w:p>
        </w:tc>
        <w:tc>
          <w:tcPr>
            <w:tcW w:w="728" w:type="dxa"/>
            <w:shd w:val="clear" w:color="auto" w:fill="auto"/>
            <w:vAlign w:val="bottom"/>
          </w:tcPr>
          <w:p w14:paraId="1A560B60"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19.8</w:t>
            </w:r>
          </w:p>
        </w:tc>
        <w:tc>
          <w:tcPr>
            <w:tcW w:w="1025" w:type="dxa"/>
            <w:shd w:val="clear" w:color="auto" w:fill="auto"/>
            <w:vAlign w:val="bottom"/>
          </w:tcPr>
          <w:p w14:paraId="71FF27A1" w14:textId="5A307B78"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930</w:t>
            </w:r>
            <w:r w:rsidR="00BA5A42" w:rsidRPr="00F464FA">
              <w:rPr>
                <w:sz w:val="18"/>
              </w:rPr>
              <w:t xml:space="preserve"> </w:t>
            </w:r>
            <w:r w:rsidRPr="00F464FA">
              <w:rPr>
                <w:sz w:val="18"/>
              </w:rPr>
              <w:t>247</w:t>
            </w:r>
          </w:p>
        </w:tc>
        <w:tc>
          <w:tcPr>
            <w:tcW w:w="765" w:type="dxa"/>
            <w:shd w:val="clear" w:color="auto" w:fill="auto"/>
            <w:vAlign w:val="bottom"/>
          </w:tcPr>
          <w:p w14:paraId="64A04FCF"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44.3</w:t>
            </w:r>
          </w:p>
        </w:tc>
        <w:tc>
          <w:tcPr>
            <w:tcW w:w="968" w:type="dxa"/>
            <w:shd w:val="clear" w:color="auto" w:fill="auto"/>
            <w:vAlign w:val="bottom"/>
          </w:tcPr>
          <w:p w14:paraId="7522B002" w14:textId="6B524B06"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681</w:t>
            </w:r>
            <w:r w:rsidR="00BA5A42" w:rsidRPr="00F464FA">
              <w:rPr>
                <w:sz w:val="18"/>
              </w:rPr>
              <w:t xml:space="preserve"> </w:t>
            </w:r>
            <w:r w:rsidRPr="00F464FA">
              <w:rPr>
                <w:sz w:val="18"/>
              </w:rPr>
              <w:t>072</w:t>
            </w:r>
          </w:p>
        </w:tc>
        <w:tc>
          <w:tcPr>
            <w:tcW w:w="747" w:type="dxa"/>
            <w:shd w:val="clear" w:color="auto" w:fill="auto"/>
            <w:vAlign w:val="bottom"/>
          </w:tcPr>
          <w:p w14:paraId="4EC72793" w14:textId="77777777" w:rsidR="00221DD4" w:rsidRPr="00F464FA" w:rsidRDefault="00221DD4" w:rsidP="00BA5A42">
            <w:pPr>
              <w:pStyle w:val="SingleTxtG"/>
              <w:tabs>
                <w:tab w:val="clear" w:pos="1701"/>
                <w:tab w:val="clear" w:pos="2268"/>
              </w:tabs>
              <w:suppressAutoHyphens w:val="0"/>
              <w:spacing w:before="40" w:after="40" w:line="220" w:lineRule="exact"/>
              <w:ind w:left="0" w:right="113"/>
              <w:jc w:val="right"/>
              <w:rPr>
                <w:sz w:val="18"/>
              </w:rPr>
            </w:pPr>
            <w:r w:rsidRPr="00F464FA">
              <w:rPr>
                <w:sz w:val="18"/>
              </w:rPr>
              <w:t>31.8</w:t>
            </w:r>
          </w:p>
        </w:tc>
      </w:tr>
    </w:tbl>
    <w:p w14:paraId="1F72F6A5" w14:textId="110954AE" w:rsidR="00221DD4" w:rsidRPr="00F464FA" w:rsidRDefault="00221DD4" w:rsidP="00B43F83">
      <w:pPr>
        <w:spacing w:before="120" w:after="240"/>
        <w:ind w:left="1134" w:right="1134" w:firstLine="170"/>
        <w:rPr>
          <w:sz w:val="18"/>
        </w:rPr>
      </w:pPr>
      <w:r w:rsidRPr="00F464FA">
        <w:rPr>
          <w:i/>
          <w:iCs/>
          <w:sz w:val="18"/>
        </w:rPr>
        <w:t>Source:</w:t>
      </w:r>
      <w:r w:rsidRPr="00F464FA">
        <w:rPr>
          <w:sz w:val="18"/>
        </w:rPr>
        <w:t xml:space="preserve"> MPHC, 2018</w:t>
      </w:r>
      <w:r w:rsidR="00B43F83" w:rsidRPr="00F464FA">
        <w:rPr>
          <w:sz w:val="18"/>
        </w:rPr>
        <w:t>.</w:t>
      </w:r>
    </w:p>
    <w:p w14:paraId="186CE63F" w14:textId="77777777" w:rsidR="00221DD4" w:rsidRPr="00F464FA" w:rsidRDefault="00221DD4" w:rsidP="00221DD4">
      <w:pPr>
        <w:pStyle w:val="SingleTxtG"/>
        <w:spacing w:before="120"/>
      </w:pPr>
      <w:r w:rsidRPr="00F464FA">
        <w:t>111.</w:t>
      </w:r>
      <w:r w:rsidRPr="00F464FA">
        <w:tab/>
        <w:t>In seeking to achieve adequate housing, Malawi has adopted policies that will broadly raise the economic and social status of the people. These include the MGDS III and the SCTP which aim to economically empower the ultra-poor so that they can be able to have access to housing. In addition, the Malawi Housing Corporation (MHC), a statutory body that was established in 1964 by the Malawi Housing Corporation Act of 1964, is empowered to construct affordable housing for low income and middle-income Malawians. The MHC is currently constructing low to middle-income housing in the cities of Lilongwe and Blantyre.</w:t>
      </w:r>
    </w:p>
    <w:p w14:paraId="24C9AB3F" w14:textId="633238D5" w:rsidR="00221DD4" w:rsidRPr="00F464FA" w:rsidRDefault="00D07EBD" w:rsidP="003E07FA">
      <w:pPr>
        <w:pStyle w:val="H1G"/>
        <w:rPr>
          <w:lang w:val="en-GB"/>
        </w:rPr>
      </w:pPr>
      <w:bookmarkStart w:id="40" w:name="_Hlk63780622"/>
      <w:r w:rsidRPr="00F464FA">
        <w:rPr>
          <w:lang w:val="en-GB"/>
        </w:rPr>
        <w:tab/>
      </w:r>
      <w:r w:rsidRPr="00F464FA">
        <w:rPr>
          <w:lang w:val="en-GB"/>
        </w:rPr>
        <w:tab/>
      </w:r>
      <w:r w:rsidR="00221DD4" w:rsidRPr="00F464FA">
        <w:rPr>
          <w:lang w:val="en-GB"/>
        </w:rPr>
        <w:t>Article 12</w:t>
      </w:r>
      <w:r w:rsidRPr="00F464FA">
        <w:rPr>
          <w:lang w:val="en-GB"/>
        </w:rPr>
        <w:br/>
      </w:r>
      <w:r w:rsidR="00221DD4" w:rsidRPr="00F464FA">
        <w:rPr>
          <w:lang w:val="en-GB"/>
        </w:rPr>
        <w:t>The Right to the attainment of the highest attainable standard of physical and mental health</w:t>
      </w:r>
    </w:p>
    <w:bookmarkEnd w:id="40"/>
    <w:p w14:paraId="67BB57BE" w14:textId="77777777" w:rsidR="00221DD4" w:rsidRPr="00F464FA" w:rsidRDefault="00221DD4" w:rsidP="00221DD4">
      <w:pPr>
        <w:pStyle w:val="SingleTxtG"/>
        <w:rPr>
          <w:bCs/>
        </w:rPr>
      </w:pPr>
      <w:r w:rsidRPr="00F464FA">
        <w:rPr>
          <w:bCs/>
        </w:rPr>
        <w:t>112.</w:t>
      </w:r>
      <w:r w:rsidRPr="00F464FA">
        <w:rPr>
          <w:bCs/>
        </w:rPr>
        <w:tab/>
        <w:t>Though the right to health is not expressly espoused under the Bill of Rights in the Constitution of Malawi, sections 13 (b) and (c ) stipulate that the State has to actively promote the welfare and development of the people of Malawi by progressively adopting and implementing policies and legislation aimed at providing adequate nutrition for all to promote good health and self-sufficiency and providing adequate health care, commensurate with the health needs of Malawian society and international standards of health care.</w:t>
      </w:r>
    </w:p>
    <w:p w14:paraId="1921F548" w14:textId="77777777" w:rsidR="00221DD4" w:rsidRPr="00F464FA" w:rsidRDefault="00221DD4" w:rsidP="00221DD4">
      <w:pPr>
        <w:pStyle w:val="SingleTxtG"/>
        <w:rPr>
          <w:bCs/>
        </w:rPr>
      </w:pPr>
      <w:r w:rsidRPr="00F464FA">
        <w:rPr>
          <w:bCs/>
        </w:rPr>
        <w:t>113.</w:t>
      </w:r>
      <w:r w:rsidRPr="00F464FA">
        <w:rPr>
          <w:bCs/>
        </w:rPr>
        <w:tab/>
        <w:t>To give effect to the above-quoted subsections of the Constitution, laws and policies have been promulgated. The laws promulgated include the Public Health Act, The Mental Treatment Act, Anatomy Act, The Pharmacy, Medicines and Poisons Act and the HIV and AIDS (Prevention and Management) Act.</w:t>
      </w:r>
    </w:p>
    <w:p w14:paraId="46CB9C27" w14:textId="69485ED3" w:rsidR="00221DD4" w:rsidRPr="00F464FA" w:rsidRDefault="00EB43A1" w:rsidP="00355030">
      <w:pPr>
        <w:pStyle w:val="H23G"/>
        <w:rPr>
          <w:lang w:val="en-GB"/>
        </w:rPr>
      </w:pPr>
      <w:r w:rsidRPr="00F464FA">
        <w:rPr>
          <w:lang w:val="en-GB"/>
        </w:rPr>
        <w:tab/>
      </w:r>
      <w:r w:rsidRPr="00F464FA">
        <w:rPr>
          <w:lang w:val="en-GB"/>
        </w:rPr>
        <w:tab/>
      </w:r>
      <w:r w:rsidR="00221DD4" w:rsidRPr="00F464FA">
        <w:rPr>
          <w:lang w:val="en-GB"/>
        </w:rPr>
        <w:t>Malawian Health System</w:t>
      </w:r>
    </w:p>
    <w:p w14:paraId="0C326B93" w14:textId="77777777" w:rsidR="00221DD4" w:rsidRPr="00F464FA" w:rsidRDefault="00221DD4" w:rsidP="00221DD4">
      <w:pPr>
        <w:pStyle w:val="SingleTxtG"/>
        <w:rPr>
          <w:b/>
          <w:bCs/>
        </w:rPr>
      </w:pPr>
      <w:r w:rsidRPr="00F464FA">
        <w:rPr>
          <w:bCs/>
        </w:rPr>
        <w:t>114.</w:t>
      </w:r>
      <w:r w:rsidRPr="00F464FA">
        <w:rPr>
          <w:bCs/>
        </w:rPr>
        <w:tab/>
        <w:t xml:space="preserve">Malawi’s health system is organized at four levels namely: community, primary, secondary and tertiary. These different levels are linked to each other through an established referral system. Community, primary and secondary level care falls under district councils. The District Health Officer (DHO) is the head of the district health care system and reports </w:t>
      </w:r>
      <w:r w:rsidRPr="00F464FA">
        <w:rPr>
          <w:bCs/>
        </w:rPr>
        <w:lastRenderedPageBreak/>
        <w:t>to the District Commissioner who is the Controlling Officer of public institutions at the district level.</w:t>
      </w:r>
    </w:p>
    <w:p w14:paraId="05558CFF" w14:textId="101A6DDE" w:rsidR="00221DD4" w:rsidRPr="00F464FA" w:rsidRDefault="00221DD4" w:rsidP="00221DD4">
      <w:pPr>
        <w:pStyle w:val="SingleTxtG"/>
        <w:rPr>
          <w:b/>
          <w:bCs/>
        </w:rPr>
      </w:pPr>
      <w:r w:rsidRPr="00F464FA">
        <w:rPr>
          <w:bCs/>
        </w:rPr>
        <w:t>115.</w:t>
      </w:r>
      <w:r w:rsidRPr="00F464FA">
        <w:rPr>
          <w:bCs/>
        </w:rPr>
        <w:tab/>
        <w:t xml:space="preserve">The health system is guided by the </w:t>
      </w:r>
      <w:bookmarkStart w:id="41" w:name="_Hlk63777363"/>
      <w:r w:rsidRPr="00F464FA">
        <w:rPr>
          <w:bCs/>
        </w:rPr>
        <w:t xml:space="preserve">Health Sector Strategic Plan (HSSP). </w:t>
      </w:r>
      <w:bookmarkEnd w:id="41"/>
      <w:r w:rsidRPr="00F464FA">
        <w:rPr>
          <w:bCs/>
        </w:rPr>
        <w:t xml:space="preserve">The first HSSP run from 2011 to 2016. The goal of the HSSP I was ‘to improve the quality of life of all the people of Malawi by reducing the risk of ill health and the occurrence of premature deaths, thereby contributing to the social and economic development of the country. In achieving this, the HSSP I contributed to the attainment of the Malawi Growth and Development Strategy (MGDS II) and the </w:t>
      </w:r>
      <w:bookmarkStart w:id="42" w:name="_Hlk63777337"/>
      <w:r w:rsidRPr="00F464FA">
        <w:rPr>
          <w:bCs/>
        </w:rPr>
        <w:t xml:space="preserve">Millennium Development Goals (MDGs). </w:t>
      </w:r>
      <w:bookmarkEnd w:id="42"/>
      <w:r w:rsidRPr="00F464FA">
        <w:rPr>
          <w:bCs/>
        </w:rPr>
        <w:t>Substantial progress was made during the implementation of the plan. However, there were also challenges in implementing the plan.</w:t>
      </w:r>
    </w:p>
    <w:p w14:paraId="3E0EB4A8" w14:textId="60F58B94"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Expenditure on Health</w:t>
      </w:r>
    </w:p>
    <w:p w14:paraId="55355657" w14:textId="77777777" w:rsidR="00221DD4" w:rsidRPr="00F464FA" w:rsidRDefault="00221DD4" w:rsidP="00221DD4">
      <w:pPr>
        <w:pStyle w:val="SingleTxtG"/>
        <w:rPr>
          <w:bCs/>
        </w:rPr>
      </w:pPr>
      <w:r w:rsidRPr="00F464FA">
        <w:rPr>
          <w:bCs/>
        </w:rPr>
        <w:t>116.</w:t>
      </w:r>
      <w:r w:rsidRPr="00F464FA">
        <w:rPr>
          <w:bCs/>
        </w:rPr>
        <w:tab/>
        <w:t>Public health sector expenditure was 10.8% of total government expenditure in 2016. The 2020 target is 15%. Whereas in 2014-2015 total health expenditure per capita was $39.2 2018 and 2020 targets are $43 and $45.</w:t>
      </w:r>
    </w:p>
    <w:p w14:paraId="7A3E221E" w14:textId="77777777" w:rsidR="00221DD4" w:rsidRPr="00F464FA" w:rsidRDefault="00221DD4" w:rsidP="00221DD4">
      <w:pPr>
        <w:pStyle w:val="SingleTxtG"/>
        <w:rPr>
          <w:b/>
          <w:bCs/>
        </w:rPr>
      </w:pPr>
      <w:r w:rsidRPr="00F464FA">
        <w:rPr>
          <w:bCs/>
        </w:rPr>
        <w:t>117.</w:t>
      </w:r>
      <w:r w:rsidRPr="00F464FA">
        <w:rPr>
          <w:bCs/>
        </w:rPr>
        <w:tab/>
        <w:t xml:space="preserve">Between 2015 and 2018, there was an increase in the budgetary allocation to the Ministry of Health. In the 2015-2016 financial year, the Ministry was allocated MK77. 4 Billion (approximately US$ 103.2 million), MK95.8 Billion (approximately US$ 127.7 million) in the 2016-2017 financial year, and MK190 Billion (approximately US$25.3 million) in the 2017-2018 financial year. However, the MK86.7 Billion (approximately US$ 115.6 million) allocation in the 2018-2019 financial year is a huge decrease from the previous allocation of MK190 Billion (approximately US$ 253.3 million). The Government seeks to improve health service delivery with an initiative to employ 10000 health personnel. A Cancer </w:t>
      </w:r>
      <w:proofErr w:type="spellStart"/>
      <w:r w:rsidRPr="00F464FA">
        <w:rPr>
          <w:bCs/>
        </w:rPr>
        <w:t>Center</w:t>
      </w:r>
      <w:proofErr w:type="spellEnd"/>
      <w:r w:rsidRPr="00F464FA">
        <w:rPr>
          <w:bCs/>
        </w:rPr>
        <w:t xml:space="preserve"> is currently being constructed in the country’s capital, Lilongwe.</w:t>
      </w:r>
    </w:p>
    <w:p w14:paraId="3CAFC2EC" w14:textId="327901BE"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Access to Health Facilities</w:t>
      </w:r>
    </w:p>
    <w:p w14:paraId="3DD5B279" w14:textId="46F893DE" w:rsidR="00221DD4" w:rsidRPr="00F464FA" w:rsidRDefault="00221DD4" w:rsidP="00221DD4">
      <w:pPr>
        <w:pStyle w:val="SingleTxtG"/>
        <w:rPr>
          <w:bCs/>
        </w:rPr>
      </w:pPr>
      <w:r w:rsidRPr="00F464FA">
        <w:rPr>
          <w:bCs/>
        </w:rPr>
        <w:t>118.</w:t>
      </w:r>
      <w:r w:rsidRPr="00F464FA">
        <w:rPr>
          <w:bCs/>
        </w:rPr>
        <w:tab/>
        <w:t>In 2016, 90% of the population were living within 8 kilometres of a health facility. 2018 and 2020 targets are 92% and 94% respectively.</w:t>
      </w:r>
    </w:p>
    <w:p w14:paraId="4A2CA486" w14:textId="503E2CEA"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Children’s Health</w:t>
      </w:r>
    </w:p>
    <w:p w14:paraId="2DB076FB" w14:textId="77777777" w:rsidR="00221DD4" w:rsidRPr="00F464FA" w:rsidRDefault="00221DD4" w:rsidP="00221DD4">
      <w:pPr>
        <w:pStyle w:val="SingleTxtG"/>
        <w:rPr>
          <w:b/>
          <w:bCs/>
        </w:rPr>
      </w:pPr>
      <w:r w:rsidRPr="00F464FA">
        <w:rPr>
          <w:bCs/>
        </w:rPr>
        <w:t>119.</w:t>
      </w:r>
      <w:r w:rsidRPr="00F464FA">
        <w:rPr>
          <w:bCs/>
        </w:rPr>
        <w:tab/>
        <w:t>We now share key health indicators for the reporting period as well as targets set up for 2020. In terms of child health, as of 2015-16, 64.7% of children under five with diarrhoea in the two weeks before the interview received oral rehydration salts packets. The targets for 2018 and 2020 are 70% and 79% respectively. Only 47.7% of children under 1 had been fully immunized as of 2015-2016 with the targets for 2018 and 2020 being 88% and 90% respectively. According to 2015-16 data, 27 per 1,000 live births died during the first 28 days of life, with the targets for 2018 and 2020 being 26 per 1,000 and 24 per 1,000 respectively.</w:t>
      </w:r>
    </w:p>
    <w:p w14:paraId="65D14DE7" w14:textId="77777777" w:rsidR="00221DD4" w:rsidRPr="00F464FA" w:rsidRDefault="00221DD4" w:rsidP="00221DD4">
      <w:pPr>
        <w:pStyle w:val="SingleTxtG"/>
        <w:rPr>
          <w:b/>
          <w:bCs/>
        </w:rPr>
      </w:pPr>
      <w:r w:rsidRPr="00F464FA">
        <w:rPr>
          <w:bCs/>
        </w:rPr>
        <w:t>120.</w:t>
      </w:r>
      <w:r w:rsidRPr="00F464FA">
        <w:rPr>
          <w:bCs/>
        </w:rPr>
        <w:tab/>
        <w:t>64 percent of children aged 6 to 59 months received vitamin A supplements in the six months preceding the interview. The targets for 2018 and 2020 are 99 percent. In 2015-2016, 37 percent of children under 5 years of age were found with moderate or severe stunting, targets for 2018 and 2020 are 35 percent and 33 percent, respectively. There were 2.7% wasted children under 5 in 2015-2016, the 2018 and 2020 targets are 2.2% and 1.7% respectively. In 2015-2016 4.5% of children under 5 years were found to be overweight, targets for 2018 and 2020 are 3.9% and 3.3% respectively. In 2015-2016, 12.9% of live births weighed less than 2500 grams, 2018 and 2020 targets are 11% and 9.5% respectively.</w:t>
      </w:r>
    </w:p>
    <w:p w14:paraId="29A68524" w14:textId="77777777" w:rsidR="00221DD4" w:rsidRPr="00F464FA" w:rsidRDefault="00221DD4" w:rsidP="00221DD4">
      <w:pPr>
        <w:pStyle w:val="SingleTxtG"/>
        <w:rPr>
          <w:b/>
          <w:bCs/>
        </w:rPr>
      </w:pPr>
      <w:r w:rsidRPr="00F464FA">
        <w:rPr>
          <w:bCs/>
        </w:rPr>
        <w:t>121.</w:t>
      </w:r>
      <w:r w:rsidRPr="00F464FA">
        <w:rPr>
          <w:bCs/>
        </w:rPr>
        <w:tab/>
        <w:t>According to the Ministry of Health and Population 2017 Departments and Programmes self-report, 73.25% of facilities can provide the essential health package. The targets for 2018 and 2020 are 75% and 77%, respectively. In 2015 there were 1046 outpatient department visits per 1 000 populations per year, with the targets for 2018 and 2020 being 1,100. According to the National Pharmaceutical Strategic Plan 2016 – 2020, 20% of health facilities reported out of stock of the essential tracer medicines. The targets for 2018 and 2020 are 5% and 5% respectively.</w:t>
      </w:r>
    </w:p>
    <w:p w14:paraId="744E70F8" w14:textId="551C334D" w:rsidR="00221DD4" w:rsidRPr="00F464FA" w:rsidRDefault="00710428" w:rsidP="00355030">
      <w:pPr>
        <w:pStyle w:val="H23G"/>
        <w:rPr>
          <w:lang w:val="en-GB"/>
        </w:rPr>
      </w:pPr>
      <w:r w:rsidRPr="00F464FA">
        <w:rPr>
          <w:lang w:val="en-GB"/>
        </w:rPr>
        <w:lastRenderedPageBreak/>
        <w:tab/>
      </w:r>
      <w:r w:rsidRPr="00F464FA">
        <w:rPr>
          <w:lang w:val="en-GB"/>
        </w:rPr>
        <w:tab/>
      </w:r>
      <w:r w:rsidR="00221DD4" w:rsidRPr="00F464FA">
        <w:rPr>
          <w:lang w:val="en-GB"/>
        </w:rPr>
        <w:t>Healthy Living Environment</w:t>
      </w:r>
    </w:p>
    <w:p w14:paraId="0050D175" w14:textId="77777777" w:rsidR="00221DD4" w:rsidRPr="00F464FA" w:rsidRDefault="00221DD4" w:rsidP="00221DD4">
      <w:pPr>
        <w:pStyle w:val="SingleTxtG"/>
        <w:rPr>
          <w:b/>
          <w:bCs/>
        </w:rPr>
      </w:pPr>
      <w:r w:rsidRPr="00F464FA">
        <w:rPr>
          <w:bCs/>
        </w:rPr>
        <w:t>122.</w:t>
      </w:r>
      <w:r w:rsidRPr="00F464FA">
        <w:rPr>
          <w:bCs/>
        </w:rPr>
        <w:tab/>
        <w:t>In terms of environmental health, in 2015-2016, 87% of households had access to an improved water source. The targets for 2018 and 2020 are 87% and 91% respectively. 51.8% of households had access to improved sanitation. The targets for 2018 and 2020 are 65% and 75% respectively. According to the Essential Health Package (EHP) Database, 63% of health facilities had basic WASH facilities. The targets for 2018 and 2020 are 65% and 75% respectively. In 2015, 10.5% of households had access to hand washing facilities with soap and water. The targets for 2018 and 2020 are 35% and 75% respectively.</w:t>
      </w:r>
    </w:p>
    <w:p w14:paraId="3780369E" w14:textId="478FD0AD"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HIV/AIDS</w:t>
      </w:r>
    </w:p>
    <w:p w14:paraId="4CBC1F52" w14:textId="77777777" w:rsidR="00221DD4" w:rsidRPr="00F464FA" w:rsidRDefault="00221DD4" w:rsidP="00221DD4">
      <w:pPr>
        <w:pStyle w:val="SingleTxtG"/>
        <w:rPr>
          <w:b/>
          <w:bCs/>
        </w:rPr>
      </w:pPr>
      <w:r w:rsidRPr="00F464FA">
        <w:rPr>
          <w:bCs/>
        </w:rPr>
        <w:t>123.</w:t>
      </w:r>
      <w:r w:rsidRPr="00F464FA">
        <w:rPr>
          <w:bCs/>
        </w:rPr>
        <w:tab/>
        <w:t>The HIV and AIDS (Prevention and Management) Act were passed in November 2017. The Act ensures that authorities can prevent and manage the HIV/AIDS pandemic. In line with international human rights standards, the Act prohibits compulsory testing for pregnant women, domestic workers and men in uniform. It also establishes the National</w:t>
      </w:r>
      <w:r w:rsidRPr="00F464FA">
        <w:t xml:space="preserve"> </w:t>
      </w:r>
      <w:r w:rsidRPr="00F464FA">
        <w:rPr>
          <w:bCs/>
        </w:rPr>
        <w:t>Aids Commission as a statutory body that facilitates the management of HIV/AIDS response in the country.</w:t>
      </w:r>
    </w:p>
    <w:p w14:paraId="680A5F6F" w14:textId="77777777" w:rsidR="00221DD4" w:rsidRPr="00F464FA" w:rsidRDefault="00221DD4" w:rsidP="00221DD4">
      <w:pPr>
        <w:pStyle w:val="SingleTxtG"/>
        <w:rPr>
          <w:b/>
          <w:bCs/>
        </w:rPr>
      </w:pPr>
      <w:r w:rsidRPr="00F464FA">
        <w:rPr>
          <w:bCs/>
        </w:rPr>
        <w:t>124.</w:t>
      </w:r>
      <w:r w:rsidRPr="00F464FA">
        <w:rPr>
          <w:bCs/>
        </w:rPr>
        <w:tab/>
        <w:t>The courts in Malawi have also risen to ensure that the privacy of persons living with HIV is not violated even in criminal trials. In a 2015 High Court appeal case, eleven commercial sex workers were charged with spreading venereal diseases, contrary to section 192 of the Penal Code. The Court ruled that subjecting commercial sex workers to forced HIV testing was unreasonable and a violation of their rights to privacy, equality, dignity and freedom from cruel, inhuman and degrading treatment. The Court noted that the authorities took advantage of the commercial sex workers being in police custody to force them to undergo the tests. In the case of E.L (Female) v Republic,1 the court expressed concern over the violation of the appellant’s right to dignity and privacy as guaranteed by sections 19 and 21 of the Constitution. In the trial transcript, the appellant’s HIV status, as well as treatment, was introduced into evidence in court. The court wondered how the police obtained the information and how the lower court admitted such information into evidence. It was cautioned that such matters need courts to be specially concerned and careful with. In the pursuit of serving and protecting citizens, the police need to ensure that they do not, break the law and violate people’s rights.</w:t>
      </w:r>
    </w:p>
    <w:p w14:paraId="70FC0C93" w14:textId="77777777" w:rsidR="00221DD4" w:rsidRPr="00F464FA" w:rsidRDefault="00221DD4" w:rsidP="00221DD4">
      <w:pPr>
        <w:pStyle w:val="SingleTxtG"/>
        <w:rPr>
          <w:bCs/>
        </w:rPr>
      </w:pPr>
      <w:r w:rsidRPr="00F464FA">
        <w:rPr>
          <w:bCs/>
        </w:rPr>
        <w:t>125.</w:t>
      </w:r>
      <w:r w:rsidRPr="00F464FA">
        <w:rPr>
          <w:bCs/>
        </w:rPr>
        <w:tab/>
        <w:t>On HIV/AIDS and Other Causes of death, there were 4.1 per 1000 people among adults (15–49) with new HIV infections in 2014-2015. 2018 and 2020 targets are 2.6 per 1,000 people and 2.2 per 1,000 people respectively. According to the Malawi Integrated HIV Program Report 2016 Q4, 85% of HIV-infected pregnant women are already on ART, 2018 and 2020 target is 85%. In addition, 69% of adults and children currently living with HIV are receiving antiretroviral therapy following the nationally approved treatment protocol. The targets for 2018 and 2020 are 68% and 78% respectively. 80% of adults and children were still alive and on antiretroviral therapy at 12 months after initiating treatment. In terms of health personnel, as of 2016, there were 0.4 doctors and 0.7 clinical officers per 10,000 patients. The targets for 2020 are 0.3 doctors and 0.87 clinical officers, respectively.</w:t>
      </w:r>
    </w:p>
    <w:p w14:paraId="107B48C9" w14:textId="47ED1AA9"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Provision of Health Care in Prisons</w:t>
      </w:r>
    </w:p>
    <w:p w14:paraId="64A3F15A" w14:textId="77777777" w:rsidR="00221DD4" w:rsidRPr="00F464FA" w:rsidRDefault="00221DD4" w:rsidP="00221DD4">
      <w:pPr>
        <w:pStyle w:val="SingleTxtG"/>
        <w:rPr>
          <w:bCs/>
        </w:rPr>
      </w:pPr>
      <w:r w:rsidRPr="00F464FA">
        <w:rPr>
          <w:bCs/>
        </w:rPr>
        <w:t>126.</w:t>
      </w:r>
      <w:r w:rsidRPr="00F464FA">
        <w:rPr>
          <w:bCs/>
        </w:rPr>
        <w:tab/>
        <w:t>Regarding measures taken to address health care provisions in prisons, including prisoners with HIV/AIDS or tuberculosis; the Malawi Prison Service has health personnel, headed by a general practitioner at every prison who gives immediate health assistance to prisoners. Three (3) prison officers were also specifically trained in mental health. If the sickness cannot be dealt with by the medical personnel at the prison, the patient prisoner is transferred to a main hospital in the district or city the prison is located. In addition, the Malawi Prison Service also makes provision for doctors to visit prisons where there are patient prisoners who due to the state of illnesses cannot be transferred to main hospitals immediately. With regard to prisoners with HIV/AIDS, they are provided with the appropriate medication and are put on a special diet. Prisoners suffering from tuberculosis are also provided with the appropriate medication, special diet and have separate accommodation from the rest of the prisoners. There are routine mass screenings done in all prisons with regard to tuberculosis and HIV/AIDS.</w:t>
      </w:r>
    </w:p>
    <w:p w14:paraId="006EFB97" w14:textId="0B9C2DE4" w:rsidR="00221DD4" w:rsidRPr="00F464FA" w:rsidRDefault="00710428" w:rsidP="00355030">
      <w:pPr>
        <w:pStyle w:val="H23G"/>
        <w:rPr>
          <w:lang w:val="en-GB"/>
        </w:rPr>
      </w:pPr>
      <w:r w:rsidRPr="00F464FA">
        <w:rPr>
          <w:lang w:val="en-GB"/>
        </w:rPr>
        <w:lastRenderedPageBreak/>
        <w:tab/>
      </w:r>
      <w:r w:rsidRPr="00F464FA">
        <w:rPr>
          <w:lang w:val="en-GB"/>
        </w:rPr>
        <w:tab/>
      </w:r>
      <w:r w:rsidR="00221DD4" w:rsidRPr="00F464FA">
        <w:rPr>
          <w:lang w:val="en-GB"/>
        </w:rPr>
        <w:t>Malaria</w:t>
      </w:r>
    </w:p>
    <w:p w14:paraId="3CB686EE" w14:textId="77777777" w:rsidR="00221DD4" w:rsidRPr="00F464FA" w:rsidRDefault="00221DD4" w:rsidP="00221DD4">
      <w:pPr>
        <w:pStyle w:val="SingleTxtG"/>
        <w:rPr>
          <w:bCs/>
        </w:rPr>
      </w:pPr>
      <w:r w:rsidRPr="00F464FA">
        <w:rPr>
          <w:bCs/>
        </w:rPr>
        <w:t>127.</w:t>
      </w:r>
      <w:r w:rsidRPr="00F464FA">
        <w:rPr>
          <w:bCs/>
        </w:rPr>
        <w:tab/>
        <w:t>In 2015 there were 304 malaria cases per 1,000. The 2018 and 2020 targets are 302 per 1000 and 260 per 1000, respectively 33% of children aged 6-9 months had confirmed malaria infections in 2014. The targets for 2018 and 2020 are 28% and 24%, respectively. There were 23 per 100,000 inpatient deaths, the targets for 2018 and 2020 are 20 per 100,000 and 17 per 100,000 respectively.</w:t>
      </w:r>
    </w:p>
    <w:p w14:paraId="41631F58" w14:textId="6C928C86"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Mortality Rates</w:t>
      </w:r>
    </w:p>
    <w:p w14:paraId="12B651D5" w14:textId="77777777" w:rsidR="00221DD4" w:rsidRPr="00F464FA" w:rsidRDefault="00221DD4" w:rsidP="00221DD4">
      <w:pPr>
        <w:pStyle w:val="SingleTxtG"/>
        <w:rPr>
          <w:bCs/>
        </w:rPr>
      </w:pPr>
      <w:r w:rsidRPr="00F464FA">
        <w:rPr>
          <w:bCs/>
        </w:rPr>
        <w:t>128.</w:t>
      </w:r>
      <w:r w:rsidRPr="00F464FA">
        <w:rPr>
          <w:bCs/>
        </w:rPr>
        <w:tab/>
        <w:t>According to WHO 35 per 100,000 died in road traffic accidents in 2013, the targets for 2018 and 2020 are 33 and 31 respectively. There were 5.5 per 100,000 deaths resulting from suicide in 2012, and later targets are not yet defined. In 2014 there was a 19% probability of death from cardiovascular diseases, cancer, diabetes, or chronic respiratory diseases. The targets for 2018 and 2020 are 15.2% and 11.4%, respectively. In 2009, 19% of adult males were recorded to engage in heavy episodic drinking, the target is an annual decline of 0.2%. Baselines/estimates for “health facilities with functioning water, electricity, communication and HVA” and “percentage of days’ health facilities have functional (working and safe) essential medical equipment in line with the level of care” are not presently available. However, targets for 2018 and 2020 are 80 per cent and 85% respectively.</w:t>
      </w:r>
    </w:p>
    <w:p w14:paraId="776E0A34" w14:textId="42E4B368"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Maternal Mortality Rate</w:t>
      </w:r>
    </w:p>
    <w:p w14:paraId="538A6513" w14:textId="77777777" w:rsidR="00221DD4" w:rsidRPr="00F464FA" w:rsidRDefault="00221DD4" w:rsidP="00221DD4">
      <w:pPr>
        <w:pStyle w:val="SingleTxtG"/>
        <w:rPr>
          <w:bCs/>
        </w:rPr>
      </w:pPr>
      <w:r w:rsidRPr="00F464FA">
        <w:rPr>
          <w:bCs/>
        </w:rPr>
        <w:t>129.</w:t>
      </w:r>
      <w:r w:rsidRPr="00F464FA">
        <w:rPr>
          <w:bCs/>
        </w:rPr>
        <w:tab/>
        <w:t>In 2015-2016 the maternal mortality ratio was 439 per 100,000 live births, 2018 and 2020 targets are 380 per 100,000; 345 per 100,000 respectively. The Total Fertility Rate in 2015-2016 was 4.4 children per woman, the 2018 and 2020 targets are 4.0 and 3.5 respectively. In 2015-2016, 50% of women aged 15 to 49 with a live birth in the last two years received antenatal care four or more times, 2018 and 2020 targets are 55% and 60% respectively. In 2015, 121 per 100,000 Tuberculosis cases were detected. The targets for 2018 and 2020 are 196 per 100,000. In 2015 Tuberculosis treatment success rate was 84%, 2018 and 2020 targets are 89% and 90% respectively.</w:t>
      </w:r>
    </w:p>
    <w:p w14:paraId="7F54713A" w14:textId="16883080" w:rsidR="00221DD4" w:rsidRPr="00F464FA" w:rsidRDefault="00710428" w:rsidP="00355030">
      <w:pPr>
        <w:pStyle w:val="H23G"/>
        <w:rPr>
          <w:lang w:val="en-GB"/>
        </w:rPr>
      </w:pPr>
      <w:r w:rsidRPr="00F464FA">
        <w:rPr>
          <w:lang w:val="en-GB"/>
        </w:rPr>
        <w:tab/>
      </w:r>
      <w:r w:rsidRPr="00F464FA">
        <w:rPr>
          <w:lang w:val="en-GB"/>
        </w:rPr>
        <w:tab/>
      </w:r>
      <w:r w:rsidR="00221DD4" w:rsidRPr="00F464FA">
        <w:rPr>
          <w:lang w:val="en-GB"/>
        </w:rPr>
        <w:t>Community Health</w:t>
      </w:r>
    </w:p>
    <w:p w14:paraId="6588AA6A" w14:textId="7B58A8F0" w:rsidR="00221DD4" w:rsidRPr="00F464FA" w:rsidRDefault="00221DD4" w:rsidP="00221DD4">
      <w:pPr>
        <w:pStyle w:val="SingleTxtG"/>
        <w:rPr>
          <w:bCs/>
        </w:rPr>
      </w:pPr>
      <w:r w:rsidRPr="00F464FA">
        <w:rPr>
          <w:bCs/>
        </w:rPr>
        <w:t>130.</w:t>
      </w:r>
      <w:r w:rsidRPr="00F464FA">
        <w:rPr>
          <w:bCs/>
        </w:rPr>
        <w:tab/>
        <w:t xml:space="preserve">Recognizing the importance of community health and the opportunity to address these challenges, the Ministry of Health and Population has developed the country’s first </w:t>
      </w:r>
      <w:bookmarkStart w:id="43" w:name="_Hlk63778511"/>
      <w:r w:rsidRPr="00F464FA">
        <w:rPr>
          <w:bCs/>
        </w:rPr>
        <w:t>National Community Health Strategy (NCHS)</w:t>
      </w:r>
      <w:bookmarkEnd w:id="43"/>
      <w:r w:rsidRPr="00F464FA">
        <w:rPr>
          <w:bCs/>
        </w:rPr>
        <w:t xml:space="preserve"> from 2017 through 2022. The </w:t>
      </w:r>
      <w:bookmarkStart w:id="44" w:name="_Hlk63778526"/>
      <w:r w:rsidRPr="00F464FA">
        <w:rPr>
          <w:bCs/>
        </w:rPr>
        <w:t>Community Health Services (CHS)</w:t>
      </w:r>
      <w:bookmarkEnd w:id="44"/>
      <w:r w:rsidRPr="00F464FA">
        <w:rPr>
          <w:bCs/>
        </w:rPr>
        <w:t xml:space="preserve"> Section has led this work in coordination with the Department for Planning and Policy Development (DPPD). The NCHS ties into the Health Sector Strategic Plan (HSSP II), which underscores primary health care and community participation as core principles. Over 500 stakeholders across the health system were participated in the development of the NCHS.</w:t>
      </w:r>
    </w:p>
    <w:p w14:paraId="46FE9786" w14:textId="77777777" w:rsidR="00221DD4" w:rsidRPr="00F464FA" w:rsidRDefault="00221DD4" w:rsidP="00221DD4">
      <w:pPr>
        <w:pStyle w:val="SingleTxtG"/>
        <w:rPr>
          <w:bCs/>
        </w:rPr>
      </w:pPr>
      <w:r w:rsidRPr="00F464FA">
        <w:rPr>
          <w:bCs/>
        </w:rPr>
        <w:t>131.</w:t>
      </w:r>
      <w:r w:rsidRPr="00F464FA">
        <w:rPr>
          <w:bCs/>
        </w:rPr>
        <w:tab/>
        <w:t>The NCHS aims to improve the livelihoods of all people in Malawi. The mission is to ensure quality, integrated community health services are affordable, culturally acceptable, scientifically appropriate, and accessible to every household through community participation to promote health and contribute to the socio-economic status of all people in Malawi.</w:t>
      </w:r>
    </w:p>
    <w:p w14:paraId="3007C28D" w14:textId="77777777" w:rsidR="00221DD4" w:rsidRPr="00F464FA" w:rsidRDefault="00221DD4" w:rsidP="00221DD4">
      <w:pPr>
        <w:pStyle w:val="SingleTxtG"/>
        <w:rPr>
          <w:bCs/>
        </w:rPr>
      </w:pPr>
      <w:r w:rsidRPr="00F464FA">
        <w:rPr>
          <w:bCs/>
        </w:rPr>
        <w:t>132.</w:t>
      </w:r>
      <w:r w:rsidRPr="00F464FA">
        <w:rPr>
          <w:bCs/>
        </w:rPr>
        <w:tab/>
        <w:t xml:space="preserve">By 2022, the NCHS aims to contribute to the achievement of two health outcome targets aligned with the HSSP II: a 25% decrease in the under-five mortality rate from 64 to 48 per 1,000 live births and a 20% reduction in maternal mortality ratio from 439 to 350 per 100,000live births. To achieve these goals, the NCHS defines a new community health system for Malawi. Within this system, community health refers to a package of basic preventive, promotive, curative, rehabilitative, and surveillance health services delivered at the community level with the participation and ownership of rural and urban communities. This package consists of the community components of </w:t>
      </w:r>
      <w:bookmarkStart w:id="45" w:name="_Hlk94181026"/>
      <w:r w:rsidRPr="00F464FA">
        <w:rPr>
          <w:bCs/>
        </w:rPr>
        <w:t xml:space="preserve">the </w:t>
      </w:r>
      <w:bookmarkStart w:id="46" w:name="_Hlk63778564"/>
      <w:bookmarkEnd w:id="45"/>
      <w:r w:rsidRPr="00F464FA">
        <w:rPr>
          <w:bCs/>
        </w:rPr>
        <w:t>EHP</w:t>
      </w:r>
      <w:bookmarkEnd w:id="46"/>
      <w:r w:rsidRPr="00F464FA">
        <w:rPr>
          <w:bCs/>
        </w:rPr>
        <w:t xml:space="preserve">, as defined by HSSP II, and </w:t>
      </w:r>
      <w:bookmarkStart w:id="47" w:name="_Hlk94182276"/>
      <w:r w:rsidRPr="00F464FA">
        <w:rPr>
          <w:bCs/>
        </w:rPr>
        <w:t xml:space="preserve">Community Health Workers (CHWs) </w:t>
      </w:r>
      <w:bookmarkEnd w:id="47"/>
      <w:r w:rsidRPr="00F464FA">
        <w:rPr>
          <w:bCs/>
        </w:rPr>
        <w:t>will deliver these services through an integrated approach.</w:t>
      </w:r>
    </w:p>
    <w:p w14:paraId="34BF7104" w14:textId="77777777" w:rsidR="00221DD4" w:rsidRPr="00F464FA" w:rsidRDefault="00221DD4" w:rsidP="00221DD4">
      <w:pPr>
        <w:pStyle w:val="SingleTxtG"/>
        <w:rPr>
          <w:bCs/>
        </w:rPr>
      </w:pPr>
      <w:r w:rsidRPr="00F464FA">
        <w:rPr>
          <w:bCs/>
        </w:rPr>
        <w:t>133.</w:t>
      </w:r>
      <w:r w:rsidRPr="00F464FA">
        <w:rPr>
          <w:bCs/>
        </w:rPr>
        <w:tab/>
        <w:t xml:space="preserve">For the NCHS, integration is defined as the coordinated delivery of multiple health interventions as well as interventions from other sectors that improve health outcomes. The integration will take place at the point of care, which helps to improve health system </w:t>
      </w:r>
      <w:r w:rsidRPr="00F464FA">
        <w:rPr>
          <w:bCs/>
        </w:rPr>
        <w:lastRenderedPageBreak/>
        <w:t>efficiencies, reduce fragmentation, and increase access to care. Other key features within the community health system include a team-based structure for CHWs, strengthened supervision, reinforced community structures (e.g., Village Health Committee, Community Health Action Group), and enhanced coordination led by the CHS Section and district-level Community Health Officers. Overall, the NCHS outlines the aspirations for how the community health system should function and puts in place processes and activities to achieve these goals.</w:t>
      </w:r>
    </w:p>
    <w:p w14:paraId="2F5F7F78" w14:textId="77777777" w:rsidR="00221DD4" w:rsidRPr="00F464FA" w:rsidRDefault="00221DD4" w:rsidP="00221DD4">
      <w:pPr>
        <w:pStyle w:val="SingleTxtG"/>
        <w:rPr>
          <w:bCs/>
        </w:rPr>
      </w:pPr>
      <w:r w:rsidRPr="00F464FA">
        <w:rPr>
          <w:bCs/>
        </w:rPr>
        <w:t>134.</w:t>
      </w:r>
      <w:r w:rsidRPr="00F464FA">
        <w:rPr>
          <w:bCs/>
        </w:rPr>
        <w:tab/>
        <w:t>The NCHS also sets six strategic objectives for the community health system – each with an ambitious target and interventions to implement by 2022:</w:t>
      </w:r>
    </w:p>
    <w:p w14:paraId="7DA9F056" w14:textId="01B94BC3" w:rsidR="00221DD4" w:rsidRPr="00F464FA" w:rsidRDefault="00710428" w:rsidP="00710428">
      <w:pPr>
        <w:pStyle w:val="SingleTxtG"/>
        <w:rPr>
          <w:bCs/>
        </w:rPr>
      </w:pPr>
      <w:r w:rsidRPr="00F464FA">
        <w:rPr>
          <w:bCs/>
        </w:rPr>
        <w:tab/>
      </w:r>
      <w:r w:rsidR="00221DD4" w:rsidRPr="00F464FA">
        <w:rPr>
          <w:bCs/>
        </w:rPr>
        <w:t>(a)</w:t>
      </w:r>
      <w:r w:rsidR="00221DD4" w:rsidRPr="00F464FA">
        <w:rPr>
          <w:bCs/>
        </w:rPr>
        <w:tab/>
        <w:t xml:space="preserve">Health services delivery: deliver the Essential Health Package at the community level through integrated services provided by CHWs in </w:t>
      </w:r>
      <w:bookmarkStart w:id="48" w:name="_Hlk63778594"/>
      <w:r w:rsidR="00221DD4" w:rsidRPr="00F464FA">
        <w:rPr>
          <w:bCs/>
        </w:rPr>
        <w:t>Community Health Teams (CHTs</w:t>
      </w:r>
      <w:bookmarkEnd w:id="48"/>
      <w:r w:rsidR="00221DD4" w:rsidRPr="00F464FA">
        <w:rPr>
          <w:bCs/>
        </w:rPr>
        <w:t xml:space="preserve">). Key interventions to achieve this goal include scaling up integrated delivery of the EHP at the community level and rolling out CHTs with clear job descriptions for all CHW cadres. The target for 2022 is that 75% of </w:t>
      </w:r>
      <w:bookmarkStart w:id="49" w:name="_Hlk94182334"/>
      <w:r w:rsidR="00221DD4" w:rsidRPr="00F464FA">
        <w:rPr>
          <w:bCs/>
        </w:rPr>
        <w:t>Health Surveillance Assistants (HSAs)</w:t>
      </w:r>
      <w:bookmarkEnd w:id="49"/>
      <w:r w:rsidR="00221DD4" w:rsidRPr="00F464FA">
        <w:rPr>
          <w:bCs/>
        </w:rPr>
        <w:t xml:space="preserve"> deliver the majority of the community components of the EHP.</w:t>
      </w:r>
    </w:p>
    <w:p w14:paraId="7B7619F6" w14:textId="3C9C203A" w:rsidR="00221DD4" w:rsidRPr="00F464FA" w:rsidRDefault="00710428" w:rsidP="00710428">
      <w:pPr>
        <w:pStyle w:val="SingleTxtG"/>
        <w:rPr>
          <w:bCs/>
        </w:rPr>
      </w:pPr>
      <w:r w:rsidRPr="00F464FA">
        <w:rPr>
          <w:bCs/>
        </w:rPr>
        <w:tab/>
      </w:r>
      <w:r w:rsidR="00221DD4" w:rsidRPr="00F464FA">
        <w:rPr>
          <w:bCs/>
        </w:rPr>
        <w:t>(b)</w:t>
      </w:r>
      <w:r w:rsidR="00221DD4" w:rsidRPr="00F464FA">
        <w:rPr>
          <w:bCs/>
        </w:rPr>
        <w:tab/>
        <w:t>Human resources: build a sufficient, equitably distributed, well-trained community health workforce. Key interventions to achieve this goal include recruiting a National Community Health Strategy 2017-22 experts of community health. The 2022 target is that 95% of HSAs have a high quality, durable bicycle and that 900 Health Posts are operational and supporting integrated community health service delivery in hard to reach areas. Community engagement: Strengthen community engagement in and ownership of community health.</w:t>
      </w:r>
    </w:p>
    <w:p w14:paraId="7CCEE2FB" w14:textId="77777777" w:rsidR="00221DD4" w:rsidRPr="00F464FA" w:rsidRDefault="00221DD4" w:rsidP="00221DD4">
      <w:pPr>
        <w:pStyle w:val="SingleTxtG"/>
        <w:rPr>
          <w:bCs/>
        </w:rPr>
      </w:pPr>
      <w:r w:rsidRPr="00F464FA">
        <w:rPr>
          <w:bCs/>
        </w:rPr>
        <w:t>135.</w:t>
      </w:r>
      <w:r w:rsidRPr="00F464FA">
        <w:rPr>
          <w:bCs/>
        </w:rPr>
        <w:tab/>
        <w:t xml:space="preserve">Key interventions to achieve this include generating support for community health (e.g., launching national community health day); building the capacity of prioritized community structures (e.g., Village Health Committees, Community Health Action Groups(CHAGs), and Health Centre Advisory Committees (HCACs)), and rolling out enhanced social accountability mechanisms at community level (e.g., scorecards). The 2022 target is that 70% of </w:t>
      </w:r>
      <w:bookmarkStart w:id="50" w:name="_Hlk63778618"/>
      <w:r w:rsidRPr="00F464FA">
        <w:rPr>
          <w:bCs/>
        </w:rPr>
        <w:t>Village Health Committees(VHCs</w:t>
      </w:r>
      <w:bookmarkEnd w:id="50"/>
      <w:r w:rsidRPr="00F464FA">
        <w:rPr>
          <w:bCs/>
        </w:rPr>
        <w:t>) are meeting regularly monthly to support community health activities and that 70% of CHAGs and HCACs are active.</w:t>
      </w:r>
    </w:p>
    <w:p w14:paraId="27E6B7B0" w14:textId="77777777" w:rsidR="00221DD4" w:rsidRPr="00F464FA" w:rsidRDefault="00221DD4" w:rsidP="00221DD4">
      <w:pPr>
        <w:pStyle w:val="SingleTxtG"/>
        <w:rPr>
          <w:bCs/>
        </w:rPr>
      </w:pPr>
      <w:r w:rsidRPr="00F464FA">
        <w:rPr>
          <w:bCs/>
        </w:rPr>
        <w:t>136.</w:t>
      </w:r>
      <w:r w:rsidRPr="00F464FA">
        <w:rPr>
          <w:bCs/>
        </w:rPr>
        <w:tab/>
        <w:t>Leadership and coordination have also been strengthened ensure sufficient policy support and funding for community health and those community health activities are implemented and coordinated at all levels. Key interventions to achieve this goal include scaling up the coordinating function of the CHS Section at the national level; recruiting a Community Health Officer for each district; strengthening community-level coordination through CHAGs and CHTs; and hosting regular coordination meetings between stakeholders at all levels. The target for 2022 is that community health actors will have completed 80% of all agreed-upon coordination activities and milestones.</w:t>
      </w:r>
    </w:p>
    <w:p w14:paraId="5921A231" w14:textId="77777777" w:rsidR="00221DD4" w:rsidRPr="00F464FA" w:rsidRDefault="00221DD4" w:rsidP="00221DD4">
      <w:pPr>
        <w:pStyle w:val="SingleTxtG"/>
        <w:rPr>
          <w:bCs/>
        </w:rPr>
      </w:pPr>
      <w:r w:rsidRPr="00F464FA">
        <w:rPr>
          <w:bCs/>
        </w:rPr>
        <w:t>137.</w:t>
      </w:r>
      <w:r w:rsidRPr="00F464FA">
        <w:rPr>
          <w:bCs/>
        </w:rPr>
        <w:tab/>
        <w:t>The five-year implementation plan provides in-depth information on all recommended activities. In addition, six cross-cutting guiding principles – integration, community leadership, equity, gender quality, learning, and transparency and accountability will underpin the success of the NCHS. The first two principles help ensure that existing programmes and initiatives related to community health leverage partnerships and integrate seamlessly across sectors, and that community members have ownership and remain accountable for the health of their populations. The principles of equity and equality demand that all Malawians receive high-quality care from a community health system that promotes gender equality. The NCHS promotes continuous learning and course correction based on strengthened monitoring and evaluation efforts. While transparency and accountability are vital to maintaining the trust and commitment of all stakeholders. These principles are relevant across the full community health system and all NCHS strategic objectives.</w:t>
      </w:r>
    </w:p>
    <w:p w14:paraId="7A582809" w14:textId="77777777" w:rsidR="00221DD4" w:rsidRPr="00F464FA" w:rsidRDefault="00221DD4" w:rsidP="00221DD4">
      <w:pPr>
        <w:pStyle w:val="SingleTxtG"/>
        <w:rPr>
          <w:bCs/>
        </w:rPr>
      </w:pPr>
      <w:r w:rsidRPr="00F464FA">
        <w:rPr>
          <w:bCs/>
        </w:rPr>
        <w:t>138.</w:t>
      </w:r>
      <w:r w:rsidRPr="00F464FA">
        <w:rPr>
          <w:bCs/>
        </w:rPr>
        <w:tab/>
        <w:t>Over the next five years, implementation of the NCHS will require coordinated efforts from all actors working in the community health system. Implementation will take place across two phases that recognise the necessity of strengthening the foundational elements of the community health system before launching and scaling activities.</w:t>
      </w:r>
    </w:p>
    <w:p w14:paraId="2304D33D" w14:textId="77777777" w:rsidR="00221DD4" w:rsidRPr="00F464FA" w:rsidRDefault="00221DD4" w:rsidP="00221DD4">
      <w:pPr>
        <w:pStyle w:val="SingleTxtG"/>
        <w:rPr>
          <w:bCs/>
        </w:rPr>
      </w:pPr>
      <w:r w:rsidRPr="00F464FA">
        <w:rPr>
          <w:bCs/>
        </w:rPr>
        <w:t>139.</w:t>
      </w:r>
      <w:r w:rsidRPr="00F464FA">
        <w:rPr>
          <w:bCs/>
        </w:rPr>
        <w:tab/>
        <w:t xml:space="preserve">Phase 1 will focus on setting the community health system up for success by clarifying guidelines and reinforcing structures. In parallel, implementation of high-impact activities, </w:t>
      </w:r>
      <w:r w:rsidRPr="00F464FA">
        <w:rPr>
          <w:bCs/>
        </w:rPr>
        <w:lastRenderedPageBreak/>
        <w:t>including procuring transport for CHWs, rolling out CHTs, recruiting CHWs, and setting up coordination mechanisms at all levels, will commence.</w:t>
      </w:r>
    </w:p>
    <w:p w14:paraId="0B288947" w14:textId="77777777" w:rsidR="00221DD4" w:rsidRPr="00F464FA" w:rsidRDefault="00221DD4" w:rsidP="00221DD4">
      <w:pPr>
        <w:pStyle w:val="SingleTxtG"/>
        <w:rPr>
          <w:bCs/>
        </w:rPr>
      </w:pPr>
      <w:r w:rsidRPr="00F464FA">
        <w:rPr>
          <w:bCs/>
        </w:rPr>
        <w:t>140.</w:t>
      </w:r>
      <w:r w:rsidRPr="00F464FA">
        <w:rPr>
          <w:bCs/>
        </w:rPr>
        <w:tab/>
        <w:t>Phase 2 will focus on scaling activities from Phase 1 and implementing additional activities, including training CHWs on integrated service delivery, ensuring full rollout of the EHP and access to supplies, and constructing CHW housing units, among others.</w:t>
      </w:r>
    </w:p>
    <w:p w14:paraId="2D273286" w14:textId="77777777" w:rsidR="00221DD4" w:rsidRPr="00F464FA" w:rsidRDefault="00221DD4" w:rsidP="00221DD4">
      <w:pPr>
        <w:pStyle w:val="SingleTxtG"/>
        <w:rPr>
          <w:bCs/>
        </w:rPr>
      </w:pPr>
      <w:r w:rsidRPr="00F464FA">
        <w:rPr>
          <w:bCs/>
        </w:rPr>
        <w:t>141.</w:t>
      </w:r>
      <w:r w:rsidRPr="00F464FA">
        <w:rPr>
          <w:bCs/>
        </w:rPr>
        <w:tab/>
        <w:t xml:space="preserve">Monitoring and Evaluation will take place at every stage of implementation. The CHS Section of the </w:t>
      </w:r>
      <w:proofErr w:type="spellStart"/>
      <w:r w:rsidRPr="00F464FA">
        <w:rPr>
          <w:bCs/>
        </w:rPr>
        <w:t>MoH</w:t>
      </w:r>
      <w:proofErr w:type="spellEnd"/>
      <w:r w:rsidRPr="00F464FA">
        <w:rPr>
          <w:bCs/>
        </w:rPr>
        <w:t xml:space="preserve"> is responsible and accountable for the successful implementation of the NCHS and must have sufficient resources to carry out this mandate. Specific roles of the CHS Section include coordination and planning across programmes; development of policies and guidelines; monitoring adherence to policies and guidelines; overarching management of CHTs, and support for community structures (VHCs, CHAGs, HCACs, etc.). </w:t>
      </w:r>
    </w:p>
    <w:p w14:paraId="53CA0E54" w14:textId="77777777" w:rsidR="00221DD4" w:rsidRPr="00F464FA" w:rsidRDefault="00221DD4" w:rsidP="00221DD4">
      <w:pPr>
        <w:pStyle w:val="SingleTxtG"/>
        <w:rPr>
          <w:bCs/>
        </w:rPr>
      </w:pPr>
      <w:r w:rsidRPr="00F464FA">
        <w:rPr>
          <w:bCs/>
        </w:rPr>
        <w:t>142.</w:t>
      </w:r>
      <w:r w:rsidRPr="00F464FA">
        <w:rPr>
          <w:bCs/>
        </w:rPr>
        <w:tab/>
        <w:t>To fulfil these roles, the CHS Section will require predictable financial resources and additional human capacity, to reach nine full-time employees by the end of the five-year strategy. Effective programme management also hinges on dedicated coordination efforts from all actors to ensure efficient use of resources and consistency across the community health system.</w:t>
      </w:r>
    </w:p>
    <w:p w14:paraId="09948995" w14:textId="523D4294" w:rsidR="00221DD4" w:rsidRPr="00F464FA" w:rsidRDefault="00280555" w:rsidP="00355030">
      <w:pPr>
        <w:pStyle w:val="H23G"/>
        <w:rPr>
          <w:lang w:val="en-GB"/>
        </w:rPr>
      </w:pPr>
      <w:r w:rsidRPr="00F464FA">
        <w:rPr>
          <w:lang w:val="en-GB"/>
        </w:rPr>
        <w:tab/>
      </w:r>
      <w:r w:rsidRPr="00F464FA">
        <w:rPr>
          <w:lang w:val="en-GB"/>
        </w:rPr>
        <w:tab/>
      </w:r>
      <w:r w:rsidR="00221DD4" w:rsidRPr="00F464FA">
        <w:rPr>
          <w:lang w:val="en-GB"/>
        </w:rPr>
        <w:t>Mental Health</w:t>
      </w:r>
    </w:p>
    <w:p w14:paraId="226EBD2C" w14:textId="77777777" w:rsidR="00221DD4" w:rsidRPr="00F464FA" w:rsidRDefault="00221DD4" w:rsidP="00221DD4">
      <w:pPr>
        <w:pStyle w:val="SingleTxtG"/>
        <w:rPr>
          <w:bCs/>
        </w:rPr>
      </w:pPr>
      <w:r w:rsidRPr="00F464FA">
        <w:rPr>
          <w:bCs/>
        </w:rPr>
        <w:t>143.</w:t>
      </w:r>
      <w:r w:rsidRPr="00F464FA">
        <w:rPr>
          <w:bCs/>
        </w:rPr>
        <w:tab/>
        <w:t xml:space="preserve">The Mental Treatment Act, 1948 (Chapter 34:02 of the Laws of Malawi) makes provision for the care of persons who are suffering from mental disorders, for the custody of their persons and the management of their estates, and the management and control of mental hospitals in </w:t>
      </w:r>
      <w:proofErr w:type="spellStart"/>
      <w:r w:rsidRPr="00F464FA">
        <w:rPr>
          <w:bCs/>
        </w:rPr>
        <w:t>Malaŵi</w:t>
      </w:r>
      <w:proofErr w:type="spellEnd"/>
      <w:r w:rsidRPr="00F464FA">
        <w:rPr>
          <w:bCs/>
        </w:rPr>
        <w:t>. Since its promulgation, it is yet to be reviewed.</w:t>
      </w:r>
    </w:p>
    <w:p w14:paraId="0D5C02A0" w14:textId="1355F8B9" w:rsidR="00221DD4" w:rsidRPr="00F464FA" w:rsidRDefault="00221DD4" w:rsidP="00221DD4">
      <w:pPr>
        <w:pStyle w:val="SingleTxtG"/>
        <w:rPr>
          <w:bCs/>
        </w:rPr>
      </w:pPr>
      <w:r w:rsidRPr="00F464FA">
        <w:rPr>
          <w:bCs/>
        </w:rPr>
        <w:t>144.</w:t>
      </w:r>
      <w:r w:rsidRPr="00F464FA">
        <w:rPr>
          <w:bCs/>
        </w:rPr>
        <w:tab/>
        <w:t>Mental health services are provided in Government Central Hospitals. There is one hospital dedicated to dealing with psychiatric patients, namely Zomba Psychiatric Hospital. There is also a private psychiatric hospital, namely Saint John of God Hospital. There are five qualified psychiatrists in Malawi</w:t>
      </w:r>
      <w:r w:rsidR="00B44D76">
        <w:rPr>
          <w:bCs/>
        </w:rPr>
        <w:t>.</w:t>
      </w:r>
    </w:p>
    <w:p w14:paraId="1DDD6C19" w14:textId="77777777" w:rsidR="00221DD4" w:rsidRPr="00F464FA" w:rsidRDefault="00221DD4" w:rsidP="00221DD4">
      <w:pPr>
        <w:pStyle w:val="SingleTxtG"/>
        <w:rPr>
          <w:bCs/>
        </w:rPr>
      </w:pPr>
      <w:r w:rsidRPr="00F464FA">
        <w:rPr>
          <w:bCs/>
        </w:rPr>
        <w:t>145.</w:t>
      </w:r>
      <w:r w:rsidRPr="00F464FA">
        <w:rPr>
          <w:bCs/>
        </w:rPr>
        <w:tab/>
        <w:t xml:space="preserve">The Ministry of Health, working in conjunction with the </w:t>
      </w:r>
      <w:proofErr w:type="spellStart"/>
      <w:r w:rsidRPr="00F464FA">
        <w:rPr>
          <w:bCs/>
        </w:rPr>
        <w:t>MoGCDSW</w:t>
      </w:r>
      <w:proofErr w:type="spellEnd"/>
      <w:r w:rsidRPr="00F464FA">
        <w:rPr>
          <w:bCs/>
        </w:rPr>
        <w:t xml:space="preserve"> with support from UNICEF has begun implementing a pilot project on Mental Health in Malawi. The project aims to train social welfare officers to provide counselling services at a district level. The project will be piloted in 8 districts.</w:t>
      </w:r>
    </w:p>
    <w:p w14:paraId="5288C8DB" w14:textId="4B5F3C0D" w:rsidR="00221DD4" w:rsidRPr="00F464FA" w:rsidRDefault="00280555" w:rsidP="003E07FA">
      <w:pPr>
        <w:pStyle w:val="H1G"/>
        <w:rPr>
          <w:lang w:val="en-GB"/>
        </w:rPr>
      </w:pPr>
      <w:bookmarkStart w:id="51" w:name="_Hlk63780677"/>
      <w:r w:rsidRPr="00F464FA">
        <w:rPr>
          <w:lang w:val="en-GB"/>
        </w:rPr>
        <w:tab/>
      </w:r>
      <w:r w:rsidRPr="00F464FA">
        <w:rPr>
          <w:lang w:val="en-GB"/>
        </w:rPr>
        <w:tab/>
      </w:r>
      <w:r w:rsidR="00221DD4" w:rsidRPr="00F464FA">
        <w:rPr>
          <w:lang w:val="en-GB"/>
        </w:rPr>
        <w:t>Articles 13 and 14</w:t>
      </w:r>
      <w:r w:rsidRPr="00F464FA">
        <w:rPr>
          <w:lang w:val="en-GB"/>
        </w:rPr>
        <w:br/>
      </w:r>
      <w:r w:rsidR="00221DD4" w:rsidRPr="00F464FA">
        <w:rPr>
          <w:lang w:val="en-GB"/>
        </w:rPr>
        <w:t>The Right to Education</w:t>
      </w:r>
    </w:p>
    <w:bookmarkEnd w:id="51"/>
    <w:p w14:paraId="648E683A" w14:textId="77777777" w:rsidR="00221DD4" w:rsidRPr="00F464FA" w:rsidRDefault="00221DD4" w:rsidP="00221DD4">
      <w:pPr>
        <w:pStyle w:val="SingleTxtG"/>
        <w:rPr>
          <w:bCs/>
        </w:rPr>
      </w:pPr>
      <w:r w:rsidRPr="00F464FA">
        <w:rPr>
          <w:bCs/>
        </w:rPr>
        <w:t>146.</w:t>
      </w:r>
      <w:r w:rsidRPr="00F464FA">
        <w:rPr>
          <w:bCs/>
        </w:rPr>
        <w:tab/>
        <w:t>The Constitution of Malawi guarantees every individual the right to education under section 25. In addition, section 13(f) of the Constitution provides that the State shall actively promote the welfare and development of the people of Malawi by progressively adopting and implementing policies and legislation aimed at providing adequate resources to the education sector and devise programmes to eliminate illiteracy in Malawi; making primary education compulsory and free to all citizens of Malawi and offering greater access to higher learning and continuing education.</w:t>
      </w:r>
    </w:p>
    <w:p w14:paraId="46415DC6" w14:textId="2B0DD5DD" w:rsidR="00221DD4" w:rsidRPr="00F464FA" w:rsidRDefault="00221DD4" w:rsidP="00221DD4">
      <w:pPr>
        <w:pStyle w:val="SingleTxtG"/>
        <w:rPr>
          <w:bCs/>
        </w:rPr>
      </w:pPr>
      <w:r w:rsidRPr="00F464FA">
        <w:rPr>
          <w:bCs/>
        </w:rPr>
        <w:t>147.</w:t>
      </w:r>
      <w:r w:rsidRPr="00F464FA">
        <w:rPr>
          <w:bCs/>
        </w:rPr>
        <w:tab/>
        <w:t xml:space="preserve">The Education Act (Chapter 30:01 of the Laws of Malawi) gives effect to sections 13(f) and 25 of the Constitution. The Act provides for the establishment, organization, governance, control, regulation and financing of schools and colleges; provides for the establishment of the Teachers Council of </w:t>
      </w:r>
      <w:proofErr w:type="spellStart"/>
      <w:r w:rsidRPr="00F464FA">
        <w:rPr>
          <w:bCs/>
        </w:rPr>
        <w:t>Malaŵi</w:t>
      </w:r>
      <w:proofErr w:type="spellEnd"/>
      <w:r w:rsidRPr="00F464FA">
        <w:rPr>
          <w:bCs/>
        </w:rPr>
        <w:t xml:space="preserve">; provides for the establishment of the </w:t>
      </w:r>
      <w:proofErr w:type="spellStart"/>
      <w:r w:rsidRPr="00F464FA">
        <w:rPr>
          <w:bCs/>
        </w:rPr>
        <w:t>Malaŵi</w:t>
      </w:r>
      <w:proofErr w:type="spellEnd"/>
      <w:r w:rsidRPr="00F464FA">
        <w:rPr>
          <w:bCs/>
        </w:rPr>
        <w:t xml:space="preserve"> Institute of Education.</w:t>
      </w:r>
    </w:p>
    <w:p w14:paraId="54B75390" w14:textId="77777777" w:rsidR="00221DD4" w:rsidRPr="00F464FA" w:rsidRDefault="00221DD4" w:rsidP="00221DD4">
      <w:pPr>
        <w:pStyle w:val="SingleTxtG"/>
        <w:rPr>
          <w:bCs/>
        </w:rPr>
      </w:pPr>
      <w:r w:rsidRPr="00F464FA">
        <w:rPr>
          <w:bCs/>
        </w:rPr>
        <w:t>148.</w:t>
      </w:r>
      <w:r w:rsidRPr="00F464FA">
        <w:rPr>
          <w:bCs/>
        </w:rPr>
        <w:tab/>
        <w:t xml:space="preserve">The Education Act charges the Minister for Education with the responsibility of promoting education for all people in </w:t>
      </w:r>
      <w:proofErr w:type="spellStart"/>
      <w:r w:rsidRPr="00F464FA">
        <w:rPr>
          <w:bCs/>
        </w:rPr>
        <w:t>Malaŵi</w:t>
      </w:r>
      <w:proofErr w:type="spellEnd"/>
      <w:r w:rsidRPr="00F464FA">
        <w:rPr>
          <w:bCs/>
        </w:rPr>
        <w:t>; irrespective of race, ethnicity, gender, religion, disability or any other discriminatory characteristics; formulating policies, plan and managing information systems at the national level; mobilizing and allocating resources; designing and developing the national curriculum; setting and maintaining national education standards; monitoring, assessing and evaluating the education system; and providing effective mechanisms for a transparent and accountable education system at all levels. Such duties are implemented by the Ministry of Education, Science and Technology.</w:t>
      </w:r>
    </w:p>
    <w:p w14:paraId="180DA4F7" w14:textId="17740018" w:rsidR="00221DD4" w:rsidRPr="00F464FA" w:rsidRDefault="00AF619A" w:rsidP="00355030">
      <w:pPr>
        <w:pStyle w:val="H23G"/>
        <w:rPr>
          <w:lang w:val="en-GB"/>
        </w:rPr>
      </w:pPr>
      <w:r w:rsidRPr="00F464FA">
        <w:rPr>
          <w:lang w:val="en-GB"/>
        </w:rPr>
        <w:lastRenderedPageBreak/>
        <w:tab/>
      </w:r>
      <w:r w:rsidRPr="00F464FA">
        <w:rPr>
          <w:lang w:val="en-GB"/>
        </w:rPr>
        <w:tab/>
      </w:r>
      <w:r w:rsidR="00221DD4" w:rsidRPr="00F464FA">
        <w:rPr>
          <w:lang w:val="en-GB"/>
        </w:rPr>
        <w:t>National Education Standards</w:t>
      </w:r>
    </w:p>
    <w:p w14:paraId="5E7E4F8D" w14:textId="0D845EC4" w:rsidR="00221DD4" w:rsidRPr="00F464FA" w:rsidRDefault="00221DD4" w:rsidP="00221DD4">
      <w:pPr>
        <w:pStyle w:val="SingleTxtG"/>
        <w:rPr>
          <w:bCs/>
        </w:rPr>
      </w:pPr>
      <w:r w:rsidRPr="00F464FA">
        <w:rPr>
          <w:bCs/>
        </w:rPr>
        <w:t>149.</w:t>
      </w:r>
      <w:r w:rsidRPr="00F464FA">
        <w:rPr>
          <w:bCs/>
        </w:rPr>
        <w:tab/>
        <w:t>The Ministry of Education, Science and Technology has adopted the National Education Standards to enhance the quality and access to education in primary and secondary schools. Twenty-six standards specify the expected outcomes for students which should be delivered by all education providers in public and private institutions. They also identify the leadership, management and teaching processes that are essential to the achievement of the outcomes. In addition, the Standards specify targets for effective practice which are both challenging and achievable.</w:t>
      </w:r>
    </w:p>
    <w:p w14:paraId="2EBEBA6D" w14:textId="77777777" w:rsidR="00221DD4" w:rsidRPr="00F464FA" w:rsidRDefault="00221DD4" w:rsidP="00221DD4">
      <w:pPr>
        <w:pStyle w:val="SingleTxtG"/>
        <w:rPr>
          <w:bCs/>
        </w:rPr>
      </w:pPr>
      <w:r w:rsidRPr="00F464FA">
        <w:rPr>
          <w:bCs/>
        </w:rPr>
        <w:t>150.</w:t>
      </w:r>
      <w:r w:rsidRPr="00F464FA">
        <w:rPr>
          <w:bCs/>
        </w:rPr>
        <w:tab/>
        <w:t>The Standards aim to aid policymakers at the national, divisional and district level in the evaluation of the effectiveness of education in their area and across the country as a whole; and to guide individual institutions and practitioners in reviewing and improving their practice.</w:t>
      </w:r>
    </w:p>
    <w:p w14:paraId="6602B825" w14:textId="77777777" w:rsidR="00221DD4" w:rsidRPr="00F464FA" w:rsidRDefault="00221DD4" w:rsidP="00221DD4">
      <w:pPr>
        <w:pStyle w:val="SingleTxtG"/>
        <w:rPr>
          <w:bCs/>
        </w:rPr>
      </w:pPr>
      <w:r w:rsidRPr="00F464FA">
        <w:rPr>
          <w:bCs/>
        </w:rPr>
        <w:t>151.</w:t>
      </w:r>
      <w:r w:rsidRPr="00F464FA">
        <w:rPr>
          <w:bCs/>
        </w:rPr>
        <w:tab/>
        <w:t>In particular, the National Education Standards identify minimum requirements which all schools in Malawi should aim to achieve. Schools should implement these requirements to promote equality of educational opportunity and remove barriers to achievement.</w:t>
      </w:r>
    </w:p>
    <w:p w14:paraId="115F4766" w14:textId="6B9DB1D7" w:rsidR="00221DD4" w:rsidRPr="00F464FA" w:rsidRDefault="00AF619A" w:rsidP="00355030">
      <w:pPr>
        <w:pStyle w:val="H23G"/>
        <w:rPr>
          <w:lang w:val="en-GB"/>
        </w:rPr>
      </w:pPr>
      <w:r w:rsidRPr="00F464FA">
        <w:rPr>
          <w:lang w:val="en-GB"/>
        </w:rPr>
        <w:tab/>
      </w:r>
      <w:r w:rsidRPr="00F464FA">
        <w:rPr>
          <w:lang w:val="en-GB"/>
        </w:rPr>
        <w:tab/>
      </w:r>
      <w:r w:rsidR="00221DD4" w:rsidRPr="00F464FA">
        <w:rPr>
          <w:lang w:val="en-GB"/>
        </w:rPr>
        <w:t>Primary Schools</w:t>
      </w:r>
    </w:p>
    <w:p w14:paraId="0F42D35F" w14:textId="77777777" w:rsidR="00221DD4" w:rsidRPr="00F464FA" w:rsidRDefault="00221DD4" w:rsidP="00221DD4">
      <w:pPr>
        <w:pStyle w:val="SingleTxtG"/>
        <w:rPr>
          <w:bCs/>
        </w:rPr>
      </w:pPr>
      <w:r w:rsidRPr="00F464FA">
        <w:rPr>
          <w:bCs/>
        </w:rPr>
        <w:t>152.</w:t>
      </w:r>
      <w:r w:rsidRPr="00F464FA">
        <w:rPr>
          <w:bCs/>
        </w:rPr>
        <w:tab/>
        <w:t>Section 13 of the Education Act stipulates that the provision of primary education in Government schools shall be free of tuition to all and compulsory for every child below eighteen years of age.</w:t>
      </w:r>
    </w:p>
    <w:p w14:paraId="11B3A9A6" w14:textId="77777777" w:rsidR="00221DD4" w:rsidRPr="00F464FA" w:rsidRDefault="00221DD4" w:rsidP="00221DD4">
      <w:pPr>
        <w:pStyle w:val="SingleTxtG"/>
        <w:rPr>
          <w:bCs/>
        </w:rPr>
      </w:pPr>
      <w:r w:rsidRPr="00F464FA">
        <w:rPr>
          <w:bCs/>
        </w:rPr>
        <w:t>153.</w:t>
      </w:r>
      <w:r w:rsidRPr="00F464FA">
        <w:rPr>
          <w:bCs/>
        </w:rPr>
        <w:tab/>
        <w:t>The responsibility of providing primary education rests with the local government authority for the area over which it exercises its jurisdiction. Every local government authority appoints an education committee which oversees all matters relating to the performance of such schools.</w:t>
      </w:r>
    </w:p>
    <w:p w14:paraId="347FF962" w14:textId="26DAC17C" w:rsidR="00221DD4" w:rsidRPr="00F464FA" w:rsidRDefault="00AF619A" w:rsidP="00355030">
      <w:pPr>
        <w:pStyle w:val="H23G"/>
        <w:rPr>
          <w:lang w:val="en-GB"/>
        </w:rPr>
      </w:pPr>
      <w:r w:rsidRPr="00F464FA">
        <w:rPr>
          <w:lang w:val="en-GB"/>
        </w:rPr>
        <w:tab/>
      </w:r>
      <w:r w:rsidRPr="00F464FA">
        <w:rPr>
          <w:lang w:val="en-GB"/>
        </w:rPr>
        <w:tab/>
      </w:r>
      <w:r w:rsidR="00221DD4" w:rsidRPr="00F464FA">
        <w:rPr>
          <w:lang w:val="en-GB"/>
        </w:rPr>
        <w:t>Student Enrolment status in primary schools</w:t>
      </w:r>
    </w:p>
    <w:p w14:paraId="2C8EE14C" w14:textId="77777777" w:rsidR="00221DD4" w:rsidRPr="00F464FA" w:rsidRDefault="00221DD4" w:rsidP="00AF619A">
      <w:pPr>
        <w:pStyle w:val="SingleTxtG"/>
        <w:spacing w:after="240"/>
        <w:rPr>
          <w:b/>
          <w:bCs/>
        </w:rPr>
      </w:pPr>
      <w:r w:rsidRPr="00F464FA">
        <w:rPr>
          <w:bCs/>
        </w:rPr>
        <w:t>154.</w:t>
      </w:r>
      <w:r w:rsidRPr="00F464FA">
        <w:rPr>
          <w:bCs/>
        </w:rPr>
        <w:tab/>
      </w:r>
      <w:proofErr w:type="spellStart"/>
      <w:r w:rsidRPr="00F464FA">
        <w:rPr>
          <w:bCs/>
        </w:rPr>
        <w:t>Enrollment</w:t>
      </w:r>
      <w:proofErr w:type="spellEnd"/>
      <w:r w:rsidRPr="00F464FA">
        <w:rPr>
          <w:bCs/>
        </w:rPr>
        <w:t xml:space="preserve"> increased from 4,154,427 in 2012 to 5,073,721 in 2017, representing a 21.0 percentage growth. A total number of 4,964,474 learners were enrolled in public schools, only 109247 which is 2.15 (1.05 per cent boys and 1.09 per cent girls) were enrolled in private schools. The total enrolment has been growing at an average annual rate of 3.9 per cent. A total of 802,445 new entrants enrolled in the year 2016/17, representing a proportion of 15.8 per cent. (802,445/5,073,721) of the total </w:t>
      </w:r>
      <w:proofErr w:type="spellStart"/>
      <w:r w:rsidRPr="00F464FA">
        <w:rPr>
          <w:bCs/>
        </w:rPr>
        <w:t>enrollment</w:t>
      </w:r>
      <w:proofErr w:type="spellEnd"/>
      <w:r w:rsidRPr="00F464FA">
        <w:rPr>
          <w:bCs/>
        </w:rPr>
        <w:t>. Across the age of new entrants, a higher proportion (63.5 per cent) was observed at 6 years, which is the official age of primary school entry.</w:t>
      </w:r>
    </w:p>
    <w:p w14:paraId="0065D909" w14:textId="192E4FBF" w:rsidR="00221DD4" w:rsidRPr="00F464FA" w:rsidRDefault="00221DD4" w:rsidP="00221DD4">
      <w:pPr>
        <w:pStyle w:val="Heading1"/>
      </w:pPr>
      <w:r w:rsidRPr="00F464FA">
        <w:t>Table 18</w:t>
      </w:r>
    </w:p>
    <w:p w14:paraId="5E43D921" w14:textId="0630713D" w:rsidR="00221DD4" w:rsidRPr="00F464FA" w:rsidRDefault="00221DD4" w:rsidP="00221DD4">
      <w:pPr>
        <w:pStyle w:val="SingleTxtG"/>
        <w:rPr>
          <w:b/>
        </w:rPr>
      </w:pPr>
      <w:proofErr w:type="spellStart"/>
      <w:r w:rsidRPr="00F464FA">
        <w:rPr>
          <w:b/>
        </w:rPr>
        <w:t>Enrollment</w:t>
      </w:r>
      <w:proofErr w:type="spellEnd"/>
      <w:r w:rsidRPr="00F464FA">
        <w:rPr>
          <w:b/>
        </w:rPr>
        <w:t xml:space="preserve"> in Primary School 2012–17 </w:t>
      </w:r>
    </w:p>
    <w:p w14:paraId="6BED9CEE" w14:textId="77777777" w:rsidR="00221DD4" w:rsidRPr="00F464FA" w:rsidRDefault="00221DD4" w:rsidP="00221DD4">
      <w:pPr>
        <w:pStyle w:val="SingleTxtG"/>
        <w:spacing w:after="0"/>
        <w:rPr>
          <w:bCs/>
        </w:rPr>
      </w:pPr>
      <w:r w:rsidRPr="00F464FA">
        <w:rPr>
          <w:bCs/>
          <w:noProof/>
          <w:lang w:eastAsia="en-GB"/>
        </w:rPr>
        <w:drawing>
          <wp:inline distT="0" distB="0" distL="0" distR="0" wp14:anchorId="514C6855" wp14:editId="7B4B5C9E">
            <wp:extent cx="4695825" cy="23131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133" cy="2402011"/>
                    </a:xfrm>
                    <a:prstGeom prst="rect">
                      <a:avLst/>
                    </a:prstGeom>
                    <a:noFill/>
                  </pic:spPr>
                </pic:pic>
              </a:graphicData>
            </a:graphic>
          </wp:inline>
        </w:drawing>
      </w:r>
    </w:p>
    <w:p w14:paraId="15AA4BCD" w14:textId="2E2B17A3" w:rsidR="00221DD4" w:rsidRPr="00F464FA" w:rsidRDefault="00221DD4" w:rsidP="001639C5">
      <w:pPr>
        <w:spacing w:before="120" w:after="240"/>
        <w:ind w:left="1134" w:right="1134" w:firstLine="170"/>
        <w:rPr>
          <w:sz w:val="18"/>
        </w:rPr>
      </w:pPr>
      <w:r w:rsidRPr="00F464FA">
        <w:rPr>
          <w:i/>
          <w:iCs/>
          <w:sz w:val="18"/>
        </w:rPr>
        <w:t>Source</w:t>
      </w:r>
      <w:r w:rsidR="001639C5" w:rsidRPr="00F464FA">
        <w:rPr>
          <w:i/>
          <w:iCs/>
          <w:sz w:val="18"/>
        </w:rPr>
        <w:t>:</w:t>
      </w:r>
      <w:r w:rsidR="001639C5" w:rsidRPr="00F464FA">
        <w:rPr>
          <w:sz w:val="18"/>
        </w:rPr>
        <w:t xml:space="preserve"> </w:t>
      </w:r>
      <w:r w:rsidRPr="00F464FA">
        <w:rPr>
          <w:sz w:val="18"/>
        </w:rPr>
        <w:t>Ministry of Education Science and Technology</w:t>
      </w:r>
      <w:r w:rsidR="001639C5" w:rsidRPr="00F464FA">
        <w:rPr>
          <w:sz w:val="18"/>
        </w:rPr>
        <w:t>.</w:t>
      </w:r>
    </w:p>
    <w:p w14:paraId="412ABC55" w14:textId="77777777" w:rsidR="00221DD4" w:rsidRPr="00F464FA" w:rsidRDefault="00221DD4" w:rsidP="00D44268">
      <w:pPr>
        <w:pStyle w:val="SingleTxtG"/>
        <w:spacing w:after="240"/>
        <w:rPr>
          <w:bCs/>
        </w:rPr>
      </w:pPr>
      <w:r w:rsidRPr="00F464FA">
        <w:rPr>
          <w:bCs/>
        </w:rPr>
        <w:lastRenderedPageBreak/>
        <w:t>155.</w:t>
      </w:r>
      <w:r w:rsidRPr="00F464FA">
        <w:rPr>
          <w:bCs/>
        </w:rPr>
        <w:tab/>
        <w:t>The 2019/2020 Education Sector Performance Report released in 2020 shows that the average number of primary school girls has exceeded that of boys with the gap between the sexes wider each year as shown in Table 18 above. This is a true reflection of the gender gap in the general population, which also indicates the achievement of parity in primary enrolment. The average growth rate for enrolment between 2016 and 2020 has declined for both girls and boys from 2.3% to 1.7% and from 1.7% to 1.1%, respectively.</w:t>
      </w:r>
    </w:p>
    <w:p w14:paraId="1F87DFF3" w14:textId="1A136834" w:rsidR="00221DD4" w:rsidRPr="00F464FA" w:rsidRDefault="00221DD4" w:rsidP="00221DD4">
      <w:pPr>
        <w:pStyle w:val="Heading1"/>
      </w:pPr>
      <w:r w:rsidRPr="00F464FA">
        <w:t>Table 19</w:t>
      </w:r>
    </w:p>
    <w:p w14:paraId="3AA7234D" w14:textId="77777777" w:rsidR="00221DD4" w:rsidRPr="00F464FA" w:rsidRDefault="00221DD4" w:rsidP="00221DD4">
      <w:pPr>
        <w:pStyle w:val="SingleTxtG"/>
        <w:rPr>
          <w:b/>
        </w:rPr>
      </w:pPr>
      <w:r w:rsidRPr="00F464FA">
        <w:rPr>
          <w:b/>
        </w:rPr>
        <w:t xml:space="preserve">Trend in primary enrolment growth rate by sex (%)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52"/>
        <w:gridCol w:w="1053"/>
        <w:gridCol w:w="1053"/>
        <w:gridCol w:w="1053"/>
        <w:gridCol w:w="1053"/>
        <w:gridCol w:w="1053"/>
        <w:gridCol w:w="1053"/>
      </w:tblGrid>
      <w:tr w:rsidR="00D44268" w:rsidRPr="00F464FA" w14:paraId="7E56639F" w14:textId="77777777" w:rsidTr="00D44268">
        <w:trPr>
          <w:tblHeader/>
        </w:trPr>
        <w:tc>
          <w:tcPr>
            <w:tcW w:w="1052" w:type="dxa"/>
            <w:tcBorders>
              <w:top w:val="single" w:sz="4" w:space="0" w:color="auto"/>
              <w:bottom w:val="single" w:sz="12" w:space="0" w:color="auto"/>
            </w:tcBorders>
            <w:shd w:val="clear" w:color="auto" w:fill="auto"/>
            <w:vAlign w:val="bottom"/>
          </w:tcPr>
          <w:p w14:paraId="690ABF21" w14:textId="07525DDB" w:rsidR="00D44268" w:rsidRPr="00F464FA" w:rsidRDefault="00D44268" w:rsidP="00D44268">
            <w:pPr>
              <w:pStyle w:val="SingleTxtG"/>
              <w:tabs>
                <w:tab w:val="clear" w:pos="1701"/>
                <w:tab w:val="clear" w:pos="2268"/>
              </w:tabs>
              <w:suppressAutoHyphens w:val="0"/>
              <w:spacing w:before="80" w:after="80" w:line="200" w:lineRule="exact"/>
              <w:ind w:left="0" w:right="113"/>
              <w:jc w:val="left"/>
              <w:rPr>
                <w:i/>
                <w:sz w:val="16"/>
              </w:rPr>
            </w:pPr>
          </w:p>
        </w:tc>
        <w:tc>
          <w:tcPr>
            <w:tcW w:w="1053" w:type="dxa"/>
            <w:tcBorders>
              <w:top w:val="single" w:sz="4" w:space="0" w:color="auto"/>
              <w:bottom w:val="single" w:sz="12" w:space="0" w:color="auto"/>
            </w:tcBorders>
            <w:shd w:val="clear" w:color="auto" w:fill="auto"/>
            <w:vAlign w:val="bottom"/>
          </w:tcPr>
          <w:p w14:paraId="39021964" w14:textId="7DE75AEB" w:rsidR="00D44268" w:rsidRPr="00F464FA" w:rsidRDefault="00D44268" w:rsidP="00D44268">
            <w:pPr>
              <w:pStyle w:val="SingleTxtG"/>
              <w:tabs>
                <w:tab w:val="clear" w:pos="1701"/>
                <w:tab w:val="clear" w:pos="2268"/>
              </w:tabs>
              <w:suppressAutoHyphens w:val="0"/>
              <w:spacing w:before="80" w:after="80" w:line="200" w:lineRule="exact"/>
              <w:ind w:left="0" w:right="113"/>
              <w:jc w:val="right"/>
              <w:rPr>
                <w:i/>
                <w:sz w:val="16"/>
              </w:rPr>
            </w:pPr>
            <w:r w:rsidRPr="00F464FA">
              <w:rPr>
                <w:i/>
                <w:sz w:val="16"/>
              </w:rPr>
              <w:t>2016</w:t>
            </w:r>
          </w:p>
        </w:tc>
        <w:tc>
          <w:tcPr>
            <w:tcW w:w="1053" w:type="dxa"/>
            <w:tcBorders>
              <w:top w:val="single" w:sz="4" w:space="0" w:color="auto"/>
              <w:bottom w:val="single" w:sz="12" w:space="0" w:color="auto"/>
            </w:tcBorders>
            <w:shd w:val="clear" w:color="auto" w:fill="auto"/>
            <w:vAlign w:val="bottom"/>
          </w:tcPr>
          <w:p w14:paraId="2094D1B2" w14:textId="77777777" w:rsidR="00D44268" w:rsidRPr="00F464FA" w:rsidRDefault="00D44268" w:rsidP="00D44268">
            <w:pPr>
              <w:pStyle w:val="SingleTxtG"/>
              <w:tabs>
                <w:tab w:val="clear" w:pos="1701"/>
                <w:tab w:val="clear" w:pos="2268"/>
              </w:tabs>
              <w:suppressAutoHyphens w:val="0"/>
              <w:spacing w:before="80" w:after="80" w:line="200" w:lineRule="exact"/>
              <w:ind w:left="0" w:right="113"/>
              <w:jc w:val="right"/>
              <w:rPr>
                <w:i/>
                <w:sz w:val="16"/>
              </w:rPr>
            </w:pPr>
            <w:r w:rsidRPr="00F464FA">
              <w:rPr>
                <w:i/>
                <w:sz w:val="16"/>
              </w:rPr>
              <w:t>2017</w:t>
            </w:r>
          </w:p>
        </w:tc>
        <w:tc>
          <w:tcPr>
            <w:tcW w:w="1053" w:type="dxa"/>
            <w:tcBorders>
              <w:top w:val="single" w:sz="4" w:space="0" w:color="auto"/>
              <w:bottom w:val="single" w:sz="12" w:space="0" w:color="auto"/>
            </w:tcBorders>
            <w:shd w:val="clear" w:color="auto" w:fill="auto"/>
            <w:vAlign w:val="bottom"/>
          </w:tcPr>
          <w:p w14:paraId="083D4E44" w14:textId="77777777" w:rsidR="00D44268" w:rsidRPr="00F464FA" w:rsidRDefault="00D44268" w:rsidP="00D44268">
            <w:pPr>
              <w:pStyle w:val="SingleTxtG"/>
              <w:tabs>
                <w:tab w:val="clear" w:pos="1701"/>
                <w:tab w:val="clear" w:pos="2268"/>
              </w:tabs>
              <w:suppressAutoHyphens w:val="0"/>
              <w:spacing w:before="80" w:after="80" w:line="200" w:lineRule="exact"/>
              <w:ind w:left="0" w:right="113"/>
              <w:jc w:val="right"/>
              <w:rPr>
                <w:i/>
                <w:sz w:val="16"/>
              </w:rPr>
            </w:pPr>
            <w:r w:rsidRPr="00F464FA">
              <w:rPr>
                <w:i/>
                <w:sz w:val="16"/>
              </w:rPr>
              <w:t>2018</w:t>
            </w:r>
          </w:p>
        </w:tc>
        <w:tc>
          <w:tcPr>
            <w:tcW w:w="1053" w:type="dxa"/>
            <w:tcBorders>
              <w:top w:val="single" w:sz="4" w:space="0" w:color="auto"/>
              <w:bottom w:val="single" w:sz="12" w:space="0" w:color="auto"/>
            </w:tcBorders>
            <w:shd w:val="clear" w:color="auto" w:fill="auto"/>
            <w:vAlign w:val="bottom"/>
          </w:tcPr>
          <w:p w14:paraId="32F04DD0" w14:textId="77777777" w:rsidR="00D44268" w:rsidRPr="00F464FA" w:rsidRDefault="00D44268" w:rsidP="00D44268">
            <w:pPr>
              <w:pStyle w:val="SingleTxtG"/>
              <w:tabs>
                <w:tab w:val="clear" w:pos="1701"/>
                <w:tab w:val="clear" w:pos="2268"/>
              </w:tabs>
              <w:suppressAutoHyphens w:val="0"/>
              <w:spacing w:before="80" w:after="80" w:line="200" w:lineRule="exact"/>
              <w:ind w:left="0" w:right="113"/>
              <w:jc w:val="right"/>
              <w:rPr>
                <w:i/>
                <w:sz w:val="16"/>
              </w:rPr>
            </w:pPr>
            <w:r w:rsidRPr="00F464FA">
              <w:rPr>
                <w:i/>
                <w:sz w:val="16"/>
              </w:rPr>
              <w:t>2019</w:t>
            </w:r>
          </w:p>
        </w:tc>
        <w:tc>
          <w:tcPr>
            <w:tcW w:w="1053" w:type="dxa"/>
            <w:tcBorders>
              <w:top w:val="single" w:sz="4" w:space="0" w:color="auto"/>
              <w:bottom w:val="single" w:sz="12" w:space="0" w:color="auto"/>
            </w:tcBorders>
            <w:shd w:val="clear" w:color="auto" w:fill="auto"/>
            <w:vAlign w:val="bottom"/>
          </w:tcPr>
          <w:p w14:paraId="47E5E680" w14:textId="77777777" w:rsidR="00D44268" w:rsidRPr="00F464FA" w:rsidRDefault="00D44268" w:rsidP="00D44268">
            <w:pPr>
              <w:pStyle w:val="SingleTxtG"/>
              <w:tabs>
                <w:tab w:val="clear" w:pos="1701"/>
                <w:tab w:val="clear" w:pos="2268"/>
              </w:tabs>
              <w:suppressAutoHyphens w:val="0"/>
              <w:spacing w:before="80" w:after="80" w:line="200" w:lineRule="exact"/>
              <w:ind w:left="0" w:right="113"/>
              <w:jc w:val="right"/>
              <w:rPr>
                <w:i/>
                <w:sz w:val="16"/>
              </w:rPr>
            </w:pPr>
            <w:r w:rsidRPr="00F464FA">
              <w:rPr>
                <w:i/>
                <w:sz w:val="16"/>
              </w:rPr>
              <w:t>2020</w:t>
            </w:r>
          </w:p>
        </w:tc>
        <w:tc>
          <w:tcPr>
            <w:tcW w:w="1053" w:type="dxa"/>
            <w:tcBorders>
              <w:top w:val="single" w:sz="4" w:space="0" w:color="auto"/>
              <w:bottom w:val="single" w:sz="12" w:space="0" w:color="auto"/>
            </w:tcBorders>
            <w:shd w:val="clear" w:color="auto" w:fill="auto"/>
            <w:vAlign w:val="bottom"/>
          </w:tcPr>
          <w:p w14:paraId="59C89058" w14:textId="77777777" w:rsidR="00D44268" w:rsidRPr="00F464FA" w:rsidRDefault="00D44268" w:rsidP="00D44268">
            <w:pPr>
              <w:pStyle w:val="SingleTxtG"/>
              <w:tabs>
                <w:tab w:val="clear" w:pos="1701"/>
                <w:tab w:val="clear" w:pos="2268"/>
              </w:tabs>
              <w:suppressAutoHyphens w:val="0"/>
              <w:spacing w:before="80" w:after="80" w:line="200" w:lineRule="exact"/>
              <w:ind w:left="0" w:right="113"/>
              <w:jc w:val="right"/>
              <w:rPr>
                <w:i/>
                <w:sz w:val="16"/>
              </w:rPr>
            </w:pPr>
            <w:r w:rsidRPr="00F464FA">
              <w:rPr>
                <w:i/>
                <w:sz w:val="16"/>
              </w:rPr>
              <w:t>Average</w:t>
            </w:r>
          </w:p>
        </w:tc>
      </w:tr>
      <w:tr w:rsidR="00221DD4" w:rsidRPr="00F464FA" w14:paraId="7AB53F46" w14:textId="77777777" w:rsidTr="00D44268">
        <w:tc>
          <w:tcPr>
            <w:tcW w:w="1052" w:type="dxa"/>
            <w:tcBorders>
              <w:top w:val="single" w:sz="12" w:space="0" w:color="auto"/>
            </w:tcBorders>
            <w:shd w:val="clear" w:color="auto" w:fill="auto"/>
          </w:tcPr>
          <w:p w14:paraId="5338BAEE"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left"/>
              <w:rPr>
                <w:sz w:val="18"/>
              </w:rPr>
            </w:pPr>
            <w:r w:rsidRPr="00F464FA">
              <w:rPr>
                <w:sz w:val="18"/>
              </w:rPr>
              <w:t>Male</w:t>
            </w:r>
          </w:p>
        </w:tc>
        <w:tc>
          <w:tcPr>
            <w:tcW w:w="1053" w:type="dxa"/>
            <w:tcBorders>
              <w:top w:val="single" w:sz="12" w:space="0" w:color="auto"/>
            </w:tcBorders>
            <w:shd w:val="clear" w:color="auto" w:fill="auto"/>
            <w:vAlign w:val="bottom"/>
          </w:tcPr>
          <w:p w14:paraId="42681327"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1.7</w:t>
            </w:r>
          </w:p>
        </w:tc>
        <w:tc>
          <w:tcPr>
            <w:tcW w:w="1053" w:type="dxa"/>
            <w:tcBorders>
              <w:top w:val="single" w:sz="12" w:space="0" w:color="auto"/>
            </w:tcBorders>
            <w:shd w:val="clear" w:color="auto" w:fill="auto"/>
            <w:vAlign w:val="bottom"/>
          </w:tcPr>
          <w:p w14:paraId="2DB39F14"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3.0</w:t>
            </w:r>
          </w:p>
        </w:tc>
        <w:tc>
          <w:tcPr>
            <w:tcW w:w="1053" w:type="dxa"/>
            <w:tcBorders>
              <w:top w:val="single" w:sz="12" w:space="0" w:color="auto"/>
            </w:tcBorders>
            <w:shd w:val="clear" w:color="auto" w:fill="auto"/>
            <w:vAlign w:val="bottom"/>
          </w:tcPr>
          <w:p w14:paraId="5EEA88EC"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2.0</w:t>
            </w:r>
          </w:p>
        </w:tc>
        <w:tc>
          <w:tcPr>
            <w:tcW w:w="1053" w:type="dxa"/>
            <w:tcBorders>
              <w:top w:val="single" w:sz="12" w:space="0" w:color="auto"/>
            </w:tcBorders>
            <w:shd w:val="clear" w:color="auto" w:fill="auto"/>
            <w:vAlign w:val="bottom"/>
          </w:tcPr>
          <w:p w14:paraId="6693AA96"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2.3</w:t>
            </w:r>
          </w:p>
        </w:tc>
        <w:tc>
          <w:tcPr>
            <w:tcW w:w="1053" w:type="dxa"/>
            <w:tcBorders>
              <w:top w:val="single" w:sz="12" w:space="0" w:color="auto"/>
            </w:tcBorders>
            <w:shd w:val="clear" w:color="auto" w:fill="auto"/>
            <w:vAlign w:val="bottom"/>
          </w:tcPr>
          <w:p w14:paraId="4A042910"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1.1</w:t>
            </w:r>
          </w:p>
        </w:tc>
        <w:tc>
          <w:tcPr>
            <w:tcW w:w="1053" w:type="dxa"/>
            <w:tcBorders>
              <w:top w:val="single" w:sz="12" w:space="0" w:color="auto"/>
            </w:tcBorders>
            <w:shd w:val="clear" w:color="auto" w:fill="auto"/>
            <w:vAlign w:val="bottom"/>
          </w:tcPr>
          <w:p w14:paraId="1CA82C39"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2.0</w:t>
            </w:r>
          </w:p>
        </w:tc>
      </w:tr>
      <w:tr w:rsidR="00221DD4" w:rsidRPr="00F464FA" w14:paraId="5D498E8B" w14:textId="77777777" w:rsidTr="00D44268">
        <w:tc>
          <w:tcPr>
            <w:tcW w:w="1052" w:type="dxa"/>
            <w:shd w:val="clear" w:color="auto" w:fill="auto"/>
          </w:tcPr>
          <w:p w14:paraId="164965F4"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left"/>
              <w:rPr>
                <w:sz w:val="18"/>
              </w:rPr>
            </w:pPr>
            <w:r w:rsidRPr="00F464FA">
              <w:rPr>
                <w:sz w:val="18"/>
              </w:rPr>
              <w:t>Female</w:t>
            </w:r>
          </w:p>
        </w:tc>
        <w:tc>
          <w:tcPr>
            <w:tcW w:w="1053" w:type="dxa"/>
            <w:shd w:val="clear" w:color="auto" w:fill="auto"/>
            <w:vAlign w:val="bottom"/>
          </w:tcPr>
          <w:p w14:paraId="18D90F7E"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2.3</w:t>
            </w:r>
          </w:p>
        </w:tc>
        <w:tc>
          <w:tcPr>
            <w:tcW w:w="1053" w:type="dxa"/>
            <w:shd w:val="clear" w:color="auto" w:fill="auto"/>
            <w:vAlign w:val="bottom"/>
          </w:tcPr>
          <w:p w14:paraId="5A34240C"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4.0</w:t>
            </w:r>
          </w:p>
        </w:tc>
        <w:tc>
          <w:tcPr>
            <w:tcW w:w="1053" w:type="dxa"/>
            <w:shd w:val="clear" w:color="auto" w:fill="auto"/>
            <w:vAlign w:val="bottom"/>
          </w:tcPr>
          <w:p w14:paraId="1D57C0F2"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2.4</w:t>
            </w:r>
          </w:p>
        </w:tc>
        <w:tc>
          <w:tcPr>
            <w:tcW w:w="1053" w:type="dxa"/>
            <w:shd w:val="clear" w:color="auto" w:fill="auto"/>
            <w:vAlign w:val="bottom"/>
          </w:tcPr>
          <w:p w14:paraId="4A91BC8F"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2.0</w:t>
            </w:r>
          </w:p>
        </w:tc>
        <w:tc>
          <w:tcPr>
            <w:tcW w:w="1053" w:type="dxa"/>
            <w:shd w:val="clear" w:color="auto" w:fill="auto"/>
            <w:vAlign w:val="bottom"/>
          </w:tcPr>
          <w:p w14:paraId="53FBA013"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1.7</w:t>
            </w:r>
          </w:p>
        </w:tc>
        <w:tc>
          <w:tcPr>
            <w:tcW w:w="1053" w:type="dxa"/>
            <w:shd w:val="clear" w:color="auto" w:fill="auto"/>
            <w:vAlign w:val="bottom"/>
          </w:tcPr>
          <w:p w14:paraId="7738E8D8" w14:textId="77777777" w:rsidR="00221DD4" w:rsidRPr="00F464FA" w:rsidRDefault="00221DD4" w:rsidP="00D44268">
            <w:pPr>
              <w:pStyle w:val="SingleTxtG"/>
              <w:tabs>
                <w:tab w:val="clear" w:pos="1701"/>
                <w:tab w:val="clear" w:pos="2268"/>
              </w:tabs>
              <w:suppressAutoHyphens w:val="0"/>
              <w:spacing w:before="40" w:after="40" w:line="220" w:lineRule="exact"/>
              <w:ind w:left="0" w:right="113"/>
              <w:jc w:val="right"/>
              <w:rPr>
                <w:sz w:val="18"/>
              </w:rPr>
            </w:pPr>
            <w:r w:rsidRPr="00F464FA">
              <w:rPr>
                <w:sz w:val="18"/>
              </w:rPr>
              <w:t>2.5</w:t>
            </w:r>
          </w:p>
        </w:tc>
      </w:tr>
    </w:tbl>
    <w:p w14:paraId="69EE4FDF" w14:textId="75CEB027" w:rsidR="00221DD4" w:rsidRPr="00F464FA" w:rsidRDefault="00221DD4" w:rsidP="002B3BC7">
      <w:pPr>
        <w:spacing w:before="120" w:after="240"/>
        <w:ind w:left="1134" w:right="1134" w:firstLine="170"/>
        <w:rPr>
          <w:sz w:val="18"/>
        </w:rPr>
      </w:pPr>
      <w:r w:rsidRPr="00F464FA">
        <w:rPr>
          <w:i/>
          <w:iCs/>
          <w:sz w:val="18"/>
        </w:rPr>
        <w:t>Source:</w:t>
      </w:r>
      <w:r w:rsidRPr="00F464FA">
        <w:rPr>
          <w:sz w:val="18"/>
        </w:rPr>
        <w:t xml:space="preserve"> Ministry of Education</w:t>
      </w:r>
      <w:r w:rsidR="005E68CD" w:rsidRPr="00F464FA">
        <w:rPr>
          <w:sz w:val="18"/>
        </w:rPr>
        <w:t>.</w:t>
      </w:r>
    </w:p>
    <w:p w14:paraId="767B14FF" w14:textId="77777777" w:rsidR="00221DD4" w:rsidRPr="00F464FA" w:rsidRDefault="00221DD4" w:rsidP="00221DD4">
      <w:pPr>
        <w:pStyle w:val="SingleTxtG"/>
        <w:rPr>
          <w:bCs/>
        </w:rPr>
      </w:pPr>
      <w:r w:rsidRPr="00F464FA">
        <w:rPr>
          <w:bCs/>
        </w:rPr>
        <w:t>156.</w:t>
      </w:r>
      <w:r w:rsidRPr="00F464FA">
        <w:rPr>
          <w:bCs/>
        </w:rPr>
        <w:tab/>
        <w:t>If the trend continues, primary education will continue to register more girls than boys, and this may require some policy re-evaluation to ensure that the gender equality interventions are not leaving boys behind.</w:t>
      </w:r>
    </w:p>
    <w:p w14:paraId="6AE1658F" w14:textId="1B185694" w:rsidR="00221DD4" w:rsidRPr="00F464FA" w:rsidRDefault="002B3BC7" w:rsidP="00355030">
      <w:pPr>
        <w:pStyle w:val="H23G"/>
        <w:rPr>
          <w:lang w:val="en-GB"/>
        </w:rPr>
      </w:pPr>
      <w:r w:rsidRPr="00F464FA">
        <w:rPr>
          <w:lang w:val="en-GB"/>
        </w:rPr>
        <w:tab/>
      </w:r>
      <w:r w:rsidRPr="00F464FA">
        <w:rPr>
          <w:lang w:val="en-GB"/>
        </w:rPr>
        <w:tab/>
      </w:r>
      <w:r w:rsidR="00221DD4" w:rsidRPr="00F464FA">
        <w:rPr>
          <w:lang w:val="en-GB"/>
        </w:rPr>
        <w:t>School infrastructure and basic facilities in primary schools</w:t>
      </w:r>
    </w:p>
    <w:p w14:paraId="64020094" w14:textId="5D224387" w:rsidR="00221DD4" w:rsidRPr="00F464FA" w:rsidRDefault="00221DD4" w:rsidP="00221DD4">
      <w:pPr>
        <w:pStyle w:val="SingleTxtG"/>
        <w:rPr>
          <w:bCs/>
        </w:rPr>
      </w:pPr>
      <w:r w:rsidRPr="00F464FA">
        <w:rPr>
          <w:bCs/>
        </w:rPr>
        <w:t>157.</w:t>
      </w:r>
      <w:r w:rsidRPr="00F464FA">
        <w:rPr>
          <w:bCs/>
        </w:rPr>
        <w:tab/>
        <w:t>There were 41765 permanent classrooms in use, 6380 complete temporary classrooms in use and 13,189 classrooms requiring rehabilitation. Furthermore, the census revealed a requirement of about 27,113 extra classrooms for the entire primary sub-sector. The number of permanent classrooms has increased from 35,804 in 2013 to 41,765 in 2017, representing a growth of 16.6 per cent.</w:t>
      </w:r>
    </w:p>
    <w:p w14:paraId="3BDD21AE" w14:textId="47CD8BAB" w:rsidR="00221DD4" w:rsidRPr="00F464FA" w:rsidRDefault="00221DD4" w:rsidP="00221DD4">
      <w:pPr>
        <w:pStyle w:val="SingleTxtG"/>
        <w:rPr>
          <w:bCs/>
        </w:rPr>
      </w:pPr>
      <w:r w:rsidRPr="00F464FA">
        <w:rPr>
          <w:bCs/>
        </w:rPr>
        <w:t>158.</w:t>
      </w:r>
      <w:r w:rsidRPr="00F464FA">
        <w:rPr>
          <w:bCs/>
        </w:rPr>
        <w:tab/>
        <w:t>In terms of schools with access to basic facilities, Most schools in 2017 reported boreholes (69 per cent) as their main source of water followed by piped water (17 per cent). About 6 per cent of the schools reported having no water. In 2020 the following is the data on schools with access to basic services</w:t>
      </w:r>
      <w:r w:rsidR="00AF7334">
        <w:rPr>
          <w:bCs/>
        </w:rPr>
        <w:t>.</w:t>
      </w:r>
    </w:p>
    <w:p w14:paraId="2D61E9FA" w14:textId="3631AEED" w:rsidR="00221DD4" w:rsidRPr="00F464FA" w:rsidRDefault="00221DD4" w:rsidP="00221DD4">
      <w:pPr>
        <w:pStyle w:val="Heading1"/>
      </w:pPr>
      <w:r w:rsidRPr="00F464FA">
        <w:t>Table 20</w:t>
      </w:r>
    </w:p>
    <w:p w14:paraId="2059E687" w14:textId="64DE3505" w:rsidR="00221DD4" w:rsidRPr="00F464FA" w:rsidRDefault="00221DD4" w:rsidP="00221DD4">
      <w:pPr>
        <w:pStyle w:val="SingleTxtG"/>
        <w:rPr>
          <w:b/>
        </w:rPr>
      </w:pPr>
      <w:r w:rsidRPr="00F464FA">
        <w:rPr>
          <w:b/>
        </w:rPr>
        <w:t>Proportion of schools with basic facilities</w:t>
      </w:r>
    </w:p>
    <w:p w14:paraId="33ED8031" w14:textId="77777777" w:rsidR="00221DD4" w:rsidRPr="00F464FA" w:rsidRDefault="00221DD4" w:rsidP="00221DD4">
      <w:pPr>
        <w:pStyle w:val="SingleTxtG"/>
        <w:spacing w:after="0"/>
        <w:rPr>
          <w:bCs/>
        </w:rPr>
      </w:pPr>
      <w:r w:rsidRPr="00F464FA">
        <w:rPr>
          <w:noProof/>
          <w:lang w:eastAsia="en-GB"/>
        </w:rPr>
        <w:drawing>
          <wp:inline distT="0" distB="0" distL="0" distR="0" wp14:anchorId="152D0E24" wp14:editId="7C842E8D">
            <wp:extent cx="4734958" cy="17049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27" t="5097" r="1757" b="5707"/>
                    <a:stretch/>
                  </pic:blipFill>
                  <pic:spPr bwMode="auto">
                    <a:xfrm>
                      <a:off x="0" y="0"/>
                      <a:ext cx="4746431" cy="1709106"/>
                    </a:xfrm>
                    <a:prstGeom prst="rect">
                      <a:avLst/>
                    </a:prstGeom>
                    <a:ln>
                      <a:noFill/>
                    </a:ln>
                    <a:extLst>
                      <a:ext uri="{53640926-AAD7-44D8-BBD7-CCE9431645EC}">
                        <a14:shadowObscured xmlns:a14="http://schemas.microsoft.com/office/drawing/2010/main"/>
                      </a:ext>
                    </a:extLst>
                  </pic:spPr>
                </pic:pic>
              </a:graphicData>
            </a:graphic>
          </wp:inline>
        </w:drawing>
      </w:r>
    </w:p>
    <w:p w14:paraId="395BA5A7" w14:textId="4E8CE5F4" w:rsidR="00221DD4" w:rsidRPr="00F464FA" w:rsidRDefault="00221DD4" w:rsidP="003B46C8">
      <w:pPr>
        <w:spacing w:before="120" w:after="240"/>
        <w:ind w:left="1134" w:right="1134" w:firstLine="170"/>
        <w:rPr>
          <w:sz w:val="18"/>
        </w:rPr>
      </w:pPr>
      <w:r w:rsidRPr="00F464FA">
        <w:rPr>
          <w:i/>
          <w:iCs/>
          <w:sz w:val="18"/>
        </w:rPr>
        <w:t>Source:</w:t>
      </w:r>
      <w:r w:rsidRPr="00F464FA">
        <w:rPr>
          <w:sz w:val="18"/>
        </w:rPr>
        <w:t xml:space="preserve"> Ministry of Education</w:t>
      </w:r>
      <w:r w:rsidR="003B46C8" w:rsidRPr="00F464FA">
        <w:rPr>
          <w:sz w:val="18"/>
        </w:rPr>
        <w:t>.</w:t>
      </w:r>
    </w:p>
    <w:p w14:paraId="0BEEC6F2" w14:textId="77777777" w:rsidR="00221DD4" w:rsidRPr="00F464FA" w:rsidRDefault="00221DD4" w:rsidP="00221DD4">
      <w:pPr>
        <w:pStyle w:val="SingleTxtG"/>
        <w:rPr>
          <w:bCs/>
        </w:rPr>
      </w:pPr>
      <w:r w:rsidRPr="00F464FA">
        <w:rPr>
          <w:bCs/>
        </w:rPr>
        <w:t>159.</w:t>
      </w:r>
      <w:r w:rsidRPr="00F464FA">
        <w:rPr>
          <w:bCs/>
        </w:rPr>
        <w:tab/>
        <w:t>The primary education subsector continues to face challenges in the availability of desks to learners. In 2020, the system had only 32,455 desks for its 5,371,563 learners. This shows that the system requires to supply at least 2,653,327 two-seater desks if every learner is to have a desk.</w:t>
      </w:r>
    </w:p>
    <w:p w14:paraId="6252EC22" w14:textId="67A8E52E" w:rsidR="00221DD4" w:rsidRPr="00F464FA" w:rsidRDefault="000C0E22" w:rsidP="00355030">
      <w:pPr>
        <w:pStyle w:val="H23G"/>
        <w:rPr>
          <w:lang w:val="en-GB"/>
        </w:rPr>
      </w:pPr>
      <w:r w:rsidRPr="00F464FA">
        <w:rPr>
          <w:lang w:val="en-GB"/>
        </w:rPr>
        <w:tab/>
      </w:r>
      <w:r w:rsidRPr="00F464FA">
        <w:rPr>
          <w:lang w:val="en-GB"/>
        </w:rPr>
        <w:tab/>
      </w:r>
      <w:r w:rsidR="00221DD4" w:rsidRPr="00F464FA">
        <w:rPr>
          <w:lang w:val="en-GB"/>
        </w:rPr>
        <w:t>Access indicators for primary schools</w:t>
      </w:r>
    </w:p>
    <w:p w14:paraId="034453CD" w14:textId="77777777" w:rsidR="00D90E7D" w:rsidRPr="00F464FA" w:rsidRDefault="00221DD4" w:rsidP="00D90E7D">
      <w:pPr>
        <w:pStyle w:val="SingleTxtG"/>
        <w:spacing w:after="240"/>
        <w:rPr>
          <w:bCs/>
        </w:rPr>
      </w:pPr>
      <w:r w:rsidRPr="00F464FA">
        <w:rPr>
          <w:bCs/>
        </w:rPr>
        <w:t>160.</w:t>
      </w:r>
      <w:r w:rsidRPr="00F464FA">
        <w:rPr>
          <w:bCs/>
        </w:rPr>
        <w:tab/>
        <w:t xml:space="preserve">The overall gross intake ratio for standard one stands at 203; with 202 for girls and 204 for boys respectively. The net intake rate shows a high degree of access for 6-year olds, however, girls have a higher rate than boys. </w:t>
      </w:r>
      <w:bookmarkStart w:id="52" w:name="_Hlk63778717"/>
      <w:r w:rsidRPr="00F464FA">
        <w:rPr>
          <w:bCs/>
        </w:rPr>
        <w:t xml:space="preserve">Net Enrolment Rate (NER) </w:t>
      </w:r>
      <w:bookmarkEnd w:id="52"/>
      <w:r w:rsidRPr="00F464FA">
        <w:rPr>
          <w:bCs/>
        </w:rPr>
        <w:t xml:space="preserve">is the best way of measuring organized on-time school participation. NER is calculated by dividing the number </w:t>
      </w:r>
      <w:r w:rsidRPr="00F464FA">
        <w:rPr>
          <w:bCs/>
        </w:rPr>
        <w:lastRenderedPageBreak/>
        <w:t>of properly aged primary pupils (6-13 years of age) by the population of primary school-going age (6-13 years). NER has been declining from 111 in 2013 to 88 in 2017.</w:t>
      </w:r>
    </w:p>
    <w:p w14:paraId="1AA2B68D" w14:textId="584FC246" w:rsidR="00221DD4" w:rsidRPr="00F464FA" w:rsidRDefault="00221DD4" w:rsidP="00D90E7D">
      <w:pPr>
        <w:pStyle w:val="Heading1"/>
      </w:pPr>
      <w:r w:rsidRPr="00F464FA">
        <w:t>Table 21</w:t>
      </w:r>
    </w:p>
    <w:p w14:paraId="6F4208CD" w14:textId="77777777" w:rsidR="00221DD4" w:rsidRPr="00F464FA" w:rsidRDefault="00221DD4" w:rsidP="00221DD4">
      <w:pPr>
        <w:pStyle w:val="SingleTxtG"/>
        <w:rPr>
          <w:b/>
        </w:rPr>
      </w:pPr>
      <w:r w:rsidRPr="00F464FA">
        <w:rPr>
          <w:b/>
        </w:rPr>
        <w:t xml:space="preserve">Dropouts in Primary Schools </w:t>
      </w:r>
    </w:p>
    <w:p w14:paraId="5358888C" w14:textId="77777777" w:rsidR="00221DD4" w:rsidRPr="00F464FA" w:rsidRDefault="00221DD4" w:rsidP="00221DD4">
      <w:pPr>
        <w:pStyle w:val="SingleTxtG"/>
        <w:spacing w:after="0"/>
        <w:rPr>
          <w:b/>
          <w:bCs/>
        </w:rPr>
      </w:pPr>
      <w:r w:rsidRPr="00F464FA">
        <w:rPr>
          <w:b/>
          <w:bCs/>
          <w:noProof/>
          <w:lang w:eastAsia="en-GB"/>
        </w:rPr>
        <w:drawing>
          <wp:inline distT="0" distB="0" distL="0" distR="0" wp14:anchorId="75FACF41" wp14:editId="31EDF084">
            <wp:extent cx="4686935" cy="28010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049" cy="2817272"/>
                    </a:xfrm>
                    <a:prstGeom prst="rect">
                      <a:avLst/>
                    </a:prstGeom>
                    <a:noFill/>
                  </pic:spPr>
                </pic:pic>
              </a:graphicData>
            </a:graphic>
          </wp:inline>
        </w:drawing>
      </w:r>
    </w:p>
    <w:p w14:paraId="067B483E" w14:textId="3956F575" w:rsidR="00221DD4" w:rsidRPr="002277C3" w:rsidRDefault="00221DD4" w:rsidP="002277C3">
      <w:pPr>
        <w:spacing w:before="120" w:after="120"/>
        <w:ind w:left="1134" w:right="1134" w:firstLine="170"/>
        <w:rPr>
          <w:sz w:val="18"/>
        </w:rPr>
      </w:pPr>
      <w:r w:rsidRPr="002277C3">
        <w:rPr>
          <w:i/>
          <w:iCs/>
          <w:sz w:val="18"/>
        </w:rPr>
        <w:t>Source</w:t>
      </w:r>
      <w:r w:rsidRPr="002277C3">
        <w:rPr>
          <w:sz w:val="18"/>
        </w:rPr>
        <w:t>: Ministry of Education, Science and Technology</w:t>
      </w:r>
      <w:r w:rsidR="00BC0E7E" w:rsidRPr="002277C3">
        <w:rPr>
          <w:sz w:val="18"/>
        </w:rPr>
        <w:t>.</w:t>
      </w:r>
    </w:p>
    <w:p w14:paraId="428F1CC8" w14:textId="5580A484" w:rsidR="00221DD4" w:rsidRPr="00F464FA" w:rsidRDefault="00221DD4" w:rsidP="00221DD4">
      <w:pPr>
        <w:pStyle w:val="SingleTxtG"/>
        <w:rPr>
          <w:bCs/>
        </w:rPr>
      </w:pPr>
      <w:r w:rsidRPr="00F464FA">
        <w:rPr>
          <w:bCs/>
        </w:rPr>
        <w:t>161.</w:t>
      </w:r>
      <w:r w:rsidRPr="00F464FA">
        <w:rPr>
          <w:bCs/>
        </w:rPr>
        <w:tab/>
        <w:t>In 2017 there was a total of 97514 males drop outs and 104057 female drop outs. Mangochi district has the highest proportion of school dropouts at 9.3 percent, followed by Machinga with 7.3 percent. Learners drop out of school because of various reasons. Some of them being violence at school, sickness, pregnancy, poor facilities especially for girls, lack of support, lack of interest by the learner, early marriages, traveling long distance to school, lack of fees, family responsibilities, employment and unavailability of teachers.</w:t>
      </w:r>
    </w:p>
    <w:p w14:paraId="07500F95" w14:textId="77777777" w:rsidR="00221DD4" w:rsidRPr="00F464FA" w:rsidRDefault="00221DD4" w:rsidP="003A4CFF">
      <w:pPr>
        <w:pStyle w:val="SingleTxtG"/>
        <w:spacing w:after="240"/>
        <w:rPr>
          <w:bCs/>
        </w:rPr>
      </w:pPr>
      <w:r w:rsidRPr="00F464FA">
        <w:rPr>
          <w:bCs/>
        </w:rPr>
        <w:t>162.</w:t>
      </w:r>
      <w:r w:rsidRPr="00F464FA">
        <w:rPr>
          <w:bCs/>
        </w:rPr>
        <w:tab/>
        <w:t>In 2020, the dropout rate was highest in standard 1 and lowest in 3. As the table below shows.</w:t>
      </w:r>
    </w:p>
    <w:p w14:paraId="25728253" w14:textId="43343EDC" w:rsidR="00221DD4" w:rsidRPr="00F464FA" w:rsidRDefault="00221DD4" w:rsidP="00221DD4">
      <w:pPr>
        <w:pStyle w:val="Heading1"/>
      </w:pPr>
      <w:r w:rsidRPr="00F464FA">
        <w:t>Table 2</w:t>
      </w:r>
      <w:r w:rsidR="003A4CFF" w:rsidRPr="00F464FA">
        <w:t>2</w:t>
      </w:r>
    </w:p>
    <w:p w14:paraId="34FE70A9" w14:textId="704C673A" w:rsidR="00221DD4" w:rsidRPr="00F464FA" w:rsidRDefault="00221DD4" w:rsidP="00221DD4">
      <w:pPr>
        <w:pStyle w:val="SingleTxtG"/>
        <w:rPr>
          <w:b/>
        </w:rPr>
      </w:pPr>
      <w:r w:rsidRPr="00F464FA">
        <w:rPr>
          <w:b/>
        </w:rPr>
        <w:t>Distribution of dropout outs by grade, 2020</w:t>
      </w:r>
    </w:p>
    <w:p w14:paraId="2034DA50" w14:textId="77777777" w:rsidR="00221DD4" w:rsidRPr="00F464FA" w:rsidRDefault="00221DD4" w:rsidP="00221DD4">
      <w:pPr>
        <w:pStyle w:val="SingleTxtG"/>
        <w:spacing w:after="0"/>
      </w:pPr>
      <w:r w:rsidRPr="00F464FA">
        <w:rPr>
          <w:noProof/>
          <w:lang w:eastAsia="en-GB"/>
        </w:rPr>
        <w:drawing>
          <wp:inline distT="0" distB="0" distL="0" distR="0" wp14:anchorId="1030D431" wp14:editId="3C492648">
            <wp:extent cx="4711538" cy="2486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17287" cy="2489058"/>
                    </a:xfrm>
                    <a:prstGeom prst="rect">
                      <a:avLst/>
                    </a:prstGeom>
                  </pic:spPr>
                </pic:pic>
              </a:graphicData>
            </a:graphic>
          </wp:inline>
        </w:drawing>
      </w:r>
    </w:p>
    <w:p w14:paraId="26A7FD84" w14:textId="331D5EB0" w:rsidR="00221DD4" w:rsidRPr="00F464FA" w:rsidRDefault="00221DD4" w:rsidP="003A4CFF">
      <w:pPr>
        <w:spacing w:before="120"/>
        <w:ind w:left="1134" w:right="1134" w:firstLine="170"/>
        <w:rPr>
          <w:sz w:val="18"/>
        </w:rPr>
      </w:pPr>
      <w:r w:rsidRPr="00F464FA">
        <w:rPr>
          <w:rFonts w:eastAsiaTheme="minorHAnsi"/>
          <w:i/>
          <w:iCs/>
          <w:sz w:val="18"/>
        </w:rPr>
        <w:t>Source</w:t>
      </w:r>
      <w:r w:rsidRPr="00F464FA">
        <w:rPr>
          <w:i/>
          <w:iCs/>
          <w:sz w:val="18"/>
        </w:rPr>
        <w:t>:</w:t>
      </w:r>
      <w:r w:rsidRPr="00F464FA">
        <w:rPr>
          <w:sz w:val="18"/>
        </w:rPr>
        <w:t xml:space="preserve"> Ministry of Education, Science and Technology</w:t>
      </w:r>
      <w:r w:rsidR="003A4CFF" w:rsidRPr="00F464FA">
        <w:rPr>
          <w:sz w:val="18"/>
        </w:rPr>
        <w:t>.</w:t>
      </w:r>
    </w:p>
    <w:p w14:paraId="15B56B40" w14:textId="3A125BD6" w:rsidR="00221DD4" w:rsidRPr="00F464FA" w:rsidRDefault="00A928EE" w:rsidP="00355030">
      <w:pPr>
        <w:pStyle w:val="H23G"/>
        <w:rPr>
          <w:lang w:val="en-GB"/>
        </w:rPr>
      </w:pPr>
      <w:r w:rsidRPr="00F464FA">
        <w:rPr>
          <w:lang w:val="en-GB"/>
        </w:rPr>
        <w:lastRenderedPageBreak/>
        <w:tab/>
      </w:r>
      <w:r w:rsidRPr="00F464FA">
        <w:rPr>
          <w:lang w:val="en-GB"/>
        </w:rPr>
        <w:tab/>
      </w:r>
      <w:r w:rsidR="00221DD4" w:rsidRPr="00F464FA">
        <w:rPr>
          <w:lang w:val="en-GB"/>
        </w:rPr>
        <w:t>Children with disabilities in primary schools</w:t>
      </w:r>
    </w:p>
    <w:p w14:paraId="6BE035DD" w14:textId="77777777" w:rsidR="00221DD4" w:rsidRPr="00F464FA" w:rsidRDefault="00221DD4" w:rsidP="00221DD4">
      <w:pPr>
        <w:pStyle w:val="SingleTxtG"/>
        <w:rPr>
          <w:bCs/>
        </w:rPr>
      </w:pPr>
      <w:r w:rsidRPr="00F464FA">
        <w:rPr>
          <w:bCs/>
        </w:rPr>
        <w:t>163.</w:t>
      </w:r>
      <w:r w:rsidRPr="00F464FA">
        <w:rPr>
          <w:bCs/>
        </w:rPr>
        <w:tab/>
        <w:t>Malawi enacted the Disability Act in 2012. Section 10(a) of the Act provides that persons with disabilities shall not be excluded from the general education system at all levels. In that regard, the Ministry of Gender is currently lobbying for inclusive education in all schools whether public or private. To further strengthen this initiative, the Ministry of Education launched a National Inclusive Education Strategy 2016 to 2020.</w:t>
      </w:r>
    </w:p>
    <w:p w14:paraId="137F414B" w14:textId="77777777" w:rsidR="00221DD4" w:rsidRPr="00F464FA" w:rsidRDefault="00221DD4" w:rsidP="00221DD4">
      <w:pPr>
        <w:pStyle w:val="SingleTxtG"/>
        <w:rPr>
          <w:bCs/>
        </w:rPr>
      </w:pPr>
      <w:r w:rsidRPr="00F464FA">
        <w:rPr>
          <w:bCs/>
        </w:rPr>
        <w:t>164.</w:t>
      </w:r>
      <w:r w:rsidRPr="00F464FA">
        <w:rPr>
          <w:bCs/>
        </w:rPr>
        <w:tab/>
        <w:t xml:space="preserve">In 2017, about 2.8 per cent (146,048/5,073,729) of total primary </w:t>
      </w:r>
      <w:proofErr w:type="spellStart"/>
      <w:r w:rsidRPr="00F464FA">
        <w:rPr>
          <w:bCs/>
        </w:rPr>
        <w:t>enrollment</w:t>
      </w:r>
      <w:proofErr w:type="spellEnd"/>
      <w:r w:rsidRPr="00F464FA">
        <w:rPr>
          <w:bCs/>
        </w:rPr>
        <w:t xml:space="preserve"> were learners with special needs. In 2020, the total number of learners with special education needs was 186,422 and this represents 3.4 per cent of all learners. This proportion is higher than the 3.2 per cent that was reported in 2019.</w:t>
      </w:r>
    </w:p>
    <w:p w14:paraId="13F8A434" w14:textId="77777777" w:rsidR="00221DD4" w:rsidRPr="00F464FA" w:rsidRDefault="00221DD4" w:rsidP="00221DD4">
      <w:pPr>
        <w:pStyle w:val="SingleTxtG"/>
        <w:rPr>
          <w:bCs/>
        </w:rPr>
      </w:pPr>
      <w:r w:rsidRPr="00F464FA">
        <w:rPr>
          <w:bCs/>
        </w:rPr>
        <w:t>165.</w:t>
      </w:r>
      <w:r w:rsidRPr="00F464FA">
        <w:rPr>
          <w:bCs/>
        </w:rPr>
        <w:tab/>
        <w:t>While the sector is making some progress in increasing enrolment of special needs education learners, the provision of quality education for learners with special needs is still facing challenges such as inadequate teaching and learning materials; poor access to health services while in school and; poor public perception of special needs education.</w:t>
      </w:r>
    </w:p>
    <w:p w14:paraId="44C01D15" w14:textId="3F82759E" w:rsidR="00221DD4" w:rsidRPr="00F464FA" w:rsidRDefault="00221DD4" w:rsidP="00221DD4">
      <w:pPr>
        <w:pStyle w:val="SingleTxtG"/>
        <w:rPr>
          <w:bCs/>
        </w:rPr>
      </w:pPr>
      <w:r w:rsidRPr="00F464FA">
        <w:rPr>
          <w:bCs/>
        </w:rPr>
        <w:t>166.</w:t>
      </w:r>
      <w:r w:rsidRPr="00F464FA">
        <w:rPr>
          <w:bCs/>
        </w:rPr>
        <w:tab/>
        <w:t>With regard to access to special needs education resources, in 2020 only 3.4% of schools had special needs education resource rooms and 1.3% of the schools had a preparatory room for special needs education.</w:t>
      </w:r>
    </w:p>
    <w:p w14:paraId="19287F54" w14:textId="7E575C82" w:rsidR="00221DD4" w:rsidRPr="00F464FA" w:rsidRDefault="00CB232E" w:rsidP="00355030">
      <w:pPr>
        <w:pStyle w:val="H23G"/>
        <w:rPr>
          <w:lang w:val="en-GB"/>
        </w:rPr>
      </w:pPr>
      <w:r w:rsidRPr="00F464FA">
        <w:rPr>
          <w:lang w:val="en-GB"/>
        </w:rPr>
        <w:tab/>
      </w:r>
      <w:r w:rsidRPr="00F464FA">
        <w:rPr>
          <w:lang w:val="en-GB"/>
        </w:rPr>
        <w:tab/>
      </w:r>
      <w:r w:rsidR="00221DD4" w:rsidRPr="00F464FA">
        <w:rPr>
          <w:lang w:val="en-GB"/>
        </w:rPr>
        <w:t>Secondary Schools</w:t>
      </w:r>
    </w:p>
    <w:p w14:paraId="41A9850B" w14:textId="77777777" w:rsidR="00221DD4" w:rsidRPr="00F464FA" w:rsidRDefault="00221DD4" w:rsidP="00221DD4">
      <w:pPr>
        <w:pStyle w:val="H4G"/>
        <w:ind w:firstLine="0"/>
      </w:pPr>
      <w:r w:rsidRPr="00F464FA">
        <w:t xml:space="preserve">Student Enrolment Status </w:t>
      </w:r>
    </w:p>
    <w:p w14:paraId="1F61D46F" w14:textId="0AE70BC3" w:rsidR="00221DD4" w:rsidRPr="00F464FA" w:rsidRDefault="00221DD4" w:rsidP="00CB232E">
      <w:pPr>
        <w:pStyle w:val="SingleTxtG"/>
        <w:spacing w:after="240"/>
        <w:rPr>
          <w:bCs/>
        </w:rPr>
      </w:pPr>
      <w:r w:rsidRPr="00F464FA">
        <w:rPr>
          <w:bCs/>
        </w:rPr>
        <w:t>167.</w:t>
      </w:r>
      <w:r w:rsidRPr="00F464FA">
        <w:rPr>
          <w:bCs/>
        </w:rPr>
        <w:tab/>
        <w:t xml:space="preserve">Looking at the five years from 2013 to 2017, secondary school </w:t>
      </w:r>
      <w:proofErr w:type="spellStart"/>
      <w:r w:rsidRPr="00F464FA">
        <w:rPr>
          <w:bCs/>
        </w:rPr>
        <w:t>enrollment</w:t>
      </w:r>
      <w:proofErr w:type="spellEnd"/>
      <w:r w:rsidRPr="00F464FA">
        <w:rPr>
          <w:bCs/>
        </w:rPr>
        <w:t xml:space="preserve"> increased from 307216 in 2013 to 372885 in 2017 representing a growth of 21.4 per cent. </w:t>
      </w:r>
      <w:proofErr w:type="spellStart"/>
      <w:r w:rsidRPr="00F464FA">
        <w:rPr>
          <w:bCs/>
        </w:rPr>
        <w:t>Enrollment</w:t>
      </w:r>
      <w:proofErr w:type="spellEnd"/>
      <w:r w:rsidRPr="00F464FA">
        <w:rPr>
          <w:bCs/>
        </w:rPr>
        <w:t xml:space="preserve"> in public secondary schools has been increasing consistently from 2013 to 2015 with an average annual growth rate of 11.4 per cent, but decreased by 1.8 per cent in 2016. The </w:t>
      </w:r>
      <w:proofErr w:type="spellStart"/>
      <w:r w:rsidRPr="00F464FA">
        <w:rPr>
          <w:bCs/>
        </w:rPr>
        <w:t>enrollment</w:t>
      </w:r>
      <w:proofErr w:type="spellEnd"/>
      <w:r w:rsidRPr="00F464FA">
        <w:rPr>
          <w:bCs/>
        </w:rPr>
        <w:t xml:space="preserve"> increased by 6 per cent between 2015/16 and 2016/17. In terms of proprietorship, public school </w:t>
      </w:r>
      <w:proofErr w:type="spellStart"/>
      <w:r w:rsidRPr="00F464FA">
        <w:rPr>
          <w:bCs/>
        </w:rPr>
        <w:t>enrollment</w:t>
      </w:r>
      <w:proofErr w:type="spellEnd"/>
      <w:r w:rsidRPr="00F464FA">
        <w:rPr>
          <w:bCs/>
        </w:rPr>
        <w:t xml:space="preserve"> accounted for approximately 79 per cent of secondary school </w:t>
      </w:r>
      <w:proofErr w:type="spellStart"/>
      <w:r w:rsidRPr="00F464FA">
        <w:rPr>
          <w:bCs/>
        </w:rPr>
        <w:t>enrollment</w:t>
      </w:r>
      <w:proofErr w:type="spellEnd"/>
      <w:r w:rsidRPr="00F464FA">
        <w:rPr>
          <w:bCs/>
        </w:rPr>
        <w:t xml:space="preserve"> in 2016/17, while private schools accounted for 21 per cent. In the 2016/17 academic year, more boys were enrolled (52 per cent) compared to girls (48 per cent). In 2020 the student enrolment increased from 377,731 students in 2019 to 415,013.</w:t>
      </w:r>
    </w:p>
    <w:p w14:paraId="071F6D36" w14:textId="0631C23F" w:rsidR="00221DD4" w:rsidRPr="00F464FA" w:rsidRDefault="00221DD4" w:rsidP="00221DD4">
      <w:pPr>
        <w:pStyle w:val="Heading1"/>
      </w:pPr>
      <w:r w:rsidRPr="00F464FA">
        <w:t>Table 23</w:t>
      </w:r>
    </w:p>
    <w:p w14:paraId="5BAD5DA6" w14:textId="14C310B3" w:rsidR="00221DD4" w:rsidRPr="00F464FA" w:rsidRDefault="00221DD4" w:rsidP="00221DD4">
      <w:pPr>
        <w:pStyle w:val="SingleTxtG"/>
        <w:rPr>
          <w:b/>
        </w:rPr>
      </w:pPr>
      <w:r w:rsidRPr="00F464FA">
        <w:rPr>
          <w:b/>
        </w:rPr>
        <w:t xml:space="preserve">Secondary School </w:t>
      </w:r>
      <w:proofErr w:type="spellStart"/>
      <w:r w:rsidRPr="00F464FA">
        <w:rPr>
          <w:b/>
        </w:rPr>
        <w:t>Enrollment</w:t>
      </w:r>
      <w:proofErr w:type="spellEnd"/>
      <w:r w:rsidRPr="00F464FA">
        <w:rPr>
          <w:b/>
        </w:rPr>
        <w:t xml:space="preserve"> 2013–2017</w:t>
      </w:r>
    </w:p>
    <w:p w14:paraId="24EE8984" w14:textId="77777777" w:rsidR="00221DD4" w:rsidRPr="00F464FA" w:rsidRDefault="00221DD4" w:rsidP="00221DD4">
      <w:pPr>
        <w:pStyle w:val="SingleTxtG"/>
        <w:spacing w:after="0"/>
        <w:rPr>
          <w:b/>
          <w:bCs/>
        </w:rPr>
      </w:pPr>
      <w:r w:rsidRPr="00F464FA">
        <w:rPr>
          <w:b/>
          <w:bCs/>
          <w:noProof/>
          <w:lang w:eastAsia="en-GB"/>
        </w:rPr>
        <w:drawing>
          <wp:inline distT="0" distB="0" distL="0" distR="0" wp14:anchorId="5D4E60C3" wp14:editId="22E2F30E">
            <wp:extent cx="4713537"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3721" cy="1737296"/>
                    </a:xfrm>
                    <a:prstGeom prst="rect">
                      <a:avLst/>
                    </a:prstGeom>
                    <a:noFill/>
                  </pic:spPr>
                </pic:pic>
              </a:graphicData>
            </a:graphic>
          </wp:inline>
        </w:drawing>
      </w:r>
    </w:p>
    <w:p w14:paraId="6E1E491E" w14:textId="3454D155" w:rsidR="00221DD4" w:rsidRPr="00F464FA" w:rsidRDefault="00221DD4" w:rsidP="0045208F">
      <w:pPr>
        <w:spacing w:before="120" w:after="240"/>
        <w:ind w:left="1134" w:right="1134" w:firstLine="170"/>
        <w:rPr>
          <w:sz w:val="18"/>
        </w:rPr>
      </w:pPr>
      <w:r w:rsidRPr="00F464FA">
        <w:rPr>
          <w:i/>
          <w:iCs/>
          <w:sz w:val="18"/>
        </w:rPr>
        <w:t>Source:</w:t>
      </w:r>
      <w:r w:rsidRPr="00F464FA">
        <w:rPr>
          <w:sz w:val="18"/>
        </w:rPr>
        <w:t xml:space="preserve"> Ministry of Education Science and Technology</w:t>
      </w:r>
      <w:r w:rsidR="0045208F" w:rsidRPr="00F464FA">
        <w:rPr>
          <w:sz w:val="18"/>
        </w:rPr>
        <w:t>.</w:t>
      </w:r>
    </w:p>
    <w:p w14:paraId="1AE7FEA2" w14:textId="5F8F72FE" w:rsidR="00221DD4" w:rsidRPr="00F464FA" w:rsidRDefault="00221DD4" w:rsidP="00221DD4">
      <w:pPr>
        <w:pStyle w:val="Heading1"/>
      </w:pPr>
      <w:r w:rsidRPr="00F464FA">
        <w:t>Table 24</w:t>
      </w:r>
    </w:p>
    <w:p w14:paraId="512054B5" w14:textId="77777777" w:rsidR="00221DD4" w:rsidRPr="00F464FA" w:rsidRDefault="00221DD4" w:rsidP="00221DD4">
      <w:pPr>
        <w:pStyle w:val="SingleTxtG"/>
        <w:rPr>
          <w:b/>
        </w:rPr>
      </w:pPr>
      <w:r w:rsidRPr="00F464FA">
        <w:rPr>
          <w:b/>
        </w:rPr>
        <w:t>Secondary school student enrolment by proprietorship and sex</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34"/>
        <w:gridCol w:w="1215"/>
        <w:gridCol w:w="1216"/>
        <w:gridCol w:w="1215"/>
        <w:gridCol w:w="1216"/>
        <w:gridCol w:w="1274"/>
      </w:tblGrid>
      <w:tr w:rsidR="007D611E" w:rsidRPr="00F464FA" w14:paraId="6DEDBA9C" w14:textId="77777777" w:rsidTr="000E50F9">
        <w:trPr>
          <w:tblHeader/>
        </w:trPr>
        <w:tc>
          <w:tcPr>
            <w:tcW w:w="1234" w:type="dxa"/>
            <w:vMerge w:val="restart"/>
            <w:tcBorders>
              <w:top w:val="single" w:sz="4" w:space="0" w:color="auto"/>
            </w:tcBorders>
            <w:shd w:val="clear" w:color="auto" w:fill="auto"/>
            <w:vAlign w:val="bottom"/>
          </w:tcPr>
          <w:p w14:paraId="605E8502"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left"/>
              <w:rPr>
                <w:i/>
                <w:sz w:val="16"/>
              </w:rPr>
            </w:pPr>
          </w:p>
        </w:tc>
        <w:tc>
          <w:tcPr>
            <w:tcW w:w="2431" w:type="dxa"/>
            <w:gridSpan w:val="2"/>
            <w:tcBorders>
              <w:top w:val="single" w:sz="4" w:space="0" w:color="auto"/>
              <w:bottom w:val="single" w:sz="4" w:space="0" w:color="auto"/>
            </w:tcBorders>
            <w:shd w:val="clear" w:color="auto" w:fill="auto"/>
            <w:vAlign w:val="bottom"/>
          </w:tcPr>
          <w:p w14:paraId="14615465" w14:textId="075108D0" w:rsidR="007D611E" w:rsidRPr="00F464FA" w:rsidRDefault="007D611E" w:rsidP="007D611E">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Public Schools</w:t>
            </w:r>
          </w:p>
        </w:tc>
        <w:tc>
          <w:tcPr>
            <w:tcW w:w="2431" w:type="dxa"/>
            <w:gridSpan w:val="2"/>
            <w:tcBorders>
              <w:top w:val="single" w:sz="4" w:space="0" w:color="auto"/>
              <w:bottom w:val="single" w:sz="4" w:space="0" w:color="auto"/>
            </w:tcBorders>
            <w:shd w:val="clear" w:color="auto" w:fill="auto"/>
            <w:vAlign w:val="bottom"/>
          </w:tcPr>
          <w:p w14:paraId="74EF73A4"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Private schools</w:t>
            </w:r>
          </w:p>
        </w:tc>
        <w:tc>
          <w:tcPr>
            <w:tcW w:w="1274" w:type="dxa"/>
            <w:tcBorders>
              <w:top w:val="single" w:sz="4" w:space="0" w:color="auto"/>
              <w:bottom w:val="single" w:sz="4" w:space="0" w:color="auto"/>
            </w:tcBorders>
            <w:shd w:val="clear" w:color="auto" w:fill="auto"/>
            <w:vAlign w:val="bottom"/>
          </w:tcPr>
          <w:p w14:paraId="21344953"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center"/>
              <w:rPr>
                <w:i/>
                <w:sz w:val="16"/>
              </w:rPr>
            </w:pPr>
            <w:r w:rsidRPr="00F464FA">
              <w:rPr>
                <w:i/>
                <w:sz w:val="16"/>
              </w:rPr>
              <w:t>Total</w:t>
            </w:r>
          </w:p>
        </w:tc>
      </w:tr>
      <w:tr w:rsidR="007D611E" w:rsidRPr="00F464FA" w14:paraId="3829B49D" w14:textId="77777777" w:rsidTr="000E50F9">
        <w:trPr>
          <w:tblHeader/>
        </w:trPr>
        <w:tc>
          <w:tcPr>
            <w:tcW w:w="1234" w:type="dxa"/>
            <w:vMerge/>
            <w:tcBorders>
              <w:bottom w:val="single" w:sz="12" w:space="0" w:color="auto"/>
            </w:tcBorders>
            <w:shd w:val="clear" w:color="auto" w:fill="auto"/>
          </w:tcPr>
          <w:p w14:paraId="10454835" w14:textId="77777777" w:rsidR="007D611E" w:rsidRPr="00F464FA" w:rsidRDefault="007D611E" w:rsidP="007D611E">
            <w:pPr>
              <w:pStyle w:val="SingleTxtG"/>
              <w:tabs>
                <w:tab w:val="clear" w:pos="1701"/>
                <w:tab w:val="clear" w:pos="2268"/>
              </w:tabs>
              <w:suppressAutoHyphens w:val="0"/>
              <w:spacing w:before="40" w:after="40" w:line="220" w:lineRule="exact"/>
              <w:ind w:left="0" w:right="113"/>
              <w:jc w:val="left"/>
              <w:rPr>
                <w:sz w:val="18"/>
              </w:rPr>
            </w:pPr>
          </w:p>
        </w:tc>
        <w:tc>
          <w:tcPr>
            <w:tcW w:w="1215" w:type="dxa"/>
            <w:tcBorders>
              <w:top w:val="single" w:sz="4" w:space="0" w:color="auto"/>
              <w:bottom w:val="single" w:sz="12" w:space="0" w:color="auto"/>
            </w:tcBorders>
            <w:shd w:val="clear" w:color="auto" w:fill="auto"/>
            <w:vAlign w:val="bottom"/>
          </w:tcPr>
          <w:p w14:paraId="4CEFD50C"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right"/>
              <w:rPr>
                <w:i/>
                <w:sz w:val="16"/>
              </w:rPr>
            </w:pPr>
            <w:r w:rsidRPr="00F464FA">
              <w:rPr>
                <w:i/>
                <w:sz w:val="16"/>
              </w:rPr>
              <w:t>Male</w:t>
            </w:r>
          </w:p>
        </w:tc>
        <w:tc>
          <w:tcPr>
            <w:tcW w:w="1216" w:type="dxa"/>
            <w:tcBorders>
              <w:top w:val="single" w:sz="4" w:space="0" w:color="auto"/>
              <w:bottom w:val="single" w:sz="12" w:space="0" w:color="auto"/>
            </w:tcBorders>
            <w:shd w:val="clear" w:color="auto" w:fill="auto"/>
            <w:vAlign w:val="bottom"/>
          </w:tcPr>
          <w:p w14:paraId="27CD0541"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right"/>
              <w:rPr>
                <w:i/>
                <w:sz w:val="16"/>
              </w:rPr>
            </w:pPr>
            <w:r w:rsidRPr="00F464FA">
              <w:rPr>
                <w:i/>
                <w:sz w:val="16"/>
              </w:rPr>
              <w:t>Female</w:t>
            </w:r>
          </w:p>
        </w:tc>
        <w:tc>
          <w:tcPr>
            <w:tcW w:w="1215" w:type="dxa"/>
            <w:tcBorders>
              <w:top w:val="single" w:sz="4" w:space="0" w:color="auto"/>
              <w:bottom w:val="single" w:sz="12" w:space="0" w:color="auto"/>
            </w:tcBorders>
            <w:shd w:val="clear" w:color="auto" w:fill="auto"/>
            <w:vAlign w:val="bottom"/>
          </w:tcPr>
          <w:p w14:paraId="7F4F448F"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right"/>
              <w:rPr>
                <w:i/>
                <w:sz w:val="16"/>
              </w:rPr>
            </w:pPr>
            <w:r w:rsidRPr="00F464FA">
              <w:rPr>
                <w:i/>
                <w:sz w:val="16"/>
              </w:rPr>
              <w:t>Male</w:t>
            </w:r>
          </w:p>
        </w:tc>
        <w:tc>
          <w:tcPr>
            <w:tcW w:w="1216" w:type="dxa"/>
            <w:tcBorders>
              <w:top w:val="single" w:sz="4" w:space="0" w:color="auto"/>
              <w:bottom w:val="single" w:sz="12" w:space="0" w:color="auto"/>
            </w:tcBorders>
            <w:shd w:val="clear" w:color="auto" w:fill="auto"/>
            <w:vAlign w:val="bottom"/>
          </w:tcPr>
          <w:p w14:paraId="1F0619C3"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right"/>
              <w:rPr>
                <w:i/>
                <w:sz w:val="16"/>
              </w:rPr>
            </w:pPr>
            <w:r w:rsidRPr="00F464FA">
              <w:rPr>
                <w:i/>
                <w:sz w:val="16"/>
              </w:rPr>
              <w:t>Female</w:t>
            </w:r>
          </w:p>
        </w:tc>
        <w:tc>
          <w:tcPr>
            <w:tcW w:w="1274" w:type="dxa"/>
            <w:tcBorders>
              <w:top w:val="single" w:sz="4" w:space="0" w:color="auto"/>
              <w:bottom w:val="single" w:sz="12" w:space="0" w:color="auto"/>
            </w:tcBorders>
            <w:shd w:val="clear" w:color="auto" w:fill="auto"/>
            <w:vAlign w:val="bottom"/>
          </w:tcPr>
          <w:p w14:paraId="48171266" w14:textId="77777777" w:rsidR="007D611E" w:rsidRPr="00F464FA" w:rsidRDefault="007D611E" w:rsidP="007D611E">
            <w:pPr>
              <w:pStyle w:val="SingleTxtG"/>
              <w:tabs>
                <w:tab w:val="clear" w:pos="1701"/>
                <w:tab w:val="clear" w:pos="2268"/>
              </w:tabs>
              <w:suppressAutoHyphens w:val="0"/>
              <w:spacing w:before="80" w:after="80" w:line="200" w:lineRule="exact"/>
              <w:ind w:left="0" w:right="113"/>
              <w:jc w:val="right"/>
              <w:rPr>
                <w:i/>
                <w:sz w:val="16"/>
              </w:rPr>
            </w:pPr>
          </w:p>
        </w:tc>
      </w:tr>
      <w:tr w:rsidR="00221DD4" w:rsidRPr="00F464FA" w14:paraId="24877A25" w14:textId="77777777" w:rsidTr="000E50F9">
        <w:trPr>
          <w:trHeight w:hRule="exact" w:val="113"/>
          <w:tblHeader/>
        </w:trPr>
        <w:tc>
          <w:tcPr>
            <w:tcW w:w="1234" w:type="dxa"/>
            <w:tcBorders>
              <w:top w:val="single" w:sz="12" w:space="0" w:color="auto"/>
              <w:bottom w:val="nil"/>
            </w:tcBorders>
            <w:shd w:val="clear" w:color="auto" w:fill="auto"/>
          </w:tcPr>
          <w:p w14:paraId="3302B18B"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left"/>
              <w:rPr>
                <w:sz w:val="18"/>
              </w:rPr>
            </w:pPr>
          </w:p>
        </w:tc>
        <w:tc>
          <w:tcPr>
            <w:tcW w:w="1215" w:type="dxa"/>
            <w:tcBorders>
              <w:top w:val="single" w:sz="12" w:space="0" w:color="auto"/>
              <w:bottom w:val="nil"/>
            </w:tcBorders>
            <w:shd w:val="clear" w:color="auto" w:fill="auto"/>
            <w:vAlign w:val="bottom"/>
          </w:tcPr>
          <w:p w14:paraId="0961F86B"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p>
        </w:tc>
        <w:tc>
          <w:tcPr>
            <w:tcW w:w="1216" w:type="dxa"/>
            <w:tcBorders>
              <w:top w:val="single" w:sz="12" w:space="0" w:color="auto"/>
              <w:bottom w:val="nil"/>
            </w:tcBorders>
            <w:shd w:val="clear" w:color="auto" w:fill="auto"/>
            <w:vAlign w:val="bottom"/>
          </w:tcPr>
          <w:p w14:paraId="0E83C8F6"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p>
        </w:tc>
        <w:tc>
          <w:tcPr>
            <w:tcW w:w="1215" w:type="dxa"/>
            <w:tcBorders>
              <w:top w:val="single" w:sz="12" w:space="0" w:color="auto"/>
              <w:bottom w:val="nil"/>
            </w:tcBorders>
            <w:shd w:val="clear" w:color="auto" w:fill="auto"/>
            <w:vAlign w:val="bottom"/>
          </w:tcPr>
          <w:p w14:paraId="70C13FA9"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p>
        </w:tc>
        <w:tc>
          <w:tcPr>
            <w:tcW w:w="1216" w:type="dxa"/>
            <w:tcBorders>
              <w:top w:val="single" w:sz="12" w:space="0" w:color="auto"/>
              <w:bottom w:val="nil"/>
            </w:tcBorders>
            <w:shd w:val="clear" w:color="auto" w:fill="auto"/>
            <w:vAlign w:val="bottom"/>
          </w:tcPr>
          <w:p w14:paraId="40B41C5F"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p>
        </w:tc>
        <w:tc>
          <w:tcPr>
            <w:tcW w:w="1274" w:type="dxa"/>
            <w:tcBorders>
              <w:top w:val="single" w:sz="12" w:space="0" w:color="auto"/>
              <w:bottom w:val="nil"/>
            </w:tcBorders>
            <w:shd w:val="clear" w:color="auto" w:fill="auto"/>
            <w:vAlign w:val="bottom"/>
          </w:tcPr>
          <w:p w14:paraId="58B14A97"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p>
        </w:tc>
      </w:tr>
      <w:tr w:rsidR="00221DD4" w:rsidRPr="00F464FA" w14:paraId="41F7DB86" w14:textId="77777777" w:rsidTr="007D611E">
        <w:tc>
          <w:tcPr>
            <w:tcW w:w="1234" w:type="dxa"/>
            <w:tcBorders>
              <w:top w:val="nil"/>
              <w:bottom w:val="nil"/>
            </w:tcBorders>
            <w:shd w:val="clear" w:color="auto" w:fill="auto"/>
          </w:tcPr>
          <w:p w14:paraId="7C659782"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left"/>
              <w:rPr>
                <w:sz w:val="18"/>
              </w:rPr>
            </w:pPr>
            <w:r w:rsidRPr="00F464FA">
              <w:rPr>
                <w:sz w:val="18"/>
              </w:rPr>
              <w:t>Form 1</w:t>
            </w:r>
          </w:p>
        </w:tc>
        <w:tc>
          <w:tcPr>
            <w:tcW w:w="1215" w:type="dxa"/>
            <w:tcBorders>
              <w:top w:val="nil"/>
              <w:bottom w:val="nil"/>
            </w:tcBorders>
            <w:shd w:val="clear" w:color="auto" w:fill="auto"/>
            <w:vAlign w:val="bottom"/>
          </w:tcPr>
          <w:p w14:paraId="60724DA9" w14:textId="15ACD776"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47</w:t>
            </w:r>
            <w:r w:rsidR="007D611E" w:rsidRPr="00F464FA">
              <w:rPr>
                <w:sz w:val="18"/>
              </w:rPr>
              <w:t xml:space="preserve"> </w:t>
            </w:r>
            <w:r w:rsidRPr="00F464FA">
              <w:rPr>
                <w:sz w:val="18"/>
              </w:rPr>
              <w:t>357</w:t>
            </w:r>
          </w:p>
        </w:tc>
        <w:tc>
          <w:tcPr>
            <w:tcW w:w="1216" w:type="dxa"/>
            <w:tcBorders>
              <w:top w:val="nil"/>
              <w:bottom w:val="nil"/>
            </w:tcBorders>
            <w:shd w:val="clear" w:color="auto" w:fill="auto"/>
            <w:vAlign w:val="bottom"/>
          </w:tcPr>
          <w:p w14:paraId="1C1A3AEB" w14:textId="7FF72C73"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46</w:t>
            </w:r>
            <w:r w:rsidR="007D611E" w:rsidRPr="00F464FA">
              <w:rPr>
                <w:sz w:val="18"/>
              </w:rPr>
              <w:t xml:space="preserve"> </w:t>
            </w:r>
            <w:r w:rsidRPr="00F464FA">
              <w:rPr>
                <w:sz w:val="18"/>
              </w:rPr>
              <w:t>179</w:t>
            </w:r>
          </w:p>
        </w:tc>
        <w:tc>
          <w:tcPr>
            <w:tcW w:w="1215" w:type="dxa"/>
            <w:tcBorders>
              <w:top w:val="nil"/>
              <w:bottom w:val="nil"/>
            </w:tcBorders>
            <w:shd w:val="clear" w:color="auto" w:fill="auto"/>
            <w:vAlign w:val="bottom"/>
          </w:tcPr>
          <w:p w14:paraId="3552F9C7" w14:textId="37920B8E"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9</w:t>
            </w:r>
            <w:r w:rsidR="007D611E" w:rsidRPr="00F464FA">
              <w:rPr>
                <w:sz w:val="18"/>
              </w:rPr>
              <w:t xml:space="preserve"> </w:t>
            </w:r>
            <w:r w:rsidRPr="00F464FA">
              <w:rPr>
                <w:sz w:val="18"/>
              </w:rPr>
              <w:t>677</w:t>
            </w:r>
          </w:p>
        </w:tc>
        <w:tc>
          <w:tcPr>
            <w:tcW w:w="1216" w:type="dxa"/>
            <w:tcBorders>
              <w:top w:val="nil"/>
              <w:bottom w:val="nil"/>
            </w:tcBorders>
            <w:shd w:val="clear" w:color="auto" w:fill="auto"/>
            <w:vAlign w:val="bottom"/>
          </w:tcPr>
          <w:p w14:paraId="4B4507CE" w14:textId="30C560AD"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10</w:t>
            </w:r>
            <w:r w:rsidR="007D611E" w:rsidRPr="00F464FA">
              <w:rPr>
                <w:sz w:val="18"/>
              </w:rPr>
              <w:t xml:space="preserve"> </w:t>
            </w:r>
            <w:r w:rsidRPr="00F464FA">
              <w:rPr>
                <w:sz w:val="18"/>
              </w:rPr>
              <w:t>024</w:t>
            </w:r>
          </w:p>
        </w:tc>
        <w:tc>
          <w:tcPr>
            <w:tcW w:w="1274" w:type="dxa"/>
            <w:tcBorders>
              <w:top w:val="nil"/>
              <w:bottom w:val="nil"/>
            </w:tcBorders>
            <w:shd w:val="clear" w:color="auto" w:fill="auto"/>
            <w:vAlign w:val="bottom"/>
          </w:tcPr>
          <w:p w14:paraId="324952BD" w14:textId="59AADFF1"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113</w:t>
            </w:r>
            <w:r w:rsidR="007D611E" w:rsidRPr="00F464FA">
              <w:rPr>
                <w:sz w:val="18"/>
              </w:rPr>
              <w:t xml:space="preserve"> </w:t>
            </w:r>
            <w:r w:rsidRPr="00F464FA">
              <w:rPr>
                <w:sz w:val="18"/>
              </w:rPr>
              <w:t>237</w:t>
            </w:r>
          </w:p>
        </w:tc>
      </w:tr>
      <w:tr w:rsidR="00221DD4" w:rsidRPr="00F464FA" w14:paraId="7A537954" w14:textId="77777777" w:rsidTr="007D611E">
        <w:tc>
          <w:tcPr>
            <w:tcW w:w="1234" w:type="dxa"/>
            <w:tcBorders>
              <w:top w:val="nil"/>
              <w:bottom w:val="nil"/>
            </w:tcBorders>
            <w:shd w:val="clear" w:color="auto" w:fill="auto"/>
          </w:tcPr>
          <w:p w14:paraId="5CAD8CBA"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left"/>
              <w:rPr>
                <w:sz w:val="18"/>
              </w:rPr>
            </w:pPr>
            <w:r w:rsidRPr="00F464FA">
              <w:rPr>
                <w:sz w:val="18"/>
              </w:rPr>
              <w:t>Form 2</w:t>
            </w:r>
          </w:p>
        </w:tc>
        <w:tc>
          <w:tcPr>
            <w:tcW w:w="1215" w:type="dxa"/>
            <w:tcBorders>
              <w:top w:val="nil"/>
              <w:bottom w:val="nil"/>
            </w:tcBorders>
            <w:shd w:val="clear" w:color="auto" w:fill="auto"/>
            <w:vAlign w:val="bottom"/>
          </w:tcPr>
          <w:p w14:paraId="08FCAEBD" w14:textId="2E75AA59"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44</w:t>
            </w:r>
            <w:r w:rsidR="007D611E" w:rsidRPr="00F464FA">
              <w:rPr>
                <w:sz w:val="18"/>
              </w:rPr>
              <w:t xml:space="preserve"> </w:t>
            </w:r>
            <w:r w:rsidRPr="00F464FA">
              <w:rPr>
                <w:sz w:val="18"/>
              </w:rPr>
              <w:t>599</w:t>
            </w:r>
          </w:p>
        </w:tc>
        <w:tc>
          <w:tcPr>
            <w:tcW w:w="1216" w:type="dxa"/>
            <w:tcBorders>
              <w:top w:val="nil"/>
              <w:bottom w:val="nil"/>
            </w:tcBorders>
            <w:shd w:val="clear" w:color="auto" w:fill="auto"/>
            <w:vAlign w:val="bottom"/>
          </w:tcPr>
          <w:p w14:paraId="60C8431A" w14:textId="03342F56"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42</w:t>
            </w:r>
            <w:r w:rsidR="007D611E" w:rsidRPr="00F464FA">
              <w:rPr>
                <w:sz w:val="18"/>
              </w:rPr>
              <w:t xml:space="preserve"> </w:t>
            </w:r>
            <w:r w:rsidRPr="00F464FA">
              <w:rPr>
                <w:sz w:val="18"/>
              </w:rPr>
              <w:t>288</w:t>
            </w:r>
          </w:p>
        </w:tc>
        <w:tc>
          <w:tcPr>
            <w:tcW w:w="1215" w:type="dxa"/>
            <w:tcBorders>
              <w:top w:val="nil"/>
              <w:bottom w:val="nil"/>
            </w:tcBorders>
            <w:shd w:val="clear" w:color="auto" w:fill="auto"/>
            <w:vAlign w:val="bottom"/>
          </w:tcPr>
          <w:p w14:paraId="7DC3305B" w14:textId="5B414B12"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8</w:t>
            </w:r>
            <w:r w:rsidR="007D611E" w:rsidRPr="00F464FA">
              <w:rPr>
                <w:sz w:val="18"/>
              </w:rPr>
              <w:t xml:space="preserve"> </w:t>
            </w:r>
            <w:r w:rsidRPr="00F464FA">
              <w:rPr>
                <w:sz w:val="18"/>
              </w:rPr>
              <w:t>973</w:t>
            </w:r>
          </w:p>
        </w:tc>
        <w:tc>
          <w:tcPr>
            <w:tcW w:w="1216" w:type="dxa"/>
            <w:tcBorders>
              <w:top w:val="nil"/>
              <w:bottom w:val="nil"/>
            </w:tcBorders>
            <w:shd w:val="clear" w:color="auto" w:fill="auto"/>
            <w:vAlign w:val="bottom"/>
          </w:tcPr>
          <w:p w14:paraId="44231330" w14:textId="0D76A60D"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9</w:t>
            </w:r>
            <w:r w:rsidR="007D611E" w:rsidRPr="00F464FA">
              <w:rPr>
                <w:sz w:val="18"/>
              </w:rPr>
              <w:t xml:space="preserve"> </w:t>
            </w:r>
            <w:r w:rsidRPr="00F464FA">
              <w:rPr>
                <w:sz w:val="18"/>
              </w:rPr>
              <w:t>261</w:t>
            </w:r>
          </w:p>
        </w:tc>
        <w:tc>
          <w:tcPr>
            <w:tcW w:w="1274" w:type="dxa"/>
            <w:tcBorders>
              <w:top w:val="nil"/>
              <w:bottom w:val="nil"/>
            </w:tcBorders>
            <w:shd w:val="clear" w:color="auto" w:fill="auto"/>
            <w:vAlign w:val="bottom"/>
          </w:tcPr>
          <w:p w14:paraId="10A3E34B" w14:textId="1F0C2DDC"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105</w:t>
            </w:r>
            <w:r w:rsidR="007D611E" w:rsidRPr="00F464FA">
              <w:rPr>
                <w:sz w:val="18"/>
              </w:rPr>
              <w:t xml:space="preserve"> </w:t>
            </w:r>
            <w:r w:rsidRPr="00F464FA">
              <w:rPr>
                <w:sz w:val="18"/>
              </w:rPr>
              <w:t>121</w:t>
            </w:r>
          </w:p>
        </w:tc>
      </w:tr>
      <w:tr w:rsidR="00221DD4" w:rsidRPr="00F464FA" w14:paraId="53B49DC9" w14:textId="77777777" w:rsidTr="007D611E">
        <w:tc>
          <w:tcPr>
            <w:tcW w:w="1234" w:type="dxa"/>
            <w:tcBorders>
              <w:top w:val="nil"/>
            </w:tcBorders>
            <w:shd w:val="clear" w:color="auto" w:fill="auto"/>
          </w:tcPr>
          <w:p w14:paraId="6F62777C"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left"/>
              <w:rPr>
                <w:sz w:val="18"/>
              </w:rPr>
            </w:pPr>
            <w:r w:rsidRPr="00F464FA">
              <w:rPr>
                <w:sz w:val="18"/>
              </w:rPr>
              <w:lastRenderedPageBreak/>
              <w:t>Form 3</w:t>
            </w:r>
          </w:p>
        </w:tc>
        <w:tc>
          <w:tcPr>
            <w:tcW w:w="1215" w:type="dxa"/>
            <w:tcBorders>
              <w:top w:val="nil"/>
            </w:tcBorders>
            <w:shd w:val="clear" w:color="auto" w:fill="auto"/>
            <w:vAlign w:val="bottom"/>
          </w:tcPr>
          <w:p w14:paraId="2F8EC683" w14:textId="34AF39C7"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41</w:t>
            </w:r>
            <w:r w:rsidR="007D611E" w:rsidRPr="00F464FA">
              <w:rPr>
                <w:sz w:val="18"/>
              </w:rPr>
              <w:t xml:space="preserve"> </w:t>
            </w:r>
            <w:r w:rsidRPr="00F464FA">
              <w:rPr>
                <w:sz w:val="18"/>
              </w:rPr>
              <w:t>659</w:t>
            </w:r>
          </w:p>
        </w:tc>
        <w:tc>
          <w:tcPr>
            <w:tcW w:w="1216" w:type="dxa"/>
            <w:tcBorders>
              <w:top w:val="nil"/>
            </w:tcBorders>
            <w:shd w:val="clear" w:color="auto" w:fill="auto"/>
            <w:vAlign w:val="bottom"/>
          </w:tcPr>
          <w:p w14:paraId="136249D0" w14:textId="0E61C272"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37</w:t>
            </w:r>
            <w:r w:rsidR="007D611E" w:rsidRPr="00F464FA">
              <w:rPr>
                <w:sz w:val="18"/>
              </w:rPr>
              <w:t xml:space="preserve"> </w:t>
            </w:r>
            <w:r w:rsidRPr="00F464FA">
              <w:rPr>
                <w:sz w:val="18"/>
              </w:rPr>
              <w:t>559</w:t>
            </w:r>
          </w:p>
        </w:tc>
        <w:tc>
          <w:tcPr>
            <w:tcW w:w="1215" w:type="dxa"/>
            <w:tcBorders>
              <w:top w:val="nil"/>
            </w:tcBorders>
            <w:shd w:val="clear" w:color="auto" w:fill="auto"/>
            <w:vAlign w:val="bottom"/>
          </w:tcPr>
          <w:p w14:paraId="3CB66935" w14:textId="144D4648"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9</w:t>
            </w:r>
            <w:r w:rsidR="007D611E" w:rsidRPr="00F464FA">
              <w:rPr>
                <w:sz w:val="18"/>
              </w:rPr>
              <w:t xml:space="preserve"> </w:t>
            </w:r>
            <w:r w:rsidRPr="00F464FA">
              <w:rPr>
                <w:sz w:val="18"/>
              </w:rPr>
              <w:t>903</w:t>
            </w:r>
          </w:p>
        </w:tc>
        <w:tc>
          <w:tcPr>
            <w:tcW w:w="1216" w:type="dxa"/>
            <w:tcBorders>
              <w:top w:val="nil"/>
            </w:tcBorders>
            <w:shd w:val="clear" w:color="auto" w:fill="auto"/>
            <w:vAlign w:val="bottom"/>
          </w:tcPr>
          <w:p w14:paraId="3CEEFC62" w14:textId="271F7151"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9</w:t>
            </w:r>
            <w:r w:rsidR="007D611E" w:rsidRPr="00F464FA">
              <w:rPr>
                <w:sz w:val="18"/>
              </w:rPr>
              <w:t xml:space="preserve"> </w:t>
            </w:r>
            <w:r w:rsidRPr="00F464FA">
              <w:rPr>
                <w:sz w:val="18"/>
              </w:rPr>
              <w:t>697</w:t>
            </w:r>
          </w:p>
        </w:tc>
        <w:tc>
          <w:tcPr>
            <w:tcW w:w="1274" w:type="dxa"/>
            <w:tcBorders>
              <w:top w:val="nil"/>
            </w:tcBorders>
            <w:shd w:val="clear" w:color="auto" w:fill="auto"/>
            <w:vAlign w:val="bottom"/>
          </w:tcPr>
          <w:p w14:paraId="3755052F" w14:textId="64E42F3D"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98</w:t>
            </w:r>
            <w:r w:rsidR="007D611E" w:rsidRPr="00F464FA">
              <w:rPr>
                <w:sz w:val="18"/>
              </w:rPr>
              <w:t xml:space="preserve"> </w:t>
            </w:r>
            <w:r w:rsidRPr="00F464FA">
              <w:rPr>
                <w:sz w:val="18"/>
              </w:rPr>
              <w:t>818</w:t>
            </w:r>
          </w:p>
        </w:tc>
      </w:tr>
      <w:tr w:rsidR="00221DD4" w:rsidRPr="00F464FA" w14:paraId="012ECE5E" w14:textId="77777777" w:rsidTr="00C50D70">
        <w:tc>
          <w:tcPr>
            <w:tcW w:w="1234" w:type="dxa"/>
            <w:tcBorders>
              <w:bottom w:val="single" w:sz="4" w:space="0" w:color="auto"/>
            </w:tcBorders>
            <w:shd w:val="clear" w:color="auto" w:fill="auto"/>
          </w:tcPr>
          <w:p w14:paraId="53160D52" w14:textId="77777777" w:rsidR="00221DD4" w:rsidRPr="00F464FA" w:rsidRDefault="00221DD4" w:rsidP="007D611E">
            <w:pPr>
              <w:pStyle w:val="SingleTxtG"/>
              <w:tabs>
                <w:tab w:val="clear" w:pos="1701"/>
                <w:tab w:val="clear" w:pos="2268"/>
              </w:tabs>
              <w:suppressAutoHyphens w:val="0"/>
              <w:spacing w:before="40" w:after="40" w:line="220" w:lineRule="exact"/>
              <w:ind w:left="0" w:right="113"/>
              <w:jc w:val="left"/>
              <w:rPr>
                <w:sz w:val="18"/>
              </w:rPr>
            </w:pPr>
            <w:r w:rsidRPr="00F464FA">
              <w:rPr>
                <w:sz w:val="18"/>
              </w:rPr>
              <w:t>Form 4</w:t>
            </w:r>
          </w:p>
        </w:tc>
        <w:tc>
          <w:tcPr>
            <w:tcW w:w="1215" w:type="dxa"/>
            <w:tcBorders>
              <w:bottom w:val="single" w:sz="4" w:space="0" w:color="auto"/>
            </w:tcBorders>
            <w:shd w:val="clear" w:color="auto" w:fill="auto"/>
            <w:vAlign w:val="bottom"/>
          </w:tcPr>
          <w:p w14:paraId="1009F2CF" w14:textId="74B0FDA2"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39</w:t>
            </w:r>
            <w:r w:rsidR="007D611E" w:rsidRPr="00F464FA">
              <w:rPr>
                <w:sz w:val="18"/>
              </w:rPr>
              <w:t xml:space="preserve"> </w:t>
            </w:r>
            <w:r w:rsidRPr="00F464FA">
              <w:rPr>
                <w:sz w:val="18"/>
              </w:rPr>
              <w:t>571</w:t>
            </w:r>
          </w:p>
        </w:tc>
        <w:tc>
          <w:tcPr>
            <w:tcW w:w="1216" w:type="dxa"/>
            <w:tcBorders>
              <w:bottom w:val="single" w:sz="4" w:space="0" w:color="auto"/>
            </w:tcBorders>
            <w:shd w:val="clear" w:color="auto" w:fill="auto"/>
            <w:vAlign w:val="bottom"/>
          </w:tcPr>
          <w:p w14:paraId="68B4B7E1" w14:textId="0DA1124D"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34</w:t>
            </w:r>
            <w:r w:rsidR="007D611E" w:rsidRPr="00F464FA">
              <w:rPr>
                <w:sz w:val="18"/>
              </w:rPr>
              <w:t xml:space="preserve"> </w:t>
            </w:r>
            <w:r w:rsidRPr="00F464FA">
              <w:rPr>
                <w:sz w:val="18"/>
              </w:rPr>
              <w:t>531</w:t>
            </w:r>
          </w:p>
        </w:tc>
        <w:tc>
          <w:tcPr>
            <w:tcW w:w="1215" w:type="dxa"/>
            <w:tcBorders>
              <w:bottom w:val="single" w:sz="4" w:space="0" w:color="auto"/>
            </w:tcBorders>
            <w:shd w:val="clear" w:color="auto" w:fill="auto"/>
            <w:vAlign w:val="bottom"/>
          </w:tcPr>
          <w:p w14:paraId="77FF13EB" w14:textId="18313326"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11</w:t>
            </w:r>
            <w:r w:rsidR="007D611E" w:rsidRPr="00F464FA">
              <w:rPr>
                <w:sz w:val="18"/>
              </w:rPr>
              <w:t xml:space="preserve"> </w:t>
            </w:r>
            <w:r w:rsidRPr="00F464FA">
              <w:rPr>
                <w:sz w:val="18"/>
              </w:rPr>
              <w:t>692</w:t>
            </w:r>
          </w:p>
        </w:tc>
        <w:tc>
          <w:tcPr>
            <w:tcW w:w="1216" w:type="dxa"/>
            <w:tcBorders>
              <w:bottom w:val="single" w:sz="4" w:space="0" w:color="auto"/>
            </w:tcBorders>
            <w:shd w:val="clear" w:color="auto" w:fill="auto"/>
            <w:vAlign w:val="bottom"/>
          </w:tcPr>
          <w:p w14:paraId="0FAC0EC4" w14:textId="0D6AB109"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12</w:t>
            </w:r>
            <w:r w:rsidR="007D611E" w:rsidRPr="00F464FA">
              <w:rPr>
                <w:sz w:val="18"/>
              </w:rPr>
              <w:t xml:space="preserve"> </w:t>
            </w:r>
            <w:r w:rsidRPr="00F464FA">
              <w:rPr>
                <w:sz w:val="18"/>
              </w:rPr>
              <w:t>043</w:t>
            </w:r>
          </w:p>
        </w:tc>
        <w:tc>
          <w:tcPr>
            <w:tcW w:w="1274" w:type="dxa"/>
            <w:tcBorders>
              <w:bottom w:val="single" w:sz="4" w:space="0" w:color="auto"/>
            </w:tcBorders>
            <w:shd w:val="clear" w:color="auto" w:fill="auto"/>
            <w:vAlign w:val="bottom"/>
          </w:tcPr>
          <w:p w14:paraId="56BF3A5C" w14:textId="601F15D6" w:rsidR="00221DD4" w:rsidRPr="00F464FA" w:rsidRDefault="00221DD4" w:rsidP="007D611E">
            <w:pPr>
              <w:pStyle w:val="SingleTxtG"/>
              <w:tabs>
                <w:tab w:val="clear" w:pos="1701"/>
                <w:tab w:val="clear" w:pos="2268"/>
              </w:tabs>
              <w:suppressAutoHyphens w:val="0"/>
              <w:spacing w:before="40" w:after="40" w:line="220" w:lineRule="exact"/>
              <w:ind w:left="0" w:right="113"/>
              <w:jc w:val="right"/>
              <w:rPr>
                <w:sz w:val="18"/>
              </w:rPr>
            </w:pPr>
            <w:r w:rsidRPr="00F464FA">
              <w:rPr>
                <w:sz w:val="18"/>
              </w:rPr>
              <w:t>97</w:t>
            </w:r>
            <w:r w:rsidR="007D611E" w:rsidRPr="00F464FA">
              <w:rPr>
                <w:sz w:val="18"/>
              </w:rPr>
              <w:t xml:space="preserve"> </w:t>
            </w:r>
            <w:r w:rsidRPr="00F464FA">
              <w:rPr>
                <w:sz w:val="18"/>
              </w:rPr>
              <w:t>837</w:t>
            </w:r>
          </w:p>
        </w:tc>
      </w:tr>
      <w:tr w:rsidR="00221DD4" w:rsidRPr="00F464FA" w14:paraId="6F7990F7" w14:textId="77777777" w:rsidTr="00C50D70">
        <w:tc>
          <w:tcPr>
            <w:tcW w:w="1234" w:type="dxa"/>
            <w:tcBorders>
              <w:top w:val="single" w:sz="4" w:space="0" w:color="auto"/>
            </w:tcBorders>
            <w:shd w:val="clear" w:color="auto" w:fill="auto"/>
          </w:tcPr>
          <w:p w14:paraId="7BAF91AF" w14:textId="77777777" w:rsidR="00221DD4" w:rsidRPr="00F464FA" w:rsidRDefault="00221DD4" w:rsidP="00C50D70">
            <w:pPr>
              <w:pStyle w:val="SingleTxtG"/>
              <w:tabs>
                <w:tab w:val="clear" w:pos="1701"/>
                <w:tab w:val="clear" w:pos="2268"/>
              </w:tabs>
              <w:suppressAutoHyphens w:val="0"/>
              <w:spacing w:before="80" w:after="80" w:line="220" w:lineRule="exact"/>
              <w:ind w:left="283" w:right="0"/>
              <w:jc w:val="left"/>
              <w:rPr>
                <w:b/>
                <w:sz w:val="18"/>
              </w:rPr>
            </w:pPr>
            <w:r w:rsidRPr="00F464FA">
              <w:rPr>
                <w:b/>
                <w:sz w:val="18"/>
              </w:rPr>
              <w:t>Total</w:t>
            </w:r>
          </w:p>
        </w:tc>
        <w:tc>
          <w:tcPr>
            <w:tcW w:w="1215" w:type="dxa"/>
            <w:tcBorders>
              <w:top w:val="single" w:sz="4" w:space="0" w:color="auto"/>
            </w:tcBorders>
            <w:shd w:val="clear" w:color="auto" w:fill="auto"/>
            <w:vAlign w:val="bottom"/>
          </w:tcPr>
          <w:p w14:paraId="1974E6DB" w14:textId="3BC8FB98" w:rsidR="00221DD4" w:rsidRPr="00F464FA" w:rsidRDefault="00221DD4" w:rsidP="00C50D70">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173</w:t>
            </w:r>
            <w:r w:rsidR="007D611E" w:rsidRPr="00F464FA">
              <w:rPr>
                <w:b/>
                <w:sz w:val="18"/>
              </w:rPr>
              <w:t xml:space="preserve"> </w:t>
            </w:r>
            <w:r w:rsidRPr="00F464FA">
              <w:rPr>
                <w:b/>
                <w:sz w:val="18"/>
              </w:rPr>
              <w:t>186</w:t>
            </w:r>
          </w:p>
        </w:tc>
        <w:tc>
          <w:tcPr>
            <w:tcW w:w="1216" w:type="dxa"/>
            <w:tcBorders>
              <w:top w:val="single" w:sz="4" w:space="0" w:color="auto"/>
            </w:tcBorders>
            <w:shd w:val="clear" w:color="auto" w:fill="auto"/>
            <w:vAlign w:val="bottom"/>
          </w:tcPr>
          <w:p w14:paraId="34C91D60" w14:textId="570B6C3E" w:rsidR="00221DD4" w:rsidRPr="00F464FA" w:rsidRDefault="00221DD4" w:rsidP="00C50D70">
            <w:pPr>
              <w:pStyle w:val="SingleTxtG"/>
              <w:tabs>
                <w:tab w:val="clear" w:pos="1701"/>
                <w:tab w:val="clear" w:pos="2268"/>
              </w:tabs>
              <w:suppressAutoHyphens w:val="0"/>
              <w:spacing w:before="80" w:after="80" w:line="220" w:lineRule="exact"/>
              <w:ind w:left="0" w:right="113"/>
              <w:jc w:val="right"/>
              <w:rPr>
                <w:b/>
                <w:sz w:val="18"/>
              </w:rPr>
            </w:pPr>
            <w:r w:rsidRPr="00F464FA">
              <w:rPr>
                <w:b/>
                <w:sz w:val="18"/>
              </w:rPr>
              <w:t>160</w:t>
            </w:r>
            <w:r w:rsidR="007D611E" w:rsidRPr="00F464FA">
              <w:rPr>
                <w:b/>
                <w:sz w:val="18"/>
              </w:rPr>
              <w:t xml:space="preserve"> </w:t>
            </w:r>
            <w:r w:rsidRPr="00F464FA">
              <w:rPr>
                <w:b/>
                <w:sz w:val="18"/>
              </w:rPr>
              <w:t>557</w:t>
            </w:r>
          </w:p>
        </w:tc>
        <w:tc>
          <w:tcPr>
            <w:tcW w:w="1215" w:type="dxa"/>
            <w:tcBorders>
              <w:top w:val="single" w:sz="4" w:space="0" w:color="auto"/>
            </w:tcBorders>
            <w:shd w:val="clear" w:color="auto" w:fill="auto"/>
            <w:vAlign w:val="bottom"/>
          </w:tcPr>
          <w:p w14:paraId="2278C019" w14:textId="177F1275" w:rsidR="00221DD4" w:rsidRPr="00F464FA" w:rsidRDefault="00221DD4" w:rsidP="00C50D70">
            <w:pPr>
              <w:pStyle w:val="SingleTxtG"/>
              <w:tabs>
                <w:tab w:val="clear" w:pos="1701"/>
                <w:tab w:val="clear" w:pos="2268"/>
              </w:tabs>
              <w:suppressAutoHyphens w:val="0"/>
              <w:spacing w:before="80" w:after="80" w:line="220" w:lineRule="exact"/>
              <w:ind w:left="0" w:right="113"/>
              <w:jc w:val="right"/>
              <w:rPr>
                <w:b/>
                <w:sz w:val="18"/>
              </w:rPr>
            </w:pPr>
            <w:r w:rsidRPr="00F464FA">
              <w:rPr>
                <w:b/>
                <w:sz w:val="18"/>
              </w:rPr>
              <w:t>40</w:t>
            </w:r>
            <w:r w:rsidR="007D611E" w:rsidRPr="00F464FA">
              <w:rPr>
                <w:b/>
                <w:sz w:val="18"/>
              </w:rPr>
              <w:t xml:space="preserve"> </w:t>
            </w:r>
            <w:r w:rsidRPr="00F464FA">
              <w:rPr>
                <w:b/>
                <w:sz w:val="18"/>
              </w:rPr>
              <w:t>245</w:t>
            </w:r>
          </w:p>
        </w:tc>
        <w:tc>
          <w:tcPr>
            <w:tcW w:w="1216" w:type="dxa"/>
            <w:tcBorders>
              <w:top w:val="single" w:sz="4" w:space="0" w:color="auto"/>
            </w:tcBorders>
            <w:shd w:val="clear" w:color="auto" w:fill="auto"/>
            <w:vAlign w:val="bottom"/>
          </w:tcPr>
          <w:p w14:paraId="0D6E38DB" w14:textId="260CDCAE" w:rsidR="00221DD4" w:rsidRPr="00F464FA" w:rsidRDefault="00221DD4" w:rsidP="00C50D70">
            <w:pPr>
              <w:pStyle w:val="SingleTxtG"/>
              <w:tabs>
                <w:tab w:val="clear" w:pos="1701"/>
                <w:tab w:val="clear" w:pos="2268"/>
              </w:tabs>
              <w:suppressAutoHyphens w:val="0"/>
              <w:spacing w:before="80" w:after="80" w:line="220" w:lineRule="exact"/>
              <w:ind w:left="0" w:right="113"/>
              <w:jc w:val="right"/>
              <w:rPr>
                <w:b/>
                <w:sz w:val="18"/>
              </w:rPr>
            </w:pPr>
            <w:r w:rsidRPr="00F464FA">
              <w:rPr>
                <w:b/>
                <w:sz w:val="18"/>
              </w:rPr>
              <w:t>41</w:t>
            </w:r>
            <w:r w:rsidR="007D611E" w:rsidRPr="00F464FA">
              <w:rPr>
                <w:b/>
                <w:sz w:val="18"/>
              </w:rPr>
              <w:t xml:space="preserve"> </w:t>
            </w:r>
            <w:r w:rsidRPr="00F464FA">
              <w:rPr>
                <w:b/>
                <w:sz w:val="18"/>
              </w:rPr>
              <w:t>025</w:t>
            </w:r>
          </w:p>
        </w:tc>
        <w:tc>
          <w:tcPr>
            <w:tcW w:w="1274" w:type="dxa"/>
            <w:tcBorders>
              <w:top w:val="single" w:sz="4" w:space="0" w:color="auto"/>
            </w:tcBorders>
            <w:shd w:val="clear" w:color="auto" w:fill="auto"/>
            <w:vAlign w:val="bottom"/>
          </w:tcPr>
          <w:p w14:paraId="5887DEC2" w14:textId="40927428" w:rsidR="00221DD4" w:rsidRPr="00F464FA" w:rsidRDefault="00221DD4" w:rsidP="00C50D70">
            <w:pPr>
              <w:pStyle w:val="SingleTxtG"/>
              <w:tabs>
                <w:tab w:val="clear" w:pos="1701"/>
                <w:tab w:val="clear" w:pos="2268"/>
              </w:tabs>
              <w:suppressAutoHyphens w:val="0"/>
              <w:spacing w:before="80" w:after="80" w:line="220" w:lineRule="exact"/>
              <w:ind w:left="0" w:right="113"/>
              <w:jc w:val="right"/>
              <w:rPr>
                <w:b/>
                <w:sz w:val="18"/>
              </w:rPr>
            </w:pPr>
            <w:r w:rsidRPr="00F464FA">
              <w:rPr>
                <w:b/>
                <w:sz w:val="18"/>
              </w:rPr>
              <w:t>415</w:t>
            </w:r>
            <w:r w:rsidR="007D611E" w:rsidRPr="00F464FA">
              <w:rPr>
                <w:b/>
                <w:sz w:val="18"/>
              </w:rPr>
              <w:t xml:space="preserve"> </w:t>
            </w:r>
            <w:r w:rsidRPr="00F464FA">
              <w:rPr>
                <w:b/>
                <w:sz w:val="18"/>
              </w:rPr>
              <w:t>013</w:t>
            </w:r>
          </w:p>
        </w:tc>
      </w:tr>
    </w:tbl>
    <w:p w14:paraId="25BB416D" w14:textId="3BBF1D0A" w:rsidR="00221DD4" w:rsidRPr="00F464FA" w:rsidRDefault="00221DD4" w:rsidP="00C50D70">
      <w:pPr>
        <w:spacing w:before="120"/>
        <w:ind w:left="1134" w:right="1134" w:firstLine="170"/>
        <w:rPr>
          <w:sz w:val="18"/>
        </w:rPr>
      </w:pPr>
      <w:r w:rsidRPr="00F464FA">
        <w:rPr>
          <w:i/>
          <w:iCs/>
          <w:sz w:val="18"/>
        </w:rPr>
        <w:t>Source:</w:t>
      </w:r>
      <w:r w:rsidRPr="00F464FA">
        <w:rPr>
          <w:sz w:val="18"/>
        </w:rPr>
        <w:t xml:space="preserve"> Ministry of Education, Science and Technology</w:t>
      </w:r>
      <w:r w:rsidR="00C50D70" w:rsidRPr="00F464FA">
        <w:rPr>
          <w:sz w:val="18"/>
        </w:rPr>
        <w:t>.</w:t>
      </w:r>
    </w:p>
    <w:p w14:paraId="1BC9C971" w14:textId="63E0FAA5" w:rsidR="00221DD4" w:rsidRPr="00F464FA" w:rsidRDefault="00AA5800" w:rsidP="00355030">
      <w:pPr>
        <w:pStyle w:val="H23G"/>
        <w:rPr>
          <w:lang w:val="en-GB"/>
        </w:rPr>
      </w:pPr>
      <w:r w:rsidRPr="00F464FA">
        <w:rPr>
          <w:lang w:val="en-GB"/>
        </w:rPr>
        <w:tab/>
      </w:r>
      <w:r w:rsidRPr="00F464FA">
        <w:rPr>
          <w:lang w:val="en-GB"/>
        </w:rPr>
        <w:tab/>
      </w:r>
      <w:r w:rsidR="00221DD4" w:rsidRPr="00F464FA">
        <w:rPr>
          <w:lang w:val="en-GB"/>
        </w:rPr>
        <w:t>School infrastructure</w:t>
      </w:r>
    </w:p>
    <w:p w14:paraId="2741BB89" w14:textId="77777777" w:rsidR="00221DD4" w:rsidRPr="00F464FA" w:rsidRDefault="00221DD4" w:rsidP="00217EAE">
      <w:pPr>
        <w:pStyle w:val="SingleTxtG"/>
        <w:spacing w:after="240"/>
      </w:pPr>
      <w:r w:rsidRPr="00F464FA">
        <w:t>168.</w:t>
      </w:r>
      <w:r w:rsidRPr="00F464FA">
        <w:tab/>
        <w:t xml:space="preserve">The following table </w:t>
      </w:r>
      <w:r w:rsidRPr="00F464FA">
        <w:rPr>
          <w:bCs/>
        </w:rPr>
        <w:t>shows</w:t>
      </w:r>
      <w:r w:rsidRPr="00F464FA">
        <w:t xml:space="preserve"> the number of classes available to secondary school students and type of class.</w:t>
      </w:r>
    </w:p>
    <w:p w14:paraId="1FC43530" w14:textId="0087AA16" w:rsidR="00221DD4" w:rsidRPr="00F464FA" w:rsidRDefault="00221DD4" w:rsidP="00221DD4">
      <w:pPr>
        <w:pStyle w:val="Heading1"/>
      </w:pPr>
      <w:r w:rsidRPr="00F464FA">
        <w:t>Table 25</w:t>
      </w:r>
    </w:p>
    <w:p w14:paraId="453931AD" w14:textId="2EA1F86B" w:rsidR="00221DD4" w:rsidRPr="00F464FA" w:rsidRDefault="00221DD4" w:rsidP="00221DD4">
      <w:pPr>
        <w:pStyle w:val="SingleTxtG"/>
        <w:rPr>
          <w:b/>
        </w:rPr>
      </w:pPr>
      <w:r w:rsidRPr="00F464FA">
        <w:rPr>
          <w:b/>
        </w:rPr>
        <w:t xml:space="preserve">Number and type of </w:t>
      </w:r>
      <w:r w:rsidR="008C6247" w:rsidRPr="00F464FA">
        <w:rPr>
          <w:b/>
        </w:rPr>
        <w:t>classrooms</w:t>
      </w:r>
    </w:p>
    <w:p w14:paraId="3E339F60" w14:textId="77777777" w:rsidR="00221DD4" w:rsidRPr="00F464FA" w:rsidRDefault="00221DD4" w:rsidP="00221DD4">
      <w:pPr>
        <w:pStyle w:val="SingleTxtG"/>
        <w:spacing w:after="0"/>
        <w:rPr>
          <w:b/>
          <w:bCs/>
        </w:rPr>
      </w:pPr>
      <w:r w:rsidRPr="00F464FA">
        <w:rPr>
          <w:b/>
          <w:bCs/>
          <w:noProof/>
          <w:lang w:eastAsia="en-GB"/>
        </w:rPr>
        <w:drawing>
          <wp:inline distT="0" distB="0" distL="0" distR="0" wp14:anchorId="77932E3C" wp14:editId="64619EF1">
            <wp:extent cx="4708495" cy="215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8714" cy="2161894"/>
                    </a:xfrm>
                    <a:prstGeom prst="rect">
                      <a:avLst/>
                    </a:prstGeom>
                    <a:noFill/>
                  </pic:spPr>
                </pic:pic>
              </a:graphicData>
            </a:graphic>
          </wp:inline>
        </w:drawing>
      </w:r>
    </w:p>
    <w:p w14:paraId="5D76046F" w14:textId="2E88CC20" w:rsidR="00221DD4" w:rsidRPr="00F464FA" w:rsidRDefault="00221DD4" w:rsidP="002A1A14">
      <w:pPr>
        <w:spacing w:before="120"/>
        <w:ind w:left="1134" w:right="1134" w:firstLine="170"/>
        <w:rPr>
          <w:sz w:val="18"/>
        </w:rPr>
      </w:pPr>
      <w:r w:rsidRPr="00F464FA">
        <w:rPr>
          <w:i/>
          <w:iCs/>
          <w:sz w:val="18"/>
        </w:rPr>
        <w:t>Source:</w:t>
      </w:r>
      <w:r w:rsidRPr="00F464FA">
        <w:rPr>
          <w:sz w:val="18"/>
        </w:rPr>
        <w:t xml:space="preserve"> Ministry of Education, Science and Technology</w:t>
      </w:r>
      <w:r w:rsidR="002A1A14" w:rsidRPr="00F464FA">
        <w:rPr>
          <w:sz w:val="18"/>
        </w:rPr>
        <w:t>.</w:t>
      </w:r>
    </w:p>
    <w:p w14:paraId="1394F902" w14:textId="24D2BD03" w:rsidR="00221DD4" w:rsidRPr="00F464FA" w:rsidRDefault="00661C68" w:rsidP="00355030">
      <w:pPr>
        <w:pStyle w:val="H23G"/>
        <w:rPr>
          <w:lang w:val="en-GB"/>
        </w:rPr>
      </w:pPr>
      <w:r w:rsidRPr="00F464FA">
        <w:rPr>
          <w:lang w:val="en-GB"/>
        </w:rPr>
        <w:tab/>
      </w:r>
      <w:r w:rsidRPr="00F464FA">
        <w:rPr>
          <w:lang w:val="en-GB"/>
        </w:rPr>
        <w:tab/>
      </w:r>
      <w:r w:rsidR="00221DD4" w:rsidRPr="00F464FA">
        <w:rPr>
          <w:lang w:val="en-GB"/>
        </w:rPr>
        <w:t>Access indicators for secondary schools</w:t>
      </w:r>
    </w:p>
    <w:p w14:paraId="55217DAB" w14:textId="77777777" w:rsidR="00221DD4" w:rsidRPr="00F464FA" w:rsidRDefault="00221DD4" w:rsidP="00221DD4">
      <w:pPr>
        <w:pStyle w:val="SingleTxtG"/>
        <w:rPr>
          <w:bCs/>
        </w:rPr>
      </w:pPr>
      <w:r w:rsidRPr="00F464FA">
        <w:rPr>
          <w:bCs/>
        </w:rPr>
        <w:t>169.</w:t>
      </w:r>
      <w:r w:rsidRPr="00F464FA">
        <w:rPr>
          <w:bCs/>
        </w:rPr>
        <w:tab/>
        <w:t xml:space="preserve">The gross </w:t>
      </w:r>
      <w:proofErr w:type="spellStart"/>
      <w:r w:rsidRPr="00F464FA">
        <w:rPr>
          <w:bCs/>
        </w:rPr>
        <w:t>enrollment</w:t>
      </w:r>
      <w:proofErr w:type="spellEnd"/>
      <w:r w:rsidRPr="00F464FA">
        <w:rPr>
          <w:bCs/>
        </w:rPr>
        <w:t xml:space="preserve"> rate has been oscillating from 2013 to 2017. An upward movement was observed from 2013 to 2014 with rates moving from 22.3 to 24.3 per cent. A downward movement was observed from 2014 to 2016 with rates moving from 24.3 to 23. The rate has slightly increased to 23.7 in 2017 from 23 in the preceding year. Overall, the results mean there is very low accessibility of secondary education by the citizenry in Malawi. The NER for the secondary sub-sector has remained below 20 per cent over the last five years. The national rate has remained at 15 per cent for the past 4 years. This indicates low accessibility of secondary education.</w:t>
      </w:r>
    </w:p>
    <w:p w14:paraId="00DEEEF4" w14:textId="68B3E88A" w:rsidR="00221DD4" w:rsidRPr="00F464FA" w:rsidRDefault="002965E2" w:rsidP="00355030">
      <w:pPr>
        <w:pStyle w:val="H23G"/>
        <w:rPr>
          <w:lang w:val="en-GB"/>
        </w:rPr>
      </w:pPr>
      <w:r w:rsidRPr="00F464FA">
        <w:rPr>
          <w:lang w:val="en-GB"/>
        </w:rPr>
        <w:tab/>
      </w:r>
      <w:r w:rsidRPr="00F464FA">
        <w:rPr>
          <w:lang w:val="en-GB"/>
        </w:rPr>
        <w:tab/>
      </w:r>
      <w:r w:rsidR="00221DD4" w:rsidRPr="00F464FA">
        <w:rPr>
          <w:lang w:val="en-GB"/>
        </w:rPr>
        <w:t>Children with disabilities in secondary schools</w:t>
      </w:r>
    </w:p>
    <w:p w14:paraId="0381B45A" w14:textId="77777777" w:rsidR="00221DD4" w:rsidRPr="00F464FA" w:rsidRDefault="00221DD4" w:rsidP="00221DD4">
      <w:pPr>
        <w:pStyle w:val="SingleTxtG"/>
        <w:rPr>
          <w:bCs/>
        </w:rPr>
      </w:pPr>
      <w:r w:rsidRPr="00F464FA">
        <w:rPr>
          <w:bCs/>
        </w:rPr>
        <w:t>170.</w:t>
      </w:r>
      <w:r w:rsidRPr="00F464FA">
        <w:rPr>
          <w:bCs/>
        </w:rPr>
        <w:tab/>
        <w:t xml:space="preserve">About 1.6 per cent of total secondary school </w:t>
      </w:r>
      <w:proofErr w:type="spellStart"/>
      <w:r w:rsidRPr="00F464FA">
        <w:rPr>
          <w:bCs/>
        </w:rPr>
        <w:t>enrollment</w:t>
      </w:r>
      <w:proofErr w:type="spellEnd"/>
      <w:r w:rsidRPr="00F464FA">
        <w:rPr>
          <w:bCs/>
        </w:rPr>
        <w:t xml:space="preserve"> was students with special needs. This figure has increased from 5289 students in the previous year, representing almost a 16 per cent increase. The sector is doing well in incorporating learners with special needs in its schools as shown by the figure below. In 2015 and 2016, the set targets were met and in 2017, the percentage of special needs learners even surpassed the ESIP II target.</w:t>
      </w:r>
    </w:p>
    <w:p w14:paraId="21F08C88" w14:textId="622A93CB" w:rsidR="00221DD4" w:rsidRPr="00F464FA" w:rsidRDefault="00221DD4" w:rsidP="00221DD4">
      <w:pPr>
        <w:pStyle w:val="Heading1"/>
        <w:pageBreakBefore/>
      </w:pPr>
      <w:r w:rsidRPr="00F464FA">
        <w:lastRenderedPageBreak/>
        <w:t>Table 26</w:t>
      </w:r>
    </w:p>
    <w:p w14:paraId="244C0659" w14:textId="77777777" w:rsidR="00221DD4" w:rsidRPr="00F464FA" w:rsidRDefault="00221DD4" w:rsidP="00221DD4">
      <w:pPr>
        <w:pStyle w:val="SingleTxtG"/>
        <w:rPr>
          <w:b/>
        </w:rPr>
      </w:pPr>
      <w:r w:rsidRPr="00F464FA">
        <w:rPr>
          <w:b/>
        </w:rPr>
        <w:t xml:space="preserve">Special Needs </w:t>
      </w:r>
      <w:proofErr w:type="spellStart"/>
      <w:r w:rsidRPr="00F464FA">
        <w:rPr>
          <w:b/>
        </w:rPr>
        <w:t>Enrollment</w:t>
      </w:r>
      <w:proofErr w:type="spellEnd"/>
      <w:r w:rsidRPr="00F464FA">
        <w:rPr>
          <w:b/>
        </w:rPr>
        <w:t xml:space="preserve"> </w:t>
      </w:r>
    </w:p>
    <w:p w14:paraId="139C3CB8" w14:textId="77777777" w:rsidR="00221DD4" w:rsidRPr="00F464FA" w:rsidRDefault="00221DD4" w:rsidP="00221DD4">
      <w:pPr>
        <w:pStyle w:val="SingleTxtG"/>
        <w:spacing w:after="0"/>
        <w:rPr>
          <w:b/>
          <w:bCs/>
        </w:rPr>
      </w:pPr>
      <w:r w:rsidRPr="00F464FA">
        <w:rPr>
          <w:b/>
          <w:bCs/>
          <w:noProof/>
          <w:lang w:eastAsia="en-GB"/>
        </w:rPr>
        <w:drawing>
          <wp:inline distT="0" distB="0" distL="0" distR="0" wp14:anchorId="101B7A2A" wp14:editId="092A6558">
            <wp:extent cx="4610100" cy="292420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0486" cy="2930793"/>
                    </a:xfrm>
                    <a:prstGeom prst="rect">
                      <a:avLst/>
                    </a:prstGeom>
                    <a:noFill/>
                  </pic:spPr>
                </pic:pic>
              </a:graphicData>
            </a:graphic>
          </wp:inline>
        </w:drawing>
      </w:r>
    </w:p>
    <w:p w14:paraId="6BD21966" w14:textId="0BE407C6" w:rsidR="00221DD4" w:rsidRPr="00F464FA" w:rsidRDefault="00221DD4" w:rsidP="00943600">
      <w:pPr>
        <w:spacing w:before="120"/>
        <w:ind w:left="1134" w:right="1134" w:firstLine="170"/>
        <w:rPr>
          <w:sz w:val="18"/>
        </w:rPr>
      </w:pPr>
      <w:r w:rsidRPr="00F464FA">
        <w:rPr>
          <w:i/>
          <w:iCs/>
          <w:sz w:val="18"/>
        </w:rPr>
        <w:t>Source:</w:t>
      </w:r>
      <w:r w:rsidRPr="00F464FA">
        <w:rPr>
          <w:sz w:val="18"/>
        </w:rPr>
        <w:t xml:space="preserve"> Ministry of Education, Science and Technology</w:t>
      </w:r>
      <w:r w:rsidR="006B446B" w:rsidRPr="00F464FA">
        <w:rPr>
          <w:sz w:val="18"/>
        </w:rPr>
        <w:t>.</w:t>
      </w:r>
    </w:p>
    <w:p w14:paraId="7625493D" w14:textId="10B03769" w:rsidR="00221DD4" w:rsidRPr="00F464FA" w:rsidRDefault="00137383" w:rsidP="00355030">
      <w:pPr>
        <w:pStyle w:val="H23G"/>
        <w:rPr>
          <w:lang w:val="en-GB"/>
        </w:rPr>
      </w:pPr>
      <w:r w:rsidRPr="00F464FA">
        <w:rPr>
          <w:lang w:val="en-GB"/>
        </w:rPr>
        <w:tab/>
      </w:r>
      <w:r w:rsidRPr="00F464FA">
        <w:rPr>
          <w:lang w:val="en-GB"/>
        </w:rPr>
        <w:tab/>
      </w:r>
      <w:r w:rsidR="00221DD4" w:rsidRPr="00F464FA">
        <w:rPr>
          <w:lang w:val="en-GB"/>
        </w:rPr>
        <w:t>Dropout rate in secondary schools</w:t>
      </w:r>
    </w:p>
    <w:p w14:paraId="0F77900A" w14:textId="77777777" w:rsidR="00221DD4" w:rsidRPr="00F464FA" w:rsidRDefault="00221DD4" w:rsidP="00137383">
      <w:pPr>
        <w:pStyle w:val="SingleTxtG"/>
        <w:spacing w:after="240"/>
        <w:rPr>
          <w:bCs/>
        </w:rPr>
      </w:pPr>
      <w:r w:rsidRPr="00F464FA">
        <w:rPr>
          <w:bCs/>
        </w:rPr>
        <w:t>171.</w:t>
      </w:r>
      <w:r w:rsidRPr="00F464FA">
        <w:rPr>
          <w:bCs/>
        </w:rPr>
        <w:tab/>
        <w:t>The total number of dropouts in 2016/17 was 18042. This figure has increased by 754 dropouts from total of 17288 in the previous year. The results indicate that most students, both male and female, dropped out mainly because of school fees.</w:t>
      </w:r>
    </w:p>
    <w:p w14:paraId="78DD923E" w14:textId="1FCCAB55" w:rsidR="00221DD4" w:rsidRPr="00F464FA" w:rsidRDefault="00221DD4" w:rsidP="00221DD4">
      <w:pPr>
        <w:pStyle w:val="Heading1"/>
      </w:pPr>
      <w:r w:rsidRPr="00F464FA">
        <w:t>Table 27</w:t>
      </w:r>
    </w:p>
    <w:p w14:paraId="674040B8" w14:textId="77777777" w:rsidR="00221DD4" w:rsidRPr="00F464FA" w:rsidRDefault="00221DD4" w:rsidP="00221DD4">
      <w:pPr>
        <w:pStyle w:val="SingleTxtG"/>
        <w:rPr>
          <w:b/>
        </w:rPr>
      </w:pPr>
      <w:r w:rsidRPr="00F464FA">
        <w:rPr>
          <w:b/>
        </w:rPr>
        <w:t>Dropouts in Secondary Schools</w:t>
      </w:r>
    </w:p>
    <w:p w14:paraId="26FFB7C6" w14:textId="77777777" w:rsidR="00221DD4" w:rsidRPr="00F464FA" w:rsidRDefault="00221DD4" w:rsidP="00221DD4">
      <w:pPr>
        <w:pStyle w:val="SingleTxtG"/>
        <w:spacing w:after="0"/>
        <w:rPr>
          <w:b/>
          <w:bCs/>
        </w:rPr>
      </w:pPr>
      <w:r w:rsidRPr="00F464FA">
        <w:rPr>
          <w:b/>
          <w:bCs/>
          <w:noProof/>
          <w:lang w:eastAsia="en-GB"/>
        </w:rPr>
        <w:drawing>
          <wp:inline distT="0" distB="0" distL="0" distR="0" wp14:anchorId="3A7E8A68" wp14:editId="23907C6B">
            <wp:extent cx="4638675" cy="26541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8788" cy="2665649"/>
                    </a:xfrm>
                    <a:prstGeom prst="rect">
                      <a:avLst/>
                    </a:prstGeom>
                    <a:noFill/>
                  </pic:spPr>
                </pic:pic>
              </a:graphicData>
            </a:graphic>
          </wp:inline>
        </w:drawing>
      </w:r>
    </w:p>
    <w:p w14:paraId="3B39F41B" w14:textId="76BA8D31" w:rsidR="00221DD4" w:rsidRPr="00F464FA" w:rsidRDefault="00221DD4" w:rsidP="00480F04">
      <w:pPr>
        <w:spacing w:before="120"/>
        <w:ind w:left="1134" w:right="1134" w:firstLine="170"/>
        <w:rPr>
          <w:sz w:val="18"/>
        </w:rPr>
      </w:pPr>
      <w:r w:rsidRPr="00F464FA">
        <w:rPr>
          <w:i/>
          <w:iCs/>
          <w:sz w:val="18"/>
        </w:rPr>
        <w:t>Source:</w:t>
      </w:r>
      <w:r w:rsidR="00480F04" w:rsidRPr="00F464FA">
        <w:rPr>
          <w:sz w:val="18"/>
        </w:rPr>
        <w:t xml:space="preserve"> </w:t>
      </w:r>
      <w:r w:rsidRPr="00F464FA">
        <w:rPr>
          <w:sz w:val="18"/>
        </w:rPr>
        <w:t>Ministry of Education, Science and Technology</w:t>
      </w:r>
      <w:r w:rsidR="00480F04" w:rsidRPr="00F464FA">
        <w:rPr>
          <w:sz w:val="18"/>
        </w:rPr>
        <w:t>.</w:t>
      </w:r>
    </w:p>
    <w:p w14:paraId="39568D18" w14:textId="199A4190" w:rsidR="00221DD4" w:rsidRPr="00F464FA" w:rsidRDefault="000E15DD" w:rsidP="00355030">
      <w:pPr>
        <w:pStyle w:val="H23G"/>
        <w:rPr>
          <w:lang w:val="en-GB"/>
        </w:rPr>
      </w:pPr>
      <w:r w:rsidRPr="00F464FA">
        <w:rPr>
          <w:lang w:val="en-GB"/>
        </w:rPr>
        <w:tab/>
      </w:r>
      <w:r w:rsidRPr="00F464FA">
        <w:rPr>
          <w:lang w:val="en-GB"/>
        </w:rPr>
        <w:tab/>
      </w:r>
      <w:r w:rsidR="00221DD4" w:rsidRPr="00F464FA">
        <w:rPr>
          <w:lang w:val="en-GB"/>
        </w:rPr>
        <w:t>Education Expenditure</w:t>
      </w:r>
    </w:p>
    <w:p w14:paraId="486FB107" w14:textId="77777777" w:rsidR="00221DD4" w:rsidRPr="00F464FA" w:rsidRDefault="00221DD4" w:rsidP="00221DD4">
      <w:pPr>
        <w:pStyle w:val="SingleTxtG"/>
        <w:rPr>
          <w:bCs/>
        </w:rPr>
      </w:pPr>
      <w:r w:rsidRPr="00F464FA">
        <w:rPr>
          <w:bCs/>
        </w:rPr>
        <w:t>172.</w:t>
      </w:r>
      <w:r w:rsidRPr="00F464FA">
        <w:rPr>
          <w:bCs/>
        </w:rPr>
        <w:tab/>
        <w:t>The Government of Malawi continues to highly value the education sector as demonstrated by allocating 4.2 per cent of the country’s Gross Domestic Product (GDP) to the education sector in the 2017/18 financial year.</w:t>
      </w:r>
    </w:p>
    <w:p w14:paraId="7FE7352D" w14:textId="5C90C977" w:rsidR="00221DD4" w:rsidRPr="00F464FA" w:rsidRDefault="00221DD4" w:rsidP="00221DD4">
      <w:pPr>
        <w:pStyle w:val="Heading1"/>
        <w:pageBreakBefore/>
      </w:pPr>
      <w:r w:rsidRPr="00F464FA">
        <w:lastRenderedPageBreak/>
        <w:t>Table 28</w:t>
      </w:r>
    </w:p>
    <w:p w14:paraId="63F0052B" w14:textId="16C40008" w:rsidR="00221DD4" w:rsidRPr="00F464FA" w:rsidRDefault="00221DD4" w:rsidP="00221DD4">
      <w:pPr>
        <w:pStyle w:val="SingleTxtG"/>
        <w:rPr>
          <w:b/>
        </w:rPr>
      </w:pPr>
      <w:r w:rsidRPr="00F464FA">
        <w:rPr>
          <w:b/>
        </w:rPr>
        <w:t>Education Expenditure 2012–2017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2"/>
        <w:gridCol w:w="879"/>
        <w:gridCol w:w="880"/>
        <w:gridCol w:w="879"/>
        <w:gridCol w:w="880"/>
        <w:gridCol w:w="880"/>
      </w:tblGrid>
      <w:tr w:rsidR="00221DD4" w:rsidRPr="00F464FA" w14:paraId="1F1213B6" w14:textId="77777777" w:rsidTr="003C49B8">
        <w:trPr>
          <w:tblHeader/>
        </w:trPr>
        <w:tc>
          <w:tcPr>
            <w:tcW w:w="2972" w:type="dxa"/>
            <w:tcBorders>
              <w:top w:val="single" w:sz="4" w:space="0" w:color="auto"/>
              <w:bottom w:val="single" w:sz="12" w:space="0" w:color="auto"/>
            </w:tcBorders>
            <w:shd w:val="clear" w:color="auto" w:fill="auto"/>
            <w:vAlign w:val="bottom"/>
          </w:tcPr>
          <w:p w14:paraId="0A032C59" w14:textId="77777777" w:rsidR="00221DD4" w:rsidRPr="00F464FA" w:rsidRDefault="00221DD4" w:rsidP="003C49B8">
            <w:pPr>
              <w:pStyle w:val="SingleTxtG"/>
              <w:tabs>
                <w:tab w:val="clear" w:pos="1701"/>
                <w:tab w:val="clear" w:pos="2268"/>
              </w:tabs>
              <w:suppressAutoHyphens w:val="0"/>
              <w:spacing w:before="80" w:after="80" w:line="200" w:lineRule="exact"/>
              <w:ind w:left="0" w:right="113"/>
              <w:jc w:val="left"/>
              <w:rPr>
                <w:bCs/>
                <w:i/>
                <w:sz w:val="16"/>
              </w:rPr>
            </w:pPr>
            <w:r w:rsidRPr="00F464FA">
              <w:rPr>
                <w:bCs/>
                <w:i/>
                <w:sz w:val="16"/>
              </w:rPr>
              <w:t xml:space="preserve">Year </w:t>
            </w:r>
          </w:p>
        </w:tc>
        <w:tc>
          <w:tcPr>
            <w:tcW w:w="879" w:type="dxa"/>
            <w:tcBorders>
              <w:top w:val="single" w:sz="4" w:space="0" w:color="auto"/>
              <w:bottom w:val="single" w:sz="12" w:space="0" w:color="auto"/>
            </w:tcBorders>
            <w:shd w:val="clear" w:color="auto" w:fill="auto"/>
            <w:vAlign w:val="bottom"/>
          </w:tcPr>
          <w:p w14:paraId="5AA2B457" w14:textId="33BAB93D" w:rsidR="00221DD4" w:rsidRPr="00F464FA" w:rsidRDefault="00221DD4" w:rsidP="003C49B8">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2012/13</w:t>
            </w:r>
          </w:p>
        </w:tc>
        <w:tc>
          <w:tcPr>
            <w:tcW w:w="880" w:type="dxa"/>
            <w:tcBorders>
              <w:top w:val="single" w:sz="4" w:space="0" w:color="auto"/>
              <w:bottom w:val="single" w:sz="12" w:space="0" w:color="auto"/>
            </w:tcBorders>
            <w:shd w:val="clear" w:color="auto" w:fill="auto"/>
            <w:vAlign w:val="bottom"/>
          </w:tcPr>
          <w:p w14:paraId="64445F42" w14:textId="5E1DAE75" w:rsidR="00221DD4" w:rsidRPr="00F464FA" w:rsidRDefault="00221DD4" w:rsidP="003C49B8">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2013/14</w:t>
            </w:r>
          </w:p>
        </w:tc>
        <w:tc>
          <w:tcPr>
            <w:tcW w:w="879" w:type="dxa"/>
            <w:tcBorders>
              <w:top w:val="single" w:sz="4" w:space="0" w:color="auto"/>
              <w:bottom w:val="single" w:sz="12" w:space="0" w:color="auto"/>
            </w:tcBorders>
            <w:shd w:val="clear" w:color="auto" w:fill="auto"/>
            <w:vAlign w:val="bottom"/>
          </w:tcPr>
          <w:p w14:paraId="6BBDD083" w14:textId="154DA0C7" w:rsidR="00221DD4" w:rsidRPr="00F464FA" w:rsidRDefault="00221DD4" w:rsidP="003C49B8">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2014/15</w:t>
            </w:r>
          </w:p>
        </w:tc>
        <w:tc>
          <w:tcPr>
            <w:tcW w:w="880" w:type="dxa"/>
            <w:tcBorders>
              <w:top w:val="single" w:sz="4" w:space="0" w:color="auto"/>
              <w:bottom w:val="single" w:sz="12" w:space="0" w:color="auto"/>
            </w:tcBorders>
            <w:shd w:val="clear" w:color="auto" w:fill="auto"/>
            <w:vAlign w:val="bottom"/>
          </w:tcPr>
          <w:p w14:paraId="35F787C7" w14:textId="28A677C6" w:rsidR="00221DD4" w:rsidRPr="00F464FA" w:rsidRDefault="00221DD4" w:rsidP="003C49B8">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2015/16</w:t>
            </w:r>
          </w:p>
        </w:tc>
        <w:tc>
          <w:tcPr>
            <w:tcW w:w="880" w:type="dxa"/>
            <w:tcBorders>
              <w:top w:val="single" w:sz="4" w:space="0" w:color="auto"/>
              <w:bottom w:val="single" w:sz="12" w:space="0" w:color="auto"/>
            </w:tcBorders>
            <w:shd w:val="clear" w:color="auto" w:fill="auto"/>
            <w:vAlign w:val="bottom"/>
          </w:tcPr>
          <w:p w14:paraId="22868E69" w14:textId="3F512FE0" w:rsidR="00221DD4" w:rsidRPr="00F464FA" w:rsidRDefault="00221DD4" w:rsidP="003C49B8">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2016/17</w:t>
            </w:r>
          </w:p>
        </w:tc>
      </w:tr>
      <w:tr w:rsidR="00221DD4" w:rsidRPr="00F464FA" w14:paraId="5C29B1FE" w14:textId="77777777" w:rsidTr="000A795E">
        <w:tc>
          <w:tcPr>
            <w:tcW w:w="2972" w:type="dxa"/>
            <w:tcBorders>
              <w:top w:val="single" w:sz="12" w:space="0" w:color="auto"/>
            </w:tcBorders>
            <w:shd w:val="clear" w:color="auto" w:fill="auto"/>
          </w:tcPr>
          <w:p w14:paraId="138ADE20" w14:textId="35EDB5F6" w:rsidR="00221DD4" w:rsidRPr="00F464FA" w:rsidRDefault="00221DD4" w:rsidP="003C49B8">
            <w:pPr>
              <w:pStyle w:val="SingleTxtG"/>
              <w:tabs>
                <w:tab w:val="clear" w:pos="1701"/>
                <w:tab w:val="clear" w:pos="2268"/>
              </w:tabs>
              <w:suppressAutoHyphens w:val="0"/>
              <w:spacing w:before="40" w:after="40" w:line="220" w:lineRule="exact"/>
              <w:ind w:left="0" w:right="113"/>
              <w:jc w:val="left"/>
              <w:rPr>
                <w:sz w:val="18"/>
              </w:rPr>
            </w:pPr>
            <w:r w:rsidRPr="00F464FA">
              <w:rPr>
                <w:sz w:val="18"/>
              </w:rPr>
              <w:t>Education-sector allocation minus Dev Part 1 (MK</w:t>
            </w:r>
            <w:r w:rsidR="000A795E" w:rsidRPr="00F464FA">
              <w:rPr>
                <w:sz w:val="18"/>
              </w:rPr>
              <w:t>’</w:t>
            </w:r>
            <w:r w:rsidRPr="00F464FA">
              <w:rPr>
                <w:sz w:val="18"/>
              </w:rPr>
              <w:t xml:space="preserve"> billions) </w:t>
            </w:r>
          </w:p>
        </w:tc>
        <w:tc>
          <w:tcPr>
            <w:tcW w:w="879" w:type="dxa"/>
            <w:tcBorders>
              <w:top w:val="single" w:sz="12" w:space="0" w:color="auto"/>
            </w:tcBorders>
            <w:shd w:val="clear" w:color="auto" w:fill="auto"/>
            <w:vAlign w:val="bottom"/>
          </w:tcPr>
          <w:p w14:paraId="51781D28" w14:textId="77777777" w:rsidR="00221DD4" w:rsidRPr="00F464FA" w:rsidRDefault="00221DD4" w:rsidP="003C49B8">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79</w:t>
            </w:r>
          </w:p>
        </w:tc>
        <w:tc>
          <w:tcPr>
            <w:tcW w:w="880" w:type="dxa"/>
            <w:tcBorders>
              <w:top w:val="single" w:sz="12" w:space="0" w:color="auto"/>
            </w:tcBorders>
            <w:shd w:val="clear" w:color="auto" w:fill="auto"/>
            <w:vAlign w:val="bottom"/>
          </w:tcPr>
          <w:p w14:paraId="080375D4" w14:textId="77777777" w:rsidR="00221DD4" w:rsidRPr="00F464FA" w:rsidRDefault="00221DD4" w:rsidP="003C49B8">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102</w:t>
            </w:r>
          </w:p>
        </w:tc>
        <w:tc>
          <w:tcPr>
            <w:tcW w:w="879" w:type="dxa"/>
            <w:tcBorders>
              <w:top w:val="single" w:sz="12" w:space="0" w:color="auto"/>
            </w:tcBorders>
            <w:shd w:val="clear" w:color="auto" w:fill="auto"/>
            <w:vAlign w:val="bottom"/>
          </w:tcPr>
          <w:p w14:paraId="07CC07E2" w14:textId="77777777" w:rsidR="00221DD4" w:rsidRPr="00F464FA" w:rsidRDefault="00221DD4" w:rsidP="003C49B8">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119</w:t>
            </w:r>
          </w:p>
        </w:tc>
        <w:tc>
          <w:tcPr>
            <w:tcW w:w="880" w:type="dxa"/>
            <w:tcBorders>
              <w:top w:val="single" w:sz="12" w:space="0" w:color="auto"/>
            </w:tcBorders>
            <w:shd w:val="clear" w:color="auto" w:fill="auto"/>
            <w:vAlign w:val="bottom"/>
          </w:tcPr>
          <w:p w14:paraId="39570F9E" w14:textId="77777777" w:rsidR="00221DD4" w:rsidRPr="00F464FA" w:rsidRDefault="00221DD4" w:rsidP="003C49B8">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163</w:t>
            </w:r>
          </w:p>
        </w:tc>
        <w:tc>
          <w:tcPr>
            <w:tcW w:w="880" w:type="dxa"/>
            <w:tcBorders>
              <w:top w:val="single" w:sz="12" w:space="0" w:color="auto"/>
            </w:tcBorders>
            <w:shd w:val="clear" w:color="auto" w:fill="auto"/>
            <w:vAlign w:val="bottom"/>
          </w:tcPr>
          <w:p w14:paraId="5BFEE1CF" w14:textId="77777777" w:rsidR="00221DD4" w:rsidRPr="00F464FA" w:rsidRDefault="00221DD4" w:rsidP="003C49B8">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179</w:t>
            </w:r>
          </w:p>
        </w:tc>
      </w:tr>
      <w:tr w:rsidR="00221DD4" w:rsidRPr="00F464FA" w14:paraId="629E66CF" w14:textId="77777777" w:rsidTr="000A795E">
        <w:tc>
          <w:tcPr>
            <w:tcW w:w="2972" w:type="dxa"/>
            <w:shd w:val="clear" w:color="auto" w:fill="auto"/>
          </w:tcPr>
          <w:p w14:paraId="469E3769" w14:textId="3FC9C9CC" w:rsidR="00221DD4" w:rsidRPr="00F464FA" w:rsidRDefault="00221DD4" w:rsidP="003C49B8">
            <w:pPr>
              <w:pStyle w:val="SingleTxtG"/>
              <w:tabs>
                <w:tab w:val="clear" w:pos="1701"/>
                <w:tab w:val="clear" w:pos="2268"/>
              </w:tabs>
              <w:suppressAutoHyphens w:val="0"/>
              <w:spacing w:before="40" w:after="40" w:line="220" w:lineRule="exact"/>
              <w:ind w:left="0" w:right="113"/>
              <w:jc w:val="left"/>
              <w:rPr>
                <w:sz w:val="18"/>
              </w:rPr>
            </w:pPr>
            <w:r w:rsidRPr="00F464FA">
              <w:rPr>
                <w:sz w:val="18"/>
              </w:rPr>
              <w:t>GDP (MK</w:t>
            </w:r>
            <w:r w:rsidR="000A795E" w:rsidRPr="00F464FA">
              <w:rPr>
                <w:sz w:val="18"/>
              </w:rPr>
              <w:t>’</w:t>
            </w:r>
            <w:r w:rsidRPr="00F464FA">
              <w:rPr>
                <w:sz w:val="18"/>
              </w:rPr>
              <w:t xml:space="preserve"> billions) </w:t>
            </w:r>
          </w:p>
        </w:tc>
        <w:tc>
          <w:tcPr>
            <w:tcW w:w="879" w:type="dxa"/>
            <w:shd w:val="clear" w:color="auto" w:fill="auto"/>
            <w:vAlign w:val="bottom"/>
          </w:tcPr>
          <w:p w14:paraId="7F7AE334" w14:textId="6B5DCCF5"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w:t>
            </w:r>
            <w:r w:rsidR="00623D84" w:rsidRPr="00F464FA">
              <w:rPr>
                <w:bCs/>
                <w:sz w:val="18"/>
              </w:rPr>
              <w:t xml:space="preserve"> </w:t>
            </w:r>
            <w:r w:rsidRPr="00F464FA">
              <w:rPr>
                <w:bCs/>
                <w:sz w:val="18"/>
              </w:rPr>
              <w:t xml:space="preserve">717 </w:t>
            </w:r>
          </w:p>
        </w:tc>
        <w:tc>
          <w:tcPr>
            <w:tcW w:w="880" w:type="dxa"/>
            <w:shd w:val="clear" w:color="auto" w:fill="auto"/>
            <w:vAlign w:val="bottom"/>
          </w:tcPr>
          <w:p w14:paraId="344F55DA" w14:textId="19DDB4A0"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623D84" w:rsidRPr="00F464FA">
              <w:rPr>
                <w:bCs/>
                <w:sz w:val="18"/>
              </w:rPr>
              <w:t xml:space="preserve"> </w:t>
            </w:r>
            <w:r w:rsidRPr="00F464FA">
              <w:rPr>
                <w:bCs/>
                <w:sz w:val="18"/>
              </w:rPr>
              <w:t xml:space="preserve">242 </w:t>
            </w:r>
          </w:p>
        </w:tc>
        <w:tc>
          <w:tcPr>
            <w:tcW w:w="879" w:type="dxa"/>
            <w:shd w:val="clear" w:color="auto" w:fill="auto"/>
            <w:vAlign w:val="bottom"/>
          </w:tcPr>
          <w:p w14:paraId="4871FAB2" w14:textId="361784B5"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623D84" w:rsidRPr="00F464FA">
              <w:rPr>
                <w:bCs/>
                <w:sz w:val="18"/>
              </w:rPr>
              <w:t xml:space="preserve"> </w:t>
            </w:r>
            <w:r w:rsidRPr="00F464FA">
              <w:rPr>
                <w:bCs/>
                <w:sz w:val="18"/>
              </w:rPr>
              <w:t xml:space="preserve">848 </w:t>
            </w:r>
          </w:p>
        </w:tc>
        <w:tc>
          <w:tcPr>
            <w:tcW w:w="880" w:type="dxa"/>
            <w:shd w:val="clear" w:color="auto" w:fill="auto"/>
            <w:vAlign w:val="bottom"/>
          </w:tcPr>
          <w:p w14:paraId="63947CDA" w14:textId="37B21B97"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r w:rsidR="00623D84" w:rsidRPr="00F464FA">
              <w:rPr>
                <w:bCs/>
                <w:sz w:val="18"/>
              </w:rPr>
              <w:t xml:space="preserve"> </w:t>
            </w:r>
            <w:r w:rsidRPr="00F464FA">
              <w:rPr>
                <w:bCs/>
                <w:sz w:val="18"/>
              </w:rPr>
              <w:t>521</w:t>
            </w:r>
          </w:p>
        </w:tc>
        <w:tc>
          <w:tcPr>
            <w:tcW w:w="880" w:type="dxa"/>
            <w:shd w:val="clear" w:color="auto" w:fill="auto"/>
            <w:vAlign w:val="bottom"/>
          </w:tcPr>
          <w:p w14:paraId="12DDD0C2" w14:textId="192F205D"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w:t>
            </w:r>
            <w:r w:rsidR="00623D84" w:rsidRPr="00F464FA">
              <w:rPr>
                <w:bCs/>
                <w:sz w:val="18"/>
              </w:rPr>
              <w:t xml:space="preserve"> </w:t>
            </w:r>
            <w:r w:rsidRPr="00F464FA">
              <w:rPr>
                <w:bCs/>
                <w:sz w:val="18"/>
              </w:rPr>
              <w:t xml:space="preserve">219 </w:t>
            </w:r>
          </w:p>
        </w:tc>
      </w:tr>
      <w:tr w:rsidR="00221DD4" w:rsidRPr="00F464FA" w14:paraId="714A40ED" w14:textId="77777777" w:rsidTr="000A795E">
        <w:tc>
          <w:tcPr>
            <w:tcW w:w="2972" w:type="dxa"/>
            <w:shd w:val="clear" w:color="auto" w:fill="auto"/>
          </w:tcPr>
          <w:p w14:paraId="71DB0636" w14:textId="77777777" w:rsidR="00221DD4" w:rsidRPr="00F464FA" w:rsidRDefault="00221DD4" w:rsidP="003C49B8">
            <w:pPr>
              <w:pStyle w:val="SingleTxtG"/>
              <w:tabs>
                <w:tab w:val="clear" w:pos="1701"/>
                <w:tab w:val="clear" w:pos="2268"/>
              </w:tabs>
              <w:suppressAutoHyphens w:val="0"/>
              <w:spacing w:before="40" w:after="40" w:line="220" w:lineRule="exact"/>
              <w:ind w:left="0" w:right="113"/>
              <w:jc w:val="left"/>
              <w:rPr>
                <w:sz w:val="18"/>
              </w:rPr>
            </w:pPr>
            <w:r w:rsidRPr="00F464FA">
              <w:rPr>
                <w:sz w:val="18"/>
              </w:rPr>
              <w:t xml:space="preserve">% of GDP spent on Education </w:t>
            </w:r>
          </w:p>
        </w:tc>
        <w:tc>
          <w:tcPr>
            <w:tcW w:w="879" w:type="dxa"/>
            <w:shd w:val="clear" w:color="auto" w:fill="auto"/>
            <w:vAlign w:val="bottom"/>
          </w:tcPr>
          <w:p w14:paraId="249A0724" w14:textId="68076103"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4.6%</w:t>
            </w:r>
          </w:p>
        </w:tc>
        <w:tc>
          <w:tcPr>
            <w:tcW w:w="880" w:type="dxa"/>
            <w:shd w:val="clear" w:color="auto" w:fill="auto"/>
            <w:vAlign w:val="bottom"/>
          </w:tcPr>
          <w:p w14:paraId="4F59397F" w14:textId="257942C3"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4.5%</w:t>
            </w:r>
          </w:p>
        </w:tc>
        <w:tc>
          <w:tcPr>
            <w:tcW w:w="879" w:type="dxa"/>
            <w:shd w:val="clear" w:color="auto" w:fill="auto"/>
            <w:vAlign w:val="bottom"/>
          </w:tcPr>
          <w:p w14:paraId="64C8810F" w14:textId="1678556C"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4.2%</w:t>
            </w:r>
          </w:p>
        </w:tc>
        <w:tc>
          <w:tcPr>
            <w:tcW w:w="880" w:type="dxa"/>
            <w:shd w:val="clear" w:color="auto" w:fill="auto"/>
            <w:vAlign w:val="bottom"/>
          </w:tcPr>
          <w:p w14:paraId="17B1A700" w14:textId="72AF074E"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4.6%</w:t>
            </w:r>
          </w:p>
        </w:tc>
        <w:tc>
          <w:tcPr>
            <w:tcW w:w="880" w:type="dxa"/>
            <w:shd w:val="clear" w:color="auto" w:fill="auto"/>
            <w:vAlign w:val="bottom"/>
          </w:tcPr>
          <w:p w14:paraId="31930C43" w14:textId="24CC2D6C" w:rsidR="00221DD4" w:rsidRPr="00F464FA" w:rsidRDefault="00221DD4" w:rsidP="003B43C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4.2%</w:t>
            </w:r>
          </w:p>
        </w:tc>
      </w:tr>
    </w:tbl>
    <w:p w14:paraId="48A9B517" w14:textId="53431E2E" w:rsidR="00221DD4" w:rsidRPr="00F464FA" w:rsidRDefault="00221DD4" w:rsidP="001250CF">
      <w:pPr>
        <w:spacing w:before="120" w:after="240"/>
        <w:ind w:left="1134" w:right="1134" w:firstLine="170"/>
        <w:rPr>
          <w:sz w:val="18"/>
        </w:rPr>
      </w:pPr>
      <w:r w:rsidRPr="00F464FA">
        <w:rPr>
          <w:i/>
          <w:iCs/>
          <w:sz w:val="18"/>
        </w:rPr>
        <w:t>Source:</w:t>
      </w:r>
      <w:r w:rsidRPr="00F464FA">
        <w:rPr>
          <w:sz w:val="18"/>
        </w:rPr>
        <w:t xml:space="preserve"> Ministry of Education, Science and Technology</w:t>
      </w:r>
      <w:r w:rsidR="001250CF" w:rsidRPr="00F464FA">
        <w:rPr>
          <w:sz w:val="18"/>
        </w:rPr>
        <w:t>.</w:t>
      </w:r>
    </w:p>
    <w:p w14:paraId="319509E6" w14:textId="14734190" w:rsidR="00221DD4" w:rsidRPr="00F464FA" w:rsidRDefault="00221DD4" w:rsidP="00221DD4">
      <w:pPr>
        <w:pStyle w:val="SingleTxtG"/>
        <w:rPr>
          <w:bCs/>
        </w:rPr>
      </w:pPr>
      <w:r w:rsidRPr="00F464FA">
        <w:rPr>
          <w:bCs/>
        </w:rPr>
        <w:t>173.</w:t>
      </w:r>
      <w:r w:rsidRPr="00F464FA">
        <w:rPr>
          <w:bCs/>
        </w:rPr>
        <w:tab/>
        <w:t>In terms of the budget allocation from the recurrent national budget, the table below shows that the education sector has been allocated an average of 25.2 per cent of the recurrent national budget.</w:t>
      </w:r>
    </w:p>
    <w:p w14:paraId="3DA98E87" w14:textId="0BFF6EBB" w:rsidR="00221DD4" w:rsidRPr="00F464FA" w:rsidRDefault="00221DD4" w:rsidP="00221DD4">
      <w:pPr>
        <w:pStyle w:val="Heading1"/>
      </w:pPr>
      <w:r w:rsidRPr="00F464FA">
        <w:t>Table 29</w:t>
      </w:r>
    </w:p>
    <w:p w14:paraId="2CCD9FF2" w14:textId="123448E3" w:rsidR="00221DD4" w:rsidRPr="00F464FA" w:rsidRDefault="00221DD4" w:rsidP="00A27E53">
      <w:pPr>
        <w:pStyle w:val="SingleTxtG"/>
        <w:jc w:val="left"/>
        <w:rPr>
          <w:b/>
        </w:rPr>
      </w:pPr>
      <w:r w:rsidRPr="00F464FA">
        <w:rPr>
          <w:b/>
        </w:rPr>
        <w:t>Trends in recurrent allocation total government recurrent budget to education in (MK</w:t>
      </w:r>
      <w:r w:rsidR="000B527D" w:rsidRPr="00F464FA">
        <w:rPr>
          <w:b/>
        </w:rPr>
        <w:t> </w:t>
      </w:r>
      <w:r w:rsidR="006F2E95" w:rsidRPr="00F464FA">
        <w:rPr>
          <w:b/>
        </w:rPr>
        <w:t>“</w:t>
      </w:r>
      <w:r w:rsidRPr="00F464FA">
        <w:rPr>
          <w:b/>
        </w:rPr>
        <w:t>000,000,000</w:t>
      </w:r>
      <w:r w:rsidR="006F2E95" w:rsidRPr="00F464FA">
        <w:rPr>
          <w:b/>
        </w:rPr>
        <w:t>”</w:t>
      </w:r>
      <w:r w:rsidRPr="00F464FA">
        <w:rPr>
          <w:b/>
        </w:rPr>
        <w:t>)</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709"/>
        <w:gridCol w:w="709"/>
        <w:gridCol w:w="708"/>
        <w:gridCol w:w="709"/>
        <w:gridCol w:w="709"/>
        <w:gridCol w:w="709"/>
        <w:gridCol w:w="708"/>
        <w:gridCol w:w="709"/>
        <w:gridCol w:w="709"/>
        <w:gridCol w:w="850"/>
      </w:tblGrid>
      <w:tr w:rsidR="007D28F0" w:rsidRPr="00F464FA" w14:paraId="5D006131" w14:textId="77777777" w:rsidTr="007D28F0">
        <w:trPr>
          <w:tblHeader/>
        </w:trPr>
        <w:tc>
          <w:tcPr>
            <w:tcW w:w="2410" w:type="dxa"/>
            <w:tcBorders>
              <w:top w:val="single" w:sz="4" w:space="0" w:color="auto"/>
              <w:bottom w:val="single" w:sz="12" w:space="0" w:color="auto"/>
            </w:tcBorders>
            <w:shd w:val="clear" w:color="auto" w:fill="auto"/>
            <w:vAlign w:val="bottom"/>
          </w:tcPr>
          <w:p w14:paraId="677DC4A7" w14:textId="77777777" w:rsidR="00221DD4" w:rsidRPr="00F464FA" w:rsidRDefault="00221DD4" w:rsidP="00BE5022">
            <w:pPr>
              <w:pStyle w:val="SingleTxtG"/>
              <w:tabs>
                <w:tab w:val="clear" w:pos="1701"/>
                <w:tab w:val="clear" w:pos="2268"/>
              </w:tabs>
              <w:suppressAutoHyphens w:val="0"/>
              <w:spacing w:before="80" w:after="80" w:line="200" w:lineRule="exact"/>
              <w:ind w:left="0" w:right="113"/>
              <w:jc w:val="left"/>
              <w:rPr>
                <w:bCs/>
                <w:i/>
                <w:sz w:val="16"/>
              </w:rPr>
            </w:pPr>
            <w:r w:rsidRPr="00F464FA">
              <w:rPr>
                <w:bCs/>
                <w:i/>
                <w:sz w:val="16"/>
              </w:rPr>
              <w:t xml:space="preserve">Financial Year </w:t>
            </w:r>
          </w:p>
        </w:tc>
        <w:tc>
          <w:tcPr>
            <w:tcW w:w="709" w:type="dxa"/>
            <w:tcBorders>
              <w:top w:val="single" w:sz="4" w:space="0" w:color="auto"/>
              <w:bottom w:val="single" w:sz="12" w:space="0" w:color="auto"/>
            </w:tcBorders>
            <w:shd w:val="clear" w:color="auto" w:fill="auto"/>
            <w:vAlign w:val="bottom"/>
          </w:tcPr>
          <w:p w14:paraId="5EEE2E48" w14:textId="67BD8AB7"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2010/11</w:t>
            </w:r>
          </w:p>
        </w:tc>
        <w:tc>
          <w:tcPr>
            <w:tcW w:w="709" w:type="dxa"/>
            <w:tcBorders>
              <w:top w:val="single" w:sz="4" w:space="0" w:color="auto"/>
              <w:bottom w:val="single" w:sz="12" w:space="0" w:color="auto"/>
            </w:tcBorders>
            <w:shd w:val="clear" w:color="auto" w:fill="auto"/>
            <w:vAlign w:val="bottom"/>
          </w:tcPr>
          <w:p w14:paraId="72726468" w14:textId="6D7F7654"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2011/12</w:t>
            </w:r>
          </w:p>
        </w:tc>
        <w:tc>
          <w:tcPr>
            <w:tcW w:w="708" w:type="dxa"/>
            <w:tcBorders>
              <w:top w:val="single" w:sz="4" w:space="0" w:color="auto"/>
              <w:bottom w:val="single" w:sz="12" w:space="0" w:color="auto"/>
            </w:tcBorders>
            <w:shd w:val="clear" w:color="auto" w:fill="auto"/>
            <w:vAlign w:val="bottom"/>
          </w:tcPr>
          <w:p w14:paraId="2982EB55" w14:textId="2B293AB2"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2012/13</w:t>
            </w:r>
          </w:p>
        </w:tc>
        <w:tc>
          <w:tcPr>
            <w:tcW w:w="709" w:type="dxa"/>
            <w:tcBorders>
              <w:top w:val="single" w:sz="4" w:space="0" w:color="auto"/>
              <w:bottom w:val="single" w:sz="12" w:space="0" w:color="auto"/>
            </w:tcBorders>
            <w:shd w:val="clear" w:color="auto" w:fill="auto"/>
            <w:vAlign w:val="bottom"/>
          </w:tcPr>
          <w:p w14:paraId="1E8AF7F8" w14:textId="4DEB6B47"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2013/14</w:t>
            </w:r>
          </w:p>
        </w:tc>
        <w:tc>
          <w:tcPr>
            <w:tcW w:w="709" w:type="dxa"/>
            <w:tcBorders>
              <w:top w:val="single" w:sz="4" w:space="0" w:color="auto"/>
              <w:bottom w:val="single" w:sz="12" w:space="0" w:color="auto"/>
            </w:tcBorders>
            <w:shd w:val="clear" w:color="auto" w:fill="auto"/>
            <w:vAlign w:val="bottom"/>
          </w:tcPr>
          <w:p w14:paraId="5457A1A3" w14:textId="5B7F58E2"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2014/15</w:t>
            </w:r>
          </w:p>
        </w:tc>
        <w:tc>
          <w:tcPr>
            <w:tcW w:w="709" w:type="dxa"/>
            <w:tcBorders>
              <w:top w:val="single" w:sz="4" w:space="0" w:color="auto"/>
              <w:bottom w:val="single" w:sz="12" w:space="0" w:color="auto"/>
            </w:tcBorders>
            <w:shd w:val="clear" w:color="auto" w:fill="auto"/>
            <w:vAlign w:val="bottom"/>
          </w:tcPr>
          <w:p w14:paraId="40E0BB10" w14:textId="3F81CAFD"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2015/16</w:t>
            </w:r>
          </w:p>
        </w:tc>
        <w:tc>
          <w:tcPr>
            <w:tcW w:w="708" w:type="dxa"/>
            <w:tcBorders>
              <w:top w:val="single" w:sz="4" w:space="0" w:color="auto"/>
              <w:bottom w:val="single" w:sz="12" w:space="0" w:color="auto"/>
            </w:tcBorders>
            <w:shd w:val="clear" w:color="auto" w:fill="auto"/>
            <w:vAlign w:val="bottom"/>
          </w:tcPr>
          <w:p w14:paraId="08752E48" w14:textId="71553389"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2016/17</w:t>
            </w:r>
          </w:p>
        </w:tc>
        <w:tc>
          <w:tcPr>
            <w:tcW w:w="709" w:type="dxa"/>
            <w:tcBorders>
              <w:top w:val="single" w:sz="4" w:space="0" w:color="auto"/>
              <w:bottom w:val="single" w:sz="12" w:space="0" w:color="auto"/>
            </w:tcBorders>
            <w:shd w:val="clear" w:color="auto" w:fill="auto"/>
            <w:vAlign w:val="bottom"/>
          </w:tcPr>
          <w:p w14:paraId="127D2EFD" w14:textId="6CA6F0A0"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2017/18</w:t>
            </w:r>
          </w:p>
        </w:tc>
        <w:tc>
          <w:tcPr>
            <w:tcW w:w="709" w:type="dxa"/>
            <w:tcBorders>
              <w:top w:val="single" w:sz="4" w:space="0" w:color="auto"/>
              <w:bottom w:val="single" w:sz="12" w:space="0" w:color="auto"/>
            </w:tcBorders>
            <w:shd w:val="clear" w:color="auto" w:fill="auto"/>
            <w:vAlign w:val="bottom"/>
          </w:tcPr>
          <w:p w14:paraId="6780678A" w14:textId="5B6A0CA8"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2018/19</w:t>
            </w:r>
          </w:p>
        </w:tc>
        <w:tc>
          <w:tcPr>
            <w:tcW w:w="850" w:type="dxa"/>
            <w:tcBorders>
              <w:top w:val="single" w:sz="4" w:space="0" w:color="auto"/>
              <w:bottom w:val="single" w:sz="12" w:space="0" w:color="auto"/>
            </w:tcBorders>
            <w:shd w:val="clear" w:color="auto" w:fill="auto"/>
            <w:vAlign w:val="bottom"/>
          </w:tcPr>
          <w:p w14:paraId="44110BD9" w14:textId="0E745D7B" w:rsidR="00221DD4" w:rsidRPr="00F464FA" w:rsidRDefault="00221DD4" w:rsidP="007D28F0">
            <w:pPr>
              <w:pStyle w:val="SingleTxtG"/>
              <w:tabs>
                <w:tab w:val="clear" w:pos="1701"/>
                <w:tab w:val="clear" w:pos="2268"/>
              </w:tabs>
              <w:suppressAutoHyphens w:val="0"/>
              <w:spacing w:before="80" w:after="80" w:line="200" w:lineRule="exact"/>
              <w:ind w:left="0" w:right="57"/>
              <w:jc w:val="right"/>
              <w:rPr>
                <w:bCs/>
                <w:i/>
                <w:sz w:val="16"/>
              </w:rPr>
            </w:pPr>
            <w:r w:rsidRPr="00F464FA">
              <w:rPr>
                <w:bCs/>
                <w:i/>
                <w:sz w:val="16"/>
              </w:rPr>
              <w:t>2019/20</w:t>
            </w:r>
          </w:p>
        </w:tc>
      </w:tr>
      <w:tr w:rsidR="007D28F0" w:rsidRPr="00F464FA" w14:paraId="663BF7B8" w14:textId="77777777" w:rsidTr="00FC2729">
        <w:tc>
          <w:tcPr>
            <w:tcW w:w="2410" w:type="dxa"/>
            <w:tcBorders>
              <w:top w:val="single" w:sz="12" w:space="0" w:color="auto"/>
              <w:bottom w:val="single" w:sz="4" w:space="0" w:color="auto"/>
            </w:tcBorders>
            <w:shd w:val="clear" w:color="auto" w:fill="auto"/>
          </w:tcPr>
          <w:p w14:paraId="729D7B13" w14:textId="77777777" w:rsidR="00221DD4" w:rsidRPr="00F464FA" w:rsidRDefault="00221DD4" w:rsidP="00133E25">
            <w:pPr>
              <w:pStyle w:val="SingleTxtG"/>
              <w:tabs>
                <w:tab w:val="clear" w:pos="1701"/>
                <w:tab w:val="clear" w:pos="2268"/>
              </w:tabs>
              <w:suppressAutoHyphens w:val="0"/>
              <w:spacing w:before="80" w:after="80" w:line="220" w:lineRule="exact"/>
              <w:ind w:left="283" w:right="0"/>
              <w:jc w:val="left"/>
              <w:rPr>
                <w:b/>
                <w:bCs/>
                <w:sz w:val="18"/>
              </w:rPr>
            </w:pPr>
            <w:r w:rsidRPr="00F464FA">
              <w:rPr>
                <w:b/>
                <w:sz w:val="18"/>
              </w:rPr>
              <w:t xml:space="preserve">Total Recurrent Education </w:t>
            </w:r>
          </w:p>
        </w:tc>
        <w:tc>
          <w:tcPr>
            <w:tcW w:w="709" w:type="dxa"/>
            <w:tcBorders>
              <w:top w:val="single" w:sz="12" w:space="0" w:color="auto"/>
              <w:bottom w:val="single" w:sz="4" w:space="0" w:color="auto"/>
            </w:tcBorders>
            <w:shd w:val="clear" w:color="auto" w:fill="auto"/>
            <w:vAlign w:val="bottom"/>
          </w:tcPr>
          <w:p w14:paraId="1E8785C9" w14:textId="5A42C84C"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43</w:t>
            </w:r>
            <w:r w:rsidR="008878A2" w:rsidRPr="00F464FA">
              <w:rPr>
                <w:b/>
                <w:sz w:val="18"/>
              </w:rPr>
              <w:t xml:space="preserve"> </w:t>
            </w:r>
            <w:r w:rsidRPr="00F464FA">
              <w:rPr>
                <w:b/>
                <w:sz w:val="18"/>
              </w:rPr>
              <w:t>750</w:t>
            </w:r>
          </w:p>
        </w:tc>
        <w:tc>
          <w:tcPr>
            <w:tcW w:w="709" w:type="dxa"/>
            <w:tcBorders>
              <w:top w:val="single" w:sz="12" w:space="0" w:color="auto"/>
              <w:bottom w:val="single" w:sz="4" w:space="0" w:color="auto"/>
            </w:tcBorders>
            <w:shd w:val="clear" w:color="auto" w:fill="auto"/>
            <w:vAlign w:val="bottom"/>
          </w:tcPr>
          <w:p w14:paraId="5024297D" w14:textId="71FCC855"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49</w:t>
            </w:r>
            <w:r w:rsidR="008878A2" w:rsidRPr="00F464FA">
              <w:rPr>
                <w:b/>
                <w:sz w:val="18"/>
              </w:rPr>
              <w:t xml:space="preserve"> </w:t>
            </w:r>
            <w:r w:rsidRPr="00F464FA">
              <w:rPr>
                <w:b/>
                <w:sz w:val="18"/>
              </w:rPr>
              <w:t>890</w:t>
            </w:r>
          </w:p>
        </w:tc>
        <w:tc>
          <w:tcPr>
            <w:tcW w:w="708" w:type="dxa"/>
            <w:tcBorders>
              <w:top w:val="single" w:sz="12" w:space="0" w:color="auto"/>
              <w:bottom w:val="single" w:sz="4" w:space="0" w:color="auto"/>
            </w:tcBorders>
            <w:shd w:val="clear" w:color="auto" w:fill="auto"/>
            <w:vAlign w:val="bottom"/>
          </w:tcPr>
          <w:p w14:paraId="16588677" w14:textId="1A682186"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73</w:t>
            </w:r>
            <w:r w:rsidR="008878A2" w:rsidRPr="00F464FA">
              <w:rPr>
                <w:b/>
                <w:sz w:val="18"/>
              </w:rPr>
              <w:t xml:space="preserve"> </w:t>
            </w:r>
            <w:r w:rsidRPr="00F464FA">
              <w:rPr>
                <w:b/>
                <w:sz w:val="18"/>
              </w:rPr>
              <w:t>430</w:t>
            </w:r>
          </w:p>
        </w:tc>
        <w:tc>
          <w:tcPr>
            <w:tcW w:w="709" w:type="dxa"/>
            <w:tcBorders>
              <w:top w:val="single" w:sz="12" w:space="0" w:color="auto"/>
              <w:bottom w:val="single" w:sz="4" w:space="0" w:color="auto"/>
            </w:tcBorders>
            <w:shd w:val="clear" w:color="auto" w:fill="auto"/>
            <w:vAlign w:val="bottom"/>
          </w:tcPr>
          <w:p w14:paraId="5D2B45D7" w14:textId="0E6B8579"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93</w:t>
            </w:r>
            <w:r w:rsidR="008878A2" w:rsidRPr="00F464FA">
              <w:rPr>
                <w:b/>
                <w:sz w:val="18"/>
              </w:rPr>
              <w:t xml:space="preserve"> </w:t>
            </w:r>
            <w:r w:rsidRPr="00F464FA">
              <w:rPr>
                <w:b/>
                <w:sz w:val="18"/>
              </w:rPr>
              <w:t>400</w:t>
            </w:r>
          </w:p>
        </w:tc>
        <w:tc>
          <w:tcPr>
            <w:tcW w:w="709" w:type="dxa"/>
            <w:tcBorders>
              <w:top w:val="single" w:sz="12" w:space="0" w:color="auto"/>
              <w:bottom w:val="single" w:sz="4" w:space="0" w:color="auto"/>
            </w:tcBorders>
            <w:shd w:val="clear" w:color="auto" w:fill="auto"/>
            <w:vAlign w:val="bottom"/>
          </w:tcPr>
          <w:p w14:paraId="6023354D" w14:textId="7A9BFEB0"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112</w:t>
            </w:r>
            <w:r w:rsidR="008878A2" w:rsidRPr="00F464FA">
              <w:rPr>
                <w:b/>
                <w:sz w:val="18"/>
              </w:rPr>
              <w:t xml:space="preserve"> </w:t>
            </w:r>
            <w:r w:rsidRPr="00F464FA">
              <w:rPr>
                <w:b/>
                <w:sz w:val="18"/>
              </w:rPr>
              <w:t>790</w:t>
            </w:r>
          </w:p>
        </w:tc>
        <w:tc>
          <w:tcPr>
            <w:tcW w:w="709" w:type="dxa"/>
            <w:tcBorders>
              <w:top w:val="single" w:sz="12" w:space="0" w:color="auto"/>
              <w:bottom w:val="single" w:sz="4" w:space="0" w:color="auto"/>
            </w:tcBorders>
            <w:shd w:val="clear" w:color="auto" w:fill="auto"/>
            <w:vAlign w:val="bottom"/>
          </w:tcPr>
          <w:p w14:paraId="41C0AFE7" w14:textId="3FAF3B46"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157</w:t>
            </w:r>
            <w:r w:rsidR="008878A2" w:rsidRPr="00F464FA">
              <w:rPr>
                <w:b/>
                <w:sz w:val="18"/>
              </w:rPr>
              <w:t xml:space="preserve"> </w:t>
            </w:r>
            <w:r w:rsidRPr="00F464FA">
              <w:rPr>
                <w:b/>
                <w:sz w:val="18"/>
              </w:rPr>
              <w:t>869</w:t>
            </w:r>
          </w:p>
        </w:tc>
        <w:tc>
          <w:tcPr>
            <w:tcW w:w="708" w:type="dxa"/>
            <w:tcBorders>
              <w:top w:val="single" w:sz="12" w:space="0" w:color="auto"/>
              <w:bottom w:val="single" w:sz="4" w:space="0" w:color="auto"/>
            </w:tcBorders>
            <w:shd w:val="clear" w:color="auto" w:fill="auto"/>
            <w:vAlign w:val="bottom"/>
          </w:tcPr>
          <w:p w14:paraId="1828FE19" w14:textId="4D413B01"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174</w:t>
            </w:r>
            <w:r w:rsidR="008878A2" w:rsidRPr="00F464FA">
              <w:rPr>
                <w:b/>
                <w:sz w:val="18"/>
              </w:rPr>
              <w:t xml:space="preserve"> </w:t>
            </w:r>
            <w:r w:rsidRPr="00F464FA">
              <w:rPr>
                <w:b/>
                <w:sz w:val="18"/>
              </w:rPr>
              <w:t>690</w:t>
            </w:r>
          </w:p>
        </w:tc>
        <w:tc>
          <w:tcPr>
            <w:tcW w:w="709" w:type="dxa"/>
            <w:tcBorders>
              <w:top w:val="single" w:sz="12" w:space="0" w:color="auto"/>
              <w:bottom w:val="single" w:sz="4" w:space="0" w:color="auto"/>
            </w:tcBorders>
            <w:shd w:val="clear" w:color="auto" w:fill="auto"/>
            <w:vAlign w:val="bottom"/>
          </w:tcPr>
          <w:p w14:paraId="77A8BC00" w14:textId="35A4AC42"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207</w:t>
            </w:r>
            <w:r w:rsidR="008878A2" w:rsidRPr="00F464FA">
              <w:rPr>
                <w:b/>
                <w:sz w:val="18"/>
              </w:rPr>
              <w:t xml:space="preserve"> </w:t>
            </w:r>
            <w:r w:rsidRPr="00F464FA">
              <w:rPr>
                <w:b/>
                <w:sz w:val="18"/>
              </w:rPr>
              <w:t>589</w:t>
            </w:r>
          </w:p>
        </w:tc>
        <w:tc>
          <w:tcPr>
            <w:tcW w:w="709" w:type="dxa"/>
            <w:tcBorders>
              <w:top w:val="single" w:sz="12" w:space="0" w:color="auto"/>
              <w:bottom w:val="single" w:sz="4" w:space="0" w:color="auto"/>
            </w:tcBorders>
            <w:shd w:val="clear" w:color="auto" w:fill="auto"/>
            <w:vAlign w:val="bottom"/>
          </w:tcPr>
          <w:p w14:paraId="1F4151AD" w14:textId="55D28EF8"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224</w:t>
            </w:r>
            <w:r w:rsidR="008878A2" w:rsidRPr="00F464FA">
              <w:rPr>
                <w:b/>
                <w:sz w:val="18"/>
              </w:rPr>
              <w:t xml:space="preserve"> </w:t>
            </w:r>
            <w:r w:rsidRPr="00F464FA">
              <w:rPr>
                <w:b/>
                <w:sz w:val="18"/>
              </w:rPr>
              <w:t>545</w:t>
            </w:r>
          </w:p>
        </w:tc>
        <w:tc>
          <w:tcPr>
            <w:tcW w:w="850" w:type="dxa"/>
            <w:tcBorders>
              <w:top w:val="single" w:sz="12" w:space="0" w:color="auto"/>
              <w:bottom w:val="single" w:sz="4" w:space="0" w:color="auto"/>
            </w:tcBorders>
            <w:shd w:val="clear" w:color="auto" w:fill="auto"/>
            <w:vAlign w:val="bottom"/>
          </w:tcPr>
          <w:p w14:paraId="27E70F20" w14:textId="333F719B"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270</w:t>
            </w:r>
            <w:r w:rsidR="008878A2" w:rsidRPr="00F464FA">
              <w:rPr>
                <w:b/>
                <w:sz w:val="18"/>
              </w:rPr>
              <w:t xml:space="preserve"> </w:t>
            </w:r>
            <w:r w:rsidRPr="00F464FA">
              <w:rPr>
                <w:b/>
                <w:sz w:val="18"/>
              </w:rPr>
              <w:t>985</w:t>
            </w:r>
          </w:p>
        </w:tc>
      </w:tr>
      <w:tr w:rsidR="007D28F0" w:rsidRPr="00F464FA" w14:paraId="49C0B8A8" w14:textId="77777777" w:rsidTr="00FC2729">
        <w:tc>
          <w:tcPr>
            <w:tcW w:w="2410" w:type="dxa"/>
            <w:tcBorders>
              <w:top w:val="single" w:sz="4" w:space="0" w:color="auto"/>
              <w:bottom w:val="single" w:sz="4" w:space="0" w:color="auto"/>
            </w:tcBorders>
            <w:shd w:val="clear" w:color="auto" w:fill="auto"/>
          </w:tcPr>
          <w:p w14:paraId="259B376B" w14:textId="77777777" w:rsidR="00221DD4" w:rsidRPr="00F464FA" w:rsidRDefault="00221DD4" w:rsidP="00FC2729">
            <w:pPr>
              <w:pStyle w:val="SingleTxtG"/>
              <w:tabs>
                <w:tab w:val="clear" w:pos="1701"/>
                <w:tab w:val="clear" w:pos="2268"/>
              </w:tabs>
              <w:suppressAutoHyphens w:val="0"/>
              <w:spacing w:before="80" w:after="80" w:line="220" w:lineRule="exact"/>
              <w:ind w:left="283" w:right="0"/>
              <w:jc w:val="left"/>
              <w:rPr>
                <w:b/>
                <w:bCs/>
                <w:sz w:val="18"/>
              </w:rPr>
            </w:pPr>
            <w:r w:rsidRPr="00F464FA">
              <w:rPr>
                <w:b/>
                <w:sz w:val="18"/>
              </w:rPr>
              <w:t xml:space="preserve">Total Voted Recurrent Allocation (excludes Statutory Expenditures) </w:t>
            </w:r>
          </w:p>
        </w:tc>
        <w:tc>
          <w:tcPr>
            <w:tcW w:w="709" w:type="dxa"/>
            <w:tcBorders>
              <w:top w:val="single" w:sz="4" w:space="0" w:color="auto"/>
              <w:bottom w:val="single" w:sz="4" w:space="0" w:color="auto"/>
            </w:tcBorders>
            <w:shd w:val="clear" w:color="auto" w:fill="auto"/>
            <w:vAlign w:val="bottom"/>
          </w:tcPr>
          <w:p w14:paraId="4EA9DB16" w14:textId="3196C0AE"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182</w:t>
            </w:r>
            <w:r w:rsidR="008878A2" w:rsidRPr="00F464FA">
              <w:rPr>
                <w:b/>
                <w:sz w:val="18"/>
              </w:rPr>
              <w:t xml:space="preserve"> </w:t>
            </w:r>
            <w:r w:rsidRPr="00F464FA">
              <w:rPr>
                <w:b/>
                <w:sz w:val="18"/>
              </w:rPr>
              <w:t>580</w:t>
            </w:r>
          </w:p>
        </w:tc>
        <w:tc>
          <w:tcPr>
            <w:tcW w:w="709" w:type="dxa"/>
            <w:tcBorders>
              <w:top w:val="single" w:sz="4" w:space="0" w:color="auto"/>
              <w:bottom w:val="single" w:sz="4" w:space="0" w:color="auto"/>
            </w:tcBorders>
            <w:shd w:val="clear" w:color="auto" w:fill="auto"/>
            <w:vAlign w:val="bottom"/>
          </w:tcPr>
          <w:p w14:paraId="6546C550" w14:textId="38F98EDB"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194</w:t>
            </w:r>
            <w:r w:rsidR="008878A2" w:rsidRPr="00F464FA">
              <w:rPr>
                <w:b/>
                <w:sz w:val="18"/>
              </w:rPr>
              <w:t xml:space="preserve"> </w:t>
            </w:r>
            <w:r w:rsidRPr="00F464FA">
              <w:rPr>
                <w:b/>
                <w:sz w:val="18"/>
              </w:rPr>
              <w:t>790</w:t>
            </w:r>
          </w:p>
        </w:tc>
        <w:tc>
          <w:tcPr>
            <w:tcW w:w="708" w:type="dxa"/>
            <w:tcBorders>
              <w:top w:val="single" w:sz="4" w:space="0" w:color="auto"/>
              <w:bottom w:val="single" w:sz="4" w:space="0" w:color="auto"/>
            </w:tcBorders>
            <w:shd w:val="clear" w:color="auto" w:fill="auto"/>
            <w:vAlign w:val="bottom"/>
          </w:tcPr>
          <w:p w14:paraId="670C8499" w14:textId="2AF0595A"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321</w:t>
            </w:r>
            <w:r w:rsidR="008878A2" w:rsidRPr="00F464FA">
              <w:rPr>
                <w:b/>
                <w:sz w:val="18"/>
              </w:rPr>
              <w:t xml:space="preserve"> </w:t>
            </w:r>
            <w:r w:rsidRPr="00F464FA">
              <w:rPr>
                <w:b/>
                <w:sz w:val="18"/>
              </w:rPr>
              <w:t>460</w:t>
            </w:r>
          </w:p>
        </w:tc>
        <w:tc>
          <w:tcPr>
            <w:tcW w:w="709" w:type="dxa"/>
            <w:tcBorders>
              <w:top w:val="single" w:sz="4" w:space="0" w:color="auto"/>
              <w:bottom w:val="single" w:sz="4" w:space="0" w:color="auto"/>
            </w:tcBorders>
            <w:shd w:val="clear" w:color="auto" w:fill="auto"/>
            <w:vAlign w:val="bottom"/>
          </w:tcPr>
          <w:p w14:paraId="6647C90E" w14:textId="6B68BDDF"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386</w:t>
            </w:r>
            <w:r w:rsidR="008878A2" w:rsidRPr="00F464FA">
              <w:rPr>
                <w:b/>
                <w:sz w:val="18"/>
              </w:rPr>
              <w:t xml:space="preserve"> </w:t>
            </w:r>
            <w:r w:rsidRPr="00F464FA">
              <w:rPr>
                <w:b/>
                <w:sz w:val="18"/>
              </w:rPr>
              <w:t>220</w:t>
            </w:r>
          </w:p>
        </w:tc>
        <w:tc>
          <w:tcPr>
            <w:tcW w:w="709" w:type="dxa"/>
            <w:tcBorders>
              <w:top w:val="single" w:sz="4" w:space="0" w:color="auto"/>
              <w:bottom w:val="single" w:sz="4" w:space="0" w:color="auto"/>
            </w:tcBorders>
            <w:shd w:val="clear" w:color="auto" w:fill="auto"/>
            <w:vAlign w:val="bottom"/>
          </w:tcPr>
          <w:p w14:paraId="6AF9185E" w14:textId="07B974D7"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495</w:t>
            </w:r>
            <w:r w:rsidR="008878A2" w:rsidRPr="00F464FA">
              <w:rPr>
                <w:b/>
                <w:sz w:val="18"/>
              </w:rPr>
              <w:t xml:space="preserve"> </w:t>
            </w:r>
            <w:r w:rsidRPr="00F464FA">
              <w:rPr>
                <w:b/>
                <w:sz w:val="18"/>
              </w:rPr>
              <w:t>750</w:t>
            </w:r>
          </w:p>
        </w:tc>
        <w:tc>
          <w:tcPr>
            <w:tcW w:w="709" w:type="dxa"/>
            <w:tcBorders>
              <w:top w:val="single" w:sz="4" w:space="0" w:color="auto"/>
              <w:bottom w:val="single" w:sz="4" w:space="0" w:color="auto"/>
            </w:tcBorders>
            <w:shd w:val="clear" w:color="auto" w:fill="auto"/>
            <w:vAlign w:val="bottom"/>
          </w:tcPr>
          <w:p w14:paraId="7128B8C5" w14:textId="2AB0CEA9"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582</w:t>
            </w:r>
            <w:r w:rsidR="008878A2" w:rsidRPr="00F464FA">
              <w:rPr>
                <w:b/>
                <w:sz w:val="18"/>
              </w:rPr>
              <w:t xml:space="preserve"> </w:t>
            </w:r>
            <w:r w:rsidRPr="00F464FA">
              <w:rPr>
                <w:b/>
                <w:sz w:val="18"/>
              </w:rPr>
              <w:t>522</w:t>
            </w:r>
          </w:p>
        </w:tc>
        <w:tc>
          <w:tcPr>
            <w:tcW w:w="708" w:type="dxa"/>
            <w:tcBorders>
              <w:top w:val="single" w:sz="4" w:space="0" w:color="auto"/>
              <w:bottom w:val="single" w:sz="4" w:space="0" w:color="auto"/>
            </w:tcBorders>
            <w:shd w:val="clear" w:color="auto" w:fill="auto"/>
            <w:vAlign w:val="bottom"/>
          </w:tcPr>
          <w:p w14:paraId="424549B0" w14:textId="5C9EDF1D"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666</w:t>
            </w:r>
            <w:r w:rsidR="008878A2" w:rsidRPr="00F464FA">
              <w:rPr>
                <w:b/>
                <w:sz w:val="18"/>
              </w:rPr>
              <w:t xml:space="preserve"> </w:t>
            </w:r>
            <w:r w:rsidRPr="00F464FA">
              <w:rPr>
                <w:b/>
                <w:sz w:val="18"/>
              </w:rPr>
              <w:t>255</w:t>
            </w:r>
          </w:p>
        </w:tc>
        <w:tc>
          <w:tcPr>
            <w:tcW w:w="709" w:type="dxa"/>
            <w:tcBorders>
              <w:top w:val="single" w:sz="4" w:space="0" w:color="auto"/>
              <w:bottom w:val="single" w:sz="4" w:space="0" w:color="auto"/>
            </w:tcBorders>
            <w:shd w:val="clear" w:color="auto" w:fill="auto"/>
            <w:vAlign w:val="bottom"/>
          </w:tcPr>
          <w:p w14:paraId="7728C2F8" w14:textId="625FF2F5"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788</w:t>
            </w:r>
            <w:r w:rsidR="008878A2" w:rsidRPr="00F464FA">
              <w:rPr>
                <w:b/>
                <w:sz w:val="18"/>
              </w:rPr>
              <w:t xml:space="preserve"> </w:t>
            </w:r>
            <w:r w:rsidRPr="00F464FA">
              <w:rPr>
                <w:b/>
                <w:sz w:val="18"/>
              </w:rPr>
              <w:t>999</w:t>
            </w:r>
          </w:p>
        </w:tc>
        <w:tc>
          <w:tcPr>
            <w:tcW w:w="709" w:type="dxa"/>
            <w:tcBorders>
              <w:top w:val="single" w:sz="4" w:space="0" w:color="auto"/>
              <w:bottom w:val="single" w:sz="4" w:space="0" w:color="auto"/>
            </w:tcBorders>
            <w:shd w:val="clear" w:color="auto" w:fill="auto"/>
            <w:vAlign w:val="bottom"/>
          </w:tcPr>
          <w:p w14:paraId="71CCA2B8" w14:textId="7D618A87"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840</w:t>
            </w:r>
            <w:r w:rsidR="008878A2" w:rsidRPr="00F464FA">
              <w:rPr>
                <w:b/>
                <w:sz w:val="18"/>
              </w:rPr>
              <w:t xml:space="preserve"> </w:t>
            </w:r>
            <w:r w:rsidRPr="00F464FA">
              <w:rPr>
                <w:b/>
                <w:sz w:val="18"/>
              </w:rPr>
              <w:t>966</w:t>
            </w:r>
          </w:p>
        </w:tc>
        <w:tc>
          <w:tcPr>
            <w:tcW w:w="850" w:type="dxa"/>
            <w:tcBorders>
              <w:top w:val="single" w:sz="4" w:space="0" w:color="auto"/>
              <w:bottom w:val="single" w:sz="4" w:space="0" w:color="auto"/>
            </w:tcBorders>
            <w:shd w:val="clear" w:color="auto" w:fill="auto"/>
            <w:vAlign w:val="bottom"/>
          </w:tcPr>
          <w:p w14:paraId="528B6C25" w14:textId="0F771AA3" w:rsidR="00221DD4" w:rsidRPr="00F464FA" w:rsidRDefault="00221DD4" w:rsidP="00FC2729">
            <w:pPr>
              <w:pStyle w:val="SingleTxtG"/>
              <w:tabs>
                <w:tab w:val="clear" w:pos="1701"/>
                <w:tab w:val="clear" w:pos="2268"/>
              </w:tabs>
              <w:suppressAutoHyphens w:val="0"/>
              <w:spacing w:before="80" w:after="80" w:line="220" w:lineRule="exact"/>
              <w:ind w:left="0" w:right="113"/>
              <w:jc w:val="right"/>
              <w:rPr>
                <w:b/>
                <w:bCs/>
                <w:sz w:val="18"/>
              </w:rPr>
            </w:pPr>
            <w:r w:rsidRPr="00F464FA">
              <w:rPr>
                <w:b/>
                <w:sz w:val="18"/>
              </w:rPr>
              <w:t>1</w:t>
            </w:r>
            <w:r w:rsidR="008878A2" w:rsidRPr="00F464FA">
              <w:rPr>
                <w:b/>
                <w:sz w:val="18"/>
              </w:rPr>
              <w:t xml:space="preserve"> </w:t>
            </w:r>
            <w:r w:rsidRPr="00F464FA">
              <w:rPr>
                <w:b/>
                <w:sz w:val="18"/>
              </w:rPr>
              <w:t>054</w:t>
            </w:r>
            <w:r w:rsidR="008878A2" w:rsidRPr="00F464FA">
              <w:rPr>
                <w:b/>
                <w:sz w:val="18"/>
              </w:rPr>
              <w:t xml:space="preserve"> </w:t>
            </w:r>
            <w:r w:rsidRPr="00F464FA">
              <w:rPr>
                <w:b/>
                <w:sz w:val="18"/>
              </w:rPr>
              <w:t>959</w:t>
            </w:r>
          </w:p>
        </w:tc>
      </w:tr>
      <w:tr w:rsidR="007D28F0" w:rsidRPr="00F464FA" w14:paraId="0A403630" w14:textId="77777777" w:rsidTr="00FC2729">
        <w:tc>
          <w:tcPr>
            <w:tcW w:w="2410" w:type="dxa"/>
            <w:tcBorders>
              <w:top w:val="single" w:sz="4" w:space="0" w:color="auto"/>
            </w:tcBorders>
            <w:shd w:val="clear" w:color="auto" w:fill="auto"/>
          </w:tcPr>
          <w:p w14:paraId="0178F07C" w14:textId="77777777" w:rsidR="00221DD4" w:rsidRPr="00F464FA" w:rsidRDefault="00221DD4" w:rsidP="007D28F0">
            <w:pPr>
              <w:pStyle w:val="SingleTxtG"/>
              <w:tabs>
                <w:tab w:val="clear" w:pos="1701"/>
                <w:tab w:val="clear" w:pos="2268"/>
              </w:tabs>
              <w:suppressAutoHyphens w:val="0"/>
              <w:spacing w:before="40" w:after="40" w:line="220" w:lineRule="exact"/>
              <w:ind w:left="0" w:right="0"/>
              <w:jc w:val="left"/>
              <w:rPr>
                <w:bCs/>
                <w:sz w:val="18"/>
              </w:rPr>
            </w:pPr>
            <w:r w:rsidRPr="00F464FA">
              <w:rPr>
                <w:sz w:val="18"/>
              </w:rPr>
              <w:t xml:space="preserve">% of recurrent allocation (excluding statutory expenditures) spent on education </w:t>
            </w:r>
          </w:p>
        </w:tc>
        <w:tc>
          <w:tcPr>
            <w:tcW w:w="709" w:type="dxa"/>
            <w:tcBorders>
              <w:top w:val="single" w:sz="4" w:space="0" w:color="auto"/>
            </w:tcBorders>
            <w:shd w:val="clear" w:color="auto" w:fill="auto"/>
            <w:vAlign w:val="bottom"/>
          </w:tcPr>
          <w:p w14:paraId="17AE644B" w14:textId="42FD8245"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24</w:t>
            </w:r>
          </w:p>
        </w:tc>
        <w:tc>
          <w:tcPr>
            <w:tcW w:w="709" w:type="dxa"/>
            <w:tcBorders>
              <w:top w:val="single" w:sz="4" w:space="0" w:color="auto"/>
            </w:tcBorders>
            <w:shd w:val="clear" w:color="auto" w:fill="auto"/>
            <w:vAlign w:val="bottom"/>
          </w:tcPr>
          <w:p w14:paraId="184A6146" w14:textId="127B771F"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26</w:t>
            </w:r>
          </w:p>
        </w:tc>
        <w:tc>
          <w:tcPr>
            <w:tcW w:w="708" w:type="dxa"/>
            <w:tcBorders>
              <w:top w:val="single" w:sz="4" w:space="0" w:color="auto"/>
            </w:tcBorders>
            <w:shd w:val="clear" w:color="auto" w:fill="auto"/>
            <w:vAlign w:val="bottom"/>
          </w:tcPr>
          <w:p w14:paraId="7882791B" w14:textId="2595A2E0"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23</w:t>
            </w:r>
          </w:p>
        </w:tc>
        <w:tc>
          <w:tcPr>
            <w:tcW w:w="709" w:type="dxa"/>
            <w:tcBorders>
              <w:top w:val="single" w:sz="4" w:space="0" w:color="auto"/>
            </w:tcBorders>
            <w:shd w:val="clear" w:color="auto" w:fill="auto"/>
            <w:vAlign w:val="bottom"/>
          </w:tcPr>
          <w:p w14:paraId="406CEB9F" w14:textId="78963134"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24</w:t>
            </w:r>
          </w:p>
        </w:tc>
        <w:tc>
          <w:tcPr>
            <w:tcW w:w="709" w:type="dxa"/>
            <w:tcBorders>
              <w:top w:val="single" w:sz="4" w:space="0" w:color="auto"/>
            </w:tcBorders>
            <w:shd w:val="clear" w:color="auto" w:fill="auto"/>
            <w:vAlign w:val="bottom"/>
          </w:tcPr>
          <w:p w14:paraId="2D97F6B9" w14:textId="34EAA32F"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23</w:t>
            </w:r>
          </w:p>
        </w:tc>
        <w:tc>
          <w:tcPr>
            <w:tcW w:w="709" w:type="dxa"/>
            <w:tcBorders>
              <w:top w:val="single" w:sz="4" w:space="0" w:color="auto"/>
            </w:tcBorders>
            <w:shd w:val="clear" w:color="auto" w:fill="auto"/>
            <w:vAlign w:val="bottom"/>
          </w:tcPr>
          <w:p w14:paraId="39E0E762" w14:textId="28830F54"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27</w:t>
            </w:r>
          </w:p>
        </w:tc>
        <w:tc>
          <w:tcPr>
            <w:tcW w:w="708" w:type="dxa"/>
            <w:tcBorders>
              <w:top w:val="single" w:sz="4" w:space="0" w:color="auto"/>
            </w:tcBorders>
            <w:shd w:val="clear" w:color="auto" w:fill="auto"/>
            <w:vAlign w:val="bottom"/>
          </w:tcPr>
          <w:p w14:paraId="04195BB8" w14:textId="46EFC768"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26</w:t>
            </w:r>
          </w:p>
        </w:tc>
        <w:tc>
          <w:tcPr>
            <w:tcW w:w="709" w:type="dxa"/>
            <w:tcBorders>
              <w:top w:val="single" w:sz="4" w:space="0" w:color="auto"/>
            </w:tcBorders>
            <w:shd w:val="clear" w:color="auto" w:fill="auto"/>
            <w:vAlign w:val="bottom"/>
          </w:tcPr>
          <w:p w14:paraId="5BE04F66" w14:textId="77C1BBF7"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26</w:t>
            </w:r>
          </w:p>
        </w:tc>
        <w:tc>
          <w:tcPr>
            <w:tcW w:w="709" w:type="dxa"/>
            <w:tcBorders>
              <w:top w:val="single" w:sz="4" w:space="0" w:color="auto"/>
            </w:tcBorders>
            <w:shd w:val="clear" w:color="auto" w:fill="auto"/>
            <w:vAlign w:val="bottom"/>
          </w:tcPr>
          <w:p w14:paraId="4752E6AD" w14:textId="5E54F51B"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27</w:t>
            </w:r>
          </w:p>
        </w:tc>
        <w:tc>
          <w:tcPr>
            <w:tcW w:w="850" w:type="dxa"/>
            <w:tcBorders>
              <w:top w:val="single" w:sz="4" w:space="0" w:color="auto"/>
            </w:tcBorders>
            <w:shd w:val="clear" w:color="auto" w:fill="auto"/>
            <w:vAlign w:val="bottom"/>
          </w:tcPr>
          <w:p w14:paraId="526866E5" w14:textId="7C4BE8BE" w:rsidR="00221DD4" w:rsidRPr="00F464FA" w:rsidRDefault="00221DD4" w:rsidP="007D28F0">
            <w:pPr>
              <w:pStyle w:val="SingleTxtG"/>
              <w:tabs>
                <w:tab w:val="clear" w:pos="1701"/>
                <w:tab w:val="clear" w:pos="2268"/>
              </w:tabs>
              <w:suppressAutoHyphens w:val="0"/>
              <w:spacing w:before="40" w:after="40" w:line="220" w:lineRule="exact"/>
              <w:ind w:left="0" w:right="57"/>
              <w:jc w:val="right"/>
              <w:rPr>
                <w:bCs/>
                <w:sz w:val="18"/>
              </w:rPr>
            </w:pPr>
            <w:r w:rsidRPr="00F464FA">
              <w:rPr>
                <w:sz w:val="18"/>
              </w:rPr>
              <w:t>26</w:t>
            </w:r>
          </w:p>
        </w:tc>
      </w:tr>
    </w:tbl>
    <w:p w14:paraId="5C6B7E7E" w14:textId="593A1795" w:rsidR="00221DD4" w:rsidRPr="00F464FA" w:rsidRDefault="00221DD4" w:rsidP="00E66FE9">
      <w:pPr>
        <w:spacing w:before="120" w:after="240"/>
        <w:ind w:right="1134" w:firstLine="170"/>
        <w:rPr>
          <w:sz w:val="18"/>
        </w:rPr>
      </w:pPr>
      <w:r w:rsidRPr="00F464FA">
        <w:rPr>
          <w:i/>
          <w:iCs/>
          <w:sz w:val="18"/>
        </w:rPr>
        <w:t>Source:</w:t>
      </w:r>
      <w:r w:rsidRPr="00F464FA">
        <w:rPr>
          <w:sz w:val="18"/>
        </w:rPr>
        <w:t xml:space="preserve"> Ministry of Finance</w:t>
      </w:r>
      <w:r w:rsidR="00FC2729" w:rsidRPr="00F464FA">
        <w:rPr>
          <w:sz w:val="18"/>
        </w:rPr>
        <w:t>.</w:t>
      </w:r>
    </w:p>
    <w:p w14:paraId="22E08450" w14:textId="77777777" w:rsidR="00221DD4" w:rsidRPr="00F464FA" w:rsidRDefault="00221DD4" w:rsidP="00221DD4">
      <w:pPr>
        <w:pStyle w:val="SingleTxtG"/>
        <w:rPr>
          <w:b/>
        </w:rPr>
      </w:pPr>
      <w:r w:rsidRPr="00F464FA">
        <w:t>174.</w:t>
      </w:r>
      <w:r w:rsidRPr="00F464FA">
        <w:tab/>
      </w:r>
      <w:r w:rsidRPr="00F464FA">
        <w:rPr>
          <w:bCs/>
        </w:rPr>
        <w:t>In the 2015/16 financial year, Malawi Government changed its budgeting system from Output Based Budgeting to Program Based Budgeting. As such, the allocation of resources in the education sector budget is based on programs. The education sector has four programs namely: basic education (primary education), secondary education, higher education, and Management and Administration. Table 30 below shows the total budget allocation by program in the education sector.</w:t>
      </w:r>
    </w:p>
    <w:p w14:paraId="1A40B10E" w14:textId="72FBA3E3" w:rsidR="00221DD4" w:rsidRPr="00F464FA" w:rsidRDefault="00221DD4" w:rsidP="00221DD4">
      <w:pPr>
        <w:pStyle w:val="Heading1"/>
        <w:pageBreakBefore/>
      </w:pPr>
      <w:r w:rsidRPr="00F464FA">
        <w:lastRenderedPageBreak/>
        <w:t>Table 30</w:t>
      </w:r>
    </w:p>
    <w:p w14:paraId="3ED51E35" w14:textId="77777777" w:rsidR="00221DD4" w:rsidRPr="00F464FA" w:rsidRDefault="00221DD4" w:rsidP="00221DD4">
      <w:pPr>
        <w:pStyle w:val="SingleTxtG"/>
        <w:rPr>
          <w:b/>
        </w:rPr>
      </w:pPr>
      <w:r w:rsidRPr="00F464FA">
        <w:rPr>
          <w:b/>
        </w:rPr>
        <w:t xml:space="preserve">Education sector recurrent percentage allocation by program for 2019/ 20 financial year </w:t>
      </w:r>
    </w:p>
    <w:p w14:paraId="10F4B2F8" w14:textId="77777777" w:rsidR="00221DD4" w:rsidRPr="00F464FA" w:rsidRDefault="00221DD4" w:rsidP="00221DD4">
      <w:pPr>
        <w:pStyle w:val="SingleTxtG"/>
        <w:spacing w:after="0"/>
        <w:rPr>
          <w:b/>
        </w:rPr>
      </w:pPr>
      <w:r w:rsidRPr="00F464FA">
        <w:rPr>
          <w:noProof/>
          <w:lang w:eastAsia="en-GB"/>
        </w:rPr>
        <w:drawing>
          <wp:inline distT="0" distB="0" distL="0" distR="0" wp14:anchorId="7901D708" wp14:editId="56A336A8">
            <wp:extent cx="4907824" cy="24193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10259" cy="2420550"/>
                    </a:xfrm>
                    <a:prstGeom prst="rect">
                      <a:avLst/>
                    </a:prstGeom>
                  </pic:spPr>
                </pic:pic>
              </a:graphicData>
            </a:graphic>
          </wp:inline>
        </w:drawing>
      </w:r>
    </w:p>
    <w:p w14:paraId="16829429" w14:textId="39503F7D" w:rsidR="00221DD4" w:rsidRPr="00F464FA" w:rsidRDefault="00221DD4" w:rsidP="00E63775">
      <w:pPr>
        <w:spacing w:before="120" w:after="240"/>
        <w:ind w:left="1134" w:right="1134" w:firstLine="170"/>
        <w:rPr>
          <w:sz w:val="18"/>
        </w:rPr>
      </w:pPr>
      <w:r w:rsidRPr="00F464FA">
        <w:rPr>
          <w:i/>
          <w:iCs/>
          <w:sz w:val="18"/>
        </w:rPr>
        <w:t>Source:</w:t>
      </w:r>
      <w:r w:rsidRPr="00F464FA">
        <w:rPr>
          <w:sz w:val="18"/>
        </w:rPr>
        <w:t xml:space="preserve"> Ministry of Finance</w:t>
      </w:r>
      <w:r w:rsidR="00E63775" w:rsidRPr="00F464FA">
        <w:rPr>
          <w:sz w:val="18"/>
        </w:rPr>
        <w:t>.</w:t>
      </w:r>
    </w:p>
    <w:p w14:paraId="2A7AA7FC" w14:textId="77777777" w:rsidR="00221DD4" w:rsidRPr="00F464FA" w:rsidRDefault="00221DD4" w:rsidP="00221DD4">
      <w:pPr>
        <w:pStyle w:val="SingleTxtG"/>
        <w:rPr>
          <w:bCs/>
        </w:rPr>
      </w:pPr>
      <w:r w:rsidRPr="00F464FA">
        <w:rPr>
          <w:bCs/>
        </w:rPr>
        <w:t>175.</w:t>
      </w:r>
      <w:r w:rsidRPr="00F464FA">
        <w:rPr>
          <w:bCs/>
        </w:rPr>
        <w:tab/>
        <w:t xml:space="preserve">In the 2019/20 financial year approved budget for education sector development projects was MK49.5 billion. The sum includes an approved budget provision of MK18.2 billion for development projects which were implemented under education </w:t>
      </w:r>
      <w:proofErr w:type="spellStart"/>
      <w:r w:rsidRPr="00F464FA">
        <w:rPr>
          <w:bCs/>
        </w:rPr>
        <w:t>subvented</w:t>
      </w:r>
      <w:proofErr w:type="spellEnd"/>
      <w:r w:rsidRPr="00F464FA">
        <w:rPr>
          <w:bCs/>
        </w:rPr>
        <w:t xml:space="preserve"> organizations. The resources under the development budget were allocated mainly to the three core programmes namely: basic, education, secondary and higher education programmes.</w:t>
      </w:r>
    </w:p>
    <w:p w14:paraId="3E8B4623" w14:textId="393E036F" w:rsidR="00221DD4" w:rsidRPr="00F464FA" w:rsidRDefault="00221DD4" w:rsidP="00221DD4">
      <w:pPr>
        <w:pStyle w:val="SingleTxtG"/>
        <w:rPr>
          <w:bCs/>
        </w:rPr>
      </w:pPr>
      <w:r w:rsidRPr="00F464FA">
        <w:rPr>
          <w:bCs/>
        </w:rPr>
        <w:t>176.</w:t>
      </w:r>
      <w:r w:rsidRPr="00F464FA">
        <w:rPr>
          <w:bCs/>
        </w:rPr>
        <w:tab/>
        <w:t>The table below shows the education sector development budget allocations by programme.</w:t>
      </w:r>
    </w:p>
    <w:p w14:paraId="000E9385" w14:textId="028CF8B8" w:rsidR="00221DD4" w:rsidRPr="00F464FA" w:rsidRDefault="00221DD4" w:rsidP="00221DD4">
      <w:pPr>
        <w:pStyle w:val="Heading1"/>
      </w:pPr>
      <w:r w:rsidRPr="00F464FA">
        <w:t>Table 31</w:t>
      </w:r>
    </w:p>
    <w:p w14:paraId="4A3E10E2" w14:textId="77777777" w:rsidR="00221DD4" w:rsidRPr="00F464FA" w:rsidRDefault="00221DD4" w:rsidP="00221DD4">
      <w:pPr>
        <w:pStyle w:val="SingleTxtG"/>
        <w:rPr>
          <w:b/>
        </w:rPr>
      </w:pPr>
      <w:r w:rsidRPr="00F464FA">
        <w:rPr>
          <w:b/>
        </w:rPr>
        <w:t>Education sector development budget allocations by program 2019/2020 financial year</w:t>
      </w:r>
    </w:p>
    <w:p w14:paraId="4A1A9774" w14:textId="77777777" w:rsidR="00221DD4" w:rsidRPr="00F464FA" w:rsidRDefault="00221DD4" w:rsidP="00221DD4">
      <w:pPr>
        <w:pStyle w:val="SingleTxtG"/>
        <w:spacing w:after="0"/>
      </w:pPr>
      <w:r w:rsidRPr="00F464FA">
        <w:rPr>
          <w:noProof/>
          <w:lang w:eastAsia="en-GB"/>
        </w:rPr>
        <w:drawing>
          <wp:inline distT="0" distB="0" distL="0" distR="0" wp14:anchorId="4E74A279" wp14:editId="6B89D4D2">
            <wp:extent cx="4410075" cy="2496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18479" cy="2501026"/>
                    </a:xfrm>
                    <a:prstGeom prst="rect">
                      <a:avLst/>
                    </a:prstGeom>
                  </pic:spPr>
                </pic:pic>
              </a:graphicData>
            </a:graphic>
          </wp:inline>
        </w:drawing>
      </w:r>
    </w:p>
    <w:p w14:paraId="79310D16" w14:textId="2137DD57" w:rsidR="00221DD4" w:rsidRPr="00F464FA" w:rsidRDefault="00221DD4" w:rsidP="00C25EDA">
      <w:pPr>
        <w:spacing w:before="120"/>
        <w:ind w:left="1134" w:right="1134" w:firstLine="170"/>
        <w:rPr>
          <w:sz w:val="18"/>
        </w:rPr>
      </w:pPr>
      <w:r w:rsidRPr="00F464FA">
        <w:rPr>
          <w:i/>
          <w:iCs/>
          <w:sz w:val="18"/>
        </w:rPr>
        <w:t>Source:</w:t>
      </w:r>
      <w:r w:rsidRPr="00F464FA">
        <w:rPr>
          <w:sz w:val="18"/>
        </w:rPr>
        <w:t xml:space="preserve"> Ministry of Finance</w:t>
      </w:r>
      <w:r w:rsidR="00C25EDA" w:rsidRPr="00F464FA">
        <w:rPr>
          <w:sz w:val="18"/>
        </w:rPr>
        <w:t>.</w:t>
      </w:r>
    </w:p>
    <w:p w14:paraId="69CFFDED" w14:textId="19EC6174" w:rsidR="00221DD4" w:rsidRPr="00F464FA" w:rsidRDefault="0064717D" w:rsidP="00355030">
      <w:pPr>
        <w:pStyle w:val="H23G"/>
        <w:rPr>
          <w:lang w:val="en-GB"/>
        </w:rPr>
      </w:pPr>
      <w:r w:rsidRPr="00F464FA">
        <w:rPr>
          <w:lang w:val="en-GB"/>
        </w:rPr>
        <w:tab/>
      </w:r>
      <w:r w:rsidRPr="00F464FA">
        <w:rPr>
          <w:lang w:val="en-GB"/>
        </w:rPr>
        <w:tab/>
      </w:r>
      <w:r w:rsidR="00221DD4" w:rsidRPr="00F464FA">
        <w:rPr>
          <w:lang w:val="en-GB"/>
        </w:rPr>
        <w:t>Number of schools</w:t>
      </w:r>
    </w:p>
    <w:p w14:paraId="6B4D4D87" w14:textId="77777777" w:rsidR="00221DD4" w:rsidRPr="00F464FA" w:rsidRDefault="00221DD4" w:rsidP="00221DD4">
      <w:pPr>
        <w:pStyle w:val="SingleTxtG"/>
        <w:rPr>
          <w:bCs/>
        </w:rPr>
      </w:pPr>
      <w:r w:rsidRPr="00F464FA">
        <w:rPr>
          <w:bCs/>
        </w:rPr>
        <w:t>177.</w:t>
      </w:r>
      <w:r w:rsidRPr="00F464FA">
        <w:rPr>
          <w:bCs/>
        </w:rPr>
        <w:tab/>
        <w:t>The number of secondary schools, both public and private, has increased over the last five (5) years. Public secondary schools have increased from 981 in 2013 to 1,105 in 2017 representing a 13 per cent increase. Similarly, private secondary schools have increased by 97, from an initial 209 schools in 2013 to 306 schools in 2017 representing a 46 per cent increase.</w:t>
      </w:r>
    </w:p>
    <w:p w14:paraId="0FA42B7B" w14:textId="149D7090" w:rsidR="00221DD4" w:rsidRPr="00F464FA" w:rsidRDefault="00837EEE" w:rsidP="00355030">
      <w:pPr>
        <w:pStyle w:val="H23G"/>
        <w:rPr>
          <w:lang w:val="en-GB"/>
        </w:rPr>
      </w:pPr>
      <w:r w:rsidRPr="00F464FA">
        <w:rPr>
          <w:lang w:val="en-GB"/>
        </w:rPr>
        <w:lastRenderedPageBreak/>
        <w:tab/>
      </w:r>
      <w:r w:rsidRPr="00F464FA">
        <w:rPr>
          <w:lang w:val="en-GB"/>
        </w:rPr>
        <w:tab/>
      </w:r>
      <w:r w:rsidR="00221DD4" w:rsidRPr="00F464FA">
        <w:rPr>
          <w:lang w:val="en-GB"/>
        </w:rPr>
        <w:t>Scholarships</w:t>
      </w:r>
    </w:p>
    <w:p w14:paraId="2824D5D7" w14:textId="77777777" w:rsidR="00221DD4" w:rsidRPr="00F464FA" w:rsidRDefault="00221DD4" w:rsidP="00221DD4">
      <w:pPr>
        <w:pStyle w:val="SingleTxtG"/>
        <w:rPr>
          <w:bCs/>
        </w:rPr>
      </w:pPr>
      <w:r w:rsidRPr="00F464FA">
        <w:rPr>
          <w:bCs/>
        </w:rPr>
        <w:t>178.</w:t>
      </w:r>
      <w:r w:rsidRPr="00F464FA">
        <w:rPr>
          <w:bCs/>
        </w:rPr>
        <w:tab/>
        <w:t xml:space="preserve">Access to higher education was enhanced through student loans, scholarships and grants from organizations and individuals. The introduction of Student loans by the </w:t>
      </w:r>
      <w:bookmarkStart w:id="53" w:name="_Hlk63778757"/>
      <w:r w:rsidRPr="00F464FA">
        <w:rPr>
          <w:bCs/>
        </w:rPr>
        <w:t xml:space="preserve">Higher Education Students’ Loans and Grants Board (HESL&amp;GB) </w:t>
      </w:r>
      <w:bookmarkEnd w:id="53"/>
      <w:r w:rsidRPr="00F464FA">
        <w:rPr>
          <w:bCs/>
        </w:rPr>
        <w:t>has contributed to access and retention of needy students at risk of University/College drop-out due to financial limitations. During the 2016/17, financial year the Board was allocated a total budget ceiling amounting to MK3.0 billion of which a total of 83% amounting to MK2.449 billion was or student loans and 17% for the operations of the Board.</w:t>
      </w:r>
    </w:p>
    <w:p w14:paraId="282C6FE0" w14:textId="77777777" w:rsidR="00221DD4" w:rsidRPr="00F464FA" w:rsidRDefault="00221DD4" w:rsidP="00221DD4">
      <w:pPr>
        <w:pStyle w:val="SingleTxtG"/>
        <w:rPr>
          <w:bCs/>
        </w:rPr>
      </w:pPr>
      <w:r w:rsidRPr="00F464FA">
        <w:rPr>
          <w:bCs/>
        </w:rPr>
        <w:t>179.</w:t>
      </w:r>
      <w:r w:rsidRPr="00F464FA">
        <w:rPr>
          <w:bCs/>
        </w:rPr>
        <w:tab/>
      </w:r>
      <w:r w:rsidRPr="00F464FA">
        <w:t xml:space="preserve">The Tables below indicate a summary of the status of education in Malawi at 2018 in terms of access, </w:t>
      </w:r>
      <w:r w:rsidRPr="00F464FA">
        <w:rPr>
          <w:bCs/>
        </w:rPr>
        <w:t>quality</w:t>
      </w:r>
      <w:r w:rsidRPr="00F464FA">
        <w:t>, efficiency, equity and budgeting expenditure.</w:t>
      </w:r>
    </w:p>
    <w:p w14:paraId="4BCCA4E3" w14:textId="0A95199E" w:rsidR="00221DD4" w:rsidRPr="00F464FA" w:rsidRDefault="00221DD4" w:rsidP="00221DD4">
      <w:pPr>
        <w:pStyle w:val="Heading1"/>
      </w:pPr>
      <w:r w:rsidRPr="00F464FA">
        <w:t>Table 32</w:t>
      </w:r>
    </w:p>
    <w:p w14:paraId="04DE815E" w14:textId="29707269" w:rsidR="00221DD4" w:rsidRPr="00F464FA" w:rsidRDefault="00221DD4" w:rsidP="00221DD4">
      <w:pPr>
        <w:pStyle w:val="SingleTxtG"/>
        <w:rPr>
          <w:b/>
        </w:rPr>
      </w:pPr>
      <w:r w:rsidRPr="00F464FA">
        <w:rPr>
          <w:b/>
        </w:rPr>
        <w:t>Access indicators, 2017</w:t>
      </w:r>
      <w:r w:rsidR="00795347" w:rsidRPr="00F464FA">
        <w:rPr>
          <w:b/>
        </w:rPr>
        <w:t>–</w:t>
      </w:r>
      <w:r w:rsidRPr="00F464FA">
        <w:rPr>
          <w:b/>
        </w:rPr>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5"/>
        <w:gridCol w:w="1487"/>
        <w:gridCol w:w="1488"/>
      </w:tblGrid>
      <w:tr w:rsidR="00221DD4" w:rsidRPr="00F464FA" w14:paraId="0EF61B8D" w14:textId="77777777" w:rsidTr="00E56CD5">
        <w:trPr>
          <w:tblHeader/>
        </w:trPr>
        <w:tc>
          <w:tcPr>
            <w:tcW w:w="4395" w:type="dxa"/>
            <w:tcBorders>
              <w:top w:val="single" w:sz="4" w:space="0" w:color="auto"/>
              <w:bottom w:val="single" w:sz="12" w:space="0" w:color="auto"/>
            </w:tcBorders>
            <w:shd w:val="clear" w:color="auto" w:fill="auto"/>
            <w:vAlign w:val="bottom"/>
          </w:tcPr>
          <w:p w14:paraId="6715B203" w14:textId="77777777" w:rsidR="00221DD4" w:rsidRPr="00F464FA" w:rsidRDefault="00221DD4" w:rsidP="00895442">
            <w:pPr>
              <w:pStyle w:val="SingleTxtG"/>
              <w:tabs>
                <w:tab w:val="clear" w:pos="1701"/>
                <w:tab w:val="clear" w:pos="2268"/>
              </w:tabs>
              <w:suppressAutoHyphens w:val="0"/>
              <w:spacing w:before="80" w:after="80" w:line="200" w:lineRule="exact"/>
              <w:ind w:left="0" w:right="113"/>
              <w:jc w:val="left"/>
              <w:rPr>
                <w:bCs/>
                <w:i/>
                <w:sz w:val="16"/>
              </w:rPr>
            </w:pPr>
          </w:p>
        </w:tc>
        <w:tc>
          <w:tcPr>
            <w:tcW w:w="1487" w:type="dxa"/>
            <w:tcBorders>
              <w:top w:val="single" w:sz="4" w:space="0" w:color="auto"/>
              <w:bottom w:val="single" w:sz="12" w:space="0" w:color="auto"/>
            </w:tcBorders>
            <w:shd w:val="clear" w:color="auto" w:fill="auto"/>
            <w:vAlign w:val="bottom"/>
          </w:tcPr>
          <w:p w14:paraId="465B0624" w14:textId="77777777" w:rsidR="00221DD4" w:rsidRPr="00F464FA" w:rsidRDefault="00221DD4" w:rsidP="00895442">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2017</w:t>
            </w:r>
          </w:p>
        </w:tc>
        <w:tc>
          <w:tcPr>
            <w:tcW w:w="1488" w:type="dxa"/>
            <w:tcBorders>
              <w:top w:val="single" w:sz="4" w:space="0" w:color="auto"/>
              <w:bottom w:val="single" w:sz="12" w:space="0" w:color="auto"/>
            </w:tcBorders>
            <w:shd w:val="clear" w:color="auto" w:fill="auto"/>
            <w:vAlign w:val="bottom"/>
          </w:tcPr>
          <w:p w14:paraId="2D075FE2" w14:textId="77777777" w:rsidR="00221DD4" w:rsidRPr="00F464FA" w:rsidRDefault="00221DD4" w:rsidP="00895442">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2018</w:t>
            </w:r>
          </w:p>
        </w:tc>
      </w:tr>
      <w:tr w:rsidR="00617C52" w:rsidRPr="00F464FA" w14:paraId="2AE38DD2" w14:textId="77777777" w:rsidTr="00E56CD5">
        <w:trPr>
          <w:trHeight w:hRule="exact" w:val="113"/>
          <w:tblHeader/>
        </w:trPr>
        <w:tc>
          <w:tcPr>
            <w:tcW w:w="4395" w:type="dxa"/>
            <w:tcBorders>
              <w:top w:val="single" w:sz="12" w:space="0" w:color="auto"/>
              <w:bottom w:val="nil"/>
            </w:tcBorders>
            <w:shd w:val="clear" w:color="auto" w:fill="auto"/>
          </w:tcPr>
          <w:p w14:paraId="16E42E54" w14:textId="77777777" w:rsidR="00617C52" w:rsidRPr="00F464FA" w:rsidRDefault="00617C52" w:rsidP="00895442">
            <w:pPr>
              <w:pStyle w:val="SingleTxtG"/>
              <w:tabs>
                <w:tab w:val="clear" w:pos="1701"/>
                <w:tab w:val="clear" w:pos="2268"/>
              </w:tabs>
              <w:suppressAutoHyphens w:val="0"/>
              <w:spacing w:before="40" w:after="40" w:line="220" w:lineRule="exact"/>
              <w:ind w:left="0" w:right="113"/>
              <w:jc w:val="left"/>
              <w:rPr>
                <w:bCs/>
                <w:sz w:val="18"/>
              </w:rPr>
            </w:pPr>
          </w:p>
        </w:tc>
        <w:tc>
          <w:tcPr>
            <w:tcW w:w="1487" w:type="dxa"/>
            <w:tcBorders>
              <w:top w:val="single" w:sz="12" w:space="0" w:color="auto"/>
              <w:bottom w:val="nil"/>
            </w:tcBorders>
            <w:shd w:val="clear" w:color="auto" w:fill="auto"/>
            <w:vAlign w:val="bottom"/>
          </w:tcPr>
          <w:p w14:paraId="4AD1FE45" w14:textId="77777777" w:rsidR="00617C52" w:rsidRPr="00F464FA" w:rsidRDefault="00617C52" w:rsidP="00895442">
            <w:pPr>
              <w:pStyle w:val="SingleTxtG"/>
              <w:tabs>
                <w:tab w:val="clear" w:pos="1701"/>
                <w:tab w:val="clear" w:pos="2268"/>
              </w:tabs>
              <w:suppressAutoHyphens w:val="0"/>
              <w:spacing w:before="40" w:after="40" w:line="220" w:lineRule="exact"/>
              <w:ind w:left="0" w:right="113"/>
              <w:jc w:val="right"/>
              <w:rPr>
                <w:bCs/>
                <w:sz w:val="18"/>
              </w:rPr>
            </w:pPr>
          </w:p>
        </w:tc>
        <w:tc>
          <w:tcPr>
            <w:tcW w:w="1488" w:type="dxa"/>
            <w:tcBorders>
              <w:top w:val="single" w:sz="12" w:space="0" w:color="auto"/>
              <w:bottom w:val="nil"/>
            </w:tcBorders>
            <w:shd w:val="clear" w:color="auto" w:fill="auto"/>
            <w:vAlign w:val="bottom"/>
          </w:tcPr>
          <w:p w14:paraId="751467EB" w14:textId="77777777" w:rsidR="00617C52" w:rsidRPr="00F464FA" w:rsidRDefault="00617C52" w:rsidP="00895442">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7E70E4D7" w14:textId="77777777" w:rsidTr="00E56CD5">
        <w:tc>
          <w:tcPr>
            <w:tcW w:w="4395" w:type="dxa"/>
            <w:tcBorders>
              <w:top w:val="nil"/>
              <w:bottom w:val="single" w:sz="4" w:space="0" w:color="auto"/>
            </w:tcBorders>
            <w:shd w:val="clear" w:color="auto" w:fill="auto"/>
          </w:tcPr>
          <w:p w14:paraId="128B976A" w14:textId="77777777" w:rsidR="00221DD4" w:rsidRPr="00F464FA" w:rsidRDefault="00221DD4" w:rsidP="00E65A97">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Total Primary Enrolment</w:t>
            </w:r>
          </w:p>
        </w:tc>
        <w:tc>
          <w:tcPr>
            <w:tcW w:w="1487" w:type="dxa"/>
            <w:tcBorders>
              <w:top w:val="nil"/>
              <w:bottom w:val="single" w:sz="4" w:space="0" w:color="auto"/>
            </w:tcBorders>
            <w:shd w:val="clear" w:color="auto" w:fill="auto"/>
            <w:vAlign w:val="bottom"/>
          </w:tcPr>
          <w:p w14:paraId="103C70E9" w14:textId="1D82FD99"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5</w:t>
            </w:r>
            <w:r w:rsidR="008F5474" w:rsidRPr="00F464FA">
              <w:rPr>
                <w:b/>
                <w:bCs/>
                <w:sz w:val="18"/>
              </w:rPr>
              <w:t xml:space="preserve"> </w:t>
            </w:r>
            <w:r w:rsidRPr="00F464FA">
              <w:rPr>
                <w:b/>
                <w:bCs/>
                <w:sz w:val="18"/>
              </w:rPr>
              <w:t>073</w:t>
            </w:r>
            <w:r w:rsidR="008F5474" w:rsidRPr="00F464FA">
              <w:rPr>
                <w:b/>
                <w:bCs/>
                <w:sz w:val="18"/>
              </w:rPr>
              <w:t xml:space="preserve"> </w:t>
            </w:r>
            <w:r w:rsidRPr="00F464FA">
              <w:rPr>
                <w:b/>
                <w:bCs/>
                <w:sz w:val="18"/>
              </w:rPr>
              <w:t xml:space="preserve">721 </w:t>
            </w:r>
          </w:p>
        </w:tc>
        <w:tc>
          <w:tcPr>
            <w:tcW w:w="1488" w:type="dxa"/>
            <w:tcBorders>
              <w:top w:val="nil"/>
              <w:bottom w:val="single" w:sz="4" w:space="0" w:color="auto"/>
            </w:tcBorders>
            <w:shd w:val="clear" w:color="auto" w:fill="auto"/>
            <w:vAlign w:val="bottom"/>
          </w:tcPr>
          <w:p w14:paraId="79C46558" w14:textId="6AE17222"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5</w:t>
            </w:r>
            <w:r w:rsidR="008F5474" w:rsidRPr="00F464FA">
              <w:rPr>
                <w:b/>
                <w:bCs/>
                <w:sz w:val="18"/>
              </w:rPr>
              <w:t xml:space="preserve"> </w:t>
            </w:r>
            <w:r w:rsidRPr="00F464FA">
              <w:rPr>
                <w:b/>
                <w:bCs/>
                <w:sz w:val="18"/>
              </w:rPr>
              <w:t>187</w:t>
            </w:r>
            <w:r w:rsidR="008F5474" w:rsidRPr="00F464FA">
              <w:rPr>
                <w:b/>
                <w:bCs/>
                <w:sz w:val="18"/>
              </w:rPr>
              <w:t xml:space="preserve"> </w:t>
            </w:r>
            <w:r w:rsidRPr="00F464FA">
              <w:rPr>
                <w:b/>
                <w:bCs/>
                <w:sz w:val="18"/>
              </w:rPr>
              <w:t xml:space="preserve">634 </w:t>
            </w:r>
          </w:p>
        </w:tc>
      </w:tr>
      <w:tr w:rsidR="00221DD4" w:rsidRPr="00F464FA" w14:paraId="53A47A97" w14:textId="77777777" w:rsidTr="00E56CD5">
        <w:tc>
          <w:tcPr>
            <w:tcW w:w="4395" w:type="dxa"/>
            <w:tcBorders>
              <w:top w:val="single" w:sz="4" w:space="0" w:color="auto"/>
              <w:bottom w:val="nil"/>
            </w:tcBorders>
            <w:shd w:val="clear" w:color="auto" w:fill="auto"/>
          </w:tcPr>
          <w:p w14:paraId="4C08005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single" w:sz="4" w:space="0" w:color="auto"/>
              <w:bottom w:val="nil"/>
            </w:tcBorders>
            <w:shd w:val="clear" w:color="auto" w:fill="auto"/>
            <w:vAlign w:val="bottom"/>
          </w:tcPr>
          <w:p w14:paraId="6A011923" w14:textId="3835869D"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513</w:t>
            </w:r>
            <w:r w:rsidR="008F5474" w:rsidRPr="00F464FA">
              <w:rPr>
                <w:bCs/>
                <w:sz w:val="18"/>
              </w:rPr>
              <w:t xml:space="preserve"> </w:t>
            </w:r>
            <w:r w:rsidRPr="00F464FA">
              <w:rPr>
                <w:bCs/>
                <w:sz w:val="18"/>
              </w:rPr>
              <w:t xml:space="preserve">876 </w:t>
            </w:r>
          </w:p>
        </w:tc>
        <w:tc>
          <w:tcPr>
            <w:tcW w:w="1488" w:type="dxa"/>
            <w:tcBorders>
              <w:top w:val="single" w:sz="4" w:space="0" w:color="auto"/>
              <w:bottom w:val="nil"/>
            </w:tcBorders>
            <w:shd w:val="clear" w:color="auto" w:fill="auto"/>
            <w:vAlign w:val="bottom"/>
          </w:tcPr>
          <w:p w14:paraId="472E3B44" w14:textId="326303EA"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565</w:t>
            </w:r>
            <w:r w:rsidR="008F5474" w:rsidRPr="00F464FA">
              <w:rPr>
                <w:bCs/>
                <w:sz w:val="18"/>
              </w:rPr>
              <w:t xml:space="preserve"> </w:t>
            </w:r>
            <w:r w:rsidRPr="00F464FA">
              <w:rPr>
                <w:bCs/>
                <w:sz w:val="18"/>
              </w:rPr>
              <w:t xml:space="preserve">344 </w:t>
            </w:r>
          </w:p>
        </w:tc>
      </w:tr>
      <w:tr w:rsidR="00221DD4" w:rsidRPr="00F464FA" w14:paraId="722E3D57" w14:textId="77777777" w:rsidTr="00E56CD5">
        <w:tc>
          <w:tcPr>
            <w:tcW w:w="4395" w:type="dxa"/>
            <w:tcBorders>
              <w:top w:val="nil"/>
              <w:bottom w:val="single" w:sz="4" w:space="0" w:color="auto"/>
            </w:tcBorders>
            <w:shd w:val="clear" w:color="auto" w:fill="auto"/>
          </w:tcPr>
          <w:p w14:paraId="67FFD95B"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single" w:sz="4" w:space="0" w:color="auto"/>
            </w:tcBorders>
            <w:shd w:val="clear" w:color="auto" w:fill="auto"/>
            <w:vAlign w:val="bottom"/>
          </w:tcPr>
          <w:p w14:paraId="5D42647A" w14:textId="40CB3BC0"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559</w:t>
            </w:r>
            <w:r w:rsidR="008F5474" w:rsidRPr="00F464FA">
              <w:rPr>
                <w:bCs/>
                <w:sz w:val="18"/>
              </w:rPr>
              <w:t xml:space="preserve"> </w:t>
            </w:r>
            <w:r w:rsidRPr="00F464FA">
              <w:rPr>
                <w:bCs/>
                <w:sz w:val="18"/>
              </w:rPr>
              <w:t xml:space="preserve">845 </w:t>
            </w:r>
          </w:p>
        </w:tc>
        <w:tc>
          <w:tcPr>
            <w:tcW w:w="1488" w:type="dxa"/>
            <w:tcBorders>
              <w:top w:val="nil"/>
              <w:bottom w:val="single" w:sz="4" w:space="0" w:color="auto"/>
            </w:tcBorders>
            <w:shd w:val="clear" w:color="auto" w:fill="auto"/>
            <w:vAlign w:val="bottom"/>
          </w:tcPr>
          <w:p w14:paraId="57159627" w14:textId="32FC76E4"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622</w:t>
            </w:r>
            <w:r w:rsidR="008F5474" w:rsidRPr="00F464FA">
              <w:rPr>
                <w:bCs/>
                <w:sz w:val="18"/>
              </w:rPr>
              <w:t xml:space="preserve"> </w:t>
            </w:r>
            <w:r w:rsidRPr="00F464FA">
              <w:rPr>
                <w:bCs/>
                <w:sz w:val="18"/>
              </w:rPr>
              <w:t xml:space="preserve">290 </w:t>
            </w:r>
          </w:p>
        </w:tc>
      </w:tr>
      <w:tr w:rsidR="00221DD4" w:rsidRPr="00F464FA" w14:paraId="3A72EDE2" w14:textId="77777777" w:rsidTr="00E56CD5">
        <w:tc>
          <w:tcPr>
            <w:tcW w:w="4395" w:type="dxa"/>
            <w:tcBorders>
              <w:top w:val="single" w:sz="4" w:space="0" w:color="auto"/>
              <w:bottom w:val="single" w:sz="4" w:space="0" w:color="auto"/>
            </w:tcBorders>
            <w:shd w:val="clear" w:color="auto" w:fill="auto"/>
          </w:tcPr>
          <w:p w14:paraId="72F43760" w14:textId="77777777" w:rsidR="00221DD4" w:rsidRPr="00F464FA" w:rsidRDefault="00221DD4" w:rsidP="00E65A97">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 xml:space="preserve">Total Primary Public-School Enrolment </w:t>
            </w:r>
          </w:p>
        </w:tc>
        <w:tc>
          <w:tcPr>
            <w:tcW w:w="1487" w:type="dxa"/>
            <w:tcBorders>
              <w:top w:val="single" w:sz="4" w:space="0" w:color="auto"/>
              <w:bottom w:val="single" w:sz="4" w:space="0" w:color="auto"/>
            </w:tcBorders>
            <w:shd w:val="clear" w:color="auto" w:fill="auto"/>
            <w:vAlign w:val="bottom"/>
          </w:tcPr>
          <w:p w14:paraId="1DFD58FC" w14:textId="17D16BE0"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4</w:t>
            </w:r>
            <w:r w:rsidR="008F5474" w:rsidRPr="00F464FA">
              <w:rPr>
                <w:b/>
                <w:bCs/>
                <w:sz w:val="18"/>
              </w:rPr>
              <w:t xml:space="preserve"> </w:t>
            </w:r>
            <w:r w:rsidRPr="00F464FA">
              <w:rPr>
                <w:b/>
                <w:bCs/>
                <w:sz w:val="18"/>
              </w:rPr>
              <w:t>964</w:t>
            </w:r>
            <w:r w:rsidR="008F5474" w:rsidRPr="00F464FA">
              <w:rPr>
                <w:b/>
                <w:bCs/>
                <w:sz w:val="18"/>
              </w:rPr>
              <w:t xml:space="preserve"> </w:t>
            </w:r>
            <w:r w:rsidRPr="00F464FA">
              <w:rPr>
                <w:b/>
                <w:bCs/>
                <w:sz w:val="18"/>
              </w:rPr>
              <w:t xml:space="preserve">474 </w:t>
            </w:r>
          </w:p>
        </w:tc>
        <w:tc>
          <w:tcPr>
            <w:tcW w:w="1488" w:type="dxa"/>
            <w:tcBorders>
              <w:top w:val="single" w:sz="4" w:space="0" w:color="auto"/>
              <w:bottom w:val="single" w:sz="4" w:space="0" w:color="auto"/>
            </w:tcBorders>
            <w:shd w:val="clear" w:color="auto" w:fill="auto"/>
            <w:vAlign w:val="bottom"/>
          </w:tcPr>
          <w:p w14:paraId="1B4B7FCF" w14:textId="18D6F7A3"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5</w:t>
            </w:r>
            <w:r w:rsidR="008F5474" w:rsidRPr="00F464FA">
              <w:rPr>
                <w:b/>
                <w:bCs/>
                <w:sz w:val="18"/>
              </w:rPr>
              <w:t xml:space="preserve"> </w:t>
            </w:r>
            <w:r w:rsidRPr="00F464FA">
              <w:rPr>
                <w:b/>
                <w:bCs/>
                <w:sz w:val="18"/>
              </w:rPr>
              <w:t>063</w:t>
            </w:r>
            <w:r w:rsidR="008F5474" w:rsidRPr="00F464FA">
              <w:rPr>
                <w:b/>
                <w:bCs/>
                <w:sz w:val="18"/>
              </w:rPr>
              <w:t xml:space="preserve"> </w:t>
            </w:r>
            <w:r w:rsidRPr="00F464FA">
              <w:rPr>
                <w:b/>
                <w:bCs/>
                <w:sz w:val="18"/>
              </w:rPr>
              <w:t xml:space="preserve">917 </w:t>
            </w:r>
          </w:p>
        </w:tc>
      </w:tr>
      <w:tr w:rsidR="00221DD4" w:rsidRPr="00F464FA" w14:paraId="5D48B0AD" w14:textId="77777777" w:rsidTr="00E56CD5">
        <w:tc>
          <w:tcPr>
            <w:tcW w:w="4395" w:type="dxa"/>
            <w:tcBorders>
              <w:top w:val="single" w:sz="4" w:space="0" w:color="auto"/>
              <w:bottom w:val="nil"/>
            </w:tcBorders>
            <w:shd w:val="clear" w:color="auto" w:fill="auto"/>
          </w:tcPr>
          <w:p w14:paraId="661CCE1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single" w:sz="4" w:space="0" w:color="auto"/>
              <w:bottom w:val="nil"/>
            </w:tcBorders>
            <w:shd w:val="clear" w:color="auto" w:fill="auto"/>
            <w:vAlign w:val="bottom"/>
          </w:tcPr>
          <w:p w14:paraId="7A1B4422" w14:textId="0B63EA94"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460</w:t>
            </w:r>
            <w:r w:rsidR="008F5474" w:rsidRPr="00F464FA">
              <w:rPr>
                <w:bCs/>
                <w:sz w:val="18"/>
              </w:rPr>
              <w:t xml:space="preserve"> </w:t>
            </w:r>
            <w:r w:rsidRPr="00F464FA">
              <w:rPr>
                <w:bCs/>
                <w:sz w:val="18"/>
              </w:rPr>
              <w:t xml:space="preserve">112 </w:t>
            </w:r>
          </w:p>
        </w:tc>
        <w:tc>
          <w:tcPr>
            <w:tcW w:w="1488" w:type="dxa"/>
            <w:tcBorders>
              <w:top w:val="single" w:sz="4" w:space="0" w:color="auto"/>
              <w:bottom w:val="nil"/>
            </w:tcBorders>
            <w:shd w:val="clear" w:color="auto" w:fill="auto"/>
            <w:vAlign w:val="bottom"/>
          </w:tcPr>
          <w:p w14:paraId="0311CF41" w14:textId="0929B4FA"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504</w:t>
            </w:r>
            <w:r w:rsidR="008F5474" w:rsidRPr="00F464FA">
              <w:rPr>
                <w:bCs/>
                <w:sz w:val="18"/>
              </w:rPr>
              <w:t xml:space="preserve"> </w:t>
            </w:r>
            <w:r w:rsidRPr="00F464FA">
              <w:rPr>
                <w:bCs/>
                <w:sz w:val="18"/>
              </w:rPr>
              <w:t xml:space="preserve">357 </w:t>
            </w:r>
          </w:p>
        </w:tc>
      </w:tr>
      <w:tr w:rsidR="00221DD4" w:rsidRPr="00F464FA" w14:paraId="5105D8F9" w14:textId="77777777" w:rsidTr="00E56CD5">
        <w:tc>
          <w:tcPr>
            <w:tcW w:w="4395" w:type="dxa"/>
            <w:tcBorders>
              <w:top w:val="nil"/>
              <w:bottom w:val="single" w:sz="4" w:space="0" w:color="auto"/>
            </w:tcBorders>
            <w:shd w:val="clear" w:color="auto" w:fill="auto"/>
          </w:tcPr>
          <w:p w14:paraId="48AEC24D"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single" w:sz="4" w:space="0" w:color="auto"/>
            </w:tcBorders>
            <w:shd w:val="clear" w:color="auto" w:fill="auto"/>
            <w:vAlign w:val="bottom"/>
          </w:tcPr>
          <w:p w14:paraId="7360F290" w14:textId="3B0312E2"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504</w:t>
            </w:r>
            <w:r w:rsidR="008F5474" w:rsidRPr="00F464FA">
              <w:rPr>
                <w:bCs/>
                <w:sz w:val="18"/>
              </w:rPr>
              <w:t xml:space="preserve"> </w:t>
            </w:r>
            <w:r w:rsidRPr="00F464FA">
              <w:rPr>
                <w:bCs/>
                <w:sz w:val="18"/>
              </w:rPr>
              <w:t xml:space="preserve">362 </w:t>
            </w:r>
          </w:p>
        </w:tc>
        <w:tc>
          <w:tcPr>
            <w:tcW w:w="1488" w:type="dxa"/>
            <w:tcBorders>
              <w:top w:val="nil"/>
              <w:bottom w:val="single" w:sz="4" w:space="0" w:color="auto"/>
            </w:tcBorders>
            <w:shd w:val="clear" w:color="auto" w:fill="auto"/>
            <w:vAlign w:val="bottom"/>
          </w:tcPr>
          <w:p w14:paraId="69468269" w14:textId="2177B0BD"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w:t>
            </w:r>
            <w:r w:rsidR="008F5474" w:rsidRPr="00F464FA">
              <w:rPr>
                <w:bCs/>
                <w:sz w:val="18"/>
              </w:rPr>
              <w:t xml:space="preserve"> </w:t>
            </w:r>
            <w:r w:rsidRPr="00F464FA">
              <w:rPr>
                <w:bCs/>
                <w:sz w:val="18"/>
              </w:rPr>
              <w:t>559</w:t>
            </w:r>
            <w:r w:rsidR="008F5474" w:rsidRPr="00F464FA">
              <w:rPr>
                <w:bCs/>
                <w:sz w:val="18"/>
              </w:rPr>
              <w:t xml:space="preserve"> </w:t>
            </w:r>
            <w:r w:rsidRPr="00F464FA">
              <w:rPr>
                <w:bCs/>
                <w:sz w:val="18"/>
              </w:rPr>
              <w:t xml:space="preserve">560 </w:t>
            </w:r>
          </w:p>
        </w:tc>
      </w:tr>
      <w:tr w:rsidR="00221DD4" w:rsidRPr="00F464FA" w14:paraId="55A673B6" w14:textId="77777777" w:rsidTr="00E56CD5">
        <w:tc>
          <w:tcPr>
            <w:tcW w:w="4395" w:type="dxa"/>
            <w:tcBorders>
              <w:top w:val="single" w:sz="4" w:space="0" w:color="auto"/>
              <w:bottom w:val="single" w:sz="4" w:space="0" w:color="auto"/>
            </w:tcBorders>
            <w:shd w:val="clear" w:color="auto" w:fill="auto"/>
          </w:tcPr>
          <w:p w14:paraId="6861B8B3" w14:textId="77777777" w:rsidR="00221DD4" w:rsidRPr="00F464FA" w:rsidRDefault="00221DD4" w:rsidP="00E65A97">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 xml:space="preserve">Total Primary Private School Enrolment </w:t>
            </w:r>
          </w:p>
        </w:tc>
        <w:tc>
          <w:tcPr>
            <w:tcW w:w="1487" w:type="dxa"/>
            <w:tcBorders>
              <w:top w:val="single" w:sz="4" w:space="0" w:color="auto"/>
              <w:bottom w:val="single" w:sz="4" w:space="0" w:color="auto"/>
            </w:tcBorders>
            <w:shd w:val="clear" w:color="auto" w:fill="auto"/>
            <w:vAlign w:val="bottom"/>
          </w:tcPr>
          <w:p w14:paraId="07F7889E" w14:textId="065E7084"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109</w:t>
            </w:r>
            <w:r w:rsidR="008F5474" w:rsidRPr="00F464FA">
              <w:rPr>
                <w:b/>
                <w:bCs/>
                <w:sz w:val="18"/>
              </w:rPr>
              <w:t xml:space="preserve"> </w:t>
            </w:r>
            <w:r w:rsidRPr="00F464FA">
              <w:rPr>
                <w:b/>
                <w:bCs/>
                <w:sz w:val="18"/>
              </w:rPr>
              <w:t xml:space="preserve">247 </w:t>
            </w:r>
          </w:p>
        </w:tc>
        <w:tc>
          <w:tcPr>
            <w:tcW w:w="1488" w:type="dxa"/>
            <w:tcBorders>
              <w:top w:val="single" w:sz="4" w:space="0" w:color="auto"/>
              <w:bottom w:val="single" w:sz="4" w:space="0" w:color="auto"/>
            </w:tcBorders>
            <w:shd w:val="clear" w:color="auto" w:fill="auto"/>
            <w:vAlign w:val="bottom"/>
          </w:tcPr>
          <w:p w14:paraId="3E40C3DB" w14:textId="1201C120"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123</w:t>
            </w:r>
            <w:r w:rsidR="008F5474" w:rsidRPr="00F464FA">
              <w:rPr>
                <w:b/>
                <w:bCs/>
                <w:sz w:val="18"/>
              </w:rPr>
              <w:t xml:space="preserve"> </w:t>
            </w:r>
            <w:r w:rsidRPr="00F464FA">
              <w:rPr>
                <w:b/>
                <w:bCs/>
                <w:sz w:val="18"/>
              </w:rPr>
              <w:t xml:space="preserve">717 </w:t>
            </w:r>
          </w:p>
        </w:tc>
      </w:tr>
      <w:tr w:rsidR="00221DD4" w:rsidRPr="00F464FA" w14:paraId="0859C986" w14:textId="77777777" w:rsidTr="00E56CD5">
        <w:tc>
          <w:tcPr>
            <w:tcW w:w="4395" w:type="dxa"/>
            <w:tcBorders>
              <w:top w:val="single" w:sz="4" w:space="0" w:color="auto"/>
              <w:bottom w:val="nil"/>
            </w:tcBorders>
            <w:shd w:val="clear" w:color="auto" w:fill="auto"/>
          </w:tcPr>
          <w:p w14:paraId="6DB1EE1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single" w:sz="4" w:space="0" w:color="auto"/>
              <w:bottom w:val="nil"/>
            </w:tcBorders>
            <w:shd w:val="clear" w:color="auto" w:fill="auto"/>
            <w:vAlign w:val="bottom"/>
          </w:tcPr>
          <w:p w14:paraId="5E072A63" w14:textId="799BC6AA"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53</w:t>
            </w:r>
            <w:r w:rsidR="008F5474" w:rsidRPr="00F464FA">
              <w:rPr>
                <w:bCs/>
                <w:sz w:val="18"/>
              </w:rPr>
              <w:t xml:space="preserve"> </w:t>
            </w:r>
            <w:r w:rsidRPr="00F464FA">
              <w:rPr>
                <w:bCs/>
                <w:sz w:val="18"/>
              </w:rPr>
              <w:t xml:space="preserve">764 </w:t>
            </w:r>
          </w:p>
        </w:tc>
        <w:tc>
          <w:tcPr>
            <w:tcW w:w="1488" w:type="dxa"/>
            <w:tcBorders>
              <w:top w:val="single" w:sz="4" w:space="0" w:color="auto"/>
              <w:bottom w:val="nil"/>
            </w:tcBorders>
            <w:shd w:val="clear" w:color="auto" w:fill="auto"/>
            <w:vAlign w:val="bottom"/>
          </w:tcPr>
          <w:p w14:paraId="53F20FED" w14:textId="60E984CA"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60</w:t>
            </w:r>
            <w:r w:rsidR="008F5474" w:rsidRPr="00F464FA">
              <w:rPr>
                <w:bCs/>
                <w:sz w:val="18"/>
              </w:rPr>
              <w:t xml:space="preserve"> </w:t>
            </w:r>
            <w:r w:rsidRPr="00F464FA">
              <w:rPr>
                <w:bCs/>
                <w:sz w:val="18"/>
              </w:rPr>
              <w:t xml:space="preserve">987 </w:t>
            </w:r>
          </w:p>
        </w:tc>
      </w:tr>
      <w:tr w:rsidR="00221DD4" w:rsidRPr="00F464FA" w14:paraId="1A8AE8D9" w14:textId="77777777" w:rsidTr="00E56CD5">
        <w:tc>
          <w:tcPr>
            <w:tcW w:w="4395" w:type="dxa"/>
            <w:tcBorders>
              <w:top w:val="nil"/>
              <w:bottom w:val="single" w:sz="4" w:space="0" w:color="auto"/>
            </w:tcBorders>
            <w:shd w:val="clear" w:color="auto" w:fill="auto"/>
          </w:tcPr>
          <w:p w14:paraId="7794C5A9"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single" w:sz="4" w:space="0" w:color="auto"/>
            </w:tcBorders>
            <w:shd w:val="clear" w:color="auto" w:fill="auto"/>
            <w:vAlign w:val="bottom"/>
          </w:tcPr>
          <w:p w14:paraId="216FD623" w14:textId="5DB57A62"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55</w:t>
            </w:r>
            <w:r w:rsidR="008F5474" w:rsidRPr="00F464FA">
              <w:rPr>
                <w:bCs/>
                <w:sz w:val="18"/>
              </w:rPr>
              <w:t xml:space="preserve"> </w:t>
            </w:r>
            <w:r w:rsidRPr="00F464FA">
              <w:rPr>
                <w:bCs/>
                <w:sz w:val="18"/>
              </w:rPr>
              <w:t xml:space="preserve">483 </w:t>
            </w:r>
          </w:p>
        </w:tc>
        <w:tc>
          <w:tcPr>
            <w:tcW w:w="1488" w:type="dxa"/>
            <w:tcBorders>
              <w:top w:val="nil"/>
              <w:bottom w:val="single" w:sz="4" w:space="0" w:color="auto"/>
            </w:tcBorders>
            <w:shd w:val="clear" w:color="auto" w:fill="auto"/>
            <w:vAlign w:val="bottom"/>
          </w:tcPr>
          <w:p w14:paraId="5A76CC5D" w14:textId="1EA753DD"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62</w:t>
            </w:r>
            <w:r w:rsidR="008F5474" w:rsidRPr="00F464FA">
              <w:rPr>
                <w:bCs/>
                <w:sz w:val="18"/>
              </w:rPr>
              <w:t xml:space="preserve"> </w:t>
            </w:r>
            <w:r w:rsidRPr="00F464FA">
              <w:rPr>
                <w:bCs/>
                <w:sz w:val="18"/>
              </w:rPr>
              <w:t xml:space="preserve">730 </w:t>
            </w:r>
          </w:p>
        </w:tc>
      </w:tr>
      <w:tr w:rsidR="00221DD4" w:rsidRPr="00F464FA" w14:paraId="4F215330" w14:textId="77777777" w:rsidTr="00E56CD5">
        <w:tc>
          <w:tcPr>
            <w:tcW w:w="4395" w:type="dxa"/>
            <w:tcBorders>
              <w:top w:val="single" w:sz="4" w:space="0" w:color="auto"/>
              <w:bottom w:val="single" w:sz="4" w:space="0" w:color="auto"/>
            </w:tcBorders>
            <w:shd w:val="clear" w:color="auto" w:fill="auto"/>
          </w:tcPr>
          <w:p w14:paraId="5E13973C" w14:textId="77777777" w:rsidR="00221DD4" w:rsidRPr="00F464FA" w:rsidRDefault="00221DD4" w:rsidP="00F35E25">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 xml:space="preserve">New Entrants into Primary (standard 1) </w:t>
            </w:r>
          </w:p>
        </w:tc>
        <w:tc>
          <w:tcPr>
            <w:tcW w:w="1487" w:type="dxa"/>
            <w:tcBorders>
              <w:top w:val="single" w:sz="4" w:space="0" w:color="auto"/>
              <w:bottom w:val="single" w:sz="4" w:space="0" w:color="auto"/>
            </w:tcBorders>
            <w:shd w:val="clear" w:color="auto" w:fill="auto"/>
            <w:vAlign w:val="bottom"/>
          </w:tcPr>
          <w:p w14:paraId="309DC0CC" w14:textId="50EEC651" w:rsidR="00221DD4" w:rsidRPr="00F464FA" w:rsidRDefault="00221DD4" w:rsidP="00F35E25">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802</w:t>
            </w:r>
            <w:r w:rsidR="008F5474" w:rsidRPr="00F464FA">
              <w:rPr>
                <w:b/>
                <w:bCs/>
                <w:sz w:val="18"/>
              </w:rPr>
              <w:t xml:space="preserve"> </w:t>
            </w:r>
            <w:r w:rsidRPr="00F464FA">
              <w:rPr>
                <w:b/>
                <w:bCs/>
                <w:sz w:val="18"/>
              </w:rPr>
              <w:t xml:space="preserve">445 </w:t>
            </w:r>
          </w:p>
        </w:tc>
        <w:tc>
          <w:tcPr>
            <w:tcW w:w="1488" w:type="dxa"/>
            <w:tcBorders>
              <w:top w:val="single" w:sz="4" w:space="0" w:color="auto"/>
              <w:bottom w:val="single" w:sz="4" w:space="0" w:color="auto"/>
            </w:tcBorders>
            <w:shd w:val="clear" w:color="auto" w:fill="auto"/>
            <w:vAlign w:val="bottom"/>
          </w:tcPr>
          <w:p w14:paraId="2EFA3072" w14:textId="39A7BB9D" w:rsidR="00221DD4" w:rsidRPr="00F464FA" w:rsidRDefault="00221DD4" w:rsidP="00F35E25">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717</w:t>
            </w:r>
            <w:r w:rsidR="008F5474" w:rsidRPr="00F464FA">
              <w:rPr>
                <w:b/>
                <w:bCs/>
                <w:sz w:val="18"/>
              </w:rPr>
              <w:t xml:space="preserve"> </w:t>
            </w:r>
            <w:r w:rsidRPr="00F464FA">
              <w:rPr>
                <w:b/>
                <w:bCs/>
                <w:sz w:val="18"/>
              </w:rPr>
              <w:t xml:space="preserve">277 </w:t>
            </w:r>
          </w:p>
        </w:tc>
      </w:tr>
      <w:tr w:rsidR="00221DD4" w:rsidRPr="00F464FA" w14:paraId="1D5EC75C" w14:textId="77777777" w:rsidTr="00E56CD5">
        <w:tc>
          <w:tcPr>
            <w:tcW w:w="4395" w:type="dxa"/>
            <w:tcBorders>
              <w:top w:val="single" w:sz="4" w:space="0" w:color="auto"/>
              <w:bottom w:val="nil"/>
            </w:tcBorders>
            <w:shd w:val="clear" w:color="auto" w:fill="auto"/>
          </w:tcPr>
          <w:p w14:paraId="4C81471B"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single" w:sz="4" w:space="0" w:color="auto"/>
              <w:bottom w:val="nil"/>
            </w:tcBorders>
            <w:shd w:val="clear" w:color="auto" w:fill="auto"/>
            <w:vAlign w:val="bottom"/>
          </w:tcPr>
          <w:p w14:paraId="1691BB84" w14:textId="7A3E2EE0"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409</w:t>
            </w:r>
            <w:r w:rsidR="008F5474" w:rsidRPr="00F464FA">
              <w:rPr>
                <w:bCs/>
                <w:sz w:val="18"/>
              </w:rPr>
              <w:t xml:space="preserve"> </w:t>
            </w:r>
            <w:r w:rsidRPr="00F464FA">
              <w:rPr>
                <w:bCs/>
                <w:sz w:val="18"/>
              </w:rPr>
              <w:t xml:space="preserve">754 </w:t>
            </w:r>
          </w:p>
        </w:tc>
        <w:tc>
          <w:tcPr>
            <w:tcW w:w="1488" w:type="dxa"/>
            <w:tcBorders>
              <w:top w:val="single" w:sz="4" w:space="0" w:color="auto"/>
              <w:bottom w:val="nil"/>
            </w:tcBorders>
            <w:shd w:val="clear" w:color="auto" w:fill="auto"/>
            <w:vAlign w:val="bottom"/>
          </w:tcPr>
          <w:p w14:paraId="6FD36F39" w14:textId="172863DD"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362</w:t>
            </w:r>
            <w:r w:rsidR="008F5474" w:rsidRPr="00F464FA">
              <w:rPr>
                <w:bCs/>
                <w:sz w:val="18"/>
              </w:rPr>
              <w:t xml:space="preserve"> </w:t>
            </w:r>
            <w:r w:rsidRPr="00F464FA">
              <w:rPr>
                <w:bCs/>
                <w:sz w:val="18"/>
              </w:rPr>
              <w:t xml:space="preserve">225 </w:t>
            </w:r>
          </w:p>
        </w:tc>
      </w:tr>
      <w:tr w:rsidR="00221DD4" w:rsidRPr="00F464FA" w14:paraId="0B2B9F43" w14:textId="77777777" w:rsidTr="00E56CD5">
        <w:tc>
          <w:tcPr>
            <w:tcW w:w="4395" w:type="dxa"/>
            <w:tcBorders>
              <w:top w:val="nil"/>
              <w:bottom w:val="single" w:sz="4" w:space="0" w:color="auto"/>
            </w:tcBorders>
            <w:shd w:val="clear" w:color="auto" w:fill="auto"/>
          </w:tcPr>
          <w:p w14:paraId="5812CC6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single" w:sz="4" w:space="0" w:color="auto"/>
            </w:tcBorders>
            <w:shd w:val="clear" w:color="auto" w:fill="auto"/>
            <w:vAlign w:val="bottom"/>
          </w:tcPr>
          <w:p w14:paraId="64380C77" w14:textId="25EC43A4"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392</w:t>
            </w:r>
            <w:r w:rsidR="008F5474" w:rsidRPr="00F464FA">
              <w:rPr>
                <w:bCs/>
                <w:sz w:val="18"/>
              </w:rPr>
              <w:t xml:space="preserve"> </w:t>
            </w:r>
            <w:r w:rsidRPr="00F464FA">
              <w:rPr>
                <w:bCs/>
                <w:sz w:val="18"/>
              </w:rPr>
              <w:t xml:space="preserve">691 </w:t>
            </w:r>
          </w:p>
        </w:tc>
        <w:tc>
          <w:tcPr>
            <w:tcW w:w="1488" w:type="dxa"/>
            <w:tcBorders>
              <w:top w:val="nil"/>
              <w:bottom w:val="single" w:sz="4" w:space="0" w:color="auto"/>
            </w:tcBorders>
            <w:shd w:val="clear" w:color="auto" w:fill="auto"/>
            <w:vAlign w:val="bottom"/>
          </w:tcPr>
          <w:p w14:paraId="55431FE6" w14:textId="34C186BA"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355</w:t>
            </w:r>
            <w:r w:rsidR="008F5474" w:rsidRPr="00F464FA">
              <w:rPr>
                <w:bCs/>
                <w:sz w:val="18"/>
              </w:rPr>
              <w:t xml:space="preserve"> </w:t>
            </w:r>
            <w:r w:rsidRPr="00F464FA">
              <w:rPr>
                <w:bCs/>
                <w:sz w:val="18"/>
              </w:rPr>
              <w:t xml:space="preserve">052 </w:t>
            </w:r>
          </w:p>
        </w:tc>
      </w:tr>
      <w:tr w:rsidR="00221DD4" w:rsidRPr="00F464FA" w14:paraId="3FD714BC" w14:textId="77777777" w:rsidTr="00E56CD5">
        <w:tc>
          <w:tcPr>
            <w:tcW w:w="4395" w:type="dxa"/>
            <w:tcBorders>
              <w:top w:val="single" w:sz="4" w:space="0" w:color="auto"/>
              <w:bottom w:val="single" w:sz="4" w:space="0" w:color="auto"/>
            </w:tcBorders>
            <w:shd w:val="clear" w:color="auto" w:fill="auto"/>
          </w:tcPr>
          <w:p w14:paraId="2389859D" w14:textId="77777777" w:rsidR="00221DD4" w:rsidRPr="00F464FA" w:rsidRDefault="00221DD4" w:rsidP="00E65A97">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Total Secondary enrolment</w:t>
            </w:r>
          </w:p>
        </w:tc>
        <w:tc>
          <w:tcPr>
            <w:tcW w:w="1487" w:type="dxa"/>
            <w:tcBorders>
              <w:top w:val="single" w:sz="4" w:space="0" w:color="auto"/>
              <w:bottom w:val="single" w:sz="4" w:space="0" w:color="auto"/>
            </w:tcBorders>
            <w:shd w:val="clear" w:color="auto" w:fill="auto"/>
            <w:vAlign w:val="bottom"/>
          </w:tcPr>
          <w:p w14:paraId="6DD79B51" w14:textId="4AB0F3A5"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372</w:t>
            </w:r>
            <w:r w:rsidR="008F5474" w:rsidRPr="00F464FA">
              <w:rPr>
                <w:b/>
                <w:bCs/>
                <w:sz w:val="18"/>
              </w:rPr>
              <w:t xml:space="preserve"> </w:t>
            </w:r>
            <w:r w:rsidRPr="00F464FA">
              <w:rPr>
                <w:b/>
                <w:bCs/>
                <w:sz w:val="18"/>
              </w:rPr>
              <w:t xml:space="preserve">885 </w:t>
            </w:r>
          </w:p>
        </w:tc>
        <w:tc>
          <w:tcPr>
            <w:tcW w:w="1488" w:type="dxa"/>
            <w:tcBorders>
              <w:top w:val="single" w:sz="4" w:space="0" w:color="auto"/>
              <w:bottom w:val="single" w:sz="4" w:space="0" w:color="auto"/>
            </w:tcBorders>
            <w:shd w:val="clear" w:color="auto" w:fill="auto"/>
            <w:vAlign w:val="bottom"/>
          </w:tcPr>
          <w:p w14:paraId="036E76FA" w14:textId="1F389081" w:rsidR="00221DD4" w:rsidRPr="00F464FA" w:rsidRDefault="00221DD4" w:rsidP="00E65A97">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387</w:t>
            </w:r>
            <w:r w:rsidR="008F5474" w:rsidRPr="00F464FA">
              <w:rPr>
                <w:b/>
                <w:bCs/>
                <w:sz w:val="18"/>
              </w:rPr>
              <w:t xml:space="preserve"> </w:t>
            </w:r>
            <w:r w:rsidRPr="00F464FA">
              <w:rPr>
                <w:b/>
                <w:bCs/>
                <w:sz w:val="18"/>
              </w:rPr>
              <w:t xml:space="preserve">569 </w:t>
            </w:r>
          </w:p>
        </w:tc>
      </w:tr>
      <w:tr w:rsidR="00221DD4" w:rsidRPr="00F464FA" w14:paraId="5F044FFF" w14:textId="77777777" w:rsidTr="00E56CD5">
        <w:tc>
          <w:tcPr>
            <w:tcW w:w="4395" w:type="dxa"/>
            <w:tcBorders>
              <w:top w:val="single" w:sz="4" w:space="0" w:color="auto"/>
              <w:bottom w:val="nil"/>
            </w:tcBorders>
            <w:shd w:val="clear" w:color="auto" w:fill="auto"/>
          </w:tcPr>
          <w:p w14:paraId="394347D0"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single" w:sz="4" w:space="0" w:color="auto"/>
              <w:bottom w:val="nil"/>
            </w:tcBorders>
            <w:shd w:val="clear" w:color="auto" w:fill="auto"/>
            <w:vAlign w:val="bottom"/>
          </w:tcPr>
          <w:p w14:paraId="6526D665" w14:textId="70EFED60"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194</w:t>
            </w:r>
            <w:r w:rsidR="008F5474" w:rsidRPr="00F464FA">
              <w:rPr>
                <w:bCs/>
                <w:sz w:val="18"/>
              </w:rPr>
              <w:t xml:space="preserve"> </w:t>
            </w:r>
            <w:r w:rsidRPr="00F464FA">
              <w:rPr>
                <w:bCs/>
                <w:sz w:val="18"/>
              </w:rPr>
              <w:t xml:space="preserve">537 </w:t>
            </w:r>
          </w:p>
        </w:tc>
        <w:tc>
          <w:tcPr>
            <w:tcW w:w="1488" w:type="dxa"/>
            <w:tcBorders>
              <w:top w:val="single" w:sz="4" w:space="0" w:color="auto"/>
              <w:bottom w:val="nil"/>
            </w:tcBorders>
            <w:shd w:val="clear" w:color="auto" w:fill="auto"/>
            <w:vAlign w:val="bottom"/>
          </w:tcPr>
          <w:p w14:paraId="1DFBC6BF" w14:textId="355F9BE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201</w:t>
            </w:r>
            <w:r w:rsidR="008F5474" w:rsidRPr="00F464FA">
              <w:rPr>
                <w:bCs/>
                <w:sz w:val="18"/>
              </w:rPr>
              <w:t xml:space="preserve"> </w:t>
            </w:r>
            <w:r w:rsidRPr="00F464FA">
              <w:rPr>
                <w:bCs/>
                <w:sz w:val="18"/>
              </w:rPr>
              <w:t xml:space="preserve">635 </w:t>
            </w:r>
          </w:p>
        </w:tc>
      </w:tr>
      <w:tr w:rsidR="00221DD4" w:rsidRPr="00F464FA" w14:paraId="65F01EA9" w14:textId="77777777" w:rsidTr="00E56CD5">
        <w:tc>
          <w:tcPr>
            <w:tcW w:w="4395" w:type="dxa"/>
            <w:tcBorders>
              <w:top w:val="nil"/>
              <w:bottom w:val="single" w:sz="4" w:space="0" w:color="auto"/>
            </w:tcBorders>
            <w:shd w:val="clear" w:color="auto" w:fill="auto"/>
          </w:tcPr>
          <w:p w14:paraId="437DD5D5"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single" w:sz="4" w:space="0" w:color="auto"/>
            </w:tcBorders>
            <w:shd w:val="clear" w:color="auto" w:fill="auto"/>
            <w:vAlign w:val="bottom"/>
          </w:tcPr>
          <w:p w14:paraId="4D81314F" w14:textId="223AA931"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178</w:t>
            </w:r>
            <w:r w:rsidR="008F5474" w:rsidRPr="00F464FA">
              <w:rPr>
                <w:bCs/>
                <w:sz w:val="18"/>
              </w:rPr>
              <w:t xml:space="preserve"> </w:t>
            </w:r>
            <w:r w:rsidRPr="00F464FA">
              <w:rPr>
                <w:bCs/>
                <w:sz w:val="18"/>
              </w:rPr>
              <w:t xml:space="preserve">348 </w:t>
            </w:r>
          </w:p>
        </w:tc>
        <w:tc>
          <w:tcPr>
            <w:tcW w:w="1488" w:type="dxa"/>
            <w:tcBorders>
              <w:top w:val="nil"/>
              <w:bottom w:val="single" w:sz="4" w:space="0" w:color="auto"/>
            </w:tcBorders>
            <w:shd w:val="clear" w:color="auto" w:fill="auto"/>
            <w:vAlign w:val="bottom"/>
          </w:tcPr>
          <w:p w14:paraId="704D70DF" w14:textId="2FECC6C2"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185</w:t>
            </w:r>
            <w:r w:rsidR="008F5474" w:rsidRPr="00F464FA">
              <w:rPr>
                <w:bCs/>
                <w:sz w:val="18"/>
              </w:rPr>
              <w:t xml:space="preserve"> </w:t>
            </w:r>
            <w:r w:rsidRPr="00F464FA">
              <w:rPr>
                <w:bCs/>
                <w:sz w:val="18"/>
              </w:rPr>
              <w:t xml:space="preserve">934 </w:t>
            </w:r>
          </w:p>
        </w:tc>
      </w:tr>
      <w:tr w:rsidR="00221DD4" w:rsidRPr="00F464FA" w14:paraId="52E0AAC7" w14:textId="77777777" w:rsidTr="00E56CD5">
        <w:tc>
          <w:tcPr>
            <w:tcW w:w="4395" w:type="dxa"/>
            <w:tcBorders>
              <w:top w:val="single" w:sz="4" w:space="0" w:color="auto"/>
              <w:bottom w:val="single" w:sz="4" w:space="0" w:color="auto"/>
            </w:tcBorders>
            <w:shd w:val="clear" w:color="auto" w:fill="auto"/>
          </w:tcPr>
          <w:p w14:paraId="47D518C7" w14:textId="77777777" w:rsidR="00221DD4" w:rsidRPr="00F464FA" w:rsidRDefault="00221DD4" w:rsidP="00864501">
            <w:pPr>
              <w:pStyle w:val="SingleTxtG"/>
              <w:tabs>
                <w:tab w:val="clear" w:pos="1701"/>
                <w:tab w:val="clear" w:pos="2268"/>
              </w:tabs>
              <w:suppressAutoHyphens w:val="0"/>
              <w:spacing w:before="80" w:after="80" w:line="220" w:lineRule="exact"/>
              <w:ind w:left="283" w:right="0"/>
              <w:jc w:val="left"/>
              <w:rPr>
                <w:bCs/>
                <w:sz w:val="18"/>
              </w:rPr>
            </w:pPr>
            <w:r w:rsidRPr="00F464FA">
              <w:rPr>
                <w:b/>
                <w:bCs/>
                <w:sz w:val="18"/>
              </w:rPr>
              <w:t>Total TTC Enrolment (IPTE)</w:t>
            </w:r>
            <w:r w:rsidRPr="00F464FA">
              <w:rPr>
                <w:bCs/>
                <w:sz w:val="18"/>
              </w:rPr>
              <w:t xml:space="preserve"> </w:t>
            </w:r>
          </w:p>
        </w:tc>
        <w:tc>
          <w:tcPr>
            <w:tcW w:w="1487" w:type="dxa"/>
            <w:tcBorders>
              <w:top w:val="single" w:sz="4" w:space="0" w:color="auto"/>
              <w:bottom w:val="single" w:sz="4" w:space="0" w:color="auto"/>
            </w:tcBorders>
            <w:shd w:val="clear" w:color="auto" w:fill="auto"/>
            <w:vAlign w:val="bottom"/>
          </w:tcPr>
          <w:p w14:paraId="55246CE6" w14:textId="30BB46A1" w:rsidR="00221DD4" w:rsidRPr="00F464FA" w:rsidRDefault="00221DD4" w:rsidP="00864501">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7</w:t>
            </w:r>
            <w:r w:rsidR="008F5474" w:rsidRPr="00F464FA">
              <w:rPr>
                <w:b/>
                <w:bCs/>
                <w:sz w:val="18"/>
              </w:rPr>
              <w:t xml:space="preserve"> </w:t>
            </w:r>
            <w:r w:rsidRPr="00F464FA">
              <w:rPr>
                <w:b/>
                <w:bCs/>
                <w:sz w:val="18"/>
              </w:rPr>
              <w:t xml:space="preserve">373 </w:t>
            </w:r>
          </w:p>
        </w:tc>
        <w:tc>
          <w:tcPr>
            <w:tcW w:w="1488" w:type="dxa"/>
            <w:tcBorders>
              <w:top w:val="single" w:sz="4" w:space="0" w:color="auto"/>
              <w:bottom w:val="single" w:sz="4" w:space="0" w:color="auto"/>
            </w:tcBorders>
            <w:shd w:val="clear" w:color="auto" w:fill="auto"/>
            <w:vAlign w:val="bottom"/>
          </w:tcPr>
          <w:p w14:paraId="71728EE4" w14:textId="77777777" w:rsidR="00221DD4" w:rsidRPr="00F464FA" w:rsidRDefault="00221DD4" w:rsidP="00864501">
            <w:pPr>
              <w:pStyle w:val="SingleTxtG"/>
              <w:tabs>
                <w:tab w:val="clear" w:pos="1701"/>
                <w:tab w:val="clear" w:pos="2268"/>
              </w:tabs>
              <w:suppressAutoHyphens w:val="0"/>
              <w:spacing w:before="80" w:after="80" w:line="220" w:lineRule="exact"/>
              <w:ind w:left="0" w:right="113"/>
              <w:jc w:val="right"/>
              <w:rPr>
                <w:b/>
                <w:bCs/>
                <w:sz w:val="18"/>
              </w:rPr>
            </w:pPr>
          </w:p>
        </w:tc>
      </w:tr>
      <w:tr w:rsidR="00221DD4" w:rsidRPr="00F464FA" w14:paraId="727AE20A" w14:textId="77777777" w:rsidTr="00E56CD5">
        <w:tc>
          <w:tcPr>
            <w:tcW w:w="4395" w:type="dxa"/>
            <w:tcBorders>
              <w:top w:val="single" w:sz="4" w:space="0" w:color="auto"/>
              <w:bottom w:val="nil"/>
            </w:tcBorders>
            <w:shd w:val="clear" w:color="auto" w:fill="auto"/>
          </w:tcPr>
          <w:p w14:paraId="1004682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Males </w:t>
            </w:r>
          </w:p>
        </w:tc>
        <w:tc>
          <w:tcPr>
            <w:tcW w:w="1487" w:type="dxa"/>
            <w:tcBorders>
              <w:top w:val="single" w:sz="4" w:space="0" w:color="auto"/>
              <w:bottom w:val="nil"/>
            </w:tcBorders>
            <w:shd w:val="clear" w:color="auto" w:fill="auto"/>
            <w:vAlign w:val="bottom"/>
          </w:tcPr>
          <w:p w14:paraId="141BEA5F" w14:textId="341A132A"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r w:rsidR="008F5474" w:rsidRPr="00F464FA">
              <w:rPr>
                <w:bCs/>
                <w:sz w:val="18"/>
              </w:rPr>
              <w:t xml:space="preserve"> </w:t>
            </w:r>
            <w:r w:rsidRPr="00F464FA">
              <w:rPr>
                <w:bCs/>
                <w:sz w:val="18"/>
              </w:rPr>
              <w:t xml:space="preserve">402 </w:t>
            </w:r>
          </w:p>
        </w:tc>
        <w:tc>
          <w:tcPr>
            <w:tcW w:w="1488" w:type="dxa"/>
            <w:tcBorders>
              <w:top w:val="single" w:sz="4" w:space="0" w:color="auto"/>
              <w:bottom w:val="nil"/>
            </w:tcBorders>
            <w:shd w:val="clear" w:color="auto" w:fill="auto"/>
            <w:vAlign w:val="bottom"/>
          </w:tcPr>
          <w:p w14:paraId="0DFB085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04ACF41D" w14:textId="77777777" w:rsidTr="00E56CD5">
        <w:tc>
          <w:tcPr>
            <w:tcW w:w="4395" w:type="dxa"/>
            <w:tcBorders>
              <w:top w:val="nil"/>
              <w:bottom w:val="single" w:sz="4" w:space="0" w:color="auto"/>
            </w:tcBorders>
            <w:shd w:val="clear" w:color="auto" w:fill="auto"/>
          </w:tcPr>
          <w:p w14:paraId="6F3E98EF"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Females </w:t>
            </w:r>
          </w:p>
        </w:tc>
        <w:tc>
          <w:tcPr>
            <w:tcW w:w="1487" w:type="dxa"/>
            <w:tcBorders>
              <w:top w:val="nil"/>
              <w:bottom w:val="single" w:sz="4" w:space="0" w:color="auto"/>
            </w:tcBorders>
            <w:shd w:val="clear" w:color="auto" w:fill="auto"/>
            <w:vAlign w:val="bottom"/>
          </w:tcPr>
          <w:p w14:paraId="4F7DFA0A" w14:textId="1AE6B094"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3</w:t>
            </w:r>
            <w:r w:rsidR="008F5474" w:rsidRPr="00F464FA">
              <w:rPr>
                <w:bCs/>
                <w:sz w:val="18"/>
              </w:rPr>
              <w:t xml:space="preserve"> </w:t>
            </w:r>
            <w:r w:rsidRPr="00F464FA">
              <w:rPr>
                <w:bCs/>
                <w:sz w:val="18"/>
              </w:rPr>
              <w:t xml:space="preserve">971 </w:t>
            </w:r>
          </w:p>
        </w:tc>
        <w:tc>
          <w:tcPr>
            <w:tcW w:w="1488" w:type="dxa"/>
            <w:tcBorders>
              <w:top w:val="nil"/>
              <w:bottom w:val="single" w:sz="4" w:space="0" w:color="auto"/>
            </w:tcBorders>
            <w:shd w:val="clear" w:color="auto" w:fill="auto"/>
            <w:vAlign w:val="bottom"/>
          </w:tcPr>
          <w:p w14:paraId="2EEE3D2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3B4ABDF2" w14:textId="77777777" w:rsidTr="00E56CD5">
        <w:tc>
          <w:tcPr>
            <w:tcW w:w="4395" w:type="dxa"/>
            <w:tcBorders>
              <w:top w:val="single" w:sz="4" w:space="0" w:color="auto"/>
              <w:bottom w:val="single" w:sz="4" w:space="0" w:color="auto"/>
            </w:tcBorders>
            <w:shd w:val="clear" w:color="auto" w:fill="auto"/>
          </w:tcPr>
          <w:p w14:paraId="7A1DA212" w14:textId="77777777" w:rsidR="00221DD4" w:rsidRPr="00F464FA" w:rsidRDefault="00221DD4" w:rsidP="00864501">
            <w:pPr>
              <w:pStyle w:val="SingleTxtG"/>
              <w:tabs>
                <w:tab w:val="clear" w:pos="1701"/>
                <w:tab w:val="clear" w:pos="2268"/>
              </w:tabs>
              <w:suppressAutoHyphens w:val="0"/>
              <w:spacing w:before="80" w:after="80" w:line="220" w:lineRule="exact"/>
              <w:ind w:left="283" w:right="0"/>
              <w:jc w:val="left"/>
              <w:rPr>
                <w:b/>
                <w:bCs/>
                <w:sz w:val="18"/>
              </w:rPr>
            </w:pPr>
            <w:r w:rsidRPr="00F464FA">
              <w:rPr>
                <w:b/>
                <w:bCs/>
                <w:sz w:val="18"/>
              </w:rPr>
              <w:t xml:space="preserve">Total Number of Primary schools </w:t>
            </w:r>
          </w:p>
        </w:tc>
        <w:tc>
          <w:tcPr>
            <w:tcW w:w="1487" w:type="dxa"/>
            <w:tcBorders>
              <w:top w:val="single" w:sz="4" w:space="0" w:color="auto"/>
              <w:bottom w:val="single" w:sz="4" w:space="0" w:color="auto"/>
            </w:tcBorders>
            <w:shd w:val="clear" w:color="auto" w:fill="auto"/>
            <w:vAlign w:val="bottom"/>
          </w:tcPr>
          <w:p w14:paraId="5DDF8CD1" w14:textId="677F37EC" w:rsidR="00221DD4" w:rsidRPr="00F464FA" w:rsidRDefault="00221DD4" w:rsidP="00864501">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6</w:t>
            </w:r>
            <w:r w:rsidR="008F5474" w:rsidRPr="00F464FA">
              <w:rPr>
                <w:b/>
                <w:bCs/>
                <w:sz w:val="18"/>
              </w:rPr>
              <w:t xml:space="preserve"> </w:t>
            </w:r>
            <w:r w:rsidRPr="00F464FA">
              <w:rPr>
                <w:b/>
                <w:bCs/>
                <w:sz w:val="18"/>
              </w:rPr>
              <w:t xml:space="preserve">065 </w:t>
            </w:r>
          </w:p>
        </w:tc>
        <w:tc>
          <w:tcPr>
            <w:tcW w:w="1488" w:type="dxa"/>
            <w:tcBorders>
              <w:top w:val="single" w:sz="4" w:space="0" w:color="auto"/>
              <w:bottom w:val="single" w:sz="4" w:space="0" w:color="auto"/>
            </w:tcBorders>
            <w:shd w:val="clear" w:color="auto" w:fill="auto"/>
            <w:vAlign w:val="bottom"/>
          </w:tcPr>
          <w:p w14:paraId="642A0690" w14:textId="2991D226" w:rsidR="00221DD4" w:rsidRPr="00F464FA" w:rsidRDefault="00221DD4" w:rsidP="00864501">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6</w:t>
            </w:r>
            <w:r w:rsidR="008F5474" w:rsidRPr="00F464FA">
              <w:rPr>
                <w:b/>
                <w:bCs/>
                <w:sz w:val="18"/>
              </w:rPr>
              <w:t xml:space="preserve"> </w:t>
            </w:r>
            <w:r w:rsidRPr="00F464FA">
              <w:rPr>
                <w:b/>
                <w:bCs/>
                <w:sz w:val="18"/>
              </w:rPr>
              <w:t xml:space="preserve">194 </w:t>
            </w:r>
          </w:p>
        </w:tc>
      </w:tr>
      <w:tr w:rsidR="00221DD4" w:rsidRPr="00F464FA" w14:paraId="7ACCE6F4" w14:textId="77777777" w:rsidTr="00E56CD5">
        <w:tc>
          <w:tcPr>
            <w:tcW w:w="4395" w:type="dxa"/>
            <w:tcBorders>
              <w:top w:val="single" w:sz="4" w:space="0" w:color="auto"/>
              <w:bottom w:val="nil"/>
            </w:tcBorders>
            <w:shd w:val="clear" w:color="auto" w:fill="auto"/>
          </w:tcPr>
          <w:p w14:paraId="3D65BB8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Public </w:t>
            </w:r>
          </w:p>
        </w:tc>
        <w:tc>
          <w:tcPr>
            <w:tcW w:w="1487" w:type="dxa"/>
            <w:tcBorders>
              <w:top w:val="single" w:sz="4" w:space="0" w:color="auto"/>
              <w:bottom w:val="nil"/>
            </w:tcBorders>
            <w:shd w:val="clear" w:color="auto" w:fill="auto"/>
            <w:vAlign w:val="bottom"/>
          </w:tcPr>
          <w:p w14:paraId="02D77F30" w14:textId="5BA71F10"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w:t>
            </w:r>
            <w:r w:rsidR="008F5474" w:rsidRPr="00F464FA">
              <w:rPr>
                <w:bCs/>
                <w:sz w:val="18"/>
              </w:rPr>
              <w:t xml:space="preserve"> </w:t>
            </w:r>
            <w:r w:rsidRPr="00F464FA">
              <w:rPr>
                <w:bCs/>
                <w:sz w:val="18"/>
              </w:rPr>
              <w:t xml:space="preserve">552 </w:t>
            </w:r>
          </w:p>
        </w:tc>
        <w:tc>
          <w:tcPr>
            <w:tcW w:w="1488" w:type="dxa"/>
            <w:tcBorders>
              <w:top w:val="single" w:sz="4" w:space="0" w:color="auto"/>
              <w:bottom w:val="nil"/>
            </w:tcBorders>
            <w:shd w:val="clear" w:color="auto" w:fill="auto"/>
            <w:vAlign w:val="bottom"/>
          </w:tcPr>
          <w:p w14:paraId="20370BD0" w14:textId="5A37D531"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5</w:t>
            </w:r>
            <w:r w:rsidR="008F5474" w:rsidRPr="00F464FA">
              <w:rPr>
                <w:bCs/>
                <w:sz w:val="18"/>
              </w:rPr>
              <w:t xml:space="preserve"> </w:t>
            </w:r>
            <w:r w:rsidRPr="00F464FA">
              <w:rPr>
                <w:bCs/>
                <w:sz w:val="18"/>
              </w:rPr>
              <w:t xml:space="preserve">611 </w:t>
            </w:r>
          </w:p>
        </w:tc>
      </w:tr>
      <w:tr w:rsidR="00221DD4" w:rsidRPr="00F464FA" w14:paraId="0E73E606" w14:textId="77777777" w:rsidTr="00E56CD5">
        <w:tc>
          <w:tcPr>
            <w:tcW w:w="4395" w:type="dxa"/>
            <w:tcBorders>
              <w:top w:val="nil"/>
              <w:bottom w:val="single" w:sz="4" w:space="0" w:color="auto"/>
            </w:tcBorders>
            <w:shd w:val="clear" w:color="auto" w:fill="auto"/>
          </w:tcPr>
          <w:p w14:paraId="21C51EEC"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Private </w:t>
            </w:r>
          </w:p>
        </w:tc>
        <w:tc>
          <w:tcPr>
            <w:tcW w:w="1487" w:type="dxa"/>
            <w:tcBorders>
              <w:top w:val="nil"/>
              <w:bottom w:val="single" w:sz="4" w:space="0" w:color="auto"/>
            </w:tcBorders>
            <w:shd w:val="clear" w:color="auto" w:fill="auto"/>
            <w:vAlign w:val="bottom"/>
          </w:tcPr>
          <w:p w14:paraId="223FF603"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513 </w:t>
            </w:r>
          </w:p>
        </w:tc>
        <w:tc>
          <w:tcPr>
            <w:tcW w:w="1488" w:type="dxa"/>
            <w:tcBorders>
              <w:top w:val="nil"/>
              <w:bottom w:val="single" w:sz="4" w:space="0" w:color="auto"/>
            </w:tcBorders>
            <w:shd w:val="clear" w:color="auto" w:fill="auto"/>
            <w:vAlign w:val="bottom"/>
          </w:tcPr>
          <w:p w14:paraId="0ACDA65D"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583 </w:t>
            </w:r>
          </w:p>
        </w:tc>
      </w:tr>
      <w:tr w:rsidR="00221DD4" w:rsidRPr="00F464FA" w14:paraId="42B00A33" w14:textId="77777777" w:rsidTr="00E56CD5">
        <w:tc>
          <w:tcPr>
            <w:tcW w:w="4395" w:type="dxa"/>
            <w:tcBorders>
              <w:top w:val="single" w:sz="4" w:space="0" w:color="auto"/>
              <w:bottom w:val="single" w:sz="4" w:space="0" w:color="auto"/>
            </w:tcBorders>
            <w:shd w:val="clear" w:color="auto" w:fill="auto"/>
          </w:tcPr>
          <w:p w14:paraId="0F4C3C6A" w14:textId="77777777" w:rsidR="00221DD4" w:rsidRPr="00F464FA" w:rsidRDefault="00221DD4" w:rsidP="00864501">
            <w:pPr>
              <w:pStyle w:val="SingleTxtG"/>
              <w:tabs>
                <w:tab w:val="clear" w:pos="1701"/>
                <w:tab w:val="clear" w:pos="2268"/>
              </w:tabs>
              <w:suppressAutoHyphens w:val="0"/>
              <w:spacing w:before="80" w:after="80" w:line="220" w:lineRule="exact"/>
              <w:ind w:left="283" w:right="0"/>
              <w:jc w:val="left"/>
              <w:rPr>
                <w:bCs/>
                <w:sz w:val="18"/>
              </w:rPr>
            </w:pPr>
            <w:r w:rsidRPr="00F464FA">
              <w:rPr>
                <w:b/>
                <w:bCs/>
                <w:sz w:val="18"/>
              </w:rPr>
              <w:t>Total Number of Secondary schools</w:t>
            </w:r>
          </w:p>
        </w:tc>
        <w:tc>
          <w:tcPr>
            <w:tcW w:w="1487" w:type="dxa"/>
            <w:tcBorders>
              <w:top w:val="single" w:sz="4" w:space="0" w:color="auto"/>
              <w:bottom w:val="single" w:sz="4" w:space="0" w:color="auto"/>
            </w:tcBorders>
            <w:shd w:val="clear" w:color="auto" w:fill="auto"/>
            <w:vAlign w:val="bottom"/>
          </w:tcPr>
          <w:p w14:paraId="7AB665E0" w14:textId="1FF2118B" w:rsidR="00221DD4" w:rsidRPr="00F464FA" w:rsidRDefault="00221DD4" w:rsidP="00864501">
            <w:pPr>
              <w:pStyle w:val="SingleTxtG"/>
              <w:tabs>
                <w:tab w:val="clear" w:pos="1701"/>
                <w:tab w:val="clear" w:pos="2268"/>
              </w:tabs>
              <w:suppressAutoHyphens w:val="0"/>
              <w:spacing w:before="80" w:after="80" w:line="220" w:lineRule="exact"/>
              <w:ind w:left="0" w:right="113"/>
              <w:jc w:val="right"/>
              <w:rPr>
                <w:b/>
                <w:bCs/>
                <w:sz w:val="18"/>
              </w:rPr>
            </w:pPr>
            <w:r w:rsidRPr="00F464FA">
              <w:rPr>
                <w:b/>
                <w:bCs/>
                <w:sz w:val="18"/>
              </w:rPr>
              <w:t>1</w:t>
            </w:r>
            <w:r w:rsidR="00864501" w:rsidRPr="00F464FA">
              <w:rPr>
                <w:b/>
                <w:bCs/>
                <w:sz w:val="18"/>
              </w:rPr>
              <w:t xml:space="preserve"> </w:t>
            </w:r>
            <w:r w:rsidRPr="00F464FA">
              <w:rPr>
                <w:b/>
                <w:bCs/>
                <w:sz w:val="18"/>
              </w:rPr>
              <w:t xml:space="preserve">469 </w:t>
            </w:r>
          </w:p>
        </w:tc>
        <w:tc>
          <w:tcPr>
            <w:tcW w:w="1488" w:type="dxa"/>
            <w:tcBorders>
              <w:top w:val="single" w:sz="4" w:space="0" w:color="auto"/>
              <w:bottom w:val="single" w:sz="4" w:space="0" w:color="auto"/>
            </w:tcBorders>
            <w:shd w:val="clear" w:color="auto" w:fill="auto"/>
            <w:vAlign w:val="bottom"/>
          </w:tcPr>
          <w:p w14:paraId="426F4B7E" w14:textId="77777777" w:rsidR="00221DD4" w:rsidRPr="00F464FA" w:rsidRDefault="00221DD4" w:rsidP="00864501">
            <w:pPr>
              <w:pStyle w:val="SingleTxtG"/>
              <w:tabs>
                <w:tab w:val="clear" w:pos="1701"/>
                <w:tab w:val="clear" w:pos="2268"/>
              </w:tabs>
              <w:suppressAutoHyphens w:val="0"/>
              <w:spacing w:before="80" w:after="80" w:line="220" w:lineRule="exact"/>
              <w:ind w:left="0" w:right="113"/>
              <w:jc w:val="right"/>
              <w:rPr>
                <w:b/>
                <w:bCs/>
                <w:sz w:val="18"/>
              </w:rPr>
            </w:pPr>
          </w:p>
        </w:tc>
      </w:tr>
      <w:tr w:rsidR="00221DD4" w:rsidRPr="00F464FA" w14:paraId="1CA6F07F" w14:textId="77777777" w:rsidTr="00E56CD5">
        <w:tc>
          <w:tcPr>
            <w:tcW w:w="4395" w:type="dxa"/>
            <w:tcBorders>
              <w:top w:val="single" w:sz="4" w:space="0" w:color="auto"/>
              <w:bottom w:val="nil"/>
            </w:tcBorders>
            <w:shd w:val="clear" w:color="auto" w:fill="auto"/>
          </w:tcPr>
          <w:p w14:paraId="76840FCE" w14:textId="77777777" w:rsidR="00221DD4" w:rsidRPr="00F464FA" w:rsidRDefault="00221DD4" w:rsidP="00611639">
            <w:pPr>
              <w:pStyle w:val="SingleTxtG"/>
              <w:tabs>
                <w:tab w:val="clear" w:pos="1701"/>
                <w:tab w:val="clear" w:pos="2268"/>
              </w:tabs>
              <w:suppressAutoHyphens w:val="0"/>
              <w:spacing w:before="40" w:after="40" w:line="220" w:lineRule="exact"/>
              <w:ind w:left="0" w:right="0"/>
              <w:jc w:val="left"/>
              <w:rPr>
                <w:bCs/>
                <w:sz w:val="18"/>
              </w:rPr>
            </w:pPr>
            <w:r w:rsidRPr="00F464FA">
              <w:rPr>
                <w:bCs/>
                <w:sz w:val="18"/>
              </w:rPr>
              <w:t xml:space="preserve">Public (government and religious) </w:t>
            </w:r>
          </w:p>
        </w:tc>
        <w:tc>
          <w:tcPr>
            <w:tcW w:w="1487" w:type="dxa"/>
            <w:tcBorders>
              <w:top w:val="single" w:sz="4" w:space="0" w:color="auto"/>
              <w:bottom w:val="nil"/>
            </w:tcBorders>
            <w:shd w:val="clear" w:color="auto" w:fill="auto"/>
            <w:vAlign w:val="bottom"/>
          </w:tcPr>
          <w:p w14:paraId="435F446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824 </w:t>
            </w:r>
          </w:p>
        </w:tc>
        <w:tc>
          <w:tcPr>
            <w:tcW w:w="1488" w:type="dxa"/>
            <w:tcBorders>
              <w:top w:val="single" w:sz="4" w:space="0" w:color="auto"/>
              <w:bottom w:val="nil"/>
            </w:tcBorders>
            <w:shd w:val="clear" w:color="auto" w:fill="auto"/>
            <w:vAlign w:val="bottom"/>
          </w:tcPr>
          <w:p w14:paraId="38CFF2EB"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830 </w:t>
            </w:r>
          </w:p>
        </w:tc>
      </w:tr>
      <w:tr w:rsidR="00221DD4" w:rsidRPr="00F464FA" w14:paraId="11A1D218" w14:textId="77777777" w:rsidTr="00E56CD5">
        <w:tc>
          <w:tcPr>
            <w:tcW w:w="4395" w:type="dxa"/>
            <w:tcBorders>
              <w:top w:val="nil"/>
              <w:bottom w:val="nil"/>
            </w:tcBorders>
            <w:shd w:val="clear" w:color="auto" w:fill="auto"/>
          </w:tcPr>
          <w:p w14:paraId="4B650AC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Private </w:t>
            </w:r>
          </w:p>
        </w:tc>
        <w:tc>
          <w:tcPr>
            <w:tcW w:w="1487" w:type="dxa"/>
            <w:tcBorders>
              <w:top w:val="nil"/>
              <w:bottom w:val="nil"/>
            </w:tcBorders>
            <w:shd w:val="clear" w:color="auto" w:fill="auto"/>
            <w:vAlign w:val="bottom"/>
          </w:tcPr>
          <w:p w14:paraId="7E5B81E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383 </w:t>
            </w:r>
          </w:p>
        </w:tc>
        <w:tc>
          <w:tcPr>
            <w:tcW w:w="1488" w:type="dxa"/>
            <w:tcBorders>
              <w:top w:val="nil"/>
              <w:bottom w:val="nil"/>
            </w:tcBorders>
            <w:shd w:val="clear" w:color="auto" w:fill="auto"/>
            <w:vAlign w:val="bottom"/>
          </w:tcPr>
          <w:p w14:paraId="179386A9"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353 </w:t>
            </w:r>
          </w:p>
        </w:tc>
      </w:tr>
      <w:tr w:rsidR="00221DD4" w:rsidRPr="00F464FA" w14:paraId="2186CBAB" w14:textId="77777777" w:rsidTr="00E56CD5">
        <w:tc>
          <w:tcPr>
            <w:tcW w:w="4395" w:type="dxa"/>
            <w:tcBorders>
              <w:top w:val="nil"/>
              <w:bottom w:val="nil"/>
            </w:tcBorders>
            <w:shd w:val="clear" w:color="auto" w:fill="auto"/>
          </w:tcPr>
          <w:p w14:paraId="0805AE40"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Open day sec Schools </w:t>
            </w:r>
          </w:p>
        </w:tc>
        <w:tc>
          <w:tcPr>
            <w:tcW w:w="1487" w:type="dxa"/>
            <w:tcBorders>
              <w:top w:val="nil"/>
              <w:bottom w:val="nil"/>
            </w:tcBorders>
            <w:shd w:val="clear" w:color="auto" w:fill="auto"/>
            <w:vAlign w:val="bottom"/>
          </w:tcPr>
          <w:p w14:paraId="5CFA845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620 </w:t>
            </w:r>
          </w:p>
        </w:tc>
        <w:tc>
          <w:tcPr>
            <w:tcW w:w="1488" w:type="dxa"/>
            <w:tcBorders>
              <w:top w:val="nil"/>
              <w:bottom w:val="nil"/>
            </w:tcBorders>
            <w:shd w:val="clear" w:color="auto" w:fill="auto"/>
            <w:vAlign w:val="bottom"/>
          </w:tcPr>
          <w:p w14:paraId="11B32B0A"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304 </w:t>
            </w:r>
          </w:p>
        </w:tc>
      </w:tr>
      <w:tr w:rsidR="00221DD4" w:rsidRPr="00F464FA" w14:paraId="7566C1F8" w14:textId="77777777" w:rsidTr="00E56CD5">
        <w:tc>
          <w:tcPr>
            <w:tcW w:w="4395" w:type="dxa"/>
            <w:tcBorders>
              <w:top w:val="nil"/>
              <w:bottom w:val="nil"/>
            </w:tcBorders>
            <w:shd w:val="clear" w:color="auto" w:fill="auto"/>
          </w:tcPr>
          <w:p w14:paraId="4B4018F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Gross Intake Rate Primary </w:t>
            </w:r>
          </w:p>
        </w:tc>
        <w:tc>
          <w:tcPr>
            <w:tcW w:w="1487" w:type="dxa"/>
            <w:tcBorders>
              <w:top w:val="nil"/>
              <w:bottom w:val="nil"/>
            </w:tcBorders>
            <w:shd w:val="clear" w:color="auto" w:fill="auto"/>
            <w:vAlign w:val="bottom"/>
          </w:tcPr>
          <w:p w14:paraId="750A9E4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147 </w:t>
            </w:r>
          </w:p>
        </w:tc>
        <w:tc>
          <w:tcPr>
            <w:tcW w:w="1488" w:type="dxa"/>
            <w:tcBorders>
              <w:top w:val="nil"/>
              <w:bottom w:val="nil"/>
            </w:tcBorders>
            <w:shd w:val="clear" w:color="auto" w:fill="auto"/>
            <w:vAlign w:val="bottom"/>
          </w:tcPr>
          <w:p w14:paraId="336644B6"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123 </w:t>
            </w:r>
          </w:p>
        </w:tc>
      </w:tr>
      <w:tr w:rsidR="00221DD4" w:rsidRPr="00F464FA" w14:paraId="6F71EF04" w14:textId="77777777" w:rsidTr="00E56CD5">
        <w:tc>
          <w:tcPr>
            <w:tcW w:w="4395" w:type="dxa"/>
            <w:tcBorders>
              <w:top w:val="nil"/>
              <w:bottom w:val="nil"/>
            </w:tcBorders>
            <w:shd w:val="clear" w:color="auto" w:fill="auto"/>
          </w:tcPr>
          <w:p w14:paraId="022C4EB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nil"/>
              <w:bottom w:val="nil"/>
            </w:tcBorders>
            <w:shd w:val="clear" w:color="auto" w:fill="auto"/>
            <w:vAlign w:val="bottom"/>
          </w:tcPr>
          <w:p w14:paraId="78D493A0"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144 </w:t>
            </w:r>
          </w:p>
        </w:tc>
        <w:tc>
          <w:tcPr>
            <w:tcW w:w="1488" w:type="dxa"/>
            <w:tcBorders>
              <w:top w:val="nil"/>
              <w:bottom w:val="nil"/>
            </w:tcBorders>
            <w:shd w:val="clear" w:color="auto" w:fill="auto"/>
            <w:vAlign w:val="bottom"/>
          </w:tcPr>
          <w:p w14:paraId="0E30567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122 </w:t>
            </w:r>
          </w:p>
        </w:tc>
      </w:tr>
      <w:tr w:rsidR="00221DD4" w:rsidRPr="00F464FA" w14:paraId="7A4F0373" w14:textId="77777777" w:rsidTr="00E56CD5">
        <w:tc>
          <w:tcPr>
            <w:tcW w:w="4395" w:type="dxa"/>
            <w:tcBorders>
              <w:top w:val="nil"/>
              <w:bottom w:val="nil"/>
            </w:tcBorders>
            <w:shd w:val="clear" w:color="auto" w:fill="auto"/>
          </w:tcPr>
          <w:p w14:paraId="00EB59DA"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nil"/>
            </w:tcBorders>
            <w:shd w:val="clear" w:color="auto" w:fill="auto"/>
            <w:vAlign w:val="bottom"/>
          </w:tcPr>
          <w:p w14:paraId="5FE2BB2A"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145 </w:t>
            </w:r>
          </w:p>
        </w:tc>
        <w:tc>
          <w:tcPr>
            <w:tcW w:w="1488" w:type="dxa"/>
            <w:tcBorders>
              <w:top w:val="nil"/>
              <w:bottom w:val="nil"/>
            </w:tcBorders>
            <w:shd w:val="clear" w:color="auto" w:fill="auto"/>
            <w:vAlign w:val="bottom"/>
          </w:tcPr>
          <w:p w14:paraId="1833123A"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124 </w:t>
            </w:r>
          </w:p>
        </w:tc>
      </w:tr>
      <w:tr w:rsidR="00221DD4" w:rsidRPr="00F464FA" w14:paraId="1BD084D6" w14:textId="77777777" w:rsidTr="00E56CD5">
        <w:tc>
          <w:tcPr>
            <w:tcW w:w="4395" w:type="dxa"/>
            <w:tcBorders>
              <w:top w:val="nil"/>
              <w:bottom w:val="nil"/>
            </w:tcBorders>
            <w:shd w:val="clear" w:color="auto" w:fill="auto"/>
          </w:tcPr>
          <w:p w14:paraId="44443E73"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Net Intake Rate Primary </w:t>
            </w:r>
          </w:p>
        </w:tc>
        <w:tc>
          <w:tcPr>
            <w:tcW w:w="1487" w:type="dxa"/>
            <w:tcBorders>
              <w:top w:val="nil"/>
              <w:bottom w:val="nil"/>
            </w:tcBorders>
            <w:shd w:val="clear" w:color="auto" w:fill="auto"/>
            <w:vAlign w:val="bottom"/>
          </w:tcPr>
          <w:p w14:paraId="091C9C5F"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92 </w:t>
            </w:r>
          </w:p>
        </w:tc>
        <w:tc>
          <w:tcPr>
            <w:tcW w:w="1488" w:type="dxa"/>
            <w:tcBorders>
              <w:top w:val="nil"/>
              <w:bottom w:val="nil"/>
            </w:tcBorders>
            <w:shd w:val="clear" w:color="auto" w:fill="auto"/>
            <w:vAlign w:val="bottom"/>
          </w:tcPr>
          <w:p w14:paraId="29A78CC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84 </w:t>
            </w:r>
          </w:p>
        </w:tc>
      </w:tr>
      <w:tr w:rsidR="00221DD4" w:rsidRPr="00F464FA" w14:paraId="5DF41C38" w14:textId="77777777" w:rsidTr="00E56CD5">
        <w:tc>
          <w:tcPr>
            <w:tcW w:w="4395" w:type="dxa"/>
            <w:tcBorders>
              <w:top w:val="nil"/>
              <w:bottom w:val="nil"/>
            </w:tcBorders>
            <w:shd w:val="clear" w:color="auto" w:fill="auto"/>
          </w:tcPr>
          <w:p w14:paraId="2984D7B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nil"/>
              <w:bottom w:val="nil"/>
            </w:tcBorders>
            <w:shd w:val="clear" w:color="auto" w:fill="auto"/>
            <w:vAlign w:val="bottom"/>
          </w:tcPr>
          <w:p w14:paraId="68545661"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89 </w:t>
            </w:r>
          </w:p>
        </w:tc>
        <w:tc>
          <w:tcPr>
            <w:tcW w:w="1488" w:type="dxa"/>
            <w:tcBorders>
              <w:top w:val="nil"/>
              <w:bottom w:val="nil"/>
            </w:tcBorders>
            <w:shd w:val="clear" w:color="auto" w:fill="auto"/>
            <w:vAlign w:val="bottom"/>
          </w:tcPr>
          <w:p w14:paraId="0682AB59"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82 </w:t>
            </w:r>
          </w:p>
        </w:tc>
      </w:tr>
      <w:tr w:rsidR="00221DD4" w:rsidRPr="00F464FA" w14:paraId="20EA72A7" w14:textId="77777777" w:rsidTr="00E56CD5">
        <w:tc>
          <w:tcPr>
            <w:tcW w:w="4395" w:type="dxa"/>
            <w:tcBorders>
              <w:top w:val="nil"/>
              <w:bottom w:val="nil"/>
            </w:tcBorders>
            <w:shd w:val="clear" w:color="auto" w:fill="auto"/>
          </w:tcPr>
          <w:p w14:paraId="78EB749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nil"/>
            </w:tcBorders>
            <w:shd w:val="clear" w:color="auto" w:fill="auto"/>
            <w:vAlign w:val="bottom"/>
          </w:tcPr>
          <w:p w14:paraId="7BE4ECC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95 </w:t>
            </w:r>
          </w:p>
        </w:tc>
        <w:tc>
          <w:tcPr>
            <w:tcW w:w="1488" w:type="dxa"/>
            <w:tcBorders>
              <w:top w:val="nil"/>
              <w:bottom w:val="nil"/>
            </w:tcBorders>
            <w:shd w:val="clear" w:color="auto" w:fill="auto"/>
            <w:vAlign w:val="bottom"/>
          </w:tcPr>
          <w:p w14:paraId="185C1DA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86 </w:t>
            </w:r>
          </w:p>
        </w:tc>
      </w:tr>
      <w:tr w:rsidR="00221DD4" w:rsidRPr="00F464FA" w14:paraId="1A0E62DA" w14:textId="77777777" w:rsidTr="00E56CD5">
        <w:tc>
          <w:tcPr>
            <w:tcW w:w="4395" w:type="dxa"/>
            <w:tcBorders>
              <w:top w:val="nil"/>
              <w:bottom w:val="nil"/>
            </w:tcBorders>
            <w:shd w:val="clear" w:color="auto" w:fill="auto"/>
          </w:tcPr>
          <w:p w14:paraId="5D3D221F"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Gross enrolment rate Primary </w:t>
            </w:r>
          </w:p>
        </w:tc>
        <w:tc>
          <w:tcPr>
            <w:tcW w:w="1487" w:type="dxa"/>
            <w:tcBorders>
              <w:top w:val="nil"/>
              <w:bottom w:val="nil"/>
            </w:tcBorders>
            <w:shd w:val="clear" w:color="auto" w:fill="auto"/>
            <w:vAlign w:val="bottom"/>
          </w:tcPr>
          <w:p w14:paraId="0D52D49C"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136 </w:t>
            </w:r>
          </w:p>
        </w:tc>
        <w:tc>
          <w:tcPr>
            <w:tcW w:w="1488" w:type="dxa"/>
            <w:tcBorders>
              <w:top w:val="nil"/>
              <w:bottom w:val="nil"/>
            </w:tcBorders>
            <w:shd w:val="clear" w:color="auto" w:fill="auto"/>
            <w:vAlign w:val="bottom"/>
          </w:tcPr>
          <w:p w14:paraId="3DB313E1"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127 </w:t>
            </w:r>
          </w:p>
        </w:tc>
      </w:tr>
      <w:tr w:rsidR="00221DD4" w:rsidRPr="00F464FA" w14:paraId="72F45284" w14:textId="77777777" w:rsidTr="00E56CD5">
        <w:tc>
          <w:tcPr>
            <w:tcW w:w="4395" w:type="dxa"/>
            <w:tcBorders>
              <w:top w:val="nil"/>
              <w:bottom w:val="nil"/>
            </w:tcBorders>
            <w:shd w:val="clear" w:color="auto" w:fill="auto"/>
          </w:tcPr>
          <w:p w14:paraId="34F2FCF1"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lastRenderedPageBreak/>
              <w:t xml:space="preserve">Boys </w:t>
            </w:r>
          </w:p>
        </w:tc>
        <w:tc>
          <w:tcPr>
            <w:tcW w:w="1487" w:type="dxa"/>
            <w:tcBorders>
              <w:top w:val="nil"/>
              <w:bottom w:val="nil"/>
            </w:tcBorders>
            <w:shd w:val="clear" w:color="auto" w:fill="auto"/>
            <w:vAlign w:val="bottom"/>
          </w:tcPr>
          <w:p w14:paraId="68DE88C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135 </w:t>
            </w:r>
          </w:p>
        </w:tc>
        <w:tc>
          <w:tcPr>
            <w:tcW w:w="1488" w:type="dxa"/>
            <w:tcBorders>
              <w:top w:val="nil"/>
              <w:bottom w:val="nil"/>
            </w:tcBorders>
            <w:shd w:val="clear" w:color="auto" w:fill="auto"/>
            <w:vAlign w:val="bottom"/>
          </w:tcPr>
          <w:p w14:paraId="3C325BB0"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125 </w:t>
            </w:r>
          </w:p>
        </w:tc>
      </w:tr>
      <w:tr w:rsidR="00221DD4" w:rsidRPr="00F464FA" w14:paraId="45192822" w14:textId="77777777" w:rsidTr="00E56CD5">
        <w:tc>
          <w:tcPr>
            <w:tcW w:w="4395" w:type="dxa"/>
            <w:tcBorders>
              <w:top w:val="nil"/>
              <w:bottom w:val="nil"/>
            </w:tcBorders>
            <w:shd w:val="clear" w:color="auto" w:fill="auto"/>
          </w:tcPr>
          <w:p w14:paraId="220E7B2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nil"/>
            </w:tcBorders>
            <w:shd w:val="clear" w:color="auto" w:fill="auto"/>
            <w:vAlign w:val="bottom"/>
          </w:tcPr>
          <w:p w14:paraId="209761E9"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136 </w:t>
            </w:r>
          </w:p>
        </w:tc>
        <w:tc>
          <w:tcPr>
            <w:tcW w:w="1488" w:type="dxa"/>
            <w:tcBorders>
              <w:top w:val="nil"/>
              <w:bottom w:val="nil"/>
            </w:tcBorders>
            <w:shd w:val="clear" w:color="auto" w:fill="auto"/>
            <w:vAlign w:val="bottom"/>
          </w:tcPr>
          <w:p w14:paraId="6A93D9D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128 </w:t>
            </w:r>
          </w:p>
        </w:tc>
      </w:tr>
      <w:tr w:rsidR="00221DD4" w:rsidRPr="00F464FA" w14:paraId="1C73032B" w14:textId="77777777" w:rsidTr="00E56CD5">
        <w:tc>
          <w:tcPr>
            <w:tcW w:w="4395" w:type="dxa"/>
            <w:tcBorders>
              <w:top w:val="nil"/>
              <w:bottom w:val="nil"/>
            </w:tcBorders>
            <w:shd w:val="clear" w:color="auto" w:fill="auto"/>
          </w:tcPr>
          <w:p w14:paraId="7125731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Net enrolment rate Primary </w:t>
            </w:r>
          </w:p>
        </w:tc>
        <w:tc>
          <w:tcPr>
            <w:tcW w:w="1487" w:type="dxa"/>
            <w:tcBorders>
              <w:top w:val="nil"/>
              <w:bottom w:val="nil"/>
            </w:tcBorders>
            <w:shd w:val="clear" w:color="auto" w:fill="auto"/>
            <w:vAlign w:val="bottom"/>
          </w:tcPr>
          <w:p w14:paraId="44BC67C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98 </w:t>
            </w:r>
          </w:p>
        </w:tc>
        <w:tc>
          <w:tcPr>
            <w:tcW w:w="1488" w:type="dxa"/>
            <w:tcBorders>
              <w:top w:val="nil"/>
              <w:bottom w:val="nil"/>
            </w:tcBorders>
            <w:shd w:val="clear" w:color="auto" w:fill="auto"/>
            <w:vAlign w:val="bottom"/>
          </w:tcPr>
          <w:p w14:paraId="0AE55ED0"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90 </w:t>
            </w:r>
          </w:p>
        </w:tc>
      </w:tr>
      <w:tr w:rsidR="00221DD4" w:rsidRPr="00F464FA" w14:paraId="11CD80A5" w14:textId="77777777" w:rsidTr="00E56CD5">
        <w:tc>
          <w:tcPr>
            <w:tcW w:w="4395" w:type="dxa"/>
            <w:tcBorders>
              <w:top w:val="nil"/>
              <w:bottom w:val="nil"/>
            </w:tcBorders>
            <w:shd w:val="clear" w:color="auto" w:fill="auto"/>
          </w:tcPr>
          <w:p w14:paraId="034D458B"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nil"/>
              <w:bottom w:val="nil"/>
            </w:tcBorders>
            <w:shd w:val="clear" w:color="auto" w:fill="auto"/>
            <w:vAlign w:val="bottom"/>
          </w:tcPr>
          <w:p w14:paraId="46718C75"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87 </w:t>
            </w:r>
          </w:p>
        </w:tc>
        <w:tc>
          <w:tcPr>
            <w:tcW w:w="1488" w:type="dxa"/>
            <w:tcBorders>
              <w:top w:val="nil"/>
              <w:bottom w:val="nil"/>
            </w:tcBorders>
            <w:shd w:val="clear" w:color="auto" w:fill="auto"/>
            <w:vAlign w:val="bottom"/>
          </w:tcPr>
          <w:p w14:paraId="0D264FBB"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87 </w:t>
            </w:r>
          </w:p>
        </w:tc>
      </w:tr>
      <w:tr w:rsidR="00221DD4" w:rsidRPr="00F464FA" w14:paraId="66EB350C" w14:textId="77777777" w:rsidTr="00E56CD5">
        <w:tc>
          <w:tcPr>
            <w:tcW w:w="4395" w:type="dxa"/>
            <w:tcBorders>
              <w:top w:val="nil"/>
              <w:bottom w:val="nil"/>
            </w:tcBorders>
            <w:shd w:val="clear" w:color="auto" w:fill="auto"/>
          </w:tcPr>
          <w:p w14:paraId="13CCE6E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nil"/>
            </w:tcBorders>
            <w:shd w:val="clear" w:color="auto" w:fill="auto"/>
            <w:vAlign w:val="bottom"/>
          </w:tcPr>
          <w:p w14:paraId="36C2DECC"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89 </w:t>
            </w:r>
          </w:p>
        </w:tc>
        <w:tc>
          <w:tcPr>
            <w:tcW w:w="1488" w:type="dxa"/>
            <w:tcBorders>
              <w:top w:val="nil"/>
              <w:bottom w:val="nil"/>
            </w:tcBorders>
            <w:shd w:val="clear" w:color="auto" w:fill="auto"/>
            <w:vAlign w:val="bottom"/>
          </w:tcPr>
          <w:p w14:paraId="6CE9F865"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92 </w:t>
            </w:r>
          </w:p>
        </w:tc>
      </w:tr>
      <w:tr w:rsidR="00221DD4" w:rsidRPr="00F464FA" w14:paraId="107C3814" w14:textId="77777777" w:rsidTr="00E56CD5">
        <w:tc>
          <w:tcPr>
            <w:tcW w:w="4395" w:type="dxa"/>
            <w:tcBorders>
              <w:top w:val="nil"/>
              <w:bottom w:val="nil"/>
            </w:tcBorders>
            <w:shd w:val="clear" w:color="auto" w:fill="auto"/>
          </w:tcPr>
          <w:p w14:paraId="685EFF06"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Gross enrolment rate secondary </w:t>
            </w:r>
          </w:p>
        </w:tc>
        <w:tc>
          <w:tcPr>
            <w:tcW w:w="1487" w:type="dxa"/>
            <w:tcBorders>
              <w:top w:val="nil"/>
              <w:bottom w:val="nil"/>
            </w:tcBorders>
            <w:shd w:val="clear" w:color="auto" w:fill="auto"/>
            <w:vAlign w:val="bottom"/>
          </w:tcPr>
          <w:p w14:paraId="1F6A7813"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23.7 </w:t>
            </w:r>
          </w:p>
        </w:tc>
        <w:tc>
          <w:tcPr>
            <w:tcW w:w="1488" w:type="dxa"/>
            <w:tcBorders>
              <w:top w:val="nil"/>
              <w:bottom w:val="nil"/>
            </w:tcBorders>
            <w:shd w:val="clear" w:color="auto" w:fill="auto"/>
            <w:vAlign w:val="bottom"/>
          </w:tcPr>
          <w:p w14:paraId="528D4426"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25 </w:t>
            </w:r>
          </w:p>
        </w:tc>
      </w:tr>
      <w:tr w:rsidR="00221DD4" w:rsidRPr="00F464FA" w14:paraId="350AAF23" w14:textId="77777777" w:rsidTr="00E56CD5">
        <w:tc>
          <w:tcPr>
            <w:tcW w:w="4395" w:type="dxa"/>
            <w:tcBorders>
              <w:top w:val="nil"/>
              <w:bottom w:val="nil"/>
            </w:tcBorders>
            <w:shd w:val="clear" w:color="auto" w:fill="auto"/>
          </w:tcPr>
          <w:p w14:paraId="08801BAE"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nil"/>
              <w:bottom w:val="nil"/>
            </w:tcBorders>
            <w:shd w:val="clear" w:color="auto" w:fill="auto"/>
            <w:vAlign w:val="bottom"/>
          </w:tcPr>
          <w:p w14:paraId="35B28F7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25.1 </w:t>
            </w:r>
          </w:p>
        </w:tc>
        <w:tc>
          <w:tcPr>
            <w:tcW w:w="1488" w:type="dxa"/>
            <w:tcBorders>
              <w:top w:val="nil"/>
              <w:bottom w:val="nil"/>
            </w:tcBorders>
            <w:shd w:val="clear" w:color="auto" w:fill="auto"/>
            <w:vAlign w:val="bottom"/>
          </w:tcPr>
          <w:p w14:paraId="1E36BD59"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26 </w:t>
            </w:r>
          </w:p>
        </w:tc>
      </w:tr>
      <w:tr w:rsidR="00221DD4" w:rsidRPr="00F464FA" w14:paraId="2098599E" w14:textId="77777777" w:rsidTr="00E56CD5">
        <w:tc>
          <w:tcPr>
            <w:tcW w:w="4395" w:type="dxa"/>
            <w:tcBorders>
              <w:top w:val="nil"/>
              <w:bottom w:val="nil"/>
            </w:tcBorders>
            <w:shd w:val="clear" w:color="auto" w:fill="auto"/>
          </w:tcPr>
          <w:p w14:paraId="75EDA73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bottom w:val="nil"/>
            </w:tcBorders>
            <w:shd w:val="clear" w:color="auto" w:fill="auto"/>
            <w:vAlign w:val="bottom"/>
          </w:tcPr>
          <w:p w14:paraId="39347FC2"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22.7 </w:t>
            </w:r>
          </w:p>
        </w:tc>
        <w:tc>
          <w:tcPr>
            <w:tcW w:w="1488" w:type="dxa"/>
            <w:tcBorders>
              <w:top w:val="nil"/>
              <w:bottom w:val="nil"/>
            </w:tcBorders>
            <w:shd w:val="clear" w:color="auto" w:fill="auto"/>
            <w:vAlign w:val="bottom"/>
          </w:tcPr>
          <w:p w14:paraId="2E1617B5"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24 </w:t>
            </w:r>
          </w:p>
        </w:tc>
      </w:tr>
      <w:tr w:rsidR="00221DD4" w:rsidRPr="00F464FA" w14:paraId="61D2E483" w14:textId="77777777" w:rsidTr="00E56CD5">
        <w:tc>
          <w:tcPr>
            <w:tcW w:w="4395" w:type="dxa"/>
            <w:tcBorders>
              <w:top w:val="nil"/>
              <w:bottom w:val="nil"/>
            </w:tcBorders>
            <w:shd w:val="clear" w:color="auto" w:fill="auto"/>
          </w:tcPr>
          <w:p w14:paraId="0FB2B43B"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Net enrolment rate Secondary </w:t>
            </w:r>
          </w:p>
        </w:tc>
        <w:tc>
          <w:tcPr>
            <w:tcW w:w="1487" w:type="dxa"/>
            <w:tcBorders>
              <w:top w:val="nil"/>
              <w:bottom w:val="nil"/>
            </w:tcBorders>
            <w:shd w:val="clear" w:color="auto" w:fill="auto"/>
            <w:vAlign w:val="bottom"/>
          </w:tcPr>
          <w:p w14:paraId="55B8E6E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16.0 </w:t>
            </w:r>
          </w:p>
        </w:tc>
        <w:tc>
          <w:tcPr>
            <w:tcW w:w="1488" w:type="dxa"/>
            <w:tcBorders>
              <w:top w:val="nil"/>
              <w:bottom w:val="nil"/>
            </w:tcBorders>
            <w:shd w:val="clear" w:color="auto" w:fill="auto"/>
            <w:vAlign w:val="bottom"/>
          </w:tcPr>
          <w:p w14:paraId="317EA028"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16 </w:t>
            </w:r>
          </w:p>
        </w:tc>
      </w:tr>
      <w:tr w:rsidR="00221DD4" w:rsidRPr="00F464FA" w14:paraId="26605C79" w14:textId="77777777" w:rsidTr="00E56CD5">
        <w:tc>
          <w:tcPr>
            <w:tcW w:w="4395" w:type="dxa"/>
            <w:tcBorders>
              <w:top w:val="nil"/>
              <w:bottom w:val="nil"/>
            </w:tcBorders>
            <w:shd w:val="clear" w:color="auto" w:fill="auto"/>
          </w:tcPr>
          <w:p w14:paraId="7295687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tcBorders>
              <w:top w:val="nil"/>
              <w:bottom w:val="nil"/>
            </w:tcBorders>
            <w:shd w:val="clear" w:color="auto" w:fill="auto"/>
            <w:vAlign w:val="bottom"/>
          </w:tcPr>
          <w:p w14:paraId="68D51570"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15.0 </w:t>
            </w:r>
          </w:p>
        </w:tc>
        <w:tc>
          <w:tcPr>
            <w:tcW w:w="1488" w:type="dxa"/>
            <w:tcBorders>
              <w:top w:val="nil"/>
              <w:bottom w:val="nil"/>
            </w:tcBorders>
            <w:shd w:val="clear" w:color="auto" w:fill="auto"/>
            <w:vAlign w:val="bottom"/>
          </w:tcPr>
          <w:p w14:paraId="51A447B9"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15 </w:t>
            </w:r>
          </w:p>
        </w:tc>
      </w:tr>
      <w:tr w:rsidR="00221DD4" w:rsidRPr="00F464FA" w14:paraId="17263FD3" w14:textId="77777777" w:rsidTr="00E56CD5">
        <w:tc>
          <w:tcPr>
            <w:tcW w:w="4395" w:type="dxa"/>
            <w:tcBorders>
              <w:top w:val="nil"/>
            </w:tcBorders>
            <w:shd w:val="clear" w:color="auto" w:fill="auto"/>
          </w:tcPr>
          <w:p w14:paraId="59C866BF"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tcBorders>
              <w:top w:val="nil"/>
            </w:tcBorders>
            <w:shd w:val="clear" w:color="auto" w:fill="auto"/>
            <w:vAlign w:val="bottom"/>
          </w:tcPr>
          <w:p w14:paraId="781A9097"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15.5 </w:t>
            </w:r>
          </w:p>
        </w:tc>
        <w:tc>
          <w:tcPr>
            <w:tcW w:w="1488" w:type="dxa"/>
            <w:tcBorders>
              <w:top w:val="nil"/>
            </w:tcBorders>
            <w:shd w:val="clear" w:color="auto" w:fill="auto"/>
            <w:vAlign w:val="bottom"/>
          </w:tcPr>
          <w:p w14:paraId="2E29DD94" w14:textId="77777777" w:rsidR="00221DD4" w:rsidRPr="00F464FA" w:rsidRDefault="00221DD4" w:rsidP="00895442">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15 </w:t>
            </w:r>
          </w:p>
        </w:tc>
      </w:tr>
    </w:tbl>
    <w:p w14:paraId="316B38F3" w14:textId="3F4E219E" w:rsidR="00221DD4" w:rsidRPr="00F464FA" w:rsidRDefault="00221DD4" w:rsidP="006122F6">
      <w:pPr>
        <w:spacing w:before="120" w:after="240"/>
        <w:ind w:left="1134" w:right="1134" w:firstLine="170"/>
        <w:rPr>
          <w:sz w:val="18"/>
        </w:rPr>
      </w:pPr>
      <w:r w:rsidRPr="00F464FA">
        <w:rPr>
          <w:i/>
          <w:iCs/>
          <w:sz w:val="18"/>
        </w:rPr>
        <w:t>Source:</w:t>
      </w:r>
      <w:r w:rsidRPr="00F464FA">
        <w:rPr>
          <w:sz w:val="18"/>
        </w:rPr>
        <w:t xml:space="preserve"> Ministry of Education, Science and Technology</w:t>
      </w:r>
      <w:r w:rsidR="00CB1984" w:rsidRPr="00F464FA">
        <w:rPr>
          <w:sz w:val="18"/>
        </w:rPr>
        <w:t>.</w:t>
      </w:r>
    </w:p>
    <w:p w14:paraId="79749E10" w14:textId="0B8115C3" w:rsidR="00221DD4" w:rsidRPr="00F464FA" w:rsidRDefault="00221DD4" w:rsidP="00221DD4">
      <w:pPr>
        <w:pStyle w:val="Heading1"/>
      </w:pPr>
      <w:r w:rsidRPr="00F464FA">
        <w:t>Table 33</w:t>
      </w:r>
    </w:p>
    <w:p w14:paraId="09E0B936" w14:textId="225B5C2B" w:rsidR="00221DD4" w:rsidRPr="00F464FA" w:rsidRDefault="00221DD4" w:rsidP="00221DD4">
      <w:pPr>
        <w:pStyle w:val="SingleTxtG"/>
        <w:rPr>
          <w:b/>
        </w:rPr>
      </w:pPr>
      <w:r w:rsidRPr="00F464FA">
        <w:rPr>
          <w:b/>
        </w:rPr>
        <w:t>Quality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5"/>
        <w:gridCol w:w="1487"/>
        <w:gridCol w:w="1488"/>
      </w:tblGrid>
      <w:tr w:rsidR="00221DD4" w:rsidRPr="00F464FA" w14:paraId="05BD5059" w14:textId="77777777" w:rsidTr="00E56CD5">
        <w:trPr>
          <w:tblHeader/>
        </w:trPr>
        <w:tc>
          <w:tcPr>
            <w:tcW w:w="4395" w:type="dxa"/>
            <w:tcBorders>
              <w:top w:val="single" w:sz="4" w:space="0" w:color="auto"/>
              <w:bottom w:val="single" w:sz="12" w:space="0" w:color="auto"/>
            </w:tcBorders>
            <w:shd w:val="clear" w:color="auto" w:fill="auto"/>
            <w:vAlign w:val="bottom"/>
          </w:tcPr>
          <w:p w14:paraId="0D2E0797" w14:textId="77777777" w:rsidR="00221DD4" w:rsidRPr="00F464FA" w:rsidRDefault="00221DD4" w:rsidP="008B4DBE">
            <w:pPr>
              <w:pStyle w:val="SingleTxtG"/>
              <w:tabs>
                <w:tab w:val="clear" w:pos="1701"/>
                <w:tab w:val="clear" w:pos="2268"/>
              </w:tabs>
              <w:suppressAutoHyphens w:val="0"/>
              <w:spacing w:before="80" w:after="80" w:line="200" w:lineRule="exact"/>
              <w:ind w:left="0" w:right="113"/>
              <w:jc w:val="left"/>
              <w:rPr>
                <w:bCs/>
                <w:i/>
                <w:sz w:val="16"/>
              </w:rPr>
            </w:pPr>
          </w:p>
        </w:tc>
        <w:tc>
          <w:tcPr>
            <w:tcW w:w="1487" w:type="dxa"/>
            <w:tcBorders>
              <w:top w:val="single" w:sz="4" w:space="0" w:color="auto"/>
              <w:bottom w:val="single" w:sz="12" w:space="0" w:color="auto"/>
            </w:tcBorders>
            <w:shd w:val="clear" w:color="auto" w:fill="auto"/>
            <w:vAlign w:val="bottom"/>
          </w:tcPr>
          <w:p w14:paraId="39E5DD75" w14:textId="77777777" w:rsidR="00221DD4" w:rsidRPr="00F464FA" w:rsidRDefault="00221DD4" w:rsidP="008B4DBE">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2017</w:t>
            </w:r>
          </w:p>
        </w:tc>
        <w:tc>
          <w:tcPr>
            <w:tcW w:w="1488" w:type="dxa"/>
            <w:tcBorders>
              <w:top w:val="single" w:sz="4" w:space="0" w:color="auto"/>
              <w:bottom w:val="single" w:sz="12" w:space="0" w:color="auto"/>
            </w:tcBorders>
            <w:shd w:val="clear" w:color="auto" w:fill="auto"/>
            <w:vAlign w:val="bottom"/>
          </w:tcPr>
          <w:p w14:paraId="426DB4C9" w14:textId="77777777" w:rsidR="00221DD4" w:rsidRPr="00F464FA" w:rsidRDefault="00221DD4" w:rsidP="008B4DBE">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2018</w:t>
            </w:r>
          </w:p>
        </w:tc>
      </w:tr>
      <w:tr w:rsidR="00221DD4" w:rsidRPr="00F464FA" w14:paraId="56DD23AF" w14:textId="77777777" w:rsidTr="00E56CD5">
        <w:tc>
          <w:tcPr>
            <w:tcW w:w="4395" w:type="dxa"/>
            <w:tcBorders>
              <w:top w:val="single" w:sz="12" w:space="0" w:color="auto"/>
            </w:tcBorders>
            <w:shd w:val="clear" w:color="auto" w:fill="auto"/>
          </w:tcPr>
          <w:p w14:paraId="4AC02B3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Pupil Teacher Ratio- Primary </w:t>
            </w:r>
          </w:p>
        </w:tc>
        <w:tc>
          <w:tcPr>
            <w:tcW w:w="1487" w:type="dxa"/>
            <w:tcBorders>
              <w:top w:val="single" w:sz="12" w:space="0" w:color="auto"/>
            </w:tcBorders>
            <w:shd w:val="clear" w:color="auto" w:fill="auto"/>
            <w:vAlign w:val="bottom"/>
          </w:tcPr>
          <w:p w14:paraId="4945CDDE"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71.3 </w:t>
            </w:r>
          </w:p>
        </w:tc>
        <w:tc>
          <w:tcPr>
            <w:tcW w:w="1488" w:type="dxa"/>
            <w:tcBorders>
              <w:top w:val="single" w:sz="12" w:space="0" w:color="auto"/>
            </w:tcBorders>
            <w:shd w:val="clear" w:color="auto" w:fill="auto"/>
            <w:vAlign w:val="bottom"/>
          </w:tcPr>
          <w:p w14:paraId="15F79A0A"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66.8 </w:t>
            </w:r>
          </w:p>
        </w:tc>
      </w:tr>
      <w:tr w:rsidR="00221DD4" w:rsidRPr="00F464FA" w14:paraId="5863A249" w14:textId="77777777" w:rsidTr="00E56CD5">
        <w:tc>
          <w:tcPr>
            <w:tcW w:w="4395" w:type="dxa"/>
            <w:shd w:val="clear" w:color="auto" w:fill="auto"/>
          </w:tcPr>
          <w:p w14:paraId="7CAED74C"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Pupil Qualified Teacher Ratio- Primary </w:t>
            </w:r>
          </w:p>
        </w:tc>
        <w:tc>
          <w:tcPr>
            <w:tcW w:w="1487" w:type="dxa"/>
            <w:shd w:val="clear" w:color="auto" w:fill="auto"/>
            <w:vAlign w:val="bottom"/>
          </w:tcPr>
          <w:p w14:paraId="5A867FEF"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76.9 </w:t>
            </w:r>
          </w:p>
        </w:tc>
        <w:tc>
          <w:tcPr>
            <w:tcW w:w="1488" w:type="dxa"/>
            <w:shd w:val="clear" w:color="auto" w:fill="auto"/>
            <w:vAlign w:val="bottom"/>
          </w:tcPr>
          <w:p w14:paraId="74E6E17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70.0 </w:t>
            </w:r>
          </w:p>
        </w:tc>
      </w:tr>
      <w:tr w:rsidR="00221DD4" w:rsidRPr="00F464FA" w14:paraId="39AADE8F" w14:textId="77777777" w:rsidTr="00E56CD5">
        <w:tc>
          <w:tcPr>
            <w:tcW w:w="4395" w:type="dxa"/>
            <w:shd w:val="clear" w:color="auto" w:fill="auto"/>
          </w:tcPr>
          <w:p w14:paraId="0155BCA4"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Pupil permanent classroom ratio- Primary </w:t>
            </w:r>
          </w:p>
        </w:tc>
        <w:tc>
          <w:tcPr>
            <w:tcW w:w="1487" w:type="dxa"/>
            <w:shd w:val="clear" w:color="auto" w:fill="auto"/>
            <w:vAlign w:val="bottom"/>
          </w:tcPr>
          <w:p w14:paraId="5132853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121.4 </w:t>
            </w:r>
          </w:p>
        </w:tc>
        <w:tc>
          <w:tcPr>
            <w:tcW w:w="1488" w:type="dxa"/>
            <w:shd w:val="clear" w:color="auto" w:fill="auto"/>
            <w:vAlign w:val="bottom"/>
          </w:tcPr>
          <w:p w14:paraId="1A2C89B0"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120.9 </w:t>
            </w:r>
          </w:p>
        </w:tc>
      </w:tr>
      <w:tr w:rsidR="00221DD4" w:rsidRPr="00F464FA" w14:paraId="43A97F5E" w14:textId="77777777" w:rsidTr="00E56CD5">
        <w:tc>
          <w:tcPr>
            <w:tcW w:w="4395" w:type="dxa"/>
            <w:shd w:val="clear" w:color="auto" w:fill="auto"/>
          </w:tcPr>
          <w:p w14:paraId="6B28E193"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Primary Completion Rate </w:t>
            </w:r>
          </w:p>
        </w:tc>
        <w:tc>
          <w:tcPr>
            <w:tcW w:w="1487" w:type="dxa"/>
            <w:shd w:val="clear" w:color="auto" w:fill="auto"/>
            <w:vAlign w:val="bottom"/>
          </w:tcPr>
          <w:p w14:paraId="1A62A523"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53 </w:t>
            </w:r>
          </w:p>
        </w:tc>
        <w:tc>
          <w:tcPr>
            <w:tcW w:w="1488" w:type="dxa"/>
            <w:shd w:val="clear" w:color="auto" w:fill="auto"/>
            <w:vAlign w:val="bottom"/>
          </w:tcPr>
          <w:p w14:paraId="5565F65F"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52 </w:t>
            </w:r>
          </w:p>
        </w:tc>
      </w:tr>
      <w:tr w:rsidR="00221DD4" w:rsidRPr="00F464FA" w14:paraId="02182D7F" w14:textId="77777777" w:rsidTr="00E56CD5">
        <w:tc>
          <w:tcPr>
            <w:tcW w:w="4395" w:type="dxa"/>
            <w:shd w:val="clear" w:color="auto" w:fill="auto"/>
          </w:tcPr>
          <w:p w14:paraId="5887FF5B"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shd w:val="clear" w:color="auto" w:fill="auto"/>
            <w:vAlign w:val="bottom"/>
          </w:tcPr>
          <w:p w14:paraId="745C2776"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55 </w:t>
            </w:r>
          </w:p>
        </w:tc>
        <w:tc>
          <w:tcPr>
            <w:tcW w:w="1488" w:type="dxa"/>
            <w:shd w:val="clear" w:color="auto" w:fill="auto"/>
            <w:vAlign w:val="bottom"/>
          </w:tcPr>
          <w:p w14:paraId="0E62DF2B"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54 </w:t>
            </w:r>
          </w:p>
        </w:tc>
      </w:tr>
      <w:tr w:rsidR="00221DD4" w:rsidRPr="00F464FA" w14:paraId="567E24F9" w14:textId="77777777" w:rsidTr="00E56CD5">
        <w:tc>
          <w:tcPr>
            <w:tcW w:w="4395" w:type="dxa"/>
            <w:shd w:val="clear" w:color="auto" w:fill="auto"/>
          </w:tcPr>
          <w:p w14:paraId="74960F7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shd w:val="clear" w:color="auto" w:fill="auto"/>
            <w:vAlign w:val="bottom"/>
          </w:tcPr>
          <w:p w14:paraId="3BDB45A2"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51 </w:t>
            </w:r>
          </w:p>
        </w:tc>
        <w:tc>
          <w:tcPr>
            <w:tcW w:w="1488" w:type="dxa"/>
            <w:shd w:val="clear" w:color="auto" w:fill="auto"/>
            <w:vAlign w:val="bottom"/>
          </w:tcPr>
          <w:p w14:paraId="660B31B0"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51 </w:t>
            </w:r>
          </w:p>
        </w:tc>
      </w:tr>
      <w:tr w:rsidR="00221DD4" w:rsidRPr="00F464FA" w14:paraId="4584F1DE" w14:textId="77777777" w:rsidTr="00E56CD5">
        <w:tc>
          <w:tcPr>
            <w:tcW w:w="4395" w:type="dxa"/>
            <w:shd w:val="clear" w:color="auto" w:fill="auto"/>
          </w:tcPr>
          <w:p w14:paraId="405D3DD9"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Secondary completion rate </w:t>
            </w:r>
          </w:p>
        </w:tc>
        <w:tc>
          <w:tcPr>
            <w:tcW w:w="1487" w:type="dxa"/>
            <w:shd w:val="clear" w:color="auto" w:fill="auto"/>
            <w:vAlign w:val="bottom"/>
          </w:tcPr>
          <w:p w14:paraId="541A7C0E"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24 </w:t>
            </w:r>
          </w:p>
        </w:tc>
        <w:tc>
          <w:tcPr>
            <w:tcW w:w="1488" w:type="dxa"/>
            <w:shd w:val="clear" w:color="auto" w:fill="auto"/>
            <w:vAlign w:val="bottom"/>
          </w:tcPr>
          <w:p w14:paraId="17161734"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7771B019" w14:textId="77777777" w:rsidTr="00E56CD5">
        <w:tc>
          <w:tcPr>
            <w:tcW w:w="4395" w:type="dxa"/>
            <w:shd w:val="clear" w:color="auto" w:fill="auto"/>
          </w:tcPr>
          <w:p w14:paraId="183FB289"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Form 2 </w:t>
            </w:r>
          </w:p>
        </w:tc>
        <w:tc>
          <w:tcPr>
            <w:tcW w:w="1487" w:type="dxa"/>
            <w:shd w:val="clear" w:color="auto" w:fill="auto"/>
            <w:vAlign w:val="bottom"/>
          </w:tcPr>
          <w:p w14:paraId="5EB0DFEC"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p>
        </w:tc>
        <w:tc>
          <w:tcPr>
            <w:tcW w:w="1488" w:type="dxa"/>
            <w:shd w:val="clear" w:color="auto" w:fill="auto"/>
            <w:vAlign w:val="bottom"/>
          </w:tcPr>
          <w:p w14:paraId="428B5CBE"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3E9CBA53" w14:textId="77777777" w:rsidTr="00E56CD5">
        <w:tc>
          <w:tcPr>
            <w:tcW w:w="4395" w:type="dxa"/>
            <w:shd w:val="clear" w:color="auto" w:fill="auto"/>
          </w:tcPr>
          <w:p w14:paraId="5F7DAF6F"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Form 4 </w:t>
            </w:r>
          </w:p>
        </w:tc>
        <w:tc>
          <w:tcPr>
            <w:tcW w:w="1487" w:type="dxa"/>
            <w:shd w:val="clear" w:color="auto" w:fill="auto"/>
            <w:vAlign w:val="bottom"/>
          </w:tcPr>
          <w:p w14:paraId="73C0150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21.9 </w:t>
            </w:r>
          </w:p>
        </w:tc>
        <w:tc>
          <w:tcPr>
            <w:tcW w:w="1488" w:type="dxa"/>
            <w:shd w:val="clear" w:color="auto" w:fill="auto"/>
            <w:vAlign w:val="bottom"/>
          </w:tcPr>
          <w:p w14:paraId="2AF2C5D8"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5F0B2F65" w14:textId="77777777" w:rsidTr="00E56CD5">
        <w:tc>
          <w:tcPr>
            <w:tcW w:w="4395" w:type="dxa"/>
            <w:shd w:val="clear" w:color="auto" w:fill="auto"/>
          </w:tcPr>
          <w:p w14:paraId="1DA4C73D"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87" w:type="dxa"/>
            <w:shd w:val="clear" w:color="auto" w:fill="auto"/>
            <w:vAlign w:val="bottom"/>
          </w:tcPr>
          <w:p w14:paraId="557C34C4"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24.0 </w:t>
            </w:r>
          </w:p>
        </w:tc>
        <w:tc>
          <w:tcPr>
            <w:tcW w:w="1488" w:type="dxa"/>
            <w:shd w:val="clear" w:color="auto" w:fill="auto"/>
            <w:vAlign w:val="bottom"/>
          </w:tcPr>
          <w:p w14:paraId="19013998"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26 </w:t>
            </w:r>
          </w:p>
        </w:tc>
      </w:tr>
      <w:tr w:rsidR="00221DD4" w:rsidRPr="00F464FA" w14:paraId="1D637F8B" w14:textId="77777777" w:rsidTr="00E56CD5">
        <w:tc>
          <w:tcPr>
            <w:tcW w:w="4395" w:type="dxa"/>
            <w:shd w:val="clear" w:color="auto" w:fill="auto"/>
          </w:tcPr>
          <w:p w14:paraId="4B2611DA"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87" w:type="dxa"/>
            <w:shd w:val="clear" w:color="auto" w:fill="auto"/>
            <w:vAlign w:val="bottom"/>
          </w:tcPr>
          <w:p w14:paraId="0E87C213"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20.0 </w:t>
            </w:r>
          </w:p>
        </w:tc>
        <w:tc>
          <w:tcPr>
            <w:tcW w:w="1488" w:type="dxa"/>
            <w:shd w:val="clear" w:color="auto" w:fill="auto"/>
            <w:vAlign w:val="bottom"/>
          </w:tcPr>
          <w:p w14:paraId="092CF945"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22 </w:t>
            </w:r>
          </w:p>
        </w:tc>
      </w:tr>
      <w:tr w:rsidR="00221DD4" w:rsidRPr="00F464FA" w14:paraId="65C05C2D" w14:textId="77777777" w:rsidTr="00E56CD5">
        <w:tc>
          <w:tcPr>
            <w:tcW w:w="4395" w:type="dxa"/>
            <w:shd w:val="clear" w:color="auto" w:fill="auto"/>
          </w:tcPr>
          <w:p w14:paraId="0D20C92C"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Pupil qualified Teacher Ratio (</w:t>
            </w:r>
            <w:proofErr w:type="spellStart"/>
            <w:r w:rsidRPr="00F464FA">
              <w:rPr>
                <w:bCs/>
                <w:sz w:val="18"/>
              </w:rPr>
              <w:t>SqTR</w:t>
            </w:r>
            <w:proofErr w:type="spellEnd"/>
            <w:r w:rsidRPr="00F464FA">
              <w:rPr>
                <w:bCs/>
                <w:sz w:val="18"/>
              </w:rPr>
              <w:t xml:space="preserve">)- Secondary </w:t>
            </w:r>
          </w:p>
        </w:tc>
        <w:tc>
          <w:tcPr>
            <w:tcW w:w="1487" w:type="dxa"/>
            <w:shd w:val="clear" w:color="auto" w:fill="auto"/>
            <w:vAlign w:val="bottom"/>
          </w:tcPr>
          <w:p w14:paraId="3DD25003"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45.4 </w:t>
            </w:r>
          </w:p>
        </w:tc>
        <w:tc>
          <w:tcPr>
            <w:tcW w:w="1488" w:type="dxa"/>
            <w:shd w:val="clear" w:color="auto" w:fill="auto"/>
            <w:vAlign w:val="bottom"/>
          </w:tcPr>
          <w:p w14:paraId="4854515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41.0 </w:t>
            </w:r>
          </w:p>
        </w:tc>
      </w:tr>
      <w:tr w:rsidR="00221DD4" w:rsidRPr="00F464FA" w14:paraId="098E42D9" w14:textId="77777777" w:rsidTr="00E56CD5">
        <w:tc>
          <w:tcPr>
            <w:tcW w:w="4395" w:type="dxa"/>
            <w:shd w:val="clear" w:color="auto" w:fill="auto"/>
          </w:tcPr>
          <w:p w14:paraId="1F9D1CB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Pupil qualified Teacher Ratio (</w:t>
            </w:r>
            <w:proofErr w:type="spellStart"/>
            <w:r w:rsidRPr="00F464FA">
              <w:rPr>
                <w:bCs/>
                <w:sz w:val="18"/>
              </w:rPr>
              <w:t>SqTR</w:t>
            </w:r>
            <w:proofErr w:type="spellEnd"/>
            <w:r w:rsidRPr="00F464FA">
              <w:rPr>
                <w:bCs/>
                <w:sz w:val="18"/>
              </w:rPr>
              <w:t xml:space="preserve">)- Public Sec </w:t>
            </w:r>
          </w:p>
        </w:tc>
        <w:tc>
          <w:tcPr>
            <w:tcW w:w="1487" w:type="dxa"/>
            <w:shd w:val="clear" w:color="auto" w:fill="auto"/>
            <w:vAlign w:val="bottom"/>
          </w:tcPr>
          <w:p w14:paraId="69626CD1"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42.6 </w:t>
            </w:r>
          </w:p>
        </w:tc>
        <w:tc>
          <w:tcPr>
            <w:tcW w:w="1488" w:type="dxa"/>
            <w:shd w:val="clear" w:color="auto" w:fill="auto"/>
            <w:vAlign w:val="bottom"/>
          </w:tcPr>
          <w:p w14:paraId="7FF588CE"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44.3 </w:t>
            </w:r>
          </w:p>
        </w:tc>
      </w:tr>
      <w:tr w:rsidR="00221DD4" w:rsidRPr="00F464FA" w14:paraId="126E877B" w14:textId="77777777" w:rsidTr="00E56CD5">
        <w:tc>
          <w:tcPr>
            <w:tcW w:w="4395" w:type="dxa"/>
            <w:shd w:val="clear" w:color="auto" w:fill="auto"/>
          </w:tcPr>
          <w:p w14:paraId="31A7239F"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Pupil qualified Teacher Ratio (</w:t>
            </w:r>
            <w:proofErr w:type="spellStart"/>
            <w:r w:rsidRPr="00F464FA">
              <w:rPr>
                <w:bCs/>
                <w:sz w:val="18"/>
              </w:rPr>
              <w:t>SqTR</w:t>
            </w:r>
            <w:proofErr w:type="spellEnd"/>
            <w:r w:rsidRPr="00F464FA">
              <w:rPr>
                <w:bCs/>
                <w:sz w:val="18"/>
              </w:rPr>
              <w:t xml:space="preserve">)- Private Sec </w:t>
            </w:r>
          </w:p>
        </w:tc>
        <w:tc>
          <w:tcPr>
            <w:tcW w:w="1487" w:type="dxa"/>
            <w:shd w:val="clear" w:color="auto" w:fill="auto"/>
            <w:vAlign w:val="bottom"/>
          </w:tcPr>
          <w:p w14:paraId="740E6BB7"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61.2 </w:t>
            </w:r>
          </w:p>
        </w:tc>
        <w:tc>
          <w:tcPr>
            <w:tcW w:w="1488" w:type="dxa"/>
            <w:shd w:val="clear" w:color="auto" w:fill="auto"/>
            <w:vAlign w:val="bottom"/>
          </w:tcPr>
          <w:p w14:paraId="68474D54"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27.6 </w:t>
            </w:r>
          </w:p>
        </w:tc>
      </w:tr>
      <w:tr w:rsidR="00221DD4" w:rsidRPr="00F464FA" w14:paraId="624E2153" w14:textId="77777777" w:rsidTr="00E56CD5">
        <w:tc>
          <w:tcPr>
            <w:tcW w:w="4395" w:type="dxa"/>
            <w:shd w:val="clear" w:color="auto" w:fill="auto"/>
          </w:tcPr>
          <w:p w14:paraId="355025BE"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Pupil permanent Classroom Ratio (</w:t>
            </w:r>
            <w:proofErr w:type="spellStart"/>
            <w:r w:rsidRPr="00F464FA">
              <w:rPr>
                <w:bCs/>
                <w:sz w:val="18"/>
              </w:rPr>
              <w:t>PpCR</w:t>
            </w:r>
            <w:proofErr w:type="spellEnd"/>
            <w:r w:rsidRPr="00F464FA">
              <w:rPr>
                <w:bCs/>
                <w:sz w:val="18"/>
              </w:rPr>
              <w:t xml:space="preserve">)- Secondary </w:t>
            </w:r>
          </w:p>
        </w:tc>
        <w:tc>
          <w:tcPr>
            <w:tcW w:w="1487" w:type="dxa"/>
            <w:shd w:val="clear" w:color="auto" w:fill="auto"/>
            <w:vAlign w:val="bottom"/>
          </w:tcPr>
          <w:p w14:paraId="5EC4BC5E"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58.7 </w:t>
            </w:r>
          </w:p>
        </w:tc>
        <w:tc>
          <w:tcPr>
            <w:tcW w:w="1488" w:type="dxa"/>
            <w:shd w:val="clear" w:color="auto" w:fill="auto"/>
            <w:vAlign w:val="bottom"/>
          </w:tcPr>
          <w:p w14:paraId="3C7B53E4" w14:textId="77777777" w:rsidR="00221DD4" w:rsidRPr="00F464FA" w:rsidRDefault="00221DD4" w:rsidP="008B4DBE">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58.7 </w:t>
            </w:r>
          </w:p>
        </w:tc>
      </w:tr>
    </w:tbl>
    <w:p w14:paraId="6A6162A3" w14:textId="1F4DEC4A" w:rsidR="00221DD4" w:rsidRPr="00F464FA" w:rsidRDefault="00221DD4" w:rsidP="00C53CC5">
      <w:pPr>
        <w:spacing w:before="120" w:after="240"/>
        <w:ind w:left="1134" w:right="1134" w:firstLine="170"/>
        <w:rPr>
          <w:sz w:val="18"/>
        </w:rPr>
      </w:pPr>
      <w:r w:rsidRPr="00F464FA">
        <w:rPr>
          <w:i/>
          <w:sz w:val="18"/>
        </w:rPr>
        <w:t>Source</w:t>
      </w:r>
      <w:r w:rsidRPr="00F464FA">
        <w:rPr>
          <w:sz w:val="18"/>
        </w:rPr>
        <w:t>: Ministry of Education, Science and Technology</w:t>
      </w:r>
      <w:r w:rsidR="00C53CC5" w:rsidRPr="00F464FA">
        <w:rPr>
          <w:sz w:val="18"/>
        </w:rPr>
        <w:t>.</w:t>
      </w:r>
    </w:p>
    <w:p w14:paraId="3512003A" w14:textId="6C7DAB6B" w:rsidR="00221DD4" w:rsidRPr="00F464FA" w:rsidRDefault="00221DD4" w:rsidP="00221DD4">
      <w:pPr>
        <w:pStyle w:val="Heading1"/>
      </w:pPr>
      <w:r w:rsidRPr="00F464FA">
        <w:t>Table 34</w:t>
      </w:r>
    </w:p>
    <w:p w14:paraId="0E9F71F6" w14:textId="77777777" w:rsidR="00221DD4" w:rsidRPr="00F464FA" w:rsidRDefault="00221DD4" w:rsidP="00221DD4">
      <w:pPr>
        <w:pStyle w:val="SingleTxtG"/>
        <w:rPr>
          <w:b/>
        </w:rPr>
      </w:pPr>
      <w:r w:rsidRPr="00F464FA">
        <w:rPr>
          <w:b/>
        </w:rPr>
        <w:t>Efficiency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5"/>
        <w:gridCol w:w="1417"/>
        <w:gridCol w:w="1558"/>
      </w:tblGrid>
      <w:tr w:rsidR="00221DD4" w:rsidRPr="00F464FA" w14:paraId="4BE0500B" w14:textId="77777777" w:rsidTr="00247DA6">
        <w:trPr>
          <w:tblHeader/>
        </w:trPr>
        <w:tc>
          <w:tcPr>
            <w:tcW w:w="4395" w:type="dxa"/>
            <w:tcBorders>
              <w:top w:val="single" w:sz="4" w:space="0" w:color="auto"/>
              <w:bottom w:val="single" w:sz="12" w:space="0" w:color="auto"/>
            </w:tcBorders>
            <w:shd w:val="clear" w:color="auto" w:fill="auto"/>
            <w:vAlign w:val="bottom"/>
          </w:tcPr>
          <w:p w14:paraId="15E3A963" w14:textId="77777777" w:rsidR="00221DD4" w:rsidRPr="00F464FA" w:rsidRDefault="00221DD4" w:rsidP="00247DA6">
            <w:pPr>
              <w:pStyle w:val="SingleTxtG"/>
              <w:tabs>
                <w:tab w:val="clear" w:pos="1701"/>
                <w:tab w:val="clear" w:pos="2268"/>
              </w:tabs>
              <w:suppressAutoHyphens w:val="0"/>
              <w:spacing w:before="80" w:after="80" w:line="200" w:lineRule="exact"/>
              <w:ind w:left="0" w:right="113"/>
              <w:jc w:val="left"/>
              <w:rPr>
                <w:bCs/>
                <w:i/>
                <w:sz w:val="16"/>
              </w:rPr>
            </w:pPr>
          </w:p>
        </w:tc>
        <w:tc>
          <w:tcPr>
            <w:tcW w:w="1417" w:type="dxa"/>
            <w:tcBorders>
              <w:top w:val="single" w:sz="4" w:space="0" w:color="auto"/>
              <w:bottom w:val="single" w:sz="12" w:space="0" w:color="auto"/>
            </w:tcBorders>
            <w:shd w:val="clear" w:color="auto" w:fill="auto"/>
            <w:vAlign w:val="bottom"/>
          </w:tcPr>
          <w:p w14:paraId="59E5E539" w14:textId="77777777" w:rsidR="00221DD4" w:rsidRPr="00F464FA" w:rsidRDefault="00221DD4" w:rsidP="00247DA6">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2017</w:t>
            </w:r>
          </w:p>
        </w:tc>
        <w:tc>
          <w:tcPr>
            <w:tcW w:w="1558" w:type="dxa"/>
            <w:tcBorders>
              <w:top w:val="single" w:sz="4" w:space="0" w:color="auto"/>
              <w:bottom w:val="single" w:sz="12" w:space="0" w:color="auto"/>
            </w:tcBorders>
            <w:shd w:val="clear" w:color="auto" w:fill="auto"/>
            <w:vAlign w:val="bottom"/>
          </w:tcPr>
          <w:p w14:paraId="6397A6A1" w14:textId="77777777" w:rsidR="00221DD4" w:rsidRPr="00F464FA" w:rsidRDefault="00221DD4" w:rsidP="00247DA6">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2018</w:t>
            </w:r>
          </w:p>
        </w:tc>
      </w:tr>
      <w:tr w:rsidR="00247DA6" w:rsidRPr="00F464FA" w14:paraId="282E30B4" w14:textId="77777777" w:rsidTr="00247DA6">
        <w:trPr>
          <w:trHeight w:hRule="exact" w:val="113"/>
          <w:tblHeader/>
        </w:trPr>
        <w:tc>
          <w:tcPr>
            <w:tcW w:w="4395" w:type="dxa"/>
            <w:tcBorders>
              <w:top w:val="single" w:sz="12" w:space="0" w:color="auto"/>
              <w:bottom w:val="nil"/>
            </w:tcBorders>
            <w:shd w:val="clear" w:color="auto" w:fill="auto"/>
          </w:tcPr>
          <w:p w14:paraId="288B75DF" w14:textId="77777777" w:rsidR="00247DA6" w:rsidRPr="00F464FA" w:rsidRDefault="00247DA6" w:rsidP="00247DA6">
            <w:pPr>
              <w:pStyle w:val="SingleTxtG"/>
              <w:tabs>
                <w:tab w:val="clear" w:pos="1701"/>
                <w:tab w:val="clear" w:pos="2268"/>
              </w:tabs>
              <w:suppressAutoHyphens w:val="0"/>
              <w:spacing w:before="40" w:after="40" w:line="220" w:lineRule="exact"/>
              <w:ind w:left="0" w:right="113"/>
              <w:jc w:val="left"/>
              <w:rPr>
                <w:bCs/>
                <w:sz w:val="18"/>
              </w:rPr>
            </w:pPr>
          </w:p>
        </w:tc>
        <w:tc>
          <w:tcPr>
            <w:tcW w:w="1417" w:type="dxa"/>
            <w:tcBorders>
              <w:top w:val="single" w:sz="12" w:space="0" w:color="auto"/>
              <w:bottom w:val="nil"/>
            </w:tcBorders>
            <w:shd w:val="clear" w:color="auto" w:fill="auto"/>
            <w:vAlign w:val="bottom"/>
          </w:tcPr>
          <w:p w14:paraId="0935B2E6" w14:textId="77777777" w:rsidR="00247DA6" w:rsidRPr="00F464FA" w:rsidRDefault="00247DA6" w:rsidP="00247DA6">
            <w:pPr>
              <w:pStyle w:val="SingleTxtG"/>
              <w:tabs>
                <w:tab w:val="clear" w:pos="1701"/>
                <w:tab w:val="clear" w:pos="2268"/>
              </w:tabs>
              <w:suppressAutoHyphens w:val="0"/>
              <w:spacing w:before="40" w:after="40" w:line="220" w:lineRule="exact"/>
              <w:ind w:left="0" w:right="113"/>
              <w:jc w:val="right"/>
              <w:rPr>
                <w:bCs/>
                <w:sz w:val="18"/>
              </w:rPr>
            </w:pPr>
          </w:p>
        </w:tc>
        <w:tc>
          <w:tcPr>
            <w:tcW w:w="1558" w:type="dxa"/>
            <w:tcBorders>
              <w:top w:val="single" w:sz="12" w:space="0" w:color="auto"/>
              <w:bottom w:val="nil"/>
            </w:tcBorders>
            <w:shd w:val="clear" w:color="auto" w:fill="auto"/>
            <w:vAlign w:val="bottom"/>
          </w:tcPr>
          <w:p w14:paraId="6C1CCE96" w14:textId="77777777" w:rsidR="00247DA6" w:rsidRPr="00F464FA" w:rsidRDefault="00247DA6" w:rsidP="00247DA6">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0EBFCE5C" w14:textId="77777777" w:rsidTr="00247DA6">
        <w:tc>
          <w:tcPr>
            <w:tcW w:w="4395" w:type="dxa"/>
            <w:tcBorders>
              <w:top w:val="nil"/>
            </w:tcBorders>
            <w:shd w:val="clear" w:color="auto" w:fill="auto"/>
          </w:tcPr>
          <w:p w14:paraId="776BA2DD"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Drop-out proportion primary </w:t>
            </w:r>
          </w:p>
        </w:tc>
        <w:tc>
          <w:tcPr>
            <w:tcW w:w="1417" w:type="dxa"/>
            <w:tcBorders>
              <w:top w:val="nil"/>
            </w:tcBorders>
            <w:shd w:val="clear" w:color="auto" w:fill="auto"/>
            <w:vAlign w:val="bottom"/>
          </w:tcPr>
          <w:p w14:paraId="7753F590"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4.1 </w:t>
            </w:r>
          </w:p>
        </w:tc>
        <w:tc>
          <w:tcPr>
            <w:tcW w:w="1558" w:type="dxa"/>
            <w:tcBorders>
              <w:top w:val="nil"/>
            </w:tcBorders>
            <w:shd w:val="clear" w:color="auto" w:fill="auto"/>
            <w:vAlign w:val="bottom"/>
          </w:tcPr>
          <w:p w14:paraId="6B008A20"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3.2 </w:t>
            </w:r>
          </w:p>
        </w:tc>
      </w:tr>
      <w:tr w:rsidR="00221DD4" w:rsidRPr="00F464FA" w14:paraId="0BA67DBF" w14:textId="77777777" w:rsidTr="00247DA6">
        <w:tc>
          <w:tcPr>
            <w:tcW w:w="4395" w:type="dxa"/>
            <w:shd w:val="clear" w:color="auto" w:fill="auto"/>
          </w:tcPr>
          <w:p w14:paraId="6F5C6614"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17" w:type="dxa"/>
            <w:shd w:val="clear" w:color="auto" w:fill="auto"/>
            <w:vAlign w:val="bottom"/>
          </w:tcPr>
          <w:p w14:paraId="46C4F21E"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4.0 </w:t>
            </w:r>
          </w:p>
        </w:tc>
        <w:tc>
          <w:tcPr>
            <w:tcW w:w="1558" w:type="dxa"/>
            <w:shd w:val="clear" w:color="auto" w:fill="auto"/>
            <w:vAlign w:val="bottom"/>
          </w:tcPr>
          <w:p w14:paraId="0C89559F"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3.1 </w:t>
            </w:r>
          </w:p>
        </w:tc>
      </w:tr>
      <w:tr w:rsidR="00221DD4" w:rsidRPr="00F464FA" w14:paraId="63916679" w14:textId="77777777" w:rsidTr="00247DA6">
        <w:tc>
          <w:tcPr>
            <w:tcW w:w="4395" w:type="dxa"/>
            <w:shd w:val="clear" w:color="auto" w:fill="auto"/>
          </w:tcPr>
          <w:p w14:paraId="0D32B8B8"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17" w:type="dxa"/>
            <w:shd w:val="clear" w:color="auto" w:fill="auto"/>
            <w:vAlign w:val="bottom"/>
          </w:tcPr>
          <w:p w14:paraId="6DE52463"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4.2 </w:t>
            </w:r>
          </w:p>
        </w:tc>
        <w:tc>
          <w:tcPr>
            <w:tcW w:w="1558" w:type="dxa"/>
            <w:shd w:val="clear" w:color="auto" w:fill="auto"/>
            <w:vAlign w:val="bottom"/>
          </w:tcPr>
          <w:p w14:paraId="0AB1D6FD"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3.2 </w:t>
            </w:r>
          </w:p>
        </w:tc>
      </w:tr>
      <w:tr w:rsidR="00221DD4" w:rsidRPr="00F464FA" w14:paraId="20A14223" w14:textId="77777777" w:rsidTr="00247DA6">
        <w:tc>
          <w:tcPr>
            <w:tcW w:w="4395" w:type="dxa"/>
            <w:shd w:val="clear" w:color="auto" w:fill="auto"/>
          </w:tcPr>
          <w:p w14:paraId="5C15237F"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Drop-out proportion Secondary </w:t>
            </w:r>
          </w:p>
        </w:tc>
        <w:tc>
          <w:tcPr>
            <w:tcW w:w="1417" w:type="dxa"/>
            <w:shd w:val="clear" w:color="auto" w:fill="auto"/>
            <w:vAlign w:val="bottom"/>
          </w:tcPr>
          <w:p w14:paraId="31FF9C6C"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4.8 </w:t>
            </w:r>
          </w:p>
        </w:tc>
        <w:tc>
          <w:tcPr>
            <w:tcW w:w="1558" w:type="dxa"/>
            <w:shd w:val="clear" w:color="auto" w:fill="auto"/>
            <w:vAlign w:val="bottom"/>
          </w:tcPr>
          <w:p w14:paraId="3620BA8B"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p>
        </w:tc>
      </w:tr>
      <w:tr w:rsidR="00221DD4" w:rsidRPr="00F464FA" w14:paraId="09B09FC5" w14:textId="77777777" w:rsidTr="00247DA6">
        <w:tc>
          <w:tcPr>
            <w:tcW w:w="4395" w:type="dxa"/>
            <w:shd w:val="clear" w:color="auto" w:fill="auto"/>
          </w:tcPr>
          <w:p w14:paraId="6572F1CF"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17" w:type="dxa"/>
            <w:shd w:val="clear" w:color="auto" w:fill="auto"/>
            <w:vAlign w:val="bottom"/>
          </w:tcPr>
          <w:p w14:paraId="05B37BC7"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3.8 </w:t>
            </w:r>
          </w:p>
        </w:tc>
        <w:tc>
          <w:tcPr>
            <w:tcW w:w="1558" w:type="dxa"/>
            <w:shd w:val="clear" w:color="auto" w:fill="auto"/>
            <w:vAlign w:val="bottom"/>
          </w:tcPr>
          <w:p w14:paraId="51A03225"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8.46 </w:t>
            </w:r>
          </w:p>
        </w:tc>
      </w:tr>
      <w:tr w:rsidR="00221DD4" w:rsidRPr="00F464FA" w14:paraId="125855A9" w14:textId="77777777" w:rsidTr="00247DA6">
        <w:tc>
          <w:tcPr>
            <w:tcW w:w="4395" w:type="dxa"/>
            <w:shd w:val="clear" w:color="auto" w:fill="auto"/>
          </w:tcPr>
          <w:p w14:paraId="57EDF260"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17" w:type="dxa"/>
            <w:shd w:val="clear" w:color="auto" w:fill="auto"/>
            <w:vAlign w:val="bottom"/>
          </w:tcPr>
          <w:p w14:paraId="5E783459"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5.9 </w:t>
            </w:r>
          </w:p>
        </w:tc>
        <w:tc>
          <w:tcPr>
            <w:tcW w:w="1558" w:type="dxa"/>
            <w:shd w:val="clear" w:color="auto" w:fill="auto"/>
            <w:vAlign w:val="bottom"/>
          </w:tcPr>
          <w:p w14:paraId="447D349D"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13.35 </w:t>
            </w:r>
          </w:p>
        </w:tc>
      </w:tr>
      <w:tr w:rsidR="00221DD4" w:rsidRPr="00F464FA" w14:paraId="76D71C3A" w14:textId="77777777" w:rsidTr="00247DA6">
        <w:tc>
          <w:tcPr>
            <w:tcW w:w="4395" w:type="dxa"/>
            <w:shd w:val="clear" w:color="auto" w:fill="auto"/>
          </w:tcPr>
          <w:p w14:paraId="61DAFA13"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Transition rate to secondary </w:t>
            </w:r>
          </w:p>
        </w:tc>
        <w:tc>
          <w:tcPr>
            <w:tcW w:w="1417" w:type="dxa"/>
            <w:shd w:val="clear" w:color="auto" w:fill="auto"/>
            <w:vAlign w:val="bottom"/>
          </w:tcPr>
          <w:p w14:paraId="28B8A842"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38.4 </w:t>
            </w:r>
          </w:p>
        </w:tc>
        <w:tc>
          <w:tcPr>
            <w:tcW w:w="1558" w:type="dxa"/>
            <w:shd w:val="clear" w:color="auto" w:fill="auto"/>
            <w:vAlign w:val="bottom"/>
          </w:tcPr>
          <w:p w14:paraId="4F1BC165"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38.4 </w:t>
            </w:r>
          </w:p>
        </w:tc>
      </w:tr>
      <w:tr w:rsidR="00221DD4" w:rsidRPr="00F464FA" w14:paraId="3160FBCC" w14:textId="77777777" w:rsidTr="00247DA6">
        <w:tc>
          <w:tcPr>
            <w:tcW w:w="4395" w:type="dxa"/>
            <w:tcBorders>
              <w:bottom w:val="nil"/>
            </w:tcBorders>
            <w:shd w:val="clear" w:color="auto" w:fill="auto"/>
          </w:tcPr>
          <w:p w14:paraId="3562C36C"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17" w:type="dxa"/>
            <w:tcBorders>
              <w:bottom w:val="nil"/>
            </w:tcBorders>
            <w:shd w:val="clear" w:color="auto" w:fill="auto"/>
            <w:vAlign w:val="bottom"/>
          </w:tcPr>
          <w:p w14:paraId="28EFE4DF"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40.9 </w:t>
            </w:r>
          </w:p>
        </w:tc>
        <w:tc>
          <w:tcPr>
            <w:tcW w:w="1558" w:type="dxa"/>
            <w:tcBorders>
              <w:bottom w:val="nil"/>
            </w:tcBorders>
            <w:shd w:val="clear" w:color="auto" w:fill="auto"/>
            <w:vAlign w:val="bottom"/>
          </w:tcPr>
          <w:p w14:paraId="162C024D"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40.9 </w:t>
            </w:r>
          </w:p>
        </w:tc>
      </w:tr>
      <w:tr w:rsidR="00221DD4" w:rsidRPr="00F464FA" w14:paraId="646143DB" w14:textId="77777777" w:rsidTr="00247DA6">
        <w:tc>
          <w:tcPr>
            <w:tcW w:w="4395" w:type="dxa"/>
            <w:tcBorders>
              <w:top w:val="nil"/>
              <w:bottom w:val="nil"/>
            </w:tcBorders>
            <w:shd w:val="clear" w:color="auto" w:fill="auto"/>
          </w:tcPr>
          <w:p w14:paraId="70A880F2"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lastRenderedPageBreak/>
              <w:t xml:space="preserve">Girls </w:t>
            </w:r>
          </w:p>
        </w:tc>
        <w:tc>
          <w:tcPr>
            <w:tcW w:w="1417" w:type="dxa"/>
            <w:tcBorders>
              <w:top w:val="nil"/>
              <w:bottom w:val="nil"/>
            </w:tcBorders>
            <w:shd w:val="clear" w:color="auto" w:fill="auto"/>
            <w:vAlign w:val="bottom"/>
          </w:tcPr>
          <w:p w14:paraId="0B67BAD4"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35.8 </w:t>
            </w:r>
          </w:p>
        </w:tc>
        <w:tc>
          <w:tcPr>
            <w:tcW w:w="1558" w:type="dxa"/>
            <w:tcBorders>
              <w:top w:val="nil"/>
              <w:bottom w:val="nil"/>
            </w:tcBorders>
            <w:shd w:val="clear" w:color="auto" w:fill="auto"/>
            <w:vAlign w:val="bottom"/>
          </w:tcPr>
          <w:p w14:paraId="257714AF"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35.8 </w:t>
            </w:r>
          </w:p>
        </w:tc>
      </w:tr>
      <w:tr w:rsidR="00221DD4" w:rsidRPr="00F464FA" w14:paraId="0E3CD5EF" w14:textId="77777777" w:rsidTr="00247DA6">
        <w:tc>
          <w:tcPr>
            <w:tcW w:w="4395" w:type="dxa"/>
            <w:tcBorders>
              <w:top w:val="nil"/>
            </w:tcBorders>
            <w:shd w:val="clear" w:color="auto" w:fill="auto"/>
          </w:tcPr>
          <w:p w14:paraId="027510F0"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Repetition rate- Primary </w:t>
            </w:r>
          </w:p>
        </w:tc>
        <w:tc>
          <w:tcPr>
            <w:tcW w:w="1417" w:type="dxa"/>
            <w:tcBorders>
              <w:top w:val="nil"/>
            </w:tcBorders>
            <w:shd w:val="clear" w:color="auto" w:fill="auto"/>
            <w:vAlign w:val="bottom"/>
          </w:tcPr>
          <w:p w14:paraId="60177BA3"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23.9 </w:t>
            </w:r>
          </w:p>
        </w:tc>
        <w:tc>
          <w:tcPr>
            <w:tcW w:w="1558" w:type="dxa"/>
            <w:tcBorders>
              <w:top w:val="nil"/>
            </w:tcBorders>
            <w:shd w:val="clear" w:color="auto" w:fill="auto"/>
            <w:vAlign w:val="bottom"/>
          </w:tcPr>
          <w:p w14:paraId="7FEEFBBF"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24.5 </w:t>
            </w:r>
          </w:p>
        </w:tc>
      </w:tr>
      <w:tr w:rsidR="00221DD4" w:rsidRPr="00F464FA" w14:paraId="0A567B58" w14:textId="77777777" w:rsidTr="00247DA6">
        <w:tc>
          <w:tcPr>
            <w:tcW w:w="4395" w:type="dxa"/>
            <w:shd w:val="clear" w:color="auto" w:fill="auto"/>
          </w:tcPr>
          <w:p w14:paraId="4EE7FBED"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Boys </w:t>
            </w:r>
          </w:p>
        </w:tc>
        <w:tc>
          <w:tcPr>
            <w:tcW w:w="1417" w:type="dxa"/>
            <w:shd w:val="clear" w:color="auto" w:fill="auto"/>
            <w:vAlign w:val="bottom"/>
          </w:tcPr>
          <w:p w14:paraId="34B8A597"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24.5 </w:t>
            </w:r>
          </w:p>
        </w:tc>
        <w:tc>
          <w:tcPr>
            <w:tcW w:w="1558" w:type="dxa"/>
            <w:shd w:val="clear" w:color="auto" w:fill="auto"/>
            <w:vAlign w:val="bottom"/>
          </w:tcPr>
          <w:p w14:paraId="2AB55A50"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25.1 </w:t>
            </w:r>
          </w:p>
        </w:tc>
      </w:tr>
      <w:tr w:rsidR="00221DD4" w:rsidRPr="00F464FA" w14:paraId="6AB6BE7F" w14:textId="77777777" w:rsidTr="00247DA6">
        <w:tc>
          <w:tcPr>
            <w:tcW w:w="4395" w:type="dxa"/>
            <w:shd w:val="clear" w:color="auto" w:fill="auto"/>
          </w:tcPr>
          <w:p w14:paraId="32C68F00"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Girls </w:t>
            </w:r>
          </w:p>
        </w:tc>
        <w:tc>
          <w:tcPr>
            <w:tcW w:w="1417" w:type="dxa"/>
            <w:shd w:val="clear" w:color="auto" w:fill="auto"/>
            <w:vAlign w:val="bottom"/>
          </w:tcPr>
          <w:p w14:paraId="0668B70A"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23.3 </w:t>
            </w:r>
          </w:p>
        </w:tc>
        <w:tc>
          <w:tcPr>
            <w:tcW w:w="1558" w:type="dxa"/>
            <w:shd w:val="clear" w:color="auto" w:fill="auto"/>
            <w:vAlign w:val="bottom"/>
          </w:tcPr>
          <w:p w14:paraId="7A42AB68" w14:textId="77777777" w:rsidR="00221DD4" w:rsidRPr="00F464FA" w:rsidRDefault="00221DD4" w:rsidP="00247DA6">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23.9 </w:t>
            </w:r>
          </w:p>
        </w:tc>
      </w:tr>
    </w:tbl>
    <w:p w14:paraId="7FB708F1" w14:textId="5BE9C8BE" w:rsidR="00221DD4" w:rsidRPr="00F464FA" w:rsidRDefault="00221DD4" w:rsidP="008B2194">
      <w:pPr>
        <w:spacing w:before="120" w:after="240"/>
        <w:ind w:left="1134" w:right="1134" w:firstLine="170"/>
        <w:rPr>
          <w:sz w:val="18"/>
        </w:rPr>
      </w:pPr>
      <w:r w:rsidRPr="00F464FA">
        <w:rPr>
          <w:i/>
          <w:sz w:val="18"/>
        </w:rPr>
        <w:t>Source</w:t>
      </w:r>
      <w:r w:rsidRPr="00F464FA">
        <w:rPr>
          <w:sz w:val="18"/>
        </w:rPr>
        <w:t>: Ministry of Education, Science and Technology</w:t>
      </w:r>
      <w:r w:rsidR="008B2194" w:rsidRPr="00F464FA">
        <w:rPr>
          <w:sz w:val="18"/>
        </w:rPr>
        <w:t>.</w:t>
      </w:r>
    </w:p>
    <w:p w14:paraId="2BDEFA97" w14:textId="62A57662" w:rsidR="00221DD4" w:rsidRPr="00F464FA" w:rsidRDefault="00221DD4" w:rsidP="00221DD4">
      <w:pPr>
        <w:pStyle w:val="Heading1"/>
      </w:pPr>
      <w:r w:rsidRPr="00F464FA">
        <w:t>Table 35</w:t>
      </w:r>
    </w:p>
    <w:p w14:paraId="24404235" w14:textId="2DE97E8F" w:rsidR="00221DD4" w:rsidRPr="00F464FA" w:rsidRDefault="00221DD4" w:rsidP="00221DD4">
      <w:pPr>
        <w:pStyle w:val="SingleTxtG"/>
        <w:rPr>
          <w:b/>
        </w:rPr>
      </w:pPr>
      <w:r w:rsidRPr="00F464FA">
        <w:rPr>
          <w:b/>
        </w:rPr>
        <w:t>Equity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9"/>
        <w:gridCol w:w="1630"/>
      </w:tblGrid>
      <w:tr w:rsidR="00221DD4" w:rsidRPr="00F464FA" w14:paraId="16F8C25D" w14:textId="77777777" w:rsidTr="00FD6D2C">
        <w:trPr>
          <w:tblHeader/>
        </w:trPr>
        <w:tc>
          <w:tcPr>
            <w:tcW w:w="4111" w:type="dxa"/>
            <w:tcBorders>
              <w:top w:val="single" w:sz="4" w:space="0" w:color="auto"/>
              <w:bottom w:val="single" w:sz="12" w:space="0" w:color="auto"/>
            </w:tcBorders>
            <w:shd w:val="clear" w:color="auto" w:fill="auto"/>
            <w:vAlign w:val="bottom"/>
          </w:tcPr>
          <w:p w14:paraId="5038AC71" w14:textId="77777777" w:rsidR="00221DD4" w:rsidRPr="00F464FA" w:rsidRDefault="00221DD4" w:rsidP="00FD6D2C">
            <w:pPr>
              <w:pStyle w:val="SingleTxtG"/>
              <w:tabs>
                <w:tab w:val="clear" w:pos="1701"/>
                <w:tab w:val="clear" w:pos="2268"/>
              </w:tabs>
              <w:suppressAutoHyphens w:val="0"/>
              <w:spacing w:before="80" w:after="80" w:line="200" w:lineRule="exact"/>
              <w:ind w:left="0" w:right="113"/>
              <w:jc w:val="left"/>
              <w:rPr>
                <w:bCs/>
                <w:i/>
                <w:sz w:val="16"/>
              </w:rPr>
            </w:pPr>
          </w:p>
        </w:tc>
        <w:tc>
          <w:tcPr>
            <w:tcW w:w="1629" w:type="dxa"/>
            <w:tcBorders>
              <w:top w:val="single" w:sz="4" w:space="0" w:color="auto"/>
              <w:bottom w:val="single" w:sz="12" w:space="0" w:color="auto"/>
            </w:tcBorders>
            <w:shd w:val="clear" w:color="auto" w:fill="auto"/>
            <w:vAlign w:val="bottom"/>
          </w:tcPr>
          <w:p w14:paraId="293C45F1" w14:textId="77777777" w:rsidR="00221DD4" w:rsidRPr="00F464FA" w:rsidRDefault="00221DD4" w:rsidP="00FD6D2C">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2017</w:t>
            </w:r>
          </w:p>
        </w:tc>
        <w:tc>
          <w:tcPr>
            <w:tcW w:w="1630" w:type="dxa"/>
            <w:tcBorders>
              <w:top w:val="single" w:sz="4" w:space="0" w:color="auto"/>
              <w:bottom w:val="single" w:sz="12" w:space="0" w:color="auto"/>
            </w:tcBorders>
            <w:shd w:val="clear" w:color="auto" w:fill="auto"/>
            <w:vAlign w:val="bottom"/>
          </w:tcPr>
          <w:p w14:paraId="0853EEB1" w14:textId="77777777" w:rsidR="00221DD4" w:rsidRPr="00F464FA" w:rsidRDefault="00221DD4" w:rsidP="00FD6D2C">
            <w:pPr>
              <w:pStyle w:val="SingleTxtG"/>
              <w:tabs>
                <w:tab w:val="clear" w:pos="1701"/>
                <w:tab w:val="clear" w:pos="2268"/>
              </w:tabs>
              <w:suppressAutoHyphens w:val="0"/>
              <w:spacing w:before="80" w:after="80" w:line="200" w:lineRule="exact"/>
              <w:ind w:left="0" w:right="113"/>
              <w:jc w:val="right"/>
              <w:rPr>
                <w:bCs/>
                <w:i/>
                <w:sz w:val="16"/>
              </w:rPr>
            </w:pPr>
            <w:r w:rsidRPr="00F464FA">
              <w:rPr>
                <w:bCs/>
                <w:i/>
                <w:sz w:val="16"/>
              </w:rPr>
              <w:t>2018</w:t>
            </w:r>
          </w:p>
        </w:tc>
      </w:tr>
      <w:tr w:rsidR="00221DD4" w:rsidRPr="00F464FA" w14:paraId="604584AC" w14:textId="77777777" w:rsidTr="00FD6D2C">
        <w:tc>
          <w:tcPr>
            <w:tcW w:w="4111" w:type="dxa"/>
            <w:tcBorders>
              <w:top w:val="single" w:sz="12" w:space="0" w:color="auto"/>
            </w:tcBorders>
            <w:shd w:val="clear" w:color="auto" w:fill="auto"/>
          </w:tcPr>
          <w:p w14:paraId="604516E4"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Gender Parity Index (GPI) for primary enrolment </w:t>
            </w:r>
          </w:p>
        </w:tc>
        <w:tc>
          <w:tcPr>
            <w:tcW w:w="1629" w:type="dxa"/>
            <w:tcBorders>
              <w:top w:val="single" w:sz="12" w:space="0" w:color="auto"/>
            </w:tcBorders>
            <w:shd w:val="clear" w:color="auto" w:fill="auto"/>
            <w:vAlign w:val="bottom"/>
          </w:tcPr>
          <w:p w14:paraId="558C1001"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1.01 </w:t>
            </w:r>
          </w:p>
        </w:tc>
        <w:tc>
          <w:tcPr>
            <w:tcW w:w="1630" w:type="dxa"/>
            <w:tcBorders>
              <w:top w:val="single" w:sz="12" w:space="0" w:color="auto"/>
            </w:tcBorders>
            <w:shd w:val="clear" w:color="auto" w:fill="auto"/>
            <w:vAlign w:val="bottom"/>
          </w:tcPr>
          <w:p w14:paraId="794ED4C5"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1.0 </w:t>
            </w:r>
          </w:p>
        </w:tc>
      </w:tr>
      <w:tr w:rsidR="00221DD4" w:rsidRPr="00F464FA" w14:paraId="073B26A5" w14:textId="77777777" w:rsidTr="00FD6D2C">
        <w:tc>
          <w:tcPr>
            <w:tcW w:w="4111" w:type="dxa"/>
            <w:shd w:val="clear" w:color="auto" w:fill="auto"/>
          </w:tcPr>
          <w:p w14:paraId="65FFA51B"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Gender Parity Index (GPI) for secondary enrolment</w:t>
            </w:r>
          </w:p>
        </w:tc>
        <w:tc>
          <w:tcPr>
            <w:tcW w:w="1629" w:type="dxa"/>
            <w:shd w:val="clear" w:color="auto" w:fill="auto"/>
            <w:vAlign w:val="bottom"/>
          </w:tcPr>
          <w:p w14:paraId="1B6DE8DC"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0.90 </w:t>
            </w:r>
          </w:p>
        </w:tc>
        <w:tc>
          <w:tcPr>
            <w:tcW w:w="1630" w:type="dxa"/>
            <w:shd w:val="clear" w:color="auto" w:fill="auto"/>
            <w:vAlign w:val="bottom"/>
          </w:tcPr>
          <w:p w14:paraId="628AF08C"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0.92 </w:t>
            </w:r>
          </w:p>
        </w:tc>
      </w:tr>
      <w:tr w:rsidR="00221DD4" w:rsidRPr="00F464FA" w14:paraId="38E45AFE" w14:textId="77777777" w:rsidTr="00FD6D2C">
        <w:tc>
          <w:tcPr>
            <w:tcW w:w="4111" w:type="dxa"/>
            <w:shd w:val="clear" w:color="auto" w:fill="auto"/>
          </w:tcPr>
          <w:p w14:paraId="03463E1E"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Percentage of SNE students (Primary) </w:t>
            </w:r>
          </w:p>
        </w:tc>
        <w:tc>
          <w:tcPr>
            <w:tcW w:w="1629" w:type="dxa"/>
            <w:shd w:val="clear" w:color="auto" w:fill="auto"/>
            <w:vAlign w:val="bottom"/>
          </w:tcPr>
          <w:p w14:paraId="38C9C4E3"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2.9 </w:t>
            </w:r>
          </w:p>
        </w:tc>
        <w:tc>
          <w:tcPr>
            <w:tcW w:w="1630" w:type="dxa"/>
            <w:shd w:val="clear" w:color="auto" w:fill="auto"/>
            <w:vAlign w:val="bottom"/>
          </w:tcPr>
          <w:p w14:paraId="2F9316F4"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3.35 </w:t>
            </w:r>
          </w:p>
        </w:tc>
      </w:tr>
      <w:tr w:rsidR="00221DD4" w:rsidRPr="00F464FA" w14:paraId="249FA9B3" w14:textId="77777777" w:rsidTr="00FD6D2C">
        <w:tc>
          <w:tcPr>
            <w:tcW w:w="4111" w:type="dxa"/>
            <w:shd w:val="clear" w:color="auto" w:fill="auto"/>
          </w:tcPr>
          <w:p w14:paraId="2B839FA3"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left"/>
              <w:rPr>
                <w:bCs/>
                <w:sz w:val="18"/>
              </w:rPr>
            </w:pPr>
            <w:r w:rsidRPr="00F464FA">
              <w:rPr>
                <w:bCs/>
                <w:sz w:val="18"/>
              </w:rPr>
              <w:t xml:space="preserve">Percentage of SNE students (Secondary) </w:t>
            </w:r>
          </w:p>
        </w:tc>
        <w:tc>
          <w:tcPr>
            <w:tcW w:w="1629" w:type="dxa"/>
            <w:shd w:val="clear" w:color="auto" w:fill="auto"/>
            <w:vAlign w:val="bottom"/>
          </w:tcPr>
          <w:p w14:paraId="738FF020"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1.6 </w:t>
            </w:r>
          </w:p>
        </w:tc>
        <w:tc>
          <w:tcPr>
            <w:tcW w:w="1630" w:type="dxa"/>
            <w:shd w:val="clear" w:color="auto" w:fill="auto"/>
            <w:vAlign w:val="bottom"/>
          </w:tcPr>
          <w:p w14:paraId="73FBF980" w14:textId="77777777" w:rsidR="00221DD4" w:rsidRPr="00F464FA" w:rsidRDefault="00221DD4" w:rsidP="00FD6D2C">
            <w:pPr>
              <w:pStyle w:val="SingleTxtG"/>
              <w:tabs>
                <w:tab w:val="clear" w:pos="1701"/>
                <w:tab w:val="clear" w:pos="2268"/>
              </w:tabs>
              <w:suppressAutoHyphens w:val="0"/>
              <w:spacing w:before="40" w:after="40" w:line="220" w:lineRule="exact"/>
              <w:ind w:left="0" w:right="113"/>
              <w:jc w:val="right"/>
              <w:rPr>
                <w:bCs/>
                <w:sz w:val="18"/>
              </w:rPr>
            </w:pPr>
            <w:r w:rsidRPr="00F464FA">
              <w:rPr>
                <w:bCs/>
                <w:sz w:val="18"/>
              </w:rPr>
              <w:t xml:space="preserve">1.6 </w:t>
            </w:r>
          </w:p>
        </w:tc>
      </w:tr>
    </w:tbl>
    <w:p w14:paraId="1C3DF7CB" w14:textId="103778BA" w:rsidR="00221DD4" w:rsidRPr="00F464FA" w:rsidRDefault="00221DD4" w:rsidP="00947D58">
      <w:pPr>
        <w:spacing w:before="120" w:after="240"/>
        <w:ind w:left="1134" w:right="1134" w:firstLine="170"/>
        <w:rPr>
          <w:sz w:val="18"/>
        </w:rPr>
      </w:pPr>
      <w:bookmarkStart w:id="54" w:name="_Hlk63780743"/>
      <w:r w:rsidRPr="00F464FA">
        <w:rPr>
          <w:i/>
          <w:sz w:val="18"/>
        </w:rPr>
        <w:t>Source</w:t>
      </w:r>
      <w:r w:rsidRPr="00F464FA">
        <w:rPr>
          <w:sz w:val="18"/>
        </w:rPr>
        <w:t>: Ministry of Education, Science and Technology</w:t>
      </w:r>
      <w:r w:rsidR="00947D58" w:rsidRPr="00F464FA">
        <w:rPr>
          <w:sz w:val="18"/>
        </w:rPr>
        <w:t>.</w:t>
      </w:r>
    </w:p>
    <w:p w14:paraId="1057F054" w14:textId="0C2FB878" w:rsidR="00221DD4" w:rsidRPr="00F464FA" w:rsidRDefault="00E108A1" w:rsidP="003E07FA">
      <w:pPr>
        <w:pStyle w:val="H1G"/>
        <w:rPr>
          <w:lang w:val="en-GB"/>
        </w:rPr>
      </w:pPr>
      <w:r w:rsidRPr="00F464FA">
        <w:rPr>
          <w:lang w:val="en-GB"/>
        </w:rPr>
        <w:tab/>
      </w:r>
      <w:r w:rsidRPr="00F464FA">
        <w:rPr>
          <w:lang w:val="en-GB"/>
        </w:rPr>
        <w:tab/>
      </w:r>
      <w:r w:rsidR="00221DD4" w:rsidRPr="00F464FA">
        <w:rPr>
          <w:lang w:val="en-GB"/>
        </w:rPr>
        <w:t>Article 15</w:t>
      </w:r>
      <w:r w:rsidRPr="00F464FA">
        <w:rPr>
          <w:lang w:val="en-GB"/>
        </w:rPr>
        <w:br/>
      </w:r>
      <w:r w:rsidR="00221DD4" w:rsidRPr="00F464FA">
        <w:rPr>
          <w:lang w:val="en-GB"/>
        </w:rPr>
        <w:t>Cultural Rights</w:t>
      </w:r>
    </w:p>
    <w:bookmarkEnd w:id="54"/>
    <w:p w14:paraId="18AB883B" w14:textId="77777777" w:rsidR="00221DD4" w:rsidRPr="00F464FA" w:rsidRDefault="00221DD4" w:rsidP="00221DD4">
      <w:pPr>
        <w:pStyle w:val="SingleTxtG"/>
        <w:rPr>
          <w:b/>
        </w:rPr>
      </w:pPr>
      <w:r w:rsidRPr="00F464FA">
        <w:t>180.</w:t>
      </w:r>
      <w:r w:rsidRPr="00F464FA">
        <w:tab/>
        <w:t xml:space="preserve">Section 26 of the Constitution guarantees every person the right to use the language and to participate in the </w:t>
      </w:r>
      <w:r w:rsidRPr="00F464FA">
        <w:rPr>
          <w:bCs/>
        </w:rPr>
        <w:t>cultural</w:t>
      </w:r>
      <w:r w:rsidRPr="00F464FA">
        <w:t xml:space="preserve"> life of his or her choice.</w:t>
      </w:r>
    </w:p>
    <w:p w14:paraId="0795FE61" w14:textId="3874E889" w:rsidR="00221DD4" w:rsidRPr="00F464FA" w:rsidRDefault="00221DD4" w:rsidP="00221DD4">
      <w:pPr>
        <w:pStyle w:val="SingleTxtG"/>
      </w:pPr>
      <w:r w:rsidRPr="00F464FA">
        <w:t>181.</w:t>
      </w:r>
      <w:r w:rsidRPr="00F464FA">
        <w:tab/>
        <w:t>At the policy level, cultural rights are translated by the National Cultural Policy 2015. This policy aims to identify, preserve, protect and promote Malawian arts and culture for national identity, unity in diversity, posterity and sustainable socio-economic development. With this in mind, the policy wishes to achieve the heritage of Malawi’s culture in all its identifiable forms, safeguarded and preserved for national identity and posterity.</w:t>
      </w:r>
    </w:p>
    <w:p w14:paraId="204C7288" w14:textId="77777777" w:rsidR="00221DD4" w:rsidRPr="00F464FA" w:rsidRDefault="00221DD4" w:rsidP="00221DD4">
      <w:pPr>
        <w:pStyle w:val="SingleTxtG"/>
      </w:pPr>
      <w:r w:rsidRPr="00F464FA">
        <w:t>182.</w:t>
      </w:r>
      <w:r w:rsidRPr="00F464FA">
        <w:tab/>
        <w:t xml:space="preserve">The Ministry of Tourism and Culture through the Department of Culture is responsible for the </w:t>
      </w:r>
      <w:r w:rsidRPr="00F464FA">
        <w:rPr>
          <w:bCs/>
        </w:rPr>
        <w:t>provision</w:t>
      </w:r>
      <w:r w:rsidRPr="00F464FA">
        <w:t xml:space="preserve"> of policy direction, technical guidance, oversight, mobilizing stakeholder support, coordination and monitoring and evaluation of the implementation of the policy.</w:t>
      </w:r>
    </w:p>
    <w:p w14:paraId="2FD29417" w14:textId="1C2A3020" w:rsidR="00221DD4" w:rsidRPr="00F464FA" w:rsidRDefault="004D3CCD" w:rsidP="00355030">
      <w:pPr>
        <w:pStyle w:val="H23G"/>
        <w:rPr>
          <w:lang w:val="en-GB"/>
        </w:rPr>
      </w:pPr>
      <w:bookmarkStart w:id="55" w:name="_Hlk63780769"/>
      <w:r w:rsidRPr="00F464FA">
        <w:rPr>
          <w:lang w:val="en-GB"/>
        </w:rPr>
        <w:tab/>
      </w:r>
      <w:r w:rsidRPr="00F464FA">
        <w:rPr>
          <w:lang w:val="en-GB"/>
        </w:rPr>
        <w:tab/>
      </w:r>
      <w:r w:rsidR="00221DD4" w:rsidRPr="00F464FA">
        <w:rPr>
          <w:lang w:val="en-GB"/>
        </w:rPr>
        <w:t>Factors and challenges affecting the fulfilment of obligations under the convention</w:t>
      </w:r>
      <w:bookmarkEnd w:id="55"/>
    </w:p>
    <w:p w14:paraId="3C87F12D" w14:textId="77777777" w:rsidR="00221DD4" w:rsidRPr="00F464FA" w:rsidRDefault="00221DD4" w:rsidP="00221DD4">
      <w:pPr>
        <w:pStyle w:val="SingleTxtG"/>
      </w:pPr>
      <w:r w:rsidRPr="00F464FA">
        <w:t>183.</w:t>
      </w:r>
      <w:r w:rsidRPr="00F464FA">
        <w:tab/>
        <w:t xml:space="preserve">Malawi </w:t>
      </w:r>
      <w:r w:rsidRPr="00F464FA">
        <w:rPr>
          <w:bCs/>
        </w:rPr>
        <w:t>continues</w:t>
      </w:r>
      <w:r w:rsidRPr="00F464FA">
        <w:t xml:space="preserve"> to make slow but steady progress in the implementation of the Convention.</w:t>
      </w:r>
    </w:p>
    <w:p w14:paraId="463C1560" w14:textId="23FEFC9E" w:rsidR="00221DD4" w:rsidRPr="00F464FA" w:rsidRDefault="00221DD4" w:rsidP="00221DD4">
      <w:pPr>
        <w:pStyle w:val="SingleTxtG"/>
      </w:pPr>
      <w:r w:rsidRPr="00F464FA">
        <w:t>184.</w:t>
      </w:r>
      <w:r w:rsidRPr="00F464FA">
        <w:tab/>
        <w:t xml:space="preserve">Significant challenges still remain in fully implementing the provisions of the Convention. The </w:t>
      </w:r>
      <w:r w:rsidRPr="00F464FA">
        <w:rPr>
          <w:bCs/>
        </w:rPr>
        <w:t>challenges</w:t>
      </w:r>
      <w:r w:rsidRPr="00F464FA">
        <w:t xml:space="preserve"> include:</w:t>
      </w:r>
    </w:p>
    <w:p w14:paraId="0A0CEF67" w14:textId="165855F8" w:rsidR="00221DD4" w:rsidRPr="00F464FA" w:rsidRDefault="00D25A4E" w:rsidP="00D25A4E">
      <w:pPr>
        <w:pStyle w:val="SingleTxtG"/>
      </w:pPr>
      <w:r w:rsidRPr="00F464FA">
        <w:tab/>
      </w:r>
      <w:r w:rsidR="00221DD4" w:rsidRPr="00F464FA">
        <w:t>(a)</w:t>
      </w:r>
      <w:r w:rsidR="00221DD4" w:rsidRPr="00F464FA">
        <w:tab/>
      </w:r>
      <w:r w:rsidR="00221DD4" w:rsidRPr="00F464FA">
        <w:rPr>
          <w:i/>
        </w:rPr>
        <w:t>Weak implementation of laws and policies</w:t>
      </w:r>
      <w:r w:rsidRPr="00F464FA">
        <w:t xml:space="preserve"> –</w:t>
      </w:r>
      <w:r w:rsidR="00221DD4" w:rsidRPr="00F464FA">
        <w:t xml:space="preserve"> while Malawi boasts of very progressive laws and policies, there remains a huge implementation gap;</w:t>
      </w:r>
    </w:p>
    <w:p w14:paraId="2D48E8A2" w14:textId="29436410" w:rsidR="00221DD4" w:rsidRPr="00F464FA" w:rsidRDefault="00D25A4E" w:rsidP="00D25A4E">
      <w:pPr>
        <w:pStyle w:val="SingleTxtG"/>
      </w:pPr>
      <w:r w:rsidRPr="00F464FA">
        <w:tab/>
      </w:r>
      <w:r w:rsidR="00221DD4" w:rsidRPr="00F464FA">
        <w:t>(b)</w:t>
      </w:r>
      <w:r w:rsidR="00221DD4" w:rsidRPr="00F464FA">
        <w:tab/>
      </w:r>
      <w:r w:rsidR="00221DD4" w:rsidRPr="00F464FA">
        <w:rPr>
          <w:i/>
        </w:rPr>
        <w:t>Resource constraints-</w:t>
      </w:r>
      <w:r w:rsidR="00221DD4" w:rsidRPr="00F464FA">
        <w:t xml:space="preserve"> with competing interests for resources, programs under human rights have not always made it on the priority list. As such, this has affected progress in the implementation of human rights related programs;</w:t>
      </w:r>
    </w:p>
    <w:p w14:paraId="61115AC1" w14:textId="1BD54FE5" w:rsidR="00221DD4" w:rsidRPr="00F464FA" w:rsidRDefault="00D25A4E" w:rsidP="00D25A4E">
      <w:pPr>
        <w:pStyle w:val="SingleTxtG"/>
      </w:pPr>
      <w:r w:rsidRPr="00F464FA">
        <w:tab/>
      </w:r>
      <w:r w:rsidR="00221DD4" w:rsidRPr="00F464FA">
        <w:t>(c)</w:t>
      </w:r>
      <w:r w:rsidR="00221DD4" w:rsidRPr="00F464FA">
        <w:tab/>
      </w:r>
      <w:r w:rsidR="00221DD4" w:rsidRPr="00F464FA">
        <w:rPr>
          <w:i/>
        </w:rPr>
        <w:t>Slow pace of institutional reforms</w:t>
      </w:r>
      <w:r w:rsidRPr="00F464FA">
        <w:t xml:space="preserve"> –</w:t>
      </w:r>
      <w:r w:rsidR="00221DD4" w:rsidRPr="00F464FA">
        <w:t xml:space="preserve"> the new constitutional order in Malawi places radical human rights requirements on Government as the primary human rights defender. This has required state institutions to reform in line with the constitutional ideals. Such required reform has not been speedy enough and this has affected the pace of enjoyment and enforcement of human rights; and</w:t>
      </w:r>
    </w:p>
    <w:p w14:paraId="71D37806" w14:textId="5419106C" w:rsidR="00221DD4" w:rsidRPr="00F464FA" w:rsidRDefault="00D25A4E" w:rsidP="00D25A4E">
      <w:pPr>
        <w:pStyle w:val="SingleTxtG"/>
      </w:pPr>
      <w:r w:rsidRPr="00F464FA">
        <w:tab/>
      </w:r>
      <w:r w:rsidR="00221DD4" w:rsidRPr="00F464FA">
        <w:t>(d)</w:t>
      </w:r>
      <w:r w:rsidR="00221DD4" w:rsidRPr="00F464FA">
        <w:tab/>
      </w:r>
      <w:r w:rsidR="00221DD4" w:rsidRPr="00F464FA">
        <w:rPr>
          <w:i/>
        </w:rPr>
        <w:t>Lack of public awareness of rights</w:t>
      </w:r>
      <w:r w:rsidRPr="00F464FA">
        <w:t xml:space="preserve"> –</w:t>
      </w:r>
      <w:r w:rsidR="00221DD4" w:rsidRPr="00F464FA">
        <w:t xml:space="preserve"> despite progress in the general awareness of rights in Malawi there is still lack of awareness of rights.</w:t>
      </w:r>
    </w:p>
    <w:p w14:paraId="58B07D2F" w14:textId="6097EDE7" w:rsidR="00221DD4" w:rsidRPr="00F464FA" w:rsidRDefault="005E3E5C" w:rsidP="003E07FA">
      <w:pPr>
        <w:pStyle w:val="HChG"/>
      </w:pPr>
      <w:bookmarkStart w:id="56" w:name="_Hlk63780813"/>
      <w:r w:rsidRPr="00F464FA">
        <w:lastRenderedPageBreak/>
        <w:tab/>
      </w:r>
      <w:r w:rsidRPr="00F464FA">
        <w:tab/>
      </w:r>
      <w:r w:rsidR="00221DD4" w:rsidRPr="00F464FA">
        <w:t>Conclusion</w:t>
      </w:r>
      <w:bookmarkEnd w:id="56"/>
    </w:p>
    <w:p w14:paraId="05BF496C" w14:textId="77777777" w:rsidR="00221DD4" w:rsidRPr="00F464FA" w:rsidRDefault="00221DD4" w:rsidP="00221DD4">
      <w:pPr>
        <w:pStyle w:val="SingleTxtG"/>
      </w:pPr>
      <w:r w:rsidRPr="00F464FA">
        <w:t>185.</w:t>
      </w:r>
      <w:r w:rsidRPr="00F464FA">
        <w:tab/>
        <w:t xml:space="preserve">The Government reiterates its commitment to ensuring that the economic, social and cultural rights of all persons resident in Malawi are realized. Malawi looks forward to sharing more information on the progress made in implementing the provisions of the Convention, during the review of the Report. </w:t>
      </w:r>
    </w:p>
    <w:p w14:paraId="16706371" w14:textId="77777777" w:rsidR="00221DD4" w:rsidRPr="00F464FA" w:rsidRDefault="00221DD4" w:rsidP="00221DD4">
      <w:pPr>
        <w:suppressAutoHyphens w:val="0"/>
        <w:spacing w:after="200" w:line="276" w:lineRule="auto"/>
        <w:rPr>
          <w:rFonts w:eastAsiaTheme="minorHAnsi"/>
          <w:b/>
        </w:rPr>
      </w:pPr>
      <w:r w:rsidRPr="00F464FA">
        <w:rPr>
          <w:b/>
        </w:rPr>
        <w:br w:type="page"/>
      </w:r>
    </w:p>
    <w:p w14:paraId="70A3AA28" w14:textId="3F8E9B9F" w:rsidR="00221DD4" w:rsidRPr="00F464FA" w:rsidRDefault="007003E2" w:rsidP="00DD7100">
      <w:pPr>
        <w:pStyle w:val="HChG"/>
      </w:pPr>
      <w:r w:rsidRPr="00F464FA">
        <w:lastRenderedPageBreak/>
        <w:tab/>
      </w:r>
      <w:r w:rsidR="00221DD4" w:rsidRPr="00F464FA">
        <w:t>Annex 1</w:t>
      </w:r>
      <w:bookmarkStart w:id="57" w:name="_Hlk63788344"/>
    </w:p>
    <w:p w14:paraId="51C3C501" w14:textId="77777777" w:rsidR="00221DD4" w:rsidRPr="00F464FA" w:rsidRDefault="00221DD4" w:rsidP="00DD7100">
      <w:pPr>
        <w:pStyle w:val="HChG"/>
      </w:pPr>
      <w:r w:rsidRPr="00F464FA">
        <w:tab/>
      </w:r>
      <w:r w:rsidRPr="00F464FA">
        <w:tab/>
        <w:t>Members of the National Taskforce on the ICESCR</w:t>
      </w:r>
    </w:p>
    <w:bookmarkEnd w:id="57"/>
    <w:p w14:paraId="5E699698" w14:textId="77777777" w:rsidR="00221DD4" w:rsidRPr="00F464FA" w:rsidRDefault="00221DD4" w:rsidP="00221DD4">
      <w:pPr>
        <w:pStyle w:val="SingleTxtG"/>
      </w:pPr>
      <w:r w:rsidRPr="00F464FA">
        <w:t>The following are the members of National Task Force on the ICESCR</w:t>
      </w:r>
    </w:p>
    <w:p w14:paraId="13C34041" w14:textId="77777777" w:rsidR="00221DD4" w:rsidRPr="00F464FA" w:rsidRDefault="00221DD4" w:rsidP="00221DD4">
      <w:pPr>
        <w:pStyle w:val="SingleTxtG"/>
        <w:tabs>
          <w:tab w:val="clear" w:pos="2268"/>
        </w:tabs>
      </w:pPr>
      <w:r w:rsidRPr="00F464FA">
        <w:t>1.</w:t>
      </w:r>
      <w:r w:rsidRPr="00F464FA">
        <w:tab/>
        <w:t>Ministry of Justice (Chair)</w:t>
      </w:r>
    </w:p>
    <w:p w14:paraId="4484BAD4" w14:textId="77777777" w:rsidR="00221DD4" w:rsidRPr="00F464FA" w:rsidRDefault="00221DD4" w:rsidP="00221DD4">
      <w:pPr>
        <w:pStyle w:val="SingleTxtG"/>
        <w:tabs>
          <w:tab w:val="clear" w:pos="2268"/>
        </w:tabs>
      </w:pPr>
      <w:r w:rsidRPr="00F464FA">
        <w:t>2.</w:t>
      </w:r>
      <w:r w:rsidRPr="00F464FA">
        <w:tab/>
        <w:t>Ministry of Gender, Children, Disability and Social Welfare</w:t>
      </w:r>
    </w:p>
    <w:p w14:paraId="33004037" w14:textId="77777777" w:rsidR="00221DD4" w:rsidRPr="00F464FA" w:rsidRDefault="00221DD4" w:rsidP="00221DD4">
      <w:pPr>
        <w:pStyle w:val="SingleTxtG"/>
        <w:tabs>
          <w:tab w:val="clear" w:pos="2268"/>
        </w:tabs>
      </w:pPr>
      <w:r w:rsidRPr="00F464FA">
        <w:t>3.</w:t>
      </w:r>
      <w:r w:rsidRPr="00F464FA">
        <w:tab/>
        <w:t>Ministry of Homeland Security</w:t>
      </w:r>
    </w:p>
    <w:p w14:paraId="2BAC58B8" w14:textId="77777777" w:rsidR="00221DD4" w:rsidRPr="00F464FA" w:rsidRDefault="00221DD4" w:rsidP="00221DD4">
      <w:pPr>
        <w:pStyle w:val="SingleTxtG"/>
        <w:tabs>
          <w:tab w:val="clear" w:pos="2268"/>
        </w:tabs>
      </w:pPr>
      <w:r w:rsidRPr="00F464FA">
        <w:t>4.</w:t>
      </w:r>
      <w:r w:rsidRPr="00F464FA">
        <w:tab/>
        <w:t>Ministry of Foreign Affairs and International Cooperation</w:t>
      </w:r>
    </w:p>
    <w:p w14:paraId="0DD4636A" w14:textId="77777777" w:rsidR="00221DD4" w:rsidRPr="00F464FA" w:rsidRDefault="00221DD4" w:rsidP="00221DD4">
      <w:pPr>
        <w:pStyle w:val="SingleTxtG"/>
        <w:tabs>
          <w:tab w:val="clear" w:pos="2268"/>
        </w:tabs>
      </w:pPr>
      <w:r w:rsidRPr="00F464FA">
        <w:t>5.</w:t>
      </w:r>
      <w:r w:rsidRPr="00F464FA">
        <w:tab/>
        <w:t>Ministry of Health and Population</w:t>
      </w:r>
    </w:p>
    <w:p w14:paraId="27F68172" w14:textId="77777777" w:rsidR="00221DD4" w:rsidRPr="00F464FA" w:rsidRDefault="00221DD4" w:rsidP="00221DD4">
      <w:pPr>
        <w:pStyle w:val="SingleTxtG"/>
        <w:tabs>
          <w:tab w:val="clear" w:pos="2268"/>
        </w:tabs>
      </w:pPr>
      <w:r w:rsidRPr="00F464FA">
        <w:t>6.</w:t>
      </w:r>
      <w:r w:rsidRPr="00F464FA">
        <w:tab/>
        <w:t>Ministry of Education, Science and Technology</w:t>
      </w:r>
    </w:p>
    <w:p w14:paraId="36D0C523" w14:textId="77777777" w:rsidR="00221DD4" w:rsidRPr="00F464FA" w:rsidRDefault="00221DD4" w:rsidP="00221DD4">
      <w:pPr>
        <w:pStyle w:val="SingleTxtG"/>
        <w:tabs>
          <w:tab w:val="clear" w:pos="2268"/>
        </w:tabs>
      </w:pPr>
      <w:r w:rsidRPr="00F464FA">
        <w:t>7.</w:t>
      </w:r>
      <w:r w:rsidRPr="00F464FA">
        <w:tab/>
        <w:t>Ministry of Labour and Vocational Training</w:t>
      </w:r>
    </w:p>
    <w:p w14:paraId="02279793" w14:textId="77777777" w:rsidR="00221DD4" w:rsidRPr="00F464FA" w:rsidRDefault="00221DD4" w:rsidP="00221DD4">
      <w:pPr>
        <w:pStyle w:val="SingleTxtG"/>
        <w:tabs>
          <w:tab w:val="clear" w:pos="2268"/>
        </w:tabs>
      </w:pPr>
      <w:r w:rsidRPr="00F464FA">
        <w:t>8.</w:t>
      </w:r>
      <w:r w:rsidRPr="00F464FA">
        <w:tab/>
        <w:t>Malawi Police Service</w:t>
      </w:r>
    </w:p>
    <w:p w14:paraId="43EE9D4C" w14:textId="77777777" w:rsidR="00221DD4" w:rsidRPr="00F464FA" w:rsidRDefault="00221DD4" w:rsidP="00221DD4">
      <w:pPr>
        <w:pStyle w:val="SingleTxtG"/>
        <w:tabs>
          <w:tab w:val="clear" w:pos="2268"/>
        </w:tabs>
      </w:pPr>
      <w:r w:rsidRPr="00F464FA">
        <w:t>9.</w:t>
      </w:r>
      <w:r w:rsidRPr="00F464FA">
        <w:tab/>
        <w:t>Malawi Human Rights Commission</w:t>
      </w:r>
    </w:p>
    <w:p w14:paraId="34153D9C" w14:textId="77777777" w:rsidR="00221DD4" w:rsidRPr="00F464FA" w:rsidRDefault="00221DD4" w:rsidP="00221DD4">
      <w:pPr>
        <w:pStyle w:val="SingleTxtG"/>
        <w:tabs>
          <w:tab w:val="clear" w:pos="2268"/>
        </w:tabs>
      </w:pPr>
      <w:r w:rsidRPr="00F464FA">
        <w:t>10.</w:t>
      </w:r>
      <w:r w:rsidRPr="00F464FA">
        <w:tab/>
        <w:t>Law Commission</w:t>
      </w:r>
    </w:p>
    <w:p w14:paraId="2DE961B7" w14:textId="77777777" w:rsidR="00221DD4" w:rsidRPr="00F464FA" w:rsidRDefault="00221DD4" w:rsidP="00221DD4">
      <w:pPr>
        <w:pStyle w:val="SingleTxtG"/>
        <w:tabs>
          <w:tab w:val="clear" w:pos="2268"/>
        </w:tabs>
      </w:pPr>
      <w:r w:rsidRPr="00F464FA">
        <w:t>11.</w:t>
      </w:r>
      <w:r w:rsidRPr="00F464FA">
        <w:tab/>
        <w:t>National Registration Bureau</w:t>
      </w:r>
    </w:p>
    <w:p w14:paraId="6D566D5D" w14:textId="77777777" w:rsidR="00221DD4" w:rsidRPr="00F464FA" w:rsidRDefault="00221DD4" w:rsidP="00221DD4">
      <w:pPr>
        <w:pStyle w:val="SingleTxtG"/>
        <w:tabs>
          <w:tab w:val="clear" w:pos="2268"/>
        </w:tabs>
      </w:pPr>
      <w:r w:rsidRPr="00F464FA">
        <w:t>12.</w:t>
      </w:r>
      <w:r w:rsidRPr="00F464FA">
        <w:tab/>
        <w:t>National Statistical Office</w:t>
      </w:r>
    </w:p>
    <w:p w14:paraId="27AE785B" w14:textId="77777777" w:rsidR="00221DD4" w:rsidRPr="00F464FA" w:rsidRDefault="00221DD4" w:rsidP="00221DD4">
      <w:pPr>
        <w:pStyle w:val="SingleTxtG"/>
        <w:tabs>
          <w:tab w:val="clear" w:pos="2268"/>
        </w:tabs>
      </w:pPr>
      <w:r w:rsidRPr="00F464FA">
        <w:t>13.</w:t>
      </w:r>
      <w:r w:rsidRPr="00F464FA">
        <w:tab/>
        <w:t>The Office of the Ombudsman</w:t>
      </w:r>
    </w:p>
    <w:p w14:paraId="6B4C005D" w14:textId="77777777" w:rsidR="00221DD4" w:rsidRPr="00F464FA" w:rsidRDefault="00221DD4" w:rsidP="00221DD4">
      <w:pPr>
        <w:pStyle w:val="SingleTxtG"/>
        <w:tabs>
          <w:tab w:val="clear" w:pos="2268"/>
        </w:tabs>
      </w:pPr>
      <w:r w:rsidRPr="00F464FA">
        <w:t>14.</w:t>
      </w:r>
      <w:r w:rsidRPr="00F464FA">
        <w:tab/>
        <w:t>The Department of Immigration</w:t>
      </w:r>
    </w:p>
    <w:p w14:paraId="5DB6F0A9" w14:textId="77777777" w:rsidR="00221DD4" w:rsidRPr="00F464FA" w:rsidRDefault="00221DD4" w:rsidP="00221DD4">
      <w:pPr>
        <w:pStyle w:val="SingleTxtG"/>
        <w:tabs>
          <w:tab w:val="clear" w:pos="2268"/>
        </w:tabs>
      </w:pPr>
      <w:r w:rsidRPr="00F464FA">
        <w:t>15.</w:t>
      </w:r>
      <w:r w:rsidRPr="00F464FA">
        <w:tab/>
        <w:t xml:space="preserve">The Legal Aid Bureau </w:t>
      </w:r>
    </w:p>
    <w:p w14:paraId="4E3B6D6B" w14:textId="77777777" w:rsidR="00221DD4" w:rsidRPr="00F464FA" w:rsidRDefault="00221DD4" w:rsidP="00221DD4">
      <w:pPr>
        <w:pStyle w:val="SingleTxtG"/>
        <w:tabs>
          <w:tab w:val="clear" w:pos="2268"/>
        </w:tabs>
      </w:pPr>
      <w:r w:rsidRPr="00F464FA">
        <w:t>16.</w:t>
      </w:r>
      <w:r w:rsidRPr="00F464FA">
        <w:tab/>
        <w:t>Malawi Judiciary</w:t>
      </w:r>
    </w:p>
    <w:p w14:paraId="58E17C88" w14:textId="77777777" w:rsidR="00221DD4" w:rsidRPr="00F464FA" w:rsidRDefault="00221DD4" w:rsidP="00221DD4">
      <w:pPr>
        <w:pStyle w:val="SingleTxtG"/>
        <w:tabs>
          <w:tab w:val="clear" w:pos="2268"/>
        </w:tabs>
      </w:pPr>
      <w:r w:rsidRPr="00F464FA">
        <w:t>17.</w:t>
      </w:r>
      <w:r w:rsidRPr="00F464FA">
        <w:tab/>
        <w:t>University of Malawi, Chancellor College Law School</w:t>
      </w:r>
    </w:p>
    <w:p w14:paraId="5D73655D" w14:textId="77777777" w:rsidR="00221DD4" w:rsidRPr="00F464FA" w:rsidRDefault="00221DD4" w:rsidP="00221DD4">
      <w:pPr>
        <w:pStyle w:val="SingleTxtG"/>
        <w:tabs>
          <w:tab w:val="clear" w:pos="2268"/>
        </w:tabs>
      </w:pPr>
      <w:r w:rsidRPr="00F464FA">
        <w:t>18.</w:t>
      </w:r>
      <w:r w:rsidRPr="00F464FA">
        <w:tab/>
        <w:t>Article III</w:t>
      </w:r>
    </w:p>
    <w:p w14:paraId="2F049992" w14:textId="77777777" w:rsidR="00221DD4" w:rsidRPr="00F464FA" w:rsidRDefault="00221DD4" w:rsidP="00221DD4">
      <w:pPr>
        <w:pStyle w:val="SingleTxtG"/>
        <w:tabs>
          <w:tab w:val="clear" w:pos="2268"/>
        </w:tabs>
      </w:pPr>
      <w:r w:rsidRPr="00F464FA">
        <w:t>19.</w:t>
      </w:r>
      <w:r w:rsidRPr="00F464FA">
        <w:tab/>
        <w:t>Paralegal Advisory Service (PASI)</w:t>
      </w:r>
    </w:p>
    <w:p w14:paraId="5E844862" w14:textId="77777777" w:rsidR="00221DD4" w:rsidRPr="00F464FA" w:rsidRDefault="00221DD4" w:rsidP="00221DD4">
      <w:pPr>
        <w:pStyle w:val="SingleTxtG"/>
        <w:tabs>
          <w:tab w:val="clear" w:pos="2268"/>
        </w:tabs>
      </w:pPr>
      <w:r w:rsidRPr="00F464FA">
        <w:t>20.</w:t>
      </w:r>
      <w:r w:rsidRPr="00F464FA">
        <w:tab/>
        <w:t>Centre for Human Rights Education Advice and Assistance (CHREAA)</w:t>
      </w:r>
    </w:p>
    <w:p w14:paraId="13D9C959" w14:textId="77777777" w:rsidR="00221DD4" w:rsidRPr="00F464FA" w:rsidRDefault="00221DD4" w:rsidP="00221DD4">
      <w:pPr>
        <w:pStyle w:val="SingleTxtG"/>
        <w:tabs>
          <w:tab w:val="clear" w:pos="2268"/>
        </w:tabs>
      </w:pPr>
      <w:r w:rsidRPr="00F464FA">
        <w:t>21.</w:t>
      </w:r>
      <w:r w:rsidRPr="00F464FA">
        <w:tab/>
        <w:t>Centre for the Development of People (CEDEP)</w:t>
      </w:r>
    </w:p>
    <w:p w14:paraId="250E0478" w14:textId="77777777" w:rsidR="00221DD4" w:rsidRPr="00F464FA" w:rsidRDefault="00221DD4" w:rsidP="00221DD4">
      <w:pPr>
        <w:pStyle w:val="SingleTxtG"/>
        <w:tabs>
          <w:tab w:val="clear" w:pos="2268"/>
        </w:tabs>
      </w:pPr>
      <w:r w:rsidRPr="00F464FA">
        <w:t>22.</w:t>
      </w:r>
      <w:r w:rsidRPr="00F464FA">
        <w:tab/>
        <w:t>Youth and Society</w:t>
      </w:r>
    </w:p>
    <w:p w14:paraId="25CE3EB8" w14:textId="77777777" w:rsidR="00221DD4" w:rsidRPr="00F464FA" w:rsidRDefault="00221DD4" w:rsidP="00221DD4">
      <w:pPr>
        <w:pStyle w:val="SingleTxtG"/>
        <w:tabs>
          <w:tab w:val="clear" w:pos="2268"/>
        </w:tabs>
      </w:pPr>
      <w:r w:rsidRPr="00F464FA">
        <w:t>23.</w:t>
      </w:r>
      <w:r w:rsidRPr="00F464FA">
        <w:tab/>
      </w:r>
      <w:proofErr w:type="spellStart"/>
      <w:r w:rsidRPr="00F464FA">
        <w:t>Saccode</w:t>
      </w:r>
      <w:proofErr w:type="spellEnd"/>
      <w:r w:rsidRPr="00F464FA">
        <w:t xml:space="preserve"> Trust</w:t>
      </w:r>
    </w:p>
    <w:p w14:paraId="064FA1B6" w14:textId="77777777" w:rsidR="00221DD4" w:rsidRPr="00F464FA" w:rsidRDefault="00221DD4" w:rsidP="00735F94">
      <w:pPr>
        <w:jc w:val="center"/>
        <w:rPr>
          <w:u w:val="single"/>
        </w:rPr>
      </w:pPr>
      <w:r w:rsidRPr="00F464FA">
        <w:rPr>
          <w:u w:val="single"/>
        </w:rPr>
        <w:tab/>
      </w:r>
      <w:r w:rsidRPr="00F464FA">
        <w:rPr>
          <w:u w:val="single"/>
        </w:rPr>
        <w:tab/>
      </w:r>
      <w:r w:rsidRPr="00F464FA">
        <w:rPr>
          <w:u w:val="single"/>
        </w:rPr>
        <w:tab/>
      </w:r>
    </w:p>
    <w:sectPr w:rsidR="00221DD4" w:rsidRPr="00F464FA" w:rsidSect="00587690">
      <w:headerReference w:type="even" r:id="rId27"/>
      <w:headerReference w:type="default" r:id="rId28"/>
      <w:footerReference w:type="even" r:id="rId29"/>
      <w:footerReference w:type="default" r:id="rId30"/>
      <w:footerReference w:type="first" r:id="rId3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2732" w14:textId="77777777" w:rsidR="0048034F" w:rsidRPr="00FB1744" w:rsidRDefault="0048034F" w:rsidP="00FB1744">
      <w:pPr>
        <w:pStyle w:val="Footer"/>
      </w:pPr>
    </w:p>
  </w:endnote>
  <w:endnote w:type="continuationSeparator" w:id="0">
    <w:p w14:paraId="18167C4D" w14:textId="77777777" w:rsidR="0048034F" w:rsidRPr="00FB1744" w:rsidRDefault="0048034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D07B" w14:textId="5C4F4B4C" w:rsidR="00221DD4" w:rsidRDefault="00221DD4" w:rsidP="00221DD4">
    <w:pPr>
      <w:pStyle w:val="Footer"/>
      <w:tabs>
        <w:tab w:val="right" w:pos="9638"/>
      </w:tabs>
    </w:pPr>
    <w:r w:rsidRPr="00221DD4">
      <w:rPr>
        <w:b/>
        <w:bCs/>
        <w:sz w:val="18"/>
      </w:rPr>
      <w:fldChar w:fldCharType="begin"/>
    </w:r>
    <w:r w:rsidRPr="00221DD4">
      <w:rPr>
        <w:b/>
        <w:bCs/>
        <w:sz w:val="18"/>
      </w:rPr>
      <w:instrText xml:space="preserve"> PAGE  \* MERGEFORMAT </w:instrText>
    </w:r>
    <w:r w:rsidRPr="00221DD4">
      <w:rPr>
        <w:b/>
        <w:bCs/>
        <w:sz w:val="18"/>
      </w:rPr>
      <w:fldChar w:fldCharType="separate"/>
    </w:r>
    <w:r w:rsidRPr="00221DD4">
      <w:rPr>
        <w:b/>
        <w:bCs/>
        <w:noProof/>
        <w:sz w:val="18"/>
      </w:rPr>
      <w:t>2</w:t>
    </w:r>
    <w:r w:rsidRPr="00221DD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BFA9" w14:textId="690896BF" w:rsidR="00221DD4" w:rsidRDefault="00221DD4" w:rsidP="00221DD4">
    <w:pPr>
      <w:pStyle w:val="Footer"/>
      <w:tabs>
        <w:tab w:val="right" w:pos="9638"/>
      </w:tabs>
    </w:pPr>
    <w:r>
      <w:tab/>
    </w:r>
    <w:r w:rsidRPr="00221DD4">
      <w:rPr>
        <w:b/>
        <w:bCs/>
        <w:sz w:val="18"/>
      </w:rPr>
      <w:fldChar w:fldCharType="begin"/>
    </w:r>
    <w:r w:rsidRPr="00221DD4">
      <w:rPr>
        <w:b/>
        <w:bCs/>
        <w:sz w:val="18"/>
      </w:rPr>
      <w:instrText xml:space="preserve"> PAGE  \* MERGEFORMAT </w:instrText>
    </w:r>
    <w:r w:rsidRPr="00221DD4">
      <w:rPr>
        <w:b/>
        <w:bCs/>
        <w:sz w:val="18"/>
      </w:rPr>
      <w:fldChar w:fldCharType="separate"/>
    </w:r>
    <w:r w:rsidRPr="00221DD4">
      <w:rPr>
        <w:b/>
        <w:bCs/>
        <w:noProof/>
        <w:sz w:val="18"/>
      </w:rPr>
      <w:t>3</w:t>
    </w:r>
    <w:r w:rsidRPr="00221D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0AAD" w14:textId="20937CE5" w:rsidR="00EF5D3F" w:rsidRDefault="00EF5D3F" w:rsidP="00EF5D3F">
    <w:pPr>
      <w:pStyle w:val="Footer"/>
    </w:pPr>
    <w:bookmarkStart w:id="58" w:name="_GoBack"/>
    <w:bookmarkEnd w:id="58"/>
    <w:r>
      <w:rPr>
        <w:noProof/>
        <w:lang w:val="en-US"/>
      </w:rPr>
      <w:drawing>
        <wp:anchor distT="0" distB="0" distL="114300" distR="114300" simplePos="0" relativeHeight="251659264" behindDoc="1" locked="1" layoutInCell="1" allowOverlap="1" wp14:anchorId="535B95E1" wp14:editId="7B91B9D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2B268C" w14:textId="5899BBFE" w:rsidR="00EF5D3F" w:rsidRPr="00EF5D3F" w:rsidRDefault="00EF5D3F" w:rsidP="00EF5D3F">
    <w:pPr>
      <w:pStyle w:val="Footer"/>
      <w:ind w:right="1134"/>
      <w:rPr>
        <w:sz w:val="20"/>
      </w:rPr>
    </w:pPr>
    <w:r>
      <w:rPr>
        <w:sz w:val="20"/>
      </w:rPr>
      <w:t>GE.22-10001(E)</w:t>
    </w:r>
    <w:r>
      <w:rPr>
        <w:noProof/>
        <w:sz w:val="20"/>
      </w:rPr>
      <w:drawing>
        <wp:anchor distT="0" distB="0" distL="114300" distR="114300" simplePos="0" relativeHeight="251660288" behindDoc="0" locked="0" layoutInCell="1" allowOverlap="1" wp14:anchorId="05BA4B6E" wp14:editId="093900C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0DA4" w14:textId="77777777" w:rsidR="0048034F" w:rsidRPr="00FB1744" w:rsidRDefault="0048034F" w:rsidP="00FB1744">
      <w:pPr>
        <w:tabs>
          <w:tab w:val="right" w:pos="2155"/>
        </w:tabs>
        <w:spacing w:after="80" w:line="240" w:lineRule="auto"/>
        <w:ind w:left="680"/>
      </w:pPr>
      <w:r>
        <w:rPr>
          <w:u w:val="single"/>
        </w:rPr>
        <w:tab/>
      </w:r>
    </w:p>
  </w:footnote>
  <w:footnote w:type="continuationSeparator" w:id="0">
    <w:p w14:paraId="0DD8C7B3" w14:textId="77777777" w:rsidR="0048034F" w:rsidRPr="00FB1744" w:rsidRDefault="0048034F" w:rsidP="00FB1744">
      <w:pPr>
        <w:tabs>
          <w:tab w:val="right" w:pos="2155"/>
        </w:tabs>
        <w:spacing w:after="80" w:line="240" w:lineRule="auto"/>
        <w:ind w:left="680"/>
      </w:pPr>
      <w:r>
        <w:rPr>
          <w:u w:val="single"/>
        </w:rPr>
        <w:tab/>
      </w:r>
    </w:p>
  </w:footnote>
  <w:footnote w:id="1">
    <w:p w14:paraId="21B66677" w14:textId="77777777" w:rsidR="00221DD4" w:rsidRDefault="00221DD4" w:rsidP="00221DD4">
      <w:pPr>
        <w:pStyle w:val="FootnoteText"/>
        <w:rPr>
          <w:sz w:val="20"/>
        </w:rPr>
      </w:pPr>
      <w:r w:rsidRPr="00131D3D">
        <w:tab/>
      </w:r>
      <w:r w:rsidRPr="00131D3D">
        <w:rPr>
          <w:rStyle w:val="FootnoteReference"/>
          <w:sz w:val="20"/>
          <w:vertAlign w:val="baseline"/>
        </w:rPr>
        <w:t>*</w:t>
      </w:r>
      <w:r w:rsidRPr="00131D3D">
        <w:rPr>
          <w:sz w:val="20"/>
        </w:rPr>
        <w:tab/>
      </w:r>
      <w:r>
        <w:rPr>
          <w:szCs w:val="18"/>
        </w:rPr>
        <w:t>The present document is being issued without formal editing.</w:t>
      </w:r>
    </w:p>
  </w:footnote>
  <w:footnote w:id="2">
    <w:p w14:paraId="6D85A58A" w14:textId="77777777" w:rsidR="00221DD4" w:rsidRPr="00C56768" w:rsidRDefault="00221DD4" w:rsidP="00221DD4">
      <w:pPr>
        <w:pStyle w:val="FootnoteText"/>
      </w:pPr>
      <w:r>
        <w:tab/>
      </w:r>
      <w:r>
        <w:rPr>
          <w:rStyle w:val="FootnoteReference"/>
        </w:rPr>
        <w:footnoteRef/>
      </w:r>
      <w:r>
        <w:t xml:space="preserve"> </w:t>
      </w:r>
      <w:r>
        <w:tab/>
      </w:r>
      <w:r w:rsidRPr="00853195">
        <w:t xml:space="preserve">A state of emergency may be declared by the President, only in exceptional circumstances expressly provided for under the </w:t>
      </w:r>
      <w:r w:rsidRPr="00C56768">
        <w:t>Constitution, such as where the Defence and Security Committee of the National Assembly has approved the declaration; in times of war, threat of war, civil war or widespread natural disaster; with regard to the specific location where that emergency exists; and that any declaration of a state of emergency shall be publicly announced.</w:t>
      </w:r>
    </w:p>
  </w:footnote>
  <w:footnote w:id="3">
    <w:p w14:paraId="3B2C95D2" w14:textId="77777777" w:rsidR="00221DD4" w:rsidRDefault="00221DD4" w:rsidP="00221DD4">
      <w:pPr>
        <w:pStyle w:val="FootnoteText"/>
      </w:pPr>
      <w:r>
        <w:rPr>
          <w:szCs w:val="18"/>
        </w:rPr>
        <w:tab/>
      </w:r>
      <w:r w:rsidRPr="00C56768">
        <w:rPr>
          <w:rStyle w:val="FootnoteReference"/>
          <w:szCs w:val="18"/>
        </w:rPr>
        <w:footnoteRef/>
      </w:r>
      <w:r w:rsidRPr="00C56768">
        <w:rPr>
          <w:szCs w:val="18"/>
        </w:rPr>
        <w:t xml:space="preserve"> </w:t>
      </w:r>
      <w:r>
        <w:rPr>
          <w:szCs w:val="18"/>
        </w:rPr>
        <w:tab/>
      </w:r>
      <w:r w:rsidRPr="00C56768">
        <w:rPr>
          <w:szCs w:val="18"/>
        </w:rPr>
        <w:t>Data only refers to the population of youth, which should be those persons between the ages of 15 and 24 years.</w:t>
      </w:r>
    </w:p>
  </w:footnote>
  <w:footnote w:id="4">
    <w:p w14:paraId="387C6857" w14:textId="77777777" w:rsidR="00221DD4" w:rsidRPr="00083CA3" w:rsidRDefault="00221DD4" w:rsidP="00221DD4">
      <w:pPr>
        <w:pStyle w:val="FootnoteText"/>
      </w:pPr>
      <w:r>
        <w:tab/>
      </w:r>
      <w:r w:rsidRPr="00083CA3">
        <w:rPr>
          <w:rStyle w:val="FootnoteReference"/>
        </w:rPr>
        <w:footnoteRef/>
      </w:r>
      <w:r w:rsidRPr="00083CA3">
        <w:t xml:space="preserve"> </w:t>
      </w:r>
      <w:r>
        <w:tab/>
      </w:r>
      <w:r w:rsidRPr="00083CA3">
        <w:t>Section 6 of the Gender Equality Act</w:t>
      </w:r>
      <w:r>
        <w:t>.</w:t>
      </w:r>
    </w:p>
  </w:footnote>
  <w:footnote w:id="5">
    <w:p w14:paraId="17BB9D49" w14:textId="77777777" w:rsidR="00221DD4" w:rsidRDefault="00221DD4" w:rsidP="00221DD4">
      <w:pPr>
        <w:pStyle w:val="FootnoteText"/>
      </w:pPr>
      <w:r>
        <w:tab/>
      </w:r>
      <w:r w:rsidRPr="00083CA3">
        <w:rPr>
          <w:rStyle w:val="FootnoteReference"/>
        </w:rPr>
        <w:footnoteRef/>
      </w:r>
      <w:r w:rsidRPr="00083CA3">
        <w:t xml:space="preserve"> </w:t>
      </w:r>
      <w:r>
        <w:tab/>
      </w:r>
      <w:r w:rsidRPr="00083CA3">
        <w:t>Section 7 of the Gender Equality Act</w:t>
      </w:r>
      <w:r>
        <w:t>.</w:t>
      </w:r>
    </w:p>
  </w:footnote>
  <w:footnote w:id="6">
    <w:p w14:paraId="138DBE88" w14:textId="65A1E270" w:rsidR="00221DD4" w:rsidRPr="00AA4F9B" w:rsidRDefault="00221DD4" w:rsidP="00221DD4">
      <w:pPr>
        <w:pStyle w:val="FootnoteText"/>
      </w:pPr>
      <w:r>
        <w:tab/>
      </w:r>
      <w:r w:rsidRPr="00AA4F9B">
        <w:rPr>
          <w:rStyle w:val="FootnoteReference"/>
        </w:rPr>
        <w:footnoteRef/>
      </w:r>
      <w:r w:rsidRPr="00AA4F9B">
        <w:t xml:space="preserve"> </w:t>
      </w:r>
      <w:r>
        <w:tab/>
      </w:r>
      <w:r w:rsidRPr="00AA4F9B">
        <w:t>Pursuant to section 7(2) of the LRA and Section 20 of the Constitution</w:t>
      </w:r>
      <w:r>
        <w:t>.</w:t>
      </w:r>
    </w:p>
  </w:footnote>
  <w:footnote w:id="7">
    <w:p w14:paraId="3FD3260C" w14:textId="77777777" w:rsidR="00221DD4" w:rsidRPr="00AA4F9B" w:rsidRDefault="00221DD4" w:rsidP="00221DD4">
      <w:pPr>
        <w:pStyle w:val="FootnoteText"/>
      </w:pPr>
      <w:r>
        <w:tab/>
      </w:r>
      <w:r w:rsidRPr="00AA4F9B">
        <w:rPr>
          <w:rStyle w:val="FootnoteReference"/>
        </w:rPr>
        <w:footnoteRef/>
      </w:r>
      <w:r w:rsidRPr="00AA4F9B">
        <w:t xml:space="preserve"> </w:t>
      </w:r>
      <w:r>
        <w:tab/>
      </w:r>
      <w:r w:rsidRPr="00AA4F9B">
        <w:t>Section 7 (3), Labour Relations 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BA7" w14:textId="77777777" w:rsidR="00221DD4" w:rsidRDefault="00221DD4" w:rsidP="00221DD4">
    <w:pPr>
      <w:pStyle w:val="Header"/>
    </w:pPr>
    <w:r>
      <w:t>E/C.12/MWI/1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7FAD" w14:textId="77777777" w:rsidR="00221DD4" w:rsidRDefault="00221DD4" w:rsidP="00221DD4">
    <w:pPr>
      <w:pStyle w:val="Header"/>
      <w:jc w:val="right"/>
    </w:pPr>
    <w:r>
      <w:t>E/C.12/MWI/1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D251D"/>
    <w:multiLevelType w:val="hybridMultilevel"/>
    <w:tmpl w:val="0AF0FC10"/>
    <w:lvl w:ilvl="0" w:tplc="E1F4FDA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207C8"/>
    <w:multiLevelType w:val="hybridMultilevel"/>
    <w:tmpl w:val="8ACC5014"/>
    <w:lvl w:ilvl="0" w:tplc="E1F4FD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172362"/>
    <w:multiLevelType w:val="hybridMultilevel"/>
    <w:tmpl w:val="7FB6E9A2"/>
    <w:lvl w:ilvl="0" w:tplc="7716E886">
      <w:start w:val="16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87"/>
    <w:multiLevelType w:val="hybridMultilevel"/>
    <w:tmpl w:val="2B362816"/>
    <w:lvl w:ilvl="0" w:tplc="9894FF2E">
      <w:start w:val="1"/>
      <w:numFmt w:val="decimal"/>
      <w:lvlText w:val="%1."/>
      <w:lvlJc w:val="left"/>
      <w:pPr>
        <w:tabs>
          <w:tab w:val="num" w:pos="1701"/>
        </w:tabs>
        <w:ind w:left="1134" w:firstLine="0"/>
      </w:pPr>
      <w:rPr>
        <w:rFonts w:ascii="Times New Roman" w:hAnsi="Times New Roman" w:hint="default"/>
        <w:b w:val="0"/>
        <w:i w:val="0"/>
        <w:sz w:val="20"/>
      </w:rPr>
    </w:lvl>
    <w:lvl w:ilvl="1" w:tplc="0EE22EEE" w:tentative="1">
      <w:start w:val="1"/>
      <w:numFmt w:val="lowerLetter"/>
      <w:lvlText w:val="%2."/>
      <w:lvlJc w:val="left"/>
      <w:pPr>
        <w:tabs>
          <w:tab w:val="num" w:pos="1440"/>
        </w:tabs>
        <w:ind w:left="1440" w:hanging="360"/>
      </w:pPr>
    </w:lvl>
    <w:lvl w:ilvl="2" w:tplc="EB34BE78" w:tentative="1">
      <w:start w:val="1"/>
      <w:numFmt w:val="lowerRoman"/>
      <w:lvlText w:val="%3."/>
      <w:lvlJc w:val="right"/>
      <w:pPr>
        <w:tabs>
          <w:tab w:val="num" w:pos="2160"/>
        </w:tabs>
        <w:ind w:left="2160" w:hanging="180"/>
      </w:pPr>
    </w:lvl>
    <w:lvl w:ilvl="3" w:tplc="A5566546" w:tentative="1">
      <w:start w:val="1"/>
      <w:numFmt w:val="decimal"/>
      <w:lvlText w:val="%4."/>
      <w:lvlJc w:val="left"/>
      <w:pPr>
        <w:tabs>
          <w:tab w:val="num" w:pos="2880"/>
        </w:tabs>
        <w:ind w:left="2880" w:hanging="360"/>
      </w:pPr>
    </w:lvl>
    <w:lvl w:ilvl="4" w:tplc="AD562B28" w:tentative="1">
      <w:start w:val="1"/>
      <w:numFmt w:val="lowerLetter"/>
      <w:lvlText w:val="%5."/>
      <w:lvlJc w:val="left"/>
      <w:pPr>
        <w:tabs>
          <w:tab w:val="num" w:pos="3600"/>
        </w:tabs>
        <w:ind w:left="3600" w:hanging="360"/>
      </w:pPr>
    </w:lvl>
    <w:lvl w:ilvl="5" w:tplc="FCA03918" w:tentative="1">
      <w:start w:val="1"/>
      <w:numFmt w:val="lowerRoman"/>
      <w:lvlText w:val="%6."/>
      <w:lvlJc w:val="right"/>
      <w:pPr>
        <w:tabs>
          <w:tab w:val="num" w:pos="4320"/>
        </w:tabs>
        <w:ind w:left="4320" w:hanging="180"/>
      </w:pPr>
    </w:lvl>
    <w:lvl w:ilvl="6" w:tplc="D106761A" w:tentative="1">
      <w:start w:val="1"/>
      <w:numFmt w:val="decimal"/>
      <w:lvlText w:val="%7."/>
      <w:lvlJc w:val="left"/>
      <w:pPr>
        <w:tabs>
          <w:tab w:val="num" w:pos="5040"/>
        </w:tabs>
        <w:ind w:left="5040" w:hanging="360"/>
      </w:pPr>
    </w:lvl>
    <w:lvl w:ilvl="7" w:tplc="3CFE2BD6" w:tentative="1">
      <w:start w:val="1"/>
      <w:numFmt w:val="lowerLetter"/>
      <w:lvlText w:val="%8."/>
      <w:lvlJc w:val="left"/>
      <w:pPr>
        <w:tabs>
          <w:tab w:val="num" w:pos="5760"/>
        </w:tabs>
        <w:ind w:left="5760" w:hanging="360"/>
      </w:pPr>
    </w:lvl>
    <w:lvl w:ilvl="8" w:tplc="FBBE511E"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31EB4"/>
    <w:multiLevelType w:val="hybridMultilevel"/>
    <w:tmpl w:val="4E9E58AC"/>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213B0692"/>
    <w:multiLevelType w:val="hybridMultilevel"/>
    <w:tmpl w:val="8CFE5D0E"/>
    <w:lvl w:ilvl="0" w:tplc="E1F4FDAA">
      <w:start w:val="1"/>
      <w:numFmt w:val="lowerLetter"/>
      <w:lvlText w:val="(%1)"/>
      <w:lvlJc w:val="left"/>
      <w:pPr>
        <w:ind w:left="216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300E3949"/>
    <w:multiLevelType w:val="hybridMultilevel"/>
    <w:tmpl w:val="F2F0ABF2"/>
    <w:lvl w:ilvl="0" w:tplc="B0F077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E7C3D"/>
    <w:multiLevelType w:val="hybridMultilevel"/>
    <w:tmpl w:val="FD542014"/>
    <w:lvl w:ilvl="0" w:tplc="E1F4FDAA">
      <w:start w:val="1"/>
      <w:numFmt w:val="lowerLetter"/>
      <w:lvlText w:val="(%1)"/>
      <w:lvlJc w:val="left"/>
      <w:pPr>
        <w:ind w:left="216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ACF4EB2"/>
    <w:multiLevelType w:val="hybridMultilevel"/>
    <w:tmpl w:val="CB6C816A"/>
    <w:lvl w:ilvl="0" w:tplc="09D6A658">
      <w:start w:val="1"/>
      <w:numFmt w:val="bullet"/>
      <w:lvlText w:val="•"/>
      <w:lvlJc w:val="left"/>
      <w:pPr>
        <w:tabs>
          <w:tab w:val="num" w:pos="2268"/>
        </w:tabs>
        <w:ind w:left="2268" w:hanging="170"/>
      </w:pPr>
      <w:rPr>
        <w:rFonts w:ascii="Times New Roman" w:hAnsi="Times New Roman" w:cs="Times New Roman" w:hint="default"/>
      </w:rPr>
    </w:lvl>
    <w:lvl w:ilvl="1" w:tplc="026088E0" w:tentative="1">
      <w:start w:val="1"/>
      <w:numFmt w:val="bullet"/>
      <w:lvlText w:val="o"/>
      <w:lvlJc w:val="left"/>
      <w:pPr>
        <w:tabs>
          <w:tab w:val="num" w:pos="3708"/>
        </w:tabs>
        <w:ind w:left="3708" w:hanging="360"/>
      </w:pPr>
      <w:rPr>
        <w:rFonts w:ascii="Courier New" w:hAnsi="Courier New" w:hint="default"/>
      </w:rPr>
    </w:lvl>
    <w:lvl w:ilvl="2" w:tplc="728CD19A" w:tentative="1">
      <w:start w:val="1"/>
      <w:numFmt w:val="bullet"/>
      <w:lvlText w:val=""/>
      <w:lvlJc w:val="left"/>
      <w:pPr>
        <w:tabs>
          <w:tab w:val="num" w:pos="4428"/>
        </w:tabs>
        <w:ind w:left="4428" w:hanging="360"/>
      </w:pPr>
      <w:rPr>
        <w:rFonts w:ascii="Wingdings" w:hAnsi="Wingdings" w:hint="default"/>
      </w:rPr>
    </w:lvl>
    <w:lvl w:ilvl="3" w:tplc="B45E0160" w:tentative="1">
      <w:start w:val="1"/>
      <w:numFmt w:val="bullet"/>
      <w:lvlText w:val=""/>
      <w:lvlJc w:val="left"/>
      <w:pPr>
        <w:tabs>
          <w:tab w:val="num" w:pos="5148"/>
        </w:tabs>
        <w:ind w:left="5148" w:hanging="360"/>
      </w:pPr>
      <w:rPr>
        <w:rFonts w:ascii="Symbol" w:hAnsi="Symbol" w:hint="default"/>
      </w:rPr>
    </w:lvl>
    <w:lvl w:ilvl="4" w:tplc="FD6A6808" w:tentative="1">
      <w:start w:val="1"/>
      <w:numFmt w:val="bullet"/>
      <w:lvlText w:val="o"/>
      <w:lvlJc w:val="left"/>
      <w:pPr>
        <w:tabs>
          <w:tab w:val="num" w:pos="5868"/>
        </w:tabs>
        <w:ind w:left="5868" w:hanging="360"/>
      </w:pPr>
      <w:rPr>
        <w:rFonts w:ascii="Courier New" w:hAnsi="Courier New" w:hint="default"/>
      </w:rPr>
    </w:lvl>
    <w:lvl w:ilvl="5" w:tplc="76EA57E0" w:tentative="1">
      <w:start w:val="1"/>
      <w:numFmt w:val="bullet"/>
      <w:lvlText w:val=""/>
      <w:lvlJc w:val="left"/>
      <w:pPr>
        <w:tabs>
          <w:tab w:val="num" w:pos="6588"/>
        </w:tabs>
        <w:ind w:left="6588" w:hanging="360"/>
      </w:pPr>
      <w:rPr>
        <w:rFonts w:ascii="Wingdings" w:hAnsi="Wingdings" w:hint="default"/>
      </w:rPr>
    </w:lvl>
    <w:lvl w:ilvl="6" w:tplc="89F62B7A" w:tentative="1">
      <w:start w:val="1"/>
      <w:numFmt w:val="bullet"/>
      <w:lvlText w:val=""/>
      <w:lvlJc w:val="left"/>
      <w:pPr>
        <w:tabs>
          <w:tab w:val="num" w:pos="7308"/>
        </w:tabs>
        <w:ind w:left="7308" w:hanging="360"/>
      </w:pPr>
      <w:rPr>
        <w:rFonts w:ascii="Symbol" w:hAnsi="Symbol" w:hint="default"/>
      </w:rPr>
    </w:lvl>
    <w:lvl w:ilvl="7" w:tplc="48C881E2" w:tentative="1">
      <w:start w:val="1"/>
      <w:numFmt w:val="bullet"/>
      <w:lvlText w:val="o"/>
      <w:lvlJc w:val="left"/>
      <w:pPr>
        <w:tabs>
          <w:tab w:val="num" w:pos="8028"/>
        </w:tabs>
        <w:ind w:left="8028" w:hanging="360"/>
      </w:pPr>
      <w:rPr>
        <w:rFonts w:ascii="Courier New" w:hAnsi="Courier New" w:hint="default"/>
      </w:rPr>
    </w:lvl>
    <w:lvl w:ilvl="8" w:tplc="4706127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F487683"/>
    <w:multiLevelType w:val="hybridMultilevel"/>
    <w:tmpl w:val="A29846F6"/>
    <w:lvl w:ilvl="0" w:tplc="E1F4FDAA">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4ABC5B3F"/>
    <w:multiLevelType w:val="hybridMultilevel"/>
    <w:tmpl w:val="B150F6FC"/>
    <w:lvl w:ilvl="0" w:tplc="A530B5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94854"/>
    <w:multiLevelType w:val="hybridMultilevel"/>
    <w:tmpl w:val="CF8CB61A"/>
    <w:lvl w:ilvl="0" w:tplc="20583B20">
      <w:start w:val="14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A405E0"/>
    <w:multiLevelType w:val="hybridMultilevel"/>
    <w:tmpl w:val="3AB0DB86"/>
    <w:lvl w:ilvl="0" w:tplc="839C86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AD07B2"/>
    <w:multiLevelType w:val="hybridMultilevel"/>
    <w:tmpl w:val="7FEE3222"/>
    <w:lvl w:ilvl="0" w:tplc="FD3A5470">
      <w:start w:val="1"/>
      <w:numFmt w:val="bullet"/>
      <w:lvlText w:val="•"/>
      <w:lvlJc w:val="left"/>
      <w:pPr>
        <w:tabs>
          <w:tab w:val="num" w:pos="1701"/>
        </w:tabs>
        <w:ind w:left="1701" w:hanging="170"/>
      </w:pPr>
      <w:rPr>
        <w:rFonts w:ascii="Times New Roman" w:hAnsi="Times New Roman" w:cs="Times New Roman" w:hint="default"/>
      </w:rPr>
    </w:lvl>
    <w:lvl w:ilvl="1" w:tplc="E4EA627A" w:tentative="1">
      <w:start w:val="1"/>
      <w:numFmt w:val="bullet"/>
      <w:lvlText w:val="o"/>
      <w:lvlJc w:val="left"/>
      <w:pPr>
        <w:tabs>
          <w:tab w:val="num" w:pos="3141"/>
        </w:tabs>
        <w:ind w:left="3141" w:hanging="360"/>
      </w:pPr>
      <w:rPr>
        <w:rFonts w:ascii="Courier New" w:hAnsi="Courier New" w:hint="default"/>
      </w:rPr>
    </w:lvl>
    <w:lvl w:ilvl="2" w:tplc="659C9728" w:tentative="1">
      <w:start w:val="1"/>
      <w:numFmt w:val="bullet"/>
      <w:lvlText w:val=""/>
      <w:lvlJc w:val="left"/>
      <w:pPr>
        <w:tabs>
          <w:tab w:val="num" w:pos="3861"/>
        </w:tabs>
        <w:ind w:left="3861" w:hanging="360"/>
      </w:pPr>
      <w:rPr>
        <w:rFonts w:ascii="Wingdings" w:hAnsi="Wingdings" w:hint="default"/>
      </w:rPr>
    </w:lvl>
    <w:lvl w:ilvl="3" w:tplc="5BD68B68" w:tentative="1">
      <w:start w:val="1"/>
      <w:numFmt w:val="bullet"/>
      <w:lvlText w:val=""/>
      <w:lvlJc w:val="left"/>
      <w:pPr>
        <w:tabs>
          <w:tab w:val="num" w:pos="4581"/>
        </w:tabs>
        <w:ind w:left="4581" w:hanging="360"/>
      </w:pPr>
      <w:rPr>
        <w:rFonts w:ascii="Symbol" w:hAnsi="Symbol" w:hint="default"/>
      </w:rPr>
    </w:lvl>
    <w:lvl w:ilvl="4" w:tplc="89F2914E" w:tentative="1">
      <w:start w:val="1"/>
      <w:numFmt w:val="bullet"/>
      <w:lvlText w:val="o"/>
      <w:lvlJc w:val="left"/>
      <w:pPr>
        <w:tabs>
          <w:tab w:val="num" w:pos="5301"/>
        </w:tabs>
        <w:ind w:left="5301" w:hanging="360"/>
      </w:pPr>
      <w:rPr>
        <w:rFonts w:ascii="Courier New" w:hAnsi="Courier New" w:hint="default"/>
      </w:rPr>
    </w:lvl>
    <w:lvl w:ilvl="5" w:tplc="E2428516" w:tentative="1">
      <w:start w:val="1"/>
      <w:numFmt w:val="bullet"/>
      <w:lvlText w:val=""/>
      <w:lvlJc w:val="left"/>
      <w:pPr>
        <w:tabs>
          <w:tab w:val="num" w:pos="6021"/>
        </w:tabs>
        <w:ind w:left="6021" w:hanging="360"/>
      </w:pPr>
      <w:rPr>
        <w:rFonts w:ascii="Wingdings" w:hAnsi="Wingdings" w:hint="default"/>
      </w:rPr>
    </w:lvl>
    <w:lvl w:ilvl="6" w:tplc="4426F038" w:tentative="1">
      <w:start w:val="1"/>
      <w:numFmt w:val="bullet"/>
      <w:lvlText w:val=""/>
      <w:lvlJc w:val="left"/>
      <w:pPr>
        <w:tabs>
          <w:tab w:val="num" w:pos="6741"/>
        </w:tabs>
        <w:ind w:left="6741" w:hanging="360"/>
      </w:pPr>
      <w:rPr>
        <w:rFonts w:ascii="Symbol" w:hAnsi="Symbol" w:hint="default"/>
      </w:rPr>
    </w:lvl>
    <w:lvl w:ilvl="7" w:tplc="5770F010" w:tentative="1">
      <w:start w:val="1"/>
      <w:numFmt w:val="bullet"/>
      <w:lvlText w:val="o"/>
      <w:lvlJc w:val="left"/>
      <w:pPr>
        <w:tabs>
          <w:tab w:val="num" w:pos="7461"/>
        </w:tabs>
        <w:ind w:left="7461" w:hanging="360"/>
      </w:pPr>
      <w:rPr>
        <w:rFonts w:ascii="Courier New" w:hAnsi="Courier New" w:hint="default"/>
      </w:rPr>
    </w:lvl>
    <w:lvl w:ilvl="8" w:tplc="3628EA26"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24814CA"/>
    <w:multiLevelType w:val="hybridMultilevel"/>
    <w:tmpl w:val="6E042EE0"/>
    <w:lvl w:ilvl="0" w:tplc="E1F4FDAA">
      <w:start w:val="1"/>
      <w:numFmt w:val="lowerLetter"/>
      <w:lvlText w:val="(%1)"/>
      <w:lvlJc w:val="left"/>
      <w:pPr>
        <w:ind w:left="216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0"/>
  </w:num>
  <w:num w:numId="4">
    <w:abstractNumId w:val="16"/>
  </w:num>
  <w:num w:numId="5">
    <w:abstractNumId w:val="17"/>
  </w:num>
  <w:num w:numId="6">
    <w:abstractNumId w:val="21"/>
  </w:num>
  <w:num w:numId="7">
    <w:abstractNumId w:val="5"/>
  </w:num>
  <w:num w:numId="8">
    <w:abstractNumId w:val="19"/>
  </w:num>
  <w:num w:numId="9">
    <w:abstractNumId w:val="12"/>
  </w:num>
  <w:num w:numId="10">
    <w:abstractNumId w:val="4"/>
  </w:num>
  <w:num w:numId="11">
    <w:abstractNumId w:val="14"/>
  </w:num>
  <w:num w:numId="12">
    <w:abstractNumId w:val="9"/>
  </w:num>
  <w:num w:numId="13">
    <w:abstractNumId w:val="1"/>
  </w:num>
  <w:num w:numId="14">
    <w:abstractNumId w:val="7"/>
  </w:num>
  <w:num w:numId="15">
    <w:abstractNumId w:val="15"/>
  </w:num>
  <w:num w:numId="16">
    <w:abstractNumId w:val="3"/>
  </w:num>
  <w:num w:numId="17">
    <w:abstractNumId w:val="18"/>
  </w:num>
  <w:num w:numId="18">
    <w:abstractNumId w:val="13"/>
  </w:num>
  <w:num w:numId="19">
    <w:abstractNumId w:val="11"/>
  </w:num>
  <w:num w:numId="20">
    <w:abstractNumId w:val="2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8034F"/>
    <w:rsid w:val="00007821"/>
    <w:rsid w:val="000079D9"/>
    <w:rsid w:val="00010163"/>
    <w:rsid w:val="00032BF8"/>
    <w:rsid w:val="00046E92"/>
    <w:rsid w:val="0004753D"/>
    <w:rsid w:val="000508C8"/>
    <w:rsid w:val="00056EC2"/>
    <w:rsid w:val="000704C1"/>
    <w:rsid w:val="000A288E"/>
    <w:rsid w:val="000A795E"/>
    <w:rsid w:val="000B527D"/>
    <w:rsid w:val="000C0E22"/>
    <w:rsid w:val="000D0664"/>
    <w:rsid w:val="000D1B89"/>
    <w:rsid w:val="000D5DFD"/>
    <w:rsid w:val="000E15DD"/>
    <w:rsid w:val="000E50F9"/>
    <w:rsid w:val="000F6E29"/>
    <w:rsid w:val="001170DC"/>
    <w:rsid w:val="001250CF"/>
    <w:rsid w:val="0012684D"/>
    <w:rsid w:val="00131D3D"/>
    <w:rsid w:val="00133E25"/>
    <w:rsid w:val="00137383"/>
    <w:rsid w:val="001639C5"/>
    <w:rsid w:val="00175630"/>
    <w:rsid w:val="001939E4"/>
    <w:rsid w:val="0019719D"/>
    <w:rsid w:val="001A3F64"/>
    <w:rsid w:val="001B0143"/>
    <w:rsid w:val="001C6416"/>
    <w:rsid w:val="001D20E1"/>
    <w:rsid w:val="001E02CC"/>
    <w:rsid w:val="001E3783"/>
    <w:rsid w:val="001F4207"/>
    <w:rsid w:val="00217EAE"/>
    <w:rsid w:val="00221DD4"/>
    <w:rsid w:val="002277C3"/>
    <w:rsid w:val="0024560B"/>
    <w:rsid w:val="00247DA6"/>
    <w:rsid w:val="00247E2C"/>
    <w:rsid w:val="0026416D"/>
    <w:rsid w:val="00273C97"/>
    <w:rsid w:val="00280555"/>
    <w:rsid w:val="002916A3"/>
    <w:rsid w:val="002965E2"/>
    <w:rsid w:val="002A1A14"/>
    <w:rsid w:val="002A3223"/>
    <w:rsid w:val="002A3C6F"/>
    <w:rsid w:val="002B3BC7"/>
    <w:rsid w:val="002B4402"/>
    <w:rsid w:val="002C50D2"/>
    <w:rsid w:val="002D6C53"/>
    <w:rsid w:val="002E0EEB"/>
    <w:rsid w:val="002E68F1"/>
    <w:rsid w:val="002F23D4"/>
    <w:rsid w:val="002F5595"/>
    <w:rsid w:val="00312DDA"/>
    <w:rsid w:val="00321443"/>
    <w:rsid w:val="00325D27"/>
    <w:rsid w:val="00326EF0"/>
    <w:rsid w:val="00334F6A"/>
    <w:rsid w:val="00342AC8"/>
    <w:rsid w:val="00355030"/>
    <w:rsid w:val="00355703"/>
    <w:rsid w:val="00360BF9"/>
    <w:rsid w:val="00364176"/>
    <w:rsid w:val="00366CFE"/>
    <w:rsid w:val="00387CD1"/>
    <w:rsid w:val="003905AA"/>
    <w:rsid w:val="003A4CFF"/>
    <w:rsid w:val="003B1AAF"/>
    <w:rsid w:val="003B43C6"/>
    <w:rsid w:val="003B4550"/>
    <w:rsid w:val="003B46C8"/>
    <w:rsid w:val="003C0EAD"/>
    <w:rsid w:val="003C2FEF"/>
    <w:rsid w:val="003C49B8"/>
    <w:rsid w:val="003D2B17"/>
    <w:rsid w:val="003D6F3D"/>
    <w:rsid w:val="003E07FA"/>
    <w:rsid w:val="003E4C1C"/>
    <w:rsid w:val="003E759E"/>
    <w:rsid w:val="003F5D01"/>
    <w:rsid w:val="00402B1E"/>
    <w:rsid w:val="0041379E"/>
    <w:rsid w:val="004146C9"/>
    <w:rsid w:val="0043448D"/>
    <w:rsid w:val="0045208F"/>
    <w:rsid w:val="00457B50"/>
    <w:rsid w:val="00461253"/>
    <w:rsid w:val="0048034F"/>
    <w:rsid w:val="00480F04"/>
    <w:rsid w:val="0049649B"/>
    <w:rsid w:val="004A131A"/>
    <w:rsid w:val="004B1F4F"/>
    <w:rsid w:val="004B7AC8"/>
    <w:rsid w:val="004D34EA"/>
    <w:rsid w:val="004D3CCD"/>
    <w:rsid w:val="004E38F6"/>
    <w:rsid w:val="004E3AE7"/>
    <w:rsid w:val="004E57EC"/>
    <w:rsid w:val="004E6695"/>
    <w:rsid w:val="004F243F"/>
    <w:rsid w:val="005042C2"/>
    <w:rsid w:val="00506C12"/>
    <w:rsid w:val="00511946"/>
    <w:rsid w:val="00514248"/>
    <w:rsid w:val="00517F47"/>
    <w:rsid w:val="00521730"/>
    <w:rsid w:val="00536599"/>
    <w:rsid w:val="0054251B"/>
    <w:rsid w:val="005519EF"/>
    <w:rsid w:val="0055726D"/>
    <w:rsid w:val="0056599A"/>
    <w:rsid w:val="00574339"/>
    <w:rsid w:val="005745EB"/>
    <w:rsid w:val="00576FD2"/>
    <w:rsid w:val="00585AE1"/>
    <w:rsid w:val="00587690"/>
    <w:rsid w:val="005A05E6"/>
    <w:rsid w:val="005A1946"/>
    <w:rsid w:val="005A68A4"/>
    <w:rsid w:val="005B0D52"/>
    <w:rsid w:val="005B1260"/>
    <w:rsid w:val="005C6D68"/>
    <w:rsid w:val="005E3E5C"/>
    <w:rsid w:val="005E4FEF"/>
    <w:rsid w:val="005E5A6F"/>
    <w:rsid w:val="005E68CD"/>
    <w:rsid w:val="005F582B"/>
    <w:rsid w:val="00603806"/>
    <w:rsid w:val="00611639"/>
    <w:rsid w:val="006122F6"/>
    <w:rsid w:val="00617C52"/>
    <w:rsid w:val="00623D84"/>
    <w:rsid w:val="00640848"/>
    <w:rsid w:val="0064717D"/>
    <w:rsid w:val="0066061A"/>
    <w:rsid w:val="00661C68"/>
    <w:rsid w:val="00663179"/>
    <w:rsid w:val="00671529"/>
    <w:rsid w:val="00677666"/>
    <w:rsid w:val="006832EE"/>
    <w:rsid w:val="00685176"/>
    <w:rsid w:val="006910E9"/>
    <w:rsid w:val="006A5598"/>
    <w:rsid w:val="006B446B"/>
    <w:rsid w:val="006D09FB"/>
    <w:rsid w:val="006D2364"/>
    <w:rsid w:val="006E1C6C"/>
    <w:rsid w:val="006F2E95"/>
    <w:rsid w:val="007003E2"/>
    <w:rsid w:val="0070336F"/>
    <w:rsid w:val="00710428"/>
    <w:rsid w:val="00716577"/>
    <w:rsid w:val="00716759"/>
    <w:rsid w:val="00717266"/>
    <w:rsid w:val="007268F9"/>
    <w:rsid w:val="0073478C"/>
    <w:rsid w:val="00735DD9"/>
    <w:rsid w:val="00757CB6"/>
    <w:rsid w:val="007765C2"/>
    <w:rsid w:val="007766D6"/>
    <w:rsid w:val="00795347"/>
    <w:rsid w:val="007B1E33"/>
    <w:rsid w:val="007C52B0"/>
    <w:rsid w:val="007D28F0"/>
    <w:rsid w:val="007D611E"/>
    <w:rsid w:val="007D7194"/>
    <w:rsid w:val="007F3BA3"/>
    <w:rsid w:val="00813A99"/>
    <w:rsid w:val="00835F2D"/>
    <w:rsid w:val="008376FF"/>
    <w:rsid w:val="00837EEE"/>
    <w:rsid w:val="00854165"/>
    <w:rsid w:val="00864501"/>
    <w:rsid w:val="008878A2"/>
    <w:rsid w:val="00895442"/>
    <w:rsid w:val="008A0516"/>
    <w:rsid w:val="008A30F0"/>
    <w:rsid w:val="008A5D62"/>
    <w:rsid w:val="008B2194"/>
    <w:rsid w:val="008B29EE"/>
    <w:rsid w:val="008B4DBE"/>
    <w:rsid w:val="008B6B1E"/>
    <w:rsid w:val="008C5838"/>
    <w:rsid w:val="008C6247"/>
    <w:rsid w:val="008F5474"/>
    <w:rsid w:val="00922F53"/>
    <w:rsid w:val="00937BEB"/>
    <w:rsid w:val="009411B4"/>
    <w:rsid w:val="00943600"/>
    <w:rsid w:val="00946551"/>
    <w:rsid w:val="00947D58"/>
    <w:rsid w:val="009629CB"/>
    <w:rsid w:val="009657BD"/>
    <w:rsid w:val="00965FF9"/>
    <w:rsid w:val="00970DA8"/>
    <w:rsid w:val="009915CC"/>
    <w:rsid w:val="00991E21"/>
    <w:rsid w:val="009B204A"/>
    <w:rsid w:val="009B487E"/>
    <w:rsid w:val="009B6604"/>
    <w:rsid w:val="009D0139"/>
    <w:rsid w:val="009D7FF3"/>
    <w:rsid w:val="009F5CDC"/>
    <w:rsid w:val="009F73CE"/>
    <w:rsid w:val="00A16AFF"/>
    <w:rsid w:val="00A27E53"/>
    <w:rsid w:val="00A37C1B"/>
    <w:rsid w:val="00A4187D"/>
    <w:rsid w:val="00A429CD"/>
    <w:rsid w:val="00A56CE5"/>
    <w:rsid w:val="00A65D4A"/>
    <w:rsid w:val="00A74629"/>
    <w:rsid w:val="00A775CF"/>
    <w:rsid w:val="00A84E0F"/>
    <w:rsid w:val="00A8575C"/>
    <w:rsid w:val="00A86F68"/>
    <w:rsid w:val="00A915B7"/>
    <w:rsid w:val="00A928EE"/>
    <w:rsid w:val="00AA5800"/>
    <w:rsid w:val="00AA78E2"/>
    <w:rsid w:val="00AB14F0"/>
    <w:rsid w:val="00AB3C7E"/>
    <w:rsid w:val="00AC33DD"/>
    <w:rsid w:val="00AC626D"/>
    <w:rsid w:val="00AD671C"/>
    <w:rsid w:val="00AF619A"/>
    <w:rsid w:val="00AF7334"/>
    <w:rsid w:val="00B06045"/>
    <w:rsid w:val="00B100F5"/>
    <w:rsid w:val="00B216B5"/>
    <w:rsid w:val="00B25A3C"/>
    <w:rsid w:val="00B32B3C"/>
    <w:rsid w:val="00B43F83"/>
    <w:rsid w:val="00B44D76"/>
    <w:rsid w:val="00B751AB"/>
    <w:rsid w:val="00B91A18"/>
    <w:rsid w:val="00B96102"/>
    <w:rsid w:val="00BA5A42"/>
    <w:rsid w:val="00BC0E7E"/>
    <w:rsid w:val="00BC7595"/>
    <w:rsid w:val="00BD3AE9"/>
    <w:rsid w:val="00BD5303"/>
    <w:rsid w:val="00BE1F3B"/>
    <w:rsid w:val="00BE3866"/>
    <w:rsid w:val="00BE5022"/>
    <w:rsid w:val="00BF6955"/>
    <w:rsid w:val="00C13D6E"/>
    <w:rsid w:val="00C21127"/>
    <w:rsid w:val="00C21DD7"/>
    <w:rsid w:val="00C25EDA"/>
    <w:rsid w:val="00C304FF"/>
    <w:rsid w:val="00C35A27"/>
    <w:rsid w:val="00C448F7"/>
    <w:rsid w:val="00C50D70"/>
    <w:rsid w:val="00C53CC5"/>
    <w:rsid w:val="00C56946"/>
    <w:rsid w:val="00C86788"/>
    <w:rsid w:val="00C97036"/>
    <w:rsid w:val="00CA7736"/>
    <w:rsid w:val="00CB1984"/>
    <w:rsid w:val="00CB232E"/>
    <w:rsid w:val="00CB4FF8"/>
    <w:rsid w:val="00CE745A"/>
    <w:rsid w:val="00D07EBD"/>
    <w:rsid w:val="00D1695D"/>
    <w:rsid w:val="00D25A4E"/>
    <w:rsid w:val="00D407B6"/>
    <w:rsid w:val="00D4243B"/>
    <w:rsid w:val="00D44268"/>
    <w:rsid w:val="00D472C0"/>
    <w:rsid w:val="00D51157"/>
    <w:rsid w:val="00D555F9"/>
    <w:rsid w:val="00D7681B"/>
    <w:rsid w:val="00D90E7D"/>
    <w:rsid w:val="00D918D5"/>
    <w:rsid w:val="00D93775"/>
    <w:rsid w:val="00DA06FE"/>
    <w:rsid w:val="00DA3E6A"/>
    <w:rsid w:val="00DC3C7B"/>
    <w:rsid w:val="00DD20E4"/>
    <w:rsid w:val="00DD7100"/>
    <w:rsid w:val="00DF00EB"/>
    <w:rsid w:val="00E0061F"/>
    <w:rsid w:val="00E02C2B"/>
    <w:rsid w:val="00E108A1"/>
    <w:rsid w:val="00E14E71"/>
    <w:rsid w:val="00E222FF"/>
    <w:rsid w:val="00E232EB"/>
    <w:rsid w:val="00E24663"/>
    <w:rsid w:val="00E25709"/>
    <w:rsid w:val="00E33675"/>
    <w:rsid w:val="00E56CD5"/>
    <w:rsid w:val="00E62C46"/>
    <w:rsid w:val="00E63775"/>
    <w:rsid w:val="00E65A97"/>
    <w:rsid w:val="00E665C4"/>
    <w:rsid w:val="00E66FE9"/>
    <w:rsid w:val="00E7062E"/>
    <w:rsid w:val="00E929D6"/>
    <w:rsid w:val="00EB43A1"/>
    <w:rsid w:val="00ED6C48"/>
    <w:rsid w:val="00EE6776"/>
    <w:rsid w:val="00EE702C"/>
    <w:rsid w:val="00EF5D3F"/>
    <w:rsid w:val="00EF76C5"/>
    <w:rsid w:val="00F35E25"/>
    <w:rsid w:val="00F41B80"/>
    <w:rsid w:val="00F464FA"/>
    <w:rsid w:val="00F504AB"/>
    <w:rsid w:val="00F53882"/>
    <w:rsid w:val="00F65F5D"/>
    <w:rsid w:val="00F82DD7"/>
    <w:rsid w:val="00F86A3A"/>
    <w:rsid w:val="00FA10F1"/>
    <w:rsid w:val="00FB1744"/>
    <w:rsid w:val="00FC04AB"/>
    <w:rsid w:val="00FC2729"/>
    <w:rsid w:val="00FC614C"/>
    <w:rsid w:val="00FC70BA"/>
    <w:rsid w:val="00FD2B09"/>
    <w:rsid w:val="00FD6D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9F57931"/>
  <w15:docId w15:val="{74BFC159-4992-48AD-A2A8-84AD2ED5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3E07F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3E07FA"/>
    <w:pPr>
      <w:keepNext/>
      <w:keepLines/>
      <w:tabs>
        <w:tab w:val="right" w:pos="851"/>
      </w:tabs>
      <w:spacing w:before="360" w:after="240" w:line="270" w:lineRule="exact"/>
      <w:ind w:left="1134" w:right="1134" w:hanging="1134"/>
      <w:outlineLvl w:val="2"/>
    </w:pPr>
    <w:rPr>
      <w:b/>
      <w:sz w:val="24"/>
      <w:lang w:val="en-US"/>
    </w:rPr>
  </w:style>
  <w:style w:type="paragraph" w:customStyle="1" w:styleId="H23G">
    <w:name w:val="_ H_2/3_G"/>
    <w:basedOn w:val="Normal"/>
    <w:next w:val="Normal"/>
    <w:qFormat/>
    <w:rsid w:val="00355030"/>
    <w:pPr>
      <w:keepNext/>
      <w:keepLines/>
      <w:tabs>
        <w:tab w:val="right" w:pos="851"/>
      </w:tabs>
      <w:spacing w:before="240" w:after="120" w:line="240" w:lineRule="exact"/>
      <w:ind w:left="1134" w:right="1134" w:hanging="1134"/>
      <w:outlineLvl w:val="3"/>
    </w:pPr>
    <w:rPr>
      <w:b/>
      <w:lang w:val="en-US"/>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semiHidden/>
    <w:rsid w:val="00221DD4"/>
    <w:rPr>
      <w:color w:val="0000FF"/>
      <w:u w:val="none"/>
    </w:rPr>
  </w:style>
  <w:style w:type="character" w:styleId="FollowedHyperlink">
    <w:name w:val="FollowedHyperlink"/>
    <w:basedOn w:val="DefaultParagraphFont"/>
    <w:semiHidden/>
    <w:rsid w:val="00221DD4"/>
    <w:rPr>
      <w:color w:val="0000FF"/>
      <w:u w:val="none"/>
    </w:rPr>
  </w:style>
  <w:style w:type="paragraph" w:customStyle="1" w:styleId="SingleTxt">
    <w:name w:val="__Single Txt"/>
    <w:basedOn w:val="Normal"/>
    <w:rsid w:val="00221D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styleId="CommentReference">
    <w:name w:val="annotation reference"/>
    <w:basedOn w:val="DefaultParagraphFont"/>
    <w:uiPriority w:val="99"/>
    <w:semiHidden/>
    <w:unhideWhenUsed/>
    <w:rsid w:val="00B751AB"/>
    <w:rPr>
      <w:sz w:val="16"/>
      <w:szCs w:val="16"/>
    </w:rPr>
  </w:style>
  <w:style w:type="paragraph" w:styleId="CommentText">
    <w:name w:val="annotation text"/>
    <w:basedOn w:val="Normal"/>
    <w:link w:val="CommentTextChar"/>
    <w:uiPriority w:val="99"/>
    <w:semiHidden/>
    <w:unhideWhenUsed/>
    <w:rsid w:val="00B751AB"/>
    <w:pPr>
      <w:spacing w:line="240" w:lineRule="auto"/>
    </w:pPr>
  </w:style>
  <w:style w:type="character" w:customStyle="1" w:styleId="CommentTextChar">
    <w:name w:val="Comment Text Char"/>
    <w:basedOn w:val="DefaultParagraphFont"/>
    <w:link w:val="CommentText"/>
    <w:uiPriority w:val="99"/>
    <w:semiHidden/>
    <w:rsid w:val="00B751A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751AB"/>
    <w:rPr>
      <w:b/>
      <w:bCs/>
    </w:rPr>
  </w:style>
  <w:style w:type="character" w:customStyle="1" w:styleId="CommentSubjectChar">
    <w:name w:val="Comment Subject Char"/>
    <w:basedOn w:val="CommentTextChar"/>
    <w:link w:val="CommentSubject"/>
    <w:uiPriority w:val="99"/>
    <w:semiHidden/>
    <w:rsid w:val="00B751A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Word_Document1.docx"/><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9.gif"/><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41</Pages>
  <Words>17143</Words>
  <Characters>91258</Characters>
  <Application>Microsoft Office Word</Application>
  <DocSecurity>0</DocSecurity>
  <Lines>2701</Lines>
  <Paragraphs>1623</Paragraphs>
  <ScaleCrop>false</ScaleCrop>
  <HeadingPairs>
    <vt:vector size="2" baseType="variant">
      <vt:variant>
        <vt:lpstr>Title</vt:lpstr>
      </vt:variant>
      <vt:variant>
        <vt:i4>1</vt:i4>
      </vt:variant>
    </vt:vector>
  </HeadingPairs>
  <TitlesOfParts>
    <vt:vector size="1" baseType="lpstr">
      <vt:lpstr>E/C.12/MWI/1</vt:lpstr>
    </vt:vector>
  </TitlesOfParts>
  <Company>DCM</Company>
  <LinksUpToDate>false</LinksUpToDate>
  <CharactersWithSpaces>107238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E/C.12/MWI/1</dc:title>
  <dc:subject>2210001</dc:subject>
  <dc:creator>cg</dc:creator>
  <cp:keywords/>
  <dc:description/>
  <cp:lastModifiedBy>Maria Rosario Corazon Gatmaytan</cp:lastModifiedBy>
  <cp:revision>2</cp:revision>
  <dcterms:created xsi:type="dcterms:W3CDTF">2022-06-24T14:38:00Z</dcterms:created>
  <dcterms:modified xsi:type="dcterms:W3CDTF">2022-06-24T14:38:00Z</dcterms:modified>
</cp:coreProperties>
</file>