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5C25C2D" w14:textId="77777777" w:rsidTr="0002432E">
        <w:trPr>
          <w:trHeight w:hRule="exact" w:val="851"/>
        </w:trPr>
        <w:tc>
          <w:tcPr>
            <w:tcW w:w="1276" w:type="dxa"/>
            <w:tcBorders>
              <w:bottom w:val="single" w:sz="4" w:space="0" w:color="auto"/>
            </w:tcBorders>
          </w:tcPr>
          <w:p w14:paraId="2ACD9C3B" w14:textId="77777777" w:rsidR="0080236C" w:rsidRPr="00DB58B5" w:rsidRDefault="0080236C" w:rsidP="00937D42"/>
        </w:tc>
        <w:tc>
          <w:tcPr>
            <w:tcW w:w="2268" w:type="dxa"/>
            <w:tcBorders>
              <w:bottom w:val="single" w:sz="4" w:space="0" w:color="auto"/>
            </w:tcBorders>
            <w:vAlign w:val="bottom"/>
          </w:tcPr>
          <w:p w14:paraId="2CEF3CD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FD7019" w14:textId="72EB3D9D" w:rsidR="0080236C" w:rsidRPr="00DB58B5" w:rsidRDefault="00937D42" w:rsidP="00937D42">
            <w:pPr>
              <w:jc w:val="right"/>
            </w:pPr>
            <w:r w:rsidRPr="00937D42">
              <w:rPr>
                <w:sz w:val="40"/>
              </w:rPr>
              <w:t>E</w:t>
            </w:r>
            <w:r>
              <w:t>/C</w:t>
            </w:r>
            <w:r w:rsidR="003E2853" w:rsidRPr="003E2853">
              <w:t>.</w:t>
            </w:r>
            <w:r>
              <w:t>12/KAZ/FCO/2</w:t>
            </w:r>
          </w:p>
        </w:tc>
      </w:tr>
      <w:tr w:rsidR="0080236C" w:rsidRPr="00DB58B5" w14:paraId="1A410134" w14:textId="77777777" w:rsidTr="0002432E">
        <w:trPr>
          <w:trHeight w:hRule="exact" w:val="2835"/>
        </w:trPr>
        <w:tc>
          <w:tcPr>
            <w:tcW w:w="1276" w:type="dxa"/>
            <w:tcBorders>
              <w:top w:val="single" w:sz="4" w:space="0" w:color="auto"/>
              <w:bottom w:val="single" w:sz="12" w:space="0" w:color="auto"/>
            </w:tcBorders>
          </w:tcPr>
          <w:p w14:paraId="4C57162B" w14:textId="77777777" w:rsidR="0080236C" w:rsidRPr="00DB58B5" w:rsidRDefault="0080236C" w:rsidP="0002432E">
            <w:pPr>
              <w:spacing w:before="120"/>
              <w:jc w:val="center"/>
            </w:pPr>
            <w:r>
              <w:rPr>
                <w:noProof/>
                <w:lang w:eastAsia="fr-CH"/>
              </w:rPr>
              <w:drawing>
                <wp:inline distT="0" distB="0" distL="0" distR="0" wp14:anchorId="597CCEFD" wp14:editId="241D96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FA581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89B188" w14:textId="4B497B1E" w:rsidR="0080236C" w:rsidRDefault="00937D42" w:rsidP="0002432E">
            <w:pPr>
              <w:spacing w:before="240"/>
            </w:pPr>
            <w:proofErr w:type="spellStart"/>
            <w:r>
              <w:t>Distr</w:t>
            </w:r>
            <w:proofErr w:type="spellEnd"/>
            <w:r w:rsidR="003E2853" w:rsidRPr="003E2853">
              <w:t>.</w:t>
            </w:r>
            <w:r>
              <w:t xml:space="preserve"> générale</w:t>
            </w:r>
          </w:p>
          <w:p w14:paraId="6C486C26" w14:textId="77777777" w:rsidR="00937D42" w:rsidRDefault="00937D42" w:rsidP="00937D42">
            <w:pPr>
              <w:spacing w:line="240" w:lineRule="exact"/>
            </w:pPr>
            <w:r>
              <w:t>28 avril 2021</w:t>
            </w:r>
          </w:p>
          <w:p w14:paraId="3D82773E" w14:textId="77777777" w:rsidR="00937D42" w:rsidRDefault="00937D42" w:rsidP="00937D42">
            <w:pPr>
              <w:spacing w:line="240" w:lineRule="exact"/>
            </w:pPr>
            <w:r>
              <w:t>Français</w:t>
            </w:r>
          </w:p>
          <w:p w14:paraId="0A40B76C" w14:textId="77777777" w:rsidR="00937D42" w:rsidRDefault="00937D42" w:rsidP="00937D42">
            <w:pPr>
              <w:spacing w:line="240" w:lineRule="exact"/>
            </w:pPr>
            <w:r>
              <w:t>Original : russe</w:t>
            </w:r>
          </w:p>
          <w:p w14:paraId="76118C51" w14:textId="7C1EA8E1" w:rsidR="00937D42" w:rsidRPr="00DB58B5" w:rsidRDefault="00937D42" w:rsidP="00937D42">
            <w:pPr>
              <w:spacing w:line="240" w:lineRule="exact"/>
            </w:pPr>
            <w:r>
              <w:t xml:space="preserve">Anglais, espagnol, français </w:t>
            </w:r>
            <w:r>
              <w:br/>
              <w:t>et russe seulement</w:t>
            </w:r>
          </w:p>
        </w:tc>
      </w:tr>
    </w:tbl>
    <w:p w14:paraId="4AD7F272" w14:textId="4383B62B" w:rsidR="00937D42" w:rsidRPr="00944FF5" w:rsidRDefault="00F12045" w:rsidP="00F12045">
      <w:pPr>
        <w:spacing w:before="120"/>
        <w:rPr>
          <w:sz w:val="24"/>
          <w:szCs w:val="24"/>
        </w:rPr>
      </w:pPr>
      <w:r w:rsidRPr="00944FF5">
        <w:rPr>
          <w:b/>
          <w:bCs/>
          <w:sz w:val="24"/>
          <w:szCs w:val="24"/>
          <w:lang w:val="fr-FR"/>
        </w:rPr>
        <w:t>Comité des droits économiques, sociaux et culturels</w:t>
      </w:r>
    </w:p>
    <w:p w14:paraId="695DA85D" w14:textId="6DDEFF2D" w:rsidR="00F12045" w:rsidRPr="00FF5B28" w:rsidRDefault="00F12045" w:rsidP="00F12045">
      <w:pPr>
        <w:pStyle w:val="HMG"/>
        <w:rPr>
          <w:lang w:val="fr-FR"/>
        </w:rPr>
      </w:pPr>
      <w:r w:rsidRPr="008333F3">
        <w:rPr>
          <w:lang w:val="fr-FR"/>
        </w:rPr>
        <w:tab/>
      </w:r>
      <w:r w:rsidRPr="008333F3">
        <w:rPr>
          <w:lang w:val="fr-FR"/>
        </w:rPr>
        <w:tab/>
      </w:r>
      <w:r w:rsidRPr="00FF5B28">
        <w:rPr>
          <w:lang w:val="fr-FR"/>
        </w:rPr>
        <w:t xml:space="preserve">Renseignements reçus du Kazakhstan </w:t>
      </w:r>
      <w:r>
        <w:rPr>
          <w:lang w:val="fr-FR"/>
        </w:rPr>
        <w:t xml:space="preserve">au sujet </w:t>
      </w:r>
      <w:r>
        <w:rPr>
          <w:lang w:val="fr-FR"/>
        </w:rPr>
        <w:br/>
      </w:r>
      <w:r>
        <w:rPr>
          <w:lang w:val="fr-FR"/>
        </w:rPr>
        <w:t xml:space="preserve">de </w:t>
      </w:r>
      <w:r w:rsidRPr="00FF5B28">
        <w:rPr>
          <w:lang w:val="fr-FR"/>
        </w:rPr>
        <w:t>la suite donnée a</w:t>
      </w:r>
      <w:r>
        <w:rPr>
          <w:lang w:val="fr-FR"/>
        </w:rPr>
        <w:t xml:space="preserve">ux </w:t>
      </w:r>
      <w:r w:rsidRPr="00FF5B28">
        <w:rPr>
          <w:lang w:val="fr-FR"/>
        </w:rPr>
        <w:t xml:space="preserve">observations </w:t>
      </w:r>
      <w:r>
        <w:rPr>
          <w:lang w:val="fr-FR"/>
        </w:rPr>
        <w:t>finales concernant son deuxième rapport périodique</w:t>
      </w:r>
      <w:r w:rsidRPr="00FF5B28">
        <w:rPr>
          <w:rStyle w:val="Appelnotedebasdep"/>
          <w:b w:val="0"/>
          <w:sz w:val="20"/>
          <w:vertAlign w:val="baseline"/>
          <w:lang w:val="fr-FR"/>
        </w:rPr>
        <w:footnoteReference w:customMarkFollows="1" w:id="2"/>
        <w:t>*</w:t>
      </w:r>
    </w:p>
    <w:p w14:paraId="4910DA04" w14:textId="77777777" w:rsidR="00F12045" w:rsidRPr="008333F3" w:rsidRDefault="00F12045" w:rsidP="00F12045">
      <w:pPr>
        <w:pStyle w:val="SingleTxtG"/>
        <w:jc w:val="right"/>
        <w:rPr>
          <w:lang w:val="fr-FR"/>
        </w:rPr>
      </w:pPr>
      <w:r w:rsidRPr="0074407E">
        <w:rPr>
          <w:lang w:val="fr-FR"/>
        </w:rPr>
        <w:t>[Date de réception : 10 mars 2021]</w:t>
      </w:r>
    </w:p>
    <w:p w14:paraId="2688AA50" w14:textId="77777777" w:rsidR="00F12045" w:rsidRPr="008333F3" w:rsidRDefault="00F12045" w:rsidP="00F12045">
      <w:pPr>
        <w:suppressAutoHyphens w:val="0"/>
        <w:spacing w:after="200" w:line="276" w:lineRule="auto"/>
        <w:rPr>
          <w:lang w:val="fr-FR"/>
        </w:rPr>
      </w:pPr>
      <w:r w:rsidRPr="008333F3">
        <w:rPr>
          <w:lang w:val="fr-FR"/>
        </w:rPr>
        <w:br w:type="page"/>
      </w:r>
    </w:p>
    <w:p w14:paraId="63FA9740" w14:textId="09744425" w:rsidR="00F12045" w:rsidRPr="008333F3" w:rsidRDefault="00F12045" w:rsidP="00F12045">
      <w:pPr>
        <w:pStyle w:val="SingleTxtG"/>
        <w:rPr>
          <w:iCs/>
          <w:lang w:val="fr-FR"/>
        </w:rPr>
      </w:pPr>
      <w:r>
        <w:rPr>
          <w:lang w:val="fr-FR"/>
        </w:rPr>
        <w:lastRenderedPageBreak/>
        <w:t>1</w:t>
      </w:r>
      <w:r w:rsidR="003E2853" w:rsidRPr="003E2853">
        <w:rPr>
          <w:lang w:val="fr-FR"/>
        </w:rPr>
        <w:t>.</w:t>
      </w:r>
      <w:r>
        <w:rPr>
          <w:lang w:val="fr-FR"/>
        </w:rPr>
        <w:tab/>
        <w:t>Conformément à la procédure établie pour le suivi des observations finales adoptées par le Comité, l’État partie est prié de soumettre, dans un délai maximum de vingt-quatre mois à compter de l’adoption des présentes observations, des renseignements sur la suite qu’il aura donnée aux recommandations formulées aux paragraphes concernant la non-discrimination (par</w:t>
      </w:r>
      <w:r w:rsidR="003E2853" w:rsidRPr="003E2853">
        <w:rPr>
          <w:lang w:val="fr-FR"/>
        </w:rPr>
        <w:t>.</w:t>
      </w:r>
      <w:r>
        <w:rPr>
          <w:lang w:val="fr-FR"/>
        </w:rPr>
        <w:t xml:space="preserve"> 11 a) et b)), le maximum des ressources disponibles (par</w:t>
      </w:r>
      <w:r w:rsidR="003E2853" w:rsidRPr="003E2853">
        <w:rPr>
          <w:lang w:val="fr-FR"/>
        </w:rPr>
        <w:t>.</w:t>
      </w:r>
      <w:r>
        <w:rPr>
          <w:lang w:val="fr-FR"/>
        </w:rPr>
        <w:t xml:space="preserve"> 20) et les droits syndicaux (par</w:t>
      </w:r>
      <w:r w:rsidR="003E2853" w:rsidRPr="003E2853">
        <w:rPr>
          <w:lang w:val="fr-FR"/>
        </w:rPr>
        <w:t>.</w:t>
      </w:r>
      <w:r>
        <w:rPr>
          <w:lang w:val="fr-FR"/>
        </w:rPr>
        <w:t xml:space="preserve"> 33)</w:t>
      </w:r>
      <w:r w:rsidR="003E2853" w:rsidRPr="003E2853">
        <w:rPr>
          <w:lang w:val="fr-FR"/>
        </w:rPr>
        <w:t>.</w:t>
      </w:r>
    </w:p>
    <w:p w14:paraId="1F896A70" w14:textId="255F4916" w:rsidR="00F12045" w:rsidRPr="008333F3" w:rsidRDefault="00F12045" w:rsidP="00F12045">
      <w:pPr>
        <w:pStyle w:val="HChG"/>
        <w:rPr>
          <w:lang w:val="fr-FR"/>
        </w:rPr>
      </w:pPr>
      <w:r>
        <w:rPr>
          <w:lang w:val="fr-FR"/>
        </w:rPr>
        <w:tab/>
      </w:r>
      <w:r>
        <w:rPr>
          <w:lang w:val="fr-FR"/>
        </w:rPr>
        <w:tab/>
        <w:t>Renseignements sur la suite donnée au paragraphe 11 a) et b) des observations finales (E/C</w:t>
      </w:r>
      <w:r w:rsidR="003E2853" w:rsidRPr="003E2853">
        <w:rPr>
          <w:lang w:val="fr-FR"/>
        </w:rPr>
        <w:t>.</w:t>
      </w:r>
      <w:r>
        <w:rPr>
          <w:lang w:val="fr-FR"/>
        </w:rPr>
        <w:t>12/KAZ/CO/2)</w:t>
      </w:r>
    </w:p>
    <w:p w14:paraId="75C50BA6" w14:textId="408B8C5C" w:rsidR="00F12045" w:rsidRDefault="00F12045" w:rsidP="00F12045">
      <w:pPr>
        <w:pStyle w:val="SingleTxtG"/>
        <w:rPr>
          <w:lang w:val="fr-FR"/>
        </w:rPr>
      </w:pPr>
      <w:r w:rsidRPr="00ED252A">
        <w:rPr>
          <w:lang w:val="fr-FR"/>
        </w:rPr>
        <w:t>2</w:t>
      </w:r>
      <w:r w:rsidR="003E2853" w:rsidRPr="003E2853">
        <w:rPr>
          <w:lang w:val="fr-FR"/>
        </w:rPr>
        <w:t>.</w:t>
      </w:r>
      <w:r w:rsidRPr="00ED252A">
        <w:rPr>
          <w:lang w:val="fr-FR"/>
        </w:rPr>
        <w:tab/>
      </w:r>
      <w:r>
        <w:rPr>
          <w:lang w:val="fr-FR"/>
        </w:rPr>
        <w:t xml:space="preserve">La question de l’élaboration d’une législation </w:t>
      </w:r>
      <w:proofErr w:type="spellStart"/>
      <w:r>
        <w:rPr>
          <w:lang w:val="fr-FR"/>
        </w:rPr>
        <w:t>antidiscrimination</w:t>
      </w:r>
      <w:proofErr w:type="spellEnd"/>
      <w:r>
        <w:rPr>
          <w:lang w:val="fr-FR"/>
        </w:rPr>
        <w:t xml:space="preserve"> distincte est actuellement à l’étude et l’expérience mondiale est analysée en vue de</w:t>
      </w:r>
      <w:r w:rsidR="00944FF5">
        <w:rPr>
          <w:lang w:val="fr-FR"/>
        </w:rPr>
        <w:t xml:space="preserve"> </w:t>
      </w:r>
      <w:r w:rsidRPr="004F3372">
        <w:rPr>
          <w:lang w:val="fr-FR"/>
        </w:rPr>
        <w:t xml:space="preserve">sa mise en œuvre </w:t>
      </w:r>
      <w:r w:rsidRPr="00DC5306">
        <w:rPr>
          <w:lang w:val="fr-FR"/>
        </w:rPr>
        <w:t xml:space="preserve">ultérieure </w:t>
      </w:r>
      <w:r w:rsidRPr="004F3372">
        <w:rPr>
          <w:lang w:val="fr-FR"/>
        </w:rPr>
        <w:t>dans</w:t>
      </w:r>
      <w:r w:rsidR="00944FF5">
        <w:rPr>
          <w:lang w:val="fr-FR"/>
        </w:rPr>
        <w:t xml:space="preserve"> </w:t>
      </w:r>
      <w:r w:rsidRPr="004F3372">
        <w:rPr>
          <w:lang w:val="fr-FR"/>
        </w:rPr>
        <w:t>la législation kazakhe</w:t>
      </w:r>
      <w:r w:rsidR="003E2853" w:rsidRPr="003E2853">
        <w:rPr>
          <w:lang w:val="fr-FR"/>
        </w:rPr>
        <w:t>.</w:t>
      </w:r>
    </w:p>
    <w:p w14:paraId="235CCBA7" w14:textId="5913FA07" w:rsidR="00F12045" w:rsidRDefault="00F12045" w:rsidP="00F12045">
      <w:pPr>
        <w:pStyle w:val="SingleTxtG"/>
        <w:rPr>
          <w:lang w:val="fr-FR"/>
        </w:rPr>
      </w:pPr>
      <w:r>
        <w:rPr>
          <w:lang w:val="fr-FR"/>
        </w:rPr>
        <w:t>3</w:t>
      </w:r>
      <w:r w:rsidR="003E2853" w:rsidRPr="003E2853">
        <w:rPr>
          <w:lang w:val="fr-FR"/>
        </w:rPr>
        <w:t>.</w:t>
      </w:r>
      <w:r>
        <w:rPr>
          <w:lang w:val="fr-FR"/>
        </w:rPr>
        <w:tab/>
        <w:t>De plus, l’article 14 de la Constitution dispose que nul ne peut faire l’objet d’une quelconque discrimination et que tous les citoyens sont égaux devant la loi</w:t>
      </w:r>
      <w:r w:rsidR="003E2853" w:rsidRPr="003E2853">
        <w:rPr>
          <w:lang w:val="fr-FR"/>
        </w:rPr>
        <w:t>.</w:t>
      </w:r>
    </w:p>
    <w:p w14:paraId="39FD9252" w14:textId="1EB766CF" w:rsidR="00F12045" w:rsidRDefault="00F12045" w:rsidP="00F12045">
      <w:pPr>
        <w:pStyle w:val="SingleTxtG"/>
        <w:rPr>
          <w:lang w:val="fr-FR"/>
        </w:rPr>
      </w:pPr>
      <w:r>
        <w:rPr>
          <w:lang w:val="fr-FR"/>
        </w:rPr>
        <w:t>4</w:t>
      </w:r>
      <w:r w:rsidR="003E2853" w:rsidRPr="003E2853">
        <w:rPr>
          <w:lang w:val="fr-FR"/>
        </w:rPr>
        <w:t>.</w:t>
      </w:r>
      <w:r>
        <w:rPr>
          <w:lang w:val="fr-FR"/>
        </w:rPr>
        <w:tab/>
        <w:t>Dans la législation kazakhe, l’équivalent du</w:t>
      </w:r>
      <w:r w:rsidR="00944FF5">
        <w:rPr>
          <w:lang w:val="fr-FR"/>
        </w:rPr>
        <w:t xml:space="preserve"> </w:t>
      </w:r>
      <w:r>
        <w:rPr>
          <w:lang w:val="fr-FR"/>
        </w:rPr>
        <w:t>terme « discrimination » est le terme « atteinte à l’égalité des droits</w:t>
      </w:r>
      <w:r w:rsidR="00D80AED">
        <w:rPr>
          <w:lang w:val="fr-FR"/>
        </w:rPr>
        <w:t xml:space="preserve"> </w:t>
      </w:r>
      <w:r>
        <w:rPr>
          <w:lang w:val="fr-FR"/>
        </w:rPr>
        <w:t>des citoyens</w:t>
      </w:r>
      <w:r w:rsidR="00D80AED">
        <w:rPr>
          <w:lang w:val="fr-FR"/>
        </w:rPr>
        <w:t> </w:t>
      </w:r>
      <w:r>
        <w:rPr>
          <w:lang w:val="fr-FR"/>
        </w:rPr>
        <w:t xml:space="preserve">» </w:t>
      </w:r>
      <w:r w:rsidRPr="00DC5306">
        <w:rPr>
          <w:i/>
          <w:lang w:val="fr-FR"/>
        </w:rPr>
        <w:t>(art</w:t>
      </w:r>
      <w:r w:rsidR="003E2853" w:rsidRPr="003E2853">
        <w:rPr>
          <w:i/>
          <w:lang w:val="fr-FR"/>
        </w:rPr>
        <w:t>.</w:t>
      </w:r>
      <w:r w:rsidR="00D80AED">
        <w:rPr>
          <w:i/>
          <w:lang w:val="fr-FR"/>
        </w:rPr>
        <w:t> </w:t>
      </w:r>
      <w:r w:rsidRPr="00DC5306">
        <w:rPr>
          <w:i/>
          <w:lang w:val="fr-FR"/>
        </w:rPr>
        <w:t>145</w:t>
      </w:r>
      <w:r>
        <w:rPr>
          <w:lang w:val="fr-FR"/>
        </w:rPr>
        <w:t xml:space="preserve"> du </w:t>
      </w:r>
      <w:r w:rsidRPr="00DC5306">
        <w:rPr>
          <w:i/>
          <w:lang w:val="fr-FR"/>
        </w:rPr>
        <w:t>Code pénal kazakh du 3 juillet 2014)</w:t>
      </w:r>
      <w:r>
        <w:rPr>
          <w:lang w:val="fr-FR"/>
        </w:rPr>
        <w:t>, qui est défini comme le fait de restreindre directement ou indirectement les droits et libertés de l’homme et du citoyen pour des motifs tenant à</w:t>
      </w:r>
      <w:r w:rsidR="00944FF5">
        <w:rPr>
          <w:lang w:val="fr-FR"/>
        </w:rPr>
        <w:t xml:space="preserve"> </w:t>
      </w:r>
      <w:r>
        <w:rPr>
          <w:lang w:val="fr-FR"/>
        </w:rPr>
        <w:t>l’origine, au statut social, à la fonction, à la fortune, au sexe, à la race, à la nationalité, à la langue, à l’attitude à l’égard de la religion, aux convictions, au</w:t>
      </w:r>
      <w:r w:rsidR="00944FF5">
        <w:rPr>
          <w:lang w:val="fr-FR"/>
        </w:rPr>
        <w:t xml:space="preserve"> </w:t>
      </w:r>
      <w:r>
        <w:rPr>
          <w:lang w:val="fr-FR"/>
        </w:rPr>
        <w:t>domicile ou à toute autre situation</w:t>
      </w:r>
      <w:r w:rsidR="003E2853" w:rsidRPr="003E2853">
        <w:rPr>
          <w:lang w:val="fr-FR"/>
        </w:rPr>
        <w:t>.</w:t>
      </w:r>
    </w:p>
    <w:p w14:paraId="4FE326A9" w14:textId="079CD53E" w:rsidR="00F12045" w:rsidRDefault="00F12045" w:rsidP="00F12045">
      <w:pPr>
        <w:pStyle w:val="SingleTxtG"/>
        <w:rPr>
          <w:lang w:val="fr-FR"/>
        </w:rPr>
      </w:pPr>
      <w:r>
        <w:rPr>
          <w:lang w:val="fr-FR"/>
        </w:rPr>
        <w:t>5</w:t>
      </w:r>
      <w:r w:rsidR="003E2853" w:rsidRPr="003E2853">
        <w:rPr>
          <w:lang w:val="fr-FR"/>
        </w:rPr>
        <w:t>.</w:t>
      </w:r>
      <w:r>
        <w:rPr>
          <w:lang w:val="fr-FR"/>
        </w:rPr>
        <w:tab/>
        <w:t>En outre, les traités internationaux consacrent l’interdiction de la discrimination à l’égard</w:t>
      </w:r>
      <w:r w:rsidR="00944FF5">
        <w:rPr>
          <w:lang w:val="fr-FR"/>
        </w:rPr>
        <w:t xml:space="preserve"> </w:t>
      </w:r>
      <w:r>
        <w:rPr>
          <w:lang w:val="fr-FR"/>
        </w:rPr>
        <w:t>des citoyens et</w:t>
      </w:r>
      <w:r w:rsidR="00944FF5">
        <w:rPr>
          <w:lang w:val="fr-FR"/>
        </w:rPr>
        <w:t xml:space="preserve"> </w:t>
      </w:r>
      <w:r>
        <w:rPr>
          <w:lang w:val="fr-FR"/>
        </w:rPr>
        <w:t>précisent tous les motifs de discrimination</w:t>
      </w:r>
      <w:r w:rsidR="003E2853" w:rsidRPr="003E2853">
        <w:rPr>
          <w:lang w:val="fr-FR"/>
        </w:rPr>
        <w:t>.</w:t>
      </w:r>
    </w:p>
    <w:p w14:paraId="584EF730" w14:textId="6BFDA04B" w:rsidR="00F12045" w:rsidRPr="004D3F5B" w:rsidRDefault="00F12045" w:rsidP="00F12045">
      <w:pPr>
        <w:pStyle w:val="SingleTxtG"/>
        <w:rPr>
          <w:lang w:val="fr-FR"/>
        </w:rPr>
      </w:pPr>
      <w:r>
        <w:rPr>
          <w:lang w:val="fr-FR"/>
        </w:rPr>
        <w:t>6</w:t>
      </w:r>
      <w:r w:rsidR="003E2853" w:rsidRPr="003E2853">
        <w:rPr>
          <w:lang w:val="fr-FR"/>
        </w:rPr>
        <w:t>.</w:t>
      </w:r>
      <w:r>
        <w:rPr>
          <w:lang w:val="fr-FR"/>
        </w:rPr>
        <w:tab/>
        <w:t xml:space="preserve">Ainsi, le Kazakhstan a ratifié les principaux traités internationaux comportant des dispositions relatives à la non-discrimination, en particulier la Convention internationale sur l’élimination de toutes les formes de discrimination raciale, la Convention sur l’élimination de toutes les formes de discrimination à l’égard des femmes, la Convention relative aux droits de l’enfant, la Convention relative au statut des réfugiés, la </w:t>
      </w:r>
      <w:r w:rsidRPr="00A91ACE">
        <w:rPr>
          <w:lang w:val="fr-FR"/>
        </w:rPr>
        <w:t xml:space="preserve">Convention sur </w:t>
      </w:r>
      <w:r>
        <w:rPr>
          <w:lang w:val="fr-FR"/>
        </w:rPr>
        <w:t xml:space="preserve">l’égalité de rémunération </w:t>
      </w:r>
      <w:r w:rsidRPr="00A91ACE">
        <w:rPr>
          <w:lang w:val="fr-FR"/>
        </w:rPr>
        <w:t>(</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100</w:t>
      </w:r>
      <w:r w:rsidRPr="00A91ACE">
        <w:rPr>
          <w:lang w:val="fr-FR"/>
        </w:rPr>
        <w:t>) de l</w:t>
      </w:r>
      <w:r>
        <w:rPr>
          <w:lang w:val="fr-FR"/>
        </w:rPr>
        <w:t>’</w:t>
      </w:r>
      <w:r w:rsidRPr="00A91ACE">
        <w:rPr>
          <w:lang w:val="fr-FR"/>
        </w:rPr>
        <w:t>Organisation internationale du Travail</w:t>
      </w:r>
      <w:r>
        <w:rPr>
          <w:lang w:val="fr-FR"/>
        </w:rPr>
        <w:t xml:space="preserve"> (OIT), la </w:t>
      </w:r>
      <w:r w:rsidRPr="002C709E">
        <w:rPr>
          <w:lang w:val="fr-FR"/>
        </w:rPr>
        <w:t xml:space="preserve">Convention </w:t>
      </w:r>
      <w:r>
        <w:rPr>
          <w:lang w:val="fr-FR"/>
        </w:rPr>
        <w:t>concernant la discrimination</w:t>
      </w:r>
      <w:r w:rsidR="00944FF5">
        <w:rPr>
          <w:lang w:val="fr-FR"/>
        </w:rPr>
        <w:t xml:space="preserve"> </w:t>
      </w:r>
      <w:r>
        <w:rPr>
          <w:lang w:val="fr-FR"/>
        </w:rPr>
        <w:t>en matière d’emploi et de profession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 xml:space="preserve">111) de l’OIT, la Convention </w:t>
      </w:r>
      <w:r w:rsidRPr="002C709E">
        <w:rPr>
          <w:lang w:val="fr-FR"/>
        </w:rPr>
        <w:t xml:space="preserve">sur </w:t>
      </w:r>
      <w:r>
        <w:rPr>
          <w:lang w:val="fr-FR"/>
        </w:rPr>
        <w:t>les travailleurs ayant des responsabilités familiales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156) de l’OIT, et d’autres encore</w:t>
      </w:r>
      <w:r w:rsidR="003E2853" w:rsidRPr="003E2853">
        <w:rPr>
          <w:lang w:val="fr-FR"/>
        </w:rPr>
        <w:t>.</w:t>
      </w:r>
    </w:p>
    <w:p w14:paraId="686DC573" w14:textId="3406F4B4" w:rsidR="00F12045" w:rsidRPr="008333F3" w:rsidRDefault="00F12045" w:rsidP="00F12045">
      <w:pPr>
        <w:pStyle w:val="SingleTxtG"/>
        <w:rPr>
          <w:lang w:val="fr-FR"/>
        </w:rPr>
      </w:pPr>
      <w:r>
        <w:rPr>
          <w:lang w:val="fr-FR"/>
        </w:rPr>
        <w:t>7</w:t>
      </w:r>
      <w:r w:rsidR="003E2853" w:rsidRPr="003E2853">
        <w:rPr>
          <w:lang w:val="fr-FR"/>
        </w:rPr>
        <w:t>.</w:t>
      </w:r>
      <w:r>
        <w:rPr>
          <w:lang w:val="fr-FR"/>
        </w:rPr>
        <w:tab/>
        <w:t>Par exemple, l’article 2 de la Convention relative aux droits de l’enfant impose aux États parties de respecter les droits qui sont énoncés dans la Convention et de les garantir à tout enfant relevant de leur juridiction, sans distinction aucune, indépendamment de toute considération de race, de couleur, de sexe, de langue, de religion, d’opinion politique ou autre de l’enfant ou de ses parents ou représentants légaux, de leur origine nationale, ethnique ou sociale, de leur situation de fortune, de leur incapacité, de leur naissance ou de toute autre situation</w:t>
      </w:r>
      <w:r w:rsidR="003E2853" w:rsidRPr="003E2853">
        <w:rPr>
          <w:lang w:val="fr-FR"/>
        </w:rPr>
        <w:t>.</w:t>
      </w:r>
    </w:p>
    <w:p w14:paraId="563CC4E3" w14:textId="368D5719" w:rsidR="00F12045" w:rsidRDefault="00F12045" w:rsidP="00F12045">
      <w:pPr>
        <w:pStyle w:val="SingleTxtG"/>
        <w:rPr>
          <w:lang w:val="fr-FR"/>
        </w:rPr>
      </w:pPr>
      <w:r w:rsidRPr="0078272C">
        <w:rPr>
          <w:lang w:val="fr-FR"/>
        </w:rPr>
        <w:t>8</w:t>
      </w:r>
      <w:r w:rsidR="003E2853" w:rsidRPr="003E2853">
        <w:rPr>
          <w:lang w:val="fr-FR"/>
        </w:rPr>
        <w:t>.</w:t>
      </w:r>
      <w:r w:rsidRPr="0078272C">
        <w:rPr>
          <w:lang w:val="fr-FR"/>
        </w:rPr>
        <w:tab/>
      </w:r>
      <w:r>
        <w:rPr>
          <w:lang w:val="fr-FR"/>
        </w:rPr>
        <w:t xml:space="preserve">De même, en 1998, le Kazakhstan a adhéré à la Convention sur l’élimination de toutes les formes de discrimination à l’égard des femmes et, depuis, la notion de « discrimination » </w:t>
      </w:r>
      <w:r w:rsidRPr="00D80AED">
        <w:rPr>
          <w:lang w:val="fr-FR"/>
        </w:rPr>
        <w:t>(</w:t>
      </w:r>
      <w:r w:rsidRPr="00DC5306">
        <w:rPr>
          <w:i/>
          <w:iCs/>
          <w:lang w:val="fr-FR"/>
        </w:rPr>
        <w:t>art</w:t>
      </w:r>
      <w:r w:rsidR="003E2853" w:rsidRPr="003E2853">
        <w:rPr>
          <w:i/>
          <w:iCs/>
          <w:lang w:val="fr-FR"/>
        </w:rPr>
        <w:t>.</w:t>
      </w:r>
      <w:r w:rsidRPr="00DC5306">
        <w:rPr>
          <w:i/>
          <w:iCs/>
          <w:lang w:val="fr-FR"/>
        </w:rPr>
        <w:t xml:space="preserve"> </w:t>
      </w:r>
      <w:r>
        <w:rPr>
          <w:i/>
          <w:iCs/>
          <w:lang w:val="fr-FR"/>
        </w:rPr>
        <w:t>1</w:t>
      </w:r>
      <w:r w:rsidRPr="00DC5306">
        <w:rPr>
          <w:i/>
          <w:iCs/>
          <w:lang w:val="fr-FR"/>
        </w:rPr>
        <w:t xml:space="preserve"> de la Convention</w:t>
      </w:r>
      <w:r w:rsidRPr="00D80AED">
        <w:rPr>
          <w:lang w:val="fr-FR"/>
        </w:rPr>
        <w:t>)</w:t>
      </w:r>
      <w:r>
        <w:rPr>
          <w:lang w:val="fr-FR"/>
        </w:rPr>
        <w:t xml:space="preserve"> est largement employée dans la pratique juridique ainsi que dans</w:t>
      </w:r>
      <w:r w:rsidR="00944FF5">
        <w:rPr>
          <w:lang w:val="fr-FR"/>
        </w:rPr>
        <w:t xml:space="preserve"> </w:t>
      </w:r>
      <w:r>
        <w:rPr>
          <w:lang w:val="fr-FR"/>
        </w:rPr>
        <w:t>la Constitution, les lois et les actes réglementaires</w:t>
      </w:r>
      <w:r w:rsidR="003E2853" w:rsidRPr="003E2853">
        <w:rPr>
          <w:lang w:val="fr-FR"/>
        </w:rPr>
        <w:t>.</w:t>
      </w:r>
    </w:p>
    <w:p w14:paraId="745A18D2" w14:textId="1E4B7319" w:rsidR="00F12045" w:rsidRDefault="00F12045" w:rsidP="00F12045">
      <w:pPr>
        <w:pStyle w:val="SingleTxtG"/>
        <w:rPr>
          <w:lang w:val="fr-FR"/>
        </w:rPr>
      </w:pPr>
      <w:r>
        <w:rPr>
          <w:lang w:val="fr-FR"/>
        </w:rPr>
        <w:t>9</w:t>
      </w:r>
      <w:r w:rsidR="003E2853" w:rsidRPr="003E2853">
        <w:rPr>
          <w:lang w:val="fr-FR"/>
        </w:rPr>
        <w:t>.</w:t>
      </w:r>
      <w:r>
        <w:rPr>
          <w:lang w:val="fr-FR"/>
        </w:rPr>
        <w:tab/>
        <w:t>La loi relative aux garanties publiques en matière d’égalité des droits et des chances entre les hommes et les femmes a été adoptée en 2009</w:t>
      </w:r>
      <w:r w:rsidR="003E2853" w:rsidRPr="003E2853">
        <w:rPr>
          <w:lang w:val="fr-FR"/>
        </w:rPr>
        <w:t>.</w:t>
      </w:r>
      <w:r>
        <w:rPr>
          <w:lang w:val="fr-FR"/>
        </w:rPr>
        <w:t xml:space="preserve"> Elle définit la notion de « discrimination fondée sur le sexe » comme « </w:t>
      </w:r>
      <w:r>
        <w:t>toute restriction des</w:t>
      </w:r>
      <w:r w:rsidR="00944FF5">
        <w:t xml:space="preserve"> </w:t>
      </w:r>
      <w:r>
        <w:rPr>
          <w:lang w:val="fr-FR"/>
        </w:rPr>
        <w:t>droits et libertés individuels ou atteinte à ces droits et toute atteinte à la dignité d’une personne</w:t>
      </w:r>
      <w:r w:rsidR="00944FF5">
        <w:rPr>
          <w:lang w:val="fr-FR"/>
        </w:rPr>
        <w:t xml:space="preserve"> </w:t>
      </w:r>
      <w:r>
        <w:rPr>
          <w:lang w:val="fr-FR"/>
        </w:rPr>
        <w:t>fondées sur</w:t>
      </w:r>
      <w:r w:rsidR="00944FF5">
        <w:rPr>
          <w:lang w:val="fr-FR"/>
        </w:rPr>
        <w:t xml:space="preserve"> </w:t>
      </w:r>
      <w:r>
        <w:rPr>
          <w:lang w:val="fr-FR"/>
        </w:rPr>
        <w:t xml:space="preserve">le sexe » </w:t>
      </w:r>
      <w:r w:rsidRPr="00D80AED">
        <w:rPr>
          <w:i/>
          <w:iCs/>
          <w:lang w:val="fr-FR"/>
        </w:rPr>
        <w:t>(</w:t>
      </w:r>
      <w:r w:rsidRPr="00DC5306">
        <w:rPr>
          <w:i/>
          <w:iCs/>
          <w:lang w:val="fr-FR"/>
        </w:rPr>
        <w:t>art</w:t>
      </w:r>
      <w:r w:rsidR="003E2853" w:rsidRPr="003E2853">
        <w:rPr>
          <w:i/>
          <w:iCs/>
          <w:lang w:val="fr-FR"/>
        </w:rPr>
        <w:t>.</w:t>
      </w:r>
      <w:r w:rsidRPr="00DC5306">
        <w:rPr>
          <w:i/>
          <w:iCs/>
          <w:lang w:val="fr-FR"/>
        </w:rPr>
        <w:t xml:space="preserve"> </w:t>
      </w:r>
      <w:r>
        <w:rPr>
          <w:i/>
          <w:iCs/>
          <w:lang w:val="fr-FR"/>
        </w:rPr>
        <w:t>1</w:t>
      </w:r>
      <w:r w:rsidRPr="00DC5306">
        <w:rPr>
          <w:i/>
          <w:iCs/>
          <w:lang w:val="fr-FR"/>
        </w:rPr>
        <w:t xml:space="preserve"> </w:t>
      </w:r>
      <w:r>
        <w:rPr>
          <w:i/>
          <w:iCs/>
          <w:lang w:val="fr-FR"/>
        </w:rPr>
        <w:t>(</w:t>
      </w:r>
      <w:r w:rsidRPr="00DC5306">
        <w:rPr>
          <w:i/>
          <w:iCs/>
          <w:lang w:val="fr-FR"/>
        </w:rPr>
        <w:t>par</w:t>
      </w:r>
      <w:r w:rsidR="003E2853" w:rsidRPr="003E2853">
        <w:rPr>
          <w:i/>
          <w:iCs/>
          <w:lang w:val="fr-FR"/>
        </w:rPr>
        <w:t>.</w:t>
      </w:r>
      <w:r w:rsidRPr="00DC5306">
        <w:rPr>
          <w:i/>
          <w:iCs/>
          <w:lang w:val="fr-FR"/>
        </w:rPr>
        <w:t xml:space="preserve"> 3</w:t>
      </w:r>
      <w:r>
        <w:rPr>
          <w:i/>
          <w:iCs/>
          <w:lang w:val="fr-FR"/>
        </w:rPr>
        <w:t>)</w:t>
      </w:r>
      <w:r w:rsidRPr="00D80AED">
        <w:rPr>
          <w:i/>
          <w:iCs/>
          <w:lang w:val="fr-FR"/>
        </w:rPr>
        <w:t>)</w:t>
      </w:r>
      <w:r w:rsidR="003E2853" w:rsidRPr="003E2853">
        <w:rPr>
          <w:lang w:val="fr-FR"/>
        </w:rPr>
        <w:t>.</w:t>
      </w:r>
    </w:p>
    <w:p w14:paraId="3F7720C2" w14:textId="6A723BFB" w:rsidR="00F12045" w:rsidRDefault="00F12045" w:rsidP="00F12045">
      <w:pPr>
        <w:pStyle w:val="SingleTxtG"/>
        <w:rPr>
          <w:lang w:val="fr-FR"/>
        </w:rPr>
      </w:pPr>
      <w:r>
        <w:rPr>
          <w:lang w:val="fr-FR"/>
        </w:rPr>
        <w:t>10</w:t>
      </w:r>
      <w:r w:rsidR="003E2853" w:rsidRPr="003E2853">
        <w:rPr>
          <w:lang w:val="fr-FR"/>
        </w:rPr>
        <w:t>.</w:t>
      </w:r>
      <w:r>
        <w:rPr>
          <w:lang w:val="fr-FR"/>
        </w:rPr>
        <w:tab/>
        <w:t>Cette définition de la discrimination fondée sur le sexe découle de l’égalité des droits et des chances en matière de protection dont jouissent</w:t>
      </w:r>
      <w:r w:rsidR="00944FF5">
        <w:rPr>
          <w:lang w:val="fr-FR"/>
        </w:rPr>
        <w:t xml:space="preserve"> </w:t>
      </w:r>
      <w:r>
        <w:rPr>
          <w:lang w:val="fr-FR"/>
        </w:rPr>
        <w:t>les femmes et les hommes et revêt un caractère global</w:t>
      </w:r>
      <w:r w:rsidR="003E2853" w:rsidRPr="003E2853">
        <w:rPr>
          <w:lang w:val="fr-FR"/>
        </w:rPr>
        <w:t>.</w:t>
      </w:r>
    </w:p>
    <w:p w14:paraId="58307EAD" w14:textId="7D8AD9AE" w:rsidR="00F12045" w:rsidRDefault="00F12045" w:rsidP="00F12045">
      <w:pPr>
        <w:pStyle w:val="SingleTxtG"/>
        <w:rPr>
          <w:lang w:val="fr-FR"/>
        </w:rPr>
      </w:pPr>
      <w:r>
        <w:rPr>
          <w:lang w:val="fr-FR"/>
        </w:rPr>
        <w:t>11</w:t>
      </w:r>
      <w:r w:rsidR="003E2853" w:rsidRPr="003E2853">
        <w:rPr>
          <w:lang w:val="fr-FR"/>
        </w:rPr>
        <w:t>.</w:t>
      </w:r>
      <w:r>
        <w:rPr>
          <w:lang w:val="fr-FR"/>
        </w:rPr>
        <w:tab/>
        <w:t>De plus, conformément à l’article 2 de la Convention, les États s’engagent à a</w:t>
      </w:r>
      <w:r w:rsidRPr="00857B14">
        <w:rPr>
          <w:lang w:val="fr-FR"/>
        </w:rPr>
        <w:t>dopter des mesures législatives et d</w:t>
      </w:r>
      <w:r>
        <w:rPr>
          <w:lang w:val="fr-FR"/>
        </w:rPr>
        <w:t>’</w:t>
      </w:r>
      <w:r w:rsidRPr="00857B14">
        <w:rPr>
          <w:lang w:val="fr-FR"/>
        </w:rPr>
        <w:t>autres mesures appropriées assorties, y compris des sanctions en cas de besoin, interdisant toute discrimination à l</w:t>
      </w:r>
      <w:r>
        <w:rPr>
          <w:lang w:val="fr-FR"/>
        </w:rPr>
        <w:t>’</w:t>
      </w:r>
      <w:r w:rsidRPr="00857B14">
        <w:rPr>
          <w:lang w:val="fr-FR"/>
        </w:rPr>
        <w:t>égard des femmes</w:t>
      </w:r>
      <w:r w:rsidR="003E2853" w:rsidRPr="003E2853">
        <w:rPr>
          <w:lang w:val="fr-FR"/>
        </w:rPr>
        <w:t>.</w:t>
      </w:r>
    </w:p>
    <w:p w14:paraId="5778A8A2" w14:textId="60BBB4C0" w:rsidR="00F12045" w:rsidRDefault="00F12045" w:rsidP="00F12045">
      <w:pPr>
        <w:pStyle w:val="SingleTxtG"/>
        <w:rPr>
          <w:lang w:val="fr-FR"/>
        </w:rPr>
      </w:pPr>
      <w:r>
        <w:rPr>
          <w:lang w:val="fr-FR"/>
        </w:rPr>
        <w:lastRenderedPageBreak/>
        <w:t>12</w:t>
      </w:r>
      <w:r w:rsidR="003E2853" w:rsidRPr="003E2853">
        <w:rPr>
          <w:lang w:val="fr-FR"/>
        </w:rPr>
        <w:t>.</w:t>
      </w:r>
      <w:r>
        <w:rPr>
          <w:lang w:val="fr-FR"/>
        </w:rPr>
        <w:tab/>
        <w:t>Le Code de procédure pénale interdit également toute forme de discrimination dans le cadre des procédures pénales</w:t>
      </w:r>
      <w:r w:rsidR="003E2853" w:rsidRPr="003E2853">
        <w:rPr>
          <w:lang w:val="fr-FR"/>
        </w:rPr>
        <w:t>.</w:t>
      </w:r>
    </w:p>
    <w:p w14:paraId="4AEA3D5F" w14:textId="42A1317A" w:rsidR="00F12045" w:rsidRPr="004D7866" w:rsidRDefault="00F12045" w:rsidP="00F12045">
      <w:pPr>
        <w:pStyle w:val="SingleTxtG"/>
        <w:rPr>
          <w:lang w:val="fr-FR"/>
        </w:rPr>
      </w:pPr>
      <w:r>
        <w:rPr>
          <w:lang w:val="fr-FR"/>
        </w:rPr>
        <w:t>13</w:t>
      </w:r>
      <w:r w:rsidR="003E2853" w:rsidRPr="003E2853">
        <w:rPr>
          <w:lang w:val="fr-FR"/>
        </w:rPr>
        <w:t>.</w:t>
      </w:r>
      <w:r>
        <w:rPr>
          <w:lang w:val="fr-FR"/>
        </w:rPr>
        <w:tab/>
        <w:t>De même,</w:t>
      </w:r>
      <w:r w:rsidR="00944FF5">
        <w:rPr>
          <w:lang w:val="fr-FR"/>
        </w:rPr>
        <w:t xml:space="preserve"> </w:t>
      </w:r>
      <w:r>
        <w:rPr>
          <w:lang w:val="fr-FR"/>
        </w:rPr>
        <w:t xml:space="preserve">l’article 145 du Code pénal kazakh prévoit des sanctions pénales en cas de restriction directe ou indirecte des droits et des libertés </w:t>
      </w:r>
      <w:r w:rsidRPr="00DC5306">
        <w:rPr>
          <w:i/>
          <w:iCs/>
          <w:lang w:val="fr-FR"/>
        </w:rPr>
        <w:t>(fondée sur l</w:t>
      </w:r>
      <w:r>
        <w:rPr>
          <w:i/>
          <w:iCs/>
          <w:lang w:val="fr-FR"/>
        </w:rPr>
        <w:t>’</w:t>
      </w:r>
      <w:r w:rsidRPr="00DC5306">
        <w:rPr>
          <w:i/>
          <w:iCs/>
          <w:lang w:val="fr-FR"/>
        </w:rPr>
        <w:t>origine,</w:t>
      </w:r>
      <w:r w:rsidR="00944FF5">
        <w:rPr>
          <w:i/>
          <w:iCs/>
          <w:lang w:val="fr-FR"/>
        </w:rPr>
        <w:t xml:space="preserve"> </w:t>
      </w:r>
      <w:r w:rsidRPr="00DC5306">
        <w:rPr>
          <w:i/>
          <w:iCs/>
          <w:lang w:val="fr-FR"/>
        </w:rPr>
        <w:t>la situation sociale,</w:t>
      </w:r>
      <w:r w:rsidR="00944FF5">
        <w:rPr>
          <w:i/>
          <w:iCs/>
          <w:lang w:val="fr-FR"/>
        </w:rPr>
        <w:t xml:space="preserve"> </w:t>
      </w:r>
      <w:r w:rsidRPr="00DC5306">
        <w:rPr>
          <w:i/>
          <w:iCs/>
          <w:lang w:val="fr-FR"/>
        </w:rPr>
        <w:t>la fonction,</w:t>
      </w:r>
      <w:r w:rsidR="00944FF5">
        <w:rPr>
          <w:i/>
          <w:iCs/>
          <w:lang w:val="fr-FR"/>
        </w:rPr>
        <w:t xml:space="preserve"> </w:t>
      </w:r>
      <w:r w:rsidRPr="00DC5306">
        <w:rPr>
          <w:i/>
          <w:iCs/>
          <w:lang w:val="fr-FR"/>
        </w:rPr>
        <w:t>la fortune, le sexe,</w:t>
      </w:r>
      <w:r w:rsidR="00944FF5">
        <w:rPr>
          <w:i/>
          <w:iCs/>
          <w:lang w:val="fr-FR"/>
        </w:rPr>
        <w:t xml:space="preserve"> </w:t>
      </w:r>
      <w:r w:rsidRPr="00DC5306">
        <w:rPr>
          <w:i/>
          <w:iCs/>
          <w:lang w:val="fr-FR"/>
        </w:rPr>
        <w:t>la race,</w:t>
      </w:r>
      <w:r w:rsidR="00944FF5">
        <w:rPr>
          <w:i/>
          <w:iCs/>
          <w:lang w:val="fr-FR"/>
        </w:rPr>
        <w:t xml:space="preserve"> </w:t>
      </w:r>
      <w:r w:rsidRPr="00DC5306">
        <w:rPr>
          <w:i/>
          <w:iCs/>
          <w:lang w:val="fr-FR"/>
        </w:rPr>
        <w:t>la nationalité,</w:t>
      </w:r>
      <w:r w:rsidR="00944FF5">
        <w:rPr>
          <w:i/>
          <w:iCs/>
          <w:lang w:val="fr-FR"/>
        </w:rPr>
        <w:t xml:space="preserve"> </w:t>
      </w:r>
      <w:r w:rsidRPr="00DC5306">
        <w:rPr>
          <w:i/>
          <w:iCs/>
          <w:lang w:val="fr-FR"/>
        </w:rPr>
        <w:t>la langue,</w:t>
      </w:r>
      <w:r w:rsidR="00944FF5">
        <w:rPr>
          <w:i/>
          <w:iCs/>
          <w:lang w:val="fr-FR"/>
        </w:rPr>
        <w:t xml:space="preserve"> </w:t>
      </w:r>
      <w:r w:rsidRPr="00DC5306">
        <w:rPr>
          <w:i/>
          <w:iCs/>
          <w:lang w:val="fr-FR"/>
        </w:rPr>
        <w:t>l</w:t>
      </w:r>
      <w:r>
        <w:rPr>
          <w:i/>
          <w:iCs/>
          <w:lang w:val="fr-FR"/>
        </w:rPr>
        <w:t>’</w:t>
      </w:r>
      <w:r w:rsidRPr="00DC5306">
        <w:rPr>
          <w:i/>
          <w:iCs/>
          <w:lang w:val="fr-FR"/>
        </w:rPr>
        <w:t>attitude à l</w:t>
      </w:r>
      <w:r>
        <w:rPr>
          <w:i/>
          <w:iCs/>
          <w:lang w:val="fr-FR"/>
        </w:rPr>
        <w:t>’</w:t>
      </w:r>
      <w:r w:rsidRPr="00DC5306">
        <w:rPr>
          <w:i/>
          <w:iCs/>
          <w:lang w:val="fr-FR"/>
        </w:rPr>
        <w:t>égard de</w:t>
      </w:r>
      <w:r w:rsidR="00944FF5">
        <w:rPr>
          <w:i/>
          <w:iCs/>
          <w:lang w:val="fr-FR"/>
        </w:rPr>
        <w:t xml:space="preserve"> </w:t>
      </w:r>
      <w:r w:rsidRPr="00DC5306">
        <w:rPr>
          <w:i/>
          <w:iCs/>
          <w:lang w:val="fr-FR"/>
        </w:rPr>
        <w:t>la religion, les convictions, le lieu de résidence ou</w:t>
      </w:r>
      <w:r w:rsidR="00944FF5">
        <w:rPr>
          <w:i/>
          <w:iCs/>
          <w:lang w:val="fr-FR"/>
        </w:rPr>
        <w:t xml:space="preserve"> </w:t>
      </w:r>
      <w:r w:rsidRPr="00DC5306">
        <w:rPr>
          <w:i/>
          <w:iCs/>
          <w:lang w:val="fr-FR"/>
        </w:rPr>
        <w:t>toute autre situation</w:t>
      </w:r>
      <w:r>
        <w:rPr>
          <w:i/>
          <w:iCs/>
          <w:lang w:val="fr-FR"/>
        </w:rPr>
        <w:t>)</w:t>
      </w:r>
      <w:r w:rsidR="003E2853" w:rsidRPr="003E2853">
        <w:rPr>
          <w:lang w:val="fr-FR"/>
        </w:rPr>
        <w:t>.</w:t>
      </w:r>
    </w:p>
    <w:p w14:paraId="17413C48" w14:textId="69AB4AFE" w:rsidR="00F12045" w:rsidRDefault="00F12045" w:rsidP="00F12045">
      <w:pPr>
        <w:pStyle w:val="SingleTxtG"/>
        <w:rPr>
          <w:lang w:val="fr-FR"/>
        </w:rPr>
      </w:pPr>
      <w:r w:rsidRPr="00AD47F4">
        <w:rPr>
          <w:lang w:val="fr-FR"/>
        </w:rPr>
        <w:t>14</w:t>
      </w:r>
      <w:r w:rsidR="003E2853" w:rsidRPr="003E2853">
        <w:rPr>
          <w:lang w:val="fr-FR"/>
        </w:rPr>
        <w:t>.</w:t>
      </w:r>
      <w:r w:rsidRPr="00AD47F4">
        <w:rPr>
          <w:lang w:val="fr-FR"/>
        </w:rPr>
        <w:tab/>
      </w:r>
      <w:r>
        <w:rPr>
          <w:lang w:val="fr-FR"/>
        </w:rPr>
        <w:t>La loi constitutionnelle sur les élections, la loi sur le mariage et la famille, la loi sur l’éducation et d’autres lois encore renferment des dispositions analogues, ce qui permet de réagir efficacement et de manière appropriée face aux actes de discrimination commis dans tous les domaines des relations sociales</w:t>
      </w:r>
      <w:r w:rsidR="003E2853" w:rsidRPr="003E2853">
        <w:rPr>
          <w:lang w:val="fr-FR"/>
        </w:rPr>
        <w:t>.</w:t>
      </w:r>
    </w:p>
    <w:p w14:paraId="3CB256AC" w14:textId="506D8D1B" w:rsidR="00F12045" w:rsidRDefault="00F12045" w:rsidP="00F12045">
      <w:pPr>
        <w:pStyle w:val="SingleTxtG"/>
        <w:rPr>
          <w:lang w:val="fr-FR"/>
        </w:rPr>
      </w:pPr>
      <w:r w:rsidRPr="00264322">
        <w:rPr>
          <w:lang w:val="fr-FR"/>
        </w:rPr>
        <w:t>15</w:t>
      </w:r>
      <w:r w:rsidR="003E2853" w:rsidRPr="003E2853">
        <w:rPr>
          <w:lang w:val="fr-FR"/>
        </w:rPr>
        <w:t>.</w:t>
      </w:r>
      <w:r w:rsidRPr="00264322">
        <w:rPr>
          <w:lang w:val="fr-FR"/>
        </w:rPr>
        <w:tab/>
      </w:r>
      <w:r>
        <w:rPr>
          <w:lang w:val="fr-FR"/>
        </w:rPr>
        <w:t>Le Parlement kazakh examine</w:t>
      </w:r>
      <w:r w:rsidR="00944FF5">
        <w:rPr>
          <w:lang w:val="fr-FR"/>
        </w:rPr>
        <w:t xml:space="preserve"> </w:t>
      </w:r>
      <w:r>
        <w:rPr>
          <w:lang w:val="fr-FR"/>
        </w:rPr>
        <w:t>actuellement une proposition de loi modifiant et complétant certaines dispositions législatives concernant la politique familiale et la politique relative au genre, présentée par</w:t>
      </w:r>
      <w:r w:rsidR="00944FF5">
        <w:rPr>
          <w:lang w:val="fr-FR"/>
        </w:rPr>
        <w:t xml:space="preserve"> </w:t>
      </w:r>
      <w:r>
        <w:rPr>
          <w:lang w:val="fr-FR"/>
        </w:rPr>
        <w:t>des députés</w:t>
      </w:r>
      <w:r w:rsidR="003E2853" w:rsidRPr="003E2853">
        <w:rPr>
          <w:lang w:val="fr-FR"/>
        </w:rPr>
        <w:t>.</w:t>
      </w:r>
    </w:p>
    <w:p w14:paraId="20B3C706" w14:textId="2EA27E1D" w:rsidR="00F12045" w:rsidRDefault="00F12045" w:rsidP="00F12045">
      <w:pPr>
        <w:pStyle w:val="SingleTxtG"/>
        <w:rPr>
          <w:lang w:val="fr-FR"/>
        </w:rPr>
      </w:pPr>
      <w:r>
        <w:rPr>
          <w:lang w:val="fr-FR"/>
        </w:rPr>
        <w:t>16</w:t>
      </w:r>
      <w:r w:rsidR="003E2853" w:rsidRPr="003E2853">
        <w:rPr>
          <w:lang w:val="fr-FR"/>
        </w:rPr>
        <w:t>.</w:t>
      </w:r>
      <w:r>
        <w:rPr>
          <w:lang w:val="fr-FR"/>
        </w:rPr>
        <w:tab/>
        <w:t>Cette proposition</w:t>
      </w:r>
      <w:r w:rsidR="00944FF5">
        <w:rPr>
          <w:lang w:val="fr-FR"/>
        </w:rPr>
        <w:t xml:space="preserve"> </w:t>
      </w:r>
      <w:r>
        <w:rPr>
          <w:lang w:val="fr-FR"/>
        </w:rPr>
        <w:t>de loi prévoit les éléments suivants :</w:t>
      </w:r>
    </w:p>
    <w:p w14:paraId="2BE6F00C" w14:textId="4E161C3C" w:rsidR="00F12045" w:rsidRDefault="00F12045" w:rsidP="00F12045">
      <w:pPr>
        <w:pStyle w:val="Bullet1G"/>
        <w:rPr>
          <w:lang w:val="fr-FR"/>
        </w:rPr>
      </w:pPr>
      <w:r>
        <w:rPr>
          <w:lang w:val="fr-FR"/>
        </w:rPr>
        <w:t>L’acc</w:t>
      </w:r>
      <w:r w:rsidRPr="00A14DF7">
        <w:rPr>
          <w:lang w:val="fr-FR"/>
        </w:rPr>
        <w:t>è</w:t>
      </w:r>
      <w:r>
        <w:rPr>
          <w:lang w:val="fr-FR"/>
        </w:rPr>
        <w:t>s</w:t>
      </w:r>
      <w:r w:rsidRPr="00A14DF7">
        <w:rPr>
          <w:lang w:val="fr-FR"/>
        </w:rPr>
        <w:t xml:space="preserve"> é</w:t>
      </w:r>
      <w:r>
        <w:rPr>
          <w:lang w:val="fr-FR"/>
        </w:rPr>
        <w:t>gal</w:t>
      </w:r>
      <w:r w:rsidRPr="00A14DF7">
        <w:rPr>
          <w:lang w:val="fr-FR"/>
        </w:rPr>
        <w:t xml:space="preserve"> </w:t>
      </w:r>
      <w:r>
        <w:rPr>
          <w:lang w:val="fr-FR"/>
        </w:rPr>
        <w:t>des</w:t>
      </w:r>
      <w:r w:rsidRPr="00A14DF7">
        <w:rPr>
          <w:lang w:val="fr-FR"/>
        </w:rPr>
        <w:t xml:space="preserve"> </w:t>
      </w:r>
      <w:r>
        <w:rPr>
          <w:lang w:val="fr-FR"/>
        </w:rPr>
        <w:t>femme</w:t>
      </w:r>
      <w:r w:rsidR="00D80AED">
        <w:rPr>
          <w:lang w:val="fr-FR"/>
        </w:rPr>
        <w:t>s</w:t>
      </w:r>
      <w:r w:rsidRPr="00A14DF7">
        <w:rPr>
          <w:lang w:val="fr-FR"/>
        </w:rPr>
        <w:t xml:space="preserve"> </w:t>
      </w:r>
      <w:r>
        <w:rPr>
          <w:lang w:val="fr-FR"/>
        </w:rPr>
        <w:t>et</w:t>
      </w:r>
      <w:r w:rsidRPr="00A14DF7">
        <w:rPr>
          <w:lang w:val="fr-FR"/>
        </w:rPr>
        <w:t xml:space="preserve"> </w:t>
      </w:r>
      <w:r>
        <w:rPr>
          <w:lang w:val="fr-FR"/>
        </w:rPr>
        <w:t>des</w:t>
      </w:r>
      <w:r w:rsidRPr="00A14DF7">
        <w:rPr>
          <w:lang w:val="fr-FR"/>
        </w:rPr>
        <w:t xml:space="preserve"> </w:t>
      </w:r>
      <w:r>
        <w:rPr>
          <w:lang w:val="fr-FR"/>
        </w:rPr>
        <w:t>hommes</w:t>
      </w:r>
      <w:r w:rsidRPr="00A14DF7">
        <w:rPr>
          <w:lang w:val="fr-FR"/>
        </w:rPr>
        <w:t xml:space="preserve"> à </w:t>
      </w:r>
      <w:r>
        <w:rPr>
          <w:lang w:val="fr-FR"/>
        </w:rPr>
        <w:t>la</w:t>
      </w:r>
      <w:r w:rsidRPr="00A14DF7">
        <w:rPr>
          <w:lang w:val="fr-FR"/>
        </w:rPr>
        <w:t xml:space="preserve"> </w:t>
      </w:r>
      <w:r>
        <w:rPr>
          <w:lang w:val="fr-FR"/>
        </w:rPr>
        <w:t>fonction</w:t>
      </w:r>
      <w:r w:rsidRPr="00A14DF7">
        <w:rPr>
          <w:lang w:val="fr-FR"/>
        </w:rPr>
        <w:t xml:space="preserve"> </w:t>
      </w:r>
      <w:r>
        <w:rPr>
          <w:lang w:val="fr-FR"/>
        </w:rPr>
        <w:t>publique</w:t>
      </w:r>
      <w:r w:rsidRPr="00A14DF7">
        <w:rPr>
          <w:lang w:val="fr-FR"/>
        </w:rPr>
        <w:t xml:space="preserve">, </w:t>
      </w:r>
      <w:r>
        <w:rPr>
          <w:lang w:val="fr-FR"/>
        </w:rPr>
        <w:t>compte tenu des</w:t>
      </w:r>
      <w:r w:rsidR="00944FF5">
        <w:rPr>
          <w:lang w:val="fr-FR"/>
        </w:rPr>
        <w:t xml:space="preserve"> </w:t>
      </w:r>
      <w:r>
        <w:rPr>
          <w:lang w:val="fr-FR"/>
        </w:rPr>
        <w:t>prescriptions de la législation sur la fonction publique ;</w:t>
      </w:r>
    </w:p>
    <w:p w14:paraId="5593BF0B" w14:textId="52D7A87A" w:rsidR="00F12045" w:rsidRDefault="00F12045" w:rsidP="00F12045">
      <w:pPr>
        <w:pStyle w:val="Bullet1G"/>
        <w:rPr>
          <w:lang w:val="fr-FR"/>
        </w:rPr>
      </w:pPr>
      <w:r>
        <w:rPr>
          <w:lang w:val="fr-FR"/>
        </w:rPr>
        <w:t>L’adoption d’une approche égale de l’évaluation de la performance professionnelle et des garanties en matière de conditions de travail en tant que garanties de l’égalité des</w:t>
      </w:r>
      <w:r w:rsidRPr="00A14DF7">
        <w:rPr>
          <w:lang w:val="fr-FR"/>
        </w:rPr>
        <w:t xml:space="preserve"> </w:t>
      </w:r>
      <w:r>
        <w:rPr>
          <w:lang w:val="fr-FR"/>
        </w:rPr>
        <w:t>droits</w:t>
      </w:r>
      <w:r w:rsidRPr="00A14DF7">
        <w:rPr>
          <w:lang w:val="fr-FR"/>
        </w:rPr>
        <w:t xml:space="preserve"> </w:t>
      </w:r>
      <w:r>
        <w:rPr>
          <w:lang w:val="fr-FR"/>
        </w:rPr>
        <w:t>et</w:t>
      </w:r>
      <w:r w:rsidRPr="00A14DF7">
        <w:rPr>
          <w:lang w:val="fr-FR"/>
        </w:rPr>
        <w:t xml:space="preserve"> </w:t>
      </w:r>
      <w:r>
        <w:rPr>
          <w:lang w:val="fr-FR"/>
        </w:rPr>
        <w:t>des</w:t>
      </w:r>
      <w:r w:rsidRPr="00A14DF7">
        <w:rPr>
          <w:lang w:val="fr-FR"/>
        </w:rPr>
        <w:t xml:space="preserve"> </w:t>
      </w:r>
      <w:r>
        <w:rPr>
          <w:lang w:val="fr-FR"/>
        </w:rPr>
        <w:t>chances</w:t>
      </w:r>
      <w:r w:rsidRPr="00A14DF7">
        <w:rPr>
          <w:lang w:val="fr-FR"/>
        </w:rPr>
        <w:t xml:space="preserve"> </w:t>
      </w:r>
      <w:r>
        <w:rPr>
          <w:lang w:val="fr-FR"/>
        </w:rPr>
        <w:t>entre</w:t>
      </w:r>
      <w:r w:rsidRPr="00A14DF7">
        <w:rPr>
          <w:lang w:val="fr-FR"/>
        </w:rPr>
        <w:t xml:space="preserve"> </w:t>
      </w:r>
      <w:r>
        <w:rPr>
          <w:lang w:val="fr-FR"/>
        </w:rPr>
        <w:t>les</w:t>
      </w:r>
      <w:r w:rsidRPr="00A14DF7">
        <w:rPr>
          <w:lang w:val="fr-FR"/>
        </w:rPr>
        <w:t xml:space="preserve"> </w:t>
      </w:r>
      <w:r>
        <w:rPr>
          <w:lang w:val="fr-FR"/>
        </w:rPr>
        <w:t>femmes</w:t>
      </w:r>
      <w:r w:rsidRPr="00A14DF7">
        <w:rPr>
          <w:lang w:val="fr-FR"/>
        </w:rPr>
        <w:t xml:space="preserve"> </w:t>
      </w:r>
      <w:r>
        <w:rPr>
          <w:lang w:val="fr-FR"/>
        </w:rPr>
        <w:t>et</w:t>
      </w:r>
      <w:r w:rsidRPr="00A14DF7">
        <w:rPr>
          <w:lang w:val="fr-FR"/>
        </w:rPr>
        <w:t xml:space="preserve"> </w:t>
      </w:r>
      <w:r>
        <w:rPr>
          <w:lang w:val="fr-FR"/>
        </w:rPr>
        <w:t>les</w:t>
      </w:r>
      <w:r w:rsidRPr="00A14DF7">
        <w:rPr>
          <w:lang w:val="fr-FR"/>
        </w:rPr>
        <w:t xml:space="preserve"> </w:t>
      </w:r>
      <w:r>
        <w:rPr>
          <w:lang w:val="fr-FR"/>
        </w:rPr>
        <w:t>hommes</w:t>
      </w:r>
      <w:r w:rsidRPr="00A14DF7">
        <w:rPr>
          <w:lang w:val="fr-FR"/>
        </w:rPr>
        <w:t xml:space="preserve"> </w:t>
      </w:r>
      <w:r>
        <w:rPr>
          <w:lang w:val="fr-FR"/>
        </w:rPr>
        <w:t>en</w:t>
      </w:r>
      <w:r w:rsidRPr="00A14DF7">
        <w:rPr>
          <w:lang w:val="fr-FR"/>
        </w:rPr>
        <w:t xml:space="preserve"> </w:t>
      </w:r>
      <w:r>
        <w:rPr>
          <w:lang w:val="fr-FR"/>
        </w:rPr>
        <w:t>mati</w:t>
      </w:r>
      <w:r w:rsidRPr="00A14DF7">
        <w:rPr>
          <w:lang w:val="fr-FR"/>
        </w:rPr>
        <w:t>è</w:t>
      </w:r>
      <w:r>
        <w:rPr>
          <w:lang w:val="fr-FR"/>
        </w:rPr>
        <w:t>re</w:t>
      </w:r>
      <w:r w:rsidRPr="00A14DF7">
        <w:rPr>
          <w:lang w:val="fr-FR"/>
        </w:rPr>
        <w:t xml:space="preserve"> </w:t>
      </w:r>
      <w:r>
        <w:rPr>
          <w:lang w:val="fr-FR"/>
        </w:rPr>
        <w:t>d’emploi ;</w:t>
      </w:r>
    </w:p>
    <w:p w14:paraId="2014FC2A" w14:textId="3667450F" w:rsidR="00F12045" w:rsidRDefault="00F12045" w:rsidP="00F12045">
      <w:pPr>
        <w:pStyle w:val="Bullet1G"/>
        <w:rPr>
          <w:lang w:val="fr-FR"/>
        </w:rPr>
      </w:pPr>
      <w:r>
        <w:rPr>
          <w:lang w:val="fr-FR"/>
        </w:rPr>
        <w:t>Les garanties</w:t>
      </w:r>
      <w:r w:rsidRPr="00A14DF7">
        <w:rPr>
          <w:lang w:val="fr-FR"/>
        </w:rPr>
        <w:t xml:space="preserve"> </w:t>
      </w:r>
      <w:r>
        <w:rPr>
          <w:lang w:val="fr-FR"/>
        </w:rPr>
        <w:t>publiques</w:t>
      </w:r>
      <w:r w:rsidRPr="00A14DF7">
        <w:rPr>
          <w:lang w:val="fr-FR"/>
        </w:rPr>
        <w:t xml:space="preserve"> </w:t>
      </w:r>
      <w:r>
        <w:rPr>
          <w:lang w:val="fr-FR"/>
        </w:rPr>
        <w:t>relatives</w:t>
      </w:r>
      <w:r w:rsidRPr="00A14DF7">
        <w:rPr>
          <w:lang w:val="fr-FR"/>
        </w:rPr>
        <w:t xml:space="preserve"> à </w:t>
      </w:r>
      <w:r>
        <w:rPr>
          <w:lang w:val="fr-FR"/>
        </w:rPr>
        <w:t>l’</w:t>
      </w:r>
      <w:r w:rsidRPr="00A14DF7">
        <w:rPr>
          <w:lang w:val="fr-FR"/>
        </w:rPr>
        <w:t>é</w:t>
      </w:r>
      <w:r>
        <w:rPr>
          <w:lang w:val="fr-FR"/>
        </w:rPr>
        <w:t>galit</w:t>
      </w:r>
      <w:r w:rsidRPr="00A14DF7">
        <w:rPr>
          <w:lang w:val="fr-FR"/>
        </w:rPr>
        <w:t xml:space="preserve">é </w:t>
      </w:r>
      <w:r>
        <w:rPr>
          <w:lang w:val="fr-FR"/>
        </w:rPr>
        <w:t>des</w:t>
      </w:r>
      <w:r w:rsidRPr="00A14DF7">
        <w:rPr>
          <w:lang w:val="fr-FR"/>
        </w:rPr>
        <w:t xml:space="preserve"> </w:t>
      </w:r>
      <w:r>
        <w:rPr>
          <w:lang w:val="fr-FR"/>
        </w:rPr>
        <w:t>droits</w:t>
      </w:r>
      <w:r w:rsidRPr="00A14DF7">
        <w:rPr>
          <w:lang w:val="fr-FR"/>
        </w:rPr>
        <w:t xml:space="preserve"> </w:t>
      </w:r>
      <w:r>
        <w:rPr>
          <w:lang w:val="fr-FR"/>
        </w:rPr>
        <w:t>et</w:t>
      </w:r>
      <w:r w:rsidRPr="00A14DF7">
        <w:rPr>
          <w:lang w:val="fr-FR"/>
        </w:rPr>
        <w:t xml:space="preserve"> </w:t>
      </w:r>
      <w:r>
        <w:rPr>
          <w:lang w:val="fr-FR"/>
        </w:rPr>
        <w:t>des</w:t>
      </w:r>
      <w:r w:rsidRPr="00A14DF7">
        <w:rPr>
          <w:lang w:val="fr-FR"/>
        </w:rPr>
        <w:t xml:space="preserve"> </w:t>
      </w:r>
      <w:r>
        <w:rPr>
          <w:lang w:val="fr-FR"/>
        </w:rPr>
        <w:t>chances</w:t>
      </w:r>
      <w:r w:rsidRPr="00A14DF7">
        <w:rPr>
          <w:lang w:val="fr-FR"/>
        </w:rPr>
        <w:t xml:space="preserve"> </w:t>
      </w:r>
      <w:r>
        <w:rPr>
          <w:lang w:val="fr-FR"/>
        </w:rPr>
        <w:t>entre</w:t>
      </w:r>
      <w:r w:rsidRPr="00A14DF7">
        <w:rPr>
          <w:lang w:val="fr-FR"/>
        </w:rPr>
        <w:t xml:space="preserve"> </w:t>
      </w:r>
      <w:r>
        <w:rPr>
          <w:lang w:val="fr-FR"/>
        </w:rPr>
        <w:t>les</w:t>
      </w:r>
      <w:r w:rsidRPr="00A14DF7">
        <w:rPr>
          <w:lang w:val="fr-FR"/>
        </w:rPr>
        <w:t xml:space="preserve"> </w:t>
      </w:r>
      <w:r>
        <w:rPr>
          <w:lang w:val="fr-FR"/>
        </w:rPr>
        <w:t>femmes</w:t>
      </w:r>
      <w:r w:rsidRPr="00A14DF7">
        <w:rPr>
          <w:lang w:val="fr-FR"/>
        </w:rPr>
        <w:t xml:space="preserve"> </w:t>
      </w:r>
      <w:r>
        <w:rPr>
          <w:lang w:val="fr-FR"/>
        </w:rPr>
        <w:t>et</w:t>
      </w:r>
      <w:r w:rsidRPr="00A14DF7">
        <w:rPr>
          <w:lang w:val="fr-FR"/>
        </w:rPr>
        <w:t xml:space="preserve"> </w:t>
      </w:r>
      <w:r>
        <w:rPr>
          <w:lang w:val="fr-FR"/>
        </w:rPr>
        <w:t>les</w:t>
      </w:r>
      <w:r w:rsidRPr="00A14DF7">
        <w:rPr>
          <w:lang w:val="fr-FR"/>
        </w:rPr>
        <w:t xml:space="preserve"> </w:t>
      </w:r>
      <w:r>
        <w:rPr>
          <w:lang w:val="fr-FR"/>
        </w:rPr>
        <w:t>hommes dans le domaine de la science et dans l’accès aux activités sportives ;</w:t>
      </w:r>
    </w:p>
    <w:p w14:paraId="601A91B3" w14:textId="11872D66" w:rsidR="00F12045" w:rsidRDefault="00F12045" w:rsidP="00F12045">
      <w:pPr>
        <w:pStyle w:val="Bullet1G"/>
        <w:rPr>
          <w:lang w:val="fr-FR"/>
        </w:rPr>
      </w:pPr>
      <w:r>
        <w:rPr>
          <w:lang w:val="fr-FR"/>
        </w:rPr>
        <w:t>La définition de g</w:t>
      </w:r>
      <w:r w:rsidRPr="001E4410">
        <w:rPr>
          <w:lang w:val="fr-FR"/>
        </w:rPr>
        <w:t xml:space="preserve">aranties publiques dans le domaine économique : </w:t>
      </w:r>
      <w:r>
        <w:rPr>
          <w:lang w:val="fr-FR"/>
        </w:rPr>
        <w:t>l’</w:t>
      </w:r>
      <w:r w:rsidRPr="001E4410">
        <w:rPr>
          <w:lang w:val="fr-FR"/>
        </w:rPr>
        <w:t>égalité d</w:t>
      </w:r>
      <w:r>
        <w:rPr>
          <w:lang w:val="fr-FR"/>
        </w:rPr>
        <w:t>’</w:t>
      </w:r>
      <w:r w:rsidRPr="001E4410">
        <w:rPr>
          <w:lang w:val="fr-FR"/>
        </w:rPr>
        <w:t>accès à tous les types de ressources nécessaires à l</w:t>
      </w:r>
      <w:r>
        <w:rPr>
          <w:lang w:val="fr-FR"/>
        </w:rPr>
        <w:t>’</w:t>
      </w:r>
      <w:r w:rsidRPr="001E4410">
        <w:rPr>
          <w:lang w:val="fr-FR"/>
        </w:rPr>
        <w:t>entrepren</w:t>
      </w:r>
      <w:r>
        <w:rPr>
          <w:lang w:val="fr-FR"/>
        </w:rPr>
        <w:t>eu</w:t>
      </w:r>
      <w:r w:rsidRPr="001E4410">
        <w:rPr>
          <w:lang w:val="fr-FR"/>
        </w:rPr>
        <w:t xml:space="preserve">riat, </w:t>
      </w:r>
      <w:r>
        <w:rPr>
          <w:lang w:val="fr-FR"/>
        </w:rPr>
        <w:t>l’</w:t>
      </w:r>
      <w:r w:rsidRPr="001E4410">
        <w:rPr>
          <w:lang w:val="fr-FR"/>
        </w:rPr>
        <w:t>acc</w:t>
      </w:r>
      <w:r>
        <w:rPr>
          <w:lang w:val="fr-FR"/>
        </w:rPr>
        <w:t>essibilité</w:t>
      </w:r>
      <w:r w:rsidRPr="001E4410">
        <w:rPr>
          <w:lang w:val="fr-FR"/>
        </w:rPr>
        <w:t xml:space="preserve"> aux services et à l</w:t>
      </w:r>
      <w:r>
        <w:rPr>
          <w:lang w:val="fr-FR"/>
        </w:rPr>
        <w:t>’</w:t>
      </w:r>
      <w:r w:rsidRPr="001E4410">
        <w:rPr>
          <w:lang w:val="fr-FR"/>
        </w:rPr>
        <w:t>appui de l</w:t>
      </w:r>
      <w:r>
        <w:rPr>
          <w:lang w:val="fr-FR"/>
        </w:rPr>
        <w:t>’</w:t>
      </w:r>
      <w:r w:rsidRPr="001E4410">
        <w:rPr>
          <w:lang w:val="fr-FR"/>
        </w:rPr>
        <w:t xml:space="preserve">État, </w:t>
      </w:r>
      <w:r>
        <w:rPr>
          <w:lang w:val="fr-FR"/>
        </w:rPr>
        <w:t>l’</w:t>
      </w:r>
      <w:r w:rsidRPr="001E4410">
        <w:rPr>
          <w:lang w:val="fr-FR"/>
        </w:rPr>
        <w:t>égalité des droits et des chances dans l</w:t>
      </w:r>
      <w:r>
        <w:rPr>
          <w:lang w:val="fr-FR"/>
        </w:rPr>
        <w:t>’</w:t>
      </w:r>
      <w:r w:rsidRPr="001E4410">
        <w:rPr>
          <w:lang w:val="fr-FR"/>
        </w:rPr>
        <w:t xml:space="preserve">accès au crédit et aux autres services financiers, </w:t>
      </w:r>
      <w:r>
        <w:rPr>
          <w:lang w:val="fr-FR"/>
        </w:rPr>
        <w:t xml:space="preserve">la </w:t>
      </w:r>
      <w:r w:rsidRPr="001E4410">
        <w:rPr>
          <w:lang w:val="fr-FR"/>
        </w:rPr>
        <w:t xml:space="preserve">création de conditions propices au développement de la concurrence </w:t>
      </w:r>
      <w:r>
        <w:rPr>
          <w:lang w:val="fr-FR"/>
        </w:rPr>
        <w:t>dans la sphère économique dans des conditions d’</w:t>
      </w:r>
      <w:r w:rsidRPr="001E4410">
        <w:rPr>
          <w:lang w:val="fr-FR"/>
        </w:rPr>
        <w:t xml:space="preserve">égalité et </w:t>
      </w:r>
      <w:r>
        <w:rPr>
          <w:lang w:val="fr-FR"/>
        </w:rPr>
        <w:t>l’</w:t>
      </w:r>
      <w:r w:rsidRPr="001E4410">
        <w:rPr>
          <w:lang w:val="fr-FR"/>
        </w:rPr>
        <w:t>interdiction de la concurrence déloyale</w:t>
      </w:r>
      <w:r w:rsidR="003E2853" w:rsidRPr="003E2853">
        <w:rPr>
          <w:lang w:val="fr-FR"/>
        </w:rPr>
        <w:t>.</w:t>
      </w:r>
    </w:p>
    <w:p w14:paraId="765473F0" w14:textId="33D89AD0" w:rsidR="00F12045" w:rsidRDefault="00F12045" w:rsidP="00F12045">
      <w:pPr>
        <w:pStyle w:val="SingleTxtG"/>
        <w:rPr>
          <w:lang w:val="fr-FR"/>
        </w:rPr>
      </w:pPr>
      <w:r>
        <w:rPr>
          <w:lang w:val="fr-FR"/>
        </w:rPr>
        <w:t>17</w:t>
      </w:r>
      <w:r w:rsidR="003E2853" w:rsidRPr="003E2853">
        <w:rPr>
          <w:lang w:val="fr-FR"/>
        </w:rPr>
        <w:t>.</w:t>
      </w:r>
      <w:r>
        <w:rPr>
          <w:lang w:val="fr-FR"/>
        </w:rPr>
        <w:tab/>
      </w:r>
      <w:r w:rsidRPr="006C00DA">
        <w:rPr>
          <w:lang w:val="fr-FR"/>
        </w:rPr>
        <w:t xml:space="preserve">Conformément </w:t>
      </w:r>
      <w:r>
        <w:rPr>
          <w:lang w:val="fr-FR"/>
        </w:rPr>
        <w:t xml:space="preserve">à </w:t>
      </w:r>
      <w:r w:rsidRPr="006C00DA">
        <w:rPr>
          <w:lang w:val="fr-FR"/>
        </w:rPr>
        <w:t>l</w:t>
      </w:r>
      <w:r>
        <w:rPr>
          <w:lang w:val="fr-FR"/>
        </w:rPr>
        <w:t>’</w:t>
      </w:r>
      <w:r w:rsidRPr="006C00DA">
        <w:rPr>
          <w:lang w:val="fr-FR"/>
        </w:rPr>
        <w:t>article 21 de la Constitution, toute personne qui se trouve légalement sur le territoire de la République du Kazakhstan a le droit d</w:t>
      </w:r>
      <w:r>
        <w:rPr>
          <w:lang w:val="fr-FR"/>
        </w:rPr>
        <w:t>’</w:t>
      </w:r>
      <w:r w:rsidRPr="006C00DA">
        <w:rPr>
          <w:lang w:val="fr-FR"/>
        </w:rPr>
        <w:t>y circuler librement et d</w:t>
      </w:r>
      <w:r>
        <w:rPr>
          <w:lang w:val="fr-FR"/>
        </w:rPr>
        <w:t>’</w:t>
      </w:r>
      <w:r w:rsidRPr="006C00DA">
        <w:rPr>
          <w:lang w:val="fr-FR"/>
        </w:rPr>
        <w:t>y choisir librement sa résidence</w:t>
      </w:r>
      <w:r>
        <w:rPr>
          <w:lang w:val="fr-FR"/>
        </w:rPr>
        <w:t>, sauf dans les cas prévus par la législation</w:t>
      </w:r>
      <w:r w:rsidR="003E2853" w:rsidRPr="003E2853">
        <w:rPr>
          <w:lang w:val="fr-FR"/>
        </w:rPr>
        <w:t>.</w:t>
      </w:r>
      <w:r w:rsidRPr="006C00DA">
        <w:rPr>
          <w:lang w:val="fr-FR"/>
        </w:rPr>
        <w:t xml:space="preserve"> </w:t>
      </w:r>
      <w:r>
        <w:rPr>
          <w:lang w:val="fr-FR"/>
        </w:rPr>
        <w:t>Chacun a le droit de quitter le territoire du Kazakhstan et les citoyens kazakhs ont le droit d’y revenir librement</w:t>
      </w:r>
      <w:r w:rsidR="003E2853" w:rsidRPr="003E2853">
        <w:rPr>
          <w:lang w:val="fr-FR"/>
        </w:rPr>
        <w:t>.</w:t>
      </w:r>
    </w:p>
    <w:p w14:paraId="20F0BE51" w14:textId="64EDAAA3" w:rsidR="00F12045" w:rsidRDefault="00F12045" w:rsidP="00F12045">
      <w:pPr>
        <w:pStyle w:val="SingleTxtG"/>
        <w:rPr>
          <w:lang w:val="fr-FR"/>
        </w:rPr>
      </w:pPr>
      <w:r>
        <w:rPr>
          <w:lang w:val="fr-FR"/>
        </w:rPr>
        <w:t>18</w:t>
      </w:r>
      <w:r w:rsidR="003E2853" w:rsidRPr="003E2853">
        <w:rPr>
          <w:lang w:val="fr-FR"/>
        </w:rPr>
        <w:t>.</w:t>
      </w:r>
      <w:r>
        <w:rPr>
          <w:lang w:val="fr-FR"/>
        </w:rPr>
        <w:tab/>
        <w:t>Il convient de noter que l’article 21 de la Constitution ne s’applique pas aux personnes qui séjournent illégalement dans le pays et</w:t>
      </w:r>
      <w:r w:rsidR="00944FF5">
        <w:rPr>
          <w:lang w:val="fr-FR"/>
        </w:rPr>
        <w:t xml:space="preserve"> </w:t>
      </w:r>
      <w:r>
        <w:rPr>
          <w:lang w:val="fr-FR"/>
        </w:rPr>
        <w:t>dispose que la loi peut préciser les situations dans lesquelles le droit de se déplacer librement dans le pays et d’y choisir librement sa résidence peut être restreint</w:t>
      </w:r>
      <w:r w:rsidR="003E2853" w:rsidRPr="003E2853">
        <w:rPr>
          <w:lang w:val="fr-FR"/>
        </w:rPr>
        <w:t>.</w:t>
      </w:r>
    </w:p>
    <w:p w14:paraId="4EC1F447" w14:textId="0F5C406E" w:rsidR="00F12045" w:rsidRDefault="00F12045" w:rsidP="00F12045">
      <w:pPr>
        <w:pStyle w:val="SingleTxtG"/>
        <w:rPr>
          <w:lang w:val="fr-FR"/>
        </w:rPr>
      </w:pPr>
      <w:r>
        <w:rPr>
          <w:lang w:val="fr-FR"/>
        </w:rPr>
        <w:t>19</w:t>
      </w:r>
      <w:r w:rsidR="003E2853" w:rsidRPr="003E2853">
        <w:rPr>
          <w:lang w:val="fr-FR"/>
        </w:rPr>
        <w:t>.</w:t>
      </w:r>
      <w:r>
        <w:rPr>
          <w:lang w:val="fr-FR"/>
        </w:rPr>
        <w:tab/>
        <w:t>Ces restrictions prévues par la législation se justifient par</w:t>
      </w:r>
      <w:r w:rsidR="00944FF5">
        <w:rPr>
          <w:lang w:val="fr-FR"/>
        </w:rPr>
        <w:t xml:space="preserve"> </w:t>
      </w:r>
      <w:r>
        <w:rPr>
          <w:lang w:val="fr-FR"/>
        </w:rPr>
        <w:t>:</w:t>
      </w:r>
    </w:p>
    <w:p w14:paraId="01C5333F" w14:textId="09B23EA5" w:rsidR="00F12045" w:rsidRDefault="00F12045" w:rsidP="00F12045">
      <w:pPr>
        <w:pStyle w:val="Bullet1G"/>
        <w:rPr>
          <w:lang w:val="fr-FR"/>
        </w:rPr>
      </w:pPr>
      <w:r>
        <w:rPr>
          <w:lang w:val="fr-FR"/>
        </w:rPr>
        <w:t>L’intérêt de la sécurité nationale et la nécessité de protéger des secrets d’État ;</w:t>
      </w:r>
    </w:p>
    <w:p w14:paraId="054B9723" w14:textId="7B8DEDB2" w:rsidR="00F12045" w:rsidRDefault="00F12045" w:rsidP="00F12045">
      <w:pPr>
        <w:pStyle w:val="Bullet1G"/>
        <w:rPr>
          <w:lang w:val="fr-FR"/>
        </w:rPr>
      </w:pPr>
      <w:r>
        <w:rPr>
          <w:lang w:val="fr-FR"/>
        </w:rPr>
        <w:t>Le maintien de l’ordre, la prévention ou la répression des infractions, notamment dans les situations d’urgence, les opérations de recherche et les enquêtes de police ;</w:t>
      </w:r>
    </w:p>
    <w:p w14:paraId="3FF1C361" w14:textId="7A0621B4" w:rsidR="00F12045" w:rsidRDefault="00F12045" w:rsidP="00F12045">
      <w:pPr>
        <w:pStyle w:val="Bullet1G"/>
        <w:rPr>
          <w:lang w:val="fr-FR"/>
        </w:rPr>
      </w:pPr>
      <w:r>
        <w:rPr>
          <w:lang w:val="fr-FR"/>
        </w:rPr>
        <w:t>La santé publique ;</w:t>
      </w:r>
    </w:p>
    <w:p w14:paraId="38E12A69" w14:textId="5898BBE6" w:rsidR="00F12045" w:rsidRDefault="00F12045" w:rsidP="00F12045">
      <w:pPr>
        <w:pStyle w:val="Bullet1G"/>
        <w:rPr>
          <w:lang w:val="fr-FR"/>
        </w:rPr>
      </w:pPr>
      <w:r>
        <w:rPr>
          <w:lang w:val="fr-FR"/>
        </w:rPr>
        <w:t>La prévention des accidents et la prévention des catastrophes naturelles, des pannes et des catastrophes et l’élimination de leurs conséquences ;</w:t>
      </w:r>
    </w:p>
    <w:p w14:paraId="3124C1F5" w14:textId="581B5690" w:rsidR="00F12045" w:rsidRDefault="00F12045" w:rsidP="00F12045">
      <w:pPr>
        <w:pStyle w:val="Bullet1G"/>
        <w:rPr>
          <w:lang w:val="fr-FR"/>
        </w:rPr>
      </w:pPr>
      <w:r>
        <w:rPr>
          <w:lang w:val="fr-FR"/>
        </w:rPr>
        <w:t>Les agissements illicites de citoyens et l’application à leur encontre de mesures de contrainte juridiques ;</w:t>
      </w:r>
    </w:p>
    <w:p w14:paraId="6A31963D" w14:textId="17CEF200" w:rsidR="00F12045" w:rsidRDefault="00F12045" w:rsidP="00F12045">
      <w:pPr>
        <w:pStyle w:val="Bullet1G"/>
        <w:rPr>
          <w:lang w:val="fr-FR"/>
        </w:rPr>
      </w:pPr>
      <w:r>
        <w:rPr>
          <w:lang w:val="fr-FR"/>
        </w:rPr>
        <w:t>La nature d’une activité professionnelle ou d’une fonction ;</w:t>
      </w:r>
    </w:p>
    <w:p w14:paraId="0B5D91E2" w14:textId="327D0316" w:rsidR="00F12045" w:rsidRDefault="00F12045" w:rsidP="00F12045">
      <w:pPr>
        <w:pStyle w:val="Bullet1G"/>
        <w:rPr>
          <w:lang w:val="fr-FR"/>
        </w:rPr>
      </w:pPr>
      <w:r>
        <w:rPr>
          <w:lang w:val="fr-FR"/>
        </w:rPr>
        <w:t>D’autres motifs</w:t>
      </w:r>
      <w:r w:rsidR="003E2853" w:rsidRPr="003E2853">
        <w:rPr>
          <w:lang w:val="fr-FR"/>
        </w:rPr>
        <w:t>.</w:t>
      </w:r>
    </w:p>
    <w:p w14:paraId="1FB237E9" w14:textId="557ADC5E" w:rsidR="00F12045" w:rsidRDefault="00F12045" w:rsidP="00941B78">
      <w:pPr>
        <w:pStyle w:val="SingleTxtG"/>
        <w:keepNext/>
        <w:keepLines/>
        <w:rPr>
          <w:lang w:val="fr-FR"/>
        </w:rPr>
      </w:pPr>
      <w:r>
        <w:rPr>
          <w:lang w:val="fr-FR"/>
        </w:rPr>
        <w:lastRenderedPageBreak/>
        <w:t>20</w:t>
      </w:r>
      <w:r w:rsidR="003E2853" w:rsidRPr="003E2853">
        <w:rPr>
          <w:lang w:val="fr-FR"/>
        </w:rPr>
        <w:t>.</w:t>
      </w:r>
      <w:r>
        <w:rPr>
          <w:lang w:val="fr-FR"/>
        </w:rPr>
        <w:tab/>
        <w:t>Les principaux instruments juridiques régissant le contrôle public des processus migratoires sont la Stratégie relative à la politique migratoire du Kazakhstan pour 2017-2021 et le Plan d’exécution de ladite stratégie</w:t>
      </w:r>
      <w:r w:rsidR="003E2853" w:rsidRPr="003E2853">
        <w:rPr>
          <w:lang w:val="fr-FR"/>
        </w:rPr>
        <w:t>.</w:t>
      </w:r>
      <w:r>
        <w:rPr>
          <w:lang w:val="fr-FR"/>
        </w:rPr>
        <w:t xml:space="preserve"> Ces deux instruments visent à améliorer et moderniser le dispositif de gestion des processus migratoires</w:t>
      </w:r>
      <w:r w:rsidR="003E2853" w:rsidRPr="003E2853">
        <w:rPr>
          <w:lang w:val="fr-FR"/>
        </w:rPr>
        <w:t>.</w:t>
      </w:r>
    </w:p>
    <w:p w14:paraId="1317B0F3" w14:textId="3373FE20" w:rsidR="00F12045" w:rsidRDefault="00F12045" w:rsidP="00F12045">
      <w:pPr>
        <w:pStyle w:val="SingleTxtG"/>
        <w:rPr>
          <w:lang w:val="fr-FR"/>
        </w:rPr>
      </w:pPr>
      <w:r>
        <w:rPr>
          <w:lang w:val="fr-FR"/>
        </w:rPr>
        <w:t>21</w:t>
      </w:r>
      <w:r w:rsidR="003E2853" w:rsidRPr="003E2853">
        <w:rPr>
          <w:lang w:val="fr-FR"/>
        </w:rPr>
        <w:t>.</w:t>
      </w:r>
      <w:r>
        <w:rPr>
          <w:lang w:val="fr-FR"/>
        </w:rPr>
        <w:tab/>
        <w:t>La loi sur le statut juridique des étrangers, la loi sur la nationalité et la loi sur les migrations sont les principaux instruments régissant la politique de l’État dans le domaine des</w:t>
      </w:r>
      <w:r w:rsidR="00944FF5">
        <w:rPr>
          <w:lang w:val="fr-FR"/>
        </w:rPr>
        <w:t xml:space="preserve"> </w:t>
      </w:r>
      <w:r>
        <w:rPr>
          <w:lang w:val="fr-FR"/>
        </w:rPr>
        <w:t>migrations</w:t>
      </w:r>
      <w:r w:rsidR="003E2853" w:rsidRPr="003E2853">
        <w:rPr>
          <w:lang w:val="fr-FR"/>
        </w:rPr>
        <w:t>.</w:t>
      </w:r>
    </w:p>
    <w:p w14:paraId="0EEC22D0" w14:textId="4477E1E7" w:rsidR="00F12045" w:rsidRDefault="00F12045" w:rsidP="00F12045">
      <w:pPr>
        <w:pStyle w:val="SingleTxtG"/>
        <w:rPr>
          <w:lang w:val="fr-FR"/>
        </w:rPr>
      </w:pPr>
      <w:r>
        <w:rPr>
          <w:lang w:val="fr-FR"/>
        </w:rPr>
        <w:t>22</w:t>
      </w:r>
      <w:r w:rsidR="003E2853" w:rsidRPr="003E2853">
        <w:rPr>
          <w:lang w:val="fr-FR"/>
        </w:rPr>
        <w:t>.</w:t>
      </w:r>
      <w:r>
        <w:rPr>
          <w:lang w:val="fr-FR"/>
        </w:rPr>
        <w:tab/>
        <w:t>De plus, le Kazakhstan, qui est un membre actif de la communauté internationale, a pris part à l’élaboration du Pacte mondial pour des migrations sûres, ordonnées et régulières et y a adhéré les 10 et 11 décembre 2018, sur décision d’un groupe</w:t>
      </w:r>
      <w:r w:rsidR="00944FF5">
        <w:rPr>
          <w:lang w:val="fr-FR"/>
        </w:rPr>
        <w:t xml:space="preserve"> </w:t>
      </w:r>
      <w:r>
        <w:rPr>
          <w:lang w:val="fr-FR"/>
        </w:rPr>
        <w:t>d’experts spécialisés dans les</w:t>
      </w:r>
      <w:r w:rsidR="00944FF5">
        <w:rPr>
          <w:lang w:val="fr-FR"/>
        </w:rPr>
        <w:t xml:space="preserve"> </w:t>
      </w:r>
      <w:r>
        <w:rPr>
          <w:lang w:val="fr-FR"/>
        </w:rPr>
        <w:t>questions relatives aux migrations et aux réfugiés</w:t>
      </w:r>
      <w:r w:rsidR="003E2853" w:rsidRPr="003E2853">
        <w:rPr>
          <w:lang w:val="fr-FR"/>
        </w:rPr>
        <w:t>.</w:t>
      </w:r>
    </w:p>
    <w:p w14:paraId="14003273" w14:textId="6125EA06" w:rsidR="00F12045" w:rsidRDefault="00F12045" w:rsidP="00F12045">
      <w:pPr>
        <w:pStyle w:val="SingleTxtG"/>
        <w:rPr>
          <w:lang w:val="fr-FR"/>
        </w:rPr>
      </w:pPr>
      <w:r>
        <w:rPr>
          <w:lang w:val="fr-FR"/>
        </w:rPr>
        <w:t>23</w:t>
      </w:r>
      <w:r w:rsidR="003E2853" w:rsidRPr="003E2853">
        <w:rPr>
          <w:lang w:val="fr-FR"/>
        </w:rPr>
        <w:t>.</w:t>
      </w:r>
      <w:r>
        <w:rPr>
          <w:lang w:val="fr-FR"/>
        </w:rPr>
        <w:tab/>
        <w:t>L’un des principaux objectifs de cet instrument est l’accès aux prestations sociales et</w:t>
      </w:r>
      <w:r w:rsidR="00944FF5">
        <w:rPr>
          <w:lang w:val="fr-FR"/>
        </w:rPr>
        <w:t xml:space="preserve"> </w:t>
      </w:r>
      <w:r>
        <w:rPr>
          <w:lang w:val="fr-FR"/>
        </w:rPr>
        <w:t>au droit de bénéficier d’avantages</w:t>
      </w:r>
      <w:r w:rsidR="003E2853" w:rsidRPr="003E2853">
        <w:rPr>
          <w:lang w:val="fr-FR"/>
        </w:rPr>
        <w:t>.</w:t>
      </w:r>
    </w:p>
    <w:p w14:paraId="669C11AF" w14:textId="4B889302" w:rsidR="00F12045" w:rsidRDefault="00F12045" w:rsidP="00F12045">
      <w:pPr>
        <w:pStyle w:val="SingleTxtG"/>
        <w:rPr>
          <w:lang w:val="fr-FR"/>
        </w:rPr>
      </w:pPr>
      <w:r>
        <w:rPr>
          <w:lang w:val="fr-FR"/>
        </w:rPr>
        <w:t>24</w:t>
      </w:r>
      <w:r w:rsidR="003E2853" w:rsidRPr="003E2853">
        <w:rPr>
          <w:lang w:val="fr-FR"/>
        </w:rPr>
        <w:t>.</w:t>
      </w:r>
      <w:r>
        <w:rPr>
          <w:lang w:val="fr-FR"/>
        </w:rPr>
        <w:tab/>
        <w:t>Le Pacte mondial pour des migrations sûres, ordonnées et régulières fixe 23 objectifs, qui sont notamment de sauver des vies, de mettre en place des procédures accessibles pour des migrations régulières, de lutter contre les réseaux de trafiquants, de faciliter l’intégration et de lutter contre la discrimination</w:t>
      </w:r>
      <w:r w:rsidR="003E2853" w:rsidRPr="003E2853">
        <w:rPr>
          <w:lang w:val="fr-FR"/>
        </w:rPr>
        <w:t>.</w:t>
      </w:r>
    </w:p>
    <w:p w14:paraId="0C5F515A" w14:textId="035EECAC" w:rsidR="00F12045" w:rsidRDefault="00F12045" w:rsidP="00F12045">
      <w:pPr>
        <w:pStyle w:val="SingleTxtG"/>
        <w:rPr>
          <w:lang w:val="fr-FR"/>
        </w:rPr>
      </w:pPr>
      <w:r>
        <w:rPr>
          <w:lang w:val="fr-FR"/>
        </w:rPr>
        <w:t>25</w:t>
      </w:r>
      <w:r w:rsidR="003E2853" w:rsidRPr="003E2853">
        <w:rPr>
          <w:lang w:val="fr-FR"/>
        </w:rPr>
        <w:t>.</w:t>
      </w:r>
      <w:r>
        <w:rPr>
          <w:lang w:val="fr-FR"/>
        </w:rPr>
        <w:tab/>
        <w:t>De plus, le Ministère du travail et de la protection sociale s’efforce constamment d’améliorer les modalités de recrutement de la main-d’œuvre étrangère</w:t>
      </w:r>
      <w:r w:rsidR="003E2853" w:rsidRPr="003E2853">
        <w:rPr>
          <w:lang w:val="fr-FR"/>
        </w:rPr>
        <w:t>.</w:t>
      </w:r>
    </w:p>
    <w:p w14:paraId="3FC096F4" w14:textId="46481F44" w:rsidR="00F12045" w:rsidRDefault="00F12045" w:rsidP="00F12045">
      <w:pPr>
        <w:pStyle w:val="SingleTxtG"/>
        <w:rPr>
          <w:lang w:val="fr-FR"/>
        </w:rPr>
      </w:pPr>
      <w:r>
        <w:rPr>
          <w:lang w:val="fr-FR"/>
        </w:rPr>
        <w:t>26</w:t>
      </w:r>
      <w:r w:rsidR="003E2853" w:rsidRPr="003E2853">
        <w:rPr>
          <w:lang w:val="fr-FR"/>
        </w:rPr>
        <w:t>.</w:t>
      </w:r>
      <w:r>
        <w:rPr>
          <w:lang w:val="fr-FR"/>
        </w:rPr>
        <w:tab/>
        <w:t>Ainsi, une série de mesures destinées à améliorer le contrôle des migrations a été prise en 2020</w:t>
      </w:r>
      <w:r w:rsidR="003E2853" w:rsidRPr="003E2853">
        <w:rPr>
          <w:lang w:val="fr-FR"/>
        </w:rPr>
        <w:t>.</w:t>
      </w:r>
    </w:p>
    <w:p w14:paraId="5A6BDD64" w14:textId="78F8CA7C" w:rsidR="00F12045" w:rsidRDefault="00F12045" w:rsidP="00F12045">
      <w:pPr>
        <w:pStyle w:val="SingleTxtG"/>
        <w:rPr>
          <w:lang w:val="fr-FR"/>
        </w:rPr>
      </w:pPr>
      <w:r>
        <w:rPr>
          <w:lang w:val="fr-FR"/>
        </w:rPr>
        <w:t>27</w:t>
      </w:r>
      <w:r w:rsidR="003E2853" w:rsidRPr="003E2853">
        <w:rPr>
          <w:lang w:val="fr-FR"/>
        </w:rPr>
        <w:t>.</w:t>
      </w:r>
      <w:r>
        <w:rPr>
          <w:lang w:val="fr-FR"/>
        </w:rPr>
        <w:tab/>
        <w:t>En particulier, la disposition relative à l’enregistrement</w:t>
      </w:r>
      <w:r w:rsidR="00944FF5">
        <w:rPr>
          <w:lang w:val="fr-FR"/>
        </w:rPr>
        <w:t xml:space="preserve"> </w:t>
      </w:r>
      <w:r>
        <w:rPr>
          <w:lang w:val="fr-FR"/>
        </w:rPr>
        <w:t>des étrangers auprès des services du Ministère de l’intérieur a été abrogée</w:t>
      </w:r>
      <w:r w:rsidR="003E2853" w:rsidRPr="003E2853">
        <w:rPr>
          <w:lang w:val="fr-FR"/>
        </w:rPr>
        <w:t>.</w:t>
      </w:r>
      <w:r>
        <w:rPr>
          <w:lang w:val="fr-FR"/>
        </w:rPr>
        <w:t xml:space="preserve"> Désormais, le principal élément de contrôle de l’entrée des étrangers dans le pays est le mécanisme de notification aux</w:t>
      </w:r>
      <w:r w:rsidR="00944FF5">
        <w:rPr>
          <w:lang w:val="fr-FR"/>
        </w:rPr>
        <w:t xml:space="preserve"> </w:t>
      </w:r>
      <w:r>
        <w:rPr>
          <w:lang w:val="fr-FR"/>
        </w:rPr>
        <w:t>services du Ministère de l’intérieur par les personnes et les organisations qui accueillent des étrangers</w:t>
      </w:r>
      <w:r w:rsidR="003E2853" w:rsidRPr="003E2853">
        <w:rPr>
          <w:lang w:val="fr-FR"/>
        </w:rPr>
        <w:t>.</w:t>
      </w:r>
      <w:r>
        <w:rPr>
          <w:lang w:val="fr-FR"/>
        </w:rPr>
        <w:t xml:space="preserve"> Ce mécanisme est automatisé et est mis en œuvre au moyen du</w:t>
      </w:r>
      <w:r w:rsidR="00944FF5">
        <w:rPr>
          <w:lang w:val="fr-FR"/>
        </w:rPr>
        <w:t xml:space="preserve"> </w:t>
      </w:r>
      <w:r>
        <w:rPr>
          <w:lang w:val="fr-FR"/>
        </w:rPr>
        <w:t>portail pour les migrations et les visas</w:t>
      </w:r>
      <w:r w:rsidR="003E2853" w:rsidRPr="003E2853">
        <w:rPr>
          <w:lang w:val="fr-FR"/>
        </w:rPr>
        <w:t>.</w:t>
      </w:r>
    </w:p>
    <w:p w14:paraId="77191B7E" w14:textId="0256F562" w:rsidR="00F12045" w:rsidRDefault="00F12045" w:rsidP="00F12045">
      <w:pPr>
        <w:pStyle w:val="SingleTxtG"/>
        <w:rPr>
          <w:lang w:val="fr-FR"/>
        </w:rPr>
      </w:pPr>
      <w:r>
        <w:rPr>
          <w:lang w:val="fr-FR"/>
        </w:rPr>
        <w:t>28</w:t>
      </w:r>
      <w:r w:rsidR="003E2853" w:rsidRPr="003E2853">
        <w:rPr>
          <w:lang w:val="fr-FR"/>
        </w:rPr>
        <w:t>.</w:t>
      </w:r>
      <w:r>
        <w:rPr>
          <w:lang w:val="fr-FR"/>
        </w:rPr>
        <w:tab/>
        <w:t>Une procédure de délivrance des permis</w:t>
      </w:r>
      <w:r w:rsidR="00944FF5">
        <w:rPr>
          <w:lang w:val="fr-FR"/>
        </w:rPr>
        <w:t xml:space="preserve"> </w:t>
      </w:r>
      <w:r>
        <w:rPr>
          <w:lang w:val="fr-FR"/>
        </w:rPr>
        <w:t>aux travailleurs migrants</w:t>
      </w:r>
      <w:r w:rsidR="00944FF5">
        <w:rPr>
          <w:lang w:val="fr-FR"/>
        </w:rPr>
        <w:t xml:space="preserve"> </w:t>
      </w:r>
      <w:r>
        <w:rPr>
          <w:lang w:val="fr-FR"/>
        </w:rPr>
        <w:t>par les centres de services à la population a été mise en place</w:t>
      </w:r>
      <w:r w:rsidR="003E2853" w:rsidRPr="003E2853">
        <w:rPr>
          <w:lang w:val="fr-FR"/>
        </w:rPr>
        <w:t>.</w:t>
      </w:r>
    </w:p>
    <w:p w14:paraId="1940ACA2" w14:textId="177B2DDB" w:rsidR="00F12045" w:rsidRDefault="00F12045" w:rsidP="00F12045">
      <w:pPr>
        <w:pStyle w:val="SingleTxtG"/>
        <w:rPr>
          <w:lang w:val="fr-FR"/>
        </w:rPr>
      </w:pPr>
      <w:r>
        <w:rPr>
          <w:lang w:val="fr-FR"/>
        </w:rPr>
        <w:t>29</w:t>
      </w:r>
      <w:r w:rsidR="003E2853" w:rsidRPr="003E2853">
        <w:rPr>
          <w:lang w:val="fr-FR"/>
        </w:rPr>
        <w:t>.</w:t>
      </w:r>
      <w:r>
        <w:rPr>
          <w:lang w:val="fr-FR"/>
        </w:rPr>
        <w:tab/>
        <w:t>Les agents de l’organisme</w:t>
      </w:r>
      <w:r w:rsidR="00944FF5">
        <w:rPr>
          <w:lang w:val="fr-FR"/>
        </w:rPr>
        <w:t xml:space="preserve"> </w:t>
      </w:r>
      <w:r>
        <w:rPr>
          <w:lang w:val="fr-FR"/>
        </w:rPr>
        <w:t>« </w:t>
      </w:r>
      <w:r>
        <w:t>L’administration</w:t>
      </w:r>
      <w:r w:rsidR="00944FF5">
        <w:t xml:space="preserve"> </w:t>
      </w:r>
      <w:r>
        <w:rPr>
          <w:lang w:val="fr-FR"/>
        </w:rPr>
        <w:t>pour les citoyens » sont en contact direct avec les</w:t>
      </w:r>
      <w:r w:rsidR="00944FF5">
        <w:rPr>
          <w:lang w:val="fr-FR"/>
        </w:rPr>
        <w:t xml:space="preserve"> </w:t>
      </w:r>
      <w:r>
        <w:rPr>
          <w:lang w:val="fr-FR"/>
        </w:rPr>
        <w:t xml:space="preserve">étrangers </w:t>
      </w:r>
      <w:r w:rsidRPr="00DC5306">
        <w:rPr>
          <w:i/>
          <w:iCs/>
          <w:lang w:val="fr-FR"/>
        </w:rPr>
        <w:t xml:space="preserve">(réception des documents et </w:t>
      </w:r>
      <w:r>
        <w:rPr>
          <w:i/>
          <w:iCs/>
          <w:lang w:val="fr-FR"/>
        </w:rPr>
        <w:t>délivrance</w:t>
      </w:r>
      <w:r w:rsidR="00944FF5">
        <w:rPr>
          <w:i/>
          <w:iCs/>
          <w:lang w:val="fr-FR"/>
        </w:rPr>
        <w:t xml:space="preserve"> </w:t>
      </w:r>
      <w:r w:rsidRPr="00DC5306">
        <w:rPr>
          <w:i/>
          <w:iCs/>
          <w:lang w:val="fr-FR"/>
        </w:rPr>
        <w:t xml:space="preserve">des </w:t>
      </w:r>
      <w:r>
        <w:rPr>
          <w:i/>
          <w:iCs/>
          <w:lang w:val="fr-FR"/>
        </w:rPr>
        <w:t>permis</w:t>
      </w:r>
      <w:r w:rsidRPr="00DC5306">
        <w:rPr>
          <w:i/>
          <w:iCs/>
          <w:lang w:val="fr-FR"/>
        </w:rPr>
        <w:t>)</w:t>
      </w:r>
      <w:r w:rsidR="003E2853" w:rsidRPr="003E2853">
        <w:rPr>
          <w:lang w:val="fr-FR"/>
        </w:rPr>
        <w:t>.</w:t>
      </w:r>
      <w:r>
        <w:rPr>
          <w:lang w:val="fr-FR"/>
        </w:rPr>
        <w:t xml:space="preserve"> De plus, les services publics relatifs à la délivrance des autorisations de recrutement de travailleurs étrangers ont été automatisés et les démarches s’effectuent désormais à travers le Portail de l’administration en ligne</w:t>
      </w:r>
      <w:r w:rsidR="003E2853" w:rsidRPr="003E2853">
        <w:rPr>
          <w:lang w:val="fr-FR"/>
        </w:rPr>
        <w:t>.</w:t>
      </w:r>
    </w:p>
    <w:p w14:paraId="612B8011" w14:textId="0738FC1A" w:rsidR="00F12045" w:rsidRDefault="00F12045" w:rsidP="00F12045">
      <w:pPr>
        <w:pStyle w:val="SingleTxtG"/>
        <w:rPr>
          <w:lang w:val="fr-FR"/>
        </w:rPr>
      </w:pPr>
      <w:r>
        <w:rPr>
          <w:lang w:val="fr-FR"/>
        </w:rPr>
        <w:t>30</w:t>
      </w:r>
      <w:r w:rsidR="003E2853" w:rsidRPr="003E2853">
        <w:rPr>
          <w:lang w:val="fr-FR"/>
        </w:rPr>
        <w:t>.</w:t>
      </w:r>
      <w:r>
        <w:rPr>
          <w:lang w:val="fr-FR"/>
        </w:rPr>
        <w:tab/>
        <w:t>Actuellement, compte tenu de la prolongation dans le pays des mesures de quarantaine, le franchissement des frontières par les citoyens kazakhs et par les étrangers fait l’objet de restrictions, y compris en ce qui concerne le transit</w:t>
      </w:r>
      <w:r w:rsidR="003E2853" w:rsidRPr="003E2853">
        <w:rPr>
          <w:lang w:val="fr-FR"/>
        </w:rPr>
        <w:t>.</w:t>
      </w:r>
    </w:p>
    <w:p w14:paraId="5CDCF560" w14:textId="48E67341" w:rsidR="00F12045" w:rsidRDefault="00F12045" w:rsidP="00F12045">
      <w:pPr>
        <w:pStyle w:val="SingleTxtG"/>
        <w:rPr>
          <w:lang w:val="fr-FR"/>
        </w:rPr>
      </w:pPr>
      <w:r>
        <w:rPr>
          <w:lang w:val="fr-FR"/>
        </w:rPr>
        <w:t>31</w:t>
      </w:r>
      <w:r w:rsidR="003E2853" w:rsidRPr="003E2853">
        <w:rPr>
          <w:lang w:val="fr-FR"/>
        </w:rPr>
        <w:t>.</w:t>
      </w:r>
      <w:r>
        <w:rPr>
          <w:lang w:val="fr-FR"/>
        </w:rPr>
        <w:tab/>
        <w:t xml:space="preserve">La Commission interministérielle chargée de la lutte contre l’apparition et la propagation de la maladie à coronavirus (COVID-19) sur le territoire kazakh a adopté les modalités relatives au franchissement des frontières nationales, </w:t>
      </w:r>
      <w:r>
        <w:t xml:space="preserve">applicables dès </w:t>
      </w:r>
      <w:r>
        <w:rPr>
          <w:lang w:val="fr-FR"/>
        </w:rPr>
        <w:t>le 11 mai 2020 et</w:t>
      </w:r>
      <w:r w:rsidR="00944FF5">
        <w:rPr>
          <w:lang w:val="fr-FR"/>
        </w:rPr>
        <w:t xml:space="preserve"> </w:t>
      </w:r>
      <w:r>
        <w:rPr>
          <w:lang w:val="fr-FR"/>
        </w:rPr>
        <w:t>jusqu’à la levée des</w:t>
      </w:r>
      <w:r w:rsidR="00944FF5">
        <w:rPr>
          <w:lang w:val="fr-FR"/>
        </w:rPr>
        <w:t xml:space="preserve"> </w:t>
      </w:r>
      <w:r>
        <w:rPr>
          <w:lang w:val="fr-FR"/>
        </w:rPr>
        <w:t>mesures de quarantaine</w:t>
      </w:r>
      <w:r w:rsidR="003E2853" w:rsidRPr="003E2853">
        <w:rPr>
          <w:lang w:val="fr-FR"/>
        </w:rPr>
        <w:t>.</w:t>
      </w:r>
      <w:r>
        <w:rPr>
          <w:lang w:val="fr-FR"/>
        </w:rPr>
        <w:t xml:space="preserve"> Les mesures ci-après ont par ailleurs été mises en place</w:t>
      </w:r>
      <w:r w:rsidR="003E2853" w:rsidRPr="003E2853">
        <w:rPr>
          <w:lang w:val="fr-FR"/>
        </w:rPr>
        <w:t>.</w:t>
      </w:r>
    </w:p>
    <w:p w14:paraId="23BE3E9D" w14:textId="104AC5D3" w:rsidR="00F12045" w:rsidRDefault="00F12045" w:rsidP="00F12045">
      <w:pPr>
        <w:pStyle w:val="SingleTxtG"/>
        <w:rPr>
          <w:lang w:val="fr-FR"/>
        </w:rPr>
      </w:pPr>
      <w:r>
        <w:rPr>
          <w:lang w:val="fr-FR"/>
        </w:rPr>
        <w:t>32</w:t>
      </w:r>
      <w:r w:rsidR="003E2853" w:rsidRPr="003E2853">
        <w:rPr>
          <w:lang w:val="fr-FR"/>
        </w:rPr>
        <w:t>.</w:t>
      </w:r>
      <w:r>
        <w:rPr>
          <w:lang w:val="fr-FR"/>
        </w:rPr>
        <w:tab/>
        <w:t>Les étrangers et les apatrides dont les titres de voyages, les permis de séjour, les visas et les autorisations de séjour temporaire sont arrivés à expiration ou expirent avant le 5 juin 2021 sont autorisés à quitter le Kazakhstan sans encourir de sanctions</w:t>
      </w:r>
      <w:r w:rsidR="00944FF5">
        <w:rPr>
          <w:lang w:val="fr-FR"/>
        </w:rPr>
        <w:t xml:space="preserve"> </w:t>
      </w:r>
      <w:r>
        <w:rPr>
          <w:lang w:val="fr-FR"/>
        </w:rPr>
        <w:t>administratives</w:t>
      </w:r>
      <w:r w:rsidR="003E2853" w:rsidRPr="003E2853">
        <w:rPr>
          <w:lang w:val="fr-FR"/>
        </w:rPr>
        <w:t>.</w:t>
      </w:r>
    </w:p>
    <w:p w14:paraId="5474E599" w14:textId="462EBB60" w:rsidR="00F12045" w:rsidRDefault="00F12045" w:rsidP="00F12045">
      <w:pPr>
        <w:pStyle w:val="SingleTxtG"/>
        <w:rPr>
          <w:lang w:val="fr-FR"/>
        </w:rPr>
      </w:pPr>
      <w:r>
        <w:rPr>
          <w:lang w:val="fr-FR"/>
        </w:rPr>
        <w:t>33</w:t>
      </w:r>
      <w:r w:rsidR="003E2853" w:rsidRPr="003E2853">
        <w:rPr>
          <w:lang w:val="fr-FR"/>
        </w:rPr>
        <w:t>.</w:t>
      </w:r>
      <w:r>
        <w:rPr>
          <w:lang w:val="fr-FR"/>
        </w:rPr>
        <w:tab/>
        <w:t>Les étrangers peuvent donc quitter volontairement le pays sans encourir de sanctions</w:t>
      </w:r>
      <w:r w:rsidR="003E2853" w:rsidRPr="003E2853">
        <w:rPr>
          <w:lang w:val="fr-FR"/>
        </w:rPr>
        <w:t>.</w:t>
      </w:r>
    </w:p>
    <w:p w14:paraId="2399133F" w14:textId="1D08906D" w:rsidR="00F12045" w:rsidRDefault="00F12045" w:rsidP="00F12045">
      <w:pPr>
        <w:pStyle w:val="SingleTxtG"/>
        <w:rPr>
          <w:lang w:val="fr-FR"/>
        </w:rPr>
      </w:pPr>
      <w:r>
        <w:rPr>
          <w:lang w:val="fr-FR"/>
        </w:rPr>
        <w:t>34</w:t>
      </w:r>
      <w:r w:rsidR="003E2853" w:rsidRPr="003E2853">
        <w:rPr>
          <w:lang w:val="fr-FR"/>
        </w:rPr>
        <w:t>.</w:t>
      </w:r>
      <w:r>
        <w:rPr>
          <w:lang w:val="fr-FR"/>
        </w:rPr>
        <w:tab/>
        <w:t>Dans le même temps,</w:t>
      </w:r>
      <w:r w:rsidR="00944FF5">
        <w:rPr>
          <w:lang w:val="fr-FR"/>
        </w:rPr>
        <w:t xml:space="preserve"> </w:t>
      </w:r>
      <w:r>
        <w:rPr>
          <w:lang w:val="fr-FR"/>
        </w:rPr>
        <w:t xml:space="preserve">la durée du séjour </w:t>
      </w:r>
      <w:r w:rsidRPr="0051298C">
        <w:rPr>
          <w:lang w:val="fr-FR"/>
        </w:rPr>
        <w:t>(</w:t>
      </w:r>
      <w:r w:rsidRPr="00DC5306">
        <w:rPr>
          <w:i/>
          <w:iCs/>
          <w:lang w:val="fr-FR"/>
        </w:rPr>
        <w:t>visas et autorisations de séjour temporaire</w:t>
      </w:r>
      <w:r w:rsidRPr="0051298C">
        <w:rPr>
          <w:lang w:val="fr-FR"/>
        </w:rPr>
        <w:t>)</w:t>
      </w:r>
      <w:r>
        <w:rPr>
          <w:lang w:val="fr-FR"/>
        </w:rPr>
        <w:t xml:space="preserve"> des étrangers entrant dans les catégories suivantes est prolongée</w:t>
      </w:r>
      <w:r w:rsidR="0051298C">
        <w:rPr>
          <w:lang w:val="fr-FR"/>
        </w:rPr>
        <w:t xml:space="preserve"> </w:t>
      </w:r>
      <w:r>
        <w:rPr>
          <w:lang w:val="fr-FR"/>
        </w:rPr>
        <w:t>jusqu’au 5 juin 2021</w:t>
      </w:r>
      <w:r w:rsidR="00941B78">
        <w:rPr>
          <w:lang w:val="fr-FR"/>
        </w:rPr>
        <w:t> </w:t>
      </w:r>
      <w:r>
        <w:rPr>
          <w:lang w:val="fr-FR"/>
        </w:rPr>
        <w:t>:</w:t>
      </w:r>
    </w:p>
    <w:p w14:paraId="42842A9C" w14:textId="51F25FF6" w:rsidR="00F12045" w:rsidRDefault="00F12045" w:rsidP="00F12045">
      <w:pPr>
        <w:pStyle w:val="SingleTxtG"/>
        <w:rPr>
          <w:lang w:val="fr-FR"/>
        </w:rPr>
      </w:pPr>
      <w:r>
        <w:rPr>
          <w:lang w:val="fr-FR"/>
        </w:rPr>
        <w:tab/>
      </w:r>
      <w:r>
        <w:rPr>
          <w:lang w:val="fr-FR"/>
        </w:rPr>
        <w:t>1)</w:t>
      </w:r>
      <w:r>
        <w:rPr>
          <w:lang w:val="fr-FR"/>
        </w:rPr>
        <w:tab/>
        <w:t>Les étrangers en possession d’un permis de travail ou d’un certificat de</w:t>
      </w:r>
      <w:r w:rsidR="00944FF5">
        <w:rPr>
          <w:lang w:val="fr-FR"/>
        </w:rPr>
        <w:t xml:space="preserve"> </w:t>
      </w:r>
      <w:r>
        <w:rPr>
          <w:lang w:val="fr-FR"/>
        </w:rPr>
        <w:t xml:space="preserve">qualification </w:t>
      </w:r>
      <w:r>
        <w:t xml:space="preserve">pour l’exercice d’une activité indépendante </w:t>
      </w:r>
      <w:r>
        <w:rPr>
          <w:lang w:val="fr-FR"/>
        </w:rPr>
        <w:t>délivré par les autorités exécutives locales</w:t>
      </w:r>
      <w:r w:rsidR="003E2853" w:rsidRPr="003E2853">
        <w:rPr>
          <w:lang w:val="fr-FR"/>
        </w:rPr>
        <w:t>.</w:t>
      </w:r>
      <w:r>
        <w:rPr>
          <w:lang w:val="fr-FR"/>
        </w:rPr>
        <w:t xml:space="preserve"> Le visa ou l’autorisation de séjour temporaire sont délivrés à l’étranger ou à l’apatride abstraction faite </w:t>
      </w:r>
      <w:r w:rsidRPr="00834F53">
        <w:rPr>
          <w:lang w:val="fr-FR"/>
        </w:rPr>
        <w:t>des</w:t>
      </w:r>
      <w:r>
        <w:rPr>
          <w:lang w:val="fr-FR"/>
        </w:rPr>
        <w:t xml:space="preserve"> prescriptions relatives à la déclaration du motif du séjour</w:t>
      </w:r>
      <w:r w:rsidR="00941B78">
        <w:rPr>
          <w:lang w:val="fr-FR"/>
        </w:rPr>
        <w:t> </w:t>
      </w:r>
      <w:r>
        <w:rPr>
          <w:lang w:val="fr-FR"/>
        </w:rPr>
        <w:t>;</w:t>
      </w:r>
    </w:p>
    <w:p w14:paraId="63636A87" w14:textId="0789C03D" w:rsidR="00F12045" w:rsidRDefault="00F12045" w:rsidP="00F12045">
      <w:pPr>
        <w:pStyle w:val="SingleTxtG"/>
        <w:rPr>
          <w:lang w:val="fr-FR"/>
        </w:rPr>
      </w:pPr>
      <w:r>
        <w:rPr>
          <w:lang w:val="fr-FR"/>
        </w:rPr>
        <w:lastRenderedPageBreak/>
        <w:tab/>
      </w:r>
      <w:r>
        <w:rPr>
          <w:lang w:val="fr-FR"/>
        </w:rPr>
        <w:t>2)</w:t>
      </w:r>
      <w:r>
        <w:rPr>
          <w:lang w:val="fr-FR"/>
        </w:rPr>
        <w:tab/>
        <w:t>Les étrangers entrés au Kazakhstan dans le cadre du regroupement familial et se trouvant dans l’impossibilité de présenter des documents délivrés par le pays dont ils sont ressortissants</w:t>
      </w:r>
      <w:r w:rsidR="003E2853" w:rsidRPr="003E2853">
        <w:rPr>
          <w:lang w:val="fr-FR"/>
        </w:rPr>
        <w:t>.</w:t>
      </w:r>
      <w:r>
        <w:rPr>
          <w:lang w:val="fr-FR"/>
        </w:rPr>
        <w:t xml:space="preserve"> Le visa est délivré à l’étranger ou à l’apatride abstraction faite des prescriptions relatives à la déclaration du</w:t>
      </w:r>
      <w:r w:rsidDel="00702626">
        <w:rPr>
          <w:lang w:val="fr-FR"/>
        </w:rPr>
        <w:t xml:space="preserve"> </w:t>
      </w:r>
      <w:r>
        <w:rPr>
          <w:lang w:val="fr-FR"/>
        </w:rPr>
        <w:t>motif du séjour ;</w:t>
      </w:r>
    </w:p>
    <w:p w14:paraId="77FA9E4C" w14:textId="7E6F6272" w:rsidR="00F12045" w:rsidRDefault="00F12045" w:rsidP="00F12045">
      <w:pPr>
        <w:pStyle w:val="SingleTxtG"/>
        <w:rPr>
          <w:lang w:val="fr-FR"/>
        </w:rPr>
      </w:pPr>
      <w:r>
        <w:rPr>
          <w:lang w:val="fr-FR"/>
        </w:rPr>
        <w:tab/>
      </w:r>
      <w:r>
        <w:rPr>
          <w:lang w:val="fr-FR"/>
        </w:rPr>
        <w:t>3)</w:t>
      </w:r>
      <w:r>
        <w:rPr>
          <w:lang w:val="fr-FR"/>
        </w:rPr>
        <w:tab/>
        <w:t>Les travailleurs migrants</w:t>
      </w:r>
      <w:r w:rsidR="00944FF5">
        <w:rPr>
          <w:lang w:val="fr-FR"/>
        </w:rPr>
        <w:t xml:space="preserve"> </w:t>
      </w:r>
      <w:r>
        <w:rPr>
          <w:lang w:val="fr-FR"/>
        </w:rPr>
        <w:t>qui déposent une demande de délivrance,</w:t>
      </w:r>
      <w:r w:rsidR="00944FF5">
        <w:rPr>
          <w:lang w:val="fr-FR"/>
        </w:rPr>
        <w:t xml:space="preserve"> </w:t>
      </w:r>
      <w:r>
        <w:rPr>
          <w:lang w:val="fr-FR"/>
        </w:rPr>
        <w:t>de prolongation ou de renouvellement de leur</w:t>
      </w:r>
      <w:r w:rsidR="00944FF5">
        <w:rPr>
          <w:lang w:val="fr-FR"/>
        </w:rPr>
        <w:t xml:space="preserve"> </w:t>
      </w:r>
      <w:r>
        <w:rPr>
          <w:lang w:val="fr-FR"/>
        </w:rPr>
        <w:t>permis</w:t>
      </w:r>
      <w:r w:rsidR="003E2853" w:rsidRPr="003E2853">
        <w:rPr>
          <w:lang w:val="fr-FR"/>
        </w:rPr>
        <w:t>.</w:t>
      </w:r>
      <w:r>
        <w:rPr>
          <w:lang w:val="fr-FR"/>
        </w:rPr>
        <w:t xml:space="preserve"> Le permis</w:t>
      </w:r>
      <w:r w:rsidR="00944FF5">
        <w:rPr>
          <w:lang w:val="fr-FR"/>
        </w:rPr>
        <w:t xml:space="preserve"> </w:t>
      </w:r>
      <w:r>
        <w:rPr>
          <w:lang w:val="fr-FR"/>
        </w:rPr>
        <w:t>est établi abstraction faite des prescriptions énoncées</w:t>
      </w:r>
      <w:r w:rsidR="00944FF5">
        <w:rPr>
          <w:lang w:val="fr-FR"/>
        </w:rPr>
        <w:t xml:space="preserve"> </w:t>
      </w:r>
      <w:r>
        <w:rPr>
          <w:lang w:val="fr-FR"/>
        </w:rPr>
        <w:t>à l’article 43-1 (par</w:t>
      </w:r>
      <w:r w:rsidR="003E2853" w:rsidRPr="003E2853">
        <w:rPr>
          <w:lang w:val="fr-FR"/>
        </w:rPr>
        <w:t>.</w:t>
      </w:r>
      <w:r>
        <w:rPr>
          <w:lang w:val="fr-FR"/>
        </w:rPr>
        <w:t xml:space="preserve"> 2) de la loi sur les </w:t>
      </w:r>
      <w:r w:rsidRPr="001C71A4">
        <w:rPr>
          <w:lang w:val="fr-FR"/>
        </w:rPr>
        <w:t xml:space="preserve">migrations </w:t>
      </w:r>
      <w:r w:rsidRPr="0051298C">
        <w:rPr>
          <w:lang w:val="fr-FR"/>
        </w:rPr>
        <w:t>(</w:t>
      </w:r>
      <w:r w:rsidRPr="00DC5306">
        <w:rPr>
          <w:i/>
          <w:iCs/>
          <w:lang w:val="fr-FR"/>
        </w:rPr>
        <w:t>la durée du séjour ininterrompu d</w:t>
      </w:r>
      <w:r>
        <w:rPr>
          <w:i/>
          <w:iCs/>
          <w:lang w:val="fr-FR"/>
        </w:rPr>
        <w:t>’</w:t>
      </w:r>
      <w:r w:rsidRPr="00DC5306">
        <w:rPr>
          <w:i/>
          <w:iCs/>
          <w:lang w:val="fr-FR"/>
        </w:rPr>
        <w:t xml:space="preserve">un </w:t>
      </w:r>
      <w:r>
        <w:rPr>
          <w:i/>
          <w:iCs/>
          <w:lang w:val="fr-FR"/>
        </w:rPr>
        <w:t xml:space="preserve">travailleur </w:t>
      </w:r>
      <w:r w:rsidRPr="00DC5306">
        <w:rPr>
          <w:i/>
          <w:iCs/>
          <w:lang w:val="fr-FR"/>
        </w:rPr>
        <w:t>migrant</w:t>
      </w:r>
      <w:r>
        <w:rPr>
          <w:i/>
          <w:iCs/>
          <w:lang w:val="fr-FR"/>
        </w:rPr>
        <w:t xml:space="preserve"> sur le territoire kazakh</w:t>
      </w:r>
      <w:r w:rsidRPr="00DC5306">
        <w:rPr>
          <w:i/>
          <w:iCs/>
          <w:lang w:val="fr-FR"/>
        </w:rPr>
        <w:t xml:space="preserve"> ne peut excéder </w:t>
      </w:r>
      <w:r w:rsidR="00941B78">
        <w:rPr>
          <w:i/>
          <w:iCs/>
          <w:lang w:val="fr-FR"/>
        </w:rPr>
        <w:t>douze</w:t>
      </w:r>
      <w:r w:rsidRPr="00DC5306">
        <w:rPr>
          <w:i/>
          <w:iCs/>
          <w:lang w:val="fr-FR"/>
        </w:rPr>
        <w:t xml:space="preserve"> mois</w:t>
      </w:r>
      <w:r w:rsidRPr="0051298C">
        <w:rPr>
          <w:lang w:val="fr-FR"/>
        </w:rPr>
        <w:t>)</w:t>
      </w:r>
      <w:r w:rsidR="003E2853" w:rsidRPr="003E2853">
        <w:rPr>
          <w:lang w:val="fr-FR"/>
        </w:rPr>
        <w:t>.</w:t>
      </w:r>
    </w:p>
    <w:p w14:paraId="6497C0F8" w14:textId="268518AB" w:rsidR="00F12045" w:rsidRDefault="00F12045" w:rsidP="00F12045">
      <w:pPr>
        <w:pStyle w:val="SingleTxtG"/>
        <w:rPr>
          <w:lang w:val="fr-FR"/>
        </w:rPr>
      </w:pPr>
      <w:r>
        <w:rPr>
          <w:lang w:val="fr-FR"/>
        </w:rPr>
        <w:t>35</w:t>
      </w:r>
      <w:r w:rsidR="003E2853" w:rsidRPr="003E2853">
        <w:rPr>
          <w:lang w:val="fr-FR"/>
        </w:rPr>
        <w:t>.</w:t>
      </w:r>
      <w:r>
        <w:rPr>
          <w:lang w:val="fr-FR"/>
        </w:rPr>
        <w:tab/>
        <w:t>De plus, conformément à l’article 9 de la loi sur le logement, les personnes physiques et morales étrangères jouissent au Kazakhstan des mêmes droits et sont soumis aux mêmes obligations en matière de logement que les personnes morales et les citoyens kazakhs, sauf si la législation dispose autrement</w:t>
      </w:r>
      <w:r w:rsidR="003E2853" w:rsidRPr="003E2853">
        <w:rPr>
          <w:lang w:val="fr-FR"/>
        </w:rPr>
        <w:t>.</w:t>
      </w:r>
    </w:p>
    <w:p w14:paraId="2CD2D192" w14:textId="03435787" w:rsidR="00F12045" w:rsidRDefault="00F12045" w:rsidP="00F12045">
      <w:pPr>
        <w:pStyle w:val="SingleTxtG"/>
        <w:rPr>
          <w:lang w:val="fr-FR"/>
        </w:rPr>
      </w:pPr>
      <w:r>
        <w:rPr>
          <w:lang w:val="fr-FR"/>
        </w:rPr>
        <w:t>36</w:t>
      </w:r>
      <w:r w:rsidR="003E2853" w:rsidRPr="003E2853">
        <w:rPr>
          <w:lang w:val="fr-FR"/>
        </w:rPr>
        <w:t>.</w:t>
      </w:r>
      <w:r>
        <w:rPr>
          <w:lang w:val="fr-FR"/>
        </w:rPr>
        <w:tab/>
        <w:t>Les apatrides qui résident de façon permanente au Kazakhstan jouissent des mêmes droits et sont soumis aux mêmes obligations en matière de logement que les citoyens kazakhs</w:t>
      </w:r>
      <w:r w:rsidR="003E2853" w:rsidRPr="003E2853">
        <w:rPr>
          <w:lang w:val="fr-FR"/>
        </w:rPr>
        <w:t>.</w:t>
      </w:r>
    </w:p>
    <w:p w14:paraId="2EBEA1F6" w14:textId="781439AF" w:rsidR="00F12045" w:rsidRDefault="00F12045" w:rsidP="00F12045">
      <w:pPr>
        <w:pStyle w:val="SingleTxtG"/>
        <w:rPr>
          <w:lang w:val="fr-FR"/>
        </w:rPr>
      </w:pPr>
      <w:r>
        <w:rPr>
          <w:lang w:val="fr-FR"/>
        </w:rPr>
        <w:t>37</w:t>
      </w:r>
      <w:r w:rsidR="003E2853" w:rsidRPr="003E2853">
        <w:rPr>
          <w:lang w:val="fr-FR"/>
        </w:rPr>
        <w:t>.</w:t>
      </w:r>
      <w:r>
        <w:rPr>
          <w:lang w:val="fr-FR"/>
        </w:rPr>
        <w:tab/>
        <w:t>De plus, en vertu de la loi du 13 mai 2020 modifiant et complétant certains actes législatifs régissant les migrations,</w:t>
      </w:r>
      <w:r w:rsidR="00944FF5">
        <w:rPr>
          <w:lang w:val="fr-FR"/>
        </w:rPr>
        <w:t xml:space="preserve"> </w:t>
      </w:r>
      <w:r>
        <w:rPr>
          <w:lang w:val="fr-FR"/>
        </w:rPr>
        <w:t xml:space="preserve">des modifications ont été apportées à la loi sur le logement et </w:t>
      </w:r>
      <w:r>
        <w:t xml:space="preserve">la notion </w:t>
      </w:r>
      <w:r>
        <w:rPr>
          <w:lang w:val="fr-FR"/>
        </w:rPr>
        <w:t>d’« </w:t>
      </w:r>
      <w:proofErr w:type="spellStart"/>
      <w:r>
        <w:rPr>
          <w:lang w:val="fr-FR"/>
        </w:rPr>
        <w:t>oralman</w:t>
      </w:r>
      <w:proofErr w:type="spellEnd"/>
      <w:r>
        <w:rPr>
          <w:lang w:val="fr-FR"/>
        </w:rPr>
        <w:t> » a été remplacée par celle de « </w:t>
      </w:r>
      <w:proofErr w:type="spellStart"/>
      <w:r>
        <w:rPr>
          <w:lang w:val="fr-FR"/>
        </w:rPr>
        <w:t>kandas</w:t>
      </w:r>
      <w:proofErr w:type="spellEnd"/>
      <w:r>
        <w:rPr>
          <w:lang w:val="fr-FR"/>
        </w:rPr>
        <w:t> »</w:t>
      </w:r>
      <w:r w:rsidR="003E2853" w:rsidRPr="003E2853">
        <w:rPr>
          <w:lang w:val="fr-FR"/>
        </w:rPr>
        <w:t>.</w:t>
      </w:r>
    </w:p>
    <w:p w14:paraId="62581EA0" w14:textId="7762BB49" w:rsidR="00F12045" w:rsidRDefault="00F12045" w:rsidP="00F12045">
      <w:pPr>
        <w:pStyle w:val="SingleTxtG"/>
        <w:rPr>
          <w:lang w:val="fr-FR"/>
        </w:rPr>
      </w:pPr>
      <w:r>
        <w:rPr>
          <w:lang w:val="fr-FR"/>
        </w:rPr>
        <w:t>38</w:t>
      </w:r>
      <w:r w:rsidR="003E2853" w:rsidRPr="003E2853">
        <w:rPr>
          <w:lang w:val="fr-FR"/>
        </w:rPr>
        <w:t>.</w:t>
      </w:r>
      <w:r>
        <w:rPr>
          <w:lang w:val="fr-FR"/>
        </w:rPr>
        <w:tab/>
        <w:t>Par ailleurs, les étrangers et les apatrides qui résident au Kazakhstan de façon permanente ont, au même titre que les citoyens kazakhs, le droit de bénéficier</w:t>
      </w:r>
      <w:r w:rsidR="00944FF5">
        <w:rPr>
          <w:lang w:val="fr-FR"/>
        </w:rPr>
        <w:t xml:space="preserve"> </w:t>
      </w:r>
      <w:r>
        <w:rPr>
          <w:lang w:val="fr-FR"/>
        </w:rPr>
        <w:t>d’un volume garanti de</w:t>
      </w:r>
      <w:r w:rsidR="00944FF5">
        <w:rPr>
          <w:lang w:val="fr-FR"/>
        </w:rPr>
        <w:t xml:space="preserve"> </w:t>
      </w:r>
      <w:r>
        <w:rPr>
          <w:lang w:val="fr-FR"/>
        </w:rPr>
        <w:t>prestations</w:t>
      </w:r>
      <w:r w:rsidR="00944FF5">
        <w:rPr>
          <w:lang w:val="fr-FR"/>
        </w:rPr>
        <w:t xml:space="preserve"> </w:t>
      </w:r>
      <w:r>
        <w:rPr>
          <w:lang w:val="fr-FR"/>
        </w:rPr>
        <w:t xml:space="preserve">médicales gratuites </w:t>
      </w:r>
      <w:r w:rsidRPr="0051298C">
        <w:rPr>
          <w:lang w:val="fr-FR"/>
        </w:rPr>
        <w:t>(</w:t>
      </w:r>
      <w:r w:rsidRPr="00DC5306">
        <w:rPr>
          <w:i/>
          <w:iCs/>
          <w:lang w:val="fr-FR"/>
        </w:rPr>
        <w:t>art</w:t>
      </w:r>
      <w:r w:rsidR="003E2853" w:rsidRPr="003E2853">
        <w:rPr>
          <w:i/>
          <w:iCs/>
          <w:lang w:val="fr-FR"/>
        </w:rPr>
        <w:t>.</w:t>
      </w:r>
      <w:r w:rsidRPr="00DC5306">
        <w:rPr>
          <w:i/>
          <w:iCs/>
          <w:lang w:val="fr-FR"/>
        </w:rPr>
        <w:t xml:space="preserve"> 83 du Code de la santé</w:t>
      </w:r>
      <w:r>
        <w:rPr>
          <w:i/>
          <w:iCs/>
          <w:lang w:val="fr-FR"/>
        </w:rPr>
        <w:t xml:space="preserve"> publique et du système de santé</w:t>
      </w:r>
      <w:r w:rsidRPr="0051298C">
        <w:rPr>
          <w:lang w:val="fr-FR"/>
        </w:rPr>
        <w:t>)</w:t>
      </w:r>
      <w:r w:rsidR="003E2853" w:rsidRPr="003E2853">
        <w:rPr>
          <w:lang w:val="fr-FR"/>
        </w:rPr>
        <w:t>.</w:t>
      </w:r>
    </w:p>
    <w:p w14:paraId="699BCC2B" w14:textId="64C85B3F" w:rsidR="00F12045" w:rsidRDefault="00F12045" w:rsidP="00F12045">
      <w:pPr>
        <w:pStyle w:val="SingleTxtG"/>
        <w:rPr>
          <w:lang w:val="fr-FR"/>
        </w:rPr>
      </w:pPr>
      <w:r>
        <w:rPr>
          <w:lang w:val="fr-FR"/>
        </w:rPr>
        <w:t>39</w:t>
      </w:r>
      <w:r w:rsidR="003E2853" w:rsidRPr="003E2853">
        <w:rPr>
          <w:lang w:val="fr-FR"/>
        </w:rPr>
        <w:t>.</w:t>
      </w:r>
      <w:r>
        <w:rPr>
          <w:lang w:val="fr-FR"/>
        </w:rPr>
        <w:tab/>
        <w:t>De même,</w:t>
      </w:r>
      <w:r w:rsidR="00944FF5">
        <w:rPr>
          <w:lang w:val="fr-FR"/>
        </w:rPr>
        <w:t xml:space="preserve"> </w:t>
      </w:r>
      <w:r>
        <w:rPr>
          <w:lang w:val="fr-FR"/>
        </w:rPr>
        <w:t xml:space="preserve">le décret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sidRPr="005F3E14">
        <w:rPr>
          <w:lang w:val="fr-FR"/>
        </w:rPr>
        <w:t>MZ RK-121/2020</w:t>
      </w:r>
      <w:r>
        <w:rPr>
          <w:lang w:val="fr-FR"/>
        </w:rPr>
        <w:t xml:space="preserve"> du 9 octobre 2020, publié par le Ministère de la santé,</w:t>
      </w:r>
      <w:r w:rsidR="00944FF5">
        <w:rPr>
          <w:lang w:val="fr-FR"/>
        </w:rPr>
        <w:t xml:space="preserve"> </w:t>
      </w:r>
      <w:r>
        <w:rPr>
          <w:lang w:val="fr-FR"/>
        </w:rPr>
        <w:t>contient la liste des maladies présentant un risque pour les tiers et définit les prestations médicales y relatives, et prévoit que les étrangers et les apatrides résidant temporairement au Kazakhstan, de même que les réfugiés, qui sont atteints de ces maladies peuvent bénéficier</w:t>
      </w:r>
      <w:r w:rsidR="00944FF5">
        <w:rPr>
          <w:lang w:val="fr-FR"/>
        </w:rPr>
        <w:t xml:space="preserve"> </w:t>
      </w:r>
      <w:r>
        <w:rPr>
          <w:lang w:val="fr-FR"/>
        </w:rPr>
        <w:t>d’un volume garanti de prestations</w:t>
      </w:r>
      <w:r w:rsidR="00944FF5">
        <w:rPr>
          <w:lang w:val="fr-FR"/>
        </w:rPr>
        <w:t xml:space="preserve"> </w:t>
      </w:r>
      <w:r>
        <w:rPr>
          <w:lang w:val="fr-FR"/>
        </w:rPr>
        <w:t>médicales gratuites</w:t>
      </w:r>
      <w:r w:rsidR="003E2853" w:rsidRPr="003E2853">
        <w:rPr>
          <w:lang w:val="fr-FR"/>
        </w:rPr>
        <w:t>.</w:t>
      </w:r>
    </w:p>
    <w:p w14:paraId="18F48AFB" w14:textId="457D31D6" w:rsidR="00F12045" w:rsidRDefault="00F12045" w:rsidP="00F12045">
      <w:pPr>
        <w:pStyle w:val="SingleTxtG"/>
        <w:rPr>
          <w:lang w:val="fr-FR"/>
        </w:rPr>
      </w:pPr>
      <w:r>
        <w:rPr>
          <w:lang w:val="fr-FR"/>
        </w:rPr>
        <w:t>40</w:t>
      </w:r>
      <w:r w:rsidR="003E2853" w:rsidRPr="003E2853">
        <w:rPr>
          <w:lang w:val="fr-FR"/>
        </w:rPr>
        <w:t>.</w:t>
      </w:r>
      <w:r>
        <w:rPr>
          <w:lang w:val="fr-FR"/>
        </w:rPr>
        <w:tab/>
        <w:t>Conformément à cette nomenclature, les étrangers et les travailleurs migrants</w:t>
      </w:r>
      <w:r w:rsidR="00944FF5">
        <w:rPr>
          <w:lang w:val="fr-FR"/>
        </w:rPr>
        <w:t xml:space="preserve"> </w:t>
      </w:r>
      <w:r>
        <w:rPr>
          <w:lang w:val="fr-FR"/>
        </w:rPr>
        <w:t>atteints de</w:t>
      </w:r>
      <w:r w:rsidR="00944FF5">
        <w:rPr>
          <w:lang w:val="fr-FR"/>
        </w:rPr>
        <w:t xml:space="preserve"> </w:t>
      </w:r>
      <w:r>
        <w:rPr>
          <w:lang w:val="fr-FR"/>
        </w:rPr>
        <w:t>la COVID-19 sont soignés dans le cadre des prestations médicales gratuites</w:t>
      </w:r>
      <w:r w:rsidR="00944FF5">
        <w:rPr>
          <w:lang w:val="fr-FR"/>
        </w:rPr>
        <w:t xml:space="preserve"> </w:t>
      </w:r>
      <w:r>
        <w:rPr>
          <w:lang w:val="fr-FR"/>
        </w:rPr>
        <w:t>garanties</w:t>
      </w:r>
      <w:r w:rsidR="003E2853" w:rsidRPr="003E2853">
        <w:rPr>
          <w:lang w:val="fr-FR"/>
        </w:rPr>
        <w:t>.</w:t>
      </w:r>
    </w:p>
    <w:p w14:paraId="78846E3C" w14:textId="5CD97750" w:rsidR="00F12045" w:rsidRDefault="00F12045" w:rsidP="00F12045">
      <w:pPr>
        <w:pStyle w:val="HChG"/>
        <w:rPr>
          <w:lang w:val="fr-FR"/>
        </w:rPr>
      </w:pPr>
      <w:r>
        <w:rPr>
          <w:lang w:val="fr-FR"/>
        </w:rPr>
        <w:tab/>
      </w:r>
      <w:r>
        <w:rPr>
          <w:lang w:val="fr-FR"/>
        </w:rPr>
        <w:tab/>
        <w:t xml:space="preserve">Renseignements sur la suite donnée au paragraphe 20 </w:t>
      </w:r>
      <w:r>
        <w:rPr>
          <w:lang w:val="fr-FR"/>
        </w:rPr>
        <w:br/>
      </w:r>
      <w:r>
        <w:rPr>
          <w:lang w:val="fr-FR"/>
        </w:rPr>
        <w:t>des observations finales</w:t>
      </w:r>
    </w:p>
    <w:p w14:paraId="0B85F6B3" w14:textId="283D3332" w:rsidR="00F12045" w:rsidRDefault="00F12045" w:rsidP="00F12045">
      <w:pPr>
        <w:pStyle w:val="SingleTxtG"/>
        <w:rPr>
          <w:lang w:val="fr-FR"/>
        </w:rPr>
      </w:pPr>
      <w:r>
        <w:rPr>
          <w:lang w:val="fr-FR"/>
        </w:rPr>
        <w:t>41</w:t>
      </w:r>
      <w:r w:rsidR="003E2853" w:rsidRPr="003E2853">
        <w:rPr>
          <w:lang w:val="fr-FR"/>
        </w:rPr>
        <w:t>.</w:t>
      </w:r>
      <w:r>
        <w:rPr>
          <w:lang w:val="fr-FR"/>
        </w:rPr>
        <w:tab/>
        <w:t>Les dépenses que l’État consacre au développement du secteur social augmentent chaque année</w:t>
      </w:r>
      <w:r w:rsidR="003E2853" w:rsidRPr="003E2853">
        <w:rPr>
          <w:lang w:val="fr-FR"/>
        </w:rPr>
        <w:t>.</w:t>
      </w:r>
    </w:p>
    <w:p w14:paraId="2D55F118" w14:textId="65BDD330" w:rsidR="00F12045" w:rsidRDefault="00F12045" w:rsidP="00F12045">
      <w:pPr>
        <w:pStyle w:val="SingleTxtG"/>
        <w:rPr>
          <w:lang w:val="fr-FR"/>
        </w:rPr>
      </w:pPr>
      <w:r>
        <w:rPr>
          <w:lang w:val="fr-FR"/>
        </w:rPr>
        <w:t>42</w:t>
      </w:r>
      <w:r w:rsidR="003E2853" w:rsidRPr="003E2853">
        <w:rPr>
          <w:lang w:val="fr-FR"/>
        </w:rPr>
        <w:t>.</w:t>
      </w:r>
      <w:r>
        <w:rPr>
          <w:lang w:val="fr-FR"/>
        </w:rPr>
        <w:tab/>
        <w:t xml:space="preserve">En 2020, l’État a alloué 9 375 573 millions de </w:t>
      </w:r>
      <w:proofErr w:type="spellStart"/>
      <w:r>
        <w:rPr>
          <w:lang w:val="fr-FR"/>
        </w:rPr>
        <w:t>tenge</w:t>
      </w:r>
      <w:proofErr w:type="spellEnd"/>
      <w:r>
        <w:rPr>
          <w:lang w:val="fr-FR"/>
        </w:rPr>
        <w:t xml:space="preserve"> au développement du système éducatif et du système de santé, de l’action</w:t>
      </w:r>
      <w:r w:rsidR="00944FF5">
        <w:rPr>
          <w:lang w:val="fr-FR"/>
        </w:rPr>
        <w:t xml:space="preserve"> </w:t>
      </w:r>
      <w:r>
        <w:rPr>
          <w:lang w:val="fr-FR"/>
        </w:rPr>
        <w:t>sociale et de la protection sociale, de la culture, du sport, du tourisme et de l’espace</w:t>
      </w:r>
      <w:r w:rsidR="00944FF5">
        <w:rPr>
          <w:lang w:val="fr-FR"/>
        </w:rPr>
        <w:t xml:space="preserve"> </w:t>
      </w:r>
      <w:r>
        <w:rPr>
          <w:lang w:val="fr-FR"/>
        </w:rPr>
        <w:t>numérique</w:t>
      </w:r>
      <w:r w:rsidR="003E2853" w:rsidRPr="003E2853">
        <w:rPr>
          <w:lang w:val="fr-FR"/>
        </w:rPr>
        <w:t>.</w:t>
      </w:r>
    </w:p>
    <w:p w14:paraId="550EE4CF" w14:textId="1D018019" w:rsidR="00F12045" w:rsidRDefault="00F12045" w:rsidP="00F12045">
      <w:pPr>
        <w:pStyle w:val="SingleTxtG"/>
        <w:rPr>
          <w:lang w:val="fr-FR"/>
        </w:rPr>
      </w:pPr>
      <w:r>
        <w:rPr>
          <w:lang w:val="fr-FR"/>
        </w:rPr>
        <w:t>43</w:t>
      </w:r>
      <w:r w:rsidR="003E2853" w:rsidRPr="003E2853">
        <w:rPr>
          <w:lang w:val="fr-FR"/>
        </w:rPr>
        <w:t>.</w:t>
      </w:r>
      <w:r>
        <w:rPr>
          <w:lang w:val="fr-FR"/>
        </w:rPr>
        <w:tab/>
        <w:t xml:space="preserve">Par rapport à 2010, c’est-à-dire en dix ans, les dépenses consacrées au secteur social ont été multipliées par 3,8 </w:t>
      </w:r>
      <w:r w:rsidRPr="00DC5306">
        <w:rPr>
          <w:i/>
          <w:iCs/>
          <w:lang w:val="fr-FR"/>
        </w:rPr>
        <w:t>(passant de 2 486 186 </w:t>
      </w:r>
      <w:r>
        <w:rPr>
          <w:i/>
          <w:iCs/>
          <w:lang w:val="fr-FR"/>
        </w:rPr>
        <w:t>millions</w:t>
      </w:r>
      <w:r w:rsidRPr="00DC5306">
        <w:rPr>
          <w:i/>
          <w:iCs/>
          <w:lang w:val="fr-FR"/>
        </w:rPr>
        <w:t xml:space="preserve"> de </w:t>
      </w:r>
      <w:proofErr w:type="spellStart"/>
      <w:r w:rsidRPr="00DC5306">
        <w:rPr>
          <w:i/>
          <w:iCs/>
          <w:lang w:val="fr-FR"/>
        </w:rPr>
        <w:t>tenge</w:t>
      </w:r>
      <w:proofErr w:type="spellEnd"/>
      <w:r w:rsidRPr="00DC5306">
        <w:rPr>
          <w:i/>
          <w:iCs/>
          <w:lang w:val="fr-FR"/>
        </w:rPr>
        <w:t xml:space="preserve"> à 9 375 573 </w:t>
      </w:r>
      <w:r>
        <w:rPr>
          <w:i/>
          <w:iCs/>
          <w:lang w:val="fr-FR"/>
        </w:rPr>
        <w:t xml:space="preserve">millions </w:t>
      </w:r>
      <w:r w:rsidRPr="00DC5306">
        <w:rPr>
          <w:i/>
          <w:iCs/>
          <w:lang w:val="fr-FR"/>
        </w:rPr>
        <w:t xml:space="preserve">de </w:t>
      </w:r>
      <w:proofErr w:type="spellStart"/>
      <w:r w:rsidRPr="00DC5306">
        <w:rPr>
          <w:i/>
          <w:iCs/>
          <w:lang w:val="fr-FR"/>
        </w:rPr>
        <w:t>tenge</w:t>
      </w:r>
      <w:proofErr w:type="spellEnd"/>
      <w:r w:rsidRPr="00DC5306">
        <w:rPr>
          <w:i/>
          <w:iCs/>
          <w:lang w:val="fr-FR"/>
        </w:rPr>
        <w:t>)</w:t>
      </w:r>
      <w:r w:rsidR="003E2853" w:rsidRPr="003E2853">
        <w:rPr>
          <w:lang w:val="fr-FR"/>
        </w:rPr>
        <w:t>.</w:t>
      </w:r>
    </w:p>
    <w:p w14:paraId="376CB0CB" w14:textId="477B0782" w:rsidR="00F12045" w:rsidRDefault="00F12045" w:rsidP="00F12045">
      <w:pPr>
        <w:pStyle w:val="SingleTxtG"/>
        <w:rPr>
          <w:lang w:val="fr-FR"/>
        </w:rPr>
      </w:pPr>
      <w:r>
        <w:rPr>
          <w:lang w:val="fr-FR"/>
        </w:rPr>
        <w:t>44</w:t>
      </w:r>
      <w:r w:rsidR="003E2853" w:rsidRPr="003E2853">
        <w:rPr>
          <w:lang w:val="fr-FR"/>
        </w:rPr>
        <w:t>.</w:t>
      </w:r>
      <w:r>
        <w:rPr>
          <w:lang w:val="fr-FR"/>
        </w:rPr>
        <w:tab/>
        <w:t>Les dépenses publiques consacrées au développement du secteur social représentent au moins 50 % du budget de l’État</w:t>
      </w:r>
      <w:r w:rsidR="003E2853" w:rsidRPr="003E2853">
        <w:rPr>
          <w:lang w:val="fr-FR"/>
        </w:rPr>
        <w:t>.</w:t>
      </w:r>
      <w:r>
        <w:rPr>
          <w:lang w:val="fr-FR"/>
        </w:rPr>
        <w:t xml:space="preserve"> En 2020, la proportion était de 53,7 %</w:t>
      </w:r>
      <w:r w:rsidR="003E2853" w:rsidRPr="003E2853">
        <w:rPr>
          <w:lang w:val="fr-FR"/>
        </w:rPr>
        <w:t>.</w:t>
      </w:r>
    </w:p>
    <w:p w14:paraId="5FC71C2F" w14:textId="7FE687A7" w:rsidR="00F12045" w:rsidRDefault="00F12045" w:rsidP="00F12045">
      <w:pPr>
        <w:pStyle w:val="SingleTxtG"/>
        <w:rPr>
          <w:lang w:val="fr-FR"/>
        </w:rPr>
      </w:pPr>
      <w:r>
        <w:rPr>
          <w:lang w:val="fr-FR"/>
        </w:rPr>
        <w:t>45</w:t>
      </w:r>
      <w:r w:rsidR="003E2853" w:rsidRPr="003E2853">
        <w:rPr>
          <w:lang w:val="fr-FR"/>
        </w:rPr>
        <w:t>.</w:t>
      </w:r>
      <w:r>
        <w:rPr>
          <w:lang w:val="fr-FR"/>
        </w:rPr>
        <w:tab/>
        <w:t>S’agissant du budget national, les dépenses consacrées au développement du secteur social augmentent également chaque année</w:t>
      </w:r>
      <w:r w:rsidR="003E2853" w:rsidRPr="003E2853">
        <w:rPr>
          <w:lang w:val="fr-FR"/>
        </w:rPr>
        <w:t>.</w:t>
      </w:r>
    </w:p>
    <w:p w14:paraId="74911901" w14:textId="08577836" w:rsidR="00F12045" w:rsidRDefault="00F12045" w:rsidP="00F12045">
      <w:pPr>
        <w:pStyle w:val="SingleTxtG"/>
        <w:tabs>
          <w:tab w:val="left" w:pos="2552"/>
        </w:tabs>
        <w:rPr>
          <w:lang w:val="fr-FR"/>
        </w:rPr>
      </w:pPr>
      <w:r>
        <w:rPr>
          <w:lang w:val="fr-FR"/>
        </w:rPr>
        <w:t>46</w:t>
      </w:r>
      <w:r w:rsidR="003E2853" w:rsidRPr="003E2853">
        <w:rPr>
          <w:lang w:val="fr-FR"/>
        </w:rPr>
        <w:t>.</w:t>
      </w:r>
      <w:r>
        <w:rPr>
          <w:lang w:val="fr-FR"/>
        </w:rPr>
        <w:tab/>
        <w:t>La hausse de la part des dépenses budgétaires nationales dans les dépenses globales et la hausse du pourcentage du PIB consacré à ces dépenses témoignent de cette tendance</w:t>
      </w:r>
      <w:r w:rsidR="003E2853" w:rsidRPr="003E2853">
        <w:rPr>
          <w:lang w:val="fr-FR"/>
        </w:rPr>
        <w:t>.</w:t>
      </w:r>
      <w:r>
        <w:rPr>
          <w:lang w:val="fr-FR"/>
        </w:rPr>
        <w:t xml:space="preserve"> Si en 2010, 1 622 044 millions de </w:t>
      </w:r>
      <w:proofErr w:type="spellStart"/>
      <w:r>
        <w:rPr>
          <w:lang w:val="fr-FR"/>
        </w:rPr>
        <w:t>tenge</w:t>
      </w:r>
      <w:proofErr w:type="spellEnd"/>
      <w:r>
        <w:rPr>
          <w:lang w:val="fr-FR"/>
        </w:rPr>
        <w:t xml:space="preserve"> ont été alloués au développement du secteur social, le financement s’est élevé à 6 606 733</w:t>
      </w:r>
      <w:r w:rsidR="00944FF5">
        <w:rPr>
          <w:lang w:val="fr-FR"/>
        </w:rPr>
        <w:t xml:space="preserve"> </w:t>
      </w:r>
      <w:r>
        <w:t>millions de</w:t>
      </w:r>
      <w:r>
        <w:rPr>
          <w:lang w:val="fr-FR"/>
        </w:rPr>
        <w:t xml:space="preserve"> </w:t>
      </w:r>
      <w:proofErr w:type="spellStart"/>
      <w:r>
        <w:rPr>
          <w:lang w:val="fr-FR"/>
        </w:rPr>
        <w:t>tenge</w:t>
      </w:r>
      <w:proofErr w:type="spellEnd"/>
      <w:r>
        <w:rPr>
          <w:lang w:val="fr-FR"/>
        </w:rPr>
        <w:t xml:space="preserve"> en 2020</w:t>
      </w:r>
      <w:r w:rsidR="003E2853" w:rsidRPr="003E2853">
        <w:rPr>
          <w:lang w:val="fr-FR"/>
        </w:rPr>
        <w:t>.</w:t>
      </w:r>
    </w:p>
    <w:p w14:paraId="7D7924B6" w14:textId="57BE5E21" w:rsidR="00F12045" w:rsidRDefault="00F12045" w:rsidP="00F12045">
      <w:pPr>
        <w:pStyle w:val="SingleTxtG"/>
        <w:rPr>
          <w:lang w:val="fr-FR"/>
        </w:rPr>
      </w:pPr>
      <w:r>
        <w:rPr>
          <w:lang w:val="fr-FR"/>
        </w:rPr>
        <w:t>47</w:t>
      </w:r>
      <w:r w:rsidR="003E2853" w:rsidRPr="003E2853">
        <w:rPr>
          <w:lang w:val="fr-FR"/>
        </w:rPr>
        <w:t>.</w:t>
      </w:r>
      <w:r>
        <w:rPr>
          <w:lang w:val="fr-FR"/>
        </w:rPr>
        <w:tab/>
        <w:t xml:space="preserve">De 2021 à 2023, il est prévu de consacrer 23 467 652 millions de </w:t>
      </w:r>
      <w:proofErr w:type="spellStart"/>
      <w:r>
        <w:rPr>
          <w:lang w:val="fr-FR"/>
        </w:rPr>
        <w:t>tenge</w:t>
      </w:r>
      <w:proofErr w:type="spellEnd"/>
      <w:r>
        <w:rPr>
          <w:lang w:val="fr-FR"/>
        </w:rPr>
        <w:t xml:space="preserve"> au secteur social, dont 7 093 861 millions de </w:t>
      </w:r>
      <w:proofErr w:type="spellStart"/>
      <w:r>
        <w:rPr>
          <w:lang w:val="fr-FR"/>
        </w:rPr>
        <w:t>tenge</w:t>
      </w:r>
      <w:proofErr w:type="spellEnd"/>
      <w:r w:rsidR="00944FF5">
        <w:rPr>
          <w:lang w:val="fr-FR"/>
        </w:rPr>
        <w:t xml:space="preserve"> </w:t>
      </w:r>
      <w:r>
        <w:rPr>
          <w:lang w:val="fr-FR"/>
        </w:rPr>
        <w:t>en 2021, 7 802 954 millions</w:t>
      </w:r>
      <w:r w:rsidR="00944FF5">
        <w:rPr>
          <w:lang w:val="fr-FR"/>
        </w:rPr>
        <w:t xml:space="preserve"> </w:t>
      </w:r>
      <w:r>
        <w:rPr>
          <w:lang w:val="fr-FR"/>
        </w:rPr>
        <w:t>en 2022 et 8 570 837 millions en 2023</w:t>
      </w:r>
      <w:r w:rsidR="003E2853" w:rsidRPr="003E2853">
        <w:rPr>
          <w:lang w:val="fr-FR"/>
        </w:rPr>
        <w:t>.</w:t>
      </w:r>
    </w:p>
    <w:p w14:paraId="2B8242F2" w14:textId="35553526" w:rsidR="00F12045" w:rsidRDefault="00F12045" w:rsidP="00F12045">
      <w:pPr>
        <w:pStyle w:val="SingleTxtG"/>
        <w:rPr>
          <w:lang w:val="fr-FR"/>
        </w:rPr>
      </w:pPr>
      <w:r>
        <w:rPr>
          <w:lang w:val="fr-FR"/>
        </w:rPr>
        <w:lastRenderedPageBreak/>
        <w:t>48</w:t>
      </w:r>
      <w:r w:rsidR="003E2853" w:rsidRPr="003E2853">
        <w:rPr>
          <w:lang w:val="fr-FR"/>
        </w:rPr>
        <w:t>.</w:t>
      </w:r>
      <w:r>
        <w:rPr>
          <w:lang w:val="fr-FR"/>
        </w:rPr>
        <w:tab/>
        <w:t>La part du budget national consacrée au secteur social est passée de 35 % à 46 % en 2020, après des augmentations annuelles successives</w:t>
      </w:r>
      <w:r w:rsidR="003E2853" w:rsidRPr="003E2853">
        <w:rPr>
          <w:lang w:val="fr-FR"/>
        </w:rPr>
        <w:t>.</w:t>
      </w:r>
    </w:p>
    <w:p w14:paraId="3F4EF5E3" w14:textId="0074C9A6" w:rsidR="00F12045" w:rsidRDefault="00F12045" w:rsidP="00F12045">
      <w:pPr>
        <w:pStyle w:val="SingleTxtG"/>
        <w:rPr>
          <w:lang w:val="fr-FR"/>
        </w:rPr>
      </w:pPr>
      <w:r>
        <w:rPr>
          <w:lang w:val="fr-FR"/>
        </w:rPr>
        <w:t>49</w:t>
      </w:r>
      <w:r w:rsidR="003E2853" w:rsidRPr="003E2853">
        <w:rPr>
          <w:lang w:val="fr-FR"/>
        </w:rPr>
        <w:t>.</w:t>
      </w:r>
      <w:r>
        <w:rPr>
          <w:lang w:val="fr-FR"/>
        </w:rPr>
        <w:tab/>
        <w:t>La part du budget national consacrée au secteur social sera de 50,5 % en 2021, de 56,2 % en 2022 et de 61,7 % en 2023</w:t>
      </w:r>
      <w:r w:rsidR="003E2853" w:rsidRPr="003E2853">
        <w:rPr>
          <w:lang w:val="fr-FR"/>
        </w:rPr>
        <w:t>.</w:t>
      </w:r>
    </w:p>
    <w:p w14:paraId="533BD33D" w14:textId="67A74CC4" w:rsidR="00F12045" w:rsidRDefault="00F12045" w:rsidP="00F12045">
      <w:pPr>
        <w:pStyle w:val="SingleTxtG"/>
        <w:rPr>
          <w:lang w:val="fr-FR"/>
        </w:rPr>
      </w:pPr>
      <w:r>
        <w:rPr>
          <w:lang w:val="fr-FR"/>
        </w:rPr>
        <w:t>50</w:t>
      </w:r>
      <w:r w:rsidR="003E2853" w:rsidRPr="003E2853">
        <w:rPr>
          <w:lang w:val="fr-FR"/>
        </w:rPr>
        <w:t>.</w:t>
      </w:r>
      <w:r>
        <w:rPr>
          <w:lang w:val="fr-FR"/>
        </w:rPr>
        <w:tab/>
        <w:t>En dix ans, la part</w:t>
      </w:r>
      <w:r w:rsidR="00944FF5">
        <w:rPr>
          <w:lang w:val="fr-FR"/>
        </w:rPr>
        <w:t xml:space="preserve"> </w:t>
      </w:r>
      <w:r>
        <w:rPr>
          <w:lang w:val="fr-FR"/>
        </w:rPr>
        <w:t>des dépenses financées par le budget national est passée de 8,4 % à 9,5 % du PIB</w:t>
      </w:r>
      <w:r w:rsidR="003E2853" w:rsidRPr="003E2853">
        <w:rPr>
          <w:lang w:val="fr-FR"/>
        </w:rPr>
        <w:t>.</w:t>
      </w:r>
      <w:r>
        <w:rPr>
          <w:lang w:val="fr-FR"/>
        </w:rPr>
        <w:t xml:space="preserve"> Ce niveau sera maintenu pendant la période</w:t>
      </w:r>
      <w:r w:rsidR="00944FF5">
        <w:rPr>
          <w:lang w:val="fr-FR"/>
        </w:rPr>
        <w:t xml:space="preserve"> </w:t>
      </w:r>
      <w:r>
        <w:rPr>
          <w:lang w:val="fr-FR"/>
        </w:rPr>
        <w:t>2021-2023</w:t>
      </w:r>
      <w:r w:rsidR="003E2853" w:rsidRPr="003E2853">
        <w:rPr>
          <w:lang w:val="fr-FR"/>
        </w:rPr>
        <w:t>.</w:t>
      </w:r>
    </w:p>
    <w:p w14:paraId="3923B9D4" w14:textId="519FC427" w:rsidR="00F12045" w:rsidRDefault="00F12045" w:rsidP="00F12045">
      <w:pPr>
        <w:pStyle w:val="SingleTxtG"/>
        <w:rPr>
          <w:lang w:val="fr-FR"/>
        </w:rPr>
      </w:pPr>
      <w:r>
        <w:rPr>
          <w:lang w:val="fr-FR"/>
        </w:rPr>
        <w:t>51</w:t>
      </w:r>
      <w:r w:rsidR="003E2853" w:rsidRPr="003E2853">
        <w:rPr>
          <w:lang w:val="fr-FR"/>
        </w:rPr>
        <w:t>.</w:t>
      </w:r>
      <w:r>
        <w:rPr>
          <w:lang w:val="fr-FR"/>
        </w:rPr>
        <w:tab/>
        <w:t>En d’autres termes, le financement du secteur social par le budget national est en augmentation, tant en valeur absolue qu’en</w:t>
      </w:r>
      <w:r w:rsidR="00944FF5">
        <w:rPr>
          <w:lang w:val="fr-FR"/>
        </w:rPr>
        <w:t xml:space="preserve"> </w:t>
      </w:r>
      <w:r>
        <w:rPr>
          <w:lang w:val="fr-FR"/>
        </w:rPr>
        <w:t>proportion des dépenses globales et</w:t>
      </w:r>
      <w:r w:rsidR="00944FF5">
        <w:rPr>
          <w:lang w:val="fr-FR"/>
        </w:rPr>
        <w:t xml:space="preserve"> </w:t>
      </w:r>
      <w:r>
        <w:rPr>
          <w:lang w:val="fr-FR"/>
        </w:rPr>
        <w:t>du PIB</w:t>
      </w:r>
      <w:r w:rsidR="003E2853" w:rsidRPr="003E2853">
        <w:rPr>
          <w:lang w:val="fr-FR"/>
        </w:rPr>
        <w:t>.</w:t>
      </w:r>
    </w:p>
    <w:p w14:paraId="2A9CDEB9" w14:textId="7C65F809" w:rsidR="00F12045" w:rsidRDefault="00F12045" w:rsidP="00F12045">
      <w:pPr>
        <w:pStyle w:val="SingleTxtG"/>
        <w:rPr>
          <w:lang w:val="fr-FR"/>
        </w:rPr>
      </w:pPr>
      <w:r>
        <w:rPr>
          <w:lang w:val="fr-FR"/>
        </w:rPr>
        <w:t>52</w:t>
      </w:r>
      <w:r w:rsidR="003E2853" w:rsidRPr="003E2853">
        <w:rPr>
          <w:lang w:val="fr-FR"/>
        </w:rPr>
        <w:t>.</w:t>
      </w:r>
      <w:r>
        <w:rPr>
          <w:lang w:val="fr-FR"/>
        </w:rPr>
        <w:tab/>
        <w:t>L’augmentation des dépenses s’explique principalement par les raisons suivantes :</w:t>
      </w:r>
    </w:p>
    <w:p w14:paraId="5F19177A" w14:textId="35039C07" w:rsidR="00F12045" w:rsidRDefault="00941B78" w:rsidP="00F12045">
      <w:pPr>
        <w:pStyle w:val="Bullet1G"/>
        <w:rPr>
          <w:lang w:val="fr-FR"/>
        </w:rPr>
      </w:pPr>
      <w:r>
        <w:rPr>
          <w:lang w:val="fr-FR"/>
        </w:rPr>
        <w:t>L</w:t>
      </w:r>
      <w:r w:rsidR="00F12045">
        <w:rPr>
          <w:lang w:val="fr-FR"/>
        </w:rPr>
        <w:t xml:space="preserve">’augmentation annuelle du nombre et des montants des prestations sociales versées </w:t>
      </w:r>
      <w:r w:rsidR="00F12045" w:rsidRPr="00DC5306">
        <w:rPr>
          <w:i/>
          <w:iCs/>
          <w:lang w:val="fr-FR"/>
        </w:rPr>
        <w:t>(pensions et allocations)</w:t>
      </w:r>
      <w:r w:rsidR="00F12045">
        <w:rPr>
          <w:lang w:val="fr-FR"/>
        </w:rPr>
        <w:t xml:space="preserve"> et des aides sociales ciblées ;</w:t>
      </w:r>
    </w:p>
    <w:p w14:paraId="60A68CF8" w14:textId="2A03512B" w:rsidR="00F12045" w:rsidRDefault="00941B78" w:rsidP="00F12045">
      <w:pPr>
        <w:pStyle w:val="Bullet1G"/>
        <w:rPr>
          <w:lang w:val="fr-FR"/>
        </w:rPr>
      </w:pPr>
      <w:r>
        <w:rPr>
          <w:lang w:val="fr-FR"/>
        </w:rPr>
        <w:t>L</w:t>
      </w:r>
      <w:r w:rsidR="00F12045">
        <w:rPr>
          <w:lang w:val="fr-FR"/>
        </w:rPr>
        <w:t>a progression de la rémunération des enseignants, des médecins et d’autres catégories de fonctionnaires, y compris les militaires ;</w:t>
      </w:r>
    </w:p>
    <w:p w14:paraId="707AE447" w14:textId="2993DC1B" w:rsidR="00F12045" w:rsidRDefault="00941B78" w:rsidP="00F12045">
      <w:pPr>
        <w:pStyle w:val="Bullet1G"/>
        <w:rPr>
          <w:lang w:val="fr-FR"/>
        </w:rPr>
      </w:pPr>
      <w:r>
        <w:rPr>
          <w:lang w:val="fr-FR"/>
        </w:rPr>
        <w:t>L</w:t>
      </w:r>
      <w:r w:rsidR="00F12045">
        <w:rPr>
          <w:lang w:val="fr-FR"/>
        </w:rPr>
        <w:t>a mise en place d’une assurance maladie obligatoire ;</w:t>
      </w:r>
    </w:p>
    <w:p w14:paraId="35945DFF" w14:textId="6215DE24" w:rsidR="00F12045" w:rsidRDefault="00941B78" w:rsidP="00F12045">
      <w:pPr>
        <w:pStyle w:val="Bullet1G"/>
        <w:rPr>
          <w:lang w:val="fr-FR"/>
        </w:rPr>
      </w:pPr>
      <w:r>
        <w:rPr>
          <w:lang w:val="fr-FR"/>
        </w:rPr>
        <w:t>L</w:t>
      </w:r>
      <w:r w:rsidR="00F12045">
        <w:rPr>
          <w:lang w:val="fr-FR"/>
        </w:rPr>
        <w:t>e développement des infrastructures sociales dans les régions ;</w:t>
      </w:r>
    </w:p>
    <w:p w14:paraId="17E6D030" w14:textId="0AB91778" w:rsidR="00F12045" w:rsidRDefault="00941B78" w:rsidP="00F12045">
      <w:pPr>
        <w:pStyle w:val="Bullet1G"/>
        <w:rPr>
          <w:lang w:val="fr-FR"/>
        </w:rPr>
      </w:pPr>
      <w:r>
        <w:rPr>
          <w:lang w:val="fr-FR"/>
        </w:rPr>
        <w:t>L</w:t>
      </w:r>
      <w:r w:rsidR="00F12045">
        <w:rPr>
          <w:lang w:val="fr-FR"/>
        </w:rPr>
        <w:t>e développement de l’emploi dans le cadre des programmes publics et sectoriels, etc</w:t>
      </w:r>
      <w:r w:rsidR="003E2853" w:rsidRPr="003E2853">
        <w:rPr>
          <w:lang w:val="fr-FR"/>
        </w:rPr>
        <w:t>.</w:t>
      </w:r>
    </w:p>
    <w:p w14:paraId="0CCD7F08" w14:textId="17B1C5CE" w:rsidR="00F12045" w:rsidRDefault="00F12045" w:rsidP="00F12045">
      <w:pPr>
        <w:pStyle w:val="SingleTxtG"/>
        <w:rPr>
          <w:lang w:val="fr-FR"/>
        </w:rPr>
      </w:pPr>
      <w:r>
        <w:rPr>
          <w:lang w:val="fr-FR"/>
        </w:rPr>
        <w:t>53</w:t>
      </w:r>
      <w:r w:rsidR="003E2853" w:rsidRPr="003E2853">
        <w:rPr>
          <w:lang w:val="fr-FR"/>
        </w:rPr>
        <w:t>.</w:t>
      </w:r>
      <w:r>
        <w:rPr>
          <w:lang w:val="fr-FR"/>
        </w:rPr>
        <w:tab/>
        <w:t>En ce qui concerne</w:t>
      </w:r>
      <w:r w:rsidR="00944FF5">
        <w:rPr>
          <w:lang w:val="fr-FR"/>
        </w:rPr>
        <w:t xml:space="preserve"> </w:t>
      </w:r>
      <w:r>
        <w:rPr>
          <w:lang w:val="fr-FR"/>
        </w:rPr>
        <w:t>la réduction des disparités entre les régions, les transferts budgétaires entre l’État et les régions sont réalisés en fonction des besoins des régions, qui sont</w:t>
      </w:r>
      <w:r w:rsidR="00944FF5">
        <w:rPr>
          <w:lang w:val="fr-FR"/>
        </w:rPr>
        <w:t xml:space="preserve"> </w:t>
      </w:r>
      <w:r>
        <w:rPr>
          <w:lang w:val="fr-FR"/>
        </w:rPr>
        <w:t>déterminés en fonction de l’importance numérique de la population et de ses besoins</w:t>
      </w:r>
      <w:r w:rsidR="003E2853" w:rsidRPr="003E2853">
        <w:rPr>
          <w:lang w:val="fr-FR"/>
        </w:rPr>
        <w:t>.</w:t>
      </w:r>
    </w:p>
    <w:p w14:paraId="428F1539" w14:textId="34F52A8D" w:rsidR="00F12045" w:rsidRDefault="00F12045" w:rsidP="00F12045">
      <w:pPr>
        <w:pStyle w:val="HChG"/>
        <w:rPr>
          <w:lang w:val="fr-FR"/>
        </w:rPr>
      </w:pPr>
      <w:r>
        <w:rPr>
          <w:lang w:val="fr-FR"/>
        </w:rPr>
        <w:tab/>
      </w:r>
      <w:r>
        <w:rPr>
          <w:lang w:val="fr-FR"/>
        </w:rPr>
        <w:tab/>
        <w:t xml:space="preserve">Renseignements sur la suite donnée au paragraphe 33 </w:t>
      </w:r>
      <w:r>
        <w:rPr>
          <w:lang w:val="fr-FR"/>
        </w:rPr>
        <w:br/>
      </w:r>
      <w:r>
        <w:rPr>
          <w:lang w:val="fr-FR"/>
        </w:rPr>
        <w:t>des observations finales</w:t>
      </w:r>
    </w:p>
    <w:p w14:paraId="062DF1D8" w14:textId="2A8A199F" w:rsidR="00F12045" w:rsidRDefault="00F12045" w:rsidP="00F12045">
      <w:pPr>
        <w:pStyle w:val="SingleTxtG"/>
        <w:rPr>
          <w:lang w:val="fr-FR"/>
        </w:rPr>
      </w:pPr>
      <w:r>
        <w:rPr>
          <w:lang w:val="fr-FR"/>
        </w:rPr>
        <w:t>54</w:t>
      </w:r>
      <w:r w:rsidR="003E2853" w:rsidRPr="003E2853">
        <w:rPr>
          <w:lang w:val="fr-FR"/>
        </w:rPr>
        <w:t>.</w:t>
      </w:r>
      <w:r>
        <w:rPr>
          <w:lang w:val="fr-FR"/>
        </w:rPr>
        <w:tab/>
        <w:t>Conformément à la législation kazakhe et comme le prescrit la Convention sur la liberté syndicale et la protection du droit syndical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87) de l’OIT, il n’est pas nécessaire d’obtenir une autorisation préalable de l’État ou de l’entreprise pour constituer un syndicat</w:t>
      </w:r>
      <w:r w:rsidR="003E2853" w:rsidRPr="003E2853">
        <w:rPr>
          <w:lang w:val="fr-FR"/>
        </w:rPr>
        <w:t>.</w:t>
      </w:r>
    </w:p>
    <w:p w14:paraId="2BA39F8C" w14:textId="6212CB98" w:rsidR="00F12045" w:rsidRDefault="00F12045" w:rsidP="00F12045">
      <w:pPr>
        <w:pStyle w:val="SingleTxtG"/>
        <w:rPr>
          <w:lang w:val="fr-FR"/>
        </w:rPr>
      </w:pPr>
      <w:r>
        <w:rPr>
          <w:lang w:val="fr-FR"/>
        </w:rPr>
        <w:t>55</w:t>
      </w:r>
      <w:r w:rsidR="003E2853" w:rsidRPr="003E2853">
        <w:rPr>
          <w:lang w:val="fr-FR"/>
        </w:rPr>
        <w:t>.</w:t>
      </w:r>
      <w:r>
        <w:rPr>
          <w:lang w:val="fr-FR"/>
        </w:rPr>
        <w:tab/>
        <w:t xml:space="preserve">En 2016, l’OIT, les organisations internationales de défense des droits de l’homme et les organisations syndicales ont reproché au Kazakhstan de ne pas appliquer les dispositions de la Convention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87 de l’OIT</w:t>
      </w:r>
      <w:r w:rsidR="003E2853" w:rsidRPr="003E2853">
        <w:rPr>
          <w:lang w:val="fr-FR"/>
        </w:rPr>
        <w:t>.</w:t>
      </w:r>
    </w:p>
    <w:p w14:paraId="3F2C7A8D" w14:textId="42775584" w:rsidR="00F12045" w:rsidRDefault="00F12045" w:rsidP="00F12045">
      <w:pPr>
        <w:pStyle w:val="SingleTxtG"/>
        <w:rPr>
          <w:lang w:val="fr-FR"/>
        </w:rPr>
      </w:pPr>
      <w:r>
        <w:rPr>
          <w:lang w:val="fr-FR"/>
        </w:rPr>
        <w:t>56</w:t>
      </w:r>
      <w:r w:rsidR="003E2853" w:rsidRPr="003E2853">
        <w:rPr>
          <w:lang w:val="fr-FR"/>
        </w:rPr>
        <w:t>.</w:t>
      </w:r>
      <w:r>
        <w:rPr>
          <w:lang w:val="fr-FR"/>
        </w:rPr>
        <w:tab/>
        <w:t>En particulier, l’OIT et la Confédération syndicale internationale se sont déclarées vivement préoccupées par le fait que la loi sur les syndicats imposait aux syndicats de s’affilier à une fédération syndicale</w:t>
      </w:r>
      <w:r w:rsidR="003E2853" w:rsidRPr="003E2853">
        <w:rPr>
          <w:lang w:val="fr-FR"/>
        </w:rPr>
        <w:t>.</w:t>
      </w:r>
    </w:p>
    <w:p w14:paraId="28665202" w14:textId="6559A081" w:rsidR="00F12045" w:rsidRDefault="00F12045" w:rsidP="00F12045">
      <w:pPr>
        <w:pStyle w:val="SingleTxtG"/>
        <w:rPr>
          <w:lang w:val="fr-FR"/>
        </w:rPr>
      </w:pPr>
      <w:r>
        <w:rPr>
          <w:lang w:val="fr-FR"/>
        </w:rPr>
        <w:t>57</w:t>
      </w:r>
      <w:r w:rsidR="003E2853" w:rsidRPr="003E2853">
        <w:rPr>
          <w:lang w:val="fr-FR"/>
        </w:rPr>
        <w:t>.</w:t>
      </w:r>
      <w:r>
        <w:rPr>
          <w:lang w:val="fr-FR"/>
        </w:rPr>
        <w:tab/>
        <w:t>De plus, en mai 2018, l’OIT a conduit une mission de haut niveau au Kazakhstan</w:t>
      </w:r>
      <w:r w:rsidR="003E2853" w:rsidRPr="003E2853">
        <w:rPr>
          <w:lang w:val="fr-FR"/>
        </w:rPr>
        <w:t>.</w:t>
      </w:r>
      <w:r>
        <w:rPr>
          <w:lang w:val="fr-FR"/>
        </w:rPr>
        <w:t xml:space="preserve"> Les travaux menés conjointement ont abouti à l’élaboration d’une feuille de route pour la mise en œuvre des recommandations de la Commission de l’application des normes et de la </w:t>
      </w:r>
      <w:r w:rsidRPr="005C24AF">
        <w:rPr>
          <w:lang w:val="fr-FR"/>
        </w:rPr>
        <w:t>Commission d</w:t>
      </w:r>
      <w:r>
        <w:rPr>
          <w:lang w:val="fr-FR"/>
        </w:rPr>
        <w:t>’</w:t>
      </w:r>
      <w:r w:rsidRPr="005C24AF">
        <w:rPr>
          <w:lang w:val="fr-FR"/>
        </w:rPr>
        <w:t>experts pour l</w:t>
      </w:r>
      <w:r>
        <w:rPr>
          <w:lang w:val="fr-FR"/>
        </w:rPr>
        <w:t>’</w:t>
      </w:r>
      <w:r w:rsidRPr="005C24AF">
        <w:rPr>
          <w:lang w:val="fr-FR"/>
        </w:rPr>
        <w:t>application des conventions et recommandations</w:t>
      </w:r>
      <w:r>
        <w:rPr>
          <w:lang w:val="fr-FR"/>
        </w:rPr>
        <w:t xml:space="preserve"> de l’OIT</w:t>
      </w:r>
      <w:r w:rsidR="003E2853" w:rsidRPr="003E2853">
        <w:rPr>
          <w:lang w:val="fr-FR"/>
        </w:rPr>
        <w:t>.</w:t>
      </w:r>
    </w:p>
    <w:p w14:paraId="7864E7F2" w14:textId="2B44C3A2" w:rsidR="00F12045" w:rsidRDefault="00F12045" w:rsidP="00F12045">
      <w:pPr>
        <w:pStyle w:val="SingleTxtG"/>
        <w:rPr>
          <w:lang w:val="fr-FR"/>
        </w:rPr>
      </w:pPr>
      <w:r>
        <w:rPr>
          <w:lang w:val="fr-FR"/>
        </w:rPr>
        <w:t>58</w:t>
      </w:r>
      <w:r w:rsidR="003E2853" w:rsidRPr="003E2853">
        <w:rPr>
          <w:lang w:val="fr-FR"/>
        </w:rPr>
        <w:t>.</w:t>
      </w:r>
      <w:r>
        <w:rPr>
          <w:lang w:val="fr-FR"/>
        </w:rPr>
        <w:tab/>
        <w:t>Les mesures prises dans le cadre de la mise en œuvre de cette feuille de route ont conduit à l’élaboration d’un projet de loi modifiant et complétant certains actes législatifs concernant les questions relatives au travail, dans le cadre duquel les textes visés ont fait l’objet de modifications et d’ajouts importants destinés à renforcer le rôle des syndicats</w:t>
      </w:r>
      <w:r w:rsidR="003E2853" w:rsidRPr="003E2853">
        <w:rPr>
          <w:lang w:val="fr-FR"/>
        </w:rPr>
        <w:t>.</w:t>
      </w:r>
    </w:p>
    <w:p w14:paraId="52232B38" w14:textId="1A687FEE" w:rsidR="00F12045" w:rsidRDefault="00F12045" w:rsidP="00F12045">
      <w:pPr>
        <w:pStyle w:val="SingleTxtG"/>
        <w:rPr>
          <w:lang w:val="fr-FR"/>
        </w:rPr>
      </w:pPr>
      <w:r>
        <w:rPr>
          <w:lang w:val="fr-FR"/>
        </w:rPr>
        <w:t>59</w:t>
      </w:r>
      <w:r w:rsidR="003E2853" w:rsidRPr="003E2853">
        <w:rPr>
          <w:lang w:val="fr-FR"/>
        </w:rPr>
        <w:t>.</w:t>
      </w:r>
      <w:r>
        <w:rPr>
          <w:lang w:val="fr-FR"/>
        </w:rPr>
        <w:tab/>
        <w:t>Ces modifications ont été examinées</w:t>
      </w:r>
      <w:r w:rsidR="00944FF5">
        <w:rPr>
          <w:lang w:val="fr-FR"/>
        </w:rPr>
        <w:t xml:space="preserve"> </w:t>
      </w:r>
      <w:r>
        <w:rPr>
          <w:lang w:val="fr-FR"/>
        </w:rPr>
        <w:t xml:space="preserve">et </w:t>
      </w:r>
      <w:r>
        <w:t>négociées</w:t>
      </w:r>
      <w:r w:rsidR="00944FF5">
        <w:t xml:space="preserve"> </w:t>
      </w:r>
      <w:r>
        <w:rPr>
          <w:lang w:val="fr-FR"/>
        </w:rPr>
        <w:t>avec les syndicats du pays</w:t>
      </w:r>
      <w:r w:rsidR="003E2853" w:rsidRPr="003E2853">
        <w:rPr>
          <w:lang w:val="fr-FR"/>
        </w:rPr>
        <w:t>.</w:t>
      </w:r>
      <w:r>
        <w:rPr>
          <w:lang w:val="fr-FR"/>
        </w:rPr>
        <w:t xml:space="preserve"> Des délégations kazakhes de haut niveau et des représentants de l’OIT ont convenu de leur contenu lors des réunions qui se sont tenues en avril, juin, octobre et novembre 2019</w:t>
      </w:r>
      <w:r w:rsidR="003E2853" w:rsidRPr="003E2853">
        <w:rPr>
          <w:lang w:val="fr-FR"/>
        </w:rPr>
        <w:t>.</w:t>
      </w:r>
    </w:p>
    <w:p w14:paraId="2A3DEA5F" w14:textId="076CCBA5" w:rsidR="00F12045" w:rsidRDefault="00F12045" w:rsidP="00F12045">
      <w:pPr>
        <w:pStyle w:val="SingleTxtG"/>
        <w:rPr>
          <w:lang w:val="fr-FR"/>
        </w:rPr>
      </w:pPr>
      <w:r>
        <w:rPr>
          <w:lang w:val="fr-FR"/>
        </w:rPr>
        <w:t>60</w:t>
      </w:r>
      <w:r w:rsidR="003E2853" w:rsidRPr="003E2853">
        <w:rPr>
          <w:lang w:val="fr-FR"/>
        </w:rPr>
        <w:t>.</w:t>
      </w:r>
      <w:r>
        <w:rPr>
          <w:lang w:val="fr-FR"/>
        </w:rPr>
        <w:tab/>
        <w:t xml:space="preserve">La loi modifiant et complétant certains actes législatifs concernant les questions relatives au travail a été adoptée en mai 2020 dans le but d’appliquer les dispositions de la Convention </w:t>
      </w:r>
      <w:r w:rsidR="00941B78" w:rsidRPr="00941B78">
        <w:rPr>
          <w:rFonts w:eastAsia="MS Mincho"/>
          <w:lang w:val="fr-FR"/>
        </w:rPr>
        <w:t>n</w:t>
      </w:r>
      <w:r w:rsidR="00941B78" w:rsidRPr="00941B78">
        <w:rPr>
          <w:rFonts w:eastAsia="MS Mincho"/>
          <w:vertAlign w:val="superscript"/>
          <w:lang w:val="fr-FR"/>
        </w:rPr>
        <w:t>o</w:t>
      </w:r>
      <w:r w:rsidR="00941B78">
        <w:rPr>
          <w:lang w:val="fr-FR"/>
        </w:rPr>
        <w:t> </w:t>
      </w:r>
      <w:r>
        <w:rPr>
          <w:lang w:val="fr-FR"/>
        </w:rPr>
        <w:t>87</w:t>
      </w:r>
      <w:r w:rsidR="003E2853" w:rsidRPr="003E2853">
        <w:rPr>
          <w:lang w:val="fr-FR"/>
        </w:rPr>
        <w:t>.</w:t>
      </w:r>
      <w:r>
        <w:rPr>
          <w:lang w:val="fr-FR"/>
        </w:rPr>
        <w:t xml:space="preserve"> Cette loi a apporté à la loi sur les syndicats des modifications qui prévoient :</w:t>
      </w:r>
    </w:p>
    <w:p w14:paraId="24550EFD" w14:textId="240235F4" w:rsidR="00F12045" w:rsidRDefault="00F12045" w:rsidP="00F12045">
      <w:pPr>
        <w:pStyle w:val="Bullet1G"/>
        <w:rPr>
          <w:lang w:val="fr-FR"/>
        </w:rPr>
      </w:pPr>
      <w:r>
        <w:rPr>
          <w:lang w:val="fr-FR"/>
        </w:rPr>
        <w:t xml:space="preserve">L’abrogation de l’obligation faite aux syndicats de s’affilier à une fédération </w:t>
      </w:r>
      <w:r w:rsidRPr="00DC5306">
        <w:rPr>
          <w:i/>
          <w:iCs/>
          <w:lang w:val="fr-FR"/>
        </w:rPr>
        <w:t>(art</w:t>
      </w:r>
      <w:r w:rsidR="003E2853" w:rsidRPr="003E2853">
        <w:rPr>
          <w:i/>
          <w:iCs/>
          <w:lang w:val="fr-FR"/>
        </w:rPr>
        <w:t>.</w:t>
      </w:r>
      <w:r w:rsidRPr="00DC5306">
        <w:rPr>
          <w:i/>
          <w:iCs/>
          <w:lang w:val="fr-FR"/>
        </w:rPr>
        <w:t xml:space="preserve"> 12, 13 et 14 de la loi sur les syndicats)</w:t>
      </w:r>
      <w:r>
        <w:rPr>
          <w:lang w:val="fr-FR"/>
        </w:rPr>
        <w:t>, ce qui permettra de ne pas restreindre le droit des syndicats à la liberté d’association ;</w:t>
      </w:r>
    </w:p>
    <w:p w14:paraId="6E2CB688" w14:textId="2DDEFD10" w:rsidR="00F12045" w:rsidRDefault="00F12045" w:rsidP="00F12045">
      <w:pPr>
        <w:pStyle w:val="Bullet1G"/>
        <w:rPr>
          <w:lang w:val="fr-FR"/>
        </w:rPr>
      </w:pPr>
      <w:r>
        <w:rPr>
          <w:lang w:val="fr-FR"/>
        </w:rPr>
        <w:lastRenderedPageBreak/>
        <w:t>L’adoption de normes relatives à la coopération internationale entre syndicats et à l’organisation de rencontres conjointes avec des partenaires étrangers ;</w:t>
      </w:r>
    </w:p>
    <w:p w14:paraId="44636934" w14:textId="16DC8EE6" w:rsidR="00F12045" w:rsidRDefault="00F12045" w:rsidP="00F12045">
      <w:pPr>
        <w:pStyle w:val="Bullet1G"/>
        <w:rPr>
          <w:lang w:val="fr-FR"/>
        </w:rPr>
      </w:pPr>
      <w:r>
        <w:rPr>
          <w:lang w:val="fr-FR"/>
        </w:rPr>
        <w:t xml:space="preserve">La simplification des modalités de confirmation du statut de syndicat national, de syndicat de branche et d’union syndicale régionale lors de l’enregistrement par l’État </w:t>
      </w:r>
      <w:r w:rsidRPr="00DC5306">
        <w:rPr>
          <w:i/>
          <w:iCs/>
          <w:lang w:val="fr-FR"/>
        </w:rPr>
        <w:t>(abrogation de la prescription qui imposait l</w:t>
      </w:r>
      <w:r>
        <w:rPr>
          <w:i/>
          <w:iCs/>
          <w:lang w:val="fr-FR"/>
        </w:rPr>
        <w:t>’</w:t>
      </w:r>
      <w:r w:rsidRPr="00DC5306">
        <w:rPr>
          <w:i/>
          <w:iCs/>
          <w:lang w:val="fr-FR"/>
        </w:rPr>
        <w:t>adhésion d</w:t>
      </w:r>
      <w:r>
        <w:rPr>
          <w:i/>
          <w:iCs/>
          <w:lang w:val="fr-FR"/>
        </w:rPr>
        <w:t>’</w:t>
      </w:r>
      <w:r w:rsidRPr="00DC5306">
        <w:rPr>
          <w:i/>
          <w:iCs/>
          <w:lang w:val="fr-FR"/>
        </w:rPr>
        <w:t>au moins la moitié des effectifs d</w:t>
      </w:r>
      <w:r>
        <w:rPr>
          <w:i/>
          <w:iCs/>
          <w:lang w:val="fr-FR"/>
        </w:rPr>
        <w:t>’</w:t>
      </w:r>
      <w:r w:rsidRPr="00DC5306">
        <w:rPr>
          <w:i/>
          <w:iCs/>
          <w:lang w:val="fr-FR"/>
        </w:rPr>
        <w:t>un secteur d</w:t>
      </w:r>
      <w:r>
        <w:rPr>
          <w:i/>
          <w:iCs/>
          <w:lang w:val="fr-FR"/>
        </w:rPr>
        <w:t>’</w:t>
      </w:r>
      <w:r w:rsidRPr="00DC5306">
        <w:rPr>
          <w:i/>
          <w:iCs/>
          <w:lang w:val="fr-FR"/>
        </w:rPr>
        <w:t>activité et des secteurs connexes dans le cas des syndicats de branche) </w:t>
      </w:r>
      <w:r>
        <w:rPr>
          <w:lang w:val="fr-FR"/>
        </w:rPr>
        <w:t>;</w:t>
      </w:r>
    </w:p>
    <w:p w14:paraId="34C7DC03" w14:textId="6313DE38" w:rsidR="00F12045" w:rsidRDefault="00F12045" w:rsidP="00F12045">
      <w:pPr>
        <w:pStyle w:val="Bullet1G"/>
        <w:rPr>
          <w:lang w:val="fr-FR"/>
        </w:rPr>
      </w:pPr>
      <w:r>
        <w:rPr>
          <w:lang w:val="fr-FR"/>
        </w:rPr>
        <w:t xml:space="preserve">La simplification des conditions d’enregistrement des syndicats </w:t>
      </w:r>
      <w:r w:rsidRPr="00DC5306">
        <w:rPr>
          <w:i/>
          <w:iCs/>
          <w:lang w:val="fr-FR"/>
        </w:rPr>
        <w:t>(afin de satisfaire aux obligations concernant le nombre minimum d</w:t>
      </w:r>
      <w:r>
        <w:rPr>
          <w:i/>
          <w:iCs/>
          <w:lang w:val="fr-FR"/>
        </w:rPr>
        <w:t>’</w:t>
      </w:r>
      <w:r w:rsidRPr="00DC5306">
        <w:rPr>
          <w:i/>
          <w:iCs/>
          <w:lang w:val="fr-FR"/>
        </w:rPr>
        <w:t>organisations affiliées sur un territoire donné, les subdivisions structurelles (filiales ou représentations) du syndicat</w:t>
      </w:r>
      <w:r w:rsidR="00944FF5">
        <w:rPr>
          <w:i/>
          <w:iCs/>
          <w:lang w:val="fr-FR"/>
        </w:rPr>
        <w:t xml:space="preserve"> </w:t>
      </w:r>
      <w:r w:rsidRPr="00DC5306">
        <w:rPr>
          <w:i/>
          <w:iCs/>
          <w:lang w:val="fr-FR"/>
        </w:rPr>
        <w:t>seront prises en compte en même temps que les organisations membres)</w:t>
      </w:r>
      <w:r>
        <w:rPr>
          <w:lang w:val="fr-FR"/>
        </w:rPr>
        <w:t> ;</w:t>
      </w:r>
    </w:p>
    <w:p w14:paraId="72503D0C" w14:textId="0B5050BB" w:rsidR="00F12045" w:rsidRDefault="00F12045" w:rsidP="00F12045">
      <w:pPr>
        <w:pStyle w:val="Bullet1G"/>
        <w:rPr>
          <w:lang w:val="fr-FR"/>
        </w:rPr>
      </w:pPr>
      <w:r>
        <w:rPr>
          <w:lang w:val="fr-FR"/>
        </w:rPr>
        <w:t>La prolongation du délai imparti pour confirmer le statut d’une union syndicale lors de son enregistrement par les services du Ministère</w:t>
      </w:r>
      <w:r w:rsidR="00944FF5">
        <w:rPr>
          <w:lang w:val="fr-FR"/>
        </w:rPr>
        <w:t xml:space="preserve"> </w:t>
      </w:r>
      <w:r>
        <w:rPr>
          <w:lang w:val="fr-FR"/>
        </w:rPr>
        <w:t>de la justice, qui passe</w:t>
      </w:r>
      <w:r w:rsidR="003E2853">
        <w:rPr>
          <w:lang w:val="fr-FR"/>
        </w:rPr>
        <w:t xml:space="preserve"> </w:t>
      </w:r>
      <w:r>
        <w:rPr>
          <w:lang w:val="fr-FR"/>
        </w:rPr>
        <w:t>de six mois à un an</w:t>
      </w:r>
      <w:r w:rsidR="003E2853">
        <w:rPr>
          <w:lang w:val="fr-FR"/>
        </w:rPr>
        <w:t> </w:t>
      </w:r>
      <w:r>
        <w:rPr>
          <w:lang w:val="fr-FR"/>
        </w:rPr>
        <w:t>;</w:t>
      </w:r>
    </w:p>
    <w:p w14:paraId="0B42ED06" w14:textId="43386487" w:rsidR="00F12045" w:rsidRDefault="00F12045" w:rsidP="00F12045">
      <w:pPr>
        <w:pStyle w:val="Bullet1G"/>
        <w:rPr>
          <w:lang w:val="fr-FR"/>
        </w:rPr>
      </w:pPr>
      <w:r>
        <w:rPr>
          <w:lang w:val="fr-FR"/>
        </w:rPr>
        <w:t xml:space="preserve">La création de la possibilité de suspendre l’activité d’un syndicat pour une durée comprise entre trois et six mois </w:t>
      </w:r>
      <w:r w:rsidRPr="00DC5306">
        <w:rPr>
          <w:i/>
          <w:iCs/>
          <w:lang w:val="fr-FR"/>
        </w:rPr>
        <w:t xml:space="preserve">(la </w:t>
      </w:r>
      <w:r>
        <w:rPr>
          <w:i/>
          <w:iCs/>
          <w:lang w:val="fr-FR"/>
        </w:rPr>
        <w:t>« </w:t>
      </w:r>
      <w:r w:rsidRPr="00DC5306">
        <w:rPr>
          <w:i/>
          <w:iCs/>
          <w:lang w:val="fr-FR"/>
        </w:rPr>
        <w:t>suspension</w:t>
      </w:r>
      <w:r>
        <w:rPr>
          <w:i/>
          <w:iCs/>
          <w:lang w:val="fr-FR"/>
        </w:rPr>
        <w:t> »</w:t>
      </w:r>
      <w:r w:rsidRPr="00DC5306">
        <w:rPr>
          <w:i/>
          <w:iCs/>
          <w:lang w:val="fr-FR"/>
        </w:rPr>
        <w:t xml:space="preserve"> remplace la </w:t>
      </w:r>
      <w:r>
        <w:rPr>
          <w:i/>
          <w:iCs/>
          <w:lang w:val="fr-FR"/>
        </w:rPr>
        <w:t>« dissolution »</w:t>
      </w:r>
      <w:r w:rsidR="00944FF5">
        <w:rPr>
          <w:i/>
          <w:iCs/>
          <w:lang w:val="fr-FR"/>
        </w:rPr>
        <w:t xml:space="preserve"> </w:t>
      </w:r>
      <w:r w:rsidRPr="00DC5306">
        <w:rPr>
          <w:i/>
          <w:iCs/>
          <w:lang w:val="fr-FR"/>
        </w:rPr>
        <w:t>en cas de non-exécution de l</w:t>
      </w:r>
      <w:r>
        <w:rPr>
          <w:i/>
          <w:iCs/>
          <w:lang w:val="fr-FR"/>
        </w:rPr>
        <w:t>’</w:t>
      </w:r>
      <w:r w:rsidRPr="00DC5306">
        <w:rPr>
          <w:i/>
          <w:iCs/>
          <w:lang w:val="fr-FR"/>
        </w:rPr>
        <w:t>obligation de confirmation du statut d</w:t>
      </w:r>
      <w:r>
        <w:rPr>
          <w:i/>
          <w:iCs/>
          <w:lang w:val="fr-FR"/>
        </w:rPr>
        <w:t>’</w:t>
      </w:r>
      <w:r w:rsidRPr="00DC5306">
        <w:rPr>
          <w:i/>
          <w:iCs/>
          <w:lang w:val="fr-FR"/>
        </w:rPr>
        <w:t xml:space="preserve">un syndicat et </w:t>
      </w:r>
      <w:r>
        <w:rPr>
          <w:i/>
          <w:iCs/>
          <w:lang w:val="fr-FR"/>
        </w:rPr>
        <w:t>est assortie de la possibilité pour le syndicat de reprendre</w:t>
      </w:r>
      <w:r w:rsidR="00944FF5">
        <w:rPr>
          <w:i/>
          <w:iCs/>
          <w:lang w:val="fr-FR"/>
        </w:rPr>
        <w:t xml:space="preserve"> </w:t>
      </w:r>
      <w:r w:rsidRPr="00DC5306">
        <w:rPr>
          <w:i/>
          <w:iCs/>
          <w:lang w:val="fr-FR"/>
        </w:rPr>
        <w:t>ses activités)</w:t>
      </w:r>
      <w:r w:rsidR="003E2853" w:rsidRPr="003E2853">
        <w:rPr>
          <w:lang w:val="fr-FR"/>
        </w:rPr>
        <w:t>.</w:t>
      </w:r>
    </w:p>
    <w:p w14:paraId="218BB5CE" w14:textId="7A022EA5" w:rsidR="00F12045" w:rsidRDefault="00F12045" w:rsidP="00F12045">
      <w:pPr>
        <w:pStyle w:val="SingleTxtG"/>
        <w:rPr>
          <w:lang w:val="fr-FR"/>
        </w:rPr>
      </w:pPr>
      <w:r>
        <w:rPr>
          <w:lang w:val="fr-FR"/>
        </w:rPr>
        <w:t>61</w:t>
      </w:r>
      <w:r w:rsidR="003E2853" w:rsidRPr="003E2853">
        <w:rPr>
          <w:lang w:val="fr-FR"/>
        </w:rPr>
        <w:t>.</w:t>
      </w:r>
      <w:r>
        <w:rPr>
          <w:lang w:val="fr-FR"/>
        </w:rPr>
        <w:tab/>
        <w:t>De plus,</w:t>
      </w:r>
      <w:r w:rsidR="00944FF5">
        <w:rPr>
          <w:lang w:val="fr-FR"/>
        </w:rPr>
        <w:t xml:space="preserve"> </w:t>
      </w:r>
      <w:r>
        <w:rPr>
          <w:lang w:val="fr-FR"/>
        </w:rPr>
        <w:t>l’article 402 du Code pénal a été modifié aux fins de l’allégement des sanctions encourues en cas d’incitation à la participation à des grèves illégales</w:t>
      </w:r>
      <w:r w:rsidR="003E2853" w:rsidRPr="003E2853">
        <w:rPr>
          <w:lang w:val="fr-FR"/>
        </w:rPr>
        <w:t>.</w:t>
      </w:r>
      <w:r>
        <w:rPr>
          <w:lang w:val="fr-FR"/>
        </w:rPr>
        <w:t xml:space="preserve"> Dans la première partie de l’article, les « délits »</w:t>
      </w:r>
      <w:r w:rsidR="00944FF5">
        <w:rPr>
          <w:lang w:val="fr-FR"/>
        </w:rPr>
        <w:t xml:space="preserve"> </w:t>
      </w:r>
      <w:r>
        <w:rPr>
          <w:lang w:val="fr-FR"/>
        </w:rPr>
        <w:t>ont été requalifiés en « contraventions » et</w:t>
      </w:r>
      <w:r w:rsidR="00944FF5">
        <w:rPr>
          <w:lang w:val="fr-FR"/>
        </w:rPr>
        <w:t xml:space="preserve"> </w:t>
      </w:r>
      <w:r>
        <w:rPr>
          <w:lang w:val="fr-FR"/>
        </w:rPr>
        <w:t>dans la deuxième partie de l’article, les</w:t>
      </w:r>
      <w:r w:rsidR="00944FF5">
        <w:rPr>
          <w:lang w:val="fr-FR"/>
        </w:rPr>
        <w:t xml:space="preserve"> </w:t>
      </w:r>
      <w:r>
        <w:rPr>
          <w:lang w:val="fr-FR"/>
        </w:rPr>
        <w:t>« infractions de gravité modérée », ont été requalifiées en « infractions de faible</w:t>
      </w:r>
      <w:r w:rsidR="00944FF5">
        <w:rPr>
          <w:lang w:val="fr-FR"/>
        </w:rPr>
        <w:t xml:space="preserve"> </w:t>
      </w:r>
      <w:r>
        <w:rPr>
          <w:lang w:val="fr-FR"/>
        </w:rPr>
        <w:t>gravité »</w:t>
      </w:r>
      <w:r w:rsidR="003E2853" w:rsidRPr="003E2853">
        <w:rPr>
          <w:lang w:val="fr-FR"/>
        </w:rPr>
        <w:t>.</w:t>
      </w:r>
    </w:p>
    <w:p w14:paraId="07CA6346" w14:textId="65EA2FCE" w:rsidR="00F12045" w:rsidRDefault="00F12045" w:rsidP="00F12045">
      <w:pPr>
        <w:pStyle w:val="SingleTxtG"/>
        <w:rPr>
          <w:lang w:val="fr-FR"/>
        </w:rPr>
      </w:pPr>
      <w:r>
        <w:rPr>
          <w:lang w:val="fr-FR"/>
        </w:rPr>
        <w:t>62</w:t>
      </w:r>
      <w:r w:rsidR="003E2853" w:rsidRPr="003E2853">
        <w:rPr>
          <w:lang w:val="fr-FR"/>
        </w:rPr>
        <w:t>.</w:t>
      </w:r>
      <w:r>
        <w:rPr>
          <w:lang w:val="fr-FR"/>
        </w:rPr>
        <w:tab/>
        <w:t>De même, pour que le droit à la liberté d’expression</w:t>
      </w:r>
      <w:r w:rsidR="00944FF5">
        <w:rPr>
          <w:lang w:val="fr-FR"/>
        </w:rPr>
        <w:t xml:space="preserve"> </w:t>
      </w:r>
      <w:r>
        <w:rPr>
          <w:lang w:val="fr-FR"/>
        </w:rPr>
        <w:t>puisse être pleinement réalisé, il est désormais permis de faire grève dans des entreprises classées comme sites industriels dangereux, à condition de ne pas interrompre le fonctionnement de l’équipement et des mécanismes de base</w:t>
      </w:r>
      <w:r w:rsidR="003E2853" w:rsidRPr="003E2853">
        <w:rPr>
          <w:lang w:val="fr-FR"/>
        </w:rPr>
        <w:t>.</w:t>
      </w:r>
    </w:p>
    <w:p w14:paraId="1169A247" w14:textId="7443427D" w:rsidR="00446FE5" w:rsidRDefault="00F12045" w:rsidP="00F12045">
      <w:pPr>
        <w:pStyle w:val="SingleTxtG"/>
        <w:rPr>
          <w:lang w:val="fr-FR"/>
        </w:rPr>
      </w:pPr>
      <w:r>
        <w:rPr>
          <w:lang w:val="fr-FR"/>
        </w:rPr>
        <w:t>63</w:t>
      </w:r>
      <w:r w:rsidR="003E2853" w:rsidRPr="003E2853">
        <w:rPr>
          <w:lang w:val="fr-FR"/>
        </w:rPr>
        <w:t>.</w:t>
      </w:r>
      <w:r>
        <w:rPr>
          <w:lang w:val="fr-FR"/>
        </w:rPr>
        <w:tab/>
        <w:t xml:space="preserve">Il est prévu de signer avec les partenaires sociaux un accord général entre l’État, les syndicats nationaux et les organisations patronales nationales pour la période 2021-2023, accord qui définira les obligations concernant l’interdiction de l’ingérence illégale d’une partie dans les activités d’une autre partie et </w:t>
      </w:r>
      <w:r w:rsidRPr="009F5FDD">
        <w:rPr>
          <w:lang w:val="fr-FR"/>
        </w:rPr>
        <w:t>l</w:t>
      </w:r>
      <w:r>
        <w:rPr>
          <w:lang w:val="fr-FR"/>
        </w:rPr>
        <w:t>’</w:t>
      </w:r>
      <w:r w:rsidRPr="009F5FDD">
        <w:rPr>
          <w:lang w:val="fr-FR"/>
        </w:rPr>
        <w:t xml:space="preserve">interdiction de toute entrave ou </w:t>
      </w:r>
      <w:r w:rsidRPr="00DC5306">
        <w:rPr>
          <w:lang w:val="fr-FR"/>
        </w:rPr>
        <w:t xml:space="preserve">imposition de </w:t>
      </w:r>
      <w:r w:rsidRPr="009F5FDD">
        <w:rPr>
          <w:lang w:val="fr-FR"/>
        </w:rPr>
        <w:t>restriction</w:t>
      </w:r>
      <w:r w:rsidRPr="00DC5306">
        <w:rPr>
          <w:lang w:val="fr-FR"/>
        </w:rPr>
        <w:t>s</w:t>
      </w:r>
      <w:r w:rsidRPr="009F5FDD">
        <w:rPr>
          <w:lang w:val="fr-FR"/>
        </w:rPr>
        <w:t xml:space="preserve"> à la formation</w:t>
      </w:r>
      <w:r>
        <w:rPr>
          <w:lang w:val="fr-FR"/>
        </w:rPr>
        <w:t xml:space="preserve">, au fonctionnement et à l’activité des syndicats et des unions syndicales ainsi que des organisations </w:t>
      </w:r>
      <w:r w:rsidRPr="00DC5306">
        <w:rPr>
          <w:i/>
          <w:lang w:val="fr-FR"/>
        </w:rPr>
        <w:t>(associations et unions)</w:t>
      </w:r>
      <w:r>
        <w:rPr>
          <w:lang w:val="fr-FR"/>
        </w:rPr>
        <w:t xml:space="preserve"> patronales</w:t>
      </w:r>
      <w:r w:rsidR="003E2853" w:rsidRPr="003E2853">
        <w:rPr>
          <w:lang w:val="fr-FR"/>
        </w:rPr>
        <w:t>.</w:t>
      </w:r>
    </w:p>
    <w:p w14:paraId="143F00D0" w14:textId="500ED8E5" w:rsidR="00F12045" w:rsidRPr="00F12045" w:rsidRDefault="00F12045" w:rsidP="00F12045">
      <w:pPr>
        <w:pStyle w:val="SingleTxtG"/>
        <w:spacing w:before="240" w:after="0"/>
        <w:jc w:val="center"/>
        <w:rPr>
          <w:u w:val="single"/>
        </w:rPr>
      </w:pPr>
      <w:r>
        <w:rPr>
          <w:u w:val="single"/>
        </w:rPr>
        <w:tab/>
      </w:r>
      <w:r>
        <w:rPr>
          <w:u w:val="single"/>
        </w:rPr>
        <w:tab/>
      </w:r>
      <w:r>
        <w:rPr>
          <w:u w:val="single"/>
        </w:rPr>
        <w:tab/>
      </w:r>
    </w:p>
    <w:sectPr w:rsidR="00F12045" w:rsidRPr="00F12045" w:rsidSect="00937D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E467" w14:textId="77777777" w:rsidR="00A820AE" w:rsidRDefault="00A820AE" w:rsidP="00F95C08">
      <w:pPr>
        <w:spacing w:line="240" w:lineRule="auto"/>
      </w:pPr>
    </w:p>
  </w:endnote>
  <w:endnote w:type="continuationSeparator" w:id="0">
    <w:p w14:paraId="1EFAFD8C" w14:textId="77777777" w:rsidR="00A820AE" w:rsidRPr="00AC3823" w:rsidRDefault="00A820AE" w:rsidP="00AC3823">
      <w:pPr>
        <w:pStyle w:val="Pieddepage"/>
      </w:pPr>
    </w:p>
  </w:endnote>
  <w:endnote w:type="continuationNotice" w:id="1">
    <w:p w14:paraId="592EADF9" w14:textId="77777777" w:rsidR="00A820AE" w:rsidRDefault="00A820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CADE" w14:textId="1A92EFF8" w:rsidR="00937D42" w:rsidRPr="00937D42" w:rsidRDefault="00937D42" w:rsidP="00937D42">
    <w:pPr>
      <w:pStyle w:val="Pieddepage"/>
      <w:tabs>
        <w:tab w:val="right" w:pos="9638"/>
      </w:tabs>
    </w:pPr>
    <w:r w:rsidRPr="00937D42">
      <w:rPr>
        <w:b/>
        <w:sz w:val="18"/>
      </w:rPr>
      <w:fldChar w:fldCharType="begin"/>
    </w:r>
    <w:r w:rsidRPr="00937D42">
      <w:rPr>
        <w:b/>
        <w:sz w:val="18"/>
      </w:rPr>
      <w:instrText xml:space="preserve"> PAGE  \* MERGEFORMAT </w:instrText>
    </w:r>
    <w:r w:rsidRPr="00937D42">
      <w:rPr>
        <w:b/>
        <w:sz w:val="18"/>
      </w:rPr>
      <w:fldChar w:fldCharType="separate"/>
    </w:r>
    <w:r w:rsidRPr="00937D42">
      <w:rPr>
        <w:b/>
        <w:noProof/>
        <w:sz w:val="18"/>
      </w:rPr>
      <w:t>2</w:t>
    </w:r>
    <w:r w:rsidRPr="00937D42">
      <w:rPr>
        <w:b/>
        <w:sz w:val="18"/>
      </w:rPr>
      <w:fldChar w:fldCharType="end"/>
    </w:r>
    <w:r>
      <w:rPr>
        <w:b/>
        <w:sz w:val="18"/>
      </w:rPr>
      <w:tab/>
    </w:r>
    <w:r>
      <w:t>GE</w:t>
    </w:r>
    <w:r w:rsidR="003E2853" w:rsidRPr="003E2853">
      <w:t>.</w:t>
    </w:r>
    <w:r>
      <w:t>21-05637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BE35" w14:textId="10878D0B" w:rsidR="00937D42" w:rsidRPr="00937D42" w:rsidRDefault="00937D42" w:rsidP="00937D42">
    <w:pPr>
      <w:pStyle w:val="Pieddepage"/>
      <w:tabs>
        <w:tab w:val="right" w:pos="9638"/>
      </w:tabs>
      <w:rPr>
        <w:b/>
        <w:sz w:val="18"/>
      </w:rPr>
    </w:pPr>
    <w:r>
      <w:t>GE</w:t>
    </w:r>
    <w:r w:rsidR="003E2853" w:rsidRPr="003E2853">
      <w:t>.</w:t>
    </w:r>
    <w:r>
      <w:t>21-05637</w:t>
    </w:r>
    <w:r>
      <w:tab/>
    </w:r>
    <w:r w:rsidRPr="00937D42">
      <w:rPr>
        <w:b/>
        <w:sz w:val="18"/>
      </w:rPr>
      <w:fldChar w:fldCharType="begin"/>
    </w:r>
    <w:r w:rsidRPr="00937D42">
      <w:rPr>
        <w:b/>
        <w:sz w:val="18"/>
      </w:rPr>
      <w:instrText xml:space="preserve"> PAGE  \* MERGEFORMAT </w:instrText>
    </w:r>
    <w:r w:rsidRPr="00937D42">
      <w:rPr>
        <w:b/>
        <w:sz w:val="18"/>
      </w:rPr>
      <w:fldChar w:fldCharType="separate"/>
    </w:r>
    <w:r w:rsidRPr="00937D42">
      <w:rPr>
        <w:b/>
        <w:noProof/>
        <w:sz w:val="18"/>
      </w:rPr>
      <w:t>3</w:t>
    </w:r>
    <w:r w:rsidRPr="00937D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1351" w14:textId="536AC299" w:rsidR="0080236C" w:rsidRPr="00937D42" w:rsidRDefault="00937D42" w:rsidP="00937D42">
    <w:pPr>
      <w:pStyle w:val="Pieddepage"/>
      <w:spacing w:before="120"/>
      <w:rPr>
        <w:sz w:val="20"/>
      </w:rPr>
    </w:pPr>
    <w:r>
      <w:rPr>
        <w:sz w:val="20"/>
      </w:rPr>
      <w:t>GE</w:t>
    </w:r>
    <w:r w:rsidR="003E2853" w:rsidRPr="003E2853">
      <w:rPr>
        <w:sz w:val="20"/>
      </w:rPr>
      <w:t>.</w:t>
    </w:r>
    <w:r w:rsidR="0080236C">
      <w:rPr>
        <w:noProof/>
        <w:lang w:eastAsia="fr-CH"/>
      </w:rPr>
      <w:drawing>
        <wp:anchor distT="0" distB="0" distL="114300" distR="114300" simplePos="0" relativeHeight="251659264" behindDoc="0" locked="0" layoutInCell="1" allowOverlap="0" wp14:anchorId="6D9B3BB8" wp14:editId="05ADA8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21-05637  (F)</w:t>
    </w:r>
    <w:r>
      <w:rPr>
        <w:noProof/>
        <w:sz w:val="20"/>
      </w:rPr>
      <w:drawing>
        <wp:anchor distT="0" distB="0" distL="114300" distR="114300" simplePos="0" relativeHeight="251660288" behindDoc="0" locked="0" layoutInCell="1" allowOverlap="1" wp14:anchorId="699E6FFA" wp14:editId="026D377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180621    220621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72E4" w14:textId="77777777" w:rsidR="00A820AE" w:rsidRPr="00AC3823" w:rsidRDefault="00A820AE" w:rsidP="00AC3823">
      <w:pPr>
        <w:pStyle w:val="Pieddepage"/>
        <w:tabs>
          <w:tab w:val="right" w:pos="2155"/>
        </w:tabs>
        <w:spacing w:after="80" w:line="240" w:lineRule="atLeast"/>
        <w:ind w:left="680"/>
        <w:rPr>
          <w:u w:val="single"/>
        </w:rPr>
      </w:pPr>
      <w:r>
        <w:rPr>
          <w:u w:val="single"/>
        </w:rPr>
        <w:tab/>
      </w:r>
    </w:p>
  </w:footnote>
  <w:footnote w:type="continuationSeparator" w:id="0">
    <w:p w14:paraId="3F379236" w14:textId="77777777" w:rsidR="00A820AE" w:rsidRPr="00AC3823" w:rsidRDefault="00A820AE" w:rsidP="00AC3823">
      <w:pPr>
        <w:pStyle w:val="Pieddepage"/>
        <w:tabs>
          <w:tab w:val="right" w:pos="2155"/>
        </w:tabs>
        <w:spacing w:after="80" w:line="240" w:lineRule="atLeast"/>
        <w:ind w:left="680"/>
        <w:rPr>
          <w:u w:val="single"/>
        </w:rPr>
      </w:pPr>
      <w:r>
        <w:rPr>
          <w:u w:val="single"/>
        </w:rPr>
        <w:tab/>
      </w:r>
    </w:p>
  </w:footnote>
  <w:footnote w:type="continuationNotice" w:id="1">
    <w:p w14:paraId="2638FA2D" w14:textId="77777777" w:rsidR="00A820AE" w:rsidRPr="00AC3823" w:rsidRDefault="00A820AE">
      <w:pPr>
        <w:spacing w:line="240" w:lineRule="auto"/>
        <w:rPr>
          <w:sz w:val="2"/>
          <w:szCs w:val="2"/>
        </w:rPr>
      </w:pPr>
    </w:p>
  </w:footnote>
  <w:footnote w:id="2">
    <w:p w14:paraId="4C782166" w14:textId="574CD882" w:rsidR="00F12045" w:rsidRPr="008333F3" w:rsidRDefault="00F12045" w:rsidP="00F12045">
      <w:pPr>
        <w:pStyle w:val="Notedebasdepage"/>
        <w:rPr>
          <w:lang w:val="fr-FR"/>
        </w:rPr>
      </w:pPr>
      <w:r>
        <w:rPr>
          <w:lang w:val="fr-FR"/>
        </w:rPr>
        <w:tab/>
      </w:r>
      <w:r w:rsidRPr="00F12045">
        <w:rPr>
          <w:sz w:val="20"/>
          <w:lang w:val="fr-FR"/>
        </w:rPr>
        <w:t>*</w:t>
      </w:r>
      <w:r w:rsidRPr="008333F3">
        <w:rPr>
          <w:lang w:val="fr-FR"/>
        </w:rPr>
        <w:tab/>
      </w:r>
      <w:r>
        <w:rPr>
          <w:lang w:val="fr-FR"/>
        </w:rPr>
        <w:t xml:space="preserve">La version originale du présent document n’a pas </w:t>
      </w:r>
      <w:r w:rsidRPr="008333F3">
        <w:rPr>
          <w:lang w:val="fr-FR"/>
        </w:rPr>
        <w:t>été revu</w:t>
      </w:r>
      <w:r>
        <w:rPr>
          <w:lang w:val="fr-FR"/>
        </w:rPr>
        <w:t>e</w:t>
      </w:r>
      <w:r w:rsidRPr="008333F3">
        <w:rPr>
          <w:lang w:val="fr-FR"/>
        </w:rPr>
        <w:t xml:space="preserve"> par </w:t>
      </w:r>
      <w:r>
        <w:rPr>
          <w:lang w:val="fr-FR"/>
        </w:rPr>
        <w:t>les services d’édition</w:t>
      </w:r>
      <w:r w:rsidR="003E2853" w:rsidRPr="003E285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2548" w14:textId="0DED8764" w:rsidR="00937D42" w:rsidRPr="00937D42" w:rsidRDefault="00937D42">
    <w:pPr>
      <w:pStyle w:val="En-tte"/>
    </w:pPr>
    <w:fldSimple w:instr=" TITLE  \* MERGEFORMAT ">
      <w:r w:rsidR="00E12045">
        <w:t>E/C.12/KAZ/FCO/2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12C3" w14:textId="139AF6D1" w:rsidR="00937D42" w:rsidRPr="00937D42" w:rsidRDefault="00937D42" w:rsidP="00937D42">
    <w:pPr>
      <w:pStyle w:val="En-tte"/>
      <w:jc w:val="right"/>
    </w:pPr>
    <w:fldSimple w:instr=" TITLE  \* MERGEFORMAT ">
      <w:r w:rsidR="00E12045">
        <w:t>E/C.12/KAZ/FCO/2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4A42036">
      <w:start w:val="1"/>
      <w:numFmt w:val="decimal"/>
      <w:lvlText w:val="%1."/>
      <w:lvlJc w:val="left"/>
      <w:pPr>
        <w:tabs>
          <w:tab w:val="num" w:pos="0"/>
        </w:tabs>
        <w:ind w:left="1134" w:firstLine="0"/>
      </w:pPr>
      <w:rPr>
        <w:rFonts w:ascii="Times New Roman" w:hAnsi="Times New Roman" w:hint="default"/>
        <w:b w:val="0"/>
        <w:i w:val="0"/>
        <w:sz w:val="20"/>
      </w:rPr>
    </w:lvl>
    <w:lvl w:ilvl="1" w:tplc="0DE68444" w:tentative="1">
      <w:start w:val="1"/>
      <w:numFmt w:val="lowerLetter"/>
      <w:lvlText w:val="%2."/>
      <w:lvlJc w:val="left"/>
      <w:pPr>
        <w:tabs>
          <w:tab w:val="num" w:pos="1440"/>
        </w:tabs>
        <w:ind w:left="1440" w:hanging="360"/>
      </w:pPr>
    </w:lvl>
    <w:lvl w:ilvl="2" w:tplc="A374189A" w:tentative="1">
      <w:start w:val="1"/>
      <w:numFmt w:val="lowerRoman"/>
      <w:lvlText w:val="%3."/>
      <w:lvlJc w:val="right"/>
      <w:pPr>
        <w:tabs>
          <w:tab w:val="num" w:pos="2160"/>
        </w:tabs>
        <w:ind w:left="2160" w:hanging="180"/>
      </w:pPr>
    </w:lvl>
    <w:lvl w:ilvl="3" w:tplc="53240A7C" w:tentative="1">
      <w:start w:val="1"/>
      <w:numFmt w:val="decimal"/>
      <w:lvlText w:val="%4."/>
      <w:lvlJc w:val="left"/>
      <w:pPr>
        <w:tabs>
          <w:tab w:val="num" w:pos="2880"/>
        </w:tabs>
        <w:ind w:left="2880" w:hanging="360"/>
      </w:pPr>
    </w:lvl>
    <w:lvl w:ilvl="4" w:tplc="BC28BA14" w:tentative="1">
      <w:start w:val="1"/>
      <w:numFmt w:val="lowerLetter"/>
      <w:lvlText w:val="%5."/>
      <w:lvlJc w:val="left"/>
      <w:pPr>
        <w:tabs>
          <w:tab w:val="num" w:pos="3600"/>
        </w:tabs>
        <w:ind w:left="3600" w:hanging="360"/>
      </w:pPr>
    </w:lvl>
    <w:lvl w:ilvl="5" w:tplc="10A02462" w:tentative="1">
      <w:start w:val="1"/>
      <w:numFmt w:val="lowerRoman"/>
      <w:lvlText w:val="%6."/>
      <w:lvlJc w:val="right"/>
      <w:pPr>
        <w:tabs>
          <w:tab w:val="num" w:pos="4320"/>
        </w:tabs>
        <w:ind w:left="4320" w:hanging="180"/>
      </w:pPr>
    </w:lvl>
    <w:lvl w:ilvl="6" w:tplc="21529514" w:tentative="1">
      <w:start w:val="1"/>
      <w:numFmt w:val="decimal"/>
      <w:lvlText w:val="%7."/>
      <w:lvlJc w:val="left"/>
      <w:pPr>
        <w:tabs>
          <w:tab w:val="num" w:pos="5040"/>
        </w:tabs>
        <w:ind w:left="5040" w:hanging="360"/>
      </w:pPr>
    </w:lvl>
    <w:lvl w:ilvl="7" w:tplc="89E0DAEC" w:tentative="1">
      <w:start w:val="1"/>
      <w:numFmt w:val="lowerLetter"/>
      <w:lvlText w:val="%8."/>
      <w:lvlJc w:val="left"/>
      <w:pPr>
        <w:tabs>
          <w:tab w:val="num" w:pos="5760"/>
        </w:tabs>
        <w:ind w:left="5760" w:hanging="360"/>
      </w:pPr>
    </w:lvl>
    <w:lvl w:ilvl="8" w:tplc="24A8B17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54BC07CE">
      <w:start w:val="1"/>
      <w:numFmt w:val="bullet"/>
      <w:lvlText w:val="•"/>
      <w:lvlJc w:val="left"/>
      <w:pPr>
        <w:tabs>
          <w:tab w:val="num" w:pos="2268"/>
        </w:tabs>
        <w:ind w:left="2268" w:hanging="170"/>
      </w:pPr>
      <w:rPr>
        <w:rFonts w:ascii="Times New Roman" w:hAnsi="Times New Roman" w:cs="Times New Roman" w:hint="default"/>
      </w:rPr>
    </w:lvl>
    <w:lvl w:ilvl="1" w:tplc="E40E6DF2" w:tentative="1">
      <w:start w:val="1"/>
      <w:numFmt w:val="bullet"/>
      <w:lvlText w:val="o"/>
      <w:lvlJc w:val="left"/>
      <w:pPr>
        <w:tabs>
          <w:tab w:val="num" w:pos="1440"/>
        </w:tabs>
        <w:ind w:left="1440" w:hanging="360"/>
      </w:pPr>
      <w:rPr>
        <w:rFonts w:ascii="Courier New" w:hAnsi="Courier New" w:hint="default"/>
      </w:rPr>
    </w:lvl>
    <w:lvl w:ilvl="2" w:tplc="5472234A" w:tentative="1">
      <w:start w:val="1"/>
      <w:numFmt w:val="bullet"/>
      <w:lvlText w:val=""/>
      <w:lvlJc w:val="left"/>
      <w:pPr>
        <w:tabs>
          <w:tab w:val="num" w:pos="2160"/>
        </w:tabs>
        <w:ind w:left="2160" w:hanging="360"/>
      </w:pPr>
      <w:rPr>
        <w:rFonts w:ascii="Wingdings" w:hAnsi="Wingdings" w:hint="default"/>
      </w:rPr>
    </w:lvl>
    <w:lvl w:ilvl="3" w:tplc="520AD6BC" w:tentative="1">
      <w:start w:val="1"/>
      <w:numFmt w:val="bullet"/>
      <w:lvlText w:val=""/>
      <w:lvlJc w:val="left"/>
      <w:pPr>
        <w:tabs>
          <w:tab w:val="num" w:pos="2880"/>
        </w:tabs>
        <w:ind w:left="2880" w:hanging="360"/>
      </w:pPr>
      <w:rPr>
        <w:rFonts w:ascii="Symbol" w:hAnsi="Symbol" w:hint="default"/>
      </w:rPr>
    </w:lvl>
    <w:lvl w:ilvl="4" w:tplc="926E1B18" w:tentative="1">
      <w:start w:val="1"/>
      <w:numFmt w:val="bullet"/>
      <w:lvlText w:val="o"/>
      <w:lvlJc w:val="left"/>
      <w:pPr>
        <w:tabs>
          <w:tab w:val="num" w:pos="3600"/>
        </w:tabs>
        <w:ind w:left="3600" w:hanging="360"/>
      </w:pPr>
      <w:rPr>
        <w:rFonts w:ascii="Courier New" w:hAnsi="Courier New" w:hint="default"/>
      </w:rPr>
    </w:lvl>
    <w:lvl w:ilvl="5" w:tplc="DED8B89C" w:tentative="1">
      <w:start w:val="1"/>
      <w:numFmt w:val="bullet"/>
      <w:lvlText w:val=""/>
      <w:lvlJc w:val="left"/>
      <w:pPr>
        <w:tabs>
          <w:tab w:val="num" w:pos="4320"/>
        </w:tabs>
        <w:ind w:left="4320" w:hanging="360"/>
      </w:pPr>
      <w:rPr>
        <w:rFonts w:ascii="Wingdings" w:hAnsi="Wingdings" w:hint="default"/>
      </w:rPr>
    </w:lvl>
    <w:lvl w:ilvl="6" w:tplc="DD823E94" w:tentative="1">
      <w:start w:val="1"/>
      <w:numFmt w:val="bullet"/>
      <w:lvlText w:val=""/>
      <w:lvlJc w:val="left"/>
      <w:pPr>
        <w:tabs>
          <w:tab w:val="num" w:pos="5040"/>
        </w:tabs>
        <w:ind w:left="5040" w:hanging="360"/>
      </w:pPr>
      <w:rPr>
        <w:rFonts w:ascii="Symbol" w:hAnsi="Symbol" w:hint="default"/>
      </w:rPr>
    </w:lvl>
    <w:lvl w:ilvl="7" w:tplc="15968800" w:tentative="1">
      <w:start w:val="1"/>
      <w:numFmt w:val="bullet"/>
      <w:lvlText w:val="o"/>
      <w:lvlJc w:val="left"/>
      <w:pPr>
        <w:tabs>
          <w:tab w:val="num" w:pos="5760"/>
        </w:tabs>
        <w:ind w:left="5760" w:hanging="360"/>
      </w:pPr>
      <w:rPr>
        <w:rFonts w:ascii="Courier New" w:hAnsi="Courier New" w:hint="default"/>
      </w:rPr>
    </w:lvl>
    <w:lvl w:ilvl="8" w:tplc="FB9E9C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983E205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BE469E" w:tentative="1">
      <w:start w:val="1"/>
      <w:numFmt w:val="bullet"/>
      <w:lvlText w:val="o"/>
      <w:lvlJc w:val="left"/>
      <w:pPr>
        <w:tabs>
          <w:tab w:val="num" w:pos="1440"/>
        </w:tabs>
        <w:ind w:left="1440" w:hanging="360"/>
      </w:pPr>
      <w:rPr>
        <w:rFonts w:ascii="Courier New" w:hAnsi="Courier New" w:hint="default"/>
      </w:rPr>
    </w:lvl>
    <w:lvl w:ilvl="2" w:tplc="A992F3CE" w:tentative="1">
      <w:start w:val="1"/>
      <w:numFmt w:val="bullet"/>
      <w:lvlText w:val=""/>
      <w:lvlJc w:val="left"/>
      <w:pPr>
        <w:tabs>
          <w:tab w:val="num" w:pos="2160"/>
        </w:tabs>
        <w:ind w:left="2160" w:hanging="360"/>
      </w:pPr>
      <w:rPr>
        <w:rFonts w:ascii="Wingdings" w:hAnsi="Wingdings" w:hint="default"/>
      </w:rPr>
    </w:lvl>
    <w:lvl w:ilvl="3" w:tplc="B184A0C6" w:tentative="1">
      <w:start w:val="1"/>
      <w:numFmt w:val="bullet"/>
      <w:lvlText w:val=""/>
      <w:lvlJc w:val="left"/>
      <w:pPr>
        <w:tabs>
          <w:tab w:val="num" w:pos="2880"/>
        </w:tabs>
        <w:ind w:left="2880" w:hanging="360"/>
      </w:pPr>
      <w:rPr>
        <w:rFonts w:ascii="Symbol" w:hAnsi="Symbol" w:hint="default"/>
      </w:rPr>
    </w:lvl>
    <w:lvl w:ilvl="4" w:tplc="627EF0F4" w:tentative="1">
      <w:start w:val="1"/>
      <w:numFmt w:val="bullet"/>
      <w:lvlText w:val="o"/>
      <w:lvlJc w:val="left"/>
      <w:pPr>
        <w:tabs>
          <w:tab w:val="num" w:pos="3600"/>
        </w:tabs>
        <w:ind w:left="3600" w:hanging="360"/>
      </w:pPr>
      <w:rPr>
        <w:rFonts w:ascii="Courier New" w:hAnsi="Courier New" w:hint="default"/>
      </w:rPr>
    </w:lvl>
    <w:lvl w:ilvl="5" w:tplc="3FFADEDE" w:tentative="1">
      <w:start w:val="1"/>
      <w:numFmt w:val="bullet"/>
      <w:lvlText w:val=""/>
      <w:lvlJc w:val="left"/>
      <w:pPr>
        <w:tabs>
          <w:tab w:val="num" w:pos="4320"/>
        </w:tabs>
        <w:ind w:left="4320" w:hanging="360"/>
      </w:pPr>
      <w:rPr>
        <w:rFonts w:ascii="Wingdings" w:hAnsi="Wingdings" w:hint="default"/>
      </w:rPr>
    </w:lvl>
    <w:lvl w:ilvl="6" w:tplc="A59A8348" w:tentative="1">
      <w:start w:val="1"/>
      <w:numFmt w:val="bullet"/>
      <w:lvlText w:val=""/>
      <w:lvlJc w:val="left"/>
      <w:pPr>
        <w:tabs>
          <w:tab w:val="num" w:pos="5040"/>
        </w:tabs>
        <w:ind w:left="5040" w:hanging="360"/>
      </w:pPr>
      <w:rPr>
        <w:rFonts w:ascii="Symbol" w:hAnsi="Symbol" w:hint="default"/>
      </w:rPr>
    </w:lvl>
    <w:lvl w:ilvl="7" w:tplc="C27465BC" w:tentative="1">
      <w:start w:val="1"/>
      <w:numFmt w:val="bullet"/>
      <w:lvlText w:val="o"/>
      <w:lvlJc w:val="left"/>
      <w:pPr>
        <w:tabs>
          <w:tab w:val="num" w:pos="5760"/>
        </w:tabs>
        <w:ind w:left="5760" w:hanging="360"/>
      </w:pPr>
      <w:rPr>
        <w:rFonts w:ascii="Courier New" w:hAnsi="Courier New" w:hint="default"/>
      </w:rPr>
    </w:lvl>
    <w:lvl w:ilvl="8" w:tplc="798A41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3"/>
  </w:num>
  <w:num w:numId="18">
    <w:abstractNumId w:val="12"/>
  </w:num>
  <w:num w:numId="19">
    <w:abstractNumId w:val="10"/>
  </w:num>
  <w:num w:numId="20">
    <w:abstractNumId w:val="16"/>
  </w:num>
  <w:num w:numId="21">
    <w:abstractNumId w:val="17"/>
  </w:num>
  <w:num w:numId="22">
    <w:abstractNumId w:val="15"/>
  </w:num>
  <w:num w:numId="23">
    <w:abstractNumId w:val="19"/>
  </w:num>
  <w:num w:numId="24">
    <w:abstractNumId w:val="18"/>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E"/>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3E2853"/>
    <w:rsid w:val="00441C3B"/>
    <w:rsid w:val="00446FE5"/>
    <w:rsid w:val="00452396"/>
    <w:rsid w:val="004E468C"/>
    <w:rsid w:val="0051298C"/>
    <w:rsid w:val="005505B7"/>
    <w:rsid w:val="00573BE5"/>
    <w:rsid w:val="00586ED3"/>
    <w:rsid w:val="00596AA9"/>
    <w:rsid w:val="005F3E14"/>
    <w:rsid w:val="0071601D"/>
    <w:rsid w:val="0074407E"/>
    <w:rsid w:val="007A62E6"/>
    <w:rsid w:val="007C1326"/>
    <w:rsid w:val="0080236C"/>
    <w:rsid w:val="0080684C"/>
    <w:rsid w:val="00871C75"/>
    <w:rsid w:val="008776DC"/>
    <w:rsid w:val="00937D42"/>
    <w:rsid w:val="00941B78"/>
    <w:rsid w:val="00944FF5"/>
    <w:rsid w:val="00967489"/>
    <w:rsid w:val="009705C8"/>
    <w:rsid w:val="009C1CF4"/>
    <w:rsid w:val="00A30353"/>
    <w:rsid w:val="00A820AE"/>
    <w:rsid w:val="00AA42FA"/>
    <w:rsid w:val="00AC3823"/>
    <w:rsid w:val="00AE323C"/>
    <w:rsid w:val="00AF290F"/>
    <w:rsid w:val="00B00181"/>
    <w:rsid w:val="00B00B0D"/>
    <w:rsid w:val="00B765F7"/>
    <w:rsid w:val="00BA0CA9"/>
    <w:rsid w:val="00C02897"/>
    <w:rsid w:val="00D3439C"/>
    <w:rsid w:val="00D75300"/>
    <w:rsid w:val="00D80AED"/>
    <w:rsid w:val="00DB1831"/>
    <w:rsid w:val="00DD3BFD"/>
    <w:rsid w:val="00DF6678"/>
    <w:rsid w:val="00E12045"/>
    <w:rsid w:val="00EF2E22"/>
    <w:rsid w:val="00F1204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493F05"/>
  <w15:docId w15:val="{FCF73FBB-3C3E-4CF4-A544-7786E47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numbering" w:styleId="111111">
    <w:name w:val="Outline List 2"/>
    <w:basedOn w:val="Aucuneliste"/>
    <w:semiHidden/>
    <w:rsid w:val="00F12045"/>
    <w:pPr>
      <w:numPr>
        <w:numId w:val="21"/>
      </w:numPr>
    </w:pPr>
  </w:style>
  <w:style w:type="numbering" w:styleId="1ai">
    <w:name w:val="Outline List 1"/>
    <w:basedOn w:val="Aucuneliste"/>
    <w:semiHidden/>
    <w:rsid w:val="00F12045"/>
    <w:pPr>
      <w:numPr>
        <w:numId w:val="23"/>
      </w:numPr>
    </w:pPr>
  </w:style>
  <w:style w:type="character" w:customStyle="1" w:styleId="SingleTxtGChar">
    <w:name w:val="_ Single Txt_G Char"/>
    <w:link w:val="SingleTxtG"/>
    <w:locked/>
    <w:rsid w:val="00F12045"/>
    <w:rPr>
      <w:rFonts w:ascii="Times New Roman" w:eastAsiaTheme="minorHAnsi" w:hAnsi="Times New Roman" w:cs="Times New Roman"/>
      <w:sz w:val="20"/>
      <w:szCs w:val="20"/>
      <w:lang w:eastAsia="en-US"/>
    </w:rPr>
  </w:style>
  <w:style w:type="table" w:customStyle="1" w:styleId="TableGrid1">
    <w:name w:val="Table Grid1"/>
    <w:basedOn w:val="TableauNormal"/>
    <w:rsid w:val="00F12045"/>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7</Pages>
  <Words>3081</Words>
  <Characters>18981</Characters>
  <Application>Microsoft Office Word</Application>
  <DocSecurity>0</DocSecurity>
  <Lines>3163</Lines>
  <Paragraphs>1161</Paragraphs>
  <ScaleCrop>false</ScaleCrop>
  <HeadingPairs>
    <vt:vector size="2" baseType="variant">
      <vt:variant>
        <vt:lpstr>Titre</vt:lpstr>
      </vt:variant>
      <vt:variant>
        <vt:i4>1</vt:i4>
      </vt:variant>
    </vt:vector>
  </HeadingPairs>
  <TitlesOfParts>
    <vt:vector size="1" baseType="lpstr">
      <vt:lpstr>E/C.12/KAZ/FCO/2</vt:lpstr>
    </vt:vector>
  </TitlesOfParts>
  <Company>DCM</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E/C.12/KAZ/FCO/2</dc:title>
  <dc:subject/>
  <dc:creator>Maud DARICHE</dc:creator>
  <cp:keywords/>
  <cp:lastModifiedBy>Maud Dariche</cp:lastModifiedBy>
  <cp:revision>3</cp:revision>
  <cp:lastPrinted>2021-06-22T06:20:00Z</cp:lastPrinted>
  <dcterms:created xsi:type="dcterms:W3CDTF">2021-06-22T06:20:00Z</dcterms:created>
  <dcterms:modified xsi:type="dcterms:W3CDTF">2021-06-22T06:21:00Z</dcterms:modified>
</cp:coreProperties>
</file>