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r>
                    <w:rPr>
                      <w:lang w:val="en-US"/>
                    </w:rPr>
                    <w:t>GE.02-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46379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160103    170103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E/C.12/1/Add.82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19 December 2002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1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/>
    <w:p w:rsidR="00000000" w:rsidRDefault="00000000">
      <w:r>
        <w:t xml:space="preserve">КОМИТЕТ ПО ЭКОНОМИЧЕСКИМ, </w:t>
      </w:r>
    </w:p>
    <w:p w:rsidR="00000000" w:rsidRDefault="00000000">
      <w:r>
        <w:t>СОЦИАЛЬНЫМ И КУЛЬТУРНЫМ ПРАВАМ</w:t>
      </w:r>
    </w:p>
    <w:p w:rsidR="00000000" w:rsidRDefault="00000000">
      <w:r>
        <w:t>Двадцать девятая сессия</w:t>
      </w:r>
    </w:p>
    <w:p w:rsidR="00000000" w:rsidRDefault="00000000">
      <w:r>
        <w:t>11-29 ноября 2002 года</w:t>
      </w:r>
    </w:p>
    <w:p w:rsidR="00000000" w:rsidRDefault="00000000"/>
    <w:p w:rsidR="00000000" w:rsidRDefault="00000000">
      <w:pPr>
        <w:pStyle w:val="16"/>
      </w:pPr>
      <w: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pStyle w:val="16"/>
      </w:pPr>
    </w:p>
    <w:p w:rsidR="00000000" w:rsidRDefault="00000000">
      <w:pPr>
        <w:pStyle w:val="11"/>
      </w:pPr>
      <w:r>
        <w:t xml:space="preserve">Заключительные замечания Комитета по экономическим, 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социальным и 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pStyle w:val="16"/>
      </w:pPr>
      <w:r>
        <w:t>ПОЛЬША</w:t>
      </w:r>
    </w:p>
    <w:p w:rsidR="00000000" w:rsidRDefault="00000000">
      <w:pPr>
        <w:pStyle w:val="16"/>
      </w:pPr>
    </w:p>
    <w:p w:rsidR="00000000" w:rsidRDefault="00000000">
      <w:pPr>
        <w:pStyle w:val="FootnoteText"/>
        <w:spacing w:line="288" w:lineRule="auto"/>
      </w:pPr>
      <w:r>
        <w:t>1.</w:t>
      </w:r>
      <w:r>
        <w:tab/>
        <w:t>Комитет рассмотрел четвертый периодический доклад Польши об осуществлении Пакта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.12/4/</w:t>
      </w:r>
      <w:r>
        <w:rPr>
          <w:lang w:val="en-US"/>
        </w:rPr>
        <w:t>Add</w:t>
      </w:r>
      <w:r>
        <w:t xml:space="preserve">.9) на своих 33-м и 34-м заседаниях, состоявшихся 13 и 14 ноября 2002 года (см. 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.12/2002/</w:t>
      </w:r>
      <w:r>
        <w:rPr>
          <w:lang w:val="en-US"/>
        </w:rPr>
        <w:t>SR</w:t>
      </w:r>
      <w:r>
        <w:t>.33 и 34), и на своем 56-м заседании, состоявшемся 29 ноября 2002 года, принял следующие заключительные замечания.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  <w:jc w:val="center"/>
      </w:pPr>
      <w:r>
        <w:t>А.</w:t>
      </w:r>
      <w:r>
        <w:tab/>
        <w:t>ВВЕДЕНИЕ</w:t>
      </w:r>
    </w:p>
    <w:p w:rsidR="00000000" w:rsidRDefault="00000000">
      <w:pPr>
        <w:pStyle w:val="FootnoteText"/>
        <w:spacing w:line="288" w:lineRule="auto"/>
        <w:jc w:val="center"/>
      </w:pPr>
    </w:p>
    <w:p w:rsidR="00000000" w:rsidRDefault="00000000">
      <w:pPr>
        <w:pStyle w:val="FootnoteText"/>
        <w:spacing w:line="288" w:lineRule="auto"/>
      </w:pPr>
      <w:r>
        <w:t>2.</w:t>
      </w:r>
      <w:r>
        <w:tab/>
        <w:t>Комитет приветствует представление четвертого периодического доклада Польши, который был подготовлен в соответствии с принятыми Комитетом руководящими принципами.  Комитет дает высокую оценку исчерпывающим письменным ответам на перечень вопросов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</w:t>
      </w:r>
      <w:r>
        <w:rPr>
          <w:lang w:val="en-US"/>
        </w:rPr>
        <w:t>Q</w:t>
      </w:r>
      <w:r>
        <w:t>/</w:t>
      </w:r>
      <w:r>
        <w:rPr>
          <w:lang w:val="en-US"/>
        </w:rPr>
        <w:t>POL</w:t>
      </w:r>
      <w:r>
        <w:t>/2) и дополнительной информации, представленной в ходе откровенного и конструктивного диалога с делегацией государства-участника.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  <w:jc w:val="center"/>
      </w:pPr>
      <w:r>
        <w:br w:type="page"/>
        <w:t>В.</w:t>
      </w:r>
      <w:r>
        <w:tab/>
        <w:t>ПОЗИТИВНЫЕ АСПЕКТЫ</w:t>
      </w:r>
    </w:p>
    <w:p w:rsidR="00000000" w:rsidRDefault="00000000">
      <w:pPr>
        <w:pStyle w:val="FootnoteText"/>
        <w:spacing w:line="288" w:lineRule="auto"/>
        <w:jc w:val="center"/>
      </w:pPr>
    </w:p>
    <w:p w:rsidR="00000000" w:rsidRDefault="00000000">
      <w:pPr>
        <w:pStyle w:val="FootnoteText"/>
        <w:spacing w:line="288" w:lineRule="auto"/>
      </w:pPr>
      <w:r>
        <w:t>3.</w:t>
      </w:r>
      <w:r>
        <w:tab/>
        <w:t>Комитет высоко ценит различные конкретные меры, которые были приняты государством-участником в отчетный период в соответствии с предыдущими рекомендациями Комитета.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4.</w:t>
      </w:r>
      <w:r>
        <w:tab/>
        <w:t>Комитет высоко ценит продолжающиеся усилия государства-участника по приведению его законодательства в соответствие с положениями Пакта и те конкретные меры, которые оно принимает в целях обеспечения в пределах своей юрисдикции пользования экономическими, социальными и культурными правами.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5.</w:t>
      </w:r>
      <w:r>
        <w:tab/>
        <w:t>Комитет приветствует назначение в ноябре 2001 года Правительственного уполномоченного по вопросам равенства мужчин и женщин, который призван содействовать интеграции принципа равенства мужчин и женщин в политику правительства и в национальное законодательство.  Кроме того, Комитет принимает к сведению, что недавно в круг обязанностей Уполномоченного были дополнительно включены вопросы, касающиеся борьбы с дискриминацией по признакам расы, этнического происхождения, религии и убеждений, возраста и сексуальной ориентации.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6.</w:t>
      </w:r>
      <w:r>
        <w:tab/>
        <w:t>Комитет приветствует программы и меры, осуществляемые государством-участником для противодействия вызывающему тревогу росту безработицы, включая Национальную стратегию по расширению занятости и развитию людских ресурсов на 2000-2006 годы.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7.</w:t>
      </w:r>
      <w:r>
        <w:tab/>
        <w:t>Комитет также приветствует поправки, внесенные недавно в Кодекс законов о труде, которые запрещают дискриминацию по признакам пола, возраста, инвалидности, гражданства или убеждений и гарантируют равное вознаграждение за труд равной ценности.  Комитет с удовлетворением отмечает, что в соответствии с новым Кодексом законов о труде в случае жалоб работников, связанных с дискриминационной практикой, бремя доказывания возлагается на работодателей.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8.</w:t>
      </w:r>
      <w:r>
        <w:tab/>
        <w:t>Комитет приветствует внесенное недавно изменение в определение детского труда, в соответствии с которым минимальный возраст для приема на работу был повышен с 15 до 16 лет.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9.</w:t>
      </w:r>
      <w:r>
        <w:tab/>
        <w:t>Комитет приветствует назначение в 2000 году Уполномоченного по делам детей, которому поручено осуществлять контроль за соблюдением в Польше прав ребенка.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10.</w:t>
      </w:r>
      <w:r>
        <w:tab/>
        <w:t>Кроме того, Комитет приветствует принятие в 1997 году Хартии прав инвалидов и вступление в силу в 1998 году Закона о профессиональной и социальной реабилитации и трудоустройстве инвалидов от 27 августа 1997 года.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11.</w:t>
      </w:r>
      <w:r>
        <w:tab/>
        <w:t>Комитет с удовлетворением отмечает предпринятые государством-участником инициативы по сокращению потребления алкогольных напитков и табакокурения в стране, включая недавно введенный запрет на продажу алкоголя несовершеннолетним, а также запрет пропаганды и рекламы табачных изделий.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  <w:jc w:val="center"/>
      </w:pPr>
      <w:r>
        <w:t>С.</w:t>
      </w:r>
      <w:r>
        <w:tab/>
        <w:t>ФАКТОРЫ И ТРУДНОСТИ, ПРЕПЯТСТВУЮЩИЕ ОСУЩЕСТВЛЕНИЮ ПАКТА</w:t>
      </w:r>
    </w:p>
    <w:p w:rsidR="00000000" w:rsidRDefault="00000000">
      <w:pPr>
        <w:pStyle w:val="FootnoteText"/>
        <w:spacing w:line="288" w:lineRule="auto"/>
        <w:jc w:val="center"/>
      </w:pPr>
    </w:p>
    <w:p w:rsidR="00000000" w:rsidRDefault="00000000">
      <w:pPr>
        <w:pStyle w:val="FootnoteText"/>
        <w:spacing w:line="288" w:lineRule="auto"/>
      </w:pPr>
      <w:r>
        <w:t>12.</w:t>
      </w:r>
      <w:r>
        <w:tab/>
        <w:t>Комитет отмечает трудности, испытываемые государством-участником в связи с осуществлением закрепленных в Пакте прав, которые возникают в результате процесса перехода к рыночной экономике.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  <w:jc w:val="center"/>
      </w:pPr>
      <w:r>
        <w:rPr>
          <w:lang w:val="en-US"/>
        </w:rPr>
        <w:t>D</w:t>
      </w:r>
      <w:r>
        <w:t>.</w:t>
      </w:r>
      <w:r>
        <w:tab/>
        <w:t xml:space="preserve">ОСНОВНЫЕ ПРОБЛЕМЫ, ВЫЗЫВАЮЩИЕ ОЗАБОЧЕННОСТЬ </w:t>
      </w:r>
    </w:p>
    <w:p w:rsidR="00000000" w:rsidRDefault="00000000">
      <w:pPr>
        <w:pStyle w:val="FootnoteText"/>
        <w:spacing w:line="288" w:lineRule="auto"/>
        <w:jc w:val="center"/>
      </w:pPr>
    </w:p>
    <w:p w:rsidR="00000000" w:rsidRDefault="00000000">
      <w:pPr>
        <w:pStyle w:val="FootnoteText"/>
        <w:spacing w:line="288" w:lineRule="auto"/>
      </w:pPr>
      <w:r>
        <w:t>13.</w:t>
      </w:r>
      <w:r>
        <w:tab/>
        <w:t>Комитет серьезно обеспокоен недавней вспышкой проявлений ксенофобии и актов насилия в отношении определенных меньшинств, в частности в отношении евреев и рома.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14.</w:t>
      </w:r>
      <w:r>
        <w:tab/>
        <w:t xml:space="preserve">Комитет сожалеет о том, что государство-участник не представило данных о проживающих в Польше рома и что оно до сих пор не приняло и не осуществляет комплексную программу по решению проблем, с которыми сталкиваются общины рома, такими, как безработица и недостаточный уровень жизни.  Кроме того, Комитет выражает беспокойство в связи с высокими показателями отсева из учебных заведений учащихся из числа рома. 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15.</w:t>
      </w:r>
      <w:r>
        <w:tab/>
        <w:t>Комитет с сожалением отмечает, что он не получил от государства-участника удовлетворительного ответа на вопрос о том, пользуются ли трудящиеся-мигранты и члены их семей правом обращаться в суд.  Комитет обеспокоен тем, что защита провозглашенных в Пакте прав недостаточно обеспечивается для значительного числа проживающих в Польше трудящихся-мигрантов.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16.</w:t>
      </w:r>
      <w:r>
        <w:tab/>
        <w:t>Комитет обеспокоен высоким уровнем безработицы в государстве-участнике, которая после рассмотрения его предыдущего периодического доклада постоянно возрастала, и в настоящее время охватывает свыше 17% трудоспособного населения.  Комитет с беспокойством отмечает, что в этом отношении особенно страдают сельские районы вследствие реструктуризации государственного сектора в сельском хозяйстве.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17.</w:t>
      </w:r>
      <w:r>
        <w:tab/>
        <w:t>Кроме того, Комитет обеспокоен тем, что, несмотря на меры, осуществляемые государством-участником в целях борьбы с дискриминацией в отношении женщин в сфере занятости, по</w:t>
      </w:r>
      <w:r>
        <w:noBreakHyphen/>
        <w:t>прежнему сохраняется расхождение между законом и реальной практикой в плане равного вознаграждения за труд равной ценности и продвижения по службе, что было признано делегацией государства-участника.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18.</w:t>
      </w:r>
      <w:r>
        <w:tab/>
        <w:t>Комитет также обеспокоен тем, что в государстве-участнике не принято никаких конкретных нормативных положений по борьбе с сексуальными домогательствами.  Он с сожалением отмечает, что государство-участник не смогло представить никакой информации по этому вопросу ни в своем докладе, ни в письменных ответах на составленный Комитетом перечень вопросов.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19.</w:t>
      </w:r>
      <w:r>
        <w:tab/>
        <w:t>Комитет с обеспокоенностью отмечает существование различия в отношении возраста выхода на пенсию для мужчин (65 лет) и для женщин (60 лет), что на практике приводит к установлению более низких пенсий для женщин.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20.</w:t>
      </w:r>
      <w:r>
        <w:tab/>
        <w:t>Комитет обеспокоен тем, что минимальная заработная плата в Польше не обеспечивает трудящемуся и его семье достаточный жизненный уровень.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pPr>
        <w:pStyle w:val="FootnoteText"/>
        <w:spacing w:line="288" w:lineRule="auto"/>
      </w:pPr>
      <w:r>
        <w:t>21.</w:t>
      </w:r>
      <w:r>
        <w:tab/>
        <w:t>Кроме того, Комитет обеспокоен недостаточным соблюдением в государстве-участнике законов и нормативных актов о производственной безопасности, что приводит к сравнительно многочисленным несчастным случаям на производстве.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r>
        <w:t>22.</w:t>
      </w:r>
      <w:r>
        <w:tab/>
        <w:t xml:space="preserve">Комитет </w:t>
      </w:r>
      <w:r>
        <w:rPr>
          <w:lang w:val="en-US"/>
        </w:rPr>
        <w:t>c</w:t>
      </w:r>
      <w:r>
        <w:t xml:space="preserve"> обеспокоенностью отмечает, что законодательство государства-участника по</w:t>
      </w:r>
      <w:r>
        <w:noBreakHyphen/>
        <w:t>прежнему содержит положения, ограничивающие право гражданских служащих вступать в профессиональные союзы и проводить забастовки.</w:t>
      </w:r>
    </w:p>
    <w:p w:rsidR="00000000" w:rsidRDefault="00000000"/>
    <w:p w:rsidR="00000000" w:rsidRDefault="00000000">
      <w:r>
        <w:t>23.</w:t>
      </w:r>
      <w:r>
        <w:tab/>
        <w:t>Комитет выражает обеспокоенность в связи с тем, что сравнительно высокая распространенность детского труда в сельских районах, как признала делегация государства-участника, имеет негативные последствия для здоровья детей и их права на образование.</w:t>
      </w:r>
    </w:p>
    <w:p w:rsidR="00000000" w:rsidRDefault="00000000"/>
    <w:p w:rsidR="00000000" w:rsidRDefault="00000000">
      <w:r>
        <w:t>24.</w:t>
      </w:r>
      <w:r>
        <w:tab/>
        <w:t>Комитет обеспокоен ростом практики и торговли женщинами в целях сексуальной эксплуатации.</w:t>
      </w:r>
    </w:p>
    <w:p w:rsidR="00000000" w:rsidRDefault="00000000"/>
    <w:p w:rsidR="00000000" w:rsidRDefault="00000000">
      <w:r>
        <w:t>25.</w:t>
      </w:r>
      <w:r>
        <w:tab/>
        <w:t>Кроме того, Комитет обеспокоен большим числом сообщений о случаях бытового насилия и с сожалением отмечает недостаточность информации, представленной государством-участником по данному вопросу.</w:t>
      </w:r>
    </w:p>
    <w:p w:rsidR="00000000" w:rsidRDefault="00000000"/>
    <w:p w:rsidR="00000000" w:rsidRDefault="00000000">
      <w:r>
        <w:t>26.</w:t>
      </w:r>
      <w:r>
        <w:tab/>
        <w:t>Комитет также обеспокоен тем, что в соответствии с действующим законодательством в государстве-участнике могут производиться принудительные выселения без предоставления альтернативного жилья, предусмотренного в Замечании общего порядка № 7 (1997 год) о принудительных выселениях.</w:t>
      </w:r>
    </w:p>
    <w:p w:rsidR="00000000" w:rsidRDefault="00000000"/>
    <w:p w:rsidR="00000000" w:rsidRDefault="00000000">
      <w:r>
        <w:t>27.</w:t>
      </w:r>
      <w:r>
        <w:tab/>
        <w:t>Комитет сожалеет о том, что он не получил достаточной информации от государства-участника о количестве людей, проживающих за чертой бедности.</w:t>
      </w:r>
    </w:p>
    <w:p w:rsidR="00000000" w:rsidRDefault="00000000"/>
    <w:p w:rsidR="00000000" w:rsidRDefault="00000000">
      <w:r>
        <w:t>28.</w:t>
      </w:r>
      <w:r>
        <w:tab/>
        <w:t>Комитет обеспокоен тем, что в системе государственного здравоохранения нет служб планирования семьи и что женщины не имеют доступа к доступным по цене контрацептивным средствам.  Он также выражает обеспокоенность в связи с тем, что в национальных школьных программах уделяется недостаточное внимание вопросам полового воспитания и репродуктивного здоровья.</w:t>
      </w:r>
    </w:p>
    <w:p w:rsidR="00000000" w:rsidRDefault="00000000"/>
    <w:p w:rsidR="00000000" w:rsidRDefault="00000000">
      <w:r>
        <w:t>29.</w:t>
      </w:r>
      <w:r>
        <w:tab/>
        <w:t>Комитет обеспокоен рестриктивными законами в отношении абортов, вследствие которых значительное число женщин подвергает риску свое здоровье, прибегая к услугам лиц, производящим нелегальные аборты.</w:t>
      </w:r>
    </w:p>
    <w:p w:rsidR="00000000" w:rsidRDefault="00000000"/>
    <w:p w:rsidR="00000000" w:rsidRDefault="00000000">
      <w:r>
        <w:t>30.</w:t>
      </w:r>
      <w:r>
        <w:tab/>
        <w:t>Комитет выражает свою обеспокоенность в связи с признаваемым государством-участником высоким уровнем сердечно-сосудистых заболеваний.</w:t>
      </w:r>
    </w:p>
    <w:p w:rsidR="00000000" w:rsidRDefault="00000000"/>
    <w:p w:rsidR="00000000" w:rsidRDefault="00000000">
      <w:r>
        <w:t>31.</w:t>
      </w:r>
      <w:r>
        <w:tab/>
        <w:t>Комитет выражает серьезную обеспокоенность в связи с высокими показателями числа людей, страдающих психическими расстройствами, и столь же высокими показателями количества детей и молодых взрослых, которым требовалась психологическая помощь в течение отчетного периода.</w:t>
      </w:r>
    </w:p>
    <w:p w:rsidR="00000000" w:rsidRDefault="00000000"/>
    <w:p w:rsidR="00000000" w:rsidRDefault="00000000">
      <w:r>
        <w:t>32.</w:t>
      </w:r>
      <w:r>
        <w:tab/>
        <w:t>Комитет с сожалением отмечает, что государство-участник не представило достаточной информации о программах по борьбе с ВИЧ/СПИДом.</w:t>
      </w:r>
    </w:p>
    <w:p w:rsidR="00000000" w:rsidRDefault="00000000"/>
    <w:p w:rsidR="00000000" w:rsidRDefault="00000000">
      <w:pPr>
        <w:pStyle w:val="16"/>
      </w:pPr>
      <w:r>
        <w:br w:type="page"/>
        <w:t>Е.</w:t>
      </w:r>
      <w:r>
        <w:tab/>
        <w:t>ПРЕДЛОЖЕНИЯ И РЕКОМЕНДАЦИИ</w:t>
      </w:r>
    </w:p>
    <w:p w:rsidR="00000000" w:rsidRDefault="00000000">
      <w:pPr>
        <w:pStyle w:val="16"/>
      </w:pPr>
    </w:p>
    <w:p w:rsidR="00000000" w:rsidRDefault="00000000">
      <w:r>
        <w:t>33.</w:t>
      </w:r>
      <w:r>
        <w:tab/>
        <w:t>Комитет просит государство-участник разъяснить в своем пятом периодическом докладе, могут ли лица, находящиеся на его территории, ссылаться в национальных судах на права, провозглашенные в Пакте, и просит сообщить о соответствующих правовых прецедентах, если таковые имеются, касающихся осуществления положений Пакта.  В этой связи Комитет обращает внимание государства-участника на свое Замечание общего порядка № 9 (1998 год) о применении Пакта во внутреннем праве.  Комитет настоятельно предлагает государству-участнику принять меры для повышения уровня осведомленности населения о положениях Пакта и о возможности ссылаться на эти положения в судах.</w:t>
      </w:r>
    </w:p>
    <w:p w:rsidR="00000000" w:rsidRDefault="00000000"/>
    <w:p w:rsidR="00000000" w:rsidRDefault="00000000">
      <w:r>
        <w:t>34.</w:t>
      </w:r>
      <w:r>
        <w:tab/>
        <w:t>Комитет рекомендует государству-участнику сформулировать и осуществлять всеобъемлющий национальный план действий по поощрению и защите прав человека, как это рекомендовано в пункте 71 Венской Декларации и Программы действий, принятых в 1993 году.  Комитет просит государство-участник включить в своей следующий периодический доклад копию национального плана действий и информацию о его осуществлении.</w:t>
      </w:r>
    </w:p>
    <w:p w:rsidR="00000000" w:rsidRDefault="00000000"/>
    <w:p w:rsidR="00000000" w:rsidRDefault="00000000">
      <w:r>
        <w:t>35.</w:t>
      </w:r>
      <w:r>
        <w:tab/>
        <w:t>Комитет настоятельно призывает государство-участник принять законодательные и иные меры в целях запрещения и преследования организаций, разжигающих или поощряющих расовую дискриминацию.</w:t>
      </w:r>
    </w:p>
    <w:p w:rsidR="00000000" w:rsidRDefault="00000000"/>
    <w:p w:rsidR="00000000" w:rsidRDefault="00000000">
      <w:r>
        <w:t>36.</w:t>
      </w:r>
      <w:r>
        <w:tab/>
        <w:t>Кроме того, Комитет настоятельно призывает государство-участник представить обновленную информацию о населении рома и принять всеобъемлющую программу действий для ликвидации препятствий на пути развития рома, включая меры по обеспечению эффективных средств защиты в случаях дискриминации рома в области занятости, в жилищной сфере и здравоохранении.  Кроме того, Комитет настоятельно призывает государство-участник принять эффективные меры по борьбе с низкой посещаемостью школ и высоким уровнем отсева учащихся из числа рома и обеспечить их интеграцию в обычные классы наравне с другими польскими детьми.</w:t>
      </w:r>
    </w:p>
    <w:p w:rsidR="00000000" w:rsidRDefault="00000000"/>
    <w:p w:rsidR="00000000" w:rsidRDefault="00000000">
      <w:r>
        <w:t>37.</w:t>
      </w:r>
      <w:r>
        <w:tab/>
        <w:t>С учетом многочисленности трудящихся-мигрантов в Польше Комитет настоятельно призывает государство-участник обеспечить эффективную защиту прав трудящихся</w:t>
      </w:r>
      <w:r>
        <w:noBreakHyphen/>
        <w:t>мигрантов и их семей в соответствии с Пактом.</w:t>
      </w:r>
    </w:p>
    <w:p w:rsidR="00000000" w:rsidRDefault="00000000"/>
    <w:p w:rsidR="00000000" w:rsidRDefault="00000000">
      <w:r>
        <w:br w:type="page"/>
        <w:t>38.</w:t>
      </w:r>
      <w:r>
        <w:tab/>
        <w:t>Для решения проблемы безработицы Комитет настоятельно призывает государство-участник активизировать свои усилия по осуществлению соответствующих национальных планов действий в целях адаптации рабочей силы к изменяющемуся рынку труда и обеспечения альтернативных источников дохода трудящимся, которых затрагивают программы реструктуризации, особенно в тяжелой промышленности и сельском хозяйстве.</w:t>
      </w:r>
    </w:p>
    <w:p w:rsidR="00000000" w:rsidRDefault="00000000"/>
    <w:p w:rsidR="00000000" w:rsidRDefault="00000000">
      <w:r>
        <w:t>39.</w:t>
      </w:r>
      <w:r>
        <w:tab/>
        <w:t>Комитет напоминает свою предыдущую рекомендацию о том, что государству-участнику надлежит обеспечить соблюдение законодательных норм и административных положений, гарантирующих равную оплату труда мужчин и женщин и равные возможности для продвижения по службе, при этом руководствуясь исключительно критериями трудового стажа и профессиональной пригодности.  Комитет призывает принять проект закона о равном статусе мужчин и женщин, который в настоящее время находится на рассмотрении сената государства-участника.</w:t>
      </w:r>
    </w:p>
    <w:p w:rsidR="00000000" w:rsidRDefault="00000000"/>
    <w:p w:rsidR="00000000" w:rsidRDefault="00000000">
      <w:r>
        <w:t>40.</w:t>
      </w:r>
      <w:r>
        <w:tab/>
        <w:t>Кроме того, Комитет вновь повторяет свою предыдущую рекомендацию государству-участнику, о том что сексуальные домогательства должны быть запрещены законом, и настоятельно призывает государство-участник представить в своем следующем периодическом докладе информацию по вопросу о сексуальных домогательствах.</w:t>
      </w:r>
    </w:p>
    <w:p w:rsidR="00000000" w:rsidRDefault="00000000"/>
    <w:p w:rsidR="00000000" w:rsidRDefault="00000000">
      <w:r>
        <w:t>41.</w:t>
      </w:r>
      <w:r>
        <w:tab/>
        <w:t>Комитет рекомендует установить одинаковый возраст выхода на пенсию для мужчин и женщин.</w:t>
      </w:r>
    </w:p>
    <w:p w:rsidR="00000000" w:rsidRDefault="00000000"/>
    <w:p w:rsidR="00000000" w:rsidRDefault="00000000">
      <w:r>
        <w:t>42.</w:t>
      </w:r>
      <w:r>
        <w:tab/>
        <w:t>Кроме того, Комитет рекомендует государству</w:t>
      </w:r>
      <w:r>
        <w:noBreakHyphen/>
        <w:t>участнику проводить регулярную оценку и корректировку минимальной заработной платы на основе прожиточного минимума для обеспечения трудящемуся и его семье достаточного жизненного уровня.</w:t>
      </w:r>
    </w:p>
    <w:p w:rsidR="00000000" w:rsidRDefault="00000000"/>
    <w:p w:rsidR="00000000" w:rsidRDefault="00000000">
      <w:r>
        <w:t>43.</w:t>
      </w:r>
      <w:r>
        <w:tab/>
        <w:t>Комитет напоминает свою предыдущую рекомендацию государству</w:t>
      </w:r>
      <w:r>
        <w:noBreakHyphen/>
        <w:t>участнику активизировать усилия по обеспечению надлежащего соблюдения законодательства о производственной безопасности, в частности посредством выделения достаточных средств Государственной инспекции труда и применения эффективных санкций в отношении нарушений норм безопасности.</w:t>
      </w:r>
    </w:p>
    <w:p w:rsidR="00000000" w:rsidRDefault="00000000"/>
    <w:p w:rsidR="00000000" w:rsidRDefault="00000000">
      <w:r>
        <w:t>44.</w:t>
      </w:r>
      <w:r>
        <w:tab/>
        <w:t>Комитет рекомендует внести изменения в законодательство о гражданской службе в целях снятия ограничений в отношении права гражданских служащих вступать в профсоюзы и их права проводить забастовки в свете комментариев, которые в 2001 году сформулировал Комитет экспертов Международной организации труда относительно Конвенции о свободе ассоциации и защите прав на организацию (№ 87).</w:t>
      </w:r>
    </w:p>
    <w:p w:rsidR="00000000" w:rsidRDefault="00000000"/>
    <w:p w:rsidR="00000000" w:rsidRDefault="00000000">
      <w:r>
        <w:t>45.</w:t>
      </w:r>
      <w:r>
        <w:tab/>
        <w:t>Кроме того, Комитет рекомендует принять законодательство о регулировании детского труда в сельских районах для обеспечения защиты в полном объеме права на охрану здоровья и права на образование работающих детей.</w:t>
      </w:r>
    </w:p>
    <w:p w:rsidR="00000000" w:rsidRDefault="00000000"/>
    <w:p w:rsidR="00000000" w:rsidRDefault="00000000">
      <w:r>
        <w:t>46.</w:t>
      </w:r>
      <w:r>
        <w:tab/>
        <w:t>Комитет далее рекомендует государству</w:t>
      </w:r>
      <w:r>
        <w:noBreakHyphen/>
        <w:t>участнику принять эффективные меры по борьбе с торговлей женщинами, в том числе посредством обеспечения судебного преследования лиц, занимающихся такой торговлей, и ратифицировать международные договоры, направленные на расширение межгосударственного сотрудничества в этой области, включая Протокол о предупреждении и пресечении торговли людьми, особенно женщинами и детьми, и наказании за нее.  Комитет просит государство</w:t>
      </w:r>
      <w:r>
        <w:noBreakHyphen/>
        <w:t>участник сообщить в своем следующем периодическом докладе о достигнутом в данной области прогрессе.</w:t>
      </w:r>
    </w:p>
    <w:p w:rsidR="00000000" w:rsidRDefault="00000000"/>
    <w:p w:rsidR="00000000" w:rsidRDefault="00000000">
      <w:r>
        <w:t>47.</w:t>
      </w:r>
      <w:r>
        <w:tab/>
        <w:t>Комитет рекомендует государству</w:t>
      </w:r>
      <w:r>
        <w:noBreakHyphen/>
        <w:t>участнику укрепить программы и увеличить бюджетные ассигнования, направленные на борьбу с бытовым насилием, включая, среди прочего, создание достаточного числа доступных центров чрезвычайной помощи, где жертвы бытового насилия могут получить безопасное убежище и консультативную помощь.</w:t>
      </w:r>
    </w:p>
    <w:p w:rsidR="00000000" w:rsidRDefault="00000000"/>
    <w:p w:rsidR="00000000" w:rsidRDefault="00000000">
      <w:r>
        <w:t>48.</w:t>
      </w:r>
      <w:r>
        <w:tab/>
        <w:t>Комитет повторяет свою предыдущую рекомендацию о том, чтобы условия допускаемых принудительных выселений были определены законом, содержащим положения об удовлетворении потребности выселяемых лиц в альтернативном жилье, как это предусмотрено в Замечании общего порядка Комитета № 7 о принудительных выселениях.</w:t>
      </w:r>
    </w:p>
    <w:p w:rsidR="00000000" w:rsidRDefault="00000000"/>
    <w:p w:rsidR="00000000" w:rsidRDefault="00000000">
      <w:r>
        <w:t>49.</w:t>
      </w:r>
      <w:r>
        <w:tab/>
        <w:t>Комитет рекомендует государству</w:t>
      </w:r>
      <w:r>
        <w:noBreakHyphen/>
        <w:t>участнику установить тщательный контроль за уровнем нищеты и включить в следующий периодический доклад дезагрегированные и сопоставимые данные о количестве людей, живущих за чертой бедности.  Комитет далее настоятельно призывает государство</w:t>
      </w:r>
      <w:r>
        <w:noBreakHyphen/>
        <w:t>участник в полной мере учитывать права человека, в том числе экономические, социальные и культурные права, при разработке национальной стратегии борьбы с нищетой.  В этой связи Комитет обращает внимание государства</w:t>
      </w:r>
      <w:r>
        <w:noBreakHyphen/>
        <w:t xml:space="preserve">участника на принятое Комитетом 4 мая 2001 года Заявление по вопросу о нищете и Международном пакте об экономических, социальных и культурных правах (Е/2002/22 - Е/С.12/2001/17, приложение </w:t>
      </w:r>
      <w:r>
        <w:rPr>
          <w:lang w:val="en-US"/>
        </w:rPr>
        <w:t>VII</w:t>
      </w:r>
      <w:r>
        <w:t>).</w:t>
      </w:r>
    </w:p>
    <w:p w:rsidR="00000000" w:rsidRDefault="00000000"/>
    <w:p w:rsidR="00000000" w:rsidRDefault="00000000">
      <w:r>
        <w:t>50.</w:t>
      </w:r>
      <w:r>
        <w:tab/>
        <w:t>Кроме того, Комитет рекомендует создать в системе государственного здравоохранения службы планирования семьи, обеспечить доступность контрацептивных средств по приемлемым ценам и включить в программы государственных школ вопросы полового воспитания и репродуктивного здоровья.</w:t>
      </w:r>
    </w:p>
    <w:p w:rsidR="00000000" w:rsidRDefault="00000000"/>
    <w:p w:rsidR="00000000" w:rsidRDefault="00000000">
      <w:r>
        <w:t>51.</w:t>
      </w:r>
      <w:r>
        <w:tab/>
        <w:t>Комитет просит государство</w:t>
      </w:r>
      <w:r>
        <w:noBreakHyphen/>
        <w:t>участник представить в своем следующем периодическом докладе подробную информацию, включая сопоставимые данные, о проблеме абортов в Польше и о мерах законодательного или иного характера, включая обзор его нынешнего законодательства, которые были им приняты в целях защиты женщин от нелегальных и небезопасных абортов.</w:t>
      </w:r>
    </w:p>
    <w:p w:rsidR="00000000" w:rsidRDefault="00000000"/>
    <w:p w:rsidR="00000000" w:rsidRDefault="00000000">
      <w:r>
        <w:t>52.</w:t>
      </w:r>
      <w:r>
        <w:tab/>
        <w:t>Учитывая высокий уровень смертности от сердечно-сосудистых заболеваний, Комитет рекомендует государству</w:t>
      </w:r>
      <w:r>
        <w:noBreakHyphen/>
        <w:t>участнику тщательно следить за ситуацией и включить в свой следующий периодический доклад дезагрегированные и сопоставимые данные, содержащие документальные свидетельства о результатах мер, принимаемых в этой области.</w:t>
      </w:r>
    </w:p>
    <w:p w:rsidR="00000000" w:rsidRDefault="00000000"/>
    <w:p w:rsidR="00000000" w:rsidRDefault="00000000">
      <w:r>
        <w:t>53.</w:t>
      </w:r>
      <w:r>
        <w:tab/>
        <w:t>Комитет просит государство</w:t>
      </w:r>
      <w:r>
        <w:noBreakHyphen/>
        <w:t>участник представить в своем следующем периодическом докладе подробную информацию об условиях содержания больных в психиатрических стационарных клиниках и включить данные, содержащие документальные свидетельства о результатах осуществления Программы по охране психического здоровья.</w:t>
      </w:r>
    </w:p>
    <w:p w:rsidR="00000000" w:rsidRDefault="00000000"/>
    <w:p w:rsidR="00000000" w:rsidRDefault="00000000">
      <w:r>
        <w:t>54.</w:t>
      </w:r>
      <w:r>
        <w:tab/>
        <w:t>Кроме того, Комитет просит государство</w:t>
      </w:r>
      <w:r>
        <w:noBreakHyphen/>
        <w:t>участник включить в свой следующий периодический доклад информацию о конкретных результатах выполнения Хартии прав инвалидов (1997 года), а также Закона о профессиональной и социальной реабилитации и трудоустройстве инвалидов (1998 года).</w:t>
      </w:r>
    </w:p>
    <w:p w:rsidR="00000000" w:rsidRDefault="00000000"/>
    <w:p w:rsidR="00000000" w:rsidRDefault="00000000">
      <w:r>
        <w:t>55.</w:t>
      </w:r>
      <w:r>
        <w:tab/>
        <w:t>Комитет также просит государство</w:t>
      </w:r>
      <w:r>
        <w:noBreakHyphen/>
        <w:t>участник представить информацию о законодательстве и программах, касающихся ВИЧ-инфицированных лиц и больных СПИДом, как это предлагается в перечне вопросов, которые надлежит принять к сведению в связи с настоящим докладом.</w:t>
      </w:r>
    </w:p>
    <w:p w:rsidR="00000000" w:rsidRDefault="00000000"/>
    <w:p w:rsidR="00000000" w:rsidRDefault="00000000">
      <w:r>
        <w:t>56.</w:t>
      </w:r>
      <w:r>
        <w:tab/>
        <w:t>Комитет призывает государство</w:t>
      </w:r>
      <w:r>
        <w:noBreakHyphen/>
        <w:t>участник обеспечить преподавание прав человека на всех уровнях школьного образования и повысить осведомленность о правах человека, и в частности об экономических, социальных и культурных правах, среди государственных служащих и судебных работников.</w:t>
      </w:r>
    </w:p>
    <w:p w:rsidR="00000000" w:rsidRDefault="00000000"/>
    <w:p w:rsidR="00000000" w:rsidRDefault="00000000">
      <w:r>
        <w:t>57.</w:t>
      </w:r>
      <w:r>
        <w:tab/>
        <w:t>Комитет просит государство</w:t>
      </w:r>
      <w:r>
        <w:noBreakHyphen/>
        <w:t>участник обеспечить широкое распространение настоящих заключительных замечаний среди всех слоев общества, и в частности среди государственных должностных лиц и работников судебной системы, и в своем следующем периодическом докладе информировать Комитет о всех принятых по их выполнению мерах.</w:t>
      </w:r>
    </w:p>
    <w:p w:rsidR="00000000" w:rsidRDefault="00000000"/>
    <w:p w:rsidR="00000000" w:rsidRDefault="00000000">
      <w:r>
        <w:t>58.</w:t>
      </w:r>
      <w:r>
        <w:tab/>
        <w:t>В заключение Комитет просит государство</w:t>
      </w:r>
      <w:r>
        <w:noBreakHyphen/>
        <w:t>участник представить свой пятый периодический доклад к 30 июня 2007 года и призывает государство</w:t>
      </w:r>
      <w:r>
        <w:noBreakHyphen/>
        <w:t>участник консультироваться с неправительственными организациями и другими членами гражданского общества в процессе подготовки этого доклада.</w:t>
      </w:r>
    </w:p>
    <w:p w:rsidR="00000000" w:rsidRDefault="00000000"/>
    <w:p w:rsidR="00000000" w:rsidRDefault="00000000"/>
    <w:p w:rsidR="00000000" w:rsidRDefault="00000000"/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lang w:val="en-US"/>
        </w:rPr>
      </w:pPr>
      <w:r>
        <w:rPr>
          <w:lang w:val="en-US"/>
        </w:rPr>
        <w:t>---------</w:t>
      </w: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lang w:val="en-US"/>
        </w:rPr>
      </w:pP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lang w:val="en-US"/>
        </w:rPr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E/C.12/1/Add.82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E/C.12/1/Add.82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40" w:lineRule="auto"/>
    </w:pPr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 w:cs="Times New Roman"/>
      <w:szCs w:val="20"/>
      <w:u w:val="single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4</TotalTime>
  <Pages>1</Pages>
  <Words>2659</Words>
  <Characters>15160</Characters>
  <Application>Microsoft Office Word</Application>
  <DocSecurity>4</DocSecurity>
  <Lines>126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TPS</dc:creator>
  <cp:keywords/>
  <dc:description/>
  <cp:lastModifiedBy>TPS</cp:lastModifiedBy>
  <cp:revision>3</cp:revision>
  <cp:lastPrinted>2003-01-17T12:07:00Z</cp:lastPrinted>
  <dcterms:created xsi:type="dcterms:W3CDTF">2003-01-17T12:06:00Z</dcterms:created>
  <dcterms:modified xsi:type="dcterms:W3CDTF">2003-01-17T12:10:00Z</dcterms:modified>
</cp:coreProperties>
</file>