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a6"/>
        <w:spacing w:before="120"/>
        <w:rPr>
          <w:rFonts w:eastAsia="SimSun"/>
          <w:snapToGrid/>
          <w:lang w:val="zh-CN"/>
        </w:rPr>
      </w:pPr>
      <w:r>
        <w:rPr>
          <w:rFonts w:eastAsia="SimSun" w:hint="eastAsia"/>
          <w:snapToGrid/>
          <w:lang w:val="zh-CN"/>
        </w:rPr>
        <w:t>经济、社会、文化权利委员会</w:t>
      </w:r>
    </w:p>
    <w:p w:rsidR="00000000" w:rsidRDefault="00000000">
      <w:pPr>
        <w:rPr>
          <w:snapToGrid/>
          <w:szCs w:val="24"/>
          <w:lang w:val="zh-CN"/>
        </w:rPr>
      </w:pPr>
      <w:r>
        <w:rPr>
          <w:rFonts w:hint="eastAsia"/>
          <w:snapToGrid/>
          <w:szCs w:val="24"/>
          <w:lang w:val="zh-CN"/>
        </w:rPr>
        <w:t>第三十二届会议</w:t>
      </w:r>
    </w:p>
    <w:p w:rsidR="00000000" w:rsidRDefault="00000000">
      <w:pPr>
        <w:spacing w:after="320"/>
        <w:rPr>
          <w:snapToGrid/>
          <w:szCs w:val="24"/>
          <w:lang w:val="zh-CN"/>
        </w:rPr>
      </w:pPr>
      <w:r>
        <w:rPr>
          <w:snapToGrid/>
          <w:szCs w:val="24"/>
          <w:lang w:val="zh-CN"/>
        </w:rPr>
        <w:t>2004</w:t>
      </w:r>
      <w:r>
        <w:rPr>
          <w:rFonts w:hint="eastAsia"/>
          <w:snapToGrid/>
          <w:szCs w:val="24"/>
          <w:lang w:val="zh-CN"/>
        </w:rPr>
        <w:t>年</w:t>
      </w:r>
      <w:r>
        <w:rPr>
          <w:snapToGrid/>
          <w:szCs w:val="24"/>
          <w:lang w:val="zh-CN"/>
        </w:rPr>
        <w:t>4</w:t>
      </w:r>
      <w:r>
        <w:rPr>
          <w:rFonts w:hint="eastAsia"/>
          <w:snapToGrid/>
          <w:szCs w:val="24"/>
          <w:lang w:val="zh-CN"/>
        </w:rPr>
        <w:t>月</w:t>
      </w:r>
      <w:r>
        <w:rPr>
          <w:snapToGrid/>
          <w:szCs w:val="24"/>
          <w:lang w:val="zh-CN"/>
        </w:rPr>
        <w:t>26</w:t>
      </w:r>
      <w:r>
        <w:rPr>
          <w:rFonts w:hint="eastAsia"/>
          <w:snapToGrid/>
          <w:szCs w:val="24"/>
          <w:lang w:val="zh-CN"/>
        </w:rPr>
        <w:t>日至</w:t>
      </w:r>
      <w:r>
        <w:rPr>
          <w:snapToGrid/>
          <w:szCs w:val="24"/>
        </w:rPr>
        <w:t>5</w:t>
      </w:r>
      <w:r>
        <w:rPr>
          <w:rFonts w:hint="eastAsia"/>
          <w:snapToGrid/>
          <w:szCs w:val="24"/>
        </w:rPr>
        <w:t>月</w:t>
      </w:r>
      <w:r>
        <w:rPr>
          <w:snapToGrid/>
          <w:szCs w:val="24"/>
          <w:lang w:val="zh-CN"/>
        </w:rPr>
        <w:t>14</w:t>
      </w:r>
      <w:r>
        <w:rPr>
          <w:rFonts w:hint="eastAsia"/>
          <w:snapToGrid/>
          <w:szCs w:val="24"/>
          <w:lang w:val="zh-CN"/>
        </w:rPr>
        <w:t>日</w:t>
      </w:r>
    </w:p>
    <w:p w:rsidR="00000000" w:rsidRDefault="00000000">
      <w:pPr>
        <w:pStyle w:val="Heading2"/>
        <w:rPr>
          <w:snapToGrid/>
          <w:kern w:val="0"/>
          <w:lang w:val="zh-CN"/>
        </w:rPr>
      </w:pPr>
      <w:r>
        <w:rPr>
          <w:rFonts w:hint="eastAsia"/>
          <w:snapToGrid/>
          <w:kern w:val="0"/>
          <w:lang w:val="zh-CN"/>
        </w:rPr>
        <w:t>审议缔约国根据《公约》第十六条和十七条提交的报告</w:t>
      </w:r>
    </w:p>
    <w:p w:rsidR="00000000" w:rsidRDefault="00000000">
      <w:pPr>
        <w:pStyle w:val="Heading3"/>
        <w:rPr>
          <w:snapToGrid/>
          <w:kern w:val="0"/>
          <w:lang w:val="zh-CN"/>
        </w:rPr>
      </w:pPr>
      <w:r>
        <w:rPr>
          <w:rFonts w:hint="eastAsia"/>
          <w:snapToGrid/>
          <w:kern w:val="0"/>
          <w:lang w:val="zh-CN"/>
        </w:rPr>
        <w:t>经济、社会、文化权利委员会的结论性意见</w:t>
      </w:r>
    </w:p>
    <w:p w:rsidR="00000000" w:rsidRDefault="00000000">
      <w:pPr>
        <w:pStyle w:val="Heading2"/>
        <w:rPr>
          <w:snapToGrid/>
          <w:kern w:val="0"/>
          <w:szCs w:val="24"/>
        </w:rPr>
      </w:pPr>
      <w:r>
        <w:rPr>
          <w:rFonts w:hint="eastAsia"/>
          <w:snapToGrid/>
          <w:kern w:val="0"/>
          <w:lang w:val="zh-CN"/>
        </w:rPr>
        <w:t>立</w:t>
      </w:r>
      <w:r>
        <w:rPr>
          <w:snapToGrid/>
          <w:kern w:val="0"/>
        </w:rPr>
        <w:t xml:space="preserve"> </w:t>
      </w:r>
      <w:r>
        <w:rPr>
          <w:rFonts w:hint="eastAsia"/>
          <w:snapToGrid/>
          <w:kern w:val="0"/>
          <w:lang w:val="zh-CN"/>
        </w:rPr>
        <w:t>陶</w:t>
      </w:r>
      <w:r>
        <w:rPr>
          <w:snapToGrid/>
          <w:kern w:val="0"/>
        </w:rPr>
        <w:t xml:space="preserve"> </w:t>
      </w:r>
      <w:r>
        <w:rPr>
          <w:rFonts w:hint="eastAsia"/>
          <w:snapToGrid/>
          <w:kern w:val="0"/>
          <w:lang w:val="zh-CN"/>
        </w:rPr>
        <w:t>宛</w:t>
      </w:r>
    </w:p>
    <w:p w:rsidR="00000000" w:rsidRDefault="00000000">
      <w:pPr>
        <w:spacing w:after="320"/>
        <w:rPr>
          <w:snapToGrid/>
        </w:rPr>
      </w:pPr>
      <w:r>
        <w:rPr>
          <w:rFonts w:hint="eastAsia"/>
          <w:snapToGrid/>
          <w:lang w:val="zh-CN"/>
        </w:rPr>
        <w:tab/>
      </w:r>
      <w:r>
        <w:rPr>
          <w:snapToGrid/>
          <w:lang w:val="zh-CN"/>
        </w:rPr>
        <w:t>1.</w:t>
      </w:r>
      <w:r>
        <w:rPr>
          <w:rFonts w:hint="eastAsia"/>
          <w:snapToGrid/>
        </w:rPr>
        <w:t xml:space="preserve">  </w:t>
      </w:r>
      <w:r>
        <w:rPr>
          <w:rFonts w:hint="eastAsia"/>
          <w:snapToGrid/>
        </w:rPr>
        <w:t>经济、社会、文化权利委员会在</w:t>
      </w:r>
      <w:r>
        <w:rPr>
          <w:snapToGrid/>
        </w:rPr>
        <w:t>2004</w:t>
      </w:r>
      <w:r>
        <w:rPr>
          <w:rFonts w:hint="eastAsia"/>
          <w:snapToGrid/>
        </w:rPr>
        <w:t>年</w:t>
      </w:r>
      <w:r>
        <w:rPr>
          <w:snapToGrid/>
        </w:rPr>
        <w:t>4</w:t>
      </w:r>
      <w:r>
        <w:rPr>
          <w:rFonts w:hint="eastAsia"/>
          <w:snapToGrid/>
        </w:rPr>
        <w:t>月</w:t>
      </w:r>
      <w:r>
        <w:rPr>
          <w:snapToGrid/>
        </w:rPr>
        <w:t>27</w:t>
      </w:r>
      <w:r>
        <w:rPr>
          <w:rFonts w:hint="eastAsia"/>
          <w:snapToGrid/>
        </w:rPr>
        <w:t>日和</w:t>
      </w:r>
      <w:r>
        <w:rPr>
          <w:snapToGrid/>
        </w:rPr>
        <w:t>28</w:t>
      </w:r>
      <w:r>
        <w:rPr>
          <w:rFonts w:hint="eastAsia"/>
          <w:snapToGrid/>
        </w:rPr>
        <w:t>日举行的第</w:t>
      </w:r>
      <w:r>
        <w:rPr>
          <w:rFonts w:hint="eastAsia"/>
          <w:snapToGrid/>
        </w:rPr>
        <w:t>3</w:t>
      </w:r>
      <w:r>
        <w:rPr>
          <w:rFonts w:hint="eastAsia"/>
          <w:snapToGrid/>
        </w:rPr>
        <w:t>、</w:t>
      </w:r>
      <w:r>
        <w:rPr>
          <w:rFonts w:hint="eastAsia"/>
          <w:snapToGrid/>
        </w:rPr>
        <w:t>4</w:t>
      </w:r>
      <w:r>
        <w:rPr>
          <w:rFonts w:hint="eastAsia"/>
          <w:snapToGrid/>
        </w:rPr>
        <w:t>和</w:t>
      </w:r>
      <w:r>
        <w:rPr>
          <w:rFonts w:hint="eastAsia"/>
          <w:snapToGrid/>
        </w:rPr>
        <w:t>5</w:t>
      </w:r>
      <w:r>
        <w:rPr>
          <w:rFonts w:hint="eastAsia"/>
          <w:snapToGrid/>
        </w:rPr>
        <w:t>次会议</w:t>
      </w:r>
      <w:r>
        <w:rPr>
          <w:rFonts w:hint="eastAsia"/>
          <w:snapToGrid/>
        </w:rPr>
        <w:t>(</w:t>
      </w:r>
      <w:r>
        <w:rPr>
          <w:rFonts w:hint="eastAsia"/>
          <w:snapToGrid/>
        </w:rPr>
        <w:t>见</w:t>
      </w:r>
      <w:r>
        <w:rPr>
          <w:snapToGrid/>
        </w:rPr>
        <w:t>E/C.12/2004/SR.3-5</w:t>
      </w:r>
      <w:r>
        <w:rPr>
          <w:rFonts w:hint="eastAsia"/>
          <w:snapToGrid/>
        </w:rPr>
        <w:t>)</w:t>
      </w:r>
      <w:r>
        <w:rPr>
          <w:rFonts w:hint="eastAsia"/>
          <w:snapToGrid/>
        </w:rPr>
        <w:t>上审议了立陶宛关于《经济、社会、文化权利国际公约》执行情况的初次报告</w:t>
      </w:r>
      <w:r>
        <w:rPr>
          <w:rFonts w:hint="eastAsia"/>
          <w:snapToGrid/>
        </w:rPr>
        <w:t>(</w:t>
      </w:r>
      <w:r>
        <w:rPr>
          <w:snapToGrid/>
        </w:rPr>
        <w:t>E/1990/5/Add.55</w:t>
      </w:r>
      <w:r>
        <w:rPr>
          <w:rFonts w:hint="eastAsia"/>
          <w:snapToGrid/>
        </w:rPr>
        <w:t>)</w:t>
      </w:r>
      <w:r>
        <w:rPr>
          <w:rFonts w:hint="eastAsia"/>
          <w:snapToGrid/>
        </w:rPr>
        <w:t>，并于</w:t>
      </w:r>
      <w:r>
        <w:rPr>
          <w:snapToGrid/>
        </w:rPr>
        <w:t>2004</w:t>
      </w:r>
      <w:r>
        <w:rPr>
          <w:rFonts w:hint="eastAsia"/>
          <w:snapToGrid/>
        </w:rPr>
        <w:t>年</w:t>
      </w:r>
      <w:r>
        <w:rPr>
          <w:snapToGrid/>
        </w:rPr>
        <w:t>5</w:t>
      </w:r>
      <w:r>
        <w:rPr>
          <w:rFonts w:hint="eastAsia"/>
          <w:snapToGrid/>
        </w:rPr>
        <w:t>月</w:t>
      </w:r>
      <w:r>
        <w:rPr>
          <w:snapToGrid/>
        </w:rPr>
        <w:t>14</w:t>
      </w:r>
      <w:r>
        <w:rPr>
          <w:rFonts w:hint="eastAsia"/>
          <w:snapToGrid/>
        </w:rPr>
        <w:t>日举行的第</w:t>
      </w:r>
      <w:r>
        <w:rPr>
          <w:snapToGrid/>
        </w:rPr>
        <w:t>29</w:t>
      </w:r>
      <w:r>
        <w:rPr>
          <w:rFonts w:hint="eastAsia"/>
          <w:snapToGrid/>
        </w:rPr>
        <w:t>次会议上通过了下列结论性意见。</w:t>
      </w:r>
    </w:p>
    <w:p w:rsidR="00000000" w:rsidRDefault="00000000">
      <w:pPr>
        <w:widowControl w:val="0"/>
        <w:overflowPunct/>
        <w:autoSpaceDE w:val="0"/>
        <w:autoSpaceDN w:val="0"/>
        <w:snapToGrid/>
        <w:spacing w:line="480" w:lineRule="auto"/>
        <w:ind w:firstLine="426"/>
        <w:jc w:val="center"/>
        <w:rPr>
          <w:snapToGrid/>
          <w:szCs w:val="24"/>
        </w:rPr>
      </w:pPr>
      <w:r>
        <w:rPr>
          <w:snapToGrid/>
          <w:szCs w:val="24"/>
        </w:rPr>
        <w:t>A.</w:t>
      </w:r>
      <w:r>
        <w:rPr>
          <w:rFonts w:hint="eastAsia"/>
          <w:snapToGrid/>
          <w:szCs w:val="24"/>
        </w:rPr>
        <w:t xml:space="preserve">  </w:t>
      </w:r>
      <w:r>
        <w:rPr>
          <w:rFonts w:hint="eastAsia"/>
          <w:snapToGrid/>
          <w:szCs w:val="24"/>
          <w:u w:val="single"/>
        </w:rPr>
        <w:t>导</w:t>
      </w:r>
      <w:r>
        <w:rPr>
          <w:rFonts w:hint="eastAsia"/>
          <w:snapToGrid/>
          <w:szCs w:val="24"/>
          <w:u w:val="single"/>
        </w:rPr>
        <w:t xml:space="preserve">  </w:t>
      </w:r>
      <w:r>
        <w:rPr>
          <w:rFonts w:hint="eastAsia"/>
          <w:snapToGrid/>
          <w:szCs w:val="24"/>
          <w:u w:val="single"/>
        </w:rPr>
        <w:t>言</w:t>
      </w:r>
    </w:p>
    <w:p w:rsidR="00000000" w:rsidRDefault="00000000">
      <w:pPr>
        <w:spacing w:after="320"/>
        <w:rPr>
          <w:snapToGrid/>
        </w:rPr>
      </w:pPr>
      <w:r>
        <w:rPr>
          <w:rFonts w:hint="eastAsia"/>
          <w:snapToGrid/>
        </w:rPr>
        <w:tab/>
      </w:r>
      <w:r>
        <w:rPr>
          <w:snapToGrid/>
        </w:rPr>
        <w:t>2.</w:t>
      </w:r>
      <w:r>
        <w:rPr>
          <w:rFonts w:hint="eastAsia"/>
          <w:snapToGrid/>
        </w:rPr>
        <w:t xml:space="preserve">  </w:t>
      </w:r>
      <w:r>
        <w:rPr>
          <w:rFonts w:hint="eastAsia"/>
          <w:snapToGrid/>
        </w:rPr>
        <w:t>委员会欢迎缔约国依照委员会准则编写的初次定期报告，以及对问题清单所作的全面的书面答复。委员会并欢迎与缔约国高级别代表团所进行的坦率而建设性的对话，该国代表团团员中有《公约》所涉的不同领域的专家。</w:t>
      </w:r>
    </w:p>
    <w:p w:rsidR="00000000" w:rsidRDefault="00000000">
      <w:pPr>
        <w:pStyle w:val="Heading3"/>
        <w:rPr>
          <w:snapToGrid/>
          <w:kern w:val="0"/>
        </w:rPr>
      </w:pPr>
      <w:r>
        <w:rPr>
          <w:snapToGrid/>
          <w:kern w:val="0"/>
          <w:u w:val="none"/>
        </w:rPr>
        <w:t>B.</w:t>
      </w:r>
      <w:r>
        <w:rPr>
          <w:rFonts w:hint="eastAsia"/>
          <w:snapToGrid/>
          <w:kern w:val="0"/>
          <w:u w:val="none"/>
        </w:rPr>
        <w:t xml:space="preserve">  </w:t>
      </w:r>
      <w:r>
        <w:rPr>
          <w:rFonts w:hint="eastAsia"/>
          <w:snapToGrid/>
          <w:kern w:val="0"/>
        </w:rPr>
        <w:t>积极方面</w:t>
      </w:r>
    </w:p>
    <w:p w:rsidR="00000000" w:rsidRDefault="00000000">
      <w:pPr>
        <w:rPr>
          <w:rFonts w:hint="eastAsia"/>
          <w:snapToGrid/>
          <w:szCs w:val="24"/>
        </w:rPr>
      </w:pPr>
      <w:r>
        <w:rPr>
          <w:rFonts w:hint="eastAsia"/>
          <w:snapToGrid/>
        </w:rPr>
        <w:tab/>
      </w:r>
      <w:r>
        <w:rPr>
          <w:snapToGrid/>
        </w:rPr>
        <w:t>3.</w:t>
      </w:r>
      <w:r>
        <w:rPr>
          <w:rFonts w:hint="eastAsia"/>
          <w:snapToGrid/>
        </w:rPr>
        <w:t xml:space="preserve">  </w:t>
      </w:r>
      <w:r>
        <w:rPr>
          <w:rFonts w:hint="eastAsia"/>
          <w:snapToGrid/>
        </w:rPr>
        <w:t>委员会欢迎缔约国目前对法律体系所作的改革，并赞赏地注意到最近几年来，下列新法律已生效，以与国际人权标准相一致：</w:t>
      </w:r>
      <w:r>
        <w:rPr>
          <w:snapToGrid/>
        </w:rPr>
        <w:t>2001</w:t>
      </w:r>
      <w:r>
        <w:rPr>
          <w:rFonts w:hint="eastAsia"/>
          <w:snapToGrid/>
        </w:rPr>
        <w:t>年</w:t>
      </w:r>
      <w:r>
        <w:rPr>
          <w:snapToGrid/>
        </w:rPr>
        <w:t>7</w:t>
      </w:r>
      <w:r>
        <w:rPr>
          <w:rFonts w:hint="eastAsia"/>
          <w:snapToGrid/>
        </w:rPr>
        <w:t>月的《民法》、</w:t>
      </w:r>
      <w:r>
        <w:rPr>
          <w:snapToGrid/>
        </w:rPr>
        <w:t>2003</w:t>
      </w:r>
      <w:r>
        <w:rPr>
          <w:rFonts w:hint="eastAsia"/>
          <w:snapToGrid/>
        </w:rPr>
        <w:t>年</w:t>
      </w:r>
      <w:r>
        <w:rPr>
          <w:snapToGrid/>
        </w:rPr>
        <w:t>1</w:t>
      </w:r>
      <w:r>
        <w:rPr>
          <w:rFonts w:hint="eastAsia"/>
          <w:snapToGrid/>
        </w:rPr>
        <w:t>月的《民事诉讼法》、</w:t>
      </w:r>
      <w:r>
        <w:rPr>
          <w:snapToGrid/>
        </w:rPr>
        <w:t>2003</w:t>
      </w:r>
      <w:r>
        <w:rPr>
          <w:rFonts w:hint="eastAsia"/>
          <w:snapToGrid/>
        </w:rPr>
        <w:t>年</w:t>
      </w:r>
      <w:r>
        <w:rPr>
          <w:snapToGrid/>
        </w:rPr>
        <w:t>1</w:t>
      </w:r>
      <w:r>
        <w:rPr>
          <w:rFonts w:hint="eastAsia"/>
          <w:snapToGrid/>
        </w:rPr>
        <w:t>月的《劳工法》，以及</w:t>
      </w:r>
      <w:r>
        <w:rPr>
          <w:snapToGrid/>
        </w:rPr>
        <w:t>2003</w:t>
      </w:r>
      <w:r>
        <w:rPr>
          <w:rFonts w:hint="eastAsia"/>
          <w:snapToGrid/>
        </w:rPr>
        <w:t>年</w:t>
      </w:r>
      <w:r>
        <w:rPr>
          <w:snapToGrid/>
        </w:rPr>
        <w:t>5</w:t>
      </w:r>
      <w:r>
        <w:rPr>
          <w:rFonts w:hint="eastAsia"/>
          <w:snapToGrid/>
        </w:rPr>
        <w:t>月生效的新的《刑法》、《刑事诉讼法》和《惩治执行法》。</w:t>
      </w:r>
    </w:p>
    <w:p w:rsidR="00000000" w:rsidRDefault="00000000">
      <w:pPr>
        <w:rPr>
          <w:rFonts w:hint="eastAsia"/>
          <w:snapToGrid/>
          <w:szCs w:val="24"/>
        </w:rPr>
      </w:pPr>
      <w:r>
        <w:rPr>
          <w:rFonts w:hint="eastAsia"/>
          <w:snapToGrid/>
        </w:rPr>
        <w:tab/>
      </w:r>
      <w:r>
        <w:rPr>
          <w:snapToGrid/>
        </w:rPr>
        <w:t>4.</w:t>
      </w:r>
      <w:r>
        <w:rPr>
          <w:rFonts w:hint="eastAsia"/>
          <w:snapToGrid/>
        </w:rPr>
        <w:t xml:space="preserve">  </w:t>
      </w:r>
      <w:r>
        <w:rPr>
          <w:rFonts w:hint="eastAsia"/>
          <w:snapToGrid/>
        </w:rPr>
        <w:t>委员会满意地注意到，该国还通过了各种国家方案，以便加强对人权的保护，尤其是制订了一项《保护和促进人权国家行动计划》，涉及到多种的人权，包括经济、社会和文化权利。</w:t>
      </w:r>
    </w:p>
    <w:p w:rsidR="00000000" w:rsidRDefault="00000000">
      <w:pPr>
        <w:rPr>
          <w:rFonts w:hint="eastAsia"/>
          <w:snapToGrid/>
          <w:szCs w:val="24"/>
        </w:rPr>
      </w:pPr>
      <w:r>
        <w:rPr>
          <w:rFonts w:hint="eastAsia"/>
          <w:snapToGrid/>
          <w:szCs w:val="24"/>
        </w:rPr>
        <w:tab/>
      </w:r>
      <w:r>
        <w:rPr>
          <w:snapToGrid/>
        </w:rPr>
        <w:t>5.</w:t>
      </w:r>
      <w:r>
        <w:rPr>
          <w:rFonts w:hint="eastAsia"/>
          <w:snapToGrid/>
          <w:szCs w:val="24"/>
        </w:rPr>
        <w:t xml:space="preserve">  </w:t>
      </w:r>
      <w:r>
        <w:rPr>
          <w:rFonts w:hint="eastAsia"/>
          <w:snapToGrid/>
          <w:szCs w:val="24"/>
        </w:rPr>
        <w:t>委员会欢迎该国设置了议会调解人</w:t>
      </w:r>
      <w:r>
        <w:rPr>
          <w:rFonts w:hint="eastAsia"/>
          <w:snapToGrid/>
          <w:szCs w:val="24"/>
        </w:rPr>
        <w:t>(</w:t>
      </w:r>
      <w:r>
        <w:rPr>
          <w:snapToGrid/>
          <w:szCs w:val="24"/>
        </w:rPr>
        <w:t>1994</w:t>
      </w:r>
      <w:r>
        <w:rPr>
          <w:rFonts w:hint="eastAsia"/>
          <w:snapToGrid/>
          <w:szCs w:val="24"/>
        </w:rPr>
        <w:t>年</w:t>
      </w:r>
      <w:r>
        <w:rPr>
          <w:rFonts w:hint="eastAsia"/>
          <w:snapToGrid/>
          <w:szCs w:val="24"/>
        </w:rPr>
        <w:t>)</w:t>
      </w:r>
      <w:r>
        <w:rPr>
          <w:rFonts w:hint="eastAsia"/>
          <w:snapToGrid/>
          <w:szCs w:val="24"/>
        </w:rPr>
        <w:t>，机会均等调解人</w:t>
      </w:r>
      <w:r>
        <w:rPr>
          <w:rFonts w:hint="eastAsia"/>
          <w:snapToGrid/>
          <w:szCs w:val="24"/>
        </w:rPr>
        <w:t>(</w:t>
      </w:r>
      <w:r>
        <w:rPr>
          <w:snapToGrid/>
          <w:szCs w:val="24"/>
        </w:rPr>
        <w:t>1999</w:t>
      </w:r>
      <w:r>
        <w:rPr>
          <w:rFonts w:hint="eastAsia"/>
          <w:snapToGrid/>
          <w:szCs w:val="24"/>
        </w:rPr>
        <w:t>年</w:t>
      </w:r>
      <w:r>
        <w:rPr>
          <w:rFonts w:hint="eastAsia"/>
          <w:snapToGrid/>
          <w:szCs w:val="24"/>
        </w:rPr>
        <w:t>)</w:t>
      </w:r>
      <w:r>
        <w:rPr>
          <w:rFonts w:hint="eastAsia"/>
          <w:snapToGrid/>
          <w:szCs w:val="24"/>
        </w:rPr>
        <w:t>和儿童权利调解人</w:t>
      </w:r>
      <w:r>
        <w:rPr>
          <w:rFonts w:hint="eastAsia"/>
          <w:snapToGrid/>
          <w:szCs w:val="24"/>
        </w:rPr>
        <w:t>(</w:t>
      </w:r>
      <w:r>
        <w:rPr>
          <w:snapToGrid/>
          <w:szCs w:val="24"/>
        </w:rPr>
        <w:t>2000</w:t>
      </w:r>
      <w:r>
        <w:rPr>
          <w:rFonts w:hint="eastAsia"/>
          <w:snapToGrid/>
          <w:szCs w:val="24"/>
        </w:rPr>
        <w:t>年</w:t>
      </w:r>
      <w:r>
        <w:rPr>
          <w:rFonts w:hint="eastAsia"/>
          <w:snapToGrid/>
          <w:szCs w:val="24"/>
        </w:rPr>
        <w:t>)</w:t>
      </w:r>
      <w:r>
        <w:rPr>
          <w:rFonts w:hint="eastAsia"/>
          <w:snapToGrid/>
          <w:szCs w:val="24"/>
        </w:rPr>
        <w:t>。委员会并欢迎</w:t>
      </w:r>
      <w:r>
        <w:rPr>
          <w:snapToGrid/>
          <w:szCs w:val="24"/>
        </w:rPr>
        <w:t>2000</w:t>
      </w:r>
      <w:r>
        <w:rPr>
          <w:rFonts w:hint="eastAsia"/>
          <w:snapToGrid/>
          <w:szCs w:val="24"/>
        </w:rPr>
        <w:t>年</w:t>
      </w:r>
      <w:r>
        <w:rPr>
          <w:snapToGrid/>
          <w:szCs w:val="24"/>
        </w:rPr>
        <w:t>3</w:t>
      </w:r>
      <w:r>
        <w:rPr>
          <w:rFonts w:hint="eastAsia"/>
          <w:snapToGrid/>
          <w:szCs w:val="24"/>
        </w:rPr>
        <w:t>月的《国家保障的法律援助法》，使处境不利的人在刑事、民事和行政案件中能够获得免费的法律援助。</w:t>
      </w:r>
    </w:p>
    <w:p w:rsidR="00000000" w:rsidRDefault="00000000">
      <w:pPr>
        <w:spacing w:after="320"/>
        <w:rPr>
          <w:rFonts w:hint="eastAsia"/>
          <w:snapToGrid/>
          <w:szCs w:val="24"/>
        </w:rPr>
      </w:pPr>
      <w:r>
        <w:rPr>
          <w:rFonts w:hint="eastAsia"/>
          <w:snapToGrid/>
        </w:rPr>
        <w:tab/>
      </w:r>
      <w:r>
        <w:rPr>
          <w:snapToGrid/>
        </w:rPr>
        <w:t>6.</w:t>
      </w:r>
      <w:r>
        <w:rPr>
          <w:rFonts w:hint="eastAsia"/>
          <w:snapToGrid/>
        </w:rPr>
        <w:t xml:space="preserve">  </w:t>
      </w:r>
      <w:r>
        <w:rPr>
          <w:rFonts w:hint="eastAsia"/>
          <w:snapToGrid/>
        </w:rPr>
        <w:t>委员会欢迎缔约国最近决定批准《儿童权利公约关于买卖儿童、儿童卖淫和儿童色情制品的任择议定书》。</w:t>
      </w:r>
    </w:p>
    <w:p w:rsidR="00000000" w:rsidRDefault="00000000">
      <w:pPr>
        <w:pStyle w:val="Heading3"/>
        <w:rPr>
          <w:snapToGrid/>
          <w:kern w:val="0"/>
        </w:rPr>
      </w:pPr>
      <w:r>
        <w:rPr>
          <w:snapToGrid/>
          <w:kern w:val="0"/>
          <w:u w:val="none"/>
        </w:rPr>
        <w:t>C.</w:t>
      </w:r>
      <w:r>
        <w:rPr>
          <w:rFonts w:hint="eastAsia"/>
          <w:snapToGrid/>
          <w:kern w:val="0"/>
          <w:u w:val="none"/>
        </w:rPr>
        <w:t xml:space="preserve">  </w:t>
      </w:r>
      <w:r>
        <w:rPr>
          <w:rFonts w:hint="eastAsia"/>
          <w:snapToGrid/>
          <w:kern w:val="0"/>
        </w:rPr>
        <w:t>阻碍《公约》执行的因素和困难</w:t>
      </w:r>
    </w:p>
    <w:p w:rsidR="00000000" w:rsidRDefault="00000000">
      <w:pPr>
        <w:spacing w:after="320"/>
        <w:rPr>
          <w:rFonts w:hint="eastAsia"/>
          <w:snapToGrid/>
          <w:szCs w:val="24"/>
        </w:rPr>
      </w:pPr>
      <w:r>
        <w:rPr>
          <w:rFonts w:hint="eastAsia"/>
          <w:snapToGrid/>
          <w:szCs w:val="24"/>
        </w:rPr>
        <w:tab/>
      </w:r>
      <w:r>
        <w:rPr>
          <w:snapToGrid/>
          <w:szCs w:val="24"/>
        </w:rPr>
        <w:t>7.</w:t>
      </w:r>
      <w:r>
        <w:rPr>
          <w:rFonts w:hint="eastAsia"/>
          <w:snapToGrid/>
          <w:szCs w:val="24"/>
        </w:rPr>
        <w:t xml:space="preserve">  </w:t>
      </w:r>
      <w:r>
        <w:rPr>
          <w:rFonts w:hint="eastAsia"/>
          <w:snapToGrid/>
          <w:szCs w:val="24"/>
        </w:rPr>
        <w:t>委员会注意到在立陶宛没有阻碍《公约》有效执行的任何重大因素和困难。</w:t>
      </w:r>
    </w:p>
    <w:p w:rsidR="00000000" w:rsidRDefault="00000000">
      <w:pPr>
        <w:pStyle w:val="Heading3"/>
        <w:rPr>
          <w:snapToGrid/>
          <w:kern w:val="0"/>
        </w:rPr>
      </w:pPr>
      <w:r>
        <w:rPr>
          <w:snapToGrid/>
          <w:kern w:val="0"/>
          <w:u w:val="none"/>
        </w:rPr>
        <w:t>D.</w:t>
      </w:r>
      <w:r>
        <w:rPr>
          <w:rFonts w:hint="eastAsia"/>
          <w:snapToGrid/>
          <w:kern w:val="0"/>
          <w:u w:val="none"/>
        </w:rPr>
        <w:t xml:space="preserve">  </w:t>
      </w:r>
      <w:r>
        <w:rPr>
          <w:rFonts w:hint="eastAsia"/>
          <w:snapToGrid/>
          <w:kern w:val="0"/>
        </w:rPr>
        <w:t>主要关注的问题</w:t>
      </w:r>
    </w:p>
    <w:p w:rsidR="00000000" w:rsidRDefault="00000000">
      <w:pPr>
        <w:rPr>
          <w:rFonts w:hint="eastAsia"/>
          <w:snapToGrid/>
          <w:szCs w:val="24"/>
        </w:rPr>
      </w:pPr>
      <w:r>
        <w:rPr>
          <w:rFonts w:hint="eastAsia"/>
          <w:snapToGrid/>
          <w:szCs w:val="24"/>
        </w:rPr>
        <w:tab/>
      </w:r>
      <w:r>
        <w:rPr>
          <w:snapToGrid/>
          <w:szCs w:val="24"/>
        </w:rPr>
        <w:t>8.</w:t>
      </w:r>
      <w:r>
        <w:rPr>
          <w:rFonts w:hint="eastAsia"/>
          <w:snapToGrid/>
          <w:szCs w:val="24"/>
        </w:rPr>
        <w:t xml:space="preserve">  </w:t>
      </w:r>
      <w:r>
        <w:rPr>
          <w:rFonts w:hint="eastAsia"/>
          <w:snapToGrid/>
          <w:szCs w:val="24"/>
        </w:rPr>
        <w:t>尽管该国的宪法条款</w:t>
      </w:r>
      <w:r>
        <w:rPr>
          <w:rFonts w:hint="eastAsia"/>
          <w:snapToGrid/>
          <w:szCs w:val="24"/>
        </w:rPr>
        <w:t>(</w:t>
      </w:r>
      <w:r>
        <w:rPr>
          <w:rFonts w:hint="eastAsia"/>
          <w:snapToGrid/>
          <w:szCs w:val="24"/>
        </w:rPr>
        <w:t>第三部分，第</w:t>
      </w:r>
      <w:r>
        <w:rPr>
          <w:snapToGrid/>
          <w:szCs w:val="24"/>
        </w:rPr>
        <w:t>138</w:t>
      </w:r>
      <w:r>
        <w:rPr>
          <w:rFonts w:hint="eastAsia"/>
          <w:snapToGrid/>
          <w:szCs w:val="24"/>
        </w:rPr>
        <w:t>条</w:t>
      </w:r>
      <w:r>
        <w:rPr>
          <w:rFonts w:hint="eastAsia"/>
          <w:snapToGrid/>
          <w:szCs w:val="24"/>
        </w:rPr>
        <w:t>)</w:t>
      </w:r>
      <w:r>
        <w:rPr>
          <w:rFonts w:hint="eastAsia"/>
          <w:snapToGrid/>
          <w:szCs w:val="24"/>
        </w:rPr>
        <w:t>规定，国际法具有优先地位，而且可以在国内法院里援引《公约》，但委员会遗憾地注意到，缺乏有关国内法院援引《公约》及其条款作出具体裁决的资料，这表明该国一般民众不了解《公约》，也不了解可以在法院里直接援引《公约》。</w:t>
      </w:r>
    </w:p>
    <w:p w:rsidR="00000000" w:rsidRDefault="00000000">
      <w:pPr>
        <w:rPr>
          <w:rFonts w:hint="eastAsia"/>
          <w:snapToGrid/>
          <w:szCs w:val="24"/>
        </w:rPr>
      </w:pPr>
      <w:r>
        <w:rPr>
          <w:rFonts w:hint="eastAsia"/>
          <w:snapToGrid/>
          <w:szCs w:val="24"/>
        </w:rPr>
        <w:tab/>
      </w:r>
      <w:r>
        <w:rPr>
          <w:snapToGrid/>
          <w:szCs w:val="24"/>
        </w:rPr>
        <w:t>9.</w:t>
      </w:r>
      <w:r>
        <w:rPr>
          <w:rFonts w:hint="eastAsia"/>
          <w:snapToGrid/>
          <w:szCs w:val="24"/>
        </w:rPr>
        <w:t xml:space="preserve">  </w:t>
      </w:r>
      <w:r>
        <w:rPr>
          <w:rFonts w:hint="eastAsia"/>
          <w:snapToGrid/>
          <w:szCs w:val="24"/>
        </w:rPr>
        <w:t>委员会注意到，目前根据“</w:t>
      </w:r>
      <w:r>
        <w:rPr>
          <w:snapToGrid/>
          <w:szCs w:val="24"/>
        </w:rPr>
        <w:t>2000-2004</w:t>
      </w:r>
      <w:r>
        <w:rPr>
          <w:rFonts w:hint="eastAsia"/>
          <w:snapToGrid/>
          <w:szCs w:val="24"/>
        </w:rPr>
        <w:t>年促进罗姆人融入立陶宛社会的方案”，为改善罗姆人的生活水平作了努力，但委员会关注到，罗姆人在住房、保健、就业和教育方面仍然面临难以融入社会问题及歧视性做法。</w:t>
      </w:r>
    </w:p>
    <w:p w:rsidR="00000000" w:rsidRDefault="00000000">
      <w:pPr>
        <w:rPr>
          <w:rFonts w:hint="eastAsia"/>
          <w:snapToGrid/>
          <w:szCs w:val="24"/>
        </w:rPr>
      </w:pPr>
      <w:r>
        <w:rPr>
          <w:rFonts w:hint="eastAsia"/>
          <w:snapToGrid/>
          <w:szCs w:val="24"/>
        </w:rPr>
        <w:tab/>
      </w:r>
      <w:r>
        <w:rPr>
          <w:snapToGrid/>
          <w:szCs w:val="24"/>
        </w:rPr>
        <w:t>10.</w:t>
      </w:r>
      <w:r>
        <w:rPr>
          <w:rFonts w:hint="eastAsia"/>
          <w:snapToGrid/>
          <w:szCs w:val="24"/>
        </w:rPr>
        <w:t xml:space="preserve">  </w:t>
      </w:r>
      <w:r>
        <w:rPr>
          <w:rFonts w:hint="eastAsia"/>
          <w:snapToGrid/>
          <w:szCs w:val="24"/>
        </w:rPr>
        <w:t>委员会表示关注，尽管为改进妇女的境况采取了各种措施，其中包括“</w:t>
      </w:r>
      <w:r>
        <w:rPr>
          <w:snapToGrid/>
          <w:szCs w:val="24"/>
        </w:rPr>
        <w:t>2003-2004</w:t>
      </w:r>
      <w:r>
        <w:rPr>
          <w:rFonts w:hint="eastAsia"/>
          <w:snapToGrid/>
          <w:szCs w:val="24"/>
        </w:rPr>
        <w:t>年男女机会均等全国方案”，但妇女在社会中仍然处于不利地位，特别是就业和同工同酬、以及在决策方面尤其如此。</w:t>
      </w:r>
    </w:p>
    <w:p w:rsidR="00000000" w:rsidRDefault="00000000">
      <w:pPr>
        <w:rPr>
          <w:rFonts w:hint="eastAsia"/>
          <w:snapToGrid/>
          <w:szCs w:val="24"/>
        </w:rPr>
      </w:pPr>
      <w:r>
        <w:rPr>
          <w:rFonts w:hint="eastAsia"/>
          <w:snapToGrid/>
          <w:szCs w:val="24"/>
        </w:rPr>
        <w:tab/>
      </w:r>
      <w:r>
        <w:rPr>
          <w:snapToGrid/>
          <w:szCs w:val="24"/>
        </w:rPr>
        <w:t>11.</w:t>
      </w:r>
      <w:r>
        <w:rPr>
          <w:rFonts w:hint="eastAsia"/>
          <w:snapToGrid/>
          <w:szCs w:val="24"/>
        </w:rPr>
        <w:t xml:space="preserve">  </w:t>
      </w:r>
      <w:r>
        <w:rPr>
          <w:rFonts w:hint="eastAsia"/>
          <w:snapToGrid/>
          <w:szCs w:val="24"/>
        </w:rPr>
        <w:t>委员会关注到失业率仍然很高，而各地区失业率差异很大。委员会并关注，长期失业的情况有增无减，而且很大一部分的失业者为年龄未满</w:t>
      </w:r>
      <w:r>
        <w:rPr>
          <w:snapToGrid/>
          <w:szCs w:val="24"/>
        </w:rPr>
        <w:t>25</w:t>
      </w:r>
      <w:r>
        <w:rPr>
          <w:rFonts w:hint="eastAsia"/>
          <w:snapToGrid/>
          <w:szCs w:val="24"/>
        </w:rPr>
        <w:t>岁的青年人。</w:t>
      </w:r>
    </w:p>
    <w:p w:rsidR="00000000" w:rsidRDefault="00000000">
      <w:pPr>
        <w:rPr>
          <w:rFonts w:hint="eastAsia"/>
          <w:snapToGrid/>
          <w:szCs w:val="24"/>
        </w:rPr>
      </w:pPr>
      <w:r>
        <w:rPr>
          <w:rFonts w:hint="eastAsia"/>
          <w:snapToGrid/>
          <w:szCs w:val="24"/>
        </w:rPr>
        <w:tab/>
      </w:r>
      <w:r>
        <w:rPr>
          <w:snapToGrid/>
          <w:szCs w:val="24"/>
        </w:rPr>
        <w:t>12.</w:t>
      </w:r>
      <w:r>
        <w:rPr>
          <w:rFonts w:hint="eastAsia"/>
          <w:snapToGrid/>
          <w:szCs w:val="24"/>
        </w:rPr>
        <w:t xml:space="preserve">  </w:t>
      </w:r>
      <w:r>
        <w:rPr>
          <w:rFonts w:hint="eastAsia"/>
          <w:snapToGrid/>
          <w:szCs w:val="24"/>
        </w:rPr>
        <w:t>委员会对于缺少有关残疾人进入劳工市场情况的资料表示遗憾，并关注，鼓励雇用残疾人似的奖励措施很有限。</w:t>
      </w:r>
    </w:p>
    <w:p w:rsidR="00000000" w:rsidRDefault="00000000">
      <w:pPr>
        <w:rPr>
          <w:rFonts w:hint="eastAsia"/>
          <w:snapToGrid/>
          <w:szCs w:val="24"/>
        </w:rPr>
      </w:pPr>
      <w:r>
        <w:rPr>
          <w:rFonts w:hint="eastAsia"/>
          <w:snapToGrid/>
          <w:szCs w:val="24"/>
        </w:rPr>
        <w:tab/>
      </w:r>
      <w:r>
        <w:rPr>
          <w:snapToGrid/>
          <w:szCs w:val="24"/>
        </w:rPr>
        <w:t>13.</w:t>
      </w:r>
      <w:r>
        <w:rPr>
          <w:rFonts w:hint="eastAsia"/>
          <w:snapToGrid/>
          <w:szCs w:val="24"/>
        </w:rPr>
        <w:t xml:space="preserve">  </w:t>
      </w:r>
      <w:r>
        <w:rPr>
          <w:rFonts w:hint="eastAsia"/>
          <w:snapToGrid/>
          <w:szCs w:val="24"/>
        </w:rPr>
        <w:t>委员会关注地注意到，最低工资的水平太低，不足以为工人本身和家庭提供体面的生活，而且该国没有指数化的制度，同时并不根据生活费用定期调整最低工资。</w:t>
      </w:r>
    </w:p>
    <w:p w:rsidR="00000000" w:rsidRDefault="00000000">
      <w:pPr>
        <w:rPr>
          <w:rFonts w:hint="eastAsia"/>
          <w:snapToGrid/>
          <w:szCs w:val="24"/>
        </w:rPr>
      </w:pPr>
      <w:r>
        <w:rPr>
          <w:rFonts w:hint="eastAsia"/>
          <w:snapToGrid/>
          <w:szCs w:val="24"/>
        </w:rPr>
        <w:tab/>
      </w:r>
      <w:r>
        <w:rPr>
          <w:snapToGrid/>
          <w:szCs w:val="24"/>
        </w:rPr>
        <w:t>14.</w:t>
      </w:r>
      <w:r>
        <w:rPr>
          <w:rFonts w:hint="eastAsia"/>
          <w:snapToGrid/>
          <w:szCs w:val="24"/>
        </w:rPr>
        <w:t xml:space="preserve">  </w:t>
      </w:r>
      <w:r>
        <w:rPr>
          <w:rFonts w:hint="eastAsia"/>
          <w:snapToGrid/>
          <w:szCs w:val="24"/>
        </w:rPr>
        <w:t>委员会对于</w:t>
      </w:r>
      <w:r>
        <w:rPr>
          <w:snapToGrid/>
          <w:szCs w:val="24"/>
        </w:rPr>
        <w:t>2001</w:t>
      </w:r>
      <w:r>
        <w:rPr>
          <w:rFonts w:hint="eastAsia"/>
          <w:snapToGrid/>
          <w:szCs w:val="24"/>
        </w:rPr>
        <w:t>年以来该缔约国的工伤事故有所增加深表关注。</w:t>
      </w:r>
    </w:p>
    <w:p w:rsidR="00000000" w:rsidRDefault="00000000">
      <w:pPr>
        <w:rPr>
          <w:rFonts w:hint="eastAsia"/>
          <w:snapToGrid/>
          <w:szCs w:val="24"/>
        </w:rPr>
      </w:pPr>
      <w:r>
        <w:rPr>
          <w:rFonts w:hint="eastAsia"/>
          <w:snapToGrid/>
          <w:szCs w:val="24"/>
        </w:rPr>
        <w:tab/>
      </w:r>
      <w:r>
        <w:rPr>
          <w:snapToGrid/>
          <w:szCs w:val="24"/>
        </w:rPr>
        <w:t>15.</w:t>
      </w:r>
      <w:r>
        <w:rPr>
          <w:rFonts w:hint="eastAsia"/>
          <w:snapToGrid/>
          <w:szCs w:val="24"/>
        </w:rPr>
        <w:t xml:space="preserve">  </w:t>
      </w:r>
      <w:r>
        <w:rPr>
          <w:rFonts w:hint="eastAsia"/>
          <w:snapToGrid/>
          <w:szCs w:val="24"/>
        </w:rPr>
        <w:t>委员会注意到</w:t>
      </w:r>
      <w:r>
        <w:rPr>
          <w:snapToGrid/>
          <w:szCs w:val="24"/>
        </w:rPr>
        <w:t>2003</w:t>
      </w:r>
      <w:r>
        <w:rPr>
          <w:rFonts w:hint="eastAsia"/>
          <w:snapToGrid/>
          <w:szCs w:val="24"/>
        </w:rPr>
        <w:t>年</w:t>
      </w:r>
      <w:r>
        <w:rPr>
          <w:snapToGrid/>
          <w:szCs w:val="24"/>
        </w:rPr>
        <w:t>1</w:t>
      </w:r>
      <w:r>
        <w:rPr>
          <w:rFonts w:hint="eastAsia"/>
          <w:snapToGrid/>
          <w:szCs w:val="24"/>
        </w:rPr>
        <w:t>月</w:t>
      </w:r>
      <w:r>
        <w:rPr>
          <w:snapToGrid/>
          <w:szCs w:val="24"/>
        </w:rPr>
        <w:t>1</w:t>
      </w:r>
      <w:r>
        <w:rPr>
          <w:rFonts w:hint="eastAsia"/>
          <w:snapToGrid/>
          <w:szCs w:val="24"/>
        </w:rPr>
        <w:t>日的《劳工法》纠正了以前管制罢工权利的法律中的某些缺点，但委员会还是关注到，禁止罢工的“基本服务”的定义定得太广。</w:t>
      </w:r>
    </w:p>
    <w:p w:rsidR="00000000" w:rsidRDefault="00000000">
      <w:pPr>
        <w:rPr>
          <w:rFonts w:hint="eastAsia"/>
          <w:snapToGrid/>
          <w:szCs w:val="24"/>
        </w:rPr>
      </w:pPr>
      <w:r>
        <w:rPr>
          <w:rFonts w:hint="eastAsia"/>
          <w:snapToGrid/>
          <w:szCs w:val="24"/>
        </w:rPr>
        <w:tab/>
      </w:r>
      <w:r>
        <w:rPr>
          <w:snapToGrid/>
          <w:szCs w:val="24"/>
        </w:rPr>
        <w:t>16.</w:t>
      </w:r>
      <w:r>
        <w:rPr>
          <w:rFonts w:hint="eastAsia"/>
          <w:snapToGrid/>
          <w:szCs w:val="24"/>
        </w:rPr>
        <w:t xml:space="preserve">  </w:t>
      </w:r>
      <w:r>
        <w:rPr>
          <w:rFonts w:hint="eastAsia"/>
          <w:snapToGrid/>
          <w:szCs w:val="24"/>
        </w:rPr>
        <w:t>委员会表示关注，基本的养恤金无法保证适足的生活水平。该国不存在将基本养恤金与消费指数和最低生活水平相联系的指数化制度，也令人担忧。</w:t>
      </w:r>
    </w:p>
    <w:p w:rsidR="00000000" w:rsidRDefault="00000000">
      <w:pPr>
        <w:rPr>
          <w:rFonts w:hint="eastAsia"/>
          <w:snapToGrid/>
          <w:szCs w:val="24"/>
        </w:rPr>
      </w:pPr>
      <w:r>
        <w:rPr>
          <w:rFonts w:hint="eastAsia"/>
          <w:snapToGrid/>
          <w:szCs w:val="24"/>
        </w:rPr>
        <w:tab/>
      </w:r>
      <w:r>
        <w:rPr>
          <w:snapToGrid/>
          <w:szCs w:val="24"/>
        </w:rPr>
        <w:t>17.</w:t>
      </w:r>
      <w:r>
        <w:rPr>
          <w:rFonts w:hint="eastAsia"/>
          <w:snapToGrid/>
          <w:szCs w:val="24"/>
        </w:rPr>
        <w:t xml:space="preserve">  </w:t>
      </w:r>
      <w:r>
        <w:rPr>
          <w:rFonts w:hint="eastAsia"/>
          <w:snapToGrid/>
          <w:szCs w:val="24"/>
        </w:rPr>
        <w:t>委员会关注地注意到失业津贴水平很低，而且由于可领失业津贴的标准十分苛刻，</w:t>
      </w:r>
      <w:r>
        <w:rPr>
          <w:snapToGrid/>
          <w:szCs w:val="24"/>
        </w:rPr>
        <w:t>2002</w:t>
      </w:r>
      <w:r>
        <w:rPr>
          <w:rFonts w:hint="eastAsia"/>
          <w:snapToGrid/>
          <w:szCs w:val="24"/>
        </w:rPr>
        <w:t>年能领取这一津贴的人，只占所有失业者的</w:t>
      </w:r>
      <w:r>
        <w:rPr>
          <w:snapToGrid/>
          <w:szCs w:val="24"/>
        </w:rPr>
        <w:t>11.5%</w:t>
      </w:r>
      <w:r>
        <w:rPr>
          <w:rFonts w:hint="eastAsia"/>
          <w:snapToGrid/>
          <w:szCs w:val="24"/>
        </w:rPr>
        <w:t>。</w:t>
      </w:r>
    </w:p>
    <w:p w:rsidR="00000000" w:rsidRDefault="00000000">
      <w:pPr>
        <w:rPr>
          <w:rFonts w:hint="eastAsia"/>
          <w:snapToGrid/>
          <w:szCs w:val="24"/>
        </w:rPr>
      </w:pPr>
      <w:r>
        <w:rPr>
          <w:rFonts w:hint="eastAsia"/>
          <w:snapToGrid/>
          <w:szCs w:val="24"/>
        </w:rPr>
        <w:tab/>
      </w:r>
      <w:r>
        <w:rPr>
          <w:snapToGrid/>
          <w:szCs w:val="24"/>
        </w:rPr>
        <w:t>18.</w:t>
      </w:r>
      <w:r>
        <w:rPr>
          <w:rFonts w:hint="eastAsia"/>
          <w:snapToGrid/>
          <w:szCs w:val="24"/>
        </w:rPr>
        <w:t xml:space="preserve">  </w:t>
      </w:r>
      <w:r>
        <w:rPr>
          <w:rFonts w:hint="eastAsia"/>
          <w:snapToGrid/>
          <w:szCs w:val="24"/>
        </w:rPr>
        <w:t>居住地点不同所分配的的社会福利和社会服务也不同，委员会对这一情况感到关注。</w:t>
      </w:r>
    </w:p>
    <w:p w:rsidR="00000000" w:rsidRDefault="00000000">
      <w:pPr>
        <w:rPr>
          <w:rFonts w:hint="eastAsia"/>
          <w:snapToGrid/>
          <w:szCs w:val="24"/>
        </w:rPr>
      </w:pPr>
      <w:r>
        <w:rPr>
          <w:rFonts w:hint="eastAsia"/>
          <w:snapToGrid/>
          <w:szCs w:val="24"/>
        </w:rPr>
        <w:tab/>
      </w:r>
      <w:r>
        <w:rPr>
          <w:snapToGrid/>
          <w:szCs w:val="24"/>
        </w:rPr>
        <w:t>19.</w:t>
      </w:r>
      <w:r>
        <w:rPr>
          <w:rFonts w:hint="eastAsia"/>
          <w:snapToGrid/>
          <w:szCs w:val="24"/>
        </w:rPr>
        <w:t xml:space="preserve">  </w:t>
      </w:r>
      <w:r>
        <w:rPr>
          <w:rFonts w:hint="eastAsia"/>
          <w:snapToGrid/>
          <w:szCs w:val="24"/>
        </w:rPr>
        <w:t>委员会关注地注意到，贩卖妇女儿童在该缔约国仍然是一个问题，该国是这一行动的原籍国和中转国，尽管该国制订了一项“</w:t>
      </w:r>
      <w:r>
        <w:rPr>
          <w:snapToGrid/>
          <w:szCs w:val="24"/>
        </w:rPr>
        <w:t>2002-2004</w:t>
      </w:r>
      <w:r>
        <w:rPr>
          <w:rFonts w:hint="eastAsia"/>
          <w:snapToGrid/>
          <w:szCs w:val="24"/>
        </w:rPr>
        <w:t>年管制和防止卖淫和为商业目的贩卖人口方案”，而且新的《刑法》对一些涉及人口贩运的罪行规定了刑事责任，其中包括人口贩卖</w:t>
      </w:r>
      <w:r>
        <w:rPr>
          <w:rFonts w:hint="eastAsia"/>
          <w:snapToGrid/>
          <w:szCs w:val="24"/>
        </w:rPr>
        <w:t>(</w:t>
      </w:r>
      <w:r>
        <w:rPr>
          <w:rFonts w:hint="eastAsia"/>
          <w:snapToGrid/>
          <w:szCs w:val="24"/>
        </w:rPr>
        <w:t>第</w:t>
      </w:r>
      <w:r>
        <w:rPr>
          <w:snapToGrid/>
          <w:szCs w:val="24"/>
        </w:rPr>
        <w:t>147</w:t>
      </w:r>
      <w:r>
        <w:rPr>
          <w:rFonts w:hint="eastAsia"/>
          <w:snapToGrid/>
          <w:szCs w:val="24"/>
        </w:rPr>
        <w:t>条</w:t>
      </w:r>
      <w:r>
        <w:rPr>
          <w:rFonts w:hint="eastAsia"/>
          <w:snapToGrid/>
          <w:szCs w:val="24"/>
        </w:rPr>
        <w:t>)</w:t>
      </w:r>
      <w:r>
        <w:rPr>
          <w:rFonts w:hint="eastAsia"/>
          <w:snapToGrid/>
          <w:szCs w:val="24"/>
        </w:rPr>
        <w:t>、使人卖淫从中牟利</w:t>
      </w:r>
      <w:r>
        <w:rPr>
          <w:rFonts w:hint="eastAsia"/>
          <w:snapToGrid/>
          <w:szCs w:val="24"/>
        </w:rPr>
        <w:t>(</w:t>
      </w:r>
      <w:r>
        <w:rPr>
          <w:rFonts w:hint="eastAsia"/>
          <w:snapToGrid/>
          <w:szCs w:val="24"/>
        </w:rPr>
        <w:t>第</w:t>
      </w:r>
      <w:r>
        <w:rPr>
          <w:snapToGrid/>
          <w:szCs w:val="24"/>
        </w:rPr>
        <w:t>307</w:t>
      </w:r>
      <w:r>
        <w:rPr>
          <w:rFonts w:hint="eastAsia"/>
          <w:snapToGrid/>
          <w:szCs w:val="24"/>
        </w:rPr>
        <w:t>条</w:t>
      </w:r>
      <w:r>
        <w:rPr>
          <w:rFonts w:hint="eastAsia"/>
          <w:snapToGrid/>
          <w:szCs w:val="24"/>
        </w:rPr>
        <w:t>)</w:t>
      </w:r>
      <w:r>
        <w:rPr>
          <w:rFonts w:hint="eastAsia"/>
          <w:snapToGrid/>
          <w:szCs w:val="24"/>
        </w:rPr>
        <w:t>、以及为淫业充当淫媒</w:t>
      </w:r>
      <w:r>
        <w:rPr>
          <w:rFonts w:hint="eastAsia"/>
          <w:snapToGrid/>
          <w:szCs w:val="24"/>
        </w:rPr>
        <w:t>(</w:t>
      </w:r>
      <w:r>
        <w:rPr>
          <w:rFonts w:hint="eastAsia"/>
          <w:snapToGrid/>
          <w:szCs w:val="24"/>
        </w:rPr>
        <w:t>第</w:t>
      </w:r>
      <w:r>
        <w:rPr>
          <w:snapToGrid/>
          <w:szCs w:val="24"/>
        </w:rPr>
        <w:t>308</w:t>
      </w:r>
      <w:r>
        <w:rPr>
          <w:rFonts w:hint="eastAsia"/>
          <w:snapToGrid/>
          <w:szCs w:val="24"/>
        </w:rPr>
        <w:t>条</w:t>
      </w:r>
      <w:r>
        <w:rPr>
          <w:rFonts w:hint="eastAsia"/>
          <w:snapToGrid/>
          <w:szCs w:val="24"/>
        </w:rPr>
        <w:t>)</w:t>
      </w:r>
      <w:r>
        <w:rPr>
          <w:rFonts w:hint="eastAsia"/>
          <w:snapToGrid/>
          <w:szCs w:val="24"/>
        </w:rPr>
        <w:t>。此外，委员会感到遗憾的是，缺少关于被贩运的人的人数的资料，无法精确地反映这一问题的严重程度。</w:t>
      </w:r>
    </w:p>
    <w:p w:rsidR="00000000" w:rsidRDefault="00000000">
      <w:pPr>
        <w:rPr>
          <w:rFonts w:hint="eastAsia"/>
          <w:snapToGrid/>
          <w:szCs w:val="24"/>
        </w:rPr>
      </w:pPr>
      <w:r>
        <w:rPr>
          <w:rFonts w:hint="eastAsia"/>
          <w:snapToGrid/>
          <w:szCs w:val="24"/>
        </w:rPr>
        <w:tab/>
      </w:r>
      <w:r>
        <w:rPr>
          <w:snapToGrid/>
          <w:szCs w:val="24"/>
        </w:rPr>
        <w:t>20.</w:t>
      </w:r>
      <w:r>
        <w:rPr>
          <w:rFonts w:hint="eastAsia"/>
          <w:snapToGrid/>
          <w:szCs w:val="24"/>
        </w:rPr>
        <w:t xml:space="preserve">  </w:t>
      </w:r>
      <w:r>
        <w:rPr>
          <w:rFonts w:hint="eastAsia"/>
          <w:snapToGrid/>
          <w:szCs w:val="24"/>
        </w:rPr>
        <w:t>据报告，在缔约国境内失踪的人人数很多，委员会对此感到关注。</w:t>
      </w:r>
    </w:p>
    <w:p w:rsidR="00000000" w:rsidRDefault="00000000">
      <w:pPr>
        <w:rPr>
          <w:rFonts w:hint="eastAsia"/>
          <w:snapToGrid/>
          <w:szCs w:val="24"/>
        </w:rPr>
      </w:pPr>
      <w:r>
        <w:rPr>
          <w:rFonts w:hint="eastAsia"/>
          <w:snapToGrid/>
          <w:szCs w:val="24"/>
        </w:rPr>
        <w:tab/>
      </w:r>
      <w:r>
        <w:rPr>
          <w:snapToGrid/>
          <w:szCs w:val="24"/>
        </w:rPr>
        <w:t>21.</w:t>
      </w:r>
      <w:r>
        <w:rPr>
          <w:rFonts w:hint="eastAsia"/>
          <w:snapToGrid/>
          <w:szCs w:val="24"/>
        </w:rPr>
        <w:t xml:space="preserve">  </w:t>
      </w:r>
      <w:r>
        <w:rPr>
          <w:rFonts w:hint="eastAsia"/>
          <w:snapToGrid/>
          <w:szCs w:val="24"/>
        </w:rPr>
        <w:t>委员会关注到家庭暴力事件发生频繁，而且缺乏收容遭受暴力妇女的收容所。委员会并关注，根据现行法律，家庭暴力的受害者无法得到适当保护。</w:t>
      </w:r>
    </w:p>
    <w:p w:rsidR="00000000" w:rsidRDefault="00000000">
      <w:pPr>
        <w:rPr>
          <w:rFonts w:hint="eastAsia"/>
          <w:snapToGrid/>
          <w:szCs w:val="24"/>
        </w:rPr>
      </w:pPr>
      <w:r>
        <w:rPr>
          <w:rFonts w:hint="eastAsia"/>
          <w:snapToGrid/>
          <w:szCs w:val="24"/>
        </w:rPr>
        <w:tab/>
      </w:r>
      <w:r>
        <w:rPr>
          <w:snapToGrid/>
          <w:szCs w:val="24"/>
        </w:rPr>
        <w:t>22.</w:t>
      </w:r>
      <w:r>
        <w:rPr>
          <w:rFonts w:hint="eastAsia"/>
          <w:snapToGrid/>
          <w:szCs w:val="24"/>
        </w:rPr>
        <w:t xml:space="preserve">  </w:t>
      </w:r>
      <w:r>
        <w:rPr>
          <w:rFonts w:hint="eastAsia"/>
          <w:snapToGrid/>
          <w:szCs w:val="24"/>
        </w:rPr>
        <w:t>委员会对于缔约国境内流浪儿童问题感到关注，并关注缺少有关送到收容所的儿童的情况。</w:t>
      </w:r>
    </w:p>
    <w:p w:rsidR="00000000" w:rsidRDefault="00000000">
      <w:pPr>
        <w:rPr>
          <w:rFonts w:hint="eastAsia"/>
          <w:snapToGrid/>
          <w:szCs w:val="24"/>
        </w:rPr>
      </w:pPr>
      <w:r>
        <w:rPr>
          <w:rFonts w:hint="eastAsia"/>
          <w:snapToGrid/>
          <w:szCs w:val="24"/>
        </w:rPr>
        <w:tab/>
      </w:r>
      <w:r>
        <w:rPr>
          <w:snapToGrid/>
          <w:szCs w:val="24"/>
        </w:rPr>
        <w:t>23.</w:t>
      </w:r>
      <w:r>
        <w:rPr>
          <w:rFonts w:hint="eastAsia"/>
          <w:snapToGrid/>
          <w:szCs w:val="24"/>
        </w:rPr>
        <w:t xml:space="preserve">  </w:t>
      </w:r>
      <w:r>
        <w:rPr>
          <w:rFonts w:hint="eastAsia"/>
          <w:snapToGrid/>
          <w:szCs w:val="24"/>
        </w:rPr>
        <w:t>委员会关注到缔约国农村地区的情况，缔约国在对问题清单的书面答复中报告说，在这些地区，由于没有进行农业改革“使得将近四分之一的立陶宛人看不到经济前景或希望”。</w:t>
      </w:r>
    </w:p>
    <w:p w:rsidR="00000000" w:rsidRDefault="00000000">
      <w:pPr>
        <w:rPr>
          <w:rFonts w:hint="eastAsia"/>
          <w:snapToGrid/>
          <w:szCs w:val="24"/>
        </w:rPr>
      </w:pPr>
      <w:r>
        <w:rPr>
          <w:rFonts w:hint="eastAsia"/>
          <w:snapToGrid/>
          <w:szCs w:val="24"/>
        </w:rPr>
        <w:tab/>
      </w:r>
      <w:r>
        <w:rPr>
          <w:snapToGrid/>
          <w:szCs w:val="24"/>
        </w:rPr>
        <w:t>24.</w:t>
      </w:r>
      <w:r>
        <w:rPr>
          <w:rFonts w:hint="eastAsia"/>
          <w:snapToGrid/>
          <w:szCs w:val="24"/>
        </w:rPr>
        <w:t xml:space="preserve">  </w:t>
      </w:r>
      <w:r>
        <w:rPr>
          <w:rFonts w:hint="eastAsia"/>
          <w:snapToGrid/>
          <w:szCs w:val="24"/>
        </w:rPr>
        <w:t>委员会对于缔约国的无家可归的问题表示关注，并对于在立陶宛没有关于无家可归者的人数的官方数据表示遗憾。</w:t>
      </w:r>
    </w:p>
    <w:p w:rsidR="00000000" w:rsidRDefault="00000000">
      <w:pPr>
        <w:rPr>
          <w:rFonts w:hint="eastAsia"/>
          <w:snapToGrid/>
          <w:szCs w:val="24"/>
        </w:rPr>
      </w:pPr>
      <w:r>
        <w:rPr>
          <w:rFonts w:hint="eastAsia"/>
          <w:snapToGrid/>
          <w:szCs w:val="24"/>
        </w:rPr>
        <w:tab/>
      </w:r>
      <w:r>
        <w:rPr>
          <w:snapToGrid/>
          <w:szCs w:val="24"/>
        </w:rPr>
        <w:t>25.</w:t>
      </w:r>
      <w:r>
        <w:rPr>
          <w:rFonts w:hint="eastAsia"/>
          <w:snapToGrid/>
          <w:szCs w:val="24"/>
        </w:rPr>
        <w:t xml:space="preserve">  </w:t>
      </w:r>
      <w:r>
        <w:rPr>
          <w:rFonts w:hint="eastAsia"/>
          <w:snapToGrid/>
          <w:szCs w:val="24"/>
        </w:rPr>
        <w:t>委员会关注在缔约国没有足够的适当住房，而且社会住房也严重短缺。</w:t>
      </w:r>
    </w:p>
    <w:p w:rsidR="00000000" w:rsidRDefault="00000000">
      <w:pPr>
        <w:rPr>
          <w:rFonts w:hint="eastAsia"/>
          <w:snapToGrid/>
          <w:szCs w:val="24"/>
        </w:rPr>
      </w:pPr>
      <w:r>
        <w:rPr>
          <w:rFonts w:hint="eastAsia"/>
          <w:snapToGrid/>
          <w:szCs w:val="24"/>
        </w:rPr>
        <w:tab/>
      </w:r>
      <w:r>
        <w:rPr>
          <w:snapToGrid/>
          <w:szCs w:val="24"/>
        </w:rPr>
        <w:t>26.</w:t>
      </w:r>
      <w:r>
        <w:rPr>
          <w:rFonts w:hint="eastAsia"/>
          <w:snapToGrid/>
          <w:szCs w:val="24"/>
        </w:rPr>
        <w:t xml:space="preserve">  </w:t>
      </w:r>
      <w:r>
        <w:rPr>
          <w:rFonts w:hint="eastAsia"/>
          <w:snapToGrid/>
          <w:szCs w:val="24"/>
        </w:rPr>
        <w:t>委员会对于缔约国的自杀率很高、特别是农村居民自杀率高的现象表示关注。</w:t>
      </w:r>
    </w:p>
    <w:p w:rsidR="00000000" w:rsidRDefault="00000000">
      <w:pPr>
        <w:rPr>
          <w:rFonts w:hint="eastAsia"/>
          <w:snapToGrid/>
          <w:szCs w:val="24"/>
        </w:rPr>
      </w:pPr>
      <w:r>
        <w:rPr>
          <w:rFonts w:hint="eastAsia"/>
          <w:snapToGrid/>
          <w:szCs w:val="24"/>
        </w:rPr>
        <w:tab/>
      </w:r>
      <w:r>
        <w:rPr>
          <w:snapToGrid/>
          <w:szCs w:val="24"/>
        </w:rPr>
        <w:t>27.</w:t>
      </w:r>
      <w:r>
        <w:rPr>
          <w:rFonts w:hint="eastAsia"/>
          <w:snapToGrid/>
          <w:szCs w:val="24"/>
        </w:rPr>
        <w:t xml:space="preserve">  </w:t>
      </w:r>
      <w:r>
        <w:rPr>
          <w:rFonts w:hint="eastAsia"/>
          <w:snapToGrid/>
          <w:szCs w:val="24"/>
        </w:rPr>
        <w:t>委员会关注，酗酒和吸烟过度造成的死亡率很高、尤其是男性的死亡率很高。</w:t>
      </w:r>
    </w:p>
    <w:p w:rsidR="00000000" w:rsidRDefault="00000000">
      <w:pPr>
        <w:rPr>
          <w:rFonts w:hint="eastAsia"/>
          <w:snapToGrid/>
          <w:szCs w:val="24"/>
        </w:rPr>
      </w:pPr>
      <w:r>
        <w:rPr>
          <w:rFonts w:hint="eastAsia"/>
          <w:snapToGrid/>
          <w:szCs w:val="24"/>
        </w:rPr>
        <w:tab/>
      </w:r>
      <w:r>
        <w:rPr>
          <w:snapToGrid/>
          <w:szCs w:val="24"/>
        </w:rPr>
        <w:t>28.</w:t>
      </w:r>
      <w:r>
        <w:rPr>
          <w:rFonts w:hint="eastAsia"/>
          <w:snapToGrid/>
          <w:szCs w:val="24"/>
        </w:rPr>
        <w:t xml:space="preserve">  </w:t>
      </w:r>
      <w:r>
        <w:rPr>
          <w:rFonts w:hint="eastAsia"/>
          <w:snapToGrid/>
          <w:szCs w:val="24"/>
        </w:rPr>
        <w:t>委员会关注堕胎的年轻妇女</w:t>
      </w:r>
      <w:r>
        <w:rPr>
          <w:rFonts w:hint="eastAsia"/>
          <w:snapToGrid/>
          <w:szCs w:val="24"/>
        </w:rPr>
        <w:t>(</w:t>
      </w:r>
      <w:r>
        <w:rPr>
          <w:rFonts w:hint="eastAsia"/>
          <w:snapToGrid/>
          <w:szCs w:val="24"/>
        </w:rPr>
        <w:t>年龄</w:t>
      </w:r>
      <w:r>
        <w:rPr>
          <w:snapToGrid/>
          <w:szCs w:val="24"/>
        </w:rPr>
        <w:t>19</w:t>
      </w:r>
      <w:r>
        <w:rPr>
          <w:rFonts w:hint="eastAsia"/>
          <w:snapToGrid/>
          <w:szCs w:val="24"/>
        </w:rPr>
        <w:t>岁和未满</w:t>
      </w:r>
      <w:r>
        <w:rPr>
          <w:rFonts w:hint="eastAsia"/>
          <w:snapToGrid/>
          <w:szCs w:val="24"/>
        </w:rPr>
        <w:t>19</w:t>
      </w:r>
      <w:r>
        <w:rPr>
          <w:rFonts w:hint="eastAsia"/>
          <w:snapToGrid/>
          <w:szCs w:val="24"/>
        </w:rPr>
        <w:t>岁</w:t>
      </w:r>
      <w:r>
        <w:rPr>
          <w:rFonts w:hint="eastAsia"/>
          <w:snapToGrid/>
          <w:szCs w:val="24"/>
        </w:rPr>
        <w:t>)</w:t>
      </w:r>
      <w:r>
        <w:rPr>
          <w:rFonts w:hint="eastAsia"/>
          <w:snapToGrid/>
          <w:szCs w:val="24"/>
        </w:rPr>
        <w:t>人数正在增加，并对缔约国未能提供有关生殖卫生的任何资料感到遗憾。</w:t>
      </w:r>
    </w:p>
    <w:p w:rsidR="00000000" w:rsidRDefault="00000000">
      <w:pPr>
        <w:spacing w:after="320"/>
        <w:rPr>
          <w:snapToGrid/>
          <w:szCs w:val="24"/>
        </w:rPr>
      </w:pPr>
      <w:r>
        <w:rPr>
          <w:rFonts w:hint="eastAsia"/>
          <w:snapToGrid/>
          <w:szCs w:val="24"/>
        </w:rPr>
        <w:tab/>
      </w:r>
      <w:r>
        <w:rPr>
          <w:snapToGrid/>
          <w:szCs w:val="24"/>
        </w:rPr>
        <w:t>29.</w:t>
      </w:r>
      <w:r>
        <w:rPr>
          <w:rFonts w:hint="eastAsia"/>
          <w:snapToGrid/>
          <w:szCs w:val="24"/>
        </w:rPr>
        <w:t xml:space="preserve">  </w:t>
      </w:r>
      <w:r>
        <w:rPr>
          <w:rFonts w:hint="eastAsia"/>
          <w:snapToGrid/>
          <w:szCs w:val="24"/>
        </w:rPr>
        <w:t>委员会对学龄儿童的失学率情况感到关注。</w:t>
      </w:r>
    </w:p>
    <w:p w:rsidR="00000000" w:rsidRDefault="00000000">
      <w:pPr>
        <w:pStyle w:val="Heading3"/>
        <w:rPr>
          <w:snapToGrid/>
          <w:kern w:val="0"/>
        </w:rPr>
      </w:pPr>
      <w:r>
        <w:rPr>
          <w:snapToGrid/>
          <w:kern w:val="0"/>
          <w:u w:val="none"/>
        </w:rPr>
        <w:t>E.</w:t>
      </w:r>
      <w:r>
        <w:rPr>
          <w:rFonts w:hint="eastAsia"/>
          <w:snapToGrid/>
          <w:kern w:val="0"/>
          <w:u w:val="none"/>
        </w:rPr>
        <w:t xml:space="preserve">  </w:t>
      </w:r>
      <w:r>
        <w:rPr>
          <w:rFonts w:hint="eastAsia"/>
          <w:snapToGrid/>
          <w:kern w:val="0"/>
        </w:rPr>
        <w:t>提议和建议</w:t>
      </w:r>
    </w:p>
    <w:p w:rsidR="00000000" w:rsidRDefault="00000000">
      <w:pPr>
        <w:rPr>
          <w:rFonts w:hint="eastAsia"/>
          <w:snapToGrid/>
          <w:szCs w:val="24"/>
        </w:rPr>
      </w:pPr>
      <w:r>
        <w:rPr>
          <w:rFonts w:hint="eastAsia"/>
          <w:snapToGrid/>
          <w:szCs w:val="24"/>
        </w:rPr>
        <w:tab/>
      </w:r>
      <w:r>
        <w:rPr>
          <w:snapToGrid/>
          <w:szCs w:val="24"/>
        </w:rPr>
        <w:t>30.</w:t>
      </w:r>
      <w:r>
        <w:rPr>
          <w:rFonts w:hint="eastAsia"/>
          <w:snapToGrid/>
          <w:szCs w:val="24"/>
        </w:rPr>
        <w:t xml:space="preserve">  </w:t>
      </w:r>
      <w:r>
        <w:rPr>
          <w:rFonts w:hint="eastAsia"/>
          <w:snapToGrid/>
          <w:szCs w:val="24"/>
        </w:rPr>
        <w:t>委员会建议缔约国采取措施，使一般公众和司法部门广泛认识《公约》，并了解可以在法院诉讼中援引《公约》的条款。</w:t>
      </w:r>
    </w:p>
    <w:p w:rsidR="00000000" w:rsidRDefault="00000000">
      <w:pPr>
        <w:rPr>
          <w:rFonts w:hint="eastAsia"/>
          <w:snapToGrid/>
          <w:szCs w:val="24"/>
        </w:rPr>
      </w:pPr>
      <w:r>
        <w:rPr>
          <w:rFonts w:hint="eastAsia"/>
          <w:snapToGrid/>
          <w:szCs w:val="24"/>
        </w:rPr>
        <w:tab/>
      </w:r>
      <w:r>
        <w:rPr>
          <w:snapToGrid/>
          <w:szCs w:val="24"/>
        </w:rPr>
        <w:t>31.</w:t>
      </w:r>
      <w:r>
        <w:rPr>
          <w:rFonts w:hint="eastAsia"/>
          <w:snapToGrid/>
          <w:szCs w:val="24"/>
        </w:rPr>
        <w:t xml:space="preserve">  </w:t>
      </w:r>
      <w:r>
        <w:rPr>
          <w:rFonts w:hint="eastAsia"/>
          <w:snapToGrid/>
          <w:szCs w:val="24"/>
        </w:rPr>
        <w:t>委员会请缔约国在其第二次定期报告中提供有关罗姆人享受经济、社会和文化权利情况的详细资料，包括在罗姆人社区代表的参与下对“</w:t>
      </w:r>
      <w:r>
        <w:rPr>
          <w:snapToGrid/>
          <w:szCs w:val="24"/>
        </w:rPr>
        <w:t>2000-2004</w:t>
      </w:r>
      <w:r>
        <w:rPr>
          <w:rFonts w:hint="eastAsia"/>
          <w:snapToGrid/>
          <w:szCs w:val="24"/>
        </w:rPr>
        <w:t>年促进罗姆人融入立陶宛社会的方案”影响的评价，以及提供关于</w:t>
      </w:r>
      <w:r>
        <w:rPr>
          <w:snapToGrid/>
          <w:szCs w:val="24"/>
        </w:rPr>
        <w:t>2005-2010</w:t>
      </w:r>
      <w:r>
        <w:rPr>
          <w:rFonts w:hint="eastAsia"/>
          <w:snapToGrid/>
          <w:szCs w:val="24"/>
        </w:rPr>
        <w:t>年期间根据该方案第二阶段采取的各项措施的情况。</w:t>
      </w:r>
    </w:p>
    <w:p w:rsidR="00000000" w:rsidRDefault="00000000">
      <w:pPr>
        <w:rPr>
          <w:rFonts w:hint="eastAsia"/>
          <w:snapToGrid/>
          <w:szCs w:val="24"/>
        </w:rPr>
      </w:pPr>
      <w:r>
        <w:rPr>
          <w:rFonts w:hint="eastAsia"/>
          <w:snapToGrid/>
          <w:szCs w:val="24"/>
        </w:rPr>
        <w:tab/>
      </w:r>
      <w:r>
        <w:rPr>
          <w:snapToGrid/>
          <w:szCs w:val="24"/>
        </w:rPr>
        <w:t>32.</w:t>
      </w:r>
      <w:r>
        <w:rPr>
          <w:rFonts w:hint="eastAsia"/>
          <w:snapToGrid/>
          <w:szCs w:val="24"/>
        </w:rPr>
        <w:t xml:space="preserve">  </w:t>
      </w:r>
      <w:r>
        <w:rPr>
          <w:rFonts w:hint="eastAsia"/>
          <w:snapToGrid/>
          <w:szCs w:val="24"/>
        </w:rPr>
        <w:t>委员会建议，缔约国应继续加强各项努力，以提高妇女地位，其方式应包括扩大“男女机会均等全国方案”及其他适当措施，并在其下一次定期报告中报告这方面所取得的进展。</w:t>
      </w:r>
    </w:p>
    <w:p w:rsidR="00000000" w:rsidRDefault="00000000">
      <w:pPr>
        <w:rPr>
          <w:rFonts w:hint="eastAsia"/>
          <w:snapToGrid/>
          <w:szCs w:val="24"/>
        </w:rPr>
      </w:pPr>
      <w:r>
        <w:rPr>
          <w:rFonts w:hint="eastAsia"/>
          <w:snapToGrid/>
          <w:szCs w:val="24"/>
        </w:rPr>
        <w:tab/>
      </w:r>
      <w:r>
        <w:rPr>
          <w:snapToGrid/>
          <w:szCs w:val="24"/>
        </w:rPr>
        <w:t>33.</w:t>
      </w:r>
      <w:r>
        <w:rPr>
          <w:rFonts w:hint="eastAsia"/>
          <w:snapToGrid/>
          <w:szCs w:val="24"/>
        </w:rPr>
        <w:t xml:space="preserve">  </w:t>
      </w:r>
      <w:r>
        <w:rPr>
          <w:rFonts w:hint="eastAsia"/>
          <w:snapToGrid/>
          <w:szCs w:val="24"/>
        </w:rPr>
        <w:t>委员会促请缔约国继续加紧努力，结合“</w:t>
      </w:r>
      <w:r>
        <w:rPr>
          <w:snapToGrid/>
          <w:szCs w:val="24"/>
        </w:rPr>
        <w:t>2001-2004</w:t>
      </w:r>
      <w:r>
        <w:rPr>
          <w:rFonts w:hint="eastAsia"/>
          <w:snapToGrid/>
          <w:szCs w:val="24"/>
        </w:rPr>
        <w:t>年立陶宛共和国增加就业机会方案”争取减少失业，并将失业最严重的地区以及处境不利和被排斥群体定为方案优先考虑的对象。</w:t>
      </w:r>
    </w:p>
    <w:p w:rsidR="00000000" w:rsidRDefault="00000000">
      <w:pPr>
        <w:rPr>
          <w:rFonts w:hint="eastAsia"/>
          <w:snapToGrid/>
          <w:szCs w:val="24"/>
        </w:rPr>
      </w:pPr>
      <w:r>
        <w:rPr>
          <w:rFonts w:hint="eastAsia"/>
          <w:snapToGrid/>
          <w:szCs w:val="24"/>
        </w:rPr>
        <w:tab/>
      </w:r>
      <w:r>
        <w:rPr>
          <w:snapToGrid/>
          <w:szCs w:val="24"/>
        </w:rPr>
        <w:t>34.</w:t>
      </w:r>
      <w:r>
        <w:rPr>
          <w:rFonts w:hint="eastAsia"/>
          <w:snapToGrid/>
          <w:szCs w:val="24"/>
        </w:rPr>
        <w:t xml:space="preserve">  </w:t>
      </w:r>
      <w:r>
        <w:rPr>
          <w:rFonts w:hint="eastAsia"/>
          <w:snapToGrid/>
          <w:szCs w:val="24"/>
        </w:rPr>
        <w:t>委员会建议，缔约国根据“</w:t>
      </w:r>
      <w:r>
        <w:rPr>
          <w:snapToGrid/>
          <w:szCs w:val="24"/>
        </w:rPr>
        <w:t>2003</w:t>
      </w:r>
      <w:r>
        <w:rPr>
          <w:rFonts w:hint="eastAsia"/>
          <w:snapToGrid/>
          <w:szCs w:val="24"/>
        </w:rPr>
        <w:t>-</w:t>
      </w:r>
      <w:r>
        <w:rPr>
          <w:snapToGrid/>
          <w:szCs w:val="24"/>
        </w:rPr>
        <w:t>2012</w:t>
      </w:r>
      <w:r>
        <w:rPr>
          <w:rFonts w:hint="eastAsia"/>
          <w:snapToGrid/>
          <w:szCs w:val="24"/>
        </w:rPr>
        <w:t>年残疾人士融入社会的国家方案”采取有效措施，帮助残疾人士融入劳工市场，这些措施可以包括向雇用残疾人士的雇主提供奖励，并加强残疾人士工作机会分配制。</w:t>
      </w:r>
    </w:p>
    <w:p w:rsidR="00000000" w:rsidRDefault="00000000">
      <w:pPr>
        <w:rPr>
          <w:rFonts w:hint="eastAsia"/>
          <w:snapToGrid/>
          <w:szCs w:val="24"/>
        </w:rPr>
      </w:pPr>
      <w:r>
        <w:rPr>
          <w:rFonts w:hint="eastAsia"/>
          <w:snapToGrid/>
          <w:szCs w:val="24"/>
        </w:rPr>
        <w:tab/>
      </w:r>
      <w:r>
        <w:rPr>
          <w:snapToGrid/>
          <w:szCs w:val="24"/>
        </w:rPr>
        <w:t>35.</w:t>
      </w:r>
      <w:r>
        <w:rPr>
          <w:rFonts w:hint="eastAsia"/>
          <w:snapToGrid/>
          <w:szCs w:val="24"/>
        </w:rPr>
        <w:t xml:space="preserve">  </w:t>
      </w:r>
      <w:r>
        <w:rPr>
          <w:rFonts w:hint="eastAsia"/>
          <w:snapToGrid/>
          <w:szCs w:val="24"/>
        </w:rPr>
        <w:t>委员会促请缔约国努力保证，最低工资足以为工人及其家庭提供体面的生活水平。此外，缔约国应当制订一项机制，定期对最低工资与生活费用设定指数并据此进行调整。</w:t>
      </w:r>
    </w:p>
    <w:p w:rsidR="00000000" w:rsidRDefault="00000000">
      <w:pPr>
        <w:rPr>
          <w:rFonts w:hint="eastAsia"/>
          <w:snapToGrid/>
          <w:szCs w:val="24"/>
        </w:rPr>
      </w:pPr>
      <w:r>
        <w:rPr>
          <w:rFonts w:hint="eastAsia"/>
          <w:snapToGrid/>
          <w:szCs w:val="24"/>
        </w:rPr>
        <w:tab/>
      </w:r>
      <w:r>
        <w:rPr>
          <w:snapToGrid/>
          <w:szCs w:val="24"/>
        </w:rPr>
        <w:t>36.</w:t>
      </w:r>
      <w:r>
        <w:rPr>
          <w:rFonts w:hint="eastAsia"/>
          <w:snapToGrid/>
          <w:szCs w:val="24"/>
        </w:rPr>
        <w:t xml:space="preserve">  </w:t>
      </w:r>
      <w:r>
        <w:rPr>
          <w:rFonts w:hint="eastAsia"/>
          <w:snapToGrid/>
          <w:szCs w:val="24"/>
        </w:rPr>
        <w:t>委员会促请缔约国采取有效措施防止工伤事故，其中包括加强劳工监督，以便确保不遵守安全规定的雇主受到制裁。</w:t>
      </w:r>
    </w:p>
    <w:p w:rsidR="00000000" w:rsidRDefault="00000000">
      <w:pPr>
        <w:rPr>
          <w:rFonts w:hint="eastAsia"/>
          <w:snapToGrid/>
          <w:szCs w:val="24"/>
        </w:rPr>
      </w:pPr>
      <w:r>
        <w:rPr>
          <w:rFonts w:hint="eastAsia"/>
          <w:snapToGrid/>
          <w:szCs w:val="24"/>
        </w:rPr>
        <w:tab/>
      </w:r>
      <w:r>
        <w:rPr>
          <w:snapToGrid/>
          <w:szCs w:val="24"/>
        </w:rPr>
        <w:t>37.</w:t>
      </w:r>
      <w:r>
        <w:rPr>
          <w:rFonts w:hint="eastAsia"/>
          <w:snapToGrid/>
          <w:szCs w:val="24"/>
        </w:rPr>
        <w:t xml:space="preserve">  </w:t>
      </w:r>
      <w:r>
        <w:rPr>
          <w:rFonts w:hint="eastAsia"/>
          <w:snapToGrid/>
          <w:szCs w:val="24"/>
        </w:rPr>
        <w:t>委员会请缔约国提供有关根据《劳工法》对罢工权进行限制的详细情况，以及有关三方理事会在集体谈判过程中的职能，包括禁止罢工的那些“基本服务”。</w:t>
      </w:r>
    </w:p>
    <w:p w:rsidR="00000000" w:rsidRDefault="00000000">
      <w:pPr>
        <w:rPr>
          <w:rFonts w:hint="eastAsia"/>
          <w:snapToGrid/>
          <w:szCs w:val="24"/>
        </w:rPr>
      </w:pPr>
      <w:r>
        <w:rPr>
          <w:rFonts w:hint="eastAsia"/>
          <w:snapToGrid/>
          <w:szCs w:val="24"/>
        </w:rPr>
        <w:tab/>
      </w:r>
      <w:r>
        <w:rPr>
          <w:snapToGrid/>
          <w:szCs w:val="24"/>
        </w:rPr>
        <w:t>38.</w:t>
      </w:r>
      <w:r>
        <w:rPr>
          <w:rFonts w:hint="eastAsia"/>
          <w:snapToGrid/>
          <w:szCs w:val="24"/>
        </w:rPr>
        <w:t xml:space="preserve">  </w:t>
      </w:r>
      <w:r>
        <w:rPr>
          <w:rFonts w:hint="eastAsia"/>
          <w:snapToGrid/>
          <w:szCs w:val="24"/>
        </w:rPr>
        <w:t>委员会促请缔约国建立一种制度，对反映基本生活费用变化的基本养恤金数额设定指数并据此调整，并保证基本养恤金足以提供适当的生活水平。委员会鼓励缔约国按计划批准劳工组织《关于社会保障最低标准的第</w:t>
      </w:r>
      <w:r>
        <w:rPr>
          <w:snapToGrid/>
          <w:szCs w:val="24"/>
        </w:rPr>
        <w:t>102</w:t>
      </w:r>
      <w:r>
        <w:rPr>
          <w:rFonts w:hint="eastAsia"/>
          <w:snapToGrid/>
          <w:szCs w:val="24"/>
        </w:rPr>
        <w:t>号公约》，并考虑批准劳工组织《关于在社会保障中国民和非国民享有同等待遇的第</w:t>
      </w:r>
      <w:r>
        <w:rPr>
          <w:snapToGrid/>
          <w:szCs w:val="24"/>
        </w:rPr>
        <w:t>118</w:t>
      </w:r>
      <w:r>
        <w:rPr>
          <w:rFonts w:hint="eastAsia"/>
          <w:snapToGrid/>
          <w:szCs w:val="24"/>
        </w:rPr>
        <w:t>号公约》。</w:t>
      </w:r>
    </w:p>
    <w:p w:rsidR="00000000" w:rsidRDefault="00000000">
      <w:pPr>
        <w:rPr>
          <w:rFonts w:hint="eastAsia"/>
          <w:snapToGrid/>
          <w:szCs w:val="24"/>
        </w:rPr>
      </w:pPr>
      <w:r>
        <w:rPr>
          <w:rFonts w:hint="eastAsia"/>
          <w:snapToGrid/>
          <w:szCs w:val="24"/>
        </w:rPr>
        <w:tab/>
      </w:r>
      <w:r>
        <w:rPr>
          <w:snapToGrid/>
          <w:szCs w:val="24"/>
        </w:rPr>
        <w:t>39.</w:t>
      </w:r>
      <w:r>
        <w:rPr>
          <w:rFonts w:hint="eastAsia"/>
          <w:snapToGrid/>
          <w:szCs w:val="24"/>
        </w:rPr>
        <w:t xml:space="preserve">  </w:t>
      </w:r>
      <w:r>
        <w:rPr>
          <w:rFonts w:hint="eastAsia"/>
          <w:snapToGrid/>
          <w:szCs w:val="24"/>
        </w:rPr>
        <w:t>委员会建议缔约国增加失业津贴的范围和数额，从而保证失业津贴足以保证适当的生活水平，并进一步放宽可享受津贴的条件。</w:t>
      </w:r>
    </w:p>
    <w:p w:rsidR="00000000" w:rsidRDefault="00000000">
      <w:pPr>
        <w:rPr>
          <w:rFonts w:hint="eastAsia"/>
          <w:snapToGrid/>
          <w:szCs w:val="24"/>
        </w:rPr>
      </w:pPr>
      <w:r>
        <w:rPr>
          <w:rFonts w:hint="eastAsia"/>
          <w:snapToGrid/>
          <w:szCs w:val="24"/>
        </w:rPr>
        <w:tab/>
      </w:r>
      <w:r>
        <w:rPr>
          <w:snapToGrid/>
          <w:szCs w:val="24"/>
        </w:rPr>
        <w:t>40.</w:t>
      </w:r>
      <w:r>
        <w:rPr>
          <w:rFonts w:hint="eastAsia"/>
          <w:snapToGrid/>
          <w:szCs w:val="24"/>
        </w:rPr>
        <w:t xml:space="preserve">  </w:t>
      </w:r>
      <w:r>
        <w:rPr>
          <w:rFonts w:hint="eastAsia"/>
          <w:snapToGrid/>
          <w:szCs w:val="24"/>
        </w:rPr>
        <w:t>委员会促请缔约国尽力纠正各区域间的不平衡来促进接受社会福利和社会服务的均等机会。</w:t>
      </w:r>
    </w:p>
    <w:p w:rsidR="00000000" w:rsidRDefault="00000000">
      <w:pPr>
        <w:rPr>
          <w:rFonts w:hint="eastAsia"/>
          <w:snapToGrid/>
          <w:szCs w:val="24"/>
        </w:rPr>
      </w:pPr>
      <w:r>
        <w:rPr>
          <w:rFonts w:hint="eastAsia"/>
          <w:snapToGrid/>
          <w:szCs w:val="24"/>
        </w:rPr>
        <w:tab/>
      </w:r>
      <w:r>
        <w:rPr>
          <w:snapToGrid/>
          <w:szCs w:val="24"/>
        </w:rPr>
        <w:t>41.</w:t>
      </w:r>
      <w:r>
        <w:rPr>
          <w:rFonts w:hint="eastAsia"/>
          <w:snapToGrid/>
          <w:szCs w:val="24"/>
        </w:rPr>
        <w:t xml:space="preserve">  </w:t>
      </w:r>
      <w:r>
        <w:rPr>
          <w:rFonts w:hint="eastAsia"/>
          <w:snapToGrid/>
          <w:szCs w:val="24"/>
        </w:rPr>
        <w:t>委员会建议缔约国加强根据“</w:t>
      </w:r>
      <w:r>
        <w:rPr>
          <w:snapToGrid/>
          <w:szCs w:val="24"/>
        </w:rPr>
        <w:t>2002-2004</w:t>
      </w:r>
      <w:r>
        <w:rPr>
          <w:rFonts w:hint="eastAsia"/>
          <w:snapToGrid/>
          <w:szCs w:val="24"/>
        </w:rPr>
        <w:t>年管制和防止卖淫和为商业目的贩卖人口方案”采取的措施，包括通过加强这方面的国际合作。缔约国还应保证人口贩运的受害者能够向危机中心求援，取得帮助。委员会并建议，缔约国在其第二次定期报告中提供有关为制止贩运妇女儿童并对其进行商业化性剥削的措施的详细资料，并提供可比较的统计数据表明问题的严重程度。</w:t>
      </w:r>
    </w:p>
    <w:p w:rsidR="00000000" w:rsidRDefault="00000000">
      <w:pPr>
        <w:rPr>
          <w:rFonts w:hint="eastAsia"/>
          <w:snapToGrid/>
          <w:szCs w:val="24"/>
        </w:rPr>
      </w:pPr>
      <w:r>
        <w:rPr>
          <w:rFonts w:hint="eastAsia"/>
          <w:snapToGrid/>
          <w:szCs w:val="24"/>
        </w:rPr>
        <w:tab/>
      </w:r>
      <w:r>
        <w:rPr>
          <w:snapToGrid/>
          <w:szCs w:val="24"/>
        </w:rPr>
        <w:t>42.</w:t>
      </w:r>
      <w:r>
        <w:rPr>
          <w:rFonts w:hint="eastAsia"/>
          <w:snapToGrid/>
          <w:szCs w:val="24"/>
        </w:rPr>
        <w:t xml:space="preserve">  </w:t>
      </w:r>
      <w:r>
        <w:rPr>
          <w:rFonts w:hint="eastAsia"/>
          <w:snapToGrid/>
          <w:szCs w:val="24"/>
        </w:rPr>
        <w:t>委员会建议缔约国在其下一次定期报告中提供有关为解决失踪人士问题而采取的行动的详细资料。</w:t>
      </w:r>
    </w:p>
    <w:p w:rsidR="00000000" w:rsidRDefault="00000000">
      <w:pPr>
        <w:rPr>
          <w:rFonts w:hint="eastAsia"/>
          <w:snapToGrid/>
          <w:szCs w:val="24"/>
        </w:rPr>
      </w:pPr>
      <w:r>
        <w:rPr>
          <w:rFonts w:hint="eastAsia"/>
          <w:snapToGrid/>
          <w:szCs w:val="24"/>
        </w:rPr>
        <w:tab/>
      </w:r>
      <w:r>
        <w:rPr>
          <w:snapToGrid/>
          <w:szCs w:val="24"/>
        </w:rPr>
        <w:t>43.</w:t>
      </w:r>
      <w:r>
        <w:rPr>
          <w:rFonts w:hint="eastAsia"/>
          <w:snapToGrid/>
          <w:szCs w:val="24"/>
        </w:rPr>
        <w:t xml:space="preserve">  </w:t>
      </w:r>
      <w:r>
        <w:rPr>
          <w:rFonts w:hint="eastAsia"/>
          <w:snapToGrid/>
          <w:szCs w:val="24"/>
        </w:rPr>
        <w:t>委员会呼吁缔约国加紧努力，制止家庭暴力。尤其是，委员会鼓励缔约国考虑颁布具体法律，规定家庭暴力为刑事罪行，并为受害者提供有效的保护。缔约国并应采取有效措施为执法人员和法官提供训练，使之认识到家庭暴力的刑事罪行性质。此外，委员会吁请缔约国保证向家庭暴力的受害者提供能够得到安全住宿和咨询的危机解救中心。</w:t>
      </w:r>
    </w:p>
    <w:p w:rsidR="00000000" w:rsidRDefault="00000000">
      <w:pPr>
        <w:rPr>
          <w:rFonts w:hint="eastAsia"/>
          <w:snapToGrid/>
          <w:szCs w:val="24"/>
        </w:rPr>
      </w:pPr>
      <w:r>
        <w:rPr>
          <w:rFonts w:hint="eastAsia"/>
          <w:snapToGrid/>
          <w:szCs w:val="24"/>
        </w:rPr>
        <w:tab/>
      </w:r>
      <w:r>
        <w:rPr>
          <w:snapToGrid/>
          <w:szCs w:val="24"/>
        </w:rPr>
        <w:t>44.</w:t>
      </w:r>
      <w:r>
        <w:rPr>
          <w:rFonts w:hint="eastAsia"/>
          <w:snapToGrid/>
          <w:szCs w:val="24"/>
        </w:rPr>
        <w:t xml:space="preserve">  </w:t>
      </w:r>
      <w:r>
        <w:rPr>
          <w:rFonts w:hint="eastAsia"/>
          <w:snapToGrid/>
          <w:szCs w:val="24"/>
        </w:rPr>
        <w:t>委员会促请缔约国将消除流浪儿童的现象作为一项优先工作。在这方面，缔约国应通过加强对有儿童的家庭提供援助，采取有效措施，消除造成忽视、虐待和抛弃儿童的根源。委员会并请缔约国在其第二次定期报告中提供有关这一问题的详尽资料和最新的可比较统计数字。</w:t>
      </w:r>
    </w:p>
    <w:p w:rsidR="00000000" w:rsidRDefault="00000000">
      <w:pPr>
        <w:rPr>
          <w:rFonts w:hint="eastAsia"/>
          <w:snapToGrid/>
          <w:szCs w:val="24"/>
        </w:rPr>
      </w:pPr>
      <w:r>
        <w:rPr>
          <w:rFonts w:hint="eastAsia"/>
          <w:snapToGrid/>
          <w:szCs w:val="24"/>
        </w:rPr>
        <w:tab/>
      </w:r>
      <w:r>
        <w:rPr>
          <w:snapToGrid/>
          <w:szCs w:val="24"/>
        </w:rPr>
        <w:t>45.</w:t>
      </w:r>
      <w:r>
        <w:rPr>
          <w:rFonts w:hint="eastAsia"/>
          <w:snapToGrid/>
          <w:szCs w:val="24"/>
        </w:rPr>
        <w:t xml:space="preserve">  </w:t>
      </w:r>
      <w:r>
        <w:rPr>
          <w:rFonts w:hint="eastAsia"/>
          <w:snapToGrid/>
          <w:szCs w:val="24"/>
        </w:rPr>
        <w:t>委员会呼吁缔约国加强各项旨在改善农村地区生活条件的方案。委员会并建议缔约国制订一项机制，以便衡量和监测贫穷的程度，并在其第二次定期报告中提供生活在贫困线以下的人数情况的分门别类的可比较数据。在这方面，委员会请缔约国参照其于</w:t>
      </w:r>
      <w:r>
        <w:rPr>
          <w:rFonts w:hint="eastAsia"/>
          <w:snapToGrid/>
          <w:szCs w:val="24"/>
        </w:rPr>
        <w:t>2001</w:t>
      </w:r>
      <w:r>
        <w:rPr>
          <w:rFonts w:hint="eastAsia"/>
          <w:snapToGrid/>
          <w:szCs w:val="24"/>
        </w:rPr>
        <w:t>年</w:t>
      </w:r>
      <w:r>
        <w:rPr>
          <w:rFonts w:hint="eastAsia"/>
          <w:snapToGrid/>
          <w:szCs w:val="24"/>
        </w:rPr>
        <w:t>5</w:t>
      </w:r>
      <w:r>
        <w:rPr>
          <w:rFonts w:hint="eastAsia"/>
          <w:snapToGrid/>
          <w:szCs w:val="24"/>
        </w:rPr>
        <w:t>月</w:t>
      </w:r>
      <w:r>
        <w:rPr>
          <w:rFonts w:hint="eastAsia"/>
          <w:snapToGrid/>
          <w:szCs w:val="24"/>
        </w:rPr>
        <w:t>4</w:t>
      </w:r>
      <w:r>
        <w:rPr>
          <w:rFonts w:hint="eastAsia"/>
          <w:snapToGrid/>
          <w:szCs w:val="24"/>
        </w:rPr>
        <w:t>日通过的《关于贫穷与《经济、社会、文化权利国际公约》的声明》</w:t>
      </w:r>
      <w:r>
        <w:rPr>
          <w:rFonts w:hint="eastAsia"/>
          <w:snapToGrid/>
          <w:szCs w:val="24"/>
        </w:rPr>
        <w:t>(</w:t>
      </w:r>
      <w:r>
        <w:rPr>
          <w:snapToGrid/>
          <w:szCs w:val="24"/>
        </w:rPr>
        <w:t>E/C.12/2001/10</w:t>
      </w:r>
      <w:r>
        <w:rPr>
          <w:rFonts w:hint="eastAsia"/>
          <w:snapToGrid/>
          <w:szCs w:val="24"/>
        </w:rPr>
        <w:t>)</w:t>
      </w:r>
      <w:r>
        <w:rPr>
          <w:rFonts w:hint="eastAsia"/>
          <w:snapToGrid/>
          <w:szCs w:val="24"/>
        </w:rPr>
        <w:t>。</w:t>
      </w:r>
    </w:p>
    <w:p w:rsidR="00000000" w:rsidRDefault="00000000">
      <w:pPr>
        <w:rPr>
          <w:rFonts w:hint="eastAsia"/>
          <w:snapToGrid/>
          <w:szCs w:val="24"/>
        </w:rPr>
      </w:pPr>
      <w:r>
        <w:rPr>
          <w:rFonts w:hint="eastAsia"/>
          <w:snapToGrid/>
          <w:szCs w:val="24"/>
        </w:rPr>
        <w:tab/>
      </w:r>
      <w:r>
        <w:rPr>
          <w:snapToGrid/>
          <w:szCs w:val="24"/>
        </w:rPr>
        <w:t>46.</w:t>
      </w:r>
      <w:r>
        <w:rPr>
          <w:rFonts w:hint="eastAsia"/>
          <w:snapToGrid/>
          <w:szCs w:val="24"/>
        </w:rPr>
        <w:t xml:space="preserve">  </w:t>
      </w:r>
      <w:r>
        <w:rPr>
          <w:rFonts w:hint="eastAsia"/>
          <w:snapToGrid/>
          <w:szCs w:val="24"/>
        </w:rPr>
        <w:t>委员会并鼓励缔约国对无家可归问题开展研究，以对这一问题及其根源能有更加确切的了解。</w:t>
      </w:r>
    </w:p>
    <w:p w:rsidR="00000000" w:rsidRDefault="00000000">
      <w:pPr>
        <w:rPr>
          <w:rFonts w:hint="eastAsia"/>
          <w:snapToGrid/>
          <w:szCs w:val="24"/>
        </w:rPr>
      </w:pPr>
      <w:r>
        <w:rPr>
          <w:rFonts w:hint="eastAsia"/>
          <w:snapToGrid/>
          <w:szCs w:val="24"/>
        </w:rPr>
        <w:tab/>
      </w:r>
      <w:r>
        <w:rPr>
          <w:snapToGrid/>
          <w:szCs w:val="24"/>
        </w:rPr>
        <w:t>47.</w:t>
      </w:r>
      <w:r>
        <w:rPr>
          <w:rFonts w:hint="eastAsia"/>
          <w:snapToGrid/>
          <w:szCs w:val="24"/>
        </w:rPr>
        <w:t xml:space="preserve">  </w:t>
      </w:r>
      <w:r>
        <w:rPr>
          <w:rFonts w:hint="eastAsia"/>
          <w:snapToGrid/>
          <w:szCs w:val="24"/>
        </w:rPr>
        <w:t>委员会促请缔约国采取全国性政策，以便保证家庭有适当的住房条件和设备，并对社会性住房拨出足够的资源、特别是为最低收入家庭和处境不利以及被排斥群体提供社会性住房。在这方面，委员会提请缔约国注意关于适当住房权的一般性意见</w:t>
      </w:r>
      <w:r>
        <w:rPr>
          <w:snapToGrid/>
          <w:szCs w:val="24"/>
        </w:rPr>
        <w:t>4</w:t>
      </w:r>
      <w:r>
        <w:rPr>
          <w:rFonts w:hint="eastAsia"/>
          <w:snapToGrid/>
          <w:szCs w:val="24"/>
        </w:rPr>
        <w:t>(</w:t>
      </w:r>
      <w:r>
        <w:rPr>
          <w:snapToGrid/>
          <w:szCs w:val="24"/>
        </w:rPr>
        <w:t>1991</w:t>
      </w:r>
      <w:r>
        <w:rPr>
          <w:rFonts w:hint="eastAsia"/>
          <w:snapToGrid/>
          <w:szCs w:val="24"/>
        </w:rPr>
        <w:t>年</w:t>
      </w:r>
      <w:r>
        <w:rPr>
          <w:rFonts w:hint="eastAsia"/>
          <w:snapToGrid/>
          <w:szCs w:val="24"/>
        </w:rPr>
        <w:t>)</w:t>
      </w:r>
      <w:r>
        <w:rPr>
          <w:rFonts w:hint="eastAsia"/>
          <w:snapToGrid/>
          <w:szCs w:val="24"/>
        </w:rPr>
        <w:t>。</w:t>
      </w:r>
    </w:p>
    <w:p w:rsidR="00000000" w:rsidRDefault="00000000">
      <w:pPr>
        <w:rPr>
          <w:rFonts w:hint="eastAsia"/>
          <w:snapToGrid/>
          <w:szCs w:val="24"/>
        </w:rPr>
      </w:pPr>
      <w:r>
        <w:rPr>
          <w:rFonts w:hint="eastAsia"/>
          <w:snapToGrid/>
          <w:szCs w:val="24"/>
        </w:rPr>
        <w:tab/>
      </w:r>
      <w:r>
        <w:rPr>
          <w:snapToGrid/>
          <w:szCs w:val="24"/>
        </w:rPr>
        <w:t>48.</w:t>
      </w:r>
      <w:r>
        <w:rPr>
          <w:rFonts w:hint="eastAsia"/>
          <w:snapToGrid/>
          <w:szCs w:val="24"/>
        </w:rPr>
        <w:t xml:space="preserve">  </w:t>
      </w:r>
      <w:r>
        <w:rPr>
          <w:rFonts w:hint="eastAsia"/>
          <w:snapToGrid/>
          <w:szCs w:val="24"/>
        </w:rPr>
        <w:t>委员会建议，缔约国对该国自杀现象的根源进行研究，并结合“全国防止自杀方案”加紧努力，减少自杀率。</w:t>
      </w:r>
    </w:p>
    <w:p w:rsidR="00000000" w:rsidRDefault="00000000">
      <w:pPr>
        <w:rPr>
          <w:rFonts w:hint="eastAsia"/>
          <w:snapToGrid/>
          <w:szCs w:val="24"/>
        </w:rPr>
      </w:pPr>
      <w:r>
        <w:rPr>
          <w:rFonts w:hint="eastAsia"/>
          <w:snapToGrid/>
          <w:szCs w:val="24"/>
        </w:rPr>
        <w:tab/>
      </w:r>
      <w:r>
        <w:rPr>
          <w:snapToGrid/>
          <w:szCs w:val="24"/>
        </w:rPr>
        <w:t>49.</w:t>
      </w:r>
      <w:r>
        <w:rPr>
          <w:rFonts w:hint="eastAsia"/>
          <w:snapToGrid/>
          <w:szCs w:val="24"/>
        </w:rPr>
        <w:t xml:space="preserve">  </w:t>
      </w:r>
      <w:r>
        <w:rPr>
          <w:rFonts w:hint="eastAsia"/>
          <w:snapToGrid/>
          <w:szCs w:val="24"/>
        </w:rPr>
        <w:t>委员会建议，缔约国保证有效实施诸项方案，制止吸烟和酗酒现象，并在下一次定期报告中向委员会报告这方面工作。</w:t>
      </w:r>
    </w:p>
    <w:p w:rsidR="00000000" w:rsidRDefault="00000000">
      <w:pPr>
        <w:rPr>
          <w:rFonts w:hint="eastAsia"/>
          <w:snapToGrid/>
          <w:szCs w:val="24"/>
        </w:rPr>
      </w:pPr>
      <w:r>
        <w:rPr>
          <w:rFonts w:hint="eastAsia"/>
          <w:snapToGrid/>
          <w:szCs w:val="24"/>
        </w:rPr>
        <w:tab/>
      </w:r>
      <w:r>
        <w:rPr>
          <w:snapToGrid/>
          <w:szCs w:val="24"/>
        </w:rPr>
        <w:t>50.</w:t>
      </w:r>
      <w:r>
        <w:rPr>
          <w:rFonts w:hint="eastAsia"/>
          <w:snapToGrid/>
          <w:szCs w:val="24"/>
        </w:rPr>
        <w:t xml:space="preserve">  </w:t>
      </w:r>
      <w:r>
        <w:rPr>
          <w:rFonts w:hint="eastAsia"/>
          <w:snapToGrid/>
          <w:szCs w:val="24"/>
        </w:rPr>
        <w:t>委员会呼吁缔约国加强努力，促使民众广泛认识到性健康和生殖健康问题、安全的避孕方法以及利用堕胎作为控制生育方法对健康的危险性，并在下一次报告中通报这方面所采取的措施。</w:t>
      </w:r>
    </w:p>
    <w:p w:rsidR="00000000" w:rsidRDefault="00000000">
      <w:pPr>
        <w:rPr>
          <w:rFonts w:hint="eastAsia"/>
          <w:snapToGrid/>
          <w:szCs w:val="24"/>
        </w:rPr>
      </w:pPr>
      <w:r>
        <w:rPr>
          <w:rFonts w:hint="eastAsia"/>
          <w:snapToGrid/>
          <w:szCs w:val="24"/>
        </w:rPr>
        <w:tab/>
      </w:r>
      <w:r>
        <w:rPr>
          <w:snapToGrid/>
          <w:szCs w:val="24"/>
        </w:rPr>
        <w:t>51.</w:t>
      </w:r>
      <w:r>
        <w:rPr>
          <w:rFonts w:hint="eastAsia"/>
          <w:snapToGrid/>
          <w:szCs w:val="24"/>
        </w:rPr>
        <w:t xml:space="preserve">  </w:t>
      </w:r>
      <w:r>
        <w:rPr>
          <w:rFonts w:hint="eastAsia"/>
          <w:snapToGrid/>
          <w:szCs w:val="24"/>
        </w:rPr>
        <w:t>委员会请缔约国在其下一次定期报告中提供有关学童入学和缀学率的分门别类的比较数据。委员会提请缔约国参照其关于受教育的权利的一般性意见</w:t>
      </w:r>
      <w:r>
        <w:rPr>
          <w:snapToGrid/>
          <w:szCs w:val="24"/>
        </w:rPr>
        <w:t>13</w:t>
      </w:r>
      <w:r>
        <w:rPr>
          <w:rFonts w:hint="eastAsia"/>
          <w:snapToGrid/>
          <w:szCs w:val="24"/>
        </w:rPr>
        <w:t>(</w:t>
      </w:r>
      <w:r>
        <w:rPr>
          <w:snapToGrid/>
          <w:szCs w:val="24"/>
        </w:rPr>
        <w:t>1999</w:t>
      </w:r>
      <w:r>
        <w:rPr>
          <w:rFonts w:hint="eastAsia"/>
          <w:snapToGrid/>
          <w:szCs w:val="24"/>
        </w:rPr>
        <w:t>年</w:t>
      </w:r>
      <w:r>
        <w:rPr>
          <w:rFonts w:hint="eastAsia"/>
          <w:snapToGrid/>
          <w:szCs w:val="24"/>
        </w:rPr>
        <w:t>)</w:t>
      </w:r>
    </w:p>
    <w:p w:rsidR="00000000" w:rsidRDefault="00000000">
      <w:pPr>
        <w:rPr>
          <w:rFonts w:hint="eastAsia"/>
          <w:snapToGrid/>
          <w:szCs w:val="24"/>
        </w:rPr>
      </w:pPr>
      <w:r>
        <w:rPr>
          <w:rFonts w:hint="eastAsia"/>
          <w:snapToGrid/>
          <w:szCs w:val="24"/>
        </w:rPr>
        <w:tab/>
      </w:r>
      <w:r>
        <w:rPr>
          <w:snapToGrid/>
          <w:szCs w:val="24"/>
        </w:rPr>
        <w:t>52.</w:t>
      </w:r>
      <w:r>
        <w:rPr>
          <w:rFonts w:hint="eastAsia"/>
          <w:snapToGrid/>
          <w:szCs w:val="24"/>
        </w:rPr>
        <w:t xml:space="preserve">  </w:t>
      </w:r>
      <w:r>
        <w:rPr>
          <w:rFonts w:hint="eastAsia"/>
          <w:snapToGrid/>
          <w:szCs w:val="24"/>
        </w:rPr>
        <w:t>委员会鼓励缔约国根据巴黎原则</w:t>
      </w:r>
      <w:r>
        <w:rPr>
          <w:rFonts w:hint="eastAsia"/>
          <w:snapToGrid/>
          <w:szCs w:val="24"/>
        </w:rPr>
        <w:t>(</w:t>
      </w:r>
      <w:r>
        <w:rPr>
          <w:rFonts w:hint="eastAsia"/>
          <w:snapToGrid/>
          <w:szCs w:val="24"/>
        </w:rPr>
        <w:t>大会第</w:t>
      </w:r>
      <w:r>
        <w:rPr>
          <w:snapToGrid/>
          <w:szCs w:val="24"/>
        </w:rPr>
        <w:t>48/134</w:t>
      </w:r>
      <w:r>
        <w:rPr>
          <w:rFonts w:hint="eastAsia"/>
          <w:snapToGrid/>
          <w:szCs w:val="24"/>
        </w:rPr>
        <w:t>号决议附件</w:t>
      </w:r>
      <w:r>
        <w:rPr>
          <w:rFonts w:hint="eastAsia"/>
          <w:snapToGrid/>
          <w:szCs w:val="24"/>
        </w:rPr>
        <w:t>)</w:t>
      </w:r>
      <w:r>
        <w:rPr>
          <w:rFonts w:hint="eastAsia"/>
          <w:snapToGrid/>
          <w:szCs w:val="24"/>
        </w:rPr>
        <w:t>设立一个独立的国家人权机构，授权处理有关经济、社会和文化权利的事项。</w:t>
      </w:r>
    </w:p>
    <w:p w:rsidR="00000000" w:rsidRDefault="00000000">
      <w:pPr>
        <w:rPr>
          <w:rFonts w:hint="eastAsia"/>
          <w:snapToGrid/>
          <w:szCs w:val="24"/>
        </w:rPr>
      </w:pPr>
      <w:r>
        <w:rPr>
          <w:rFonts w:hint="eastAsia"/>
          <w:snapToGrid/>
          <w:szCs w:val="24"/>
        </w:rPr>
        <w:tab/>
      </w:r>
      <w:r>
        <w:rPr>
          <w:snapToGrid/>
          <w:szCs w:val="24"/>
        </w:rPr>
        <w:t>53.</w:t>
      </w:r>
      <w:r>
        <w:rPr>
          <w:rFonts w:hint="eastAsia"/>
          <w:snapToGrid/>
          <w:szCs w:val="24"/>
        </w:rPr>
        <w:t xml:space="preserve">  </w:t>
      </w:r>
      <w:r>
        <w:rPr>
          <w:rFonts w:hint="eastAsia"/>
          <w:snapToGrid/>
          <w:szCs w:val="24"/>
        </w:rPr>
        <w:t>委员会请缔约国向社会各界、尤其是向国家官员和司法机构广为散发本结论意见，并在下一次定期报告中向委员会通报为落实本结论性意见而采取的一切步骤。委员会并鼓励缔约国在提交第二次定期报告之前与非政府组织和民间社会其他机构参与国家一级对报告的讨论过程。</w:t>
      </w:r>
    </w:p>
    <w:p w:rsidR="00000000" w:rsidRDefault="00000000">
      <w:pPr>
        <w:spacing w:after="320"/>
        <w:rPr>
          <w:rFonts w:hint="eastAsia"/>
          <w:snapToGrid/>
          <w:szCs w:val="24"/>
        </w:rPr>
      </w:pPr>
      <w:r>
        <w:rPr>
          <w:rFonts w:hint="eastAsia"/>
          <w:snapToGrid/>
          <w:szCs w:val="24"/>
        </w:rPr>
        <w:tab/>
      </w:r>
      <w:r>
        <w:rPr>
          <w:snapToGrid/>
          <w:szCs w:val="24"/>
        </w:rPr>
        <w:t>54.</w:t>
      </w:r>
      <w:r>
        <w:rPr>
          <w:rFonts w:hint="eastAsia"/>
          <w:snapToGrid/>
          <w:szCs w:val="24"/>
        </w:rPr>
        <w:t xml:space="preserve">  </w:t>
      </w:r>
      <w:r>
        <w:rPr>
          <w:rFonts w:hint="eastAsia"/>
          <w:snapToGrid/>
          <w:szCs w:val="24"/>
        </w:rPr>
        <w:t>最后，委员会请缔约国在</w:t>
      </w:r>
      <w:r>
        <w:rPr>
          <w:snapToGrid/>
          <w:szCs w:val="24"/>
        </w:rPr>
        <w:t>2009</w:t>
      </w:r>
      <w:r>
        <w:rPr>
          <w:rFonts w:hint="eastAsia"/>
          <w:snapToGrid/>
          <w:szCs w:val="24"/>
        </w:rPr>
        <w:t>年</w:t>
      </w:r>
      <w:r>
        <w:rPr>
          <w:rFonts w:hint="eastAsia"/>
          <w:snapToGrid/>
          <w:szCs w:val="24"/>
        </w:rPr>
        <w:t>6</w:t>
      </w:r>
      <w:r>
        <w:rPr>
          <w:rFonts w:hint="eastAsia"/>
          <w:snapToGrid/>
          <w:szCs w:val="24"/>
        </w:rPr>
        <w:t>月</w:t>
      </w:r>
      <w:r>
        <w:rPr>
          <w:snapToGrid/>
          <w:szCs w:val="24"/>
        </w:rPr>
        <w:t>30</w:t>
      </w:r>
      <w:r>
        <w:rPr>
          <w:rFonts w:hint="eastAsia"/>
          <w:snapToGrid/>
          <w:szCs w:val="24"/>
        </w:rPr>
        <w:t>日之前提交第二次定期报告。</w:t>
      </w:r>
    </w:p>
    <w:p w:rsidR="00000000" w:rsidRDefault="00000000">
      <w:pPr>
        <w:spacing w:after="320"/>
        <w:rPr>
          <w:rFonts w:hint="eastAsia"/>
          <w:snapToGrid/>
          <w:szCs w:val="24"/>
        </w:rPr>
      </w:pPr>
    </w:p>
    <w:p w:rsidR="00000000" w:rsidRDefault="00000000">
      <w:pPr>
        <w:jc w:val="center"/>
      </w:pPr>
      <w:r>
        <w:t>--  --  --  --  --</w:t>
      </w:r>
    </w:p>
    <w:p w:rsidR="00000000" w:rsidRDefault="00000000"/>
    <w:sectPr w:rsidR="00000000">
      <w:headerReference w:type="even" r:id="rId7"/>
      <w:headerReference w:type="default" r:id="rId8"/>
      <w:headerReference w:type="first" r:id="rId9"/>
      <w:footerReference w:type="first" r:id="rId10"/>
      <w:pgSz w:w="11906" w:h="16838"/>
      <w:pgMar w:top="1985" w:right="851" w:bottom="1985" w:left="1701" w:header="794" w:footer="1588"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Univers (WN)">
    <w:altName w:val="Arial"/>
    <w:panose1 w:val="00000000000000000000"/>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w:t>
          </w:r>
          <w:r>
            <w:rPr>
              <w:rFonts w:hint="eastAsia"/>
            </w:rPr>
            <w:t>4</w:t>
          </w:r>
          <w:r>
            <w:t>-42058 (C)</w:t>
          </w:r>
        </w:p>
      </w:tc>
      <w:tc>
        <w:tcPr>
          <w:tcW w:w="1050" w:type="dxa"/>
        </w:tcPr>
        <w:p w:rsidR="00000000" w:rsidRDefault="00000000">
          <w:pPr>
            <w:pStyle w:val="Footer"/>
            <w:rPr>
              <w:rFonts w:hint="eastAsia"/>
            </w:rPr>
          </w:pPr>
          <w:r>
            <w:t>290604</w:t>
          </w:r>
        </w:p>
      </w:tc>
      <w:tc>
        <w:tcPr>
          <w:tcW w:w="6061" w:type="dxa"/>
        </w:tcPr>
        <w:p w:rsidR="00000000" w:rsidRDefault="00000000">
          <w:pPr>
            <w:pStyle w:val="Footer"/>
            <w:rPr>
              <w:rFonts w:hint="eastAsia"/>
            </w:rPr>
          </w:pPr>
          <w:r>
            <w:t>0</w:t>
          </w:r>
          <w:r>
            <w:rPr>
              <w:rFonts w:hint="eastAsia"/>
            </w:rPr>
            <w:t>6</w:t>
          </w:r>
          <w:r>
            <w:t>0</w:t>
          </w:r>
          <w:r>
            <w:rPr>
              <w:rFonts w:hint="eastAsia"/>
            </w:rPr>
            <w:t>7</w:t>
          </w:r>
          <w:r>
            <w:t>0</w:t>
          </w:r>
          <w:r>
            <w:rPr>
              <w:rFonts w:hint="eastAsia"/>
            </w:rPr>
            <w:t>4</w:t>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E/C.12/1/Add.96</w:t>
    </w:r>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ab/>
    </w:r>
    <w:r>
      <w:tab/>
    </w:r>
    <w:r>
      <w:tab/>
    </w:r>
    <w:r>
      <w:rPr>
        <w:rFonts w:hint="eastAsia"/>
      </w:rPr>
      <w:tab/>
    </w:r>
    <w:r>
      <w:t>E/C.12/1/Add.96</w:t>
    </w:r>
  </w:p>
  <w:p w:rsidR="00000000" w:rsidRDefault="00000000">
    <w:pPr>
      <w:pStyle w:val="Header"/>
    </w:pPr>
    <w:r>
      <w:tab/>
    </w:r>
    <w:r>
      <w:tab/>
    </w:r>
    <w:r>
      <w:tab/>
    </w:r>
    <w:r>
      <w:rPr>
        <w:rFonts w:hint="eastAsia"/>
      </w:rPr>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L"/>
      <w:framePr w:w="1438" w:wrap="around"/>
    </w:pPr>
    <w:r>
      <w:rPr>
        <w:noProof/>
      </w:rPr>
      <w:pict>
        <v:rect id="_x0000_s1025" style="position:absolute;left:0;text-align:left;margin-left:-12pt;margin-top:95.45pt;width:492.05pt;height:.95pt;z-index:-6;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Header"/>
    </w:pPr>
    <w:r>
      <w:rPr>
        <w:noProof/>
        <w:snapToGrid/>
        <w:lang w:eastAsia="zh-TW"/>
      </w:rPr>
      <w:pict>
        <v:rect id="_x0000_s1027" style="position:absolute;left:0;text-align:left;margin-left:535.05pt;margin-top:59.05pt;width:30.05pt;height:36pt;z-index:-4;mso-position-horizontal-relative:page;mso-position-vertical-relative:page" o:allowincell="f" filled="f" stroked="f" strokeweight="0">
          <v:textbox style="mso-next-textbox:#_x0000_s1027" inset="0,0,0,0">
            <w:txbxContent>
              <w:p w:rsidR="00000000" w:rsidRDefault="00000000">
                <w:pPr>
                  <w:pStyle w:val="1R1"/>
                  <w:rPr>
                    <w:rFonts w:ascii="Univers Bold" w:hAnsi="Univers Bold"/>
                  </w:rPr>
                </w:pPr>
                <w:r>
                  <w:t>E</w:t>
                </w:r>
              </w:p>
            </w:txbxContent>
          </v:textbox>
          <w10:wrap anchorx="page" anchory="page"/>
        </v:rect>
      </w:pict>
    </w:r>
  </w:p>
  <w:p w:rsidR="00000000" w:rsidRDefault="00000000">
    <w:pPr>
      <w:pStyle w:val="Header"/>
    </w:pPr>
  </w:p>
  <w:p w:rsidR="00000000" w:rsidRDefault="00000000">
    <w:pPr>
      <w:pStyle w:val="Header"/>
    </w:pPr>
    <w:r>
      <w:rPr>
        <w:noProof/>
        <w:snapToGrid/>
        <w:lang w:eastAsia="zh-TW"/>
      </w:rPr>
      <w:pict>
        <v:shapetype id="_x0000_t202" coordsize="21600,21600" o:spt="202" path="m,l,21600r21600,l21600,xe">
          <v:stroke joinstyle="miter"/>
          <v:path gradientshapeok="t" o:connecttype="rect"/>
        </v:shapetype>
        <v:shape id="_x0000_s1031" type="#_x0000_t202" style="position:absolute;left:0;text-align:left;margin-left:325pt;margin-top:52.65pt;width:149.5pt;height:108pt;z-index:6" strokecolor="white">
          <v:textbox>
            <w:txbxContent>
              <w:p w:rsidR="00000000" w:rsidRDefault="00000000">
                <w:pPr>
                  <w:pStyle w:val="Header"/>
                </w:pPr>
                <w:r>
                  <w:t>Distr.</w:t>
                </w:r>
              </w:p>
              <w:p w:rsidR="00000000" w:rsidRDefault="00000000">
                <w:pPr>
                  <w:pStyle w:val="Header"/>
                </w:pPr>
                <w:r>
                  <w:t>GENERAL</w:t>
                </w:r>
              </w:p>
              <w:p w:rsidR="00000000" w:rsidRDefault="00000000">
                <w:pPr>
                  <w:pStyle w:val="Header"/>
                </w:pPr>
              </w:p>
              <w:p w:rsidR="00000000" w:rsidRDefault="00000000">
                <w:pPr>
                  <w:pStyle w:val="Header"/>
                </w:pPr>
                <w:r>
                  <w:t>E/C.12/1/Add.96</w:t>
                </w:r>
              </w:p>
              <w:p w:rsidR="00000000" w:rsidRDefault="00000000">
                <w:pPr>
                  <w:pStyle w:val="Header"/>
                  <w:rPr>
                    <w:rFonts w:hint="eastAsia"/>
                  </w:rPr>
                </w:pPr>
                <w:r>
                  <w:t>7 June 200</w:t>
                </w:r>
                <w:r>
                  <w:rPr>
                    <w:rFonts w:hint="eastAsia"/>
                  </w:rPr>
                  <w:t>4</w:t>
                </w:r>
              </w:p>
              <w:p w:rsidR="00000000" w:rsidRDefault="00000000">
                <w:pPr>
                  <w:pStyle w:val="Header"/>
                </w:pPr>
                <w:r>
                  <w:t>CHINESE</w:t>
                </w:r>
              </w:p>
              <w:p w:rsidR="00000000" w:rsidRDefault="00000000">
                <w:pPr>
                  <w:pStyle w:val="Header"/>
                </w:pPr>
                <w:r>
                  <w:t>Original:</w:t>
                </w:r>
                <w:r>
                  <w:tab/>
                  <w:t>ENGLISH</w:t>
                </w:r>
              </w:p>
              <w:p w:rsidR="00000000" w:rsidRDefault="00000000"/>
            </w:txbxContent>
          </v:textbox>
        </v:shape>
      </w:pict>
    </w:r>
  </w:p>
  <w:p w:rsidR="00000000" w:rsidRDefault="00000000">
    <w:pPr>
      <w:pStyle w:val="Header"/>
    </w:pPr>
  </w:p>
  <w:p w:rsidR="00000000" w:rsidRDefault="00000000">
    <w:pPr>
      <w:pStyle w:val="Header"/>
    </w:pPr>
  </w:p>
  <w:p w:rsidR="00000000" w:rsidRDefault="00000000">
    <w:pPr>
      <w:pStyle w:val="Header"/>
    </w:pPr>
    <w:r>
      <w:rPr>
        <w:noProof/>
        <w:snapToGrid/>
        <w:lang w:eastAsia="zh-TW"/>
      </w:rPr>
      <w:pict>
        <v:shape id="_x0000_s1026" type="#_x0000_t202" style="position:absolute;left:0;text-align:left;margin-left:-19.5pt;margin-top:6.25pt;width:83.35pt;height:66.45pt;z-index:2" strokecolor="white">
          <v:textbox style="mso-next-textbox:#_x0000_s1026">
            <w:txbxContent>
              <w:p w:rsidR="00000000" w:rsidRDefault="0000000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58.5pt" fillcolor="window">
                      <v:imagedata r:id="rId1" o:title="" croptop="-107f" cropbottom="-92f" cropleft="-3348f" cropright="-3348f"/>
                    </v:shape>
                  </w:pict>
                </w:r>
              </w:p>
            </w:txbxContent>
          </v:textbox>
        </v:shape>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r>
      <w:rPr>
        <w:noProof/>
        <w:snapToGrid/>
        <w:lang w:eastAsia="zh-TW"/>
      </w:rPr>
      <w:pict>
        <v:rect id="_x0000_s1030" style="position:absolute;left:0;text-align:left;margin-left:151.05pt;margin-top:121.45pt;width:192.05pt;height:31.25pt;z-index:-2;mso-position-horizontal-relative:page;mso-position-vertical-relative:page" o:allowincell="f" filled="f" stroked="f" strokeweight="0">
          <v:textbox inset="0,0,0,0">
            <w:txbxContent>
              <w:p w:rsidR="00000000" w:rsidRDefault="00000000">
                <w:pPr>
                  <w:pStyle w:val="1m1"/>
                </w:pPr>
                <w:r>
                  <w:rPr>
                    <w:rFonts w:hint="eastAsia"/>
                  </w:rPr>
                  <w:t>经济及社会理事会</w:t>
                </w:r>
              </w:p>
            </w:txbxContent>
          </v:textbox>
          <w10:wrap anchorx="page" anchory="page"/>
        </v:rect>
      </w:pict>
    </w:r>
    <w:r>
      <w:rPr>
        <w:noProof/>
        <w:snapToGrid/>
        <w:lang w:eastAsia="zh-TW"/>
      </w:rPr>
      <w:pict>
        <v:rect id="_x0000_s1028" style="position:absolute;left:0;text-align:left;margin-left:-12pt;margin-top:235.85pt;width:492.05pt;height:.05pt;z-index:-3;mso-position-horizontal-relative:margin;mso-position-vertical-relative:page" o:allowincell="f" fillcolor="black" strokeweight="4pt">
          <v:fill color2="black"/>
          <w10:wrap anchorx="margin" anchory="page"/>
        </v:rect>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D2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
    <w:nsid w:val="03103861"/>
    <w:multiLevelType w:val="singleLevel"/>
    <w:tmpl w:val="B4A25A9E"/>
    <w:lvl w:ilvl="0">
      <w:start w:val="1"/>
      <w:numFmt w:val="lowerLetter"/>
      <w:lvlText w:val="(%1)"/>
      <w:legacy w:legacy="1" w:legacySpace="0" w:legacyIndent="425"/>
      <w:lvlJc w:val="left"/>
      <w:pPr>
        <w:ind w:left="1446" w:hanging="425"/>
      </w:pPr>
    </w:lvl>
  </w:abstractNum>
  <w:abstractNum w:abstractNumId="2">
    <w:nsid w:val="03186C5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
    <w:nsid w:val="09140562"/>
    <w:multiLevelType w:val="singleLevel"/>
    <w:tmpl w:val="82686F16"/>
    <w:lvl w:ilvl="0">
      <w:start w:val="1"/>
      <w:numFmt w:val="lowerLetter"/>
      <w:lvlText w:val="(%1)"/>
      <w:lvlJc w:val="left"/>
      <w:pPr>
        <w:tabs>
          <w:tab w:val="num" w:pos="1531"/>
        </w:tabs>
        <w:ind w:left="1531" w:hanging="510"/>
      </w:pPr>
      <w:rPr>
        <w:rFonts w:hint="eastAsia"/>
      </w:rPr>
    </w:lvl>
  </w:abstractNum>
  <w:abstractNum w:abstractNumId="4">
    <w:nsid w:val="095375A4"/>
    <w:multiLevelType w:val="singleLevel"/>
    <w:tmpl w:val="B4A25A9E"/>
    <w:lvl w:ilvl="0">
      <w:start w:val="1"/>
      <w:numFmt w:val="lowerLetter"/>
      <w:lvlText w:val="(%1)"/>
      <w:legacy w:legacy="1" w:legacySpace="0" w:legacyIndent="425"/>
      <w:lvlJc w:val="left"/>
      <w:pPr>
        <w:ind w:left="1446" w:hanging="425"/>
      </w:pPr>
    </w:lvl>
  </w:abstractNum>
  <w:abstractNum w:abstractNumId="5">
    <w:nsid w:val="095F2F2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
    <w:nsid w:val="0A29067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
    <w:nsid w:val="0CD872A0"/>
    <w:multiLevelType w:val="singleLevel"/>
    <w:tmpl w:val="B4A25A9E"/>
    <w:lvl w:ilvl="0">
      <w:start w:val="1"/>
      <w:numFmt w:val="lowerLetter"/>
      <w:lvlText w:val="(%1)"/>
      <w:legacy w:legacy="1" w:legacySpace="0" w:legacyIndent="425"/>
      <w:lvlJc w:val="left"/>
      <w:pPr>
        <w:ind w:left="1446" w:hanging="425"/>
      </w:pPr>
    </w:lvl>
  </w:abstractNum>
  <w:abstractNum w:abstractNumId="8">
    <w:nsid w:val="0DC0252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
    <w:nsid w:val="0F8637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
    <w:nsid w:val="105C5A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
    <w:nsid w:val="11EC2BA0"/>
    <w:multiLevelType w:val="singleLevel"/>
    <w:tmpl w:val="E9F4FBEE"/>
    <w:lvl w:ilvl="0">
      <w:start w:val="1"/>
      <w:numFmt w:val="lowerLetter"/>
      <w:lvlText w:val="(%1)"/>
      <w:legacy w:legacy="1" w:legacySpace="0" w:legacyIndent="425"/>
      <w:lvlJc w:val="left"/>
      <w:pPr>
        <w:ind w:left="1446" w:hanging="425"/>
      </w:pPr>
    </w:lvl>
  </w:abstractNum>
  <w:abstractNum w:abstractNumId="12">
    <w:nsid w:val="127557C9"/>
    <w:multiLevelType w:val="singleLevel"/>
    <w:tmpl w:val="E9F4FBEE"/>
    <w:lvl w:ilvl="0">
      <w:start w:val="1"/>
      <w:numFmt w:val="lowerLetter"/>
      <w:lvlText w:val="(%1)"/>
      <w:legacy w:legacy="1" w:legacySpace="0" w:legacyIndent="425"/>
      <w:lvlJc w:val="left"/>
      <w:pPr>
        <w:ind w:left="1446" w:hanging="425"/>
      </w:pPr>
    </w:lvl>
  </w:abstractNum>
  <w:abstractNum w:abstractNumId="13">
    <w:nsid w:val="168E6F2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4">
    <w:nsid w:val="179B577F"/>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5">
    <w:nsid w:val="184135EC"/>
    <w:multiLevelType w:val="singleLevel"/>
    <w:tmpl w:val="B4A25A9E"/>
    <w:lvl w:ilvl="0">
      <w:start w:val="1"/>
      <w:numFmt w:val="lowerLetter"/>
      <w:lvlText w:val="(%1)"/>
      <w:legacy w:legacy="1" w:legacySpace="0" w:legacyIndent="425"/>
      <w:lvlJc w:val="left"/>
      <w:pPr>
        <w:ind w:left="1446" w:hanging="425"/>
      </w:pPr>
    </w:lvl>
  </w:abstractNum>
  <w:abstractNum w:abstractNumId="16">
    <w:nsid w:val="1D57580F"/>
    <w:multiLevelType w:val="singleLevel"/>
    <w:tmpl w:val="B4A25A9E"/>
    <w:lvl w:ilvl="0">
      <w:start w:val="1"/>
      <w:numFmt w:val="lowerLetter"/>
      <w:lvlText w:val="(%1)"/>
      <w:legacy w:legacy="1" w:legacySpace="0" w:legacyIndent="425"/>
      <w:lvlJc w:val="left"/>
      <w:pPr>
        <w:ind w:left="1446" w:hanging="425"/>
      </w:pPr>
    </w:lvl>
  </w:abstractNum>
  <w:abstractNum w:abstractNumId="17">
    <w:nsid w:val="1D9A55A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8">
    <w:nsid w:val="1FD9126C"/>
    <w:multiLevelType w:val="singleLevel"/>
    <w:tmpl w:val="E7BCB06A"/>
    <w:lvl w:ilvl="0">
      <w:start w:val="1"/>
      <w:numFmt w:val="chineseCountingThousand"/>
      <w:lvlText w:val="(%1)"/>
      <w:legacy w:legacy="1" w:legacySpace="0" w:legacyIndent="510"/>
      <w:lvlJc w:val="left"/>
      <w:pPr>
        <w:ind w:left="1531" w:hanging="510"/>
      </w:pPr>
    </w:lvl>
  </w:abstractNum>
  <w:abstractNum w:abstractNumId="19">
    <w:nsid w:val="22C6376B"/>
    <w:multiLevelType w:val="singleLevel"/>
    <w:tmpl w:val="E7BCB06A"/>
    <w:lvl w:ilvl="0">
      <w:start w:val="1"/>
      <w:numFmt w:val="chineseCountingThousand"/>
      <w:lvlText w:val="(%1)"/>
      <w:legacy w:legacy="1" w:legacySpace="0" w:legacyIndent="510"/>
      <w:lvlJc w:val="left"/>
      <w:pPr>
        <w:ind w:left="1531" w:hanging="510"/>
      </w:pPr>
    </w:lvl>
  </w:abstractNum>
  <w:abstractNum w:abstractNumId="20">
    <w:nsid w:val="22E44274"/>
    <w:multiLevelType w:val="hybridMultilevel"/>
    <w:tmpl w:val="E132C74E"/>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2"/>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DF17E1"/>
    <w:multiLevelType w:val="singleLevel"/>
    <w:tmpl w:val="E9F4FBEE"/>
    <w:lvl w:ilvl="0">
      <w:start w:val="1"/>
      <w:numFmt w:val="lowerLetter"/>
      <w:lvlText w:val="(%1)"/>
      <w:lvlJc w:val="left"/>
      <w:pPr>
        <w:tabs>
          <w:tab w:val="num" w:pos="1531"/>
        </w:tabs>
        <w:ind w:left="1531" w:hanging="510"/>
      </w:pPr>
      <w:rPr>
        <w:rFonts w:hint="eastAsia"/>
      </w:rPr>
    </w:lvl>
  </w:abstractNum>
  <w:abstractNum w:abstractNumId="22">
    <w:nsid w:val="25F3061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3">
    <w:nsid w:val="294E42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4">
    <w:nsid w:val="32D95CC5"/>
    <w:multiLevelType w:val="singleLevel"/>
    <w:tmpl w:val="B4A25A9E"/>
    <w:lvl w:ilvl="0">
      <w:start w:val="1"/>
      <w:numFmt w:val="lowerLetter"/>
      <w:lvlText w:val="(%1)"/>
      <w:legacy w:legacy="1" w:legacySpace="0" w:legacyIndent="425"/>
      <w:lvlJc w:val="left"/>
      <w:pPr>
        <w:ind w:left="1446" w:hanging="425"/>
      </w:pPr>
    </w:lvl>
  </w:abstractNum>
  <w:abstractNum w:abstractNumId="25">
    <w:nsid w:val="33BF5892"/>
    <w:multiLevelType w:val="singleLevel"/>
    <w:tmpl w:val="C86ED9F2"/>
    <w:lvl w:ilvl="0">
      <w:start w:val="1"/>
      <w:numFmt w:val="chineseCountingThousand"/>
      <w:lvlText w:val="(%1)"/>
      <w:lvlJc w:val="left"/>
      <w:pPr>
        <w:tabs>
          <w:tab w:val="num" w:pos="1021"/>
        </w:tabs>
        <w:ind w:left="1021" w:hanging="511"/>
      </w:pPr>
      <w:rPr>
        <w:rFonts w:hint="eastAsia"/>
        <w:sz w:val="21"/>
      </w:rPr>
    </w:lvl>
  </w:abstractNum>
  <w:abstractNum w:abstractNumId="26">
    <w:nsid w:val="34364C53"/>
    <w:multiLevelType w:val="singleLevel"/>
    <w:tmpl w:val="E7BCB06A"/>
    <w:lvl w:ilvl="0">
      <w:start w:val="1"/>
      <w:numFmt w:val="chineseCountingThousand"/>
      <w:lvlText w:val="(%1)"/>
      <w:legacy w:legacy="1" w:legacySpace="0" w:legacyIndent="510"/>
      <w:lvlJc w:val="left"/>
      <w:pPr>
        <w:ind w:left="1531" w:hanging="510"/>
      </w:pPr>
    </w:lvl>
  </w:abstractNum>
  <w:abstractNum w:abstractNumId="27">
    <w:nsid w:val="36DE14D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8">
    <w:nsid w:val="39640286"/>
    <w:multiLevelType w:val="singleLevel"/>
    <w:tmpl w:val="E9F4FBEE"/>
    <w:lvl w:ilvl="0">
      <w:start w:val="1"/>
      <w:numFmt w:val="lowerLetter"/>
      <w:lvlText w:val="(%1)"/>
      <w:legacy w:legacy="1" w:legacySpace="0" w:legacyIndent="425"/>
      <w:lvlJc w:val="left"/>
      <w:pPr>
        <w:ind w:left="1446" w:hanging="425"/>
      </w:pPr>
    </w:lvl>
  </w:abstractNum>
  <w:abstractNum w:abstractNumId="29">
    <w:nsid w:val="39D90235"/>
    <w:multiLevelType w:val="singleLevel"/>
    <w:tmpl w:val="FE361496"/>
    <w:lvl w:ilvl="0">
      <w:start w:val="1"/>
      <w:numFmt w:val="bullet"/>
      <w:pStyle w:val="a"/>
      <w:lvlText w:val=""/>
      <w:lvlJc w:val="left"/>
      <w:pPr>
        <w:tabs>
          <w:tab w:val="num" w:pos="510"/>
        </w:tabs>
        <w:ind w:left="510" w:hanging="510"/>
      </w:pPr>
      <w:rPr>
        <w:rFonts w:ascii="Symbol" w:hAnsi="Symbol" w:hint="default"/>
      </w:rPr>
    </w:lvl>
  </w:abstractNum>
  <w:abstractNum w:abstractNumId="30">
    <w:nsid w:val="3A2144BA"/>
    <w:multiLevelType w:val="singleLevel"/>
    <w:tmpl w:val="E7BCB06A"/>
    <w:lvl w:ilvl="0">
      <w:start w:val="1"/>
      <w:numFmt w:val="chineseCountingThousand"/>
      <w:lvlText w:val="(%1)"/>
      <w:legacy w:legacy="1" w:legacySpace="0" w:legacyIndent="510"/>
      <w:lvlJc w:val="left"/>
      <w:pPr>
        <w:ind w:left="1531" w:hanging="510"/>
      </w:pPr>
    </w:lvl>
  </w:abstractNum>
  <w:abstractNum w:abstractNumId="31">
    <w:nsid w:val="3D3D063F"/>
    <w:multiLevelType w:val="singleLevel"/>
    <w:tmpl w:val="E9F4FBEE"/>
    <w:lvl w:ilvl="0">
      <w:start w:val="1"/>
      <w:numFmt w:val="lowerLetter"/>
      <w:lvlText w:val="(%1)"/>
      <w:legacy w:legacy="1" w:legacySpace="0" w:legacyIndent="425"/>
      <w:lvlJc w:val="left"/>
      <w:pPr>
        <w:ind w:left="1446" w:hanging="425"/>
      </w:pPr>
    </w:lvl>
  </w:abstractNum>
  <w:abstractNum w:abstractNumId="32">
    <w:nsid w:val="3D9135F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3">
    <w:nsid w:val="4058264B"/>
    <w:multiLevelType w:val="singleLevel"/>
    <w:tmpl w:val="E7BCB06A"/>
    <w:lvl w:ilvl="0">
      <w:start w:val="1"/>
      <w:numFmt w:val="chineseCountingThousand"/>
      <w:lvlText w:val="(%1)"/>
      <w:legacy w:legacy="1" w:legacySpace="0" w:legacyIndent="510"/>
      <w:lvlJc w:val="left"/>
      <w:pPr>
        <w:ind w:left="1531" w:hanging="510"/>
      </w:pPr>
    </w:lvl>
  </w:abstractNum>
  <w:abstractNum w:abstractNumId="34">
    <w:nsid w:val="43956758"/>
    <w:multiLevelType w:val="singleLevel"/>
    <w:tmpl w:val="E7BCB06A"/>
    <w:lvl w:ilvl="0">
      <w:start w:val="1"/>
      <w:numFmt w:val="chineseCountingThousand"/>
      <w:lvlText w:val="(%1)"/>
      <w:legacy w:legacy="1" w:legacySpace="0" w:legacyIndent="510"/>
      <w:lvlJc w:val="left"/>
      <w:pPr>
        <w:ind w:left="1531" w:hanging="510"/>
      </w:pPr>
    </w:lvl>
  </w:abstractNum>
  <w:abstractNum w:abstractNumId="35">
    <w:nsid w:val="479A15CD"/>
    <w:multiLevelType w:val="singleLevel"/>
    <w:tmpl w:val="E7BCB06A"/>
    <w:lvl w:ilvl="0">
      <w:start w:val="1"/>
      <w:numFmt w:val="chineseCountingThousand"/>
      <w:lvlText w:val="(%1)"/>
      <w:legacy w:legacy="1" w:legacySpace="0" w:legacyIndent="510"/>
      <w:lvlJc w:val="left"/>
      <w:pPr>
        <w:ind w:left="1531" w:hanging="510"/>
      </w:pPr>
    </w:lvl>
  </w:abstractNum>
  <w:abstractNum w:abstractNumId="36">
    <w:nsid w:val="47B819F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7">
    <w:nsid w:val="48634CBB"/>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8">
    <w:nsid w:val="49DE16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9">
    <w:nsid w:val="4A4B593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0">
    <w:nsid w:val="4D225052"/>
    <w:multiLevelType w:val="singleLevel"/>
    <w:tmpl w:val="E9F4FBEE"/>
    <w:lvl w:ilvl="0">
      <w:start w:val="1"/>
      <w:numFmt w:val="lowerLetter"/>
      <w:lvlText w:val="(%1)"/>
      <w:legacy w:legacy="1" w:legacySpace="0" w:legacyIndent="425"/>
      <w:lvlJc w:val="left"/>
      <w:pPr>
        <w:ind w:left="1446" w:hanging="425"/>
      </w:pPr>
    </w:lvl>
  </w:abstractNum>
  <w:abstractNum w:abstractNumId="41">
    <w:nsid w:val="4DC000A7"/>
    <w:multiLevelType w:val="singleLevel"/>
    <w:tmpl w:val="E7BCB06A"/>
    <w:lvl w:ilvl="0">
      <w:start w:val="1"/>
      <w:numFmt w:val="chineseCountingThousand"/>
      <w:lvlText w:val="(%1)"/>
      <w:legacy w:legacy="1" w:legacySpace="0" w:legacyIndent="510"/>
      <w:lvlJc w:val="left"/>
      <w:pPr>
        <w:ind w:left="1531" w:hanging="510"/>
      </w:pPr>
    </w:lvl>
  </w:abstractNum>
  <w:abstractNum w:abstractNumId="42">
    <w:nsid w:val="4E78043E"/>
    <w:multiLevelType w:val="singleLevel"/>
    <w:tmpl w:val="B4A25A9E"/>
    <w:lvl w:ilvl="0">
      <w:start w:val="1"/>
      <w:numFmt w:val="lowerLetter"/>
      <w:lvlText w:val="(%1)"/>
      <w:legacy w:legacy="1" w:legacySpace="0" w:legacyIndent="425"/>
      <w:lvlJc w:val="left"/>
      <w:pPr>
        <w:ind w:left="1446" w:hanging="425"/>
      </w:pPr>
    </w:lvl>
  </w:abstractNum>
  <w:abstractNum w:abstractNumId="43">
    <w:nsid w:val="4F3265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4">
    <w:nsid w:val="506E43E8"/>
    <w:multiLevelType w:val="singleLevel"/>
    <w:tmpl w:val="E7BCB06A"/>
    <w:lvl w:ilvl="0">
      <w:start w:val="1"/>
      <w:numFmt w:val="chineseCountingThousand"/>
      <w:lvlText w:val="(%1)"/>
      <w:legacy w:legacy="1" w:legacySpace="0" w:legacyIndent="510"/>
      <w:lvlJc w:val="left"/>
      <w:pPr>
        <w:ind w:left="1531" w:hanging="510"/>
      </w:pPr>
    </w:lvl>
  </w:abstractNum>
  <w:abstractNum w:abstractNumId="45">
    <w:nsid w:val="507317FD"/>
    <w:multiLevelType w:val="singleLevel"/>
    <w:tmpl w:val="34588E14"/>
    <w:lvl w:ilvl="0">
      <w:start w:val="1"/>
      <w:numFmt w:val="bullet"/>
      <w:pStyle w:val="a0"/>
      <w:lvlText w:val=""/>
      <w:lvlJc w:val="left"/>
      <w:pPr>
        <w:tabs>
          <w:tab w:val="num" w:pos="510"/>
        </w:tabs>
        <w:ind w:left="510" w:hanging="510"/>
      </w:pPr>
      <w:rPr>
        <w:rFonts w:ascii="Symbol" w:hAnsi="Symbol" w:hint="default"/>
        <w:sz w:val="24"/>
      </w:rPr>
    </w:lvl>
  </w:abstractNum>
  <w:abstractNum w:abstractNumId="46">
    <w:nsid w:val="517B1E4B"/>
    <w:multiLevelType w:val="singleLevel"/>
    <w:tmpl w:val="B4A25A9E"/>
    <w:lvl w:ilvl="0">
      <w:start w:val="1"/>
      <w:numFmt w:val="lowerLetter"/>
      <w:lvlText w:val="(%1)"/>
      <w:legacy w:legacy="1" w:legacySpace="0" w:legacyIndent="425"/>
      <w:lvlJc w:val="left"/>
      <w:pPr>
        <w:ind w:left="1446" w:hanging="425"/>
      </w:pPr>
    </w:lvl>
  </w:abstractNum>
  <w:abstractNum w:abstractNumId="47">
    <w:nsid w:val="518A6E7F"/>
    <w:multiLevelType w:val="singleLevel"/>
    <w:tmpl w:val="E7BCB06A"/>
    <w:lvl w:ilvl="0">
      <w:start w:val="1"/>
      <w:numFmt w:val="chineseCountingThousand"/>
      <w:lvlText w:val="(%1)"/>
      <w:legacy w:legacy="1" w:legacySpace="0" w:legacyIndent="510"/>
      <w:lvlJc w:val="left"/>
      <w:pPr>
        <w:ind w:left="1531" w:hanging="510"/>
      </w:pPr>
    </w:lvl>
  </w:abstractNum>
  <w:abstractNum w:abstractNumId="48">
    <w:nsid w:val="54156E5F"/>
    <w:multiLevelType w:val="singleLevel"/>
    <w:tmpl w:val="E7BCB06A"/>
    <w:lvl w:ilvl="0">
      <w:start w:val="1"/>
      <w:numFmt w:val="chineseCountingThousand"/>
      <w:lvlText w:val="(%1)"/>
      <w:legacy w:legacy="1" w:legacySpace="0" w:legacyIndent="510"/>
      <w:lvlJc w:val="left"/>
      <w:pPr>
        <w:ind w:left="1531" w:hanging="510"/>
      </w:pPr>
    </w:lvl>
  </w:abstractNum>
  <w:abstractNum w:abstractNumId="49">
    <w:nsid w:val="57565379"/>
    <w:multiLevelType w:val="singleLevel"/>
    <w:tmpl w:val="E7BCB06A"/>
    <w:lvl w:ilvl="0">
      <w:start w:val="1"/>
      <w:numFmt w:val="chineseCountingThousand"/>
      <w:lvlText w:val="(%1)"/>
      <w:legacy w:legacy="1" w:legacySpace="0" w:legacyIndent="510"/>
      <w:lvlJc w:val="left"/>
      <w:pPr>
        <w:ind w:left="1531" w:hanging="510"/>
      </w:pPr>
    </w:lvl>
  </w:abstractNum>
  <w:abstractNum w:abstractNumId="50">
    <w:nsid w:val="598B72F5"/>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1">
    <w:nsid w:val="5A4C6217"/>
    <w:multiLevelType w:val="singleLevel"/>
    <w:tmpl w:val="E9F4FBEE"/>
    <w:lvl w:ilvl="0">
      <w:start w:val="1"/>
      <w:numFmt w:val="lowerLetter"/>
      <w:lvlText w:val="(%1)"/>
      <w:legacy w:legacy="1" w:legacySpace="0" w:legacyIndent="425"/>
      <w:lvlJc w:val="left"/>
      <w:pPr>
        <w:ind w:left="1446" w:hanging="425"/>
      </w:pPr>
    </w:lvl>
  </w:abstractNum>
  <w:abstractNum w:abstractNumId="52">
    <w:nsid w:val="5C2F337C"/>
    <w:multiLevelType w:val="singleLevel"/>
    <w:tmpl w:val="B4A25A9E"/>
    <w:lvl w:ilvl="0">
      <w:start w:val="1"/>
      <w:numFmt w:val="lowerLetter"/>
      <w:lvlText w:val="(%1)"/>
      <w:legacy w:legacy="1" w:legacySpace="0" w:legacyIndent="425"/>
      <w:lvlJc w:val="left"/>
      <w:pPr>
        <w:ind w:left="1446" w:hanging="425"/>
      </w:pPr>
    </w:lvl>
  </w:abstractNum>
  <w:abstractNum w:abstractNumId="53">
    <w:nsid w:val="5C4B027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4">
    <w:nsid w:val="5CCA6BE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5">
    <w:nsid w:val="5D6070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6">
    <w:nsid w:val="5DD74E8E"/>
    <w:multiLevelType w:val="singleLevel"/>
    <w:tmpl w:val="E7BCB06A"/>
    <w:lvl w:ilvl="0">
      <w:start w:val="1"/>
      <w:numFmt w:val="chineseCountingThousand"/>
      <w:lvlText w:val="(%1)"/>
      <w:legacy w:legacy="1" w:legacySpace="0" w:legacyIndent="510"/>
      <w:lvlJc w:val="left"/>
      <w:pPr>
        <w:ind w:left="1531" w:hanging="510"/>
      </w:pPr>
    </w:lvl>
  </w:abstractNum>
  <w:abstractNum w:abstractNumId="57">
    <w:nsid w:val="5F1E5E12"/>
    <w:multiLevelType w:val="singleLevel"/>
    <w:tmpl w:val="E9F4FBEE"/>
    <w:lvl w:ilvl="0">
      <w:start w:val="1"/>
      <w:numFmt w:val="lowerLetter"/>
      <w:lvlText w:val="(%1)"/>
      <w:legacy w:legacy="1" w:legacySpace="0" w:legacyIndent="425"/>
      <w:lvlJc w:val="left"/>
      <w:pPr>
        <w:ind w:left="1446" w:hanging="425"/>
      </w:pPr>
    </w:lvl>
  </w:abstractNum>
  <w:abstractNum w:abstractNumId="58">
    <w:nsid w:val="62841E0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9">
    <w:nsid w:val="62895BB0"/>
    <w:multiLevelType w:val="singleLevel"/>
    <w:tmpl w:val="E7BCB06A"/>
    <w:lvl w:ilvl="0">
      <w:start w:val="1"/>
      <w:numFmt w:val="chineseCountingThousand"/>
      <w:lvlText w:val="(%1)"/>
      <w:legacy w:legacy="1" w:legacySpace="0" w:legacyIndent="510"/>
      <w:lvlJc w:val="left"/>
      <w:pPr>
        <w:ind w:left="1531" w:hanging="510"/>
      </w:pPr>
    </w:lvl>
  </w:abstractNum>
  <w:abstractNum w:abstractNumId="60">
    <w:nsid w:val="644F6C68"/>
    <w:multiLevelType w:val="singleLevel"/>
    <w:tmpl w:val="B4A25A9E"/>
    <w:lvl w:ilvl="0">
      <w:start w:val="1"/>
      <w:numFmt w:val="lowerLetter"/>
      <w:lvlText w:val="(%1)"/>
      <w:legacy w:legacy="1" w:legacySpace="0" w:legacyIndent="425"/>
      <w:lvlJc w:val="left"/>
      <w:pPr>
        <w:ind w:left="1446" w:hanging="425"/>
      </w:pPr>
    </w:lvl>
  </w:abstractNum>
  <w:abstractNum w:abstractNumId="61">
    <w:nsid w:val="67A72E09"/>
    <w:multiLevelType w:val="singleLevel"/>
    <w:tmpl w:val="B4A25A9E"/>
    <w:lvl w:ilvl="0">
      <w:start w:val="1"/>
      <w:numFmt w:val="lowerLetter"/>
      <w:lvlText w:val="(%1)"/>
      <w:legacy w:legacy="1" w:legacySpace="0" w:legacyIndent="425"/>
      <w:lvlJc w:val="left"/>
      <w:pPr>
        <w:ind w:left="1446" w:hanging="425"/>
      </w:pPr>
    </w:lvl>
  </w:abstractNum>
  <w:abstractNum w:abstractNumId="62">
    <w:nsid w:val="68264AA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3">
    <w:nsid w:val="688572CE"/>
    <w:multiLevelType w:val="singleLevel"/>
    <w:tmpl w:val="B4A25A9E"/>
    <w:lvl w:ilvl="0">
      <w:start w:val="1"/>
      <w:numFmt w:val="lowerLetter"/>
      <w:lvlText w:val="(%1)"/>
      <w:legacy w:legacy="1" w:legacySpace="0" w:legacyIndent="425"/>
      <w:lvlJc w:val="left"/>
      <w:pPr>
        <w:ind w:left="1446" w:hanging="425"/>
      </w:pPr>
    </w:lvl>
  </w:abstractNum>
  <w:abstractNum w:abstractNumId="64">
    <w:nsid w:val="6A27318B"/>
    <w:multiLevelType w:val="singleLevel"/>
    <w:tmpl w:val="E7BCB06A"/>
    <w:lvl w:ilvl="0">
      <w:start w:val="1"/>
      <w:numFmt w:val="chineseCountingThousand"/>
      <w:lvlText w:val="(%1)"/>
      <w:legacy w:legacy="1" w:legacySpace="0" w:legacyIndent="510"/>
      <w:lvlJc w:val="left"/>
      <w:pPr>
        <w:ind w:left="1531" w:hanging="510"/>
      </w:pPr>
    </w:lvl>
  </w:abstractNum>
  <w:abstractNum w:abstractNumId="65">
    <w:nsid w:val="6C6A76B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6">
    <w:nsid w:val="709D151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7">
    <w:nsid w:val="714A7CB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8">
    <w:nsid w:val="72E2133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9">
    <w:nsid w:val="738B6B3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0">
    <w:nsid w:val="74C879AA"/>
    <w:multiLevelType w:val="singleLevel"/>
    <w:tmpl w:val="B4A25A9E"/>
    <w:lvl w:ilvl="0">
      <w:start w:val="1"/>
      <w:numFmt w:val="lowerLetter"/>
      <w:lvlText w:val="(%1)"/>
      <w:legacy w:legacy="1" w:legacySpace="0" w:legacyIndent="425"/>
      <w:lvlJc w:val="left"/>
      <w:pPr>
        <w:ind w:left="1446" w:hanging="425"/>
      </w:pPr>
    </w:lvl>
  </w:abstractNum>
  <w:abstractNum w:abstractNumId="71">
    <w:nsid w:val="77350EFD"/>
    <w:multiLevelType w:val="hybridMultilevel"/>
    <w:tmpl w:val="67E8A7AC"/>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7796048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3">
    <w:nsid w:val="78332066"/>
    <w:multiLevelType w:val="singleLevel"/>
    <w:tmpl w:val="E7BCB06A"/>
    <w:lvl w:ilvl="0">
      <w:start w:val="1"/>
      <w:numFmt w:val="chineseCountingThousand"/>
      <w:lvlText w:val="(%1)"/>
      <w:legacy w:legacy="1" w:legacySpace="0" w:legacyIndent="510"/>
      <w:lvlJc w:val="left"/>
      <w:pPr>
        <w:ind w:left="1531" w:hanging="510"/>
      </w:pPr>
    </w:lvl>
  </w:abstractNum>
  <w:abstractNum w:abstractNumId="74">
    <w:nsid w:val="7AE3359F"/>
    <w:multiLevelType w:val="singleLevel"/>
    <w:tmpl w:val="E7BCB06A"/>
    <w:lvl w:ilvl="0">
      <w:start w:val="1"/>
      <w:numFmt w:val="chineseCountingThousand"/>
      <w:lvlText w:val="(%1)"/>
      <w:legacy w:legacy="1" w:legacySpace="0" w:legacyIndent="510"/>
      <w:lvlJc w:val="left"/>
      <w:pPr>
        <w:ind w:left="1531" w:hanging="510"/>
      </w:pPr>
    </w:lvl>
  </w:abstractNum>
  <w:abstractNum w:abstractNumId="75">
    <w:nsid w:val="7B816060"/>
    <w:multiLevelType w:val="singleLevel"/>
    <w:tmpl w:val="B4A25A9E"/>
    <w:lvl w:ilvl="0">
      <w:start w:val="1"/>
      <w:numFmt w:val="lowerLetter"/>
      <w:lvlText w:val="(%1)"/>
      <w:legacy w:legacy="1" w:legacySpace="0" w:legacyIndent="425"/>
      <w:lvlJc w:val="left"/>
      <w:pPr>
        <w:ind w:left="1446" w:hanging="425"/>
      </w:pPr>
    </w:lvl>
  </w:abstractNum>
  <w:abstractNum w:abstractNumId="76">
    <w:nsid w:val="7DE8756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7">
    <w:nsid w:val="7E8035EA"/>
    <w:multiLevelType w:val="singleLevel"/>
    <w:tmpl w:val="B4A25A9E"/>
    <w:lvl w:ilvl="0">
      <w:start w:val="1"/>
      <w:numFmt w:val="lowerLetter"/>
      <w:lvlText w:val="(%1)"/>
      <w:legacy w:legacy="1" w:legacySpace="0" w:legacyIndent="425"/>
      <w:lvlJc w:val="left"/>
      <w:pPr>
        <w:ind w:left="1446" w:hanging="425"/>
      </w:pPr>
    </w:lvl>
  </w:abstractNum>
  <w:num w:numId="1">
    <w:abstractNumId w:val="45"/>
  </w:num>
  <w:num w:numId="2">
    <w:abstractNumId w:val="29"/>
  </w:num>
  <w:num w:numId="3">
    <w:abstractNumId w:val="24"/>
  </w:num>
  <w:num w:numId="4">
    <w:abstractNumId w:val="25"/>
  </w:num>
  <w:num w:numId="5">
    <w:abstractNumId w:val="72"/>
  </w:num>
  <w:num w:numId="6">
    <w:abstractNumId w:val="0"/>
  </w:num>
  <w:num w:numId="7">
    <w:abstractNumId w:val="38"/>
  </w:num>
  <w:num w:numId="8">
    <w:abstractNumId w:val="22"/>
  </w:num>
  <w:num w:numId="9">
    <w:abstractNumId w:val="8"/>
  </w:num>
  <w:num w:numId="10">
    <w:abstractNumId w:val="13"/>
  </w:num>
  <w:num w:numId="11">
    <w:abstractNumId w:val="66"/>
  </w:num>
  <w:num w:numId="12">
    <w:abstractNumId w:val="16"/>
  </w:num>
  <w:num w:numId="13">
    <w:abstractNumId w:val="70"/>
  </w:num>
  <w:num w:numId="14">
    <w:abstractNumId w:val="42"/>
  </w:num>
  <w:num w:numId="15">
    <w:abstractNumId w:val="46"/>
  </w:num>
  <w:num w:numId="16">
    <w:abstractNumId w:val="4"/>
  </w:num>
  <w:num w:numId="17">
    <w:abstractNumId w:val="76"/>
  </w:num>
  <w:num w:numId="18">
    <w:abstractNumId w:val="65"/>
  </w:num>
  <w:num w:numId="19">
    <w:abstractNumId w:val="62"/>
  </w:num>
  <w:num w:numId="20">
    <w:abstractNumId w:val="6"/>
  </w:num>
  <w:num w:numId="21">
    <w:abstractNumId w:val="44"/>
  </w:num>
  <w:num w:numId="22">
    <w:abstractNumId w:val="48"/>
  </w:num>
  <w:num w:numId="23">
    <w:abstractNumId w:val="74"/>
  </w:num>
  <w:num w:numId="24">
    <w:abstractNumId w:val="56"/>
  </w:num>
  <w:num w:numId="25">
    <w:abstractNumId w:val="54"/>
  </w:num>
  <w:num w:numId="26">
    <w:abstractNumId w:val="37"/>
  </w:num>
  <w:num w:numId="27">
    <w:abstractNumId w:val="10"/>
  </w:num>
  <w:num w:numId="28">
    <w:abstractNumId w:val="7"/>
  </w:num>
  <w:num w:numId="29">
    <w:abstractNumId w:val="77"/>
  </w:num>
  <w:num w:numId="30">
    <w:abstractNumId w:val="1"/>
  </w:num>
  <w:num w:numId="31">
    <w:abstractNumId w:val="15"/>
  </w:num>
  <w:num w:numId="32">
    <w:abstractNumId w:val="69"/>
  </w:num>
  <w:num w:numId="33">
    <w:abstractNumId w:val="23"/>
  </w:num>
  <w:num w:numId="34">
    <w:abstractNumId w:val="61"/>
  </w:num>
  <w:num w:numId="35">
    <w:abstractNumId w:val="60"/>
  </w:num>
  <w:num w:numId="36">
    <w:abstractNumId w:val="30"/>
  </w:num>
  <w:num w:numId="37">
    <w:abstractNumId w:val="49"/>
  </w:num>
  <w:num w:numId="38">
    <w:abstractNumId w:val="53"/>
  </w:num>
  <w:num w:numId="39">
    <w:abstractNumId w:val="67"/>
  </w:num>
  <w:num w:numId="40">
    <w:abstractNumId w:val="5"/>
  </w:num>
  <w:num w:numId="41">
    <w:abstractNumId w:val="27"/>
  </w:num>
  <w:num w:numId="42">
    <w:abstractNumId w:val="75"/>
  </w:num>
  <w:num w:numId="43">
    <w:abstractNumId w:val="52"/>
  </w:num>
  <w:num w:numId="44">
    <w:abstractNumId w:val="63"/>
  </w:num>
  <w:num w:numId="45">
    <w:abstractNumId w:val="21"/>
  </w:num>
  <w:num w:numId="46">
    <w:abstractNumId w:val="28"/>
  </w:num>
  <w:num w:numId="47">
    <w:abstractNumId w:val="12"/>
  </w:num>
  <w:num w:numId="48">
    <w:abstractNumId w:val="57"/>
  </w:num>
  <w:num w:numId="49">
    <w:abstractNumId w:val="50"/>
  </w:num>
  <w:num w:numId="50">
    <w:abstractNumId w:val="32"/>
  </w:num>
  <w:num w:numId="51">
    <w:abstractNumId w:val="14"/>
  </w:num>
  <w:num w:numId="52">
    <w:abstractNumId w:val="51"/>
  </w:num>
  <w:num w:numId="53">
    <w:abstractNumId w:val="11"/>
  </w:num>
  <w:num w:numId="54">
    <w:abstractNumId w:val="31"/>
  </w:num>
  <w:num w:numId="55">
    <w:abstractNumId w:val="40"/>
  </w:num>
  <w:num w:numId="56">
    <w:abstractNumId w:val="73"/>
  </w:num>
  <w:num w:numId="57">
    <w:abstractNumId w:val="47"/>
  </w:num>
  <w:num w:numId="58">
    <w:abstractNumId w:val="33"/>
  </w:num>
  <w:num w:numId="59">
    <w:abstractNumId w:val="26"/>
  </w:num>
  <w:num w:numId="60">
    <w:abstractNumId w:val="3"/>
  </w:num>
  <w:num w:numId="61">
    <w:abstractNumId w:val="41"/>
  </w:num>
  <w:num w:numId="62">
    <w:abstractNumId w:val="18"/>
  </w:num>
  <w:num w:numId="63">
    <w:abstractNumId w:val="59"/>
  </w:num>
  <w:num w:numId="64">
    <w:abstractNumId w:val="58"/>
  </w:num>
  <w:num w:numId="65">
    <w:abstractNumId w:val="2"/>
  </w:num>
  <w:num w:numId="66">
    <w:abstractNumId w:val="43"/>
  </w:num>
  <w:num w:numId="67">
    <w:abstractNumId w:val="17"/>
  </w:num>
  <w:num w:numId="68">
    <w:abstractNumId w:val="39"/>
  </w:num>
  <w:num w:numId="69">
    <w:abstractNumId w:val="9"/>
  </w:num>
  <w:num w:numId="70">
    <w:abstractNumId w:val="55"/>
  </w:num>
  <w:num w:numId="71">
    <w:abstractNumId w:val="36"/>
  </w:num>
  <w:num w:numId="72">
    <w:abstractNumId w:val="68"/>
  </w:num>
  <w:num w:numId="73">
    <w:abstractNumId w:val="64"/>
  </w:num>
  <w:num w:numId="74">
    <w:abstractNumId w:val="19"/>
  </w:num>
  <w:num w:numId="75">
    <w:abstractNumId w:val="34"/>
  </w:num>
  <w:num w:numId="76">
    <w:abstractNumId w:val="35"/>
  </w:num>
  <w:num w:numId="77">
    <w:abstractNumId w:val="20"/>
  </w:num>
  <w:num w:numId="78">
    <w:abstractNumId w:val="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10"/>
  <w:evenAndOddHeaders/>
  <w:drawingGridHorizontalSpacing w:val="130"/>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rFonts w:eastAsia="SimSun"/>
      <w:snapToGrid w:val="0"/>
      <w:spacing w:val="10"/>
      <w:sz w:val="24"/>
      <w:lang w:eastAsia="zh-CN"/>
    </w:rPr>
  </w:style>
  <w:style w:type="paragraph" w:styleId="Heading1">
    <w:name w:val="heading 1"/>
    <w:basedOn w:val="Normal"/>
    <w:next w:val="Normal"/>
    <w:qFormat/>
    <w:pPr>
      <w:keepNext/>
      <w:keepLines/>
      <w:spacing w:after="320" w:line="288" w:lineRule="auto"/>
      <w:jc w:val="center"/>
      <w:outlineLvl w:val="0"/>
    </w:pPr>
    <w:rPr>
      <w:b/>
      <w:kern w:val="32"/>
      <w:sz w:val="30"/>
    </w:rPr>
  </w:style>
  <w:style w:type="paragraph" w:styleId="Heading2">
    <w:name w:val="heading 2"/>
    <w:basedOn w:val="Normal"/>
    <w:next w:val="Normal"/>
    <w:qFormat/>
    <w:pPr>
      <w:keepNext/>
      <w:keepLines/>
      <w:spacing w:after="320" w:line="288" w:lineRule="auto"/>
      <w:jc w:val="center"/>
      <w:outlineLvl w:val="1"/>
    </w:pPr>
    <w:rPr>
      <w:kern w:val="28"/>
      <w:sz w:val="28"/>
    </w:rPr>
  </w:style>
  <w:style w:type="paragraph" w:styleId="Heading3">
    <w:name w:val="heading 3"/>
    <w:basedOn w:val="Normal"/>
    <w:next w:val="Normal"/>
    <w:qFormat/>
    <w:pPr>
      <w:keepNext/>
      <w:keepLines/>
      <w:spacing w:after="320"/>
      <w:jc w:val="center"/>
      <w:outlineLvl w:val="2"/>
    </w:pPr>
    <w:rPr>
      <w:kern w:val="28"/>
      <w:u w:val="single"/>
    </w:rPr>
  </w:style>
  <w:style w:type="paragraph" w:styleId="Heading4">
    <w:name w:val="heading 4"/>
    <w:basedOn w:val="Normal"/>
    <w:next w:val="Normal"/>
    <w:qFormat/>
    <w:pPr>
      <w:keepNext/>
      <w:keepLines/>
      <w:spacing w:after="240"/>
      <w:outlineLvl w:val="3"/>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cm">
    <w:name w:val="12cm落款"/>
    <w:basedOn w:val="Normal"/>
    <w:pPr>
      <w:keepLines/>
      <w:tabs>
        <w:tab w:val="left" w:pos="510"/>
      </w:tabs>
      <w:spacing w:before="160" w:after="280" w:line="288" w:lineRule="auto"/>
      <w:ind w:left="6804"/>
    </w:pPr>
  </w:style>
  <w:style w:type="paragraph" w:customStyle="1" w:styleId="9cm">
    <w:name w:val="9cm落款"/>
    <w:basedOn w:val="Normal"/>
    <w:pPr>
      <w:keepLines/>
      <w:tabs>
        <w:tab w:val="left" w:pos="510"/>
      </w:tabs>
      <w:spacing w:before="160" w:after="280" w:line="288" w:lineRule="auto"/>
      <w:ind w:left="5103"/>
    </w:pPr>
  </w:style>
  <w:style w:type="paragraph" w:customStyle="1" w:styleId="a1">
    <w:name w:val="表决"/>
    <w:basedOn w:val="Normal"/>
    <w:pPr>
      <w:ind w:left="2042" w:hanging="1021"/>
    </w:pPr>
  </w:style>
  <w:style w:type="paragraph" w:customStyle="1" w:styleId="a2">
    <w:name w:val="表中文字"/>
    <w:basedOn w:val="Normal"/>
    <w:pPr>
      <w:spacing w:line="320" w:lineRule="exact"/>
    </w:pPr>
    <w:rPr>
      <w:sz w:val="21"/>
    </w:rPr>
  </w:style>
  <w:style w:type="paragraph" w:customStyle="1" w:styleId="a3">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eastAsia="zh-CN"/>
    </w:rPr>
  </w:style>
  <w:style w:type="paragraph" w:styleId="Header">
    <w:name w:val="header"/>
    <w:basedOn w:val="Normal"/>
    <w:semiHidden/>
    <w:pPr>
      <w:tabs>
        <w:tab w:val="left" w:pos="1202"/>
        <w:tab w:val="left" w:pos="6124"/>
        <w:tab w:val="left" w:pos="6634"/>
        <w:tab w:val="left" w:pos="7144"/>
        <w:tab w:val="left" w:pos="7655"/>
        <w:tab w:val="left" w:pos="8165"/>
      </w:tabs>
      <w:spacing w:line="264" w:lineRule="auto"/>
    </w:pPr>
    <w:rPr>
      <w:rFonts w:ascii="Courier New" w:hAnsi="Courier New"/>
      <w:sz w:val="20"/>
    </w:rPr>
  </w:style>
  <w:style w:type="paragraph" w:customStyle="1" w:styleId="a4">
    <w:name w:val="横眉"/>
    <w:basedOn w:val="Header"/>
    <w:autoRedefine/>
    <w:pPr>
      <w:tabs>
        <w:tab w:val="left" w:pos="1202"/>
      </w:tabs>
      <w:snapToGrid/>
      <w:spacing w:line="160" w:lineRule="exact"/>
    </w:pPr>
    <w:rPr>
      <w:snapToGrid/>
      <w:spacing w:val="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rFonts w:eastAsia="SimSun"/>
      <w:kern w:val="24"/>
      <w:sz w:val="24"/>
      <w:lang w:eastAsia="zh-CN"/>
    </w:rPr>
  </w:style>
  <w:style w:type="paragraph" w:styleId="FootnoteText">
    <w:name w:val="footnote text"/>
    <w:basedOn w:val="Normal"/>
    <w:semiHidden/>
    <w:pPr>
      <w:keepLines/>
      <w:spacing w:line="288" w:lineRule="auto"/>
      <w:ind w:firstLine="510"/>
    </w:pPr>
    <w:rPr>
      <w:rFonts w:eastAsia="KaiTi_GB2312"/>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5">
    <w:name w:val="居中页眉"/>
    <w:basedOn w:val="Header"/>
    <w:pPr>
      <w:tabs>
        <w:tab w:val="left" w:pos="1202"/>
      </w:tabs>
      <w:snapToGrid/>
      <w:spacing w:line="288" w:lineRule="auto"/>
    </w:pPr>
    <w:rPr>
      <w:snapToGrid/>
      <w:spacing w:val="0"/>
    </w:rPr>
  </w:style>
  <w:style w:type="paragraph" w:customStyle="1" w:styleId="a6">
    <w:name w:val="楷体"/>
    <w:basedOn w:val="Normal"/>
    <w:rPr>
      <w:rFonts w:eastAsia="KaiTi_GB2312"/>
    </w:rPr>
  </w:style>
  <w:style w:type="paragraph" w:customStyle="1" w:styleId="a7">
    <w:name w:val="目录"/>
    <w:basedOn w:val="Normal"/>
    <w:pPr>
      <w:tabs>
        <w:tab w:val="left" w:pos="510"/>
        <w:tab w:val="left" w:pos="7201"/>
        <w:tab w:val="left" w:pos="7711"/>
        <w:tab w:val="left" w:pos="8618"/>
        <w:tab w:val="right" w:pos="9356"/>
      </w:tabs>
      <w:spacing w:line="360" w:lineRule="auto"/>
    </w:pPr>
    <w:rPr>
      <w:rFonts w:eastAsia="KaiTi_GB2312"/>
      <w:noProof/>
    </w:rPr>
  </w:style>
  <w:style w:type="paragraph" w:customStyle="1" w:styleId="a8">
    <w:name w:val="目录段次"/>
    <w:basedOn w:val="Normal"/>
    <w:pPr>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9">
    <w:name w:val="目录段页次"/>
    <w:basedOn w:val="Normal"/>
    <w:pPr>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a">
    <w:name w:val="目录页次"/>
    <w:basedOn w:val="Normal"/>
    <w:pPr>
      <w:tabs>
        <w:tab w:val="left" w:pos="510"/>
        <w:tab w:val="left" w:pos="1021"/>
        <w:tab w:val="left" w:pos="1531"/>
        <w:tab w:val="left" w:pos="2041"/>
        <w:tab w:val="right" w:leader="dot" w:pos="8392"/>
        <w:tab w:val="right" w:pos="9185"/>
      </w:tabs>
      <w:ind w:left="510" w:right="1701" w:hanging="510"/>
    </w:pPr>
  </w:style>
  <w:style w:type="paragraph" w:customStyle="1" w:styleId="ab">
    <w:name w:val="首页页眉"/>
    <w:basedOn w:val="Normal"/>
    <w:pPr>
      <w:tabs>
        <w:tab w:val="left" w:pos="510"/>
      </w:tabs>
      <w:suppressAutoHyphens/>
      <w:spacing w:line="288" w:lineRule="auto"/>
    </w:pPr>
    <w:rPr>
      <w:rFonts w:ascii="Univers Bold" w:hAnsi="Univers Bold"/>
    </w:rPr>
  </w:style>
  <w:style w:type="paragraph" w:styleId="EndnoteText">
    <w:name w:val="endnote text"/>
    <w:basedOn w:val="FootnoteText"/>
    <w:semiHidden/>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c">
    <w:name w:val="悬挂"/>
    <w:basedOn w:val="Normal"/>
    <w:pPr>
      <w:ind w:left="1531" w:hanging="510"/>
    </w:pPr>
  </w:style>
  <w:style w:type="paragraph" w:customStyle="1" w:styleId="x">
    <w:name w:val="悬挂[(x)"/>
    <w:basedOn w:val="Normal"/>
    <w:pPr>
      <w:ind w:left="1531" w:hanging="595"/>
    </w:pPr>
  </w:style>
  <w:style w:type="paragraph" w:customStyle="1" w:styleId="x0">
    <w:name w:val="悬挂“(x)"/>
    <w:basedOn w:val="Normal"/>
    <w:pPr>
      <w:ind w:left="1531" w:hanging="794"/>
    </w:pPr>
  </w:style>
  <w:style w:type="paragraph" w:customStyle="1" w:styleId="a0">
    <w:name w:val="悬挂符号－"/>
    <w:basedOn w:val="ac"/>
    <w:pPr>
      <w:numPr>
        <w:numId w:val="1"/>
      </w:numPr>
      <w:tabs>
        <w:tab w:val="clear" w:pos="510"/>
      </w:tabs>
    </w:pPr>
  </w:style>
  <w:style w:type="paragraph" w:customStyle="1" w:styleId="a">
    <w:name w:val="悬挂符号●"/>
    <w:basedOn w:val="Normal"/>
    <w:pPr>
      <w:numPr>
        <w:numId w:val="2"/>
      </w:numPr>
      <w:tabs>
        <w:tab w:val="clear" w:pos="510"/>
      </w:tabs>
    </w:pPr>
  </w:style>
  <w:style w:type="paragraph" w:styleId="Footer">
    <w:name w:val="footer"/>
    <w:basedOn w:val="Normal"/>
    <w:semiHidden/>
    <w:pPr>
      <w:tabs>
        <w:tab w:val="left" w:pos="510"/>
      </w:tabs>
      <w:spacing w:line="264" w:lineRule="auto"/>
    </w:pPr>
    <w:rPr>
      <w:rFonts w:ascii="Courier New" w:hAnsi="Courier New"/>
      <w:sz w:val="20"/>
    </w:rPr>
  </w:style>
  <w:style w:type="character" w:styleId="PageNumber">
    <w:name w:val="page number"/>
    <w:semiHidden/>
    <w:rPr>
      <w:rFonts w:ascii="Courier New" w:eastAsia="SimSun" w:hAnsi="Courier New"/>
      <w:spacing w:val="0"/>
      <w:w w:val="100"/>
      <w:position w:val="0"/>
      <w:sz w:val="20"/>
    </w:rPr>
  </w:style>
  <w:style w:type="paragraph" w:customStyle="1" w:styleId="1L">
    <w:name w:val="页眉1L"/>
    <w:basedOn w:val="Normal"/>
    <w:autoRedefine/>
    <w:pPr>
      <w:framePr w:w="1542" w:h="627" w:hSpace="180" w:wrap="around" w:vAnchor="page" w:hAnchor="page" w:x="1469" w:y="1390"/>
      <w:spacing w:line="240" w:lineRule="auto"/>
    </w:pPr>
    <w:rPr>
      <w:rFonts w:ascii="SimHei" w:eastAsia="SimHei"/>
      <w:spacing w:val="60"/>
      <w:sz w:val="32"/>
    </w:rPr>
  </w:style>
  <w:style w:type="paragraph" w:customStyle="1" w:styleId="1R1">
    <w:name w:val="页眉1R1"/>
    <w:basedOn w:val="Normal"/>
    <w:pPr>
      <w:suppressAutoHyphens/>
      <w:spacing w:line="240" w:lineRule="auto"/>
    </w:pPr>
    <w:rPr>
      <w:rFonts w:ascii="Univers (WN)" w:hAnsi="Univers (WN)"/>
      <w:b/>
      <w:sz w:val="60"/>
    </w:rPr>
  </w:style>
  <w:style w:type="paragraph" w:customStyle="1" w:styleId="ad">
    <w:name w:val="英文本"/>
    <w:basedOn w:val="EndnoteText"/>
    <w:pPr>
      <w:keepLines w:val="0"/>
      <w:overflowPunct/>
      <w:spacing w:after="120" w:line="240" w:lineRule="auto"/>
      <w:ind w:firstLine="0"/>
      <w:jc w:val="left"/>
    </w:pPr>
    <w:rPr>
      <w:spacing w:val="0"/>
      <w:lang w:val="en-GB" w:eastAsia="en-US"/>
    </w:rPr>
  </w:style>
  <w:style w:type="paragraph" w:customStyle="1" w:styleId="1m1">
    <w:name w:val="页眉1m1"/>
    <w:basedOn w:val="Normal"/>
    <w:pPr>
      <w:suppressAutoHyphens/>
      <w:spacing w:line="360" w:lineRule="auto"/>
    </w:pPr>
    <w:rPr>
      <w:rFonts w:ascii="SimHei" w:eastAsia="SimHei"/>
      <w:spacing w:val="40"/>
      <w:sz w:val="40"/>
    </w:rPr>
  </w:style>
  <w:style w:type="paragraph" w:customStyle="1" w:styleId="ae">
    <w:name w:val="正文缩进"/>
    <w:basedOn w:val="Normal"/>
    <w:pPr>
      <w:ind w:left="1021" w:firstLine="5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1</Pages>
  <Words>687</Words>
  <Characters>3921</Characters>
  <Application>Microsoft Office Word</Application>
  <DocSecurity>4</DocSecurity>
  <Lines>32</Lines>
  <Paragraphs>7</Paragraphs>
  <ScaleCrop>false</ScaleCrop>
  <HeadingPairs>
    <vt:vector size="4" baseType="variant">
      <vt:variant>
        <vt:lpstr>题目</vt:lpstr>
      </vt:variant>
      <vt:variant>
        <vt:i4>1</vt:i4>
      </vt:variant>
      <vt:variant>
        <vt:lpstr>标题</vt:lpstr>
      </vt:variant>
      <vt:variant>
        <vt:i4>7</vt:i4>
      </vt:variant>
    </vt:vector>
  </HeadingPairs>
  <TitlesOfParts>
    <vt:vector size="8" baseType="lpstr">
      <vt:lpstr>经济、社会、文化权利委员会</vt:lpstr>
      <vt:lpstr>    审议缔约国根据《公约》第十六条和十七条提交的报告</vt:lpstr>
      <vt:lpstr>        经济、社会、文化权利委员会的结论性意见</vt:lpstr>
      <vt:lpstr>    立 陶 宛</vt:lpstr>
      <vt:lpstr>        B.  积极方面</vt:lpstr>
      <vt:lpstr>        C.  阻碍《公约》执行的因素和困难</vt:lpstr>
      <vt:lpstr>        D.  主要关注的问题</vt:lpstr>
      <vt:lpstr>        E.  提议和建议</vt:lpstr>
    </vt:vector>
  </TitlesOfParts>
  <Company>Chinese Unit - GE</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经济、社会、文化权利委员会</dc:title>
  <dc:subject/>
  <dc:creator>Sij</dc:creator>
  <cp:keywords/>
  <dc:description>经济及社会理事会</dc:description>
  <cp:lastModifiedBy>CSD</cp:lastModifiedBy>
  <cp:revision>2</cp:revision>
  <cp:lastPrinted>2004-07-06T10:17:00Z</cp:lastPrinted>
  <dcterms:created xsi:type="dcterms:W3CDTF">2004-07-06T10:17:00Z</dcterms:created>
  <dcterms:modified xsi:type="dcterms:W3CDTF">2004-07-06T10:17:00Z</dcterms:modified>
  <cp:category>E</cp:category>
</cp:coreProperties>
</file>