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GE.01-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44750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</w:t>
                  </w:r>
                  <w:r>
                    <w:rPr>
                      <w:lang w:val="en-US"/>
                    </w:rPr>
                    <w:t>021001    021001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</w:pPr>
            <w:r>
              <w:t>Distr.</w:t>
            </w:r>
          </w:p>
          <w:p w:rsidR="00000000" w:rsidRDefault="00000000">
            <w:pPr>
              <w:spacing w:line="216" w:lineRule="auto"/>
            </w:pP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instrText xml:space="preserve"> FORMDROPDOWN </w:instrText>
            </w:r>
            <w:r>
              <w:fldChar w:fldCharType="end"/>
            </w:r>
            <w:bookmarkEnd w:id="0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fldSimple w:instr=" FILLIN  &quot;Введите символ документа&quot; \* MERGEFORMAT ">
              <w:r>
                <w:t>E/C.12/1/Add.64</w:t>
              </w:r>
            </w:fldSimple>
          </w:p>
          <w:p w:rsidR="00000000" w:rsidRDefault="00000000">
            <w:pPr>
              <w:spacing w:line="216" w:lineRule="auto"/>
            </w:pPr>
            <w:fldSimple w:instr=" FILLIN  &quot;Введите дату документа&quot; \* MERGEFORMAT ">
              <w:r>
                <w:t>24 September 2001</w:t>
              </w:r>
            </w:fldSimple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r>
              <w:t>RUSSIAN</w:t>
            </w:r>
          </w:p>
          <w:p w:rsidR="00000000" w:rsidRDefault="00000000">
            <w:pPr>
              <w:spacing w:line="216" w:lineRule="auto"/>
            </w:pPr>
            <w:r>
              <w:t xml:space="preserve">Original: 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1" w:name="ПолеСоСписком2"/>
            <w:r>
              <w:instrText xml:space="preserve"> FORMDROPDOWN </w:instrText>
            </w:r>
            <w:r>
              <w:fldChar w:fldCharType="end"/>
            </w:r>
            <w:bookmarkEnd w:id="1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КОМИТЕТ ПО ЭКОНОМИЧЕСКИМ,</w:t>
      </w:r>
    </w:p>
    <w:p w:rsidR="00000000" w:rsidRDefault="00000000">
      <w:r>
        <w:t>СОЦИАЛЬНЫМ И КУЛЬТУРНЫМ ПРАВАМ</w:t>
      </w:r>
    </w:p>
    <w:p w:rsidR="00000000" w:rsidRDefault="00000000">
      <w:r>
        <w:t>Двадцать шестая (внеочередная) сессия</w:t>
      </w:r>
    </w:p>
    <w:p w:rsidR="00000000" w:rsidRDefault="00000000">
      <w:r>
        <w:t>13-31 августа 2001 года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pStyle w:val="16"/>
      </w:pPr>
    </w:p>
    <w:p w:rsidR="00000000" w:rsidRDefault="00000000">
      <w:pPr>
        <w:pStyle w:val="11"/>
        <w:rPr>
          <w:u w:val="none"/>
        </w:rPr>
      </w:pPr>
      <w:r>
        <w:rPr>
          <w:u w:val="none"/>
        </w:rPr>
        <w:t>Заключительные замечания Комитета по экономическим, социальным</w:t>
      </w:r>
    </w:p>
    <w:p w:rsidR="00000000" w:rsidRDefault="00000000">
      <w:pPr>
        <w:pStyle w:val="11"/>
      </w:pPr>
      <w:r>
        <w:rPr>
          <w:u w:val="none"/>
        </w:rPr>
        <w:t>и культурным правам</w:t>
      </w:r>
    </w:p>
    <w:p w:rsidR="00000000" w:rsidRDefault="00000000">
      <w:pPr>
        <w:pStyle w:val="11"/>
      </w:pPr>
    </w:p>
    <w:p w:rsidR="00000000" w:rsidRDefault="00000000">
      <w:pPr>
        <w:pStyle w:val="11"/>
      </w:pPr>
      <w:r>
        <w:t>Панама</w:t>
      </w:r>
    </w:p>
    <w:p w:rsidR="00000000" w:rsidRDefault="00000000">
      <w:pPr>
        <w:pStyle w:val="11"/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второй периодический доклад Панамы об осуществлении Международного пакта об экономических, социальных и культурных правах (</w:t>
      </w:r>
      <w:proofErr w:type="spellStart"/>
      <w:r>
        <w:t>Е</w:t>
      </w:r>
      <w:proofErr w:type="spellEnd"/>
      <w:r>
        <w:t>/1990/6/</w:t>
      </w:r>
      <w:proofErr w:type="spellStart"/>
      <w:r>
        <w:t>Add.24</w:t>
      </w:r>
      <w:proofErr w:type="spellEnd"/>
      <w:r>
        <w:t>) на своем 36</w:t>
      </w:r>
      <w:r>
        <w:noBreakHyphen/>
        <w:t>м заседании (</w:t>
      </w:r>
      <w:proofErr w:type="spellStart"/>
      <w:r>
        <w:t>E</w:t>
      </w:r>
      <w:proofErr w:type="spellEnd"/>
      <w:r>
        <w:t>/</w:t>
      </w:r>
      <w:proofErr w:type="spellStart"/>
      <w:r>
        <w:t>C.12</w:t>
      </w:r>
      <w:proofErr w:type="spellEnd"/>
      <w:r>
        <w:t>/2001/</w:t>
      </w:r>
      <w:proofErr w:type="spellStart"/>
      <w:r>
        <w:t>SR.36</w:t>
      </w:r>
      <w:proofErr w:type="spellEnd"/>
      <w:r>
        <w:t>), состоявшемся 16 августа 2001 года, и на своем 51</w:t>
      </w:r>
      <w:r>
        <w:noBreakHyphen/>
        <w:t>м заседании (</w:t>
      </w:r>
      <w:proofErr w:type="spellStart"/>
      <w:r>
        <w:t>E</w:t>
      </w:r>
      <w:proofErr w:type="spellEnd"/>
      <w:r>
        <w:t>/</w:t>
      </w:r>
      <w:proofErr w:type="spellStart"/>
      <w:r>
        <w:t>C.12</w:t>
      </w:r>
      <w:proofErr w:type="spellEnd"/>
      <w:r>
        <w:t>/2001/</w:t>
      </w:r>
      <w:proofErr w:type="spellStart"/>
      <w:r>
        <w:t>SR.51</w:t>
      </w:r>
      <w:proofErr w:type="spellEnd"/>
      <w:r>
        <w:t>), состоявшемся 27 августа 2001 года, утвердил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второй периодический доклад государства-участника, сожалея, однако, о том, что он был представлен с четырехлетней задержкой.  Доклад в целом подготовлен в соответствии с руководящими принципами Комитета, хотя о выполнении статей 1-5 Пакта представлена недостаточная информация.</w:t>
      </w:r>
    </w:p>
    <w:p w:rsidR="00000000" w:rsidRDefault="00000000"/>
    <w:p w:rsidR="00000000" w:rsidRDefault="00000000">
      <w:r>
        <w:t>3.</w:t>
      </w:r>
      <w:r>
        <w:tab/>
        <w:t>Комитет сожалеет о позднем представлении письменных ответов на перечень вопросов, который был своевременно направлен государству-участнику, а также об отсутствии экспертов в делегации, присутствовавшей при рассмотрении доклада.  Эти проблемы серьезно ограничили возможности проведения конструктивного диалога с делегацией.</w:t>
      </w:r>
    </w:p>
    <w:p w:rsidR="00000000" w:rsidRDefault="00000000"/>
    <w:p w:rsidR="00000000" w:rsidRDefault="00000000">
      <w:pPr>
        <w:jc w:val="center"/>
      </w:pPr>
      <w:r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r>
        <w:t>4.</w:t>
      </w:r>
      <w:r>
        <w:tab/>
        <w:t>Комитет с удовлетворением отмечает принятие законов, поощряющих равенство мужчин и женщин, в частности Закона № 4 1999 года о предоставлении женщинам равных возможностей и Закона № 38 2001 года, который развивает положения Закона № 27 1995 года о бытовом насилии.  Комитет приветствует учреждение Национального совета по делам женщин и других органов по делам женщин в различных министерствах, а также активное участие общественных организаций в процессе правовой реформы.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 значительное снижение показателей детской смертности и недоедания, а также последовательное улучшение других показателей развития человеческого потенциала.</w:t>
      </w:r>
    </w:p>
    <w:p w:rsidR="00000000" w:rsidRDefault="00000000"/>
    <w:p w:rsidR="00000000" w:rsidRDefault="00000000">
      <w:r>
        <w:t>6.</w:t>
      </w:r>
      <w:r>
        <w:tab/>
        <w:t xml:space="preserve">Комитет с удовлетворением отмечает произведенную на основании Закона № 10 1997 года, Закона № 69 1998 года и Исполнительного указа № 194 1999 года демаркацию районов проживания коренного народа </w:t>
      </w:r>
      <w:proofErr w:type="spellStart"/>
      <w:r>
        <w:t>нгобе-бугле</w:t>
      </w:r>
      <w:proofErr w:type="spellEnd"/>
      <w:r>
        <w:t>, которую Комитет рекомендовал по итогам работы в Панаме в 1995 году его миссии технической помощи.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отмечает заявление государства-участника о поддержке принятия факультативного протокола к Пакту.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С.</w:t>
      </w:r>
      <w:r>
        <w:tab/>
      </w:r>
      <w:r>
        <w:rPr>
          <w:u w:val="single"/>
        </w:rPr>
        <w:t>Факторы и трудности, препятствующие осуществлению Пакта</w:t>
      </w:r>
    </w:p>
    <w:p w:rsidR="00000000" w:rsidRDefault="00000000">
      <w:pPr>
        <w:rPr>
          <w:u w:val="single"/>
        </w:rPr>
      </w:pPr>
    </w:p>
    <w:p w:rsidR="00000000" w:rsidRDefault="00000000">
      <w:r>
        <w:t>8.</w:t>
      </w:r>
      <w:r>
        <w:tab/>
        <w:t>Комитет отмечает, что низкий уровень экономического и социального развития в сельских районах, неравный доступ к производственным ресурсам и чрезмерная ориентация социальных программ на городское население являются теми факторами, которые затрудняют усилия правительства, направленные на осуществление положений Пакта.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br w:type="page"/>
      </w:r>
      <w:proofErr w:type="spellStart"/>
      <w:r>
        <w:t>D</w:t>
      </w:r>
      <w:proofErr w:type="spellEnd"/>
      <w:r>
        <w:t>.</w:t>
      </w:r>
      <w:r>
        <w:tab/>
      </w:r>
      <w:r>
        <w:rPr>
          <w:u w:val="single"/>
        </w:rPr>
        <w:t>Основные вопросы, вызывающие озабоченность</w:t>
      </w:r>
    </w:p>
    <w:p w:rsidR="00000000" w:rsidRDefault="00000000">
      <w:pPr>
        <w:rPr>
          <w:u w:val="single"/>
        </w:rPr>
      </w:pPr>
    </w:p>
    <w:p w:rsidR="00000000" w:rsidRDefault="00000000">
      <w:r>
        <w:t>9.</w:t>
      </w:r>
      <w:r>
        <w:tab/>
        <w:t>Комитет сожалеет о том, что не было принято закона о прямой инкорпорации положений Пакта в национальную правовую систему Панамы и что в результате этого на положения Пакта нельзя ссылаться в национальных органах.</w:t>
      </w:r>
    </w:p>
    <w:p w:rsidR="00000000" w:rsidRDefault="00000000"/>
    <w:p w:rsidR="00000000" w:rsidRDefault="00000000">
      <w:r>
        <w:t>10.</w:t>
      </w:r>
      <w:r>
        <w:tab/>
        <w:t>Комитет выражает сожаление в связи с отсутствием национального плана действий в области прав человека, подготовленного в соответствии с Венской декларацией и Программой действий.</w:t>
      </w:r>
    </w:p>
    <w:p w:rsidR="00000000" w:rsidRDefault="00000000"/>
    <w:p w:rsidR="00000000" w:rsidRDefault="00000000">
      <w:r>
        <w:t>11.</w:t>
      </w:r>
      <w:r>
        <w:tab/>
        <w:t>Несмотря на существенное число принятых государством-участником правовых документов и иных мер по обеспечению равенства мужчин и женщин, Комитет обеспокоен вопиющим неравенством в оплате труда равной ценности и значительно более высоким уровнем безработицы среди женщин.</w:t>
      </w:r>
    </w:p>
    <w:p w:rsidR="00000000" w:rsidRDefault="00000000"/>
    <w:p w:rsidR="00000000" w:rsidRDefault="00000000">
      <w:r>
        <w:t>12.</w:t>
      </w:r>
      <w:r>
        <w:tab/>
        <w:t>Несмотря на отсутствие юридически закрепленной дискриминации и предоставление коренным общинам прав, предусмотренных в Конституции, Комитет глубоко обеспокоен сохраняющимися неблагоприятными условиями, с которыми на практике сталкиваются члены коренных общин в Панаме, и в частности значительными различиями в уровнях жизни и грамотности, а также в доступе к воде, работе, здравоохранению, образованию и другим основополагающим социальным услугам.  Кроме того, Комитет выражает беспокойство в связи с тем, что во многих случаях не решен вопрос о земельных правах коренных народов, интересы которых могут быть ущемлены деятельностью по добыче полезных ископаемых и скотоводству, осуществляемой с согласия государства-участника и которая приводит к перемещению коренных народов с земель их предков и сельскохозяйственных угодий.</w:t>
      </w:r>
    </w:p>
    <w:p w:rsidR="00000000" w:rsidRDefault="00000000"/>
    <w:p w:rsidR="00000000" w:rsidRDefault="00000000">
      <w:r>
        <w:t>13.</w:t>
      </w:r>
      <w:r>
        <w:tab/>
        <w:t>Комитет особо обеспокоен тем, что минимальная заработная плата не достаточна для удовлетворения основных потребностей семей трудящихся и что обязательства по выплате этой минимальной заработной платы, как правило, не выполняются на практике.</w:t>
      </w:r>
    </w:p>
    <w:p w:rsidR="00000000" w:rsidRDefault="00000000"/>
    <w:p w:rsidR="00000000" w:rsidRDefault="00000000">
      <w:r>
        <w:t>14.</w:t>
      </w:r>
      <w:r>
        <w:tab/>
        <w:t>Комитет обеспокоен ограниченной применимостью трудового законодательства в Свободной зоне Колон и обусловленными этим ограничениями, которые касаются защиты трудящихся от увольнений и деятельности профессиональных союзов.  Он также обеспокоен высоким уровнем безработицы в прилегающих районах.</w:t>
      </w:r>
    </w:p>
    <w:p w:rsidR="00000000" w:rsidRDefault="00000000"/>
    <w:p w:rsidR="00000000" w:rsidRDefault="00000000">
      <w:r>
        <w:t>15.</w:t>
      </w:r>
      <w:r>
        <w:tab/>
        <w:t>Комитет обеспокоен отсутствием достаточного количества инспекторов труда и сообщениями о широко распространенной практике найма на основе "незаполненных" контрактов и временных трудовых договоров, не предусматривающих защиту и льготы, которые определены законом для лиц, работающих по долгосрочным контрактам.  Кроме того, он выражает беспокойство в связи с законодательством, которое устанавливает чрезмерно высокие требования для учреждения организаций работодателей, профессиональных союзов и их отделений.</w:t>
      </w:r>
    </w:p>
    <w:p w:rsidR="00000000" w:rsidRDefault="00000000"/>
    <w:p w:rsidR="00000000" w:rsidRDefault="00000000">
      <w:r>
        <w:t>16.</w:t>
      </w:r>
      <w:r>
        <w:tab/>
        <w:t>Комитет обеспокоен сохранением практики бытового насилия и неспособностью государства-участника применять действующее законодательство.  Он также обеспокоен случаями сексуальных домогательств и высоким показателем числа убийств среди женщин.</w:t>
      </w:r>
    </w:p>
    <w:p w:rsidR="00000000" w:rsidRDefault="00000000"/>
    <w:p w:rsidR="00000000" w:rsidRDefault="00000000">
      <w:r>
        <w:t>17.</w:t>
      </w:r>
      <w:r>
        <w:tab/>
        <w:t>Комитет серьезно обеспокоен сохраняющейся проблемой детского труда, особенно в сельских районах, а также тем, что минимальный возраст для найма в качестве сельскохозяйственных рабочих или домашней прислуги составляет менее 12 лет.  Комитет также обеспокоен отсутствием эффективных мер, принимаемых для защиты детей  от сексуального насилия и иных форм эксплуатации.</w:t>
      </w:r>
    </w:p>
    <w:p w:rsidR="00000000" w:rsidRDefault="00000000"/>
    <w:p w:rsidR="00000000" w:rsidRDefault="00000000">
      <w:r>
        <w:t>18.</w:t>
      </w:r>
      <w:r>
        <w:tab/>
        <w:t xml:space="preserve">Комитет обеспокоен высоким уровнем нищеты, особенно в сельских районах.  В этой связи Комитет выражает беспокойство относительно экономической и социальной политики государства-участника, которая чрезмерно ориентирована на городское население и группы с более высокими доходами и приводит, как сообщается, к неадекватному распределению и расточительному расходованию ресурсов, а также относительно неэффективных социальных программ по оказанию помощи находящимся в неблагоприятном положении и </w:t>
      </w:r>
      <w:proofErr w:type="spellStart"/>
      <w:r>
        <w:t>маргинализированным</w:t>
      </w:r>
      <w:proofErr w:type="spellEnd"/>
      <w:r>
        <w:t xml:space="preserve"> группам.</w:t>
      </w:r>
    </w:p>
    <w:p w:rsidR="00000000" w:rsidRDefault="00000000"/>
    <w:p w:rsidR="00000000" w:rsidRDefault="00000000">
      <w:r>
        <w:t>19.</w:t>
      </w:r>
      <w:r>
        <w:tab/>
        <w:t xml:space="preserve">Комитет обеспокоен сообщениями о нехватке социального жилья и, особенно, наличием в жилищной сфере разрозненных программ и инициатив, которые не интегрированы в согласованную общенациональную стратегию.  Комитет также обеспокоен отсутствием информации о выполнении его рекомендаций 1995 года, в частности в том, что касается необходимости учитывать, в соответствии с принятым Комитетом Замечанием общего порядка № 7, мнения лиц, подвергшихся принудительным </w:t>
      </w:r>
      <w:proofErr w:type="spellStart"/>
      <w:r>
        <w:t>выселениям</w:t>
      </w:r>
      <w:proofErr w:type="spellEnd"/>
      <w:r>
        <w:t>.</w:t>
      </w:r>
    </w:p>
    <w:p w:rsidR="00000000" w:rsidRDefault="00000000"/>
    <w:p w:rsidR="00000000" w:rsidRDefault="00000000">
      <w:r>
        <w:t>20.</w:t>
      </w:r>
      <w:r>
        <w:tab/>
        <w:t>Комитет с беспокойством отмечает, что значительный прогресс, достигнутый в области сокращения детской смертности, не сопровождался аналогичным снижением уровня материнской смертности, который оставался неизменным в период с 1980 по 1997 год.  Комитет выражает также обеспокоенность по поводу соблюдения прав женщин на охрану их репродуктивного и сексуального здоровья, и в частности в связи с многочисленными случаями нелегальных абортов и ранней беременности.</w:t>
      </w:r>
    </w:p>
    <w:p w:rsidR="00000000" w:rsidRDefault="00000000"/>
    <w:p w:rsidR="00000000" w:rsidRDefault="00000000">
      <w:r>
        <w:t>21.</w:t>
      </w:r>
      <w:r>
        <w:tab/>
        <w:t>Комитет полагает, что одной из серьезных проблем в области здравоохранения является рост числа зарегистрированных за последнее десятилетие случаев заболевания ВИЧ/СПИДом.</w:t>
      </w:r>
    </w:p>
    <w:p w:rsidR="00000000" w:rsidRDefault="00000000"/>
    <w:p w:rsidR="00000000" w:rsidRDefault="00000000">
      <w:r>
        <w:t>22.</w:t>
      </w:r>
      <w:r>
        <w:tab/>
        <w:t>Комитет по</w:t>
      </w:r>
      <w:r>
        <w:noBreakHyphen/>
        <w:t>прежнему обеспокоен низким уровнем грамотности, особенно среди женщин.</w:t>
      </w:r>
    </w:p>
    <w:p w:rsidR="00000000" w:rsidRDefault="00000000"/>
    <w:p w:rsidR="00000000" w:rsidRDefault="00000000">
      <w:r>
        <w:t>23.</w:t>
      </w:r>
      <w:r>
        <w:tab/>
        <w:t>Комитет обеспокоен неадекватностью ресурсов, выделяемых на решение проблем начального и среднего образования.</w:t>
      </w:r>
    </w:p>
    <w:p w:rsidR="00000000" w:rsidRDefault="00000000"/>
    <w:p w:rsidR="00000000" w:rsidRDefault="00000000">
      <w:r>
        <w:t>24.</w:t>
      </w:r>
      <w:r>
        <w:tab/>
        <w:t>Комитет выражает сожаление в связи с отсутствием во втором периодическом докладе информации о мерах, принятых в ответ на рекомендации Комитета, сформулированные по итогам рассмотрения первоначального доклада Панамы.</w:t>
      </w:r>
    </w:p>
    <w:p w:rsidR="00000000" w:rsidRDefault="00000000"/>
    <w:p w:rsidR="00000000" w:rsidRDefault="00000000">
      <w:pPr>
        <w:jc w:val="center"/>
      </w:pPr>
      <w:r>
        <w:t>Е.</w:t>
      </w:r>
      <w:r>
        <w:tab/>
      </w:r>
      <w:r>
        <w:rPr>
          <w:u w:val="single"/>
        </w:rPr>
        <w:t>Предложения и рекомендации</w:t>
      </w:r>
    </w:p>
    <w:p w:rsidR="00000000" w:rsidRDefault="00000000"/>
    <w:p w:rsidR="00000000" w:rsidRDefault="00000000">
      <w:r>
        <w:t>25.</w:t>
      </w:r>
      <w:r>
        <w:tab/>
        <w:t>Комитет настоятельно призывает государство-участник обеспечить прямое применение положений Пакта в национальной правовой системе, с тем чтобы на них можно было ссылаться в судах.</w:t>
      </w:r>
    </w:p>
    <w:p w:rsidR="00000000" w:rsidRDefault="00000000"/>
    <w:p w:rsidR="00000000" w:rsidRDefault="00000000">
      <w:r>
        <w:t>26.</w:t>
      </w:r>
      <w:r>
        <w:tab/>
        <w:t>Комитет настоятельно рекомендует подготовить национальный план действий в области прав человека в соответствии с Венской декларацией и Программой действий.  Комитет просит государство-участник приложить к его третьему периодическому докладу Комитету текст национального плана действий и разъяснить в его докладе, каким образом этот план содействует осуществлению и защите экономических, социальных и культурных прав.</w:t>
      </w:r>
    </w:p>
    <w:p w:rsidR="00000000" w:rsidRDefault="00000000"/>
    <w:p w:rsidR="00000000" w:rsidRDefault="00000000">
      <w:r>
        <w:t>27.</w:t>
      </w:r>
      <w:r>
        <w:tab/>
        <w:t>Комитет просит государство-участник включить в его третий периодический доклад подробную информацию о любых стратегиях, программах и мерах, принятых правительством в целях содействия эффективному осуществлению законодательства по вопросам равноправия мужчин и женщин.</w:t>
      </w:r>
    </w:p>
    <w:p w:rsidR="00000000" w:rsidRDefault="00000000"/>
    <w:p w:rsidR="00000000" w:rsidRDefault="00000000">
      <w:r>
        <w:t>28.</w:t>
      </w:r>
      <w:r>
        <w:tab/>
        <w:t>Комитет повторяет свою рекомендацию о том, что государству-участнику надлежит рассмотреть вопрос о ратификации принятой МОТ в 1989 году Конвенции о коренных народах и народах, ведущих племенной образ жизни.  Он настоятельно призывает государство-участник уделить особое внимание снижению уровня нищеты и неграмотности, а также обеспечению доступа к воде, работе, здравоохранению, образованию и другим основополагающим социальным услугам для коренных народов.  Комитет рекомендует окончательно решить вопрос земельных прав коренных народов, чтобы им не угрожала деятельность по добыче полезных ископаемых и скотоводству, которая приводит к их перемещению с традиционных земель предков и сельскохозяйственных угодий.</w:t>
      </w:r>
    </w:p>
    <w:p w:rsidR="00000000" w:rsidRDefault="00000000"/>
    <w:p w:rsidR="00000000" w:rsidRDefault="00000000">
      <w:r>
        <w:t>29.</w:t>
      </w:r>
      <w:r>
        <w:tab/>
        <w:t xml:space="preserve">Комитет призывает государство-участник принять меры для смягчения требований, касающихся создания организаций работодателей, профессиональных союзов и их отделений. </w:t>
      </w:r>
    </w:p>
    <w:p w:rsidR="00000000" w:rsidRDefault="00000000"/>
    <w:p w:rsidR="00000000" w:rsidRDefault="00000000">
      <w:r>
        <w:t>30.</w:t>
      </w:r>
      <w:r>
        <w:tab/>
        <w:t>Комитет рекомендует государству-участнику принять эффективные меры по борьбе с высоким уровнем безработицы, особенно среди женщин и в районах, прилежащих к Свободной зоне Колон.  Он также рекомендует пересмотреть ограниченную применимость трудового законодательства в Свободной зоне Колон.</w:t>
      </w:r>
    </w:p>
    <w:p w:rsidR="00000000" w:rsidRDefault="00000000"/>
    <w:p w:rsidR="00000000" w:rsidRDefault="00000000">
      <w:r>
        <w:t>31.</w:t>
      </w:r>
      <w:r>
        <w:tab/>
        <w:t>Комитет призывает государство-участник выполнить взятое им обязательство, касающееся разработки эффективных программ и политики по борьбе с нищетой, а также выполнения целей по снижению к 2003 году уровня нищеты среди населения с 37% до 30%.  В этой связи Комитет настоятельно призывает государство-участник решить сохраняющуюся проблему вопиющего неравенства в уровне доходов.  Кроме того, Комитет настоятельно призывает государство-участника пересмотреть его различные инициативы, направленные на снижение высокого уровня нищеты, для обеспечения того, чтобы в них в полной мере учитывались права человека, в том числе экономические, социальные и культурные права, в свете принятого Комитетом в мае 2001 года Заявления "Проблемы нищеты и Международный пакт об экономических, социальных и культурных правах".</w:t>
      </w:r>
    </w:p>
    <w:p w:rsidR="00000000" w:rsidRDefault="00000000"/>
    <w:p w:rsidR="00000000" w:rsidRDefault="00000000">
      <w:r>
        <w:t>32.</w:t>
      </w:r>
      <w:r>
        <w:tab/>
        <w:t>Комитет настоятельно призывает государство-участник обеспечить регулярное повышение минимальной заработной платы с учетом роста стоимости жизни, чтобы более эффективно гарантировать надлежащие условия жизни трудящихся и их семей, и обеспечить выполнение на практике правил, касающихся выплаты минимальной заработной платы.</w:t>
      </w:r>
    </w:p>
    <w:p w:rsidR="00000000" w:rsidRDefault="00000000"/>
    <w:p w:rsidR="00000000" w:rsidRDefault="00000000">
      <w:r>
        <w:t>33.</w:t>
      </w:r>
      <w:r>
        <w:tab/>
        <w:t>Касаясь Закона № 30 2001 года, Комитет настоятельно рекомендует государству-участнику принять эффективные меры для распространения и строгого соблюдения действующего законодательства о бытовом насилии, улучшить с этой целью подготовку сотрудников полиции и других правоохранительных органов и включить в его третий периодический доклад информацию о количестве случаев, связанных с бытовым насилием, и результатах судебного разбирательства таких случаев.</w:t>
      </w:r>
    </w:p>
    <w:p w:rsidR="00000000" w:rsidRDefault="00000000"/>
    <w:p w:rsidR="00000000" w:rsidRDefault="00000000">
      <w:r>
        <w:t>34.</w:t>
      </w:r>
      <w:r>
        <w:tab/>
        <w:t>Комитет настоятельно призывает государство-участник принять все необходимые законодательные или иные меры для решения сохраняющейся проблемы детского труда, особенно среди работников сельского хозяйства и домашней прислуги.  В этой связи Комитет настоятельно призывает государство-участник рассмотреть вопрос о ратификации принятой МОТ в 1999 году Конвенции (№ 182) о запрещении и немедленных мерах по искоренению наихудших форм детского труда.  Кроме того, Комитет призывает государство-участник принять дополнительные меры по защите детей от сексуальных посягательств и других форм эксплуатации.</w:t>
      </w:r>
    </w:p>
    <w:p w:rsidR="00000000" w:rsidRDefault="00000000"/>
    <w:p w:rsidR="00000000" w:rsidRDefault="00000000">
      <w:r>
        <w:t>35.</w:t>
      </w:r>
      <w:r>
        <w:tab/>
        <w:t>Комитет рекомендует государству-участнику собрать всеобъемлющие данные и выработать согласованную национальную стратегию по жилищному вопросу, особенно по вопросу социального жилья.  В этой связи Комитет настоятельно призывает государство-участник принять все надлежащие меры по обеспечению наличия доступного жилья, особенно для лиц с низкими доходами, для находящихся в неблагоприятном положении и маргинализированных групп.</w:t>
      </w:r>
    </w:p>
    <w:p w:rsidR="00000000" w:rsidRDefault="00000000"/>
    <w:p w:rsidR="00000000" w:rsidRDefault="00000000">
      <w:r>
        <w:t>36.</w:t>
      </w:r>
      <w:r>
        <w:tab/>
        <w:t>Комитет просит государство-участник включить в его третий периодический доклад подробную информацию о количестве и характере насильственных выселений, как то предусмотрено в принятом Комитетом Замечании общего порядка № 7.  Он просит представить информацию о выполнении рекомендаций, сформулированных Комитетом по итогам его миссии технической помощи 1995 года.</w:t>
      </w:r>
    </w:p>
    <w:p w:rsidR="00000000" w:rsidRDefault="00000000"/>
    <w:p w:rsidR="00000000" w:rsidRDefault="00000000">
      <w:r>
        <w:t>37.</w:t>
      </w:r>
      <w:r>
        <w:tab/>
        <w:t>Комитет призывает государство-участник принять неотложные меры для снижения чрезмерно высокого уровня материнской смертности, а также расширить наличие и доступность информации и услуг в области репродуктивного и сексуального здоровья, с тем чтобы способствовать сокращению случаев нелегальных абортов и ранней беременности.</w:t>
      </w:r>
    </w:p>
    <w:p w:rsidR="00000000" w:rsidRDefault="00000000"/>
    <w:p w:rsidR="00000000" w:rsidRDefault="00000000">
      <w:r>
        <w:t>38.</w:t>
      </w:r>
      <w:r>
        <w:tab/>
        <w:t>Комитет просит государство-участник включить в его третий периодический доклад подробную информацию о количестве ВИЧ-инфицированных и больных СПИДом, а также о мерах, принимаемых в целях профилактики, лечения и ухода за инфицированными, пострадавшими или особо уязвимыми лицами.</w:t>
      </w:r>
    </w:p>
    <w:p w:rsidR="00000000" w:rsidRDefault="00000000"/>
    <w:p w:rsidR="00000000" w:rsidRDefault="00000000">
      <w:r>
        <w:t>39.</w:t>
      </w:r>
      <w:r>
        <w:tab/>
        <w:t>Комитет призывает государство-участник использовать в его третьем периодическом докладе принятое Комитетом Замечание общего порядка № 14</w:t>
      </w:r>
      <w:r>
        <w:rPr>
          <w:rStyle w:val="FootnoteReference"/>
        </w:rPr>
        <w:footnoteReference w:id="1"/>
      </w:r>
      <w:r>
        <w:t xml:space="preserve"> в качестве руководства для изложения информации об осуществлении статьи 12 Пакта.  Комитет просит государство-участник включить в его третий периодический доклад подробную информацию о стоимости, доступности и наличии - особенно в сельских районах и для маргинализированных групп - расширенного комплекса услуг по амбулаторному лечению и домашнему медицинскому уходу, оказание которых, как сообщается, повлекло за собой сокращение количества койко-мест в психиатрических больницах.</w:t>
      </w:r>
    </w:p>
    <w:p w:rsidR="00000000" w:rsidRDefault="00000000"/>
    <w:p w:rsidR="00000000" w:rsidRDefault="00000000">
      <w:r>
        <w:t>40.</w:t>
      </w:r>
      <w:r>
        <w:tab/>
        <w:t>Комитет настоятельно призывает государство-участник осуществить всеобъемлющий национальный план "Образование для всех", исходя из пункта 16 Дакарских рамок действий и с учетом принятых Комитетом Замечаний общего порядка № 11 и 13, а также Замечания общего порядка (№ 1) Комитета по правам ребенка о целях образования.  Комитет рекомендует государству-участнику реализовать программы по ликвидации неграмотности среди взрослого населения, особенно в сельских районах и среди коренного населения.  Комитет просит также государство-участник включить в его третий периодический доклад подробную информацию о мерах, принимаемых в целях повышения качества и поощрения равных возможностей для всех в области образования, включая профессионально-техническое обучение.  Комитет призывает государство-участник рассмотреть вопрос о ратификации принятой ЮНЕСКО в 1960 году Конвенции о борьбе с дискриминацией в области образования.</w:t>
      </w:r>
    </w:p>
    <w:p w:rsidR="00000000" w:rsidRDefault="00000000"/>
    <w:p w:rsidR="00000000" w:rsidRDefault="00000000">
      <w:r>
        <w:t>41.</w:t>
      </w:r>
      <w:r>
        <w:tab/>
        <w:t>Комитет просит государство-участник принять меры по мобилизации дополнительных ресурсов на борьбу с неграмотностью и развитие начального и среднего образования, а также включить в его третий периодический доклад информацию о распределении ресурсов для различных уровней и видов образования.</w:t>
      </w:r>
    </w:p>
    <w:p w:rsidR="00000000" w:rsidRDefault="00000000"/>
    <w:p w:rsidR="00000000" w:rsidRDefault="00000000">
      <w:r>
        <w:t>42.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 и проинформировать Комитет обо всех принятых мерах по их выполнению.  Он также призывает государство-участник проводить консультации с неправительственными и другими общественными организациями при подготовке его третьего периодического доклада.</w:t>
      </w:r>
    </w:p>
    <w:p w:rsidR="00000000" w:rsidRDefault="00000000"/>
    <w:p w:rsidR="00000000" w:rsidRDefault="00000000">
      <w:r>
        <w:t>43.</w:t>
      </w:r>
      <w:r>
        <w:tab/>
        <w:t>И наконец, Комитет просит государство-участник представить его третий периодический доклад к 30 июня 2004 года и включить в этот доклад подробную информацию о принятых им мерах по выполнению рекомендаций, содержащихся в настоящих заключительных замечаниях.</w:t>
      </w:r>
    </w:p>
    <w:p w:rsidR="00000000" w:rsidRDefault="00000000"/>
    <w:p w:rsidR="00000000" w:rsidRDefault="00000000"/>
    <w:p w:rsidR="00000000" w:rsidRDefault="00000000"/>
    <w:p w:rsidR="00000000" w:rsidRDefault="00000000">
      <w:pPr>
        <w:pStyle w:val="16"/>
      </w:pPr>
      <w:r>
        <w:t>-------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Особенно пункты 43-44 и 57-58, касающиеся основных обязательств и определения ориентиров.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E/C.12/1/Add.64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E/C.12/1/Add.64</w:t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 w:cs="Times New Roman"/>
      <w:szCs w:val="20"/>
      <w:u w:val="single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noteText">
    <w:name w:val="footnote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40" w:lineRule="auto"/>
    </w:p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3</TotalTime>
  <Pages>1</Pages>
  <Words>2418</Words>
  <Characters>13788</Characters>
  <Application>Microsoft Office Word</Application>
  <DocSecurity>4</DocSecurity>
  <Lines>114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44750.01.doc</vt:lpstr>
    </vt:vector>
  </TitlesOfParts>
  <Company> 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0144750.doc</dc:title>
  <dc:subject>Jourovski</dc:subject>
  <dc:creator>Tatiana Dmitrieva</dc:creator>
  <cp:keywords/>
  <dc:description/>
  <cp:lastModifiedBy>Tatiana Dmitrieva</cp:lastModifiedBy>
  <cp:revision>4</cp:revision>
  <cp:lastPrinted>2001-10-02T11:11:00Z</cp:lastPrinted>
  <dcterms:created xsi:type="dcterms:W3CDTF">2001-10-02T11:10:00Z</dcterms:created>
  <dcterms:modified xsi:type="dcterms:W3CDTF">2001-10-02T11:12:00Z</dcterms:modified>
</cp:coreProperties>
</file>