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48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noProof/>
                <w:sz w:val="3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86.4pt;margin-top:706.25pt;width:112.05pt;height:19.85pt;z-index:1;mso-wrap-distance-top:56.7pt;mso-wrap-distance-bottom:56.7pt;mso-position-horizontal:absolute;mso-position-horizontal-relative:page;mso-position-vertical:absolute;mso-position-vertical-relative:text" o:allowincell="f" filled="f" stroked="f" strokecolor="white">
                  <v:textbox inset="0,0,0,0">
                    <w:txbxContent>
                      <w:p w:rsidR="00000000" w:rsidRDefault="0000000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GE.00-</w:t>
                        </w:r>
                        <w:r>
                          <w:rPr>
                            <w:lang w:val="en-US"/>
                          </w:rPr>
                          <w:fldChar w:fldCharType="begin"/>
                        </w:r>
                        <w:r>
                          <w:rPr>
                            <w:lang w:val="en-US"/>
                          </w:rPr>
                          <w:instrText xml:space="preserve"> FILLIN "Введите номер документа" \* MERGEFORMAT </w:instrText>
                        </w:r>
                        <w:r>
                          <w:rPr>
                            <w:lang w:val="en-US"/>
                          </w:rPr>
                          <w:fldChar w:fldCharType="separate"/>
                        </w:r>
                        <w:r>
                          <w:rPr>
                            <w:lang w:val="en-US"/>
                          </w:rPr>
                          <w:t>42379</w:t>
                        </w:r>
                        <w:r>
                          <w:rPr>
                            <w:lang w:val="en-US"/>
                          </w:rPr>
                          <w:fldChar w:fldCharType="end"/>
                        </w:r>
                        <w:r>
                          <w:rPr>
                            <w:lang w:val="en-US"/>
                          </w:rPr>
                          <w:t xml:space="preserve">   (R)</w:t>
                        </w:r>
                      </w:p>
                    </w:txbxContent>
                  </v:textbox>
                  <w10:wrap type="topAndBottom" anchorx="page"/>
                  <w10:anchorlock/>
                </v:shape>
              </w:pict>
            </w:r>
            <w:r>
              <w:rPr>
                <w:b/>
                <w:sz w:val="30"/>
              </w:rPr>
              <w:t>ОРГАНИЗАЦИЯ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81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4"/>
            </w:pPr>
            <w:r>
              <w:t>E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  <w:rPr>
          <w:sz w:val="20"/>
          <w:lang w:val="en-US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4706"/>
        <w:gridCol w:w="3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24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50.25pt" fillcolor="window">
                  <v:imagedata r:id="rId7" o:title=""/>
                </v:shape>
              </w:pict>
            </w:r>
          </w:p>
          <w:p w:rsidR="00000000" w:rsidRDefault="00000000">
            <w:pPr>
              <w:pStyle w:val="a0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4706" w:type="dxa"/>
            <w:tcBorders>
              <w:bottom w:val="single" w:sz="24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55"/>
              <w:rPr>
                <w:b/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55"/>
              <w:rPr>
                <w:b/>
                <w:sz w:val="20"/>
              </w:rPr>
            </w:pPr>
            <w:r>
              <w:rPr>
                <w:b/>
                <w:sz w:val="40"/>
              </w:rPr>
              <w:t>Э</w:t>
            </w:r>
            <w:r>
              <w:rPr>
                <w:b/>
                <w:smallCaps/>
                <w:sz w:val="30"/>
              </w:rPr>
              <w:t>КОНОМИЧЕСКИЙ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55"/>
              <w:rPr>
                <w:sz w:val="20"/>
              </w:rPr>
            </w:pPr>
            <w:r>
              <w:rPr>
                <w:b/>
                <w:smallCaps/>
                <w:sz w:val="30"/>
              </w:rPr>
              <w:t xml:space="preserve">И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 xml:space="preserve">ОЦИАЛЬНЫЙ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>ОВЕТ</w:t>
            </w:r>
          </w:p>
        </w:tc>
        <w:tc>
          <w:tcPr>
            <w:tcW w:w="3403" w:type="dxa"/>
            <w:tcBorders>
              <w:bottom w:val="single" w:sz="24" w:space="0" w:color="auto"/>
            </w:tcBorders>
          </w:tcPr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Distr.</w:t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0" w:name="ПолеСоСписком1"/>
            <w:r>
              <w:rPr>
                <w:lang w:val="en-US"/>
              </w:rPr>
              <w:instrText xml:space="preserve"> FORMDROPDOWN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0"/>
          </w:p>
          <w:p w:rsidR="00000000" w:rsidRDefault="00000000">
            <w:pPr>
              <w:spacing w:line="216" w:lineRule="auto"/>
              <w:rPr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символ документа"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E/C.12/1/Add.42</w:t>
            </w:r>
            <w:r>
              <w:rPr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23 May 2000</w:t>
            </w:r>
            <w:r>
              <w:rPr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 xml:space="preserve">Original:  </w:t>
            </w:r>
            <w:r>
              <w:rPr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1" w:name="ПолеСоСписком2"/>
            <w:r>
              <w:rPr>
                <w:lang w:val="en-US"/>
              </w:rPr>
              <w:instrText xml:space="preserve"> FORMDROPDOWN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1"/>
          </w:p>
          <w:p w:rsidR="00000000" w:rsidRDefault="00000000">
            <w:pPr>
              <w:spacing w:line="216" w:lineRule="auto"/>
              <w:rPr>
                <w:lang w:val="en-US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55"/>
              <w:rPr>
                <w:sz w:val="22"/>
              </w:rPr>
            </w:pPr>
          </w:p>
        </w:tc>
      </w:tr>
    </w:tbl>
    <w:p w:rsidR="00000000" w:rsidRDefault="00000000">
      <w:pPr>
        <w:rPr>
          <w:lang w:val="en-US"/>
        </w:rPr>
      </w:pPr>
    </w:p>
    <w:p w:rsidR="00000000" w:rsidRDefault="00000000">
      <w:pPr>
        <w:spacing w:line="240" w:lineRule="auto"/>
        <w:rPr>
          <w:lang w:val="en-US"/>
        </w:rPr>
      </w:pPr>
      <w:r>
        <w:rPr>
          <w:lang w:val="en-US"/>
        </w:rPr>
        <w:t>КОМИТЕТ ПО ЭКОНОМИЧЕСКИМ, СОЦИАЛЬНЫМ</w:t>
      </w:r>
    </w:p>
    <w:p w:rsidR="00000000" w:rsidRDefault="00000000">
      <w:pPr>
        <w:spacing w:line="240" w:lineRule="auto"/>
        <w:rPr>
          <w:lang w:val="en-US"/>
        </w:rPr>
      </w:pPr>
      <w:r>
        <w:rPr>
          <w:lang w:val="en-US"/>
        </w:rPr>
        <w:t>И КУЛЬТУРНЫМ ПРАВАМ</w:t>
      </w:r>
    </w:p>
    <w:p w:rsidR="00000000" w:rsidRDefault="00000000">
      <w:pPr>
        <w:spacing w:line="240" w:lineRule="auto"/>
        <w:rPr>
          <w:lang w:val="en-US"/>
        </w:rPr>
      </w:pPr>
    </w:p>
    <w:p w:rsidR="00000000" w:rsidRDefault="00000000">
      <w:pPr>
        <w:spacing w:line="240" w:lineRule="auto"/>
        <w:rPr>
          <w:lang w:val="en-US"/>
        </w:rPr>
      </w:pPr>
    </w:p>
    <w:p w:rsidR="00000000" w:rsidRDefault="00000000">
      <w:pPr>
        <w:pStyle w:val="16"/>
        <w:spacing w:line="240" w:lineRule="auto"/>
        <w:rPr>
          <w:lang w:val="en-US"/>
        </w:rPr>
      </w:pPr>
      <w:r>
        <w:rPr>
          <w:lang w:val="en-US"/>
        </w:rPr>
        <w:t>РАССМОТРЕНИЕ ДОКЛАДОВ, ПРЕДСТАВЛЕННЫХ ГОСУДАРСТВАМИ-УЧАСТНИКАМИ В СООТВЕТСТВИИ СО СТАТЬЯМИ 16 И 17 ПАКТА</w:t>
      </w:r>
    </w:p>
    <w:p w:rsidR="00000000" w:rsidRDefault="00000000">
      <w:pPr>
        <w:pStyle w:val="16"/>
        <w:spacing w:line="240" w:lineRule="auto"/>
        <w:rPr>
          <w:lang w:val="en-US"/>
        </w:rPr>
      </w:pPr>
    </w:p>
    <w:p w:rsidR="00000000" w:rsidRDefault="00000000">
      <w:pPr>
        <w:pStyle w:val="11"/>
        <w:spacing w:line="240" w:lineRule="auto"/>
      </w:pPr>
      <w:r>
        <w:t>Заключительные замечания Комитета по экономическим, социальным</w:t>
      </w:r>
    </w:p>
    <w:p w:rsidR="00000000" w:rsidRDefault="00000000">
      <w:pPr>
        <w:pStyle w:val="11"/>
        <w:spacing w:line="240" w:lineRule="auto"/>
      </w:pPr>
      <w:r>
        <w:t>и культурным правам</w:t>
      </w:r>
    </w:p>
    <w:p w:rsidR="00000000" w:rsidRDefault="00000000">
      <w:pPr>
        <w:pStyle w:val="11"/>
        <w:spacing w:line="240" w:lineRule="auto"/>
      </w:pPr>
    </w:p>
    <w:p w:rsidR="00000000" w:rsidRDefault="00000000">
      <w:pPr>
        <w:pStyle w:val="11"/>
        <w:spacing w:line="240" w:lineRule="auto"/>
        <w:rPr>
          <w:u w:val="none"/>
        </w:rPr>
      </w:pPr>
      <w:r>
        <w:rPr>
          <w:u w:val="none"/>
        </w:rPr>
        <w:t>ГРУЗИЯ</w:t>
      </w:r>
    </w:p>
    <w:p w:rsidR="00000000" w:rsidRDefault="00000000">
      <w:pPr>
        <w:pStyle w:val="11"/>
        <w:spacing w:line="240" w:lineRule="auto"/>
        <w:rPr>
          <w:u w:val="none"/>
        </w:rPr>
      </w:pPr>
    </w:p>
    <w:p w:rsidR="00000000" w:rsidRDefault="00000000">
      <w:r>
        <w:t>1.</w:t>
      </w:r>
      <w:r>
        <w:tab/>
        <w:t>Комитет рассмотрел первоначальный доклад Грузии об осуществлении Международного пакта об экономических, социальных и культурных правах (</w:t>
      </w:r>
      <w:r>
        <w:rPr>
          <w:lang w:val="en-US"/>
        </w:rPr>
        <w:t>E/1990/5/Add.37</w:t>
      </w:r>
      <w:r>
        <w:t>) на своих 3, 4 и 5-м заседаниях, состоявшихся 26 и 27 апреля 2000 года, и на своем 21-м заседании, состоявшемся 9 мая 2000 года, и принял следующие заключительные замечания.</w:t>
      </w:r>
    </w:p>
    <w:p w:rsidR="00000000" w:rsidRDefault="00000000"/>
    <w:p w:rsidR="00000000" w:rsidRDefault="00000000">
      <w:pPr>
        <w:pStyle w:val="16"/>
      </w:pPr>
      <w:r>
        <w:t>А.</w:t>
      </w:r>
      <w:r>
        <w:tab/>
      </w:r>
      <w:r>
        <w:rPr>
          <w:u w:val="single"/>
        </w:rPr>
        <w:t>Введение</w:t>
      </w:r>
    </w:p>
    <w:p w:rsidR="00000000" w:rsidRDefault="00000000">
      <w:pPr>
        <w:pStyle w:val="16"/>
      </w:pPr>
    </w:p>
    <w:p w:rsidR="00000000" w:rsidRDefault="00000000">
      <w:pPr>
        <w:pStyle w:val="16"/>
        <w:jc w:val="left"/>
      </w:pPr>
      <w:r>
        <w:t>2.</w:t>
      </w:r>
      <w:r>
        <w:tab/>
        <w:t>Комитет приветствует представление первоначального доклада государством-участником, а также письменные ответы на перечень вопросов, препровожденные его делегацией, в состав которой входили высокопоставленные должностные лица из различных министерств.  Комитет с особым удовлетворением отмечает конструктивный характер диалога, проведенного с делегацией, ее готовность ответить на дополнительные вопросы и сообщить имеющиеся дополнительные сведения, а также откровенность при ответах на вопросы.  Доклад государства-участника в целом был представлен в соответствии с руководящими принципами, установленными Комитетом.</w:t>
      </w:r>
    </w:p>
    <w:p w:rsidR="00000000" w:rsidRDefault="00000000">
      <w:pPr>
        <w:pStyle w:val="16"/>
        <w:jc w:val="left"/>
      </w:pPr>
    </w:p>
    <w:p w:rsidR="00000000" w:rsidRDefault="00000000">
      <w:pPr>
        <w:pStyle w:val="16"/>
        <w:spacing w:line="240" w:lineRule="auto"/>
      </w:pPr>
      <w:r>
        <w:t>В.</w:t>
      </w:r>
      <w:r>
        <w:tab/>
      </w:r>
      <w:r>
        <w:rPr>
          <w:u w:val="single"/>
        </w:rPr>
        <w:t>Позитивные аспекты</w:t>
      </w:r>
    </w:p>
    <w:p w:rsidR="00000000" w:rsidRDefault="00000000">
      <w:pPr>
        <w:pStyle w:val="16"/>
        <w:spacing w:line="240" w:lineRule="auto"/>
      </w:pPr>
    </w:p>
    <w:p w:rsidR="00000000" w:rsidRDefault="00000000">
      <w:pPr>
        <w:pStyle w:val="16"/>
        <w:jc w:val="left"/>
      </w:pPr>
      <w:r>
        <w:t>3.</w:t>
      </w:r>
      <w:r>
        <w:tab/>
        <w:t>Комитет отмечает намерение государства-участника обеспечить поощрение прав человека и соблюдение соответствующих международных норм путем ратификации большинства международных договоров по правам человека, а также различных международных конвенций по вопросам труда после достижения независимости.  Кроме того, Комитет принимает к сведению усилия правительства Грузии по осуществлению прав, закрепленных в Пакте.  Комитет отмечает, в частности, заявление делегации о том, что правительство Грузии намеревается ратифицировать Конвенцию о минимальных нормах социального обеспечения, 1952 (№ 102) и Конвенцию о равноправии в области социального обеспечения, 1962 (№ 118) Международной организации труда, которые касаются вопросов социальной защиты трудящихся.</w:t>
      </w:r>
    </w:p>
    <w:p w:rsidR="00000000" w:rsidRDefault="00000000">
      <w:pPr>
        <w:pStyle w:val="16"/>
        <w:jc w:val="left"/>
      </w:pPr>
    </w:p>
    <w:p w:rsidR="00000000" w:rsidRDefault="00000000">
      <w:pPr>
        <w:pStyle w:val="16"/>
        <w:jc w:val="left"/>
      </w:pPr>
      <w:r>
        <w:t>4.</w:t>
      </w:r>
      <w:r>
        <w:tab/>
        <w:t>Комитет с удовлетворением отмечает, что правительство Грузии стремится к сотрудничеству с различными международными организациями, такими, как Программа развития Организации Объединенных Наций, МОТ, Всемирная организация здравоохранения, Всемирный банк и Международный валютный фонд, а также с региональными организациями, такими, как Организация по безопасности и сотрудничеству в Европе, в деле реализации прав, предусмотренных в Пакте, и в частности в решении проблемы нищеты.</w:t>
      </w:r>
    </w:p>
    <w:p w:rsidR="00000000" w:rsidRDefault="00000000">
      <w:pPr>
        <w:pStyle w:val="16"/>
        <w:jc w:val="left"/>
      </w:pPr>
    </w:p>
    <w:p w:rsidR="00000000" w:rsidRDefault="00000000">
      <w:pPr>
        <w:pStyle w:val="16"/>
        <w:jc w:val="left"/>
        <w:rPr>
          <w:u w:val="single"/>
        </w:rPr>
      </w:pPr>
      <w:r>
        <w:t>5.</w:t>
      </w:r>
      <w:r>
        <w:tab/>
        <w:t>Комитет также приветствует тот факт, что государство-участник создало правительственные органы, занимающиеся вопросами прав человека, такие, как институт национального уполномоченного по правам человека и Комитет по правам человека парламента Грузии.</w:t>
      </w:r>
    </w:p>
    <w:p w:rsidR="00000000" w:rsidRDefault="00000000">
      <w:pPr>
        <w:pStyle w:val="16"/>
        <w:spacing w:line="216" w:lineRule="auto"/>
        <w:jc w:val="left"/>
      </w:pPr>
    </w:p>
    <w:p w:rsidR="00000000" w:rsidRDefault="00000000">
      <w:pPr>
        <w:spacing w:line="216" w:lineRule="auto"/>
        <w:jc w:val="center"/>
        <w:rPr>
          <w:u w:val="single"/>
        </w:rPr>
      </w:pPr>
      <w:r>
        <w:t>C.</w:t>
      </w:r>
      <w:r>
        <w:tab/>
      </w:r>
      <w:r>
        <w:rPr>
          <w:u w:val="single"/>
        </w:rPr>
        <w:t>Факторы и трудности, препятствующие осуществлению Пакта</w:t>
      </w:r>
    </w:p>
    <w:p w:rsidR="00000000" w:rsidRDefault="00000000">
      <w:pPr>
        <w:pStyle w:val="11"/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16" w:lineRule="auto"/>
      </w:pPr>
    </w:p>
    <w:p w:rsidR="00000000" w:rsidRDefault="00000000">
      <w:pPr>
        <w:rPr>
          <w:lang w:val="en-US"/>
        </w:rPr>
      </w:pPr>
      <w:r>
        <w:t>6.</w:t>
      </w:r>
      <w:r>
        <w:tab/>
        <w:t>Комитет понимает, что в настоящее время правительство Грузии сталкивается с трудностями, которые в целом характерны для стран с переходной экономикой.  Для того чтобы реформировать систему социального обеспечения и пособий, рынок труда и сектор занятости, системы здравоохранения и просвещения требуются серьезные экономические и политические преобразования.  В этой связи Комитет также признает проблемы, связанные с урегулированием государством-участником внутренних конфликтов в некоторых регионах страны, которые серьезно мешают усилиям государства-участника по более полному обеспечению прав человека для всех граждан страны.</w:t>
      </w:r>
    </w:p>
    <w:p w:rsidR="00000000" w:rsidRDefault="00000000">
      <w:pPr>
        <w:spacing w:line="216" w:lineRule="auto"/>
        <w:rPr>
          <w:lang w:val="en-US"/>
        </w:rPr>
      </w:pPr>
    </w:p>
    <w:p w:rsidR="00000000" w:rsidRDefault="00000000">
      <w:pPr>
        <w:spacing w:line="216" w:lineRule="auto"/>
        <w:jc w:val="center"/>
        <w:rPr>
          <w:u w:val="single"/>
        </w:rPr>
      </w:pPr>
      <w:r>
        <w:br w:type="page"/>
        <w:t>D.</w:t>
      </w:r>
      <w:r>
        <w:tab/>
      </w:r>
      <w:r>
        <w:rPr>
          <w:u w:val="single"/>
        </w:rPr>
        <w:t>Основные проблемы, вызывающие обеспокоенность</w:t>
      </w:r>
    </w:p>
    <w:p w:rsidR="00000000" w:rsidRDefault="00000000">
      <w:pPr>
        <w:spacing w:line="216" w:lineRule="auto"/>
        <w:jc w:val="center"/>
        <w:rPr>
          <w:u w:val="single"/>
        </w:rPr>
      </w:pPr>
    </w:p>
    <w:p w:rsidR="00000000" w:rsidRDefault="00000000">
      <w:r>
        <w:t>7.</w:t>
      </w:r>
      <w:r>
        <w:tab/>
        <w:t>Комитет обеспокоен серьезной проблемой нищеты, стоящей перед правительством Грузии.  Несмотря на предпринимаемые государством-участником усилия, средний минимальный уровень оплаты труда все еще является недостаточным для обеспечения надлежащего уровня жизни значительной части населения Грузии.</w:t>
      </w:r>
    </w:p>
    <w:p w:rsidR="00000000" w:rsidRDefault="00000000"/>
    <w:p w:rsidR="00000000" w:rsidRDefault="00000000">
      <w:r>
        <w:t>8.</w:t>
      </w:r>
      <w:r>
        <w:tab/>
        <w:t>Кроме того, Комитет выражает свою обеспокоенность в связи с тем, что некоторых мер, принимаемых в целях борьбы с нищетой, недостаточно.  Деятельность, направленная на сокращение масштабов нищеты, как представляется, регулируется не совсем эффективно на этапах разработки политики и практического осуществления, в частности в области реформы систем пенсионного обеспечения и налогообложения.  Переходному процессу мешает нехватка четко определенных руководящих принципов и показателей.</w:t>
      </w:r>
    </w:p>
    <w:p w:rsidR="00000000" w:rsidRDefault="00000000"/>
    <w:p w:rsidR="00000000" w:rsidRDefault="00000000">
      <w:r>
        <w:t>9.</w:t>
      </w:r>
      <w:r>
        <w:tab/>
        <w:t>В целом Комитет отмечает, что статистические данные, представленные правительством, недостаточно достоверны для того, чтобы провести четкий анализ и оценку различных рассматриваемых проблем, таких, как масштабы нищеты в стране, а также определить фактический прожиточный минимум и реальную черту бедности.</w:t>
      </w:r>
    </w:p>
    <w:p w:rsidR="00000000" w:rsidRDefault="00000000"/>
    <w:p w:rsidR="00000000" w:rsidRDefault="00000000">
      <w:r>
        <w:t>10.</w:t>
      </w:r>
      <w:r>
        <w:tab/>
        <w:t>Комитет считает, что отсутствие статистических данных о бюджетных трансфертах на цели образования и здравоохранения с центрального на местный уровень делает невозможным получение точной картины о реальном положении дел в этих областях.</w:t>
      </w:r>
    </w:p>
    <w:p w:rsidR="00000000" w:rsidRDefault="00000000"/>
    <w:p w:rsidR="00000000" w:rsidRDefault="00000000">
      <w:r>
        <w:t>11.</w:t>
      </w:r>
      <w:r>
        <w:tab/>
        <w:t>Комитет с обеспокоенностью отмечает также факт несвоевременной выплаты заработной платы трудящимся в различных отраслях экономики Грузии.</w:t>
      </w:r>
    </w:p>
    <w:p w:rsidR="00000000" w:rsidRDefault="00000000"/>
    <w:p w:rsidR="00000000" w:rsidRDefault="00000000">
      <w:r>
        <w:t>12.</w:t>
      </w:r>
      <w:r>
        <w:tab/>
        <w:t>Комитет выражает также свою обеспокоенность по поводу отсутствия законодательных положений, обеспечивающих доступ инвалидов к рынку труда.</w:t>
      </w:r>
    </w:p>
    <w:p w:rsidR="00000000" w:rsidRDefault="00000000"/>
    <w:p w:rsidR="00000000" w:rsidRDefault="00000000">
      <w:r>
        <w:t>13.</w:t>
      </w:r>
      <w:r>
        <w:tab/>
        <w:t>Комитет с обеспокоенностью отмечает, что женщины в большей степени, чем мужчины, страдают от безработицы и что они недопредставлены в общем составе рабочей силы, особенно на государственной службе, включая парламент.</w:t>
      </w:r>
    </w:p>
    <w:p w:rsidR="00000000" w:rsidRDefault="00000000"/>
    <w:p w:rsidR="00000000" w:rsidRDefault="00000000">
      <w:r>
        <w:t>14.</w:t>
      </w:r>
      <w:r>
        <w:tab/>
        <w:t>Кроме того, Комитет обеспокоен тем, что национальный план действий, направленный на устранение неравенства, с которым сталкиваются женщины в экономической и социальной сферах, еще не осуществлен государством-участником.</w:t>
      </w:r>
    </w:p>
    <w:p w:rsidR="00000000" w:rsidRDefault="00000000"/>
    <w:p w:rsidR="00000000" w:rsidRDefault="00000000">
      <w:r>
        <w:t>15.</w:t>
      </w:r>
      <w:r>
        <w:tab/>
        <w:t>Комитет с обеспокоенностью отмечает неадекватный и недостаточно полный характер законов, затрагивающих проблемы насилия в отношении женщин и сексуальных посягательств на рабочем месте.</w:t>
      </w:r>
    </w:p>
    <w:p w:rsidR="00000000" w:rsidRDefault="00000000"/>
    <w:p w:rsidR="00000000" w:rsidRDefault="00000000">
      <w:r>
        <w:t>16.</w:t>
      </w:r>
      <w:r>
        <w:tab/>
        <w:t>Комитет с обеспокоенностью отмечает также рост числа детей, занимающихся попрошайничеством на улицах, и то, что многие из них вовлекаются взрослыми в различные виды преступной деятельности.</w:t>
      </w:r>
    </w:p>
    <w:p w:rsidR="00000000" w:rsidRDefault="00000000"/>
    <w:p w:rsidR="00000000" w:rsidRDefault="00000000">
      <w:r>
        <w:t>17.</w:t>
      </w:r>
      <w:r>
        <w:tab/>
        <w:t>Комитет высказывает сожаление в связи с тем, что из-за того, что государство-участник представило недостаточно данных о положении с обеспечением жильем, в том числе о количестве случаев принудительных выселений, невозможно составить четкую и целостную картину ситуации в данных вопросах.  Кроме того, Комитет сожалеет о том, что не найдено удовлетворительного решения проблем, касающихся внутренне перемещенных лиц.</w:t>
      </w:r>
    </w:p>
    <w:p w:rsidR="00000000" w:rsidRDefault="00000000"/>
    <w:p w:rsidR="00000000" w:rsidRDefault="00000000">
      <w:r>
        <w:t>18.</w:t>
      </w:r>
      <w:r>
        <w:tab/>
        <w:t>Комитет с обеспокоенностью отмечает ограниченную осведомленность широкой общественности по вопросам репродуктивного здоровья в целом, и в частности в отношении наличия и применения средств контрацепции.</w:t>
      </w:r>
    </w:p>
    <w:p w:rsidR="00000000" w:rsidRDefault="00000000"/>
    <w:p w:rsidR="00000000" w:rsidRDefault="00000000">
      <w:r>
        <w:t>19.</w:t>
      </w:r>
      <w:r>
        <w:tab/>
        <w:t>По поводу образования Комитет с обеспокоенностью отмечает, что в новой учебной программе для средней школы, как представляется, прослеживается несбалансированность между количеством времени, выделяемым на военную подготовку (три занятия) и изучение "основ правоведения" (одно занятие).</w:t>
      </w:r>
    </w:p>
    <w:p w:rsidR="00000000" w:rsidRDefault="00000000"/>
    <w:p w:rsidR="00000000" w:rsidRDefault="00000000">
      <w:pPr>
        <w:jc w:val="center"/>
      </w:pPr>
      <w:r>
        <w:t>Е.</w:t>
      </w:r>
      <w:r>
        <w:tab/>
      </w:r>
      <w:r>
        <w:rPr>
          <w:u w:val="single"/>
        </w:rPr>
        <w:t>Предложения и рекомендации</w:t>
      </w:r>
    </w:p>
    <w:p w:rsidR="00000000" w:rsidRDefault="00000000">
      <w:pPr>
        <w:jc w:val="center"/>
      </w:pPr>
    </w:p>
    <w:p w:rsidR="00000000" w:rsidRDefault="00000000">
      <w:r>
        <w:t>20.</w:t>
      </w:r>
      <w:r>
        <w:tab/>
        <w:t>Комитет отмечает заявление государства-участника о том, что борьба с нищетой является его основной задачей.  Применительно к проводимой политике и принятым мерам Комитет призывает государство-участник руководствоваться обязательствами, вытекающими из Пакта, а также рекомендациями, изложенными в настоящих заключительных замечаниях.</w:t>
      </w:r>
    </w:p>
    <w:p w:rsidR="00000000" w:rsidRDefault="00000000"/>
    <w:p w:rsidR="00000000" w:rsidRDefault="00000000">
      <w:r>
        <w:t>21.</w:t>
      </w:r>
      <w:r>
        <w:tab/>
        <w:t>Комитет рекомендует, чтобы в своих усилиях, направленных на более эффективное осуществление экономических, социальных и культурных прав в Грузии, государство-участник по</w:t>
      </w:r>
      <w:r>
        <w:noBreakHyphen/>
        <w:t>прежнему обращалось за международной технической помощью согласно положениям статьи 23 Пакта.</w:t>
      </w:r>
    </w:p>
    <w:p w:rsidR="00000000" w:rsidRDefault="00000000"/>
    <w:p w:rsidR="00000000" w:rsidRDefault="00000000">
      <w:r>
        <w:t>22.</w:t>
      </w:r>
      <w:r>
        <w:tab/>
        <w:t>Кроме того, Комитет рекомендует государству-участнику в полной мере исходить из своих международных обязательств в области прав человека при реализации проектов технического сотрудничества и других соглашений с международными организациями.  Комитет также настоятельно призывает государство-участник принимать во внимание разнообразные подходы, разработанные различными международными организациями, например подход ПРООН к развитию человеческого потенциала.</w:t>
      </w:r>
    </w:p>
    <w:p w:rsidR="00000000" w:rsidRDefault="00000000"/>
    <w:p w:rsidR="00000000" w:rsidRDefault="00000000">
      <w:r>
        <w:t>23.</w:t>
      </w:r>
      <w:r>
        <w:tab/>
        <w:t>Комитет поддерживает предложение, высказанное в Докладе ПРООН 1999 года о развитии человеческого потенциала в отношении Грузии и касающееся того, чтобы не изменять порог бедности в соответствии с предложениями, полученными государством</w:t>
      </w:r>
      <w:r>
        <w:noBreakHyphen/>
        <w:t>участником, поскольку такое изменение неверно отражало бы проблему нищеты в стране.  В этой связи Комитет настоятельно призывает государство-участник принять надлежащие меры для обеспечения того, чтобы минимальная заработная плата была достаточной для удовлетворения основных потребностей трудящихся и членов их семей.</w:t>
      </w:r>
    </w:p>
    <w:p w:rsidR="00000000" w:rsidRDefault="00000000"/>
    <w:p w:rsidR="00000000" w:rsidRDefault="00000000">
      <w:r>
        <w:t>24.</w:t>
      </w:r>
      <w:r>
        <w:tab/>
        <w:t>Комитет рекомендует государству-участнику принять меры по исправлению положения, с тем чтобы обеспечить своевременную выплату заработной платы трудящимся в различных отраслях экономики.</w:t>
      </w:r>
    </w:p>
    <w:p w:rsidR="00000000" w:rsidRDefault="00000000"/>
    <w:p w:rsidR="00000000" w:rsidRDefault="00000000">
      <w:r>
        <w:t>25.</w:t>
      </w:r>
      <w:r>
        <w:tab/>
        <w:t>Комитет рекомендует также государству-участнику принять соответствующие законодательные положения для обеспечения более широкого доступа инвалидов на рынок труда.</w:t>
      </w:r>
    </w:p>
    <w:p w:rsidR="00000000" w:rsidRDefault="00000000"/>
    <w:p w:rsidR="00000000" w:rsidRDefault="00000000">
      <w:r>
        <w:t>26.</w:t>
      </w:r>
      <w:r>
        <w:tab/>
        <w:t>Признавая, что государство-участник располагает ограниченными ресурсами, Комитет предлагает принять меры с учетом главных приоритетов, таких, как меры по устранению существующего неравенства между мужчинами и женщинами на государственной службе, а также разработка национального плана действий в области прав человека.  В этой связи Комитет отмечает возможность запрашивать международную техническую помощь, касающуюся такой деятельности, у Управления Верховного комиссара по правам человека (УВКПЧ) и ПРООН.</w:t>
      </w:r>
    </w:p>
    <w:p w:rsidR="00000000" w:rsidRDefault="00000000"/>
    <w:p w:rsidR="00000000" w:rsidRDefault="00000000">
      <w:r>
        <w:t>27.</w:t>
      </w:r>
      <w:r>
        <w:tab/>
        <w:t>Комитет настоятельно призывает государство-участник начать постепенное осуществление национального плана действий в отношении женщин.  Кроме того, Комитет настоятельно рекомендует государству-участнику принять эффективные меры по борьбе с насилием в отношении женщин, в том числе путем принятия соответствующих законодательных актов.</w:t>
      </w:r>
    </w:p>
    <w:p w:rsidR="00000000" w:rsidRDefault="00000000"/>
    <w:p w:rsidR="00000000" w:rsidRDefault="00000000">
      <w:r>
        <w:t>28.</w:t>
      </w:r>
      <w:r>
        <w:tab/>
        <w:t>К государству-участнику обращается настоятельный призыв проявить больше заботы в отношении растущего числа детей, занимающихся попрошайничеством на улице, и принять соответствующие меры для решения этой проблемы.</w:t>
      </w:r>
    </w:p>
    <w:p w:rsidR="00000000" w:rsidRDefault="00000000"/>
    <w:p w:rsidR="00000000" w:rsidRDefault="00000000">
      <w:r>
        <w:t>29.</w:t>
      </w:r>
      <w:r>
        <w:tab/>
        <w:t>Комитет рекомендует государству-участнику принять меры по созданию условий, которые позволили бы внутренне перемещенным лицам возвратиться на места их прежнего проживания.</w:t>
      </w:r>
    </w:p>
    <w:p w:rsidR="00000000" w:rsidRDefault="00000000"/>
    <w:p w:rsidR="00000000" w:rsidRDefault="00000000">
      <w:r>
        <w:t>30.</w:t>
      </w:r>
      <w:r>
        <w:tab/>
        <w:t>Комитет рекомендует государству-участнику принять меры, направленные на улучшение осведомленности населения в вопросах репродуктивного здоровья.  В этой связи правительство могло бы обратиться за консультативными услугами и помощью к международным организациям, таким, как ВОЗ, ЮНАИДС и Фонд Организации Объединенных Наций в области народонаселения.</w:t>
      </w:r>
    </w:p>
    <w:p w:rsidR="00000000" w:rsidRDefault="00000000"/>
    <w:p w:rsidR="00000000" w:rsidRDefault="00000000">
      <w:r>
        <w:t>31.</w:t>
      </w:r>
      <w:r>
        <w:tab/>
        <w:t>Применительно к учебной программе средней школы Комитет рекомендует государству-участнику обеспечить соответствующую сбалансированность между временем, отводимым военной подготовке, и временем, отводимым гражданским дисциплинам, в том числе "основам правоведения".</w:t>
      </w:r>
    </w:p>
    <w:p w:rsidR="00000000" w:rsidRDefault="00000000"/>
    <w:p w:rsidR="00000000" w:rsidRDefault="00000000">
      <w:r>
        <w:t>32.</w:t>
      </w:r>
      <w:r>
        <w:tab/>
        <w:t>Комитет просит государство-участник включить в свой второй периодический доклад, касающийся осуществления Пакта, всю имеющуюся информацию о любых принятых мерах и достигнутом прогрессе, в частности в связи с предложениями и рекомендациями, изложенными Комитетом в настоящих заключительных замечаниях.</w:t>
      </w:r>
    </w:p>
    <w:p w:rsidR="00000000" w:rsidRDefault="00000000"/>
    <w:p w:rsidR="00000000" w:rsidRDefault="00000000"/>
    <w:p w:rsidR="00000000" w:rsidRDefault="00000000"/>
    <w:p w:rsidR="00000000" w:rsidRDefault="00000000">
      <w:pPr>
        <w:pStyle w:val="16"/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  <w:r>
        <w:t>-----</w:t>
      </w:r>
    </w:p>
    <w:p w:rsidR="00000000" w:rsidRDefault="00000000">
      <w:pPr>
        <w:jc w:val="center"/>
      </w:pPr>
    </w:p>
    <w:sectPr w:rsidR="00000000">
      <w:headerReference w:type="even" r:id="rId8"/>
      <w:headerReference w:type="default" r:id="rId9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spacing w:line="240" w:lineRule="auto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FILLIN  "Введите символ документа" \* MERGEFORMAT </w:instrText>
    </w:r>
    <w:r>
      <w:rPr>
        <w:lang w:val="en-US"/>
      </w:rPr>
      <w:fldChar w:fldCharType="separate"/>
    </w:r>
    <w:r>
      <w:rPr>
        <w:lang w:val="en-US"/>
      </w:rPr>
      <w:t>E/C.12/1/Add.42</w:t>
    </w:r>
    <w:r>
      <w:rPr>
        <w:lang w:val="en-US"/>
      </w:rPr>
      <w:fldChar w:fldCharType="end"/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spacing w:line="240" w:lineRule="aut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spacing w:line="240" w:lineRule="auto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fldChar w:fldCharType="begin"/>
    </w:r>
    <w:r>
      <w:rPr>
        <w:lang w:val="en-US"/>
      </w:rPr>
      <w:instrText xml:space="preserve"> FILLIN  "Введите символ документа" \* MERGEFORMAT </w:instrText>
    </w:r>
    <w:r>
      <w:rPr>
        <w:lang w:val="en-US"/>
      </w:rPr>
      <w:fldChar w:fldCharType="separate"/>
    </w:r>
    <w:r>
      <w:rPr>
        <w:lang w:val="en-US"/>
      </w:rPr>
      <w:t>E/C.12/1/Add.42</w:t>
    </w:r>
    <w:r>
      <w:rPr>
        <w:lang w:val="en-US"/>
      </w:rPr>
      <w:fldChar w:fldCharType="end"/>
    </w:r>
  </w:p>
  <w:p w:rsidR="00000000" w:rsidRDefault="00000000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spacing w:line="240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7597"/>
    <w:multiLevelType w:val="singleLevel"/>
    <w:tmpl w:val="EC5ADA94"/>
    <w:lvl w:ilvl="0">
      <w:start w:val="1"/>
      <w:numFmt w:val="decimal"/>
      <w:pStyle w:val="a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clear" w:pos="567"/>
        <w:tab w:val="clear" w:pos="1134"/>
        <w:tab w:val="clear" w:pos="1701"/>
        <w:tab w:val="clear" w:pos="2268"/>
        <w:tab w:val="right" w:pos="4458"/>
        <w:tab w:val="right" w:pos="4740"/>
      </w:tabs>
      <w:suppressAutoHyphens/>
      <w:spacing w:line="216" w:lineRule="auto"/>
      <w:jc w:val="right"/>
      <w:outlineLvl w:val="3"/>
    </w:pPr>
    <w:rPr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a">
    <w:name w:val="текст"/>
    <w:basedOn w:val="Normal"/>
    <w:pPr>
      <w:numPr>
        <w:numId w:val="2"/>
      </w:numPr>
      <w:spacing w:line="240" w:lineRule="auto"/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11">
    <w:name w:val="Заголовок 11"/>
    <w:basedOn w:val="Subtitle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after="0"/>
      <w:outlineLvl w:val="9"/>
    </w:pPr>
    <w:rPr>
      <w:rFonts w:ascii="Times New Roman" w:hAnsi="Times New Roman"/>
      <w:u w:val="single"/>
    </w:rPr>
  </w:style>
  <w:style w:type="paragraph" w:customStyle="1" w:styleId="16">
    <w:name w:val="Заголовок 16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PS_ACR\RUS\DATA\COMMON\MACRO\Template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0</TotalTime>
  <Pages>1</Pages>
  <Words>1646</Words>
  <Characters>9384</Characters>
  <Application>Microsoft Office Word</Application>
  <DocSecurity>4</DocSecurity>
  <Lines>78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 </Company>
  <LinksUpToDate>false</LinksUpToDate>
  <CharactersWithSpaces>11524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0042379</dc:title>
  <dc:subject>Лавров</dc:subject>
  <dc:creator>Вера Аргунова</dc:creator>
  <cp:keywords/>
  <dc:description/>
  <cp:lastModifiedBy>Вера Аргунова</cp:lastModifiedBy>
  <cp:revision>2</cp:revision>
  <cp:lastPrinted>2000-05-29T08:39:00Z</cp:lastPrinted>
  <dcterms:created xsi:type="dcterms:W3CDTF">2000-05-29T08:49:00Z</dcterms:created>
  <dcterms:modified xsi:type="dcterms:W3CDTF">2000-05-29T08:49:00Z</dcterms:modified>
</cp:coreProperties>
</file>